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342B90">
      <w:pPr>
        <w:pStyle w:val="23"/>
        <w:jc w:val="center"/>
        <w:rPr>
          <w:rFonts w:hint="eastAsia" w:cs="宋体"/>
          <w:b/>
          <w:bCs/>
          <w:sz w:val="72"/>
        </w:rPr>
      </w:pPr>
    </w:p>
    <w:p w14:paraId="56342B91">
      <w:pPr>
        <w:rPr>
          <w:rFonts w:hint="eastAsia"/>
        </w:rPr>
      </w:pPr>
    </w:p>
    <w:p w14:paraId="56342B92">
      <w:pPr>
        <w:pStyle w:val="23"/>
        <w:jc w:val="center"/>
        <w:rPr>
          <w:rFonts w:hint="eastAsia" w:cs="宋体"/>
          <w:b/>
          <w:bCs/>
          <w:sz w:val="72"/>
        </w:rPr>
      </w:pPr>
      <w:bookmarkStart w:id="0" w:name="_Hlk24317540"/>
      <w:bookmarkStart w:id="1" w:name="_Hlk528667721"/>
      <w:r>
        <w:rPr>
          <w:rFonts w:hint="eastAsia" w:cs="宋体"/>
          <w:b/>
          <w:bCs/>
          <w:sz w:val="48"/>
          <w:szCs w:val="48"/>
        </w:rPr>
        <w:t>洱源县人民医院体检中心设备与医疗服务保障能力提升项目设备采购-5标段</w:t>
      </w:r>
    </w:p>
    <w:bookmarkEnd w:id="0"/>
    <w:bookmarkEnd w:id="1"/>
    <w:p w14:paraId="56342B93">
      <w:pPr>
        <w:pStyle w:val="23"/>
        <w:jc w:val="center"/>
        <w:rPr>
          <w:rFonts w:hint="eastAsia" w:cs="宋体"/>
          <w:b/>
          <w:bCs/>
          <w:sz w:val="72"/>
        </w:rPr>
      </w:pPr>
    </w:p>
    <w:p w14:paraId="56342B94">
      <w:pPr>
        <w:pStyle w:val="23"/>
        <w:tabs>
          <w:tab w:val="left" w:pos="7560"/>
        </w:tabs>
        <w:jc w:val="center"/>
        <w:rPr>
          <w:rFonts w:hint="eastAsia" w:cs="宋体"/>
          <w:b/>
          <w:bCs/>
          <w:sz w:val="72"/>
        </w:rPr>
      </w:pPr>
    </w:p>
    <w:p w14:paraId="56342B95">
      <w:pPr>
        <w:rPr>
          <w:rFonts w:hint="eastAsia" w:cs="宋体"/>
        </w:rPr>
      </w:pPr>
    </w:p>
    <w:p w14:paraId="56342B96">
      <w:pPr>
        <w:pStyle w:val="23"/>
        <w:jc w:val="center"/>
        <w:rPr>
          <w:rFonts w:hint="eastAsia" w:cs="宋体"/>
          <w:b/>
          <w:bCs/>
          <w:sz w:val="72"/>
        </w:rPr>
      </w:pPr>
    </w:p>
    <w:p w14:paraId="56342B97">
      <w:pPr>
        <w:pStyle w:val="23"/>
        <w:jc w:val="center"/>
        <w:rPr>
          <w:rFonts w:hint="eastAsia" w:cs="宋体"/>
          <w:b/>
          <w:bCs/>
          <w:sz w:val="72"/>
        </w:rPr>
      </w:pPr>
      <w:r>
        <w:rPr>
          <w:rFonts w:hint="eastAsia" w:cs="宋体"/>
          <w:b/>
          <w:bCs/>
          <w:sz w:val="72"/>
        </w:rPr>
        <w:t>招 标 文 件</w:t>
      </w:r>
    </w:p>
    <w:p w14:paraId="35FFD7EA">
      <w:pPr>
        <w:pStyle w:val="23"/>
        <w:jc w:val="center"/>
        <w:rPr>
          <w:rFonts w:hint="eastAsia" w:cs="宋体"/>
          <w:b/>
          <w:bCs/>
          <w:sz w:val="30"/>
          <w:szCs w:val="30"/>
        </w:rPr>
      </w:pPr>
      <w:r>
        <w:rPr>
          <w:rFonts w:hint="eastAsia" w:cs="宋体"/>
          <w:b/>
          <w:bCs/>
          <w:color w:val="000000" w:themeColor="text1"/>
          <w:sz w:val="32"/>
          <w:szCs w:val="32"/>
          <w14:textFill>
            <w14:solidFill>
              <w14:schemeClr w14:val="tx1"/>
            </w14:solidFill>
          </w14:textFill>
        </w:rPr>
        <w:t>政采云系统项目编号</w:t>
      </w:r>
      <w:r>
        <w:rPr>
          <w:rFonts w:hint="eastAsia" w:cs="宋体"/>
          <w:b/>
          <w:bCs/>
          <w:w w:val="95"/>
          <w:sz w:val="30"/>
          <w:szCs w:val="30"/>
        </w:rPr>
        <w:t>：</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b/>
          <w:bCs/>
          <w:color w:val="000000" w:themeColor="text1"/>
          <w:w w:val="95"/>
          <w:sz w:val="30"/>
          <w:szCs w:val="30"/>
          <w14:textFill>
            <w14:solidFill>
              <w14:schemeClr w14:val="tx1"/>
            </w14:solidFill>
          </w14:textFill>
        </w:rPr>
        <w:t>DLZC2026-G1-00478-YZGF-0605</w:t>
      </w:r>
      <w:r>
        <w:rPr>
          <w:rFonts w:hint="eastAsia" w:cs="宋体"/>
          <w:b/>
          <w:bCs/>
          <w:color w:val="000000" w:themeColor="text1"/>
          <w:w w:val="95"/>
          <w:sz w:val="30"/>
          <w:szCs w:val="30"/>
          <w14:textFill>
            <w14:solidFill>
              <w14:schemeClr w14:val="tx1"/>
            </w14:solidFill>
          </w14:textFill>
        </w:rPr>
        <w:fldChar w:fldCharType="end"/>
      </w:r>
    </w:p>
    <w:p w14:paraId="56342B98">
      <w:pPr>
        <w:pStyle w:val="23"/>
        <w:jc w:val="center"/>
        <w:rPr>
          <w:rFonts w:hint="eastAsia" w:cs="宋体"/>
          <w:color w:val="000000" w:themeColor="text1"/>
          <w14:textFill>
            <w14:solidFill>
              <w14:schemeClr w14:val="tx1"/>
            </w14:solidFill>
          </w14:textFill>
        </w:rPr>
      </w:pPr>
      <w:r>
        <w:rPr>
          <w:rFonts w:hint="eastAsia" w:cs="宋体"/>
          <w:b/>
          <w:bCs/>
          <w:sz w:val="30"/>
          <w:szCs w:val="30"/>
        </w:rPr>
        <w:t>标段编号</w:t>
      </w:r>
      <w:r>
        <w:rPr>
          <w:rFonts w:hint="eastAsia" w:cs="宋体"/>
          <w:b/>
          <w:bCs/>
          <w:w w:val="95"/>
          <w:sz w:val="30"/>
          <w:szCs w:val="30"/>
        </w:rPr>
        <w:t>：</w:t>
      </w:r>
      <w:r>
        <w:rPr>
          <w:rFonts w:hint="eastAsia" w:cs="宋体"/>
          <w:b/>
          <w:bCs/>
          <w:color w:val="000000" w:themeColor="text1"/>
          <w:w w:val="95"/>
          <w:sz w:val="30"/>
          <w:szCs w:val="30"/>
          <w14:textFill>
            <w14:solidFill>
              <w14:schemeClr w14:val="tx1"/>
            </w14:solidFill>
          </w14:textFill>
        </w:rPr>
        <w:t>Q53LX0326001230-005</w:t>
      </w:r>
    </w:p>
    <w:p w14:paraId="56342B99">
      <w:pPr>
        <w:rPr>
          <w:rFonts w:hint="eastAsia" w:cs="宋体"/>
        </w:rPr>
      </w:pPr>
    </w:p>
    <w:p w14:paraId="56342B9A">
      <w:pPr>
        <w:pStyle w:val="23"/>
        <w:jc w:val="center"/>
        <w:rPr>
          <w:rFonts w:hint="eastAsia" w:cs="宋体"/>
        </w:rPr>
      </w:pPr>
    </w:p>
    <w:p w14:paraId="56342B9B">
      <w:pPr>
        <w:pStyle w:val="23"/>
        <w:jc w:val="center"/>
        <w:rPr>
          <w:rFonts w:hint="eastAsia" w:cs="宋体"/>
        </w:rPr>
      </w:pPr>
    </w:p>
    <w:p w14:paraId="56342B9C">
      <w:pPr>
        <w:pStyle w:val="23"/>
        <w:jc w:val="center"/>
        <w:rPr>
          <w:rFonts w:hint="eastAsia" w:cs="宋体"/>
        </w:rPr>
      </w:pPr>
    </w:p>
    <w:p w14:paraId="56342B9D">
      <w:pPr>
        <w:pStyle w:val="23"/>
        <w:jc w:val="center"/>
        <w:rPr>
          <w:rFonts w:hint="eastAsia" w:cs="宋体"/>
          <w:b/>
          <w:bCs/>
          <w:w w:val="95"/>
          <w:sz w:val="32"/>
          <w:u w:val="single"/>
        </w:rPr>
      </w:pPr>
    </w:p>
    <w:p w14:paraId="56342B9E">
      <w:pPr>
        <w:pStyle w:val="23"/>
        <w:jc w:val="center"/>
        <w:rPr>
          <w:rFonts w:hint="eastAsia" w:cs="宋体"/>
          <w:b/>
          <w:bCs/>
          <w:w w:val="95"/>
          <w:sz w:val="32"/>
          <w:u w:val="single"/>
        </w:rPr>
      </w:pPr>
    </w:p>
    <w:p w14:paraId="56342B9F">
      <w:pPr>
        <w:pStyle w:val="23"/>
        <w:jc w:val="center"/>
        <w:rPr>
          <w:rFonts w:hint="eastAsia" w:cs="宋体"/>
          <w:b/>
          <w:bCs/>
          <w:w w:val="95"/>
          <w:sz w:val="32"/>
        </w:rPr>
      </w:pPr>
      <w:r>
        <w:rPr>
          <w:rFonts w:hint="eastAsia" w:cs="宋体"/>
          <w:b/>
          <w:bCs/>
          <w:w w:val="95"/>
          <w:sz w:val="32"/>
        </w:rPr>
        <w:t>采购人：洱源县人民医院</w:t>
      </w:r>
    </w:p>
    <w:p w14:paraId="56342BA0">
      <w:pPr>
        <w:pStyle w:val="23"/>
        <w:jc w:val="center"/>
        <w:rPr>
          <w:rFonts w:hint="eastAsia" w:cs="宋体"/>
          <w:b/>
          <w:bCs/>
          <w:w w:val="95"/>
          <w:sz w:val="32"/>
          <w:u w:val="single"/>
        </w:rPr>
      </w:pPr>
      <w:r>
        <w:rPr>
          <w:rFonts w:hint="eastAsia" w:cs="宋体"/>
          <w:b/>
          <w:bCs/>
          <w:w w:val="95"/>
          <w:sz w:val="32"/>
        </w:rPr>
        <w:t>采购代理机构：</w:t>
      </w:r>
      <w:r>
        <w:rPr>
          <w:rFonts w:hint="eastAsia" w:cs="宋体"/>
          <w:b/>
          <w:bCs/>
          <w:spacing w:val="20"/>
          <w:w w:val="95"/>
          <w:sz w:val="32"/>
        </w:rPr>
        <w:t>云南招标股份有限公司</w:t>
      </w:r>
    </w:p>
    <w:p w14:paraId="56342BA1">
      <w:pPr>
        <w:pStyle w:val="23"/>
        <w:jc w:val="center"/>
        <w:rPr>
          <w:rFonts w:hint="eastAsia" w:cs="宋体"/>
          <w:b/>
          <w:bCs/>
          <w:w w:val="95"/>
          <w:sz w:val="32"/>
        </w:rPr>
        <w:sectPr>
          <w:headerReference r:id="rId6" w:type="first"/>
          <w:footerReference r:id="rId8" w:type="first"/>
          <w:headerReference r:id="rId5" w:type="default"/>
          <w:footerReference r:id="rId7" w:type="default"/>
          <w:type w:val="nextColumn"/>
          <w:pgSz w:w="11906" w:h="16838"/>
          <w:pgMar w:top="1440" w:right="1080" w:bottom="1440" w:left="1080" w:header="850" w:footer="850" w:gutter="0"/>
          <w:cols w:space="720" w:num="1"/>
          <w:docGrid w:type="lines" w:linePitch="331" w:charSpace="0"/>
        </w:sectPr>
      </w:pPr>
      <w:r>
        <w:rPr>
          <w:rFonts w:hint="eastAsia" w:cs="宋体"/>
          <w:b/>
          <w:bCs/>
          <w:w w:val="95"/>
          <w:sz w:val="32"/>
        </w:rPr>
        <w:t>日期：2026年05月</w:t>
      </w:r>
    </w:p>
    <w:p w14:paraId="56342BA2">
      <w:pPr>
        <w:pStyle w:val="23"/>
        <w:jc w:val="center"/>
        <w:rPr>
          <w:rFonts w:hint="eastAsia" w:cs="宋体"/>
          <w:b/>
          <w:bCs/>
          <w:w w:val="95"/>
          <w:sz w:val="32"/>
        </w:rPr>
        <w:sectPr>
          <w:type w:val="continuous"/>
          <w:pgSz w:w="11906" w:h="16838"/>
          <w:pgMar w:top="1440" w:right="1080" w:bottom="1440" w:left="1080" w:header="850" w:footer="850" w:gutter="0"/>
          <w:cols w:space="720" w:num="1"/>
          <w:docGrid w:type="lines" w:linePitch="331" w:charSpace="0"/>
        </w:sectPr>
      </w:pPr>
    </w:p>
    <w:sdt>
      <w:sdtPr>
        <w:rPr>
          <w:rFonts w:ascii="宋体" w:hAnsi="宋体" w:eastAsia="宋体" w:cs="Times New Roman"/>
          <w:color w:val="auto"/>
          <w:kern w:val="2"/>
          <w:sz w:val="21"/>
          <w:szCs w:val="24"/>
          <w:lang w:val="zh-CN"/>
        </w:rPr>
        <w:id w:val="-980144260"/>
        <w:docPartObj>
          <w:docPartGallery w:val="Table of Contents"/>
          <w:docPartUnique/>
        </w:docPartObj>
      </w:sdtPr>
      <w:sdtEndPr>
        <w:rPr>
          <w:rFonts w:ascii="宋体" w:hAnsi="宋体" w:eastAsia="宋体" w:cs="Times New Roman"/>
          <w:b/>
          <w:bCs/>
          <w:color w:val="auto"/>
          <w:kern w:val="2"/>
          <w:sz w:val="21"/>
          <w:szCs w:val="24"/>
          <w:lang w:val="zh-CN"/>
        </w:rPr>
      </w:sdtEndPr>
      <w:sdtContent>
        <w:p w14:paraId="56342BA3">
          <w:pPr>
            <w:pStyle w:val="320"/>
            <w:spacing w:before="0" w:line="360" w:lineRule="auto"/>
            <w:jc w:val="center"/>
            <w:rPr>
              <w:rFonts w:hint="eastAsia" w:ascii="宋体" w:hAnsi="宋体" w:eastAsia="宋体"/>
              <w:b/>
              <w:bCs/>
              <w:color w:val="auto"/>
              <w:sz w:val="40"/>
              <w:szCs w:val="40"/>
            </w:rPr>
          </w:pPr>
          <w:r>
            <w:rPr>
              <w:rFonts w:ascii="宋体" w:hAnsi="宋体" w:eastAsia="宋体"/>
              <w:b/>
              <w:bCs/>
              <w:color w:val="auto"/>
              <w:sz w:val="40"/>
              <w:szCs w:val="40"/>
              <w:lang w:val="zh-CN"/>
            </w:rPr>
            <w:t>目</w:t>
          </w:r>
          <w:r>
            <w:rPr>
              <w:rFonts w:hint="eastAsia" w:ascii="宋体" w:hAnsi="宋体" w:eastAsia="宋体"/>
              <w:b/>
              <w:bCs/>
              <w:color w:val="auto"/>
              <w:sz w:val="40"/>
              <w:szCs w:val="40"/>
              <w:lang w:val="zh-CN"/>
            </w:rPr>
            <w:t xml:space="preserve"> </w:t>
          </w:r>
          <w:r>
            <w:rPr>
              <w:rFonts w:ascii="宋体" w:hAnsi="宋体" w:eastAsia="宋体"/>
              <w:b/>
              <w:bCs/>
              <w:color w:val="auto"/>
              <w:sz w:val="40"/>
              <w:szCs w:val="40"/>
              <w:lang w:val="zh-CN"/>
            </w:rPr>
            <w:t xml:space="preserve"> 录</w:t>
          </w:r>
          <w:bookmarkStart w:id="593" w:name="_GoBack"/>
          <w:bookmarkEnd w:id="593"/>
        </w:p>
        <w:p w14:paraId="3D91763E">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sz w:val="21"/>
              <w:szCs w:val="21"/>
            </w:rPr>
            <w:fldChar w:fldCharType="begin"/>
          </w:r>
          <w:r>
            <w:rPr>
              <w:sz w:val="21"/>
              <w:szCs w:val="21"/>
            </w:rPr>
            <w:instrText xml:space="preserve"> TOC \o "1-3" \h \z \u </w:instrText>
          </w:r>
          <w:r>
            <w:rPr>
              <w:sz w:val="21"/>
              <w:szCs w:val="21"/>
            </w:rPr>
            <w:fldChar w:fldCharType="separate"/>
          </w:r>
          <w:r>
            <w:rPr>
              <w:szCs w:val="21"/>
            </w:rPr>
            <w:fldChar w:fldCharType="begin"/>
          </w:r>
          <w:r>
            <w:rPr>
              <w:szCs w:val="21"/>
            </w:rPr>
            <w:instrText xml:space="preserve"> HYPERLINK \l _Toc475 </w:instrText>
          </w:r>
          <w:r>
            <w:rPr>
              <w:szCs w:val="21"/>
            </w:rPr>
            <w:fldChar w:fldCharType="separate"/>
          </w:r>
          <w:r>
            <w:rPr>
              <w:rFonts w:hint="eastAsia" w:eastAsia="宋体" w:cs="宋体"/>
              <w:bCs/>
            </w:rPr>
            <w:t>第一章</w:t>
          </w:r>
          <w:r>
            <w:rPr>
              <w:rFonts w:eastAsia="宋体" w:cs="宋体"/>
              <w:bCs/>
            </w:rPr>
            <w:t xml:space="preserve"> </w:t>
          </w:r>
          <w:r>
            <w:rPr>
              <w:rFonts w:hint="eastAsia" w:eastAsia="宋体" w:cs="宋体"/>
              <w:bCs/>
            </w:rPr>
            <w:t>招标公告</w:t>
          </w:r>
          <w:r>
            <w:tab/>
          </w:r>
          <w:r>
            <w:fldChar w:fldCharType="begin"/>
          </w:r>
          <w:r>
            <w:instrText xml:space="preserve"> PAGEREF _Toc475 \h </w:instrText>
          </w:r>
          <w:r>
            <w:fldChar w:fldCharType="separate"/>
          </w:r>
          <w:r>
            <w:t>1</w:t>
          </w:r>
          <w:r>
            <w:fldChar w:fldCharType="end"/>
          </w:r>
          <w:r>
            <w:rPr>
              <w:szCs w:val="21"/>
            </w:rPr>
            <w:fldChar w:fldCharType="end"/>
          </w:r>
        </w:p>
        <w:p w14:paraId="5D91B114">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_Toc10683 </w:instrText>
          </w:r>
          <w:r>
            <w:rPr>
              <w:bCs/>
              <w:szCs w:val="21"/>
              <w:lang w:val="zh-CN"/>
            </w:rPr>
            <w:fldChar w:fldCharType="separate"/>
          </w:r>
          <w:r>
            <w:rPr>
              <w:rFonts w:hint="eastAsia" w:eastAsia="宋体" w:cs="宋体"/>
              <w:szCs w:val="21"/>
            </w:rPr>
            <w:t>一、项目基本情况</w:t>
          </w:r>
          <w:r>
            <w:tab/>
          </w:r>
          <w:r>
            <w:fldChar w:fldCharType="begin"/>
          </w:r>
          <w:r>
            <w:instrText xml:space="preserve"> PAGEREF _Toc10683 \h </w:instrText>
          </w:r>
          <w:r>
            <w:fldChar w:fldCharType="separate"/>
          </w:r>
          <w:r>
            <w:t>1</w:t>
          </w:r>
          <w:r>
            <w:fldChar w:fldCharType="end"/>
          </w:r>
          <w:r>
            <w:rPr>
              <w:bCs/>
              <w:szCs w:val="21"/>
              <w:lang w:val="zh-CN"/>
            </w:rPr>
            <w:fldChar w:fldCharType="end"/>
          </w:r>
        </w:p>
        <w:p w14:paraId="7115732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_Toc26685 </w:instrText>
          </w:r>
          <w:r>
            <w:rPr>
              <w:bCs/>
              <w:szCs w:val="21"/>
              <w:lang w:val="zh-CN"/>
            </w:rPr>
            <w:fldChar w:fldCharType="separate"/>
          </w:r>
          <w:r>
            <w:rPr>
              <w:rFonts w:hint="eastAsia" w:eastAsia="宋体" w:cs="宋体"/>
              <w:szCs w:val="21"/>
            </w:rPr>
            <w:t>★二、投标人的资格要求：</w:t>
          </w:r>
          <w:r>
            <w:tab/>
          </w:r>
          <w:r>
            <w:fldChar w:fldCharType="begin"/>
          </w:r>
          <w:r>
            <w:instrText xml:space="preserve"> PAGEREF _Toc26685 \h </w:instrText>
          </w:r>
          <w:r>
            <w:fldChar w:fldCharType="separate"/>
          </w:r>
          <w:r>
            <w:t>2</w:t>
          </w:r>
          <w:r>
            <w:fldChar w:fldCharType="end"/>
          </w:r>
          <w:r>
            <w:rPr>
              <w:bCs/>
              <w:szCs w:val="21"/>
              <w:lang w:val="zh-CN"/>
            </w:rPr>
            <w:fldChar w:fldCharType="end"/>
          </w:r>
        </w:p>
        <w:p w14:paraId="3BE7B23B">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_Toc25410 </w:instrText>
          </w:r>
          <w:r>
            <w:rPr>
              <w:bCs/>
              <w:szCs w:val="21"/>
              <w:lang w:val="zh-CN"/>
            </w:rPr>
            <w:fldChar w:fldCharType="separate"/>
          </w:r>
          <w:r>
            <w:rPr>
              <w:rFonts w:hint="eastAsia" w:eastAsia="宋体" w:cs="宋体"/>
              <w:szCs w:val="21"/>
            </w:rPr>
            <w:t>三、获取招标文件</w:t>
          </w:r>
          <w:r>
            <w:tab/>
          </w:r>
          <w:r>
            <w:fldChar w:fldCharType="begin"/>
          </w:r>
          <w:r>
            <w:instrText xml:space="preserve"> PAGEREF _Toc25410 \h </w:instrText>
          </w:r>
          <w:r>
            <w:fldChar w:fldCharType="separate"/>
          </w:r>
          <w:r>
            <w:t>3</w:t>
          </w:r>
          <w:r>
            <w:fldChar w:fldCharType="end"/>
          </w:r>
          <w:r>
            <w:rPr>
              <w:bCs/>
              <w:szCs w:val="21"/>
              <w:lang w:val="zh-CN"/>
            </w:rPr>
            <w:fldChar w:fldCharType="end"/>
          </w:r>
        </w:p>
        <w:p w14:paraId="6931213B">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_Toc961 </w:instrText>
          </w:r>
          <w:r>
            <w:rPr>
              <w:bCs/>
              <w:szCs w:val="21"/>
              <w:lang w:val="zh-CN"/>
            </w:rPr>
            <w:fldChar w:fldCharType="separate"/>
          </w:r>
          <w:r>
            <w:rPr>
              <w:rFonts w:hint="eastAsia" w:eastAsia="宋体" w:cs="宋体"/>
              <w:szCs w:val="21"/>
            </w:rPr>
            <w:t>四、投标文件提交</w:t>
          </w:r>
          <w:r>
            <w:tab/>
          </w:r>
          <w:r>
            <w:fldChar w:fldCharType="begin"/>
          </w:r>
          <w:r>
            <w:instrText xml:space="preserve"> PAGEREF _Toc961 \h </w:instrText>
          </w:r>
          <w:r>
            <w:fldChar w:fldCharType="separate"/>
          </w:r>
          <w:r>
            <w:t>4</w:t>
          </w:r>
          <w:r>
            <w:fldChar w:fldCharType="end"/>
          </w:r>
          <w:r>
            <w:rPr>
              <w:bCs/>
              <w:szCs w:val="21"/>
              <w:lang w:val="zh-CN"/>
            </w:rPr>
            <w:fldChar w:fldCharType="end"/>
          </w:r>
        </w:p>
        <w:p w14:paraId="6C5EB8D4">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_Toc3597 </w:instrText>
          </w:r>
          <w:r>
            <w:rPr>
              <w:bCs/>
              <w:szCs w:val="21"/>
              <w:lang w:val="zh-CN"/>
            </w:rPr>
            <w:fldChar w:fldCharType="separate"/>
          </w:r>
          <w:r>
            <w:rPr>
              <w:rFonts w:hint="eastAsia" w:eastAsia="宋体" w:cs="宋体"/>
              <w:szCs w:val="21"/>
            </w:rPr>
            <w:t>五、公告期限</w:t>
          </w:r>
          <w:r>
            <w:tab/>
          </w:r>
          <w:r>
            <w:fldChar w:fldCharType="begin"/>
          </w:r>
          <w:r>
            <w:instrText xml:space="preserve"> PAGEREF _Toc3597 \h </w:instrText>
          </w:r>
          <w:r>
            <w:fldChar w:fldCharType="separate"/>
          </w:r>
          <w:r>
            <w:t>4</w:t>
          </w:r>
          <w:r>
            <w:fldChar w:fldCharType="end"/>
          </w:r>
          <w:r>
            <w:rPr>
              <w:bCs/>
              <w:szCs w:val="21"/>
              <w:lang w:val="zh-CN"/>
            </w:rPr>
            <w:fldChar w:fldCharType="end"/>
          </w:r>
        </w:p>
        <w:p w14:paraId="4D39F9FE">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_Toc2689 </w:instrText>
          </w:r>
          <w:r>
            <w:rPr>
              <w:bCs/>
              <w:szCs w:val="21"/>
              <w:lang w:val="zh-CN"/>
            </w:rPr>
            <w:fldChar w:fldCharType="separate"/>
          </w:r>
          <w:r>
            <w:rPr>
              <w:rFonts w:hint="eastAsia" w:eastAsia="宋体" w:cs="宋体"/>
              <w:szCs w:val="21"/>
            </w:rPr>
            <w:t>六、其他补充事宜</w:t>
          </w:r>
          <w:r>
            <w:tab/>
          </w:r>
          <w:r>
            <w:fldChar w:fldCharType="begin"/>
          </w:r>
          <w:r>
            <w:instrText xml:space="preserve"> PAGEREF _Toc2689 \h </w:instrText>
          </w:r>
          <w:r>
            <w:fldChar w:fldCharType="separate"/>
          </w:r>
          <w:r>
            <w:t>4</w:t>
          </w:r>
          <w:r>
            <w:fldChar w:fldCharType="end"/>
          </w:r>
          <w:r>
            <w:rPr>
              <w:bCs/>
              <w:szCs w:val="21"/>
              <w:lang w:val="zh-CN"/>
            </w:rPr>
            <w:fldChar w:fldCharType="end"/>
          </w:r>
        </w:p>
        <w:p w14:paraId="7B2247E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_Toc26381 </w:instrText>
          </w:r>
          <w:r>
            <w:rPr>
              <w:bCs/>
              <w:szCs w:val="21"/>
              <w:lang w:val="zh-CN"/>
            </w:rPr>
            <w:fldChar w:fldCharType="separate"/>
          </w:r>
          <w:r>
            <w:rPr>
              <w:rFonts w:hint="eastAsia" w:eastAsia="宋体" w:cs="宋体"/>
              <w:szCs w:val="21"/>
            </w:rPr>
            <w:t>七、对本次招标提出询问，请按以下方式联系。</w:t>
          </w:r>
          <w:r>
            <w:tab/>
          </w:r>
          <w:r>
            <w:fldChar w:fldCharType="begin"/>
          </w:r>
          <w:r>
            <w:instrText xml:space="preserve"> PAGEREF _Toc26381 \h </w:instrText>
          </w:r>
          <w:r>
            <w:fldChar w:fldCharType="separate"/>
          </w:r>
          <w:r>
            <w:t>6</w:t>
          </w:r>
          <w:r>
            <w:fldChar w:fldCharType="end"/>
          </w:r>
          <w:r>
            <w:rPr>
              <w:bCs/>
              <w:szCs w:val="21"/>
              <w:lang w:val="zh-CN"/>
            </w:rPr>
            <w:fldChar w:fldCharType="end"/>
          </w:r>
        </w:p>
        <w:p w14:paraId="6C59F4B7">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_Toc12259 </w:instrText>
          </w:r>
          <w:r>
            <w:rPr>
              <w:bCs/>
              <w:szCs w:val="21"/>
              <w:lang w:val="zh-CN"/>
            </w:rPr>
            <w:fldChar w:fldCharType="separate"/>
          </w:r>
          <w:r>
            <w:rPr>
              <w:rFonts w:hint="eastAsia" w:cs="宋体"/>
              <w:bCs/>
              <w:szCs w:val="20"/>
            </w:rPr>
            <w:t>附件：采购公告附件</w:t>
          </w:r>
          <w:r>
            <w:tab/>
          </w:r>
          <w:r>
            <w:fldChar w:fldCharType="begin"/>
          </w:r>
          <w:r>
            <w:instrText xml:space="preserve"> PAGEREF _Toc12259 \h </w:instrText>
          </w:r>
          <w:r>
            <w:fldChar w:fldCharType="separate"/>
          </w:r>
          <w:r>
            <w:t>8</w:t>
          </w:r>
          <w:r>
            <w:fldChar w:fldCharType="end"/>
          </w:r>
          <w:r>
            <w:rPr>
              <w:bCs/>
              <w:szCs w:val="21"/>
              <w:lang w:val="zh-CN"/>
            </w:rPr>
            <w:fldChar w:fldCharType="end"/>
          </w:r>
        </w:p>
        <w:p w14:paraId="5F9E45CC">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_Toc32097 </w:instrText>
          </w:r>
          <w:r>
            <w:rPr>
              <w:bCs/>
              <w:szCs w:val="21"/>
              <w:lang w:val="zh-CN"/>
            </w:rPr>
            <w:fldChar w:fldCharType="separate"/>
          </w:r>
          <w:r>
            <w:rPr>
              <w:rFonts w:hint="eastAsia" w:eastAsia="宋体" w:cs="宋体"/>
              <w:bCs/>
            </w:rPr>
            <w:t>第二章 投标人须知</w:t>
          </w:r>
          <w:r>
            <w:tab/>
          </w:r>
          <w:r>
            <w:fldChar w:fldCharType="begin"/>
          </w:r>
          <w:r>
            <w:instrText xml:space="preserve"> PAGEREF _Toc32097 \h </w:instrText>
          </w:r>
          <w:r>
            <w:fldChar w:fldCharType="separate"/>
          </w:r>
          <w:r>
            <w:t>10</w:t>
          </w:r>
          <w:r>
            <w:fldChar w:fldCharType="end"/>
          </w:r>
          <w:r>
            <w:rPr>
              <w:bCs/>
              <w:szCs w:val="21"/>
              <w:lang w:val="zh-CN"/>
            </w:rPr>
            <w:fldChar w:fldCharType="end"/>
          </w:r>
        </w:p>
        <w:p w14:paraId="69B43AC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_Toc4756 </w:instrText>
          </w:r>
          <w:r>
            <w:rPr>
              <w:bCs/>
              <w:szCs w:val="21"/>
              <w:lang w:val="zh-CN"/>
            </w:rPr>
            <w:fldChar w:fldCharType="separate"/>
          </w:r>
          <w:r>
            <w:rPr>
              <w:rFonts w:hint="eastAsia" w:eastAsia="宋体" w:cs="宋体"/>
              <w:szCs w:val="28"/>
            </w:rPr>
            <w:t>投标人须知前附表</w:t>
          </w:r>
          <w:r>
            <w:tab/>
          </w:r>
          <w:r>
            <w:fldChar w:fldCharType="begin"/>
          </w:r>
          <w:r>
            <w:instrText xml:space="preserve"> PAGEREF _Toc4756 \h </w:instrText>
          </w:r>
          <w:r>
            <w:fldChar w:fldCharType="separate"/>
          </w:r>
          <w:r>
            <w:t>10</w:t>
          </w:r>
          <w:r>
            <w:fldChar w:fldCharType="end"/>
          </w:r>
          <w:r>
            <w:rPr>
              <w:bCs/>
              <w:szCs w:val="21"/>
              <w:lang w:val="zh-CN"/>
            </w:rPr>
            <w:fldChar w:fldCharType="end"/>
          </w:r>
        </w:p>
        <w:p w14:paraId="688AA85B">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_Toc14568 </w:instrText>
          </w:r>
          <w:r>
            <w:rPr>
              <w:bCs/>
              <w:szCs w:val="21"/>
              <w:lang w:val="zh-CN"/>
            </w:rPr>
            <w:fldChar w:fldCharType="separate"/>
          </w:r>
          <w:r>
            <w:rPr>
              <w:rFonts w:hint="eastAsia" w:eastAsia="宋体" w:cs="宋体"/>
              <w:szCs w:val="28"/>
            </w:rPr>
            <w:t>一、总  则</w:t>
          </w:r>
          <w:r>
            <w:tab/>
          </w:r>
          <w:r>
            <w:fldChar w:fldCharType="begin"/>
          </w:r>
          <w:r>
            <w:instrText xml:space="preserve"> PAGEREF _Toc14568 \h </w:instrText>
          </w:r>
          <w:r>
            <w:fldChar w:fldCharType="separate"/>
          </w:r>
          <w:r>
            <w:t>17</w:t>
          </w:r>
          <w:r>
            <w:fldChar w:fldCharType="end"/>
          </w:r>
          <w:r>
            <w:rPr>
              <w:bCs/>
              <w:szCs w:val="21"/>
              <w:lang w:val="zh-CN"/>
            </w:rPr>
            <w:fldChar w:fldCharType="end"/>
          </w:r>
        </w:p>
        <w:p w14:paraId="7D31497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_Toc14159 </w:instrText>
          </w:r>
          <w:r>
            <w:rPr>
              <w:bCs/>
              <w:szCs w:val="21"/>
              <w:lang w:val="zh-CN"/>
            </w:rPr>
            <w:fldChar w:fldCharType="separate"/>
          </w:r>
          <w:r>
            <w:rPr>
              <w:rFonts w:hint="eastAsia" w:eastAsia="宋体" w:cs="宋体"/>
              <w:szCs w:val="28"/>
            </w:rPr>
            <w:t>二、招标文件</w:t>
          </w:r>
          <w:r>
            <w:tab/>
          </w:r>
          <w:r>
            <w:fldChar w:fldCharType="begin"/>
          </w:r>
          <w:r>
            <w:instrText xml:space="preserve"> PAGEREF _Toc14159 \h </w:instrText>
          </w:r>
          <w:r>
            <w:fldChar w:fldCharType="separate"/>
          </w:r>
          <w:r>
            <w:t>20</w:t>
          </w:r>
          <w:r>
            <w:fldChar w:fldCharType="end"/>
          </w:r>
          <w:r>
            <w:rPr>
              <w:bCs/>
              <w:szCs w:val="21"/>
              <w:lang w:val="zh-CN"/>
            </w:rPr>
            <w:fldChar w:fldCharType="end"/>
          </w:r>
        </w:p>
        <w:p w14:paraId="70ECDC6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_Toc15969 </w:instrText>
          </w:r>
          <w:r>
            <w:rPr>
              <w:bCs/>
              <w:szCs w:val="21"/>
              <w:lang w:val="zh-CN"/>
            </w:rPr>
            <w:fldChar w:fldCharType="separate"/>
          </w:r>
          <w:r>
            <w:rPr>
              <w:rFonts w:hint="eastAsia" w:eastAsia="宋体" w:cs="宋体"/>
              <w:szCs w:val="28"/>
            </w:rPr>
            <w:t>三、投标文件</w:t>
          </w:r>
          <w:r>
            <w:tab/>
          </w:r>
          <w:r>
            <w:fldChar w:fldCharType="begin"/>
          </w:r>
          <w:r>
            <w:instrText xml:space="preserve"> PAGEREF _Toc15969 \h </w:instrText>
          </w:r>
          <w:r>
            <w:fldChar w:fldCharType="separate"/>
          </w:r>
          <w:r>
            <w:t>21</w:t>
          </w:r>
          <w:r>
            <w:fldChar w:fldCharType="end"/>
          </w:r>
          <w:r>
            <w:rPr>
              <w:bCs/>
              <w:szCs w:val="21"/>
              <w:lang w:val="zh-CN"/>
            </w:rPr>
            <w:fldChar w:fldCharType="end"/>
          </w:r>
        </w:p>
        <w:p w14:paraId="4B574D1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_Toc24325 </w:instrText>
          </w:r>
          <w:r>
            <w:rPr>
              <w:bCs/>
              <w:szCs w:val="21"/>
              <w:lang w:val="zh-CN"/>
            </w:rPr>
            <w:fldChar w:fldCharType="separate"/>
          </w:r>
          <w:r>
            <w:rPr>
              <w:rFonts w:hint="eastAsia" w:eastAsia="宋体" w:cs="宋体"/>
              <w:szCs w:val="28"/>
            </w:rPr>
            <w:t>四、投标文件的提交</w:t>
          </w:r>
          <w:r>
            <w:tab/>
          </w:r>
          <w:r>
            <w:fldChar w:fldCharType="begin"/>
          </w:r>
          <w:r>
            <w:instrText xml:space="preserve"> PAGEREF _Toc24325 \h </w:instrText>
          </w:r>
          <w:r>
            <w:fldChar w:fldCharType="separate"/>
          </w:r>
          <w:r>
            <w:t>24</w:t>
          </w:r>
          <w:r>
            <w:fldChar w:fldCharType="end"/>
          </w:r>
          <w:r>
            <w:rPr>
              <w:bCs/>
              <w:szCs w:val="21"/>
              <w:lang w:val="zh-CN"/>
            </w:rPr>
            <w:fldChar w:fldCharType="end"/>
          </w:r>
        </w:p>
        <w:p w14:paraId="42FEFD0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_Toc25979 </w:instrText>
          </w:r>
          <w:r>
            <w:rPr>
              <w:bCs/>
              <w:szCs w:val="21"/>
              <w:lang w:val="zh-CN"/>
            </w:rPr>
            <w:fldChar w:fldCharType="separate"/>
          </w:r>
          <w:r>
            <w:rPr>
              <w:rFonts w:hint="eastAsia" w:eastAsia="宋体" w:cs="宋体"/>
              <w:szCs w:val="28"/>
            </w:rPr>
            <w:t>五、开标与评标</w:t>
          </w:r>
          <w:r>
            <w:tab/>
          </w:r>
          <w:r>
            <w:fldChar w:fldCharType="begin"/>
          </w:r>
          <w:r>
            <w:instrText xml:space="preserve"> PAGEREF _Toc25979 \h </w:instrText>
          </w:r>
          <w:r>
            <w:fldChar w:fldCharType="separate"/>
          </w:r>
          <w:r>
            <w:t>25</w:t>
          </w:r>
          <w:r>
            <w:fldChar w:fldCharType="end"/>
          </w:r>
          <w:r>
            <w:rPr>
              <w:bCs/>
              <w:szCs w:val="21"/>
              <w:lang w:val="zh-CN"/>
            </w:rPr>
            <w:fldChar w:fldCharType="end"/>
          </w:r>
        </w:p>
        <w:p w14:paraId="2B0A962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_Toc15137 </w:instrText>
          </w:r>
          <w:r>
            <w:rPr>
              <w:bCs/>
              <w:szCs w:val="21"/>
              <w:lang w:val="zh-CN"/>
            </w:rPr>
            <w:fldChar w:fldCharType="separate"/>
          </w:r>
          <w:r>
            <w:rPr>
              <w:rFonts w:hint="eastAsia" w:eastAsia="宋体" w:cs="宋体"/>
              <w:szCs w:val="28"/>
            </w:rPr>
            <w:t>六、中标结果</w:t>
          </w:r>
          <w:r>
            <w:tab/>
          </w:r>
          <w:r>
            <w:fldChar w:fldCharType="begin"/>
          </w:r>
          <w:r>
            <w:instrText xml:space="preserve"> PAGEREF _Toc15137 \h </w:instrText>
          </w:r>
          <w:r>
            <w:fldChar w:fldCharType="separate"/>
          </w:r>
          <w:r>
            <w:t>27</w:t>
          </w:r>
          <w:r>
            <w:fldChar w:fldCharType="end"/>
          </w:r>
          <w:r>
            <w:rPr>
              <w:bCs/>
              <w:szCs w:val="21"/>
              <w:lang w:val="zh-CN"/>
            </w:rPr>
            <w:fldChar w:fldCharType="end"/>
          </w:r>
        </w:p>
        <w:p w14:paraId="393A459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_Toc22666 </w:instrText>
          </w:r>
          <w:r>
            <w:rPr>
              <w:bCs/>
              <w:szCs w:val="21"/>
              <w:lang w:val="zh-CN"/>
            </w:rPr>
            <w:fldChar w:fldCharType="separate"/>
          </w:r>
          <w:r>
            <w:rPr>
              <w:rFonts w:hint="eastAsia" w:eastAsia="宋体" w:cs="宋体"/>
              <w:szCs w:val="28"/>
            </w:rPr>
            <w:t>七、其他事项</w:t>
          </w:r>
          <w:r>
            <w:tab/>
          </w:r>
          <w:r>
            <w:fldChar w:fldCharType="begin"/>
          </w:r>
          <w:r>
            <w:instrText xml:space="preserve"> PAGEREF _Toc22666 \h </w:instrText>
          </w:r>
          <w:r>
            <w:fldChar w:fldCharType="separate"/>
          </w:r>
          <w:r>
            <w:t>28</w:t>
          </w:r>
          <w:r>
            <w:fldChar w:fldCharType="end"/>
          </w:r>
          <w:r>
            <w:rPr>
              <w:bCs/>
              <w:szCs w:val="21"/>
              <w:lang w:val="zh-CN"/>
            </w:rPr>
            <w:fldChar w:fldCharType="end"/>
          </w:r>
        </w:p>
        <w:p w14:paraId="1E53A739">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_Toc22772 </w:instrText>
          </w:r>
          <w:r>
            <w:rPr>
              <w:bCs/>
              <w:szCs w:val="21"/>
              <w:lang w:val="zh-CN"/>
            </w:rPr>
            <w:fldChar w:fldCharType="separate"/>
          </w:r>
          <w:r>
            <w:rPr>
              <w:rFonts w:hint="eastAsia" w:cs="宋体"/>
              <w:bCs/>
              <w:kern w:val="44"/>
              <w:szCs w:val="20"/>
            </w:rPr>
            <w:t>第三章 合同书样式及主要条款</w:t>
          </w:r>
          <w:r>
            <w:tab/>
          </w:r>
          <w:r>
            <w:fldChar w:fldCharType="begin"/>
          </w:r>
          <w:r>
            <w:instrText xml:space="preserve"> PAGEREF _Toc22772 \h </w:instrText>
          </w:r>
          <w:r>
            <w:fldChar w:fldCharType="separate"/>
          </w:r>
          <w:r>
            <w:t>30</w:t>
          </w:r>
          <w:r>
            <w:fldChar w:fldCharType="end"/>
          </w:r>
          <w:r>
            <w:rPr>
              <w:bCs/>
              <w:szCs w:val="21"/>
              <w:lang w:val="zh-CN"/>
            </w:rPr>
            <w:fldChar w:fldCharType="end"/>
          </w:r>
        </w:p>
        <w:p w14:paraId="78CB877E">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_Toc13768 </w:instrText>
          </w:r>
          <w:r>
            <w:rPr>
              <w:bCs/>
              <w:szCs w:val="21"/>
              <w:lang w:val="zh-CN"/>
            </w:rPr>
            <w:fldChar w:fldCharType="separate"/>
          </w:r>
          <w:r>
            <w:rPr>
              <w:rFonts w:hint="eastAsia" w:cs="宋体"/>
              <w:bCs/>
            </w:rPr>
            <w:t>第四章  投标文件格式</w:t>
          </w:r>
          <w:r>
            <w:tab/>
          </w:r>
          <w:r>
            <w:fldChar w:fldCharType="begin"/>
          </w:r>
          <w:r>
            <w:instrText xml:space="preserve"> PAGEREF _Toc13768 \h </w:instrText>
          </w:r>
          <w:r>
            <w:fldChar w:fldCharType="separate"/>
          </w:r>
          <w:r>
            <w:t>51</w:t>
          </w:r>
          <w:r>
            <w:fldChar w:fldCharType="end"/>
          </w:r>
          <w:r>
            <w:rPr>
              <w:bCs/>
              <w:szCs w:val="21"/>
              <w:lang w:val="zh-CN"/>
            </w:rPr>
            <w:fldChar w:fldCharType="end"/>
          </w:r>
        </w:p>
        <w:p w14:paraId="40C4B0B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_Toc27318 </w:instrText>
          </w:r>
          <w:r>
            <w:rPr>
              <w:bCs/>
              <w:szCs w:val="21"/>
              <w:lang w:val="zh-CN"/>
            </w:rPr>
            <w:fldChar w:fldCharType="separate"/>
          </w:r>
          <w:r>
            <w:rPr>
              <w:rFonts w:hint="eastAsia" w:cs="宋体"/>
              <w:bCs/>
              <w:szCs w:val="21"/>
            </w:rPr>
            <w:t>一、5标段开标一览表</w:t>
          </w:r>
          <w:r>
            <w:tab/>
          </w:r>
          <w:r>
            <w:fldChar w:fldCharType="begin"/>
          </w:r>
          <w:r>
            <w:instrText xml:space="preserve"> PAGEREF _Toc27318 \h </w:instrText>
          </w:r>
          <w:r>
            <w:fldChar w:fldCharType="separate"/>
          </w:r>
          <w:r>
            <w:t>52</w:t>
          </w:r>
          <w:r>
            <w:fldChar w:fldCharType="end"/>
          </w:r>
          <w:r>
            <w:rPr>
              <w:bCs/>
              <w:szCs w:val="21"/>
              <w:lang w:val="zh-CN"/>
            </w:rPr>
            <w:fldChar w:fldCharType="end"/>
          </w:r>
        </w:p>
        <w:p w14:paraId="49F0DCE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_Toc6513 </w:instrText>
          </w:r>
          <w:r>
            <w:rPr>
              <w:bCs/>
              <w:szCs w:val="21"/>
              <w:lang w:val="zh-CN"/>
            </w:rPr>
            <w:fldChar w:fldCharType="separate"/>
          </w:r>
          <w:r>
            <w:rPr>
              <w:rFonts w:hint="eastAsia" w:cs="宋体"/>
              <w:bCs/>
              <w:szCs w:val="21"/>
            </w:rPr>
            <w:t>二、资格证明文件</w:t>
          </w:r>
          <w:r>
            <w:tab/>
          </w:r>
          <w:r>
            <w:fldChar w:fldCharType="begin"/>
          </w:r>
          <w:r>
            <w:instrText xml:space="preserve"> PAGEREF _Toc6513 \h </w:instrText>
          </w:r>
          <w:r>
            <w:fldChar w:fldCharType="separate"/>
          </w:r>
          <w:r>
            <w:t>53</w:t>
          </w:r>
          <w:r>
            <w:fldChar w:fldCharType="end"/>
          </w:r>
          <w:r>
            <w:rPr>
              <w:bCs/>
              <w:szCs w:val="21"/>
              <w:lang w:val="zh-CN"/>
            </w:rPr>
            <w:fldChar w:fldCharType="end"/>
          </w:r>
        </w:p>
        <w:p w14:paraId="7DAC8CD4">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_Toc26901 </w:instrText>
          </w:r>
          <w:r>
            <w:rPr>
              <w:bCs/>
              <w:szCs w:val="21"/>
              <w:lang w:val="zh-CN"/>
            </w:rPr>
            <w:fldChar w:fldCharType="separate"/>
          </w:r>
          <w:r>
            <w:rPr>
              <w:rFonts w:hint="eastAsia" w:cs="宋体"/>
              <w:bCs/>
              <w:szCs w:val="21"/>
            </w:rPr>
            <w:t>三、商务部分</w:t>
          </w:r>
          <w:r>
            <w:tab/>
          </w:r>
          <w:r>
            <w:fldChar w:fldCharType="begin"/>
          </w:r>
          <w:r>
            <w:instrText xml:space="preserve"> PAGEREF _Toc26901 \h </w:instrText>
          </w:r>
          <w:r>
            <w:fldChar w:fldCharType="separate"/>
          </w:r>
          <w:r>
            <w:t>68</w:t>
          </w:r>
          <w:r>
            <w:fldChar w:fldCharType="end"/>
          </w:r>
          <w:r>
            <w:rPr>
              <w:bCs/>
              <w:szCs w:val="21"/>
              <w:lang w:val="zh-CN"/>
            </w:rPr>
            <w:fldChar w:fldCharType="end"/>
          </w:r>
        </w:p>
        <w:p w14:paraId="42819D33">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_Toc5764 </w:instrText>
          </w:r>
          <w:r>
            <w:rPr>
              <w:bCs/>
              <w:szCs w:val="21"/>
              <w:lang w:val="zh-CN"/>
            </w:rPr>
            <w:fldChar w:fldCharType="separate"/>
          </w:r>
          <w:r>
            <w:rPr>
              <w:rFonts w:hint="eastAsia" w:cs="宋体"/>
              <w:bCs/>
              <w:szCs w:val="21"/>
            </w:rPr>
            <w:t>四、技术部分</w:t>
          </w:r>
          <w:r>
            <w:tab/>
          </w:r>
          <w:r>
            <w:fldChar w:fldCharType="begin"/>
          </w:r>
          <w:r>
            <w:instrText xml:space="preserve"> PAGEREF _Toc5764 \h </w:instrText>
          </w:r>
          <w:r>
            <w:fldChar w:fldCharType="separate"/>
          </w:r>
          <w:r>
            <w:t>88</w:t>
          </w:r>
          <w:r>
            <w:fldChar w:fldCharType="end"/>
          </w:r>
          <w:r>
            <w:rPr>
              <w:bCs/>
              <w:szCs w:val="21"/>
              <w:lang w:val="zh-CN"/>
            </w:rPr>
            <w:fldChar w:fldCharType="end"/>
          </w:r>
        </w:p>
        <w:p w14:paraId="209DDFC3">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_Toc24062 </w:instrText>
          </w:r>
          <w:r>
            <w:rPr>
              <w:bCs/>
              <w:szCs w:val="21"/>
              <w:lang w:val="zh-CN"/>
            </w:rPr>
            <w:fldChar w:fldCharType="separate"/>
          </w:r>
          <w:r>
            <w:rPr>
              <w:rFonts w:hint="eastAsia" w:cs="宋体"/>
            </w:rPr>
            <w:t xml:space="preserve">第五章  </w:t>
          </w:r>
          <w:r>
            <w:rPr>
              <w:rFonts w:hint="eastAsia"/>
            </w:rPr>
            <w:t>货物需求及技术要求</w:t>
          </w:r>
          <w:r>
            <w:tab/>
          </w:r>
          <w:r>
            <w:fldChar w:fldCharType="begin"/>
          </w:r>
          <w:r>
            <w:instrText xml:space="preserve"> PAGEREF _Toc24062 \h </w:instrText>
          </w:r>
          <w:r>
            <w:fldChar w:fldCharType="separate"/>
          </w:r>
          <w:r>
            <w:t>93</w:t>
          </w:r>
          <w:r>
            <w:fldChar w:fldCharType="end"/>
          </w:r>
          <w:r>
            <w:rPr>
              <w:bCs/>
              <w:szCs w:val="21"/>
              <w:lang w:val="zh-CN"/>
            </w:rPr>
            <w:fldChar w:fldCharType="end"/>
          </w:r>
        </w:p>
        <w:p w14:paraId="527479E3">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_Toc2398 </w:instrText>
          </w:r>
          <w:r>
            <w:rPr>
              <w:bCs/>
              <w:szCs w:val="21"/>
              <w:lang w:val="zh-CN"/>
            </w:rPr>
            <w:fldChar w:fldCharType="separate"/>
          </w:r>
          <w:r>
            <w:rPr>
              <w:bCs/>
              <w:szCs w:val="28"/>
            </w:rPr>
            <w:t>一、</w:t>
          </w:r>
          <w:r>
            <w:rPr>
              <w:rFonts w:hint="eastAsia"/>
              <w:bCs/>
              <w:szCs w:val="28"/>
            </w:rPr>
            <w:t>5标段</w:t>
          </w:r>
          <w:r>
            <w:rPr>
              <w:bCs/>
              <w:szCs w:val="28"/>
            </w:rPr>
            <w:t>货物需求一览表</w:t>
          </w:r>
          <w:r>
            <w:tab/>
          </w:r>
          <w:r>
            <w:fldChar w:fldCharType="begin"/>
          </w:r>
          <w:r>
            <w:instrText xml:space="preserve"> PAGEREF _Toc2398 \h </w:instrText>
          </w:r>
          <w:r>
            <w:fldChar w:fldCharType="separate"/>
          </w:r>
          <w:r>
            <w:t>93</w:t>
          </w:r>
          <w:r>
            <w:fldChar w:fldCharType="end"/>
          </w:r>
          <w:r>
            <w:rPr>
              <w:bCs/>
              <w:szCs w:val="21"/>
              <w:lang w:val="zh-CN"/>
            </w:rPr>
            <w:fldChar w:fldCharType="end"/>
          </w:r>
        </w:p>
        <w:p w14:paraId="4D687C8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_Toc2114 </w:instrText>
          </w:r>
          <w:r>
            <w:rPr>
              <w:bCs/>
              <w:szCs w:val="21"/>
              <w:lang w:val="zh-CN"/>
            </w:rPr>
            <w:fldChar w:fldCharType="separate"/>
          </w:r>
          <w:r>
            <w:rPr>
              <w:bCs/>
              <w:szCs w:val="28"/>
            </w:rPr>
            <w:t>二、</w:t>
          </w:r>
          <w:r>
            <w:rPr>
              <w:rFonts w:hint="eastAsia"/>
              <w:bCs/>
              <w:szCs w:val="28"/>
            </w:rPr>
            <w:t>5标段</w:t>
          </w:r>
          <w:r>
            <w:rPr>
              <w:bCs/>
              <w:szCs w:val="28"/>
            </w:rPr>
            <w:t>技术</w:t>
          </w:r>
          <w:r>
            <w:rPr>
              <w:rFonts w:hint="eastAsia"/>
              <w:bCs/>
              <w:szCs w:val="28"/>
            </w:rPr>
            <w:t>参数</w:t>
          </w:r>
          <w:r>
            <w:rPr>
              <w:bCs/>
              <w:szCs w:val="28"/>
            </w:rPr>
            <w:t>要求</w:t>
          </w:r>
          <w:r>
            <w:tab/>
          </w:r>
          <w:r>
            <w:fldChar w:fldCharType="begin"/>
          </w:r>
          <w:r>
            <w:instrText xml:space="preserve"> PAGEREF _Toc2114 \h </w:instrText>
          </w:r>
          <w:r>
            <w:fldChar w:fldCharType="separate"/>
          </w:r>
          <w:r>
            <w:t>94</w:t>
          </w:r>
          <w:r>
            <w:fldChar w:fldCharType="end"/>
          </w:r>
          <w:r>
            <w:rPr>
              <w:bCs/>
              <w:szCs w:val="21"/>
              <w:lang w:val="zh-CN"/>
            </w:rPr>
            <w:fldChar w:fldCharType="end"/>
          </w:r>
        </w:p>
        <w:p w14:paraId="661A2A90">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_Toc13627 </w:instrText>
          </w:r>
          <w:r>
            <w:rPr>
              <w:bCs/>
              <w:szCs w:val="21"/>
              <w:lang w:val="zh-CN"/>
            </w:rPr>
            <w:fldChar w:fldCharType="separate"/>
          </w:r>
          <w:r>
            <w:rPr>
              <w:rFonts w:hint="eastAsia"/>
              <w:szCs w:val="28"/>
            </w:rPr>
            <w:t>三、5标段商务要求</w:t>
          </w:r>
          <w:r>
            <w:tab/>
          </w:r>
          <w:r>
            <w:fldChar w:fldCharType="begin"/>
          </w:r>
          <w:r>
            <w:instrText xml:space="preserve"> PAGEREF _Toc13627 \h </w:instrText>
          </w:r>
          <w:r>
            <w:fldChar w:fldCharType="separate"/>
          </w:r>
          <w:r>
            <w:t>99</w:t>
          </w:r>
          <w:r>
            <w:fldChar w:fldCharType="end"/>
          </w:r>
          <w:r>
            <w:rPr>
              <w:bCs/>
              <w:szCs w:val="21"/>
              <w:lang w:val="zh-CN"/>
            </w:rPr>
            <w:fldChar w:fldCharType="end"/>
          </w:r>
        </w:p>
        <w:p w14:paraId="064FA595">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_Toc27472 </w:instrText>
          </w:r>
          <w:r>
            <w:rPr>
              <w:bCs/>
              <w:szCs w:val="21"/>
              <w:lang w:val="zh-CN"/>
            </w:rPr>
            <w:fldChar w:fldCharType="separate"/>
          </w:r>
          <w:r>
            <w:rPr>
              <w:rFonts w:hint="eastAsia" w:eastAsia="宋体" w:cs="宋体"/>
              <w:bCs/>
              <w:szCs w:val="36"/>
            </w:rPr>
            <w:t>第六章  资格评审标准</w:t>
          </w:r>
          <w:r>
            <w:tab/>
          </w:r>
          <w:r>
            <w:fldChar w:fldCharType="begin"/>
          </w:r>
          <w:r>
            <w:instrText xml:space="preserve"> PAGEREF _Toc27472 \h </w:instrText>
          </w:r>
          <w:r>
            <w:fldChar w:fldCharType="separate"/>
          </w:r>
          <w:r>
            <w:t>101</w:t>
          </w:r>
          <w:r>
            <w:fldChar w:fldCharType="end"/>
          </w:r>
          <w:r>
            <w:rPr>
              <w:bCs/>
              <w:szCs w:val="21"/>
              <w:lang w:val="zh-CN"/>
            </w:rPr>
            <w:fldChar w:fldCharType="end"/>
          </w:r>
        </w:p>
        <w:p w14:paraId="2672FC0E">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_Toc9285 </w:instrText>
          </w:r>
          <w:r>
            <w:rPr>
              <w:bCs/>
              <w:szCs w:val="21"/>
              <w:lang w:val="zh-CN"/>
            </w:rPr>
            <w:fldChar w:fldCharType="separate"/>
          </w:r>
          <w:r>
            <w:rPr>
              <w:rFonts w:hint="eastAsia" w:eastAsia="宋体" w:cs="宋体"/>
              <w:bCs/>
            </w:rPr>
            <w:t>第七章  评标办法</w:t>
          </w:r>
          <w:r>
            <w:tab/>
          </w:r>
          <w:r>
            <w:fldChar w:fldCharType="begin"/>
          </w:r>
          <w:r>
            <w:instrText xml:space="preserve"> PAGEREF _Toc9285 \h </w:instrText>
          </w:r>
          <w:r>
            <w:fldChar w:fldCharType="separate"/>
          </w:r>
          <w:r>
            <w:t>104</w:t>
          </w:r>
          <w:r>
            <w:fldChar w:fldCharType="end"/>
          </w:r>
          <w:r>
            <w:rPr>
              <w:bCs/>
              <w:szCs w:val="21"/>
              <w:lang w:val="zh-CN"/>
            </w:rPr>
            <w:fldChar w:fldCharType="end"/>
          </w:r>
        </w:p>
        <w:p w14:paraId="56342BC4">
          <w:pPr>
            <w:tabs>
              <w:tab w:val="right" w:leader="dot" w:pos="9639"/>
            </w:tabs>
            <w:adjustRightInd w:val="0"/>
            <w:snapToGrid w:val="0"/>
            <w:spacing w:line="276" w:lineRule="auto"/>
            <w:rPr>
              <w:rFonts w:hint="eastAsia"/>
            </w:rPr>
          </w:pPr>
          <w:r>
            <w:rPr>
              <w:bCs/>
              <w:szCs w:val="21"/>
              <w:lang w:val="zh-CN"/>
            </w:rPr>
            <w:fldChar w:fldCharType="end"/>
          </w:r>
        </w:p>
      </w:sdtContent>
    </w:sdt>
    <w:p w14:paraId="56342BC5">
      <w:pPr>
        <w:pStyle w:val="35"/>
        <w:spacing w:line="480" w:lineRule="auto"/>
        <w:ind w:firstLine="0" w:firstLineChars="0"/>
        <w:jc w:val="distribute"/>
        <w:rPr>
          <w:rFonts w:hint="eastAsia" w:cs="宋体"/>
          <w:bCs/>
          <w:caps/>
          <w:smallCaps w:val="0"/>
          <w:color w:val="000000"/>
          <w:szCs w:val="24"/>
        </w:rPr>
        <w:sectPr>
          <w:pgSz w:w="11906" w:h="16838"/>
          <w:pgMar w:top="1440" w:right="1080" w:bottom="1440" w:left="1080" w:header="850" w:footer="850" w:gutter="0"/>
          <w:pgNumType w:fmt="upperRoman" w:start="1"/>
          <w:cols w:space="720" w:num="1"/>
          <w:docGrid w:type="lines" w:linePitch="331" w:charSpace="0"/>
        </w:sectPr>
      </w:pPr>
    </w:p>
    <w:p w14:paraId="56342BC6">
      <w:pPr>
        <w:pStyle w:val="35"/>
        <w:spacing w:line="480" w:lineRule="auto"/>
        <w:ind w:firstLine="0" w:firstLineChars="0"/>
        <w:jc w:val="distribute"/>
        <w:rPr>
          <w:rFonts w:hint="eastAsia" w:cs="宋体"/>
          <w:bCs/>
          <w:caps/>
          <w:smallCaps w:val="0"/>
          <w:color w:val="000000"/>
          <w:szCs w:val="24"/>
        </w:rPr>
        <w:sectPr>
          <w:type w:val="continuous"/>
          <w:pgSz w:w="11906" w:h="16838"/>
          <w:pgMar w:top="1440" w:right="1080" w:bottom="1440" w:left="1080" w:header="850" w:footer="850" w:gutter="0"/>
          <w:cols w:space="720" w:num="1"/>
          <w:docGrid w:type="lines" w:linePitch="331" w:charSpace="0"/>
        </w:sectPr>
      </w:pPr>
    </w:p>
    <w:p w14:paraId="56342BC7">
      <w:pPr>
        <w:pStyle w:val="3"/>
        <w:numPr>
          <w:ilvl w:val="0"/>
          <w:numId w:val="0"/>
        </w:numPr>
        <w:ind w:left="284" w:hanging="284"/>
        <w:jc w:val="center"/>
        <w:rPr>
          <w:rFonts w:hint="eastAsia" w:eastAsia="宋体" w:cs="宋体"/>
          <w:bCs/>
          <w:sz w:val="36"/>
        </w:rPr>
      </w:pPr>
      <w:bookmarkStart w:id="2" w:name="_Toc27108"/>
      <w:bookmarkStart w:id="3" w:name="_Toc11131"/>
      <w:bookmarkStart w:id="4" w:name="_Toc475"/>
      <w:r>
        <w:rPr>
          <w:rFonts w:hint="eastAsia" w:eastAsia="宋体" w:cs="宋体"/>
          <w:bCs/>
          <w:sz w:val="36"/>
        </w:rPr>
        <w:t>第一章</w:t>
      </w:r>
      <w:r>
        <w:rPr>
          <w:rFonts w:eastAsia="宋体" w:cs="宋体"/>
          <w:bCs/>
          <w:sz w:val="36"/>
        </w:rPr>
        <w:t xml:space="preserve"> </w:t>
      </w:r>
      <w:r>
        <w:rPr>
          <w:rFonts w:hint="eastAsia" w:eastAsia="宋体" w:cs="宋体"/>
          <w:bCs/>
          <w:sz w:val="36"/>
        </w:rPr>
        <w:t>招标公告</w:t>
      </w:r>
      <w:bookmarkEnd w:id="2"/>
      <w:bookmarkEnd w:id="3"/>
      <w:bookmarkEnd w:id="4"/>
      <w:bookmarkStart w:id="5" w:name="OLE_LINK1"/>
    </w:p>
    <w:p w14:paraId="56342BC8">
      <w:pPr>
        <w:pBdr>
          <w:top w:val="single" w:color="auto" w:sz="4" w:space="1"/>
          <w:left w:val="single" w:color="auto" w:sz="4" w:space="4"/>
          <w:bottom w:val="single" w:color="auto" w:sz="4" w:space="1"/>
          <w:right w:val="single" w:color="auto" w:sz="4" w:space="4"/>
        </w:pBdr>
        <w:ind w:firstLine="420" w:firstLineChars="200"/>
        <w:jc w:val="left"/>
        <w:rPr>
          <w:rFonts w:hint="eastAsia" w:cs="宋体"/>
          <w:b/>
          <w:bCs/>
          <w:szCs w:val="21"/>
        </w:rPr>
      </w:pPr>
      <w:bookmarkStart w:id="6" w:name="OLE_LINK3"/>
      <w:bookmarkStart w:id="7" w:name="OLE_LINK2"/>
      <w:r>
        <w:rPr>
          <w:rFonts w:hint="eastAsia" w:cs="宋体"/>
          <w:b/>
          <w:bCs/>
          <w:szCs w:val="21"/>
        </w:rPr>
        <w:t>项目概况</w:t>
      </w:r>
    </w:p>
    <w:p w14:paraId="56342BC9">
      <w:pPr>
        <w:pBdr>
          <w:top w:val="single" w:color="auto" w:sz="4" w:space="1"/>
          <w:left w:val="single" w:color="auto" w:sz="4" w:space="4"/>
          <w:bottom w:val="single" w:color="auto" w:sz="4" w:space="1"/>
          <w:right w:val="single" w:color="auto" w:sz="4" w:space="4"/>
        </w:pBdr>
        <w:tabs>
          <w:tab w:val="left" w:pos="3119"/>
        </w:tabs>
        <w:ind w:firstLine="420" w:firstLineChars="200"/>
        <w:rPr>
          <w:rFonts w:hint="eastAsia" w:cs="宋体"/>
          <w:szCs w:val="21"/>
        </w:rPr>
      </w:pPr>
      <w:r>
        <w:rPr>
          <w:rFonts w:hint="eastAsia" w:cs="宋体"/>
          <w:b/>
          <w:bCs/>
          <w:szCs w:val="21"/>
          <w:u w:val="single"/>
        </w:rPr>
        <w:t>洱源县人民医院体检中心设备与医疗服务保障能力提升项目设备采购</w:t>
      </w:r>
      <w:r>
        <w:rPr>
          <w:rFonts w:hint="eastAsia" w:cs="宋体"/>
          <w:szCs w:val="21"/>
        </w:rPr>
        <w:t>招标项目的潜在投标人应在</w:t>
      </w:r>
      <w:r>
        <w:rPr>
          <w:rFonts w:hint="eastAsia" w:cs="宋体"/>
          <w:b/>
          <w:bCs/>
          <w:szCs w:val="21"/>
          <w:u w:val="single"/>
        </w:rPr>
        <w:t>云南省政府采购电子交易平台（政采云https://www.zcygov.cn/）线上获取</w:t>
      </w:r>
      <w:r>
        <w:rPr>
          <w:rFonts w:hint="eastAsia" w:cs="宋体"/>
          <w:szCs w:val="21"/>
          <w:u w:val="single"/>
        </w:rPr>
        <w:t>获取招标文件，并于</w:t>
      </w:r>
      <w:r>
        <w:rPr>
          <w:rFonts w:hint="eastAsia" w:cs="宋体"/>
          <w:b/>
          <w:bCs/>
          <w:color w:val="EE0000"/>
          <w:szCs w:val="21"/>
          <w:u w:val="single"/>
        </w:rPr>
        <w:t>2026年06月12日09时00分</w:t>
      </w:r>
      <w:r>
        <w:rPr>
          <w:rFonts w:hint="eastAsia" w:cs="宋体"/>
          <w:b/>
          <w:bCs/>
          <w:szCs w:val="21"/>
          <w:u w:val="single"/>
        </w:rPr>
        <w:t>（北京时间）</w:t>
      </w:r>
      <w:r>
        <w:rPr>
          <w:rFonts w:hint="eastAsia" w:cs="宋体"/>
          <w:bCs/>
          <w:szCs w:val="21"/>
        </w:rPr>
        <w:t>前递交投标文件</w:t>
      </w:r>
      <w:r>
        <w:rPr>
          <w:rFonts w:hint="eastAsia" w:cs="宋体"/>
          <w:szCs w:val="21"/>
        </w:rPr>
        <w:t>。</w:t>
      </w:r>
    </w:p>
    <w:p w14:paraId="56342BCA">
      <w:pPr>
        <w:pStyle w:val="4"/>
        <w:numPr>
          <w:ilvl w:val="0"/>
          <w:numId w:val="0"/>
        </w:numPr>
        <w:snapToGrid w:val="0"/>
        <w:spacing w:before="165" w:beforeLines="50" w:after="165" w:afterLines="50"/>
        <w:rPr>
          <w:rFonts w:hint="eastAsia" w:eastAsia="宋体" w:cs="宋体"/>
          <w:sz w:val="21"/>
          <w:szCs w:val="21"/>
        </w:rPr>
      </w:pPr>
      <w:bookmarkStart w:id="8" w:name="_Toc12269"/>
      <w:bookmarkStart w:id="9" w:name="_Toc35393621"/>
      <w:bookmarkStart w:id="10" w:name="_Toc1212"/>
      <w:bookmarkStart w:id="11" w:name="_Toc28359079"/>
      <w:bookmarkStart w:id="12" w:name="_Toc28359002"/>
      <w:bookmarkStart w:id="13" w:name="_Toc35393790"/>
      <w:bookmarkStart w:id="14" w:name="_Toc10683"/>
      <w:bookmarkStart w:id="15" w:name="_Hlk24379207"/>
      <w:r>
        <w:rPr>
          <w:rFonts w:hint="eastAsia" w:eastAsia="宋体" w:cs="宋体"/>
          <w:sz w:val="21"/>
          <w:szCs w:val="21"/>
        </w:rPr>
        <w:t>一、项目基本情况</w:t>
      </w:r>
      <w:bookmarkEnd w:id="8"/>
      <w:bookmarkEnd w:id="9"/>
      <w:bookmarkEnd w:id="10"/>
      <w:bookmarkEnd w:id="11"/>
      <w:bookmarkEnd w:id="12"/>
      <w:bookmarkEnd w:id="13"/>
      <w:bookmarkEnd w:id="14"/>
    </w:p>
    <w:p w14:paraId="58B4367F">
      <w:pPr>
        <w:ind w:firstLine="420" w:firstLineChars="200"/>
        <w:rPr>
          <w:rFonts w:hint="eastAsia" w:cs="宋体"/>
          <w:b/>
          <w:bCs/>
          <w:szCs w:val="21"/>
        </w:rPr>
      </w:pPr>
      <w:r>
        <w:rPr>
          <w:rFonts w:hint="eastAsia" w:cs="宋体"/>
          <w:b/>
          <w:bCs/>
          <w:szCs w:val="21"/>
        </w:rPr>
        <w:t>政采云系统项目编号：</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szCs w:val="21"/>
        </w:rPr>
        <w:t>DLZC2026-G1-00478-YZGF-0605</w:t>
      </w:r>
      <w:r>
        <w:rPr>
          <w:rFonts w:hint="eastAsia" w:cs="宋体"/>
          <w:szCs w:val="21"/>
        </w:rPr>
        <w:fldChar w:fldCharType="end"/>
      </w:r>
    </w:p>
    <w:p w14:paraId="56342BCB">
      <w:pPr>
        <w:ind w:firstLine="420" w:firstLineChars="200"/>
        <w:rPr>
          <w:rFonts w:hint="eastAsia" w:cs="宋体"/>
          <w:szCs w:val="21"/>
        </w:rPr>
      </w:pPr>
      <w:r>
        <w:rPr>
          <w:rFonts w:hint="eastAsia" w:cs="宋体"/>
          <w:b/>
          <w:bCs/>
          <w:szCs w:val="21"/>
        </w:rPr>
        <w:t>项目编号：</w:t>
      </w:r>
      <w:r>
        <w:rPr>
          <w:rFonts w:hint="eastAsia" w:cs="宋体"/>
          <w:w w:val="95"/>
          <w:szCs w:val="21"/>
        </w:rPr>
        <w:t>Q53LX0326001230</w:t>
      </w:r>
    </w:p>
    <w:p w14:paraId="56342BCC">
      <w:pPr>
        <w:ind w:firstLine="420" w:firstLineChars="200"/>
        <w:rPr>
          <w:rFonts w:hint="eastAsia" w:cs="宋体"/>
          <w:szCs w:val="21"/>
        </w:rPr>
      </w:pPr>
      <w:r>
        <w:rPr>
          <w:rFonts w:hint="eastAsia" w:cs="宋体"/>
          <w:b/>
          <w:bCs/>
          <w:szCs w:val="21"/>
        </w:rPr>
        <w:t>项目名称：</w:t>
      </w:r>
      <w:r>
        <w:rPr>
          <w:rFonts w:hint="eastAsia" w:cs="宋体"/>
          <w:szCs w:val="21"/>
        </w:rPr>
        <w:t>洱源县人民医院体检中心设备与医疗服务保障能力提升项目设备采购</w:t>
      </w:r>
    </w:p>
    <w:bookmarkEnd w:id="15"/>
    <w:p w14:paraId="56342BCD">
      <w:pPr>
        <w:ind w:firstLine="420" w:firstLineChars="200"/>
        <w:rPr>
          <w:rFonts w:hint="eastAsia" w:cs="宋体"/>
          <w:b/>
          <w:bCs/>
          <w:szCs w:val="21"/>
        </w:rPr>
      </w:pPr>
      <w:r>
        <w:rPr>
          <w:rFonts w:hint="eastAsia" w:cs="宋体"/>
          <w:b/>
          <w:bCs/>
          <w:szCs w:val="21"/>
        </w:rPr>
        <w:t>预算金额(万元)：437.48</w:t>
      </w:r>
      <w:r>
        <w:rPr>
          <w:rFonts w:hint="eastAsia" w:cs="宋体"/>
          <w:szCs w:val="21"/>
        </w:rPr>
        <w:t>（其中：1标段预算金额：</w:t>
      </w:r>
      <w:r>
        <w:rPr>
          <w:rStyle w:val="382"/>
          <w:rFonts w:hint="eastAsia"/>
          <w:szCs w:val="21"/>
        </w:rPr>
        <w:t>230.00</w:t>
      </w:r>
      <w:r>
        <w:rPr>
          <w:rFonts w:hint="eastAsia" w:cs="宋体"/>
          <w:szCs w:val="21"/>
        </w:rPr>
        <w:t>万元；2标段预算金额：43.28万元；3标段预算金额：50.20万元；4标段预算金额：</w:t>
      </w:r>
      <w:r>
        <w:rPr>
          <w:rStyle w:val="382"/>
          <w:rFonts w:hint="eastAsia"/>
          <w:szCs w:val="21"/>
        </w:rPr>
        <w:t>45.00</w:t>
      </w:r>
      <w:r>
        <w:rPr>
          <w:rFonts w:hint="eastAsia" w:cs="宋体"/>
          <w:szCs w:val="21"/>
        </w:rPr>
        <w:t>万元；5标段预算金额：</w:t>
      </w:r>
      <w:r>
        <w:rPr>
          <w:rStyle w:val="382"/>
          <w:rFonts w:hint="eastAsia"/>
          <w:szCs w:val="21"/>
        </w:rPr>
        <w:t>69.00</w:t>
      </w:r>
      <w:r>
        <w:rPr>
          <w:rFonts w:hint="eastAsia" w:cs="宋体"/>
          <w:szCs w:val="21"/>
        </w:rPr>
        <w:t>万元；）</w:t>
      </w:r>
    </w:p>
    <w:p w14:paraId="56342BCE">
      <w:pPr>
        <w:ind w:firstLine="420" w:firstLineChars="200"/>
        <w:rPr>
          <w:rFonts w:hint="eastAsia" w:cs="宋体"/>
          <w:szCs w:val="21"/>
        </w:rPr>
      </w:pPr>
      <w:r>
        <w:rPr>
          <w:rFonts w:hint="eastAsia" w:cs="宋体"/>
          <w:b/>
          <w:bCs/>
          <w:szCs w:val="21"/>
        </w:rPr>
        <w:t>最高限价(万元)：437.48</w:t>
      </w:r>
      <w:r>
        <w:rPr>
          <w:rFonts w:hint="eastAsia" w:cs="宋体"/>
          <w:szCs w:val="21"/>
        </w:rPr>
        <w:t>（其中：1标段</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w:t>
      </w:r>
      <w:r>
        <w:rPr>
          <w:szCs w:val="22"/>
          <w14:ligatures w14:val="standardContextual"/>
        </w:rPr>
        <w:t>最高限价</w:t>
      </w:r>
      <w:r>
        <w:rPr>
          <w:rFonts w:hint="eastAsia" w:cs="宋体"/>
          <w:szCs w:val="21"/>
        </w:rPr>
        <w:t>：43.28万元；3标段</w:t>
      </w:r>
      <w:r>
        <w:rPr>
          <w:szCs w:val="22"/>
          <w14:ligatures w14:val="standardContextual"/>
        </w:rPr>
        <w:t>最高限价</w:t>
      </w:r>
      <w:r>
        <w:rPr>
          <w:rFonts w:hint="eastAsia" w:cs="宋体"/>
          <w:szCs w:val="21"/>
        </w:rPr>
        <w:t>：50.20万元；4标段</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w:t>
      </w:r>
    </w:p>
    <w:p w14:paraId="004B2088">
      <w:pPr>
        <w:ind w:firstLine="420" w:firstLineChars="200"/>
        <w:rPr>
          <w:rFonts w:hint="eastAsia" w:cs="宋体"/>
          <w:b/>
          <w:szCs w:val="21"/>
        </w:rPr>
      </w:pPr>
      <w:r>
        <w:rPr>
          <w:rFonts w:hint="eastAsia" w:cs="宋体"/>
          <w:b/>
          <w:bCs/>
          <w:szCs w:val="21"/>
        </w:rPr>
        <w:t>采购需求：</w:t>
      </w:r>
      <w:r>
        <w:rPr>
          <w:rFonts w:hint="eastAsia" w:cs="宋体"/>
          <w:szCs w:val="21"/>
        </w:rPr>
        <w:t>对洱源县人民医院所需的一批医疗设备进行采购，1标段</w:t>
      </w:r>
      <w:r>
        <w:rPr>
          <w:rFonts w:cs="宋体"/>
          <w:szCs w:val="21"/>
        </w:rPr>
        <w:t>采购内容</w:t>
      </w:r>
      <w:r>
        <w:rPr>
          <w:rFonts w:hint="eastAsia" w:cs="宋体"/>
          <w:szCs w:val="21"/>
        </w:rPr>
        <w:t>：</w:t>
      </w:r>
      <w:r>
        <w:rPr>
          <w:rFonts w:cs="宋体"/>
          <w:szCs w:val="21"/>
        </w:rPr>
        <w:t>数字化摄影X射线系统（DR）</w:t>
      </w:r>
      <w:r>
        <w:rPr>
          <w:rFonts w:hint="eastAsia" w:cs="宋体"/>
          <w:szCs w:val="21"/>
        </w:rPr>
        <w:t>、</w:t>
      </w:r>
      <w:r>
        <w:rPr>
          <w:rFonts w:cs="宋体"/>
          <w:szCs w:val="21"/>
        </w:rPr>
        <w:t>彩色多普勒超声诊断仪</w:t>
      </w:r>
      <w:r>
        <w:rPr>
          <w:rFonts w:hint="eastAsia" w:cs="宋体"/>
          <w:szCs w:val="21"/>
        </w:rPr>
        <w:t>，</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万元；2标段采购内容：动脉硬化检测仪、心电图机、动态血压监测仪、动态心电图监测仪、高频胸壁振荡排痰仪、空气波压力治疗仪，</w:t>
      </w:r>
      <w:r>
        <w:rPr>
          <w:szCs w:val="22"/>
          <w14:ligatures w14:val="standardContextual"/>
        </w:rPr>
        <w:t>最高限价</w:t>
      </w:r>
      <w:r>
        <w:rPr>
          <w:rFonts w:hint="eastAsia" w:cs="宋体"/>
          <w:szCs w:val="21"/>
        </w:rPr>
        <w:t>：43.28万元；3标段采购内容：碳13呼气分析仪、肺功能仪（大肺），</w:t>
      </w:r>
      <w:r>
        <w:rPr>
          <w:szCs w:val="22"/>
          <w14:ligatures w14:val="standardContextual"/>
        </w:rPr>
        <w:t>最高限价</w:t>
      </w:r>
      <w:r>
        <w:rPr>
          <w:rFonts w:hint="eastAsia" w:cs="宋体"/>
          <w:szCs w:val="21"/>
        </w:rPr>
        <w:t>：50.20万元；4标段采购内容：CO2点阵激光治疗仪、皮肤镜，</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万元；5标段采购内容：除颤监护仪、连续性血液循环净化机、可视喉镜、自动心肺复苏机，</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万元；各标段具体采购内容、数量、最高限价及简要技术要求详见采购公告附件。</w:t>
      </w:r>
      <w:r>
        <w:rPr>
          <w:rFonts w:hint="eastAsia"/>
          <w:b/>
          <w:szCs w:val="21"/>
        </w:rPr>
        <w:t>本项目不</w:t>
      </w:r>
      <w:r>
        <w:rPr>
          <w:b/>
          <w:szCs w:val="21"/>
        </w:rPr>
        <w:t>接受进口产品。</w:t>
      </w:r>
      <w:r>
        <w:rPr>
          <w:b/>
        </w:rPr>
        <w:t>具体需求及要求详见招标文件第五章“货物需求及技术要求”。</w:t>
      </w:r>
    </w:p>
    <w:p w14:paraId="4BE1366D">
      <w:pPr>
        <w:pStyle w:val="167"/>
        <w:ind w:firstLine="422"/>
        <w:rPr>
          <w:rFonts w:hint="eastAsia"/>
          <w:lang w:eastAsia="zh-CN"/>
        </w:rPr>
      </w:pPr>
      <w:r>
        <w:rPr>
          <w:rFonts w:cs="Segoe UI Symbol"/>
          <w:b/>
          <w:bCs/>
          <w:szCs w:val="21"/>
          <w:lang w:eastAsia="zh-CN"/>
        </w:rPr>
        <w:t>★</w:t>
      </w:r>
      <w:r>
        <w:rPr>
          <w:b/>
          <w:bCs/>
          <w:szCs w:val="21"/>
          <w:lang w:eastAsia="zh-CN"/>
        </w:rPr>
        <w:t>注：</w:t>
      </w:r>
      <w:r>
        <w:rPr>
          <w:rFonts w:hint="eastAsia"/>
          <w:b/>
          <w:szCs w:val="21"/>
          <w:lang w:eastAsia="zh-CN"/>
        </w:rPr>
        <w:t>（1）本项目共分5个标段。各投标人须对所投标段内的所有项目内容进行整体投标报价，不得缺项漏项，否则按不实质性响应招标文件要求处理。</w:t>
      </w:r>
      <w:r>
        <w:rPr>
          <w:rFonts w:hint="eastAsia"/>
          <w:b/>
          <w:color w:val="000000"/>
          <w:szCs w:val="21"/>
          <w:lang w:eastAsia="zh-CN"/>
        </w:rPr>
        <w:t>各投标人可根据自身情况投报其中任意一个或多个标段，秉着多投多中的原则。</w:t>
      </w:r>
    </w:p>
    <w:p w14:paraId="19E7E0CD">
      <w:pPr>
        <w:ind w:firstLine="420" w:firstLineChars="200"/>
        <w:rPr>
          <w:rFonts w:hint="eastAsia" w:cs="宋体"/>
          <w:b/>
          <w:bCs/>
          <w:szCs w:val="21"/>
        </w:rPr>
      </w:pPr>
      <w:r>
        <w:rPr>
          <w:rFonts w:hint="eastAsia" w:cs="宋体"/>
          <w:b/>
          <w:szCs w:val="21"/>
        </w:rPr>
        <w:t>（2）</w:t>
      </w:r>
      <w:r>
        <w:rPr>
          <w:rFonts w:hint="eastAsia" w:cs="宋体"/>
          <w:b/>
          <w:bCs/>
          <w:color w:val="000000" w:themeColor="text1"/>
          <w:szCs w:val="21"/>
          <w14:textFill>
            <w14:solidFill>
              <w14:schemeClr w14:val="tx1"/>
            </w14:solidFill>
          </w14:textFill>
        </w:rPr>
        <w:t>标段名称命名规则：</w:t>
      </w:r>
      <w:r>
        <w:rPr>
          <w:rFonts w:hint="eastAsia" w:cs="宋体"/>
          <w:szCs w:val="21"/>
        </w:rPr>
        <w:t>洱源县人民医院体检中心设备与医疗服务保障能力提升项目设备采购-1标段</w:t>
      </w:r>
      <w:r>
        <w:rPr>
          <w:rFonts w:hint="eastAsia" w:cs="宋体"/>
          <w:color w:val="000000" w:themeColor="text1"/>
          <w:szCs w:val="21"/>
          <w14:textFill>
            <w14:solidFill>
              <w14:schemeClr w14:val="tx1"/>
            </w14:solidFill>
          </w14:textFill>
        </w:rPr>
        <w:t>为本项目1标段的标段名称；</w:t>
      </w:r>
      <w:r>
        <w:rPr>
          <w:rFonts w:hint="eastAsia" w:cs="宋体"/>
          <w:szCs w:val="21"/>
        </w:rPr>
        <w:t>洱源县人民医院体检中心设备与医疗服务保障能力提升项目设备采购</w:t>
      </w:r>
      <w:r>
        <w:rPr>
          <w:rFonts w:cs="宋体"/>
          <w:color w:val="000000" w:themeColor="text1"/>
          <w:szCs w:val="21"/>
          <w14:textFill>
            <w14:solidFill>
              <w14:schemeClr w14:val="tx1"/>
            </w14:solidFill>
          </w14:textFill>
        </w:rPr>
        <w:t>-</w:t>
      </w:r>
      <w:r>
        <w:rPr>
          <w:szCs w:val="21"/>
        </w:rPr>
        <w:t>2</w:t>
      </w:r>
      <w:r>
        <w:rPr>
          <w:rFonts w:hint="eastAsia"/>
          <w:szCs w:val="21"/>
        </w:rPr>
        <w:t>标段</w:t>
      </w:r>
      <w:r>
        <w:rPr>
          <w:rFonts w:hint="eastAsia" w:cs="宋体"/>
          <w:color w:val="000000" w:themeColor="text1"/>
          <w:szCs w:val="21"/>
          <w14:textFill>
            <w14:solidFill>
              <w14:schemeClr w14:val="tx1"/>
            </w14:solidFill>
          </w14:textFill>
        </w:rPr>
        <w:t>为本项目</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标段的标段名称，</w:t>
      </w:r>
      <w:r>
        <w:rPr>
          <w:rFonts w:hint="eastAsia" w:cs="宋体"/>
          <w:b/>
          <w:bCs/>
          <w:color w:val="000000" w:themeColor="text1"/>
          <w:szCs w:val="21"/>
          <w14:textFill>
            <w14:solidFill>
              <w14:schemeClr w14:val="tx1"/>
            </w14:solidFill>
          </w14:textFill>
        </w:rPr>
        <w:t>以此类推。</w:t>
      </w:r>
    </w:p>
    <w:p w14:paraId="0FA85C84">
      <w:pPr>
        <w:ind w:firstLine="420" w:firstLineChars="200"/>
        <w:rPr>
          <w:rFonts w:hint="eastAsia" w:cs="宋体"/>
          <w:b/>
          <w:bCs/>
          <w:szCs w:val="21"/>
        </w:rPr>
      </w:pPr>
      <w:r>
        <w:rPr>
          <w:rFonts w:hint="eastAsia" w:cs="宋体"/>
          <w:b/>
          <w:szCs w:val="21"/>
        </w:rPr>
        <w:t>（3）标段编号命名规则：</w:t>
      </w:r>
      <w:r>
        <w:rPr>
          <w:rFonts w:hint="eastAsia" w:cs="宋体"/>
          <w:w w:val="95"/>
          <w:szCs w:val="21"/>
        </w:rPr>
        <w:t>Q53LX0326001230-001</w:t>
      </w:r>
      <w:r>
        <w:rPr>
          <w:rFonts w:hint="eastAsia" w:cs="宋体"/>
          <w:szCs w:val="21"/>
        </w:rPr>
        <w:t>为本项目1标段的标段编号；</w:t>
      </w:r>
      <w:r>
        <w:rPr>
          <w:rFonts w:hint="eastAsia" w:cs="宋体"/>
          <w:w w:val="95"/>
          <w:szCs w:val="21"/>
        </w:rPr>
        <w:t>Q53LX0326001230</w:t>
      </w:r>
      <w:r>
        <w:rPr>
          <w:rFonts w:hint="eastAsia" w:cs="宋体"/>
          <w:szCs w:val="21"/>
        </w:rPr>
        <w:t>-002为本项目2标段的标段编号，</w:t>
      </w:r>
      <w:r>
        <w:rPr>
          <w:rFonts w:hint="eastAsia" w:cs="宋体"/>
          <w:b/>
          <w:bCs/>
          <w:color w:val="000000" w:themeColor="text1"/>
          <w:szCs w:val="21"/>
          <w14:textFill>
            <w14:solidFill>
              <w14:schemeClr w14:val="tx1"/>
            </w14:solidFill>
          </w14:textFill>
        </w:rPr>
        <w:t>以此类推。</w:t>
      </w:r>
    </w:p>
    <w:p w14:paraId="56342BD1">
      <w:pPr>
        <w:ind w:firstLine="420" w:firstLineChars="200"/>
        <w:rPr>
          <w:rFonts w:hint="eastAsia" w:cs="宋体"/>
          <w:szCs w:val="21"/>
        </w:rPr>
      </w:pPr>
      <w:r>
        <w:rPr>
          <w:rFonts w:hint="eastAsia" w:cs="宋体"/>
          <w:b/>
          <w:bCs/>
          <w:szCs w:val="21"/>
        </w:rPr>
        <w:t>合同履行期限：</w:t>
      </w:r>
      <w:r>
        <w:rPr>
          <w:rFonts w:hint="eastAsia" w:cs="宋体"/>
          <w:szCs w:val="21"/>
        </w:rPr>
        <w:t>合同签订之日起至质保期结束</w:t>
      </w:r>
      <w:r>
        <w:rPr>
          <w:rFonts w:hint="eastAsia"/>
          <w:szCs w:val="21"/>
        </w:rPr>
        <w:t>。</w:t>
      </w:r>
    </w:p>
    <w:p w14:paraId="56342BD2">
      <w:pPr>
        <w:ind w:firstLine="420" w:firstLineChars="200"/>
        <w:rPr>
          <w:rFonts w:hint="eastAsia" w:cs="宋体"/>
          <w:b/>
          <w:bCs/>
          <w:szCs w:val="21"/>
        </w:rPr>
      </w:pPr>
      <w:r>
        <w:rPr>
          <w:rFonts w:hint="eastAsia" w:cs="宋体"/>
          <w:b/>
          <w:bCs/>
          <w:szCs w:val="21"/>
        </w:rPr>
        <w:t>本项目（否）接受联合体投标。</w:t>
      </w:r>
    </w:p>
    <w:p w14:paraId="56342BD3">
      <w:pPr>
        <w:pStyle w:val="4"/>
        <w:numPr>
          <w:ilvl w:val="0"/>
          <w:numId w:val="0"/>
        </w:numPr>
        <w:snapToGrid w:val="0"/>
        <w:spacing w:before="165" w:beforeLines="50" w:after="165" w:afterLines="50"/>
        <w:rPr>
          <w:rFonts w:hint="eastAsia" w:eastAsia="宋体" w:cs="宋体"/>
          <w:sz w:val="21"/>
          <w:szCs w:val="21"/>
        </w:rPr>
      </w:pPr>
      <w:bookmarkStart w:id="16" w:name="_Toc28359080"/>
      <w:bookmarkStart w:id="17" w:name="_Toc7106"/>
      <w:bookmarkStart w:id="18" w:name="_Toc35393791"/>
      <w:bookmarkStart w:id="19" w:name="_Toc35393622"/>
      <w:bookmarkStart w:id="20" w:name="_Toc28359003"/>
      <w:bookmarkStart w:id="21" w:name="_Toc6332"/>
      <w:bookmarkStart w:id="22" w:name="_Toc26685"/>
      <w:r>
        <w:rPr>
          <w:rFonts w:hint="eastAsia" w:eastAsia="宋体" w:cs="宋体"/>
          <w:sz w:val="21"/>
          <w:szCs w:val="21"/>
        </w:rPr>
        <w:t>★二、投标人的资格要求</w:t>
      </w:r>
      <w:bookmarkEnd w:id="16"/>
      <w:bookmarkEnd w:id="17"/>
      <w:bookmarkEnd w:id="18"/>
      <w:bookmarkEnd w:id="19"/>
      <w:bookmarkEnd w:id="20"/>
      <w:bookmarkEnd w:id="21"/>
      <w:r>
        <w:rPr>
          <w:rFonts w:hint="eastAsia" w:eastAsia="宋体" w:cs="宋体"/>
          <w:sz w:val="21"/>
          <w:szCs w:val="21"/>
        </w:rPr>
        <w:t>：</w:t>
      </w:r>
      <w:bookmarkEnd w:id="22"/>
    </w:p>
    <w:p w14:paraId="2C667AE8">
      <w:pPr>
        <w:ind w:firstLine="420" w:firstLineChars="200"/>
        <w:rPr>
          <w:rFonts w:hint="eastAsia" w:cs="宋体"/>
          <w:bCs/>
          <w:color w:val="000000" w:themeColor="text1"/>
          <w:szCs w:val="21"/>
          <w14:textFill>
            <w14:solidFill>
              <w14:schemeClr w14:val="tx1"/>
            </w14:solidFill>
          </w14:textFill>
        </w:rPr>
      </w:pPr>
      <w:bookmarkStart w:id="23" w:name="_Toc35393792"/>
      <w:bookmarkStart w:id="24" w:name="_Toc28359004"/>
      <w:bookmarkStart w:id="25" w:name="_Toc35393623"/>
      <w:bookmarkStart w:id="26" w:name="_Toc28359081"/>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p w14:paraId="7285E075">
      <w:pPr>
        <w:pStyle w:val="23"/>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.2</w:t>
      </w:r>
      <w:r>
        <w:rPr>
          <w:rFonts w:hint="eastAsia" w:cs="宋体"/>
          <w:b/>
          <w:color w:val="000000" w:themeColor="text1"/>
          <w:szCs w:val="21"/>
          <w14:textFill>
            <w14:solidFill>
              <w14:schemeClr w14:val="tx1"/>
            </w14:solidFill>
          </w14:textFill>
        </w:rPr>
        <w:t>投标人具有良好的商业信誉和健全的财务会计制度：</w:t>
      </w:r>
    </w:p>
    <w:p w14:paraId="1500E1F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DE98523">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2A589B2">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03A066C8">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3B93B676">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2CCBA25D">
      <w:pPr>
        <w:ind w:firstLine="420" w:firstLineChars="200"/>
        <w:rPr>
          <w:rFonts w:hint="eastAsia" w:cs="宋体"/>
          <w:b/>
          <w:bCs/>
          <w:color w:val="000000"/>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p w14:paraId="1B2086E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p w14:paraId="49E51454">
      <w:pPr>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.4</w:t>
      </w: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p w14:paraId="7449B95F">
      <w:pPr>
        <w:ind w:firstLine="420" w:firstLineChars="200"/>
        <w:rPr>
          <w:rFonts w:hint="eastAsia" w:cs="宋体"/>
          <w:b/>
          <w:bCs/>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.5</w:t>
      </w: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p w14:paraId="4B59701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412D0E13">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2.落实政府采购政策需满足的资格要求：本项目非专门面向中小企业采购项目</w:t>
      </w:r>
      <w:r>
        <w:rPr>
          <w:rFonts w:hint="eastAsia" w:cs="宋体"/>
          <w:b/>
          <w:bCs/>
          <w:color w:val="000000" w:themeColor="text1"/>
          <w:kern w:val="0"/>
          <w:szCs w:val="21"/>
          <w14:textFill>
            <w14:solidFill>
              <w14:schemeClr w14:val="tx1"/>
            </w14:solidFill>
          </w14:textFill>
        </w:rPr>
        <w:t>；</w:t>
      </w:r>
      <w:r>
        <w:rPr>
          <w:rFonts w:hint="eastAsia" w:cs="宋体"/>
          <w:b/>
          <w:bCs/>
          <w:color w:val="000000" w:themeColor="text1"/>
          <w:szCs w:val="21"/>
          <w14:textFill>
            <w14:solidFill>
              <w14:schemeClr w14:val="tx1"/>
            </w14:solidFill>
          </w14:textFill>
        </w:rPr>
        <w:t>洱源县人民医院体检中心设备与医疗服务保障能力提升项目设备采购</w:t>
      </w:r>
      <w:r>
        <w:rPr>
          <w:rFonts w:cs="宋体"/>
          <w:b/>
          <w:bCs/>
          <w:color w:val="000000" w:themeColor="text1"/>
          <w:kern w:val="0"/>
          <w:szCs w:val="21"/>
          <w14:textFill>
            <w14:solidFill>
              <w14:schemeClr w14:val="tx1"/>
            </w14:solidFill>
          </w14:textFill>
        </w:rPr>
        <w:t>：小微企业价格扣除优惠比例:10%</w:t>
      </w:r>
      <w:r>
        <w:rPr>
          <w:rFonts w:hint="eastAsia" w:cs="宋体"/>
          <w:b/>
          <w:bCs/>
          <w:color w:val="000000" w:themeColor="text1"/>
          <w:kern w:val="0"/>
          <w:szCs w:val="21"/>
          <w14:textFill>
            <w14:solidFill>
              <w14:schemeClr w14:val="tx1"/>
            </w14:solidFill>
          </w14:textFill>
        </w:rPr>
        <w:t>；</w:t>
      </w:r>
    </w:p>
    <w:p w14:paraId="7881B6D5">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3.本项目的特定资格要求：</w:t>
      </w:r>
    </w:p>
    <w:p w14:paraId="52CB095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34FF19B">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w:t>
      </w:r>
      <w:r>
        <w:rPr>
          <w:rFonts w:hint="eastAsia" w:cs="宋体"/>
          <w:color w:val="000000" w:themeColor="text1"/>
          <w:szCs w:val="21"/>
          <w14:textFill>
            <w14:solidFill>
              <w14:schemeClr w14:val="tx1"/>
            </w14:solidFill>
          </w14:textFill>
        </w:rPr>
        <w:t>单位负责人为同一人或者存在直接控股、管理关系的不同投标人，不得参加同一合同项下的政府采购活动。</w:t>
      </w:r>
    </w:p>
    <w:p w14:paraId="4CF49442">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5DE896B8">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w:t>
      </w: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p w14:paraId="56342BDA">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3.5</w:t>
      </w:r>
      <w:r>
        <w:rPr>
          <w:rFonts w:hint="eastAsia" w:cs="宋体"/>
          <w:color w:val="000000" w:themeColor="text1"/>
          <w:szCs w:val="21"/>
          <w14:textFill>
            <w14:solidFill>
              <w14:schemeClr w14:val="tx1"/>
            </w14:solidFill>
          </w14:textFill>
        </w:rPr>
        <w:t>本项目不接受联合体投标。</w:t>
      </w:r>
    </w:p>
    <w:bookmarkEnd w:id="23"/>
    <w:bookmarkEnd w:id="24"/>
    <w:bookmarkEnd w:id="25"/>
    <w:bookmarkEnd w:id="26"/>
    <w:p w14:paraId="56342BDB">
      <w:pPr>
        <w:pStyle w:val="4"/>
        <w:numPr>
          <w:ilvl w:val="0"/>
          <w:numId w:val="0"/>
        </w:numPr>
        <w:snapToGrid w:val="0"/>
        <w:spacing w:before="165" w:beforeLines="50" w:after="165" w:afterLines="50"/>
        <w:rPr>
          <w:rFonts w:hint="eastAsia" w:eastAsia="宋体" w:cs="宋体"/>
          <w:sz w:val="21"/>
          <w:szCs w:val="21"/>
        </w:rPr>
      </w:pPr>
      <w:bookmarkStart w:id="27" w:name="_Toc12774"/>
      <w:bookmarkStart w:id="28" w:name="_Toc25410"/>
      <w:bookmarkStart w:id="29" w:name="_Toc35393795"/>
      <w:bookmarkStart w:id="30" w:name="_Toc35393626"/>
      <w:bookmarkStart w:id="31" w:name="_Toc15325"/>
      <w:r>
        <w:rPr>
          <w:rFonts w:hint="eastAsia" w:eastAsia="宋体" w:cs="宋体"/>
          <w:sz w:val="21"/>
          <w:szCs w:val="21"/>
        </w:rPr>
        <w:t>三、获取招标文件</w:t>
      </w:r>
      <w:bookmarkEnd w:id="27"/>
      <w:bookmarkEnd w:id="28"/>
    </w:p>
    <w:bookmarkEnd w:id="29"/>
    <w:bookmarkEnd w:id="30"/>
    <w:bookmarkEnd w:id="31"/>
    <w:p w14:paraId="6C938534">
      <w:pPr>
        <w:ind w:firstLine="420" w:firstLineChars="200"/>
        <w:rPr>
          <w:rFonts w:hint="eastAsia" w:cs="宋体"/>
          <w:color w:val="000000" w:themeColor="text1"/>
          <w:szCs w:val="21"/>
          <w14:textFill>
            <w14:solidFill>
              <w14:schemeClr w14:val="tx1"/>
            </w14:solidFill>
          </w14:textFill>
        </w:rPr>
      </w:pPr>
      <w:bookmarkStart w:id="32" w:name="_Toc35393624"/>
      <w:bookmarkStart w:id="33" w:name="_Toc28359082"/>
      <w:bookmarkStart w:id="34" w:name="_Toc35393793"/>
      <w:bookmarkStart w:id="35" w:name="_Toc54552203"/>
      <w:bookmarkStart w:id="36" w:name="_Toc28359005"/>
      <w:bookmarkStart w:id="37" w:name="_Toc12076"/>
      <w:bookmarkStart w:id="38" w:name="_Toc35393627"/>
      <w:bookmarkStart w:id="39" w:name="_Toc35393796"/>
      <w:bookmarkStart w:id="40" w:name="_Toc28359085"/>
      <w:bookmarkStart w:id="41" w:name="_Toc28359008"/>
      <w:r>
        <w:rPr>
          <w:rFonts w:hint="eastAsia" w:cs="宋体"/>
          <w:b/>
          <w:bCs/>
          <w:color w:val="000000" w:themeColor="text1"/>
          <w:szCs w:val="21"/>
          <w14:textFill>
            <w14:solidFill>
              <w14:schemeClr w14:val="tx1"/>
            </w14:solidFill>
          </w14:textFill>
        </w:rPr>
        <w:t>时间：</w:t>
      </w:r>
      <w:r>
        <w:rPr>
          <w:rFonts w:hint="eastAsia" w:cs="宋体"/>
          <w:b/>
          <w:bCs/>
          <w:color w:val="FF0000"/>
          <w:szCs w:val="21"/>
          <w:u w:val="single"/>
        </w:rPr>
        <w:t>2026年05月21</w:t>
      </w:r>
      <w:r>
        <w:rPr>
          <w:rFonts w:cs="宋体"/>
          <w:b/>
          <w:bCs/>
          <w:color w:val="FF0000"/>
          <w:szCs w:val="21"/>
          <w:u w:val="single"/>
        </w:rPr>
        <w:t>日</w:t>
      </w:r>
      <w:r>
        <w:rPr>
          <w:rFonts w:hint="eastAsia" w:cs="宋体"/>
          <w:b/>
          <w:bCs/>
          <w:color w:val="FF0000"/>
          <w:szCs w:val="21"/>
          <w:u w:val="single"/>
        </w:rPr>
        <w:t>至2026年05月28日23时59分</w:t>
      </w:r>
      <w:r>
        <w:rPr>
          <w:rFonts w:hint="eastAsia" w:cs="宋体"/>
          <w:szCs w:val="21"/>
        </w:rPr>
        <w:t>，</w:t>
      </w:r>
      <w:r>
        <w:rPr>
          <w:rFonts w:hint="eastAsia" w:cs="宋体"/>
          <w:color w:val="000000" w:themeColor="text1"/>
          <w:szCs w:val="21"/>
          <w14:textFill>
            <w14:solidFill>
              <w14:schemeClr w14:val="tx1"/>
            </w14:solidFill>
          </w14:textFill>
        </w:rPr>
        <w:t>每天上午0</w:t>
      </w:r>
      <w:r>
        <w:rPr>
          <w:rFonts w:hint="eastAsia" w:cs="宋体"/>
          <w:color w:val="000000" w:themeColor="text1"/>
          <w:szCs w:val="21"/>
          <w:lang w:val="en-US" w:eastAsia="zh-CN"/>
          <w14:textFill>
            <w14:solidFill>
              <w14:schemeClr w14:val="tx1"/>
            </w14:solidFill>
          </w14:textFill>
        </w:rPr>
        <w:t>6</w:t>
      </w:r>
      <w:r>
        <w:rPr>
          <w:rFonts w:hint="eastAsia" w:cs="宋体"/>
          <w:color w:val="000000" w:themeColor="text1"/>
          <w:szCs w:val="21"/>
          <w14:textFill>
            <w14:solidFill>
              <w14:schemeClr w14:val="tx1"/>
            </w14:solidFill>
          </w14:textFill>
        </w:rPr>
        <w:t>:00至12:00，下午12:00至23:59（北京时间，法定节假日除外）。</w:t>
      </w:r>
    </w:p>
    <w:p w14:paraId="726A0CF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地点：</w:t>
      </w:r>
      <w:r>
        <w:rPr>
          <w:rFonts w:hint="eastAsia" w:cs="宋体"/>
          <w:b/>
          <w:bCs/>
          <w:color w:val="000000" w:themeColor="text1"/>
          <w:szCs w:val="21"/>
          <w:u w:val="single"/>
          <w14:textFill>
            <w14:solidFill>
              <w14:schemeClr w14:val="tx1"/>
            </w14:solidFill>
          </w14:textFill>
        </w:rPr>
        <w:t>云南省政府采购电子交易平台（政采云https://www.zcygov.cn/）线上获取</w:t>
      </w:r>
    </w:p>
    <w:p w14:paraId="16C98080">
      <w:pPr>
        <w:ind w:firstLine="420" w:firstLineChars="200"/>
        <w:rPr>
          <w:rFonts w:hint="eastAsia" w:cs="宋体"/>
          <w:bCs/>
          <w:szCs w:val="21"/>
        </w:rPr>
      </w:pPr>
      <w:r>
        <w:rPr>
          <w:rFonts w:hint="eastAsia" w:cs="宋体"/>
          <w:b/>
          <w:bCs/>
          <w:color w:val="000000" w:themeColor="text1"/>
          <w:szCs w:val="21"/>
          <w14:textFill>
            <w14:solidFill>
              <w14:schemeClr w14:val="tx1"/>
            </w14:solidFill>
          </w14:textFill>
        </w:rPr>
        <w:t>方式：</w:t>
      </w:r>
      <w:r>
        <w:rPr>
          <w:rFonts w:hint="eastAsia" w:cs="宋体"/>
          <w:b/>
          <w:szCs w:val="21"/>
        </w:rPr>
        <w:t>1.</w:t>
      </w:r>
      <w:r>
        <w:rPr>
          <w:rFonts w:hint="eastAsia" w:cs="宋体"/>
          <w:bCs/>
          <w:szCs w:val="21"/>
        </w:rPr>
        <w:t>凡有意参加投标者，须注册政采云平台账号并登录办理数字证书（CA），若投标人未办理CA的，可选择办理云南壹证通CA，申领链接：http://yzt.ynsmartcert.cn/cms/yztdlyz.html或https://middle.zcygov.cn/ca/apply/edit?certType=32；可支持线上、线下办理方式，并提供7*24小时客户服务支持，客服热线0871-67276028；政府采购云平台支持多家CA服务商，投标人可自行选择。</w:t>
      </w:r>
    </w:p>
    <w:p w14:paraId="57F3F03A">
      <w:pPr>
        <w:ind w:firstLine="420" w:firstLineChars="200"/>
        <w:rPr>
          <w:rFonts w:hint="eastAsia" w:cs="宋体"/>
          <w:bCs/>
          <w:szCs w:val="21"/>
        </w:rPr>
      </w:pPr>
      <w:r>
        <w:rPr>
          <w:rFonts w:hint="eastAsia" w:cs="宋体"/>
          <w:b/>
          <w:szCs w:val="21"/>
        </w:rPr>
        <w:t>2.</w:t>
      </w:r>
      <w:r>
        <w:rPr>
          <w:rFonts w:hint="eastAsia" w:cs="宋体"/>
          <w:bCs/>
          <w:szCs w:val="21"/>
        </w:rPr>
        <w:t>CA申领完成后进入政采云平台，企业账号与CA进行绑定，凭CA进行项目报名并免费下载招标文件。</w:t>
      </w:r>
    </w:p>
    <w:p w14:paraId="5AA974A7">
      <w:pPr>
        <w:ind w:firstLine="420" w:firstLineChars="200"/>
        <w:rPr>
          <w:rFonts w:hint="eastAsia" w:cs="宋体"/>
          <w:bCs/>
          <w:szCs w:val="21"/>
        </w:rPr>
      </w:pPr>
      <w:r>
        <w:rPr>
          <w:rFonts w:hint="eastAsia" w:cs="宋体"/>
          <w:b/>
          <w:szCs w:val="21"/>
        </w:rPr>
        <w:t>3.</w:t>
      </w:r>
      <w:r>
        <w:rPr>
          <w:rFonts w:hint="eastAsia" w:cs="宋体"/>
          <w:bCs/>
          <w:szCs w:val="21"/>
        </w:rPr>
        <w:t>按上述要求获取文件的投标人视为已合法获取本项目采购文件，具备本项目的投标资格。</w:t>
      </w:r>
    </w:p>
    <w:p w14:paraId="4FC5F3B2">
      <w:pPr>
        <w:ind w:firstLine="420" w:firstLineChars="200"/>
        <w:rPr>
          <w:rFonts w:hint="eastAsia" w:cs="宋体"/>
          <w:bCs/>
          <w:szCs w:val="21"/>
        </w:rPr>
      </w:pPr>
      <w:r>
        <w:rPr>
          <w:rFonts w:hint="eastAsia" w:cs="宋体"/>
          <w:b/>
          <w:szCs w:val="21"/>
        </w:rPr>
        <w:t>4.</w:t>
      </w:r>
      <w:r>
        <w:rPr>
          <w:rFonts w:hint="eastAsia" w:cs="宋体"/>
          <w:bCs/>
          <w:szCs w:val="21"/>
        </w:rPr>
        <w:t>如有问题可拨打政采云客户服务热线95763进行咨询，CA问题可咨询24小时技术支持热线，云南CA操作问题致电：4006727666，紧急联系方式：15288315056；云南壹证通CA操作问题致电：4000040628，紧急联系方式：19988166369。注：投标人如已在云南CA办理过企业数字证书的，直接绑定即可，无需重复办理。云南省外投标人在政采云平台办理的其他CA可直接使用，无需重复办理。</w:t>
      </w:r>
    </w:p>
    <w:p w14:paraId="7822C1A9">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售价（元）：</w:t>
      </w:r>
      <w:r>
        <w:rPr>
          <w:rFonts w:hint="eastAsia" w:cs="宋体"/>
          <w:color w:val="000000" w:themeColor="text1"/>
          <w:szCs w:val="21"/>
          <w14:textFill>
            <w14:solidFill>
              <w14:schemeClr w14:val="tx1"/>
            </w14:solidFill>
          </w14:textFill>
        </w:rPr>
        <w:t>0</w:t>
      </w:r>
    </w:p>
    <w:p w14:paraId="686C73F7">
      <w:pPr>
        <w:pStyle w:val="4"/>
        <w:numPr>
          <w:ilvl w:val="0"/>
          <w:numId w:val="0"/>
        </w:numPr>
        <w:snapToGrid w:val="0"/>
        <w:spacing w:before="165" w:beforeLines="50" w:after="165" w:afterLines="50"/>
        <w:rPr>
          <w:rFonts w:hint="eastAsia" w:eastAsia="宋体" w:cs="宋体"/>
          <w:sz w:val="21"/>
          <w:szCs w:val="21"/>
        </w:rPr>
      </w:pPr>
      <w:bookmarkStart w:id="42" w:name="_Toc2460"/>
      <w:bookmarkStart w:id="43" w:name="_Toc961"/>
      <w:r>
        <w:rPr>
          <w:rFonts w:hint="eastAsia" w:eastAsia="宋体" w:cs="宋体"/>
          <w:sz w:val="21"/>
          <w:szCs w:val="21"/>
        </w:rPr>
        <w:t>四、</w:t>
      </w:r>
      <w:bookmarkEnd w:id="32"/>
      <w:bookmarkEnd w:id="33"/>
      <w:bookmarkEnd w:id="34"/>
      <w:bookmarkEnd w:id="35"/>
      <w:bookmarkEnd w:id="36"/>
      <w:bookmarkEnd w:id="37"/>
      <w:bookmarkEnd w:id="42"/>
      <w:r>
        <w:rPr>
          <w:rFonts w:hint="eastAsia" w:eastAsia="宋体" w:cs="宋体"/>
          <w:sz w:val="21"/>
          <w:szCs w:val="21"/>
        </w:rPr>
        <w:t>投标文件提交</w:t>
      </w:r>
      <w:bookmarkEnd w:id="43"/>
    </w:p>
    <w:p w14:paraId="23A9C970">
      <w:pPr>
        <w:ind w:firstLine="420" w:firstLineChars="200"/>
        <w:rPr>
          <w:rFonts w:hint="eastAsia" w:cs="宋体"/>
          <w:szCs w:val="21"/>
        </w:rPr>
      </w:pPr>
      <w:r>
        <w:rPr>
          <w:rFonts w:hint="eastAsia" w:cs="宋体"/>
          <w:szCs w:val="21"/>
        </w:rPr>
        <w:t>时间：</w:t>
      </w:r>
      <w:r>
        <w:rPr>
          <w:rFonts w:hint="eastAsia" w:cs="宋体"/>
          <w:b/>
          <w:bCs/>
          <w:color w:val="FF0000"/>
          <w:szCs w:val="21"/>
          <w:u w:val="single"/>
        </w:rPr>
        <w:t>2026年06月12日</w:t>
      </w:r>
      <w:r>
        <w:rPr>
          <w:rFonts w:hint="eastAsia" w:cs="宋体"/>
          <w:b/>
          <w:bCs/>
          <w:color w:val="EE0000"/>
          <w:szCs w:val="21"/>
          <w:u w:val="single"/>
        </w:rPr>
        <w:t>09时00分（北京时间）</w:t>
      </w:r>
      <w:r>
        <w:rPr>
          <w:rFonts w:hint="eastAsia" w:cs="宋体"/>
          <w:color w:val="EE0000"/>
          <w:szCs w:val="21"/>
        </w:rPr>
        <w:t>；</w:t>
      </w:r>
    </w:p>
    <w:p w14:paraId="43A18715">
      <w:pPr>
        <w:ind w:firstLine="420" w:firstLineChars="200"/>
        <w:rPr>
          <w:rFonts w:hint="eastAsia"/>
          <w:b/>
          <w:bCs/>
          <w:szCs w:val="21"/>
          <w:u w:val="single"/>
        </w:rPr>
      </w:pPr>
      <w:r>
        <w:rPr>
          <w:rFonts w:hint="eastAsia" w:cs="宋体"/>
          <w:szCs w:val="21"/>
        </w:rPr>
        <w:t>地点：</w:t>
      </w:r>
      <w:r>
        <w:rPr>
          <w:rFonts w:hint="eastAsia"/>
          <w:b/>
          <w:bCs/>
          <w:szCs w:val="21"/>
          <w:u w:val="single"/>
        </w:rPr>
        <w:t>投标人应按照本项目采购文件和“</w:t>
      </w:r>
      <w:r>
        <w:rPr>
          <w:b/>
          <w:bCs/>
          <w:szCs w:val="21"/>
          <w:u w:val="single"/>
        </w:rPr>
        <w:t>政采云</w:t>
      </w:r>
      <w:r>
        <w:rPr>
          <w:rFonts w:hint="eastAsia"/>
          <w:b/>
          <w:bCs/>
          <w:szCs w:val="21"/>
          <w:u w:val="single"/>
        </w:rPr>
        <w:t>”</w:t>
      </w:r>
      <w:r>
        <w:rPr>
          <w:b/>
          <w:bCs/>
          <w:szCs w:val="21"/>
          <w:u w:val="single"/>
        </w:rPr>
        <w:t>平台的要求编制、加密后在投标文件提交截止时间前上传至</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平台，投标文件提交截止时间前未完成投标文件上传的，视为撤回投标文件。投标人在</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平台提交电子版投标文件时，请填写参加远程采购活动经办人联系方式。</w:t>
      </w:r>
    </w:p>
    <w:p w14:paraId="26C80FB7">
      <w:pPr>
        <w:pStyle w:val="4"/>
        <w:numPr>
          <w:ilvl w:val="0"/>
          <w:numId w:val="0"/>
        </w:numPr>
        <w:snapToGrid w:val="0"/>
        <w:spacing w:before="165" w:beforeLines="50" w:after="165" w:afterLines="50"/>
        <w:rPr>
          <w:rFonts w:hint="eastAsia" w:eastAsia="宋体" w:cs="宋体"/>
          <w:sz w:val="21"/>
          <w:szCs w:val="21"/>
        </w:rPr>
      </w:pPr>
      <w:bookmarkStart w:id="44" w:name="_Toc28359007"/>
      <w:bookmarkStart w:id="45" w:name="_Toc35393794"/>
      <w:bookmarkStart w:id="46" w:name="_Toc28359084"/>
      <w:bookmarkStart w:id="47" w:name="_Toc4544"/>
      <w:bookmarkStart w:id="48" w:name="_Toc54552204"/>
      <w:bookmarkStart w:id="49" w:name="_Toc35393625"/>
      <w:bookmarkStart w:id="50" w:name="_Toc28875"/>
      <w:bookmarkStart w:id="51" w:name="_Toc3597"/>
      <w:r>
        <w:rPr>
          <w:rFonts w:hint="eastAsia" w:eastAsia="宋体" w:cs="宋体"/>
          <w:sz w:val="21"/>
          <w:szCs w:val="21"/>
        </w:rPr>
        <w:t>五、公告期限</w:t>
      </w:r>
      <w:bookmarkEnd w:id="44"/>
      <w:bookmarkEnd w:id="45"/>
      <w:bookmarkEnd w:id="46"/>
      <w:bookmarkEnd w:id="47"/>
      <w:bookmarkEnd w:id="48"/>
      <w:bookmarkEnd w:id="49"/>
      <w:bookmarkEnd w:id="50"/>
      <w:bookmarkEnd w:id="51"/>
    </w:p>
    <w:p w14:paraId="640FA636">
      <w:pPr>
        <w:ind w:firstLine="420" w:firstLineChars="200"/>
        <w:rPr>
          <w:rFonts w:hint="eastAsia" w:cs="宋体"/>
          <w:kern w:val="0"/>
          <w:szCs w:val="21"/>
        </w:rPr>
      </w:pPr>
      <w:r>
        <w:rPr>
          <w:rFonts w:hint="eastAsia" w:cs="宋体"/>
          <w:kern w:val="0"/>
          <w:szCs w:val="21"/>
        </w:rPr>
        <w:t>自本公告发布之日起5个工作日。</w:t>
      </w:r>
    </w:p>
    <w:p w14:paraId="47685170">
      <w:pPr>
        <w:pStyle w:val="4"/>
        <w:numPr>
          <w:ilvl w:val="0"/>
          <w:numId w:val="0"/>
        </w:numPr>
        <w:snapToGrid w:val="0"/>
        <w:spacing w:before="165" w:beforeLines="50" w:after="165" w:afterLines="50"/>
        <w:rPr>
          <w:rFonts w:hint="eastAsia" w:eastAsia="宋体" w:cs="宋体"/>
          <w:sz w:val="21"/>
          <w:szCs w:val="21"/>
        </w:rPr>
      </w:pPr>
      <w:bookmarkStart w:id="52" w:name="_Toc10366"/>
      <w:bookmarkStart w:id="53" w:name="_Toc2689"/>
      <w:r>
        <w:rPr>
          <w:rFonts w:hint="eastAsia" w:eastAsia="宋体" w:cs="宋体"/>
          <w:sz w:val="21"/>
          <w:szCs w:val="21"/>
        </w:rPr>
        <w:t>六、其他补充事宜</w:t>
      </w:r>
      <w:bookmarkEnd w:id="52"/>
      <w:bookmarkEnd w:id="53"/>
    </w:p>
    <w:p w14:paraId="08091E24">
      <w:pPr>
        <w:ind w:firstLine="420" w:firstLineChars="200"/>
        <w:rPr>
          <w:rFonts w:hint="eastAsia" w:cs="宋体"/>
        </w:rPr>
      </w:pPr>
      <w:r>
        <w:rPr>
          <w:rFonts w:hint="eastAsia" w:cs="宋体"/>
        </w:rPr>
        <w:t>开标方式：</w:t>
      </w:r>
      <w:r>
        <w:rPr>
          <w:bCs/>
          <w:szCs w:val="21"/>
        </w:rPr>
        <w:t>网上开标</w:t>
      </w:r>
    </w:p>
    <w:p w14:paraId="60D6067F">
      <w:pPr>
        <w:ind w:firstLine="420" w:firstLineChars="200"/>
        <w:rPr>
          <w:rFonts w:hint="eastAsia" w:cs="宋体"/>
          <w:b/>
          <w:bCs/>
        </w:rPr>
      </w:pPr>
      <w:r>
        <w:rPr>
          <w:rFonts w:hint="eastAsia" w:cs="宋体"/>
          <w:b/>
          <w:bCs/>
        </w:rPr>
        <w:t>是否需要缴纳投标保证金：是</w:t>
      </w:r>
    </w:p>
    <w:p w14:paraId="0DC4118D">
      <w:pPr>
        <w:ind w:firstLine="420" w:firstLineChars="200"/>
        <w:rPr>
          <w:rFonts w:hint="eastAsia"/>
          <w:b/>
          <w:bCs/>
        </w:rPr>
      </w:pPr>
      <w:r>
        <w:rPr>
          <w:rFonts w:hint="eastAsia" w:cs="宋体"/>
          <w:b/>
          <w:bCs/>
          <w:szCs w:val="21"/>
        </w:rPr>
        <w:t>（</w:t>
      </w:r>
      <w:r>
        <w:rPr>
          <w:rFonts w:hint="eastAsia"/>
          <w:b/>
          <w:bCs/>
        </w:rPr>
        <w:t>1</w:t>
      </w:r>
      <w:r>
        <w:rPr>
          <w:rFonts w:cs="宋体"/>
          <w:b/>
          <w:bCs/>
          <w:szCs w:val="21"/>
        </w:rPr>
        <w:t>）</w:t>
      </w:r>
      <w:r>
        <w:rPr>
          <w:rFonts w:hint="eastAsia" w:cs="宋体"/>
          <w:b/>
          <w:bCs/>
          <w:szCs w:val="21"/>
        </w:rPr>
        <w:t>洱源县人民医院体检中心设备与医疗服务保障能力提升项目设备采购-1标段</w:t>
      </w:r>
      <w:r>
        <w:rPr>
          <w:rFonts w:cs="宋体"/>
          <w:b/>
          <w:bCs/>
          <w:szCs w:val="21"/>
        </w:rPr>
        <w:t>:</w:t>
      </w:r>
    </w:p>
    <w:p w14:paraId="35E218C7">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20000.00元</w:t>
      </w:r>
    </w:p>
    <w:p w14:paraId="3DDD59D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6FCD6FBD">
      <w:pPr>
        <w:ind w:firstLine="840" w:firstLineChars="400"/>
        <w:rPr>
          <w:rFonts w:hint="eastAsia" w:cs="宋体"/>
          <w:b/>
          <w:bCs/>
          <w:color w:val="EE0000"/>
          <w:szCs w:val="21"/>
        </w:rPr>
      </w:pPr>
      <w:r>
        <w:rPr>
          <w:rFonts w:hint="eastAsia" w:cs="宋体"/>
        </w:rPr>
        <w:t>保证金缴纳截止时间（同开标时间）：</w:t>
      </w:r>
      <w:r>
        <w:rPr>
          <w:rFonts w:hint="eastAsia" w:cs="宋体"/>
          <w:b/>
          <w:bCs/>
          <w:color w:val="FF0000"/>
          <w:szCs w:val="21"/>
        </w:rPr>
        <w:t>2026年06月12日09时00分</w:t>
      </w:r>
    </w:p>
    <w:p w14:paraId="78E0F911">
      <w:pPr>
        <w:ind w:firstLine="420" w:firstLineChars="200"/>
        <w:rPr>
          <w:rFonts w:hint="eastAsia"/>
          <w:b/>
          <w:bCs/>
        </w:rPr>
      </w:pPr>
      <w:r>
        <w:rPr>
          <w:rFonts w:hint="eastAsia" w:cs="宋体"/>
          <w:b/>
          <w:bCs/>
          <w:szCs w:val="21"/>
        </w:rPr>
        <w:t>（</w:t>
      </w:r>
      <w:r>
        <w:rPr>
          <w:rFonts w:hint="eastAsia"/>
          <w:b/>
          <w:bCs/>
        </w:rPr>
        <w:t>2</w:t>
      </w:r>
      <w:r>
        <w:rPr>
          <w:rFonts w:cs="宋体"/>
          <w:b/>
          <w:bCs/>
          <w:szCs w:val="21"/>
        </w:rPr>
        <w:t>）</w:t>
      </w:r>
      <w:r>
        <w:rPr>
          <w:rFonts w:hint="eastAsia" w:cs="宋体"/>
          <w:b/>
          <w:bCs/>
          <w:szCs w:val="21"/>
        </w:rPr>
        <w:t>洱源县人民医院体检中心设备与医疗服务保障能力提升项目设备采购-2标段</w:t>
      </w:r>
      <w:r>
        <w:rPr>
          <w:rFonts w:cs="宋体"/>
          <w:b/>
          <w:bCs/>
          <w:szCs w:val="21"/>
        </w:rPr>
        <w:t>:</w:t>
      </w:r>
    </w:p>
    <w:p w14:paraId="69BFEFC5">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035E364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302E3CD8">
      <w:pPr>
        <w:ind w:firstLine="840" w:firstLineChars="400"/>
        <w:rPr>
          <w:rFonts w:hint="eastAsia" w:cs="宋体"/>
          <w:b/>
          <w:bCs/>
          <w:color w:val="FF0000"/>
          <w:szCs w:val="21"/>
        </w:rPr>
      </w:pPr>
      <w:r>
        <w:rPr>
          <w:rFonts w:hint="eastAsia" w:cs="宋体"/>
        </w:rPr>
        <w:t>保证金缴纳截止时间（同开标时间）：</w:t>
      </w:r>
      <w:r>
        <w:rPr>
          <w:rFonts w:hint="eastAsia" w:cs="宋体"/>
          <w:b/>
          <w:bCs/>
          <w:color w:val="FF0000"/>
          <w:szCs w:val="21"/>
        </w:rPr>
        <w:t>2026年06月12日09时00分</w:t>
      </w:r>
    </w:p>
    <w:p w14:paraId="67482146">
      <w:pPr>
        <w:ind w:firstLine="420" w:firstLineChars="200"/>
        <w:rPr>
          <w:rFonts w:hint="eastAsia"/>
          <w:b/>
          <w:bCs/>
        </w:rPr>
      </w:pPr>
      <w:r>
        <w:rPr>
          <w:rFonts w:hint="eastAsia" w:cs="宋体"/>
          <w:b/>
          <w:bCs/>
          <w:szCs w:val="21"/>
        </w:rPr>
        <w:t>（</w:t>
      </w:r>
      <w:r>
        <w:rPr>
          <w:rFonts w:hint="eastAsia"/>
          <w:b/>
          <w:bCs/>
        </w:rPr>
        <w:t>3</w:t>
      </w:r>
      <w:r>
        <w:rPr>
          <w:rFonts w:cs="宋体"/>
          <w:b/>
          <w:bCs/>
          <w:szCs w:val="21"/>
        </w:rPr>
        <w:t>）</w:t>
      </w:r>
      <w:r>
        <w:rPr>
          <w:rFonts w:hint="eastAsia" w:cs="宋体"/>
          <w:b/>
          <w:bCs/>
          <w:szCs w:val="21"/>
        </w:rPr>
        <w:t>洱源县人民医院体检中心设备与医疗服务保障能力提升项目设备采购-3标段</w:t>
      </w:r>
      <w:r>
        <w:rPr>
          <w:rFonts w:cs="宋体"/>
          <w:b/>
          <w:bCs/>
          <w:szCs w:val="21"/>
        </w:rPr>
        <w:t>:</w:t>
      </w:r>
    </w:p>
    <w:p w14:paraId="55315611">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5000.00元</w:t>
      </w:r>
    </w:p>
    <w:p w14:paraId="4689D6E0">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2BBF5C64">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0D3E9AE4">
      <w:pPr>
        <w:ind w:firstLine="420" w:firstLineChars="200"/>
        <w:rPr>
          <w:rFonts w:hint="eastAsia"/>
          <w:b/>
          <w:bCs/>
        </w:rPr>
      </w:pPr>
      <w:r>
        <w:rPr>
          <w:rFonts w:hint="eastAsia" w:cs="宋体"/>
          <w:b/>
          <w:bCs/>
          <w:szCs w:val="21"/>
        </w:rPr>
        <w:t>（</w:t>
      </w:r>
      <w:r>
        <w:rPr>
          <w:rFonts w:hint="eastAsia"/>
          <w:b/>
          <w:bCs/>
        </w:rPr>
        <w:t>4</w:t>
      </w:r>
      <w:r>
        <w:rPr>
          <w:rFonts w:cs="宋体"/>
          <w:b/>
          <w:bCs/>
          <w:szCs w:val="21"/>
        </w:rPr>
        <w:t>）</w:t>
      </w:r>
      <w:r>
        <w:rPr>
          <w:rFonts w:hint="eastAsia" w:cs="宋体"/>
          <w:b/>
          <w:bCs/>
          <w:szCs w:val="21"/>
        </w:rPr>
        <w:t>洱源县人民医院体检中心设备与医疗服务保障能力提升项目设备采购-4标段</w:t>
      </w:r>
      <w:r>
        <w:rPr>
          <w:rFonts w:cs="宋体"/>
          <w:b/>
          <w:bCs/>
          <w:szCs w:val="21"/>
        </w:rPr>
        <w:t>:</w:t>
      </w:r>
    </w:p>
    <w:p w14:paraId="35C8D074">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73F1D1BF">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1F0883E6">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46925485">
      <w:pPr>
        <w:ind w:firstLine="420" w:firstLineChars="200"/>
        <w:rPr>
          <w:rFonts w:hint="eastAsia"/>
          <w:b/>
          <w:bCs/>
        </w:rPr>
      </w:pPr>
      <w:r>
        <w:rPr>
          <w:rFonts w:hint="eastAsia" w:cs="宋体"/>
          <w:b/>
          <w:bCs/>
          <w:szCs w:val="21"/>
        </w:rPr>
        <w:t>（</w:t>
      </w:r>
      <w:r>
        <w:rPr>
          <w:rFonts w:hint="eastAsia"/>
          <w:b/>
          <w:bCs/>
        </w:rPr>
        <w:t>5</w:t>
      </w:r>
      <w:r>
        <w:rPr>
          <w:rFonts w:cs="宋体"/>
          <w:b/>
          <w:bCs/>
          <w:szCs w:val="21"/>
        </w:rPr>
        <w:t>）</w:t>
      </w:r>
      <w:r>
        <w:rPr>
          <w:rFonts w:hint="eastAsia" w:cs="宋体"/>
          <w:b/>
          <w:bCs/>
          <w:szCs w:val="21"/>
        </w:rPr>
        <w:t>洱源县人民医院体检中心设备与医疗服务保障能力提升项目设备采购-5标段</w:t>
      </w:r>
      <w:r>
        <w:rPr>
          <w:rFonts w:cs="宋体"/>
          <w:b/>
          <w:bCs/>
          <w:szCs w:val="21"/>
        </w:rPr>
        <w:t>:</w:t>
      </w:r>
    </w:p>
    <w:p w14:paraId="76C14136">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6000.00元</w:t>
      </w:r>
    </w:p>
    <w:p w14:paraId="6EEFBF15">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7E827C3D">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37449A8D">
      <w:pPr>
        <w:ind w:firstLine="420" w:firstLineChars="200"/>
        <w:rPr>
          <w:rFonts w:hint="eastAsia" w:cs="宋体"/>
          <w:b/>
          <w:bCs/>
        </w:rPr>
      </w:pPr>
      <w:r>
        <w:rPr>
          <w:rFonts w:hint="eastAsia" w:cs="宋体"/>
          <w:b/>
          <w:bCs/>
        </w:rPr>
        <w:t>其他：</w:t>
      </w:r>
    </w:p>
    <w:p w14:paraId="5DE9D47C">
      <w:pPr>
        <w:ind w:firstLine="420" w:firstLineChars="200"/>
        <w:rPr>
          <w:rFonts w:hint="eastAsia"/>
          <w:szCs w:val="21"/>
        </w:rPr>
      </w:pPr>
      <w:r>
        <w:rPr>
          <w:rFonts w:hint="eastAsia" w:cs="宋体"/>
          <w:b/>
          <w:bCs/>
          <w:szCs w:val="21"/>
        </w:rPr>
        <w:t>★1、</w:t>
      </w:r>
      <w:r>
        <w:rPr>
          <w:szCs w:val="21"/>
        </w:rPr>
        <w:t>本项目</w:t>
      </w:r>
      <w:r>
        <w:rPr>
          <w:rFonts w:hint="eastAsia"/>
          <w:b/>
          <w:bCs/>
          <w:szCs w:val="21"/>
          <w:u w:val="single"/>
        </w:rPr>
        <w:t>不</w:t>
      </w:r>
      <w:r>
        <w:rPr>
          <w:b/>
          <w:bCs/>
          <w:szCs w:val="21"/>
          <w:u w:val="single"/>
        </w:rPr>
        <w:t>接受</w:t>
      </w:r>
      <w:r>
        <w:rPr>
          <w:szCs w:val="21"/>
        </w:rPr>
        <w:t>进口产品参与投标，进口产品是指通过中国海关报关验放进入中国境内且产自关境外的产品。</w:t>
      </w:r>
    </w:p>
    <w:p w14:paraId="6E897AE7">
      <w:pPr>
        <w:ind w:firstLine="420" w:firstLineChars="200"/>
        <w:rPr>
          <w:rFonts w:hint="eastAsia" w:cs="宋体"/>
          <w:b/>
          <w:bCs/>
          <w:szCs w:val="21"/>
        </w:rPr>
      </w:pPr>
      <w:r>
        <w:rPr>
          <w:rFonts w:hint="eastAsia" w:cs="宋体"/>
          <w:b/>
          <w:bCs/>
          <w:szCs w:val="21"/>
        </w:rPr>
        <w:t>★2、</w:t>
      </w:r>
      <w:r>
        <w:rPr>
          <w:b/>
          <w:bCs/>
          <w:szCs w:val="21"/>
        </w:rPr>
        <w:t>交货期：</w:t>
      </w:r>
      <w:r>
        <w:rPr>
          <w:rFonts w:hint="eastAsia"/>
          <w:szCs w:val="21"/>
        </w:rPr>
        <w:t>合同签订后30个日历日内完成交货及安装</w:t>
      </w:r>
      <w:r>
        <w:rPr>
          <w:szCs w:val="21"/>
        </w:rPr>
        <w:t>。</w:t>
      </w:r>
    </w:p>
    <w:p w14:paraId="2B3CD24D">
      <w:pPr>
        <w:ind w:firstLine="420" w:firstLineChars="200"/>
        <w:rPr>
          <w:rFonts w:hint="eastAsia" w:cs="宋体"/>
          <w:b/>
          <w:bCs/>
          <w:szCs w:val="21"/>
        </w:rPr>
      </w:pPr>
      <w:r>
        <w:rPr>
          <w:rFonts w:hint="eastAsia" w:cs="宋体"/>
          <w:b/>
          <w:bCs/>
          <w:szCs w:val="21"/>
        </w:rPr>
        <w:t>★3、</w:t>
      </w:r>
      <w:r>
        <w:rPr>
          <w:b/>
          <w:bCs/>
          <w:szCs w:val="21"/>
        </w:rPr>
        <w:t>交货地点：</w:t>
      </w:r>
      <w:r>
        <w:rPr>
          <w:rFonts w:hint="eastAsia"/>
          <w:szCs w:val="21"/>
        </w:rPr>
        <w:t>采购人指定地点。</w:t>
      </w:r>
    </w:p>
    <w:p w14:paraId="575C9A7B">
      <w:pPr>
        <w:ind w:firstLine="420" w:firstLineChars="200"/>
        <w:rPr>
          <w:rFonts w:hint="eastAsia"/>
        </w:rPr>
      </w:pPr>
      <w:r>
        <w:rPr>
          <w:rFonts w:hint="eastAsia" w:cs="宋体"/>
          <w:b/>
          <w:bCs/>
          <w:szCs w:val="21"/>
        </w:rPr>
        <w:t>★</w:t>
      </w:r>
      <w:r>
        <w:rPr>
          <w:rFonts w:hint="eastAsia"/>
          <w:b/>
          <w:bCs/>
        </w:rPr>
        <w:t>4、</w:t>
      </w:r>
      <w:r>
        <w:rPr>
          <w:b/>
          <w:bCs/>
        </w:rPr>
        <w:t>交货方式：</w:t>
      </w:r>
      <w:r>
        <w:t>现场安装调试验收完成。</w:t>
      </w:r>
    </w:p>
    <w:p w14:paraId="169F379A">
      <w:pPr>
        <w:ind w:firstLine="420" w:firstLineChars="200"/>
        <w:rPr>
          <w:rFonts w:hint="eastAsia"/>
          <w:szCs w:val="21"/>
        </w:rPr>
      </w:pPr>
      <w:r>
        <w:rPr>
          <w:rFonts w:hint="eastAsia" w:cs="宋体"/>
          <w:b/>
          <w:bCs/>
          <w:szCs w:val="21"/>
        </w:rPr>
        <w:t>★</w:t>
      </w:r>
      <w:r>
        <w:rPr>
          <w:rFonts w:hint="eastAsia"/>
          <w:b/>
          <w:bCs/>
          <w:szCs w:val="21"/>
        </w:rPr>
        <w:t>5、</w:t>
      </w:r>
      <w:r>
        <w:rPr>
          <w:b/>
          <w:bCs/>
          <w:szCs w:val="21"/>
        </w:rPr>
        <w:t>质量要求：</w:t>
      </w:r>
      <w:r>
        <w:rPr>
          <w:szCs w:val="21"/>
        </w:rPr>
        <w:t>有国家标准和行业标准的，按国家标准和行业标准执行，满足质量要求和使用需求的全新产品，满足采购人需求，一次验收合格。</w:t>
      </w:r>
    </w:p>
    <w:p w14:paraId="7524DD64">
      <w:pPr>
        <w:ind w:firstLine="420" w:firstLineChars="200"/>
        <w:rPr>
          <w:rFonts w:hint="eastAsia" w:cs="宋体"/>
          <w:b/>
          <w:szCs w:val="22"/>
        </w:rPr>
      </w:pPr>
      <w:r>
        <w:rPr>
          <w:rFonts w:hint="eastAsia" w:cs="宋体"/>
          <w:b/>
          <w:bCs/>
          <w:szCs w:val="21"/>
        </w:rPr>
        <w:t>6、本项目公告发布媒体：在</w:t>
      </w:r>
      <w:r>
        <w:rPr>
          <w:rFonts w:hint="eastAsia" w:cs="宋体"/>
          <w:b/>
          <w:bCs/>
          <w:szCs w:val="22"/>
        </w:rPr>
        <w:t>《云南省政府采购网》上发布。</w:t>
      </w:r>
      <w:r>
        <w:rPr>
          <w:rFonts w:hint="eastAsia" w:cs="宋体"/>
          <w:b/>
          <w:szCs w:val="22"/>
        </w:rPr>
        <w:t>采购人及采购代理机构对其他网站发布或转载的公告内容不承担任何责任。</w:t>
      </w:r>
    </w:p>
    <w:p w14:paraId="34244CAC">
      <w:pPr>
        <w:wordWrap w:val="0"/>
        <w:ind w:firstLine="420" w:firstLineChars="200"/>
        <w:rPr>
          <w:rFonts w:hint="eastAsia" w:cs="宋体"/>
          <w:bCs/>
          <w:szCs w:val="22"/>
        </w:rPr>
      </w:pPr>
      <w:r>
        <w:rPr>
          <w:rFonts w:hint="eastAsia" w:cs="宋体"/>
          <w:b/>
          <w:szCs w:val="22"/>
        </w:rPr>
        <w:t>注：</w:t>
      </w:r>
      <w:r>
        <w:rPr>
          <w:rFonts w:hint="eastAsia" w:cs="宋体"/>
          <w:bCs/>
          <w:szCs w:val="22"/>
        </w:rPr>
        <w:t>1.本项目为不见面开标，投标单位无需到达现场；</w:t>
      </w:r>
    </w:p>
    <w:p w14:paraId="46036D04">
      <w:pPr>
        <w:wordWrap w:val="0"/>
        <w:ind w:firstLine="420" w:firstLineChars="200"/>
        <w:rPr>
          <w:rFonts w:hint="eastAsia" w:cs="宋体"/>
          <w:bCs/>
          <w:szCs w:val="22"/>
        </w:rPr>
      </w:pPr>
      <w:r>
        <w:rPr>
          <w:rFonts w:hint="eastAsia"/>
          <w14:ligatures w14:val="standardContextual"/>
        </w:rPr>
        <w:t>2.本次采购公告在云南省政府采购网上发布。请各位供应商在递交投标（响应）文件前随时查看，以获取最新的消息。</w:t>
      </w:r>
    </w:p>
    <w:p w14:paraId="6641D7C8">
      <w:pPr>
        <w:wordWrap w:val="0"/>
        <w:topLinePunct/>
        <w:ind w:firstLine="420" w:firstLineChars="200"/>
        <w:rPr>
          <w:rFonts w:hint="eastAsia" w:cs="宋体"/>
          <w:bCs/>
          <w:szCs w:val="22"/>
        </w:rPr>
      </w:pPr>
      <w:r>
        <w:rPr>
          <w:rFonts w:hint="eastAsia"/>
          <w14:ligatures w14:val="standardContextual"/>
        </w:rPr>
        <w:t>3.本次项目采用全流程电子化采购方式，各供应商认真学习云南省政府采购电子交易平台（政采云）发布的相关操作手册。操作手册查询链接：https://helpcenter.zcygov.cn/document/#/document/dashboard?siteCode=yunnan。如有疑问联系95763。（1）供应商注册。供应商须在云南省政府采购电子交易平台注册后，方可参与项目。操作路径：云南省政府采购电子交易平台-业务支持-用户注册-供应商模块。（2）CA数字证书办理。供应商须办理有效CA数字证书。申领链接：https://middle.zcygov.cn/ca/apply/choose。（3）CA数字证书绑定。供应商进行CA绑定。操作路径：云南省政府采购电子交易平台-我的工作台-系统管理-ca管理-ca绑定。（4）采购文件获取。供应商须在采购公告规定的文件获取期限内，使用账号密码或ca数字证书登录平台，获取采购文件。操作路径：云南省政府采购电子交易平台-我的工作台-项目采购--获取采购文件。请务必在规定期限内获取采购文件，逾期将无法获取。（5）投标（响应）文件编制与递交。供应商须下载投标（响应）客户端，通过客户端编制投标（响应）文件，并线上递交。投标客户端下载路径：https://market.zcygov.cn/application-market/#/download/list（6）开评标。供应商须在项目指定的开标时间前，提前登录政府采购电子交易平台，并在规定时间内完成解密，如供应商因自身原因，无法在规定时间内解密的，自行承担后果（如：设备故障、浏览器故障、未安装相关驱动、网络故障、加密CA与解密CA不一致等）。操作路径：云南省政府采购电子交易平台-我的工作台-项目采购-开标评标-进入开标大厅。</w:t>
      </w:r>
    </w:p>
    <w:p w14:paraId="2EEDAB23">
      <w:pPr>
        <w:pStyle w:val="4"/>
        <w:numPr>
          <w:ilvl w:val="0"/>
          <w:numId w:val="0"/>
        </w:numPr>
        <w:snapToGrid w:val="0"/>
        <w:spacing w:before="165" w:beforeLines="50" w:after="165" w:afterLines="50"/>
        <w:rPr>
          <w:rFonts w:hint="eastAsia" w:eastAsia="宋体" w:cs="宋体"/>
          <w:sz w:val="21"/>
          <w:szCs w:val="21"/>
        </w:rPr>
      </w:pPr>
      <w:bookmarkStart w:id="54" w:name="_Toc2074"/>
      <w:bookmarkStart w:id="55" w:name="_Toc20759"/>
      <w:bookmarkStart w:id="56" w:name="_Toc26381"/>
      <w:r>
        <w:rPr>
          <w:rFonts w:hint="eastAsia" w:eastAsia="宋体" w:cs="宋体"/>
          <w:sz w:val="21"/>
          <w:szCs w:val="21"/>
        </w:rPr>
        <w:t>七、对本次招标提出询问，请按以下方式联系</w:t>
      </w:r>
      <w:bookmarkEnd w:id="38"/>
      <w:bookmarkEnd w:id="39"/>
      <w:bookmarkEnd w:id="40"/>
      <w:bookmarkEnd w:id="41"/>
      <w:bookmarkEnd w:id="54"/>
      <w:bookmarkEnd w:id="55"/>
      <w:r>
        <w:rPr>
          <w:rFonts w:hint="eastAsia" w:eastAsia="宋体" w:cs="宋体"/>
          <w:sz w:val="21"/>
          <w:szCs w:val="21"/>
        </w:rPr>
        <w:t>。</w:t>
      </w:r>
      <w:bookmarkEnd w:id="56"/>
    </w:p>
    <w:p w14:paraId="56342BFD">
      <w:pPr>
        <w:widowControl/>
        <w:ind w:firstLine="420" w:firstLineChars="200"/>
        <w:rPr>
          <w:rFonts w:hint="eastAsia" w:cs="宋体"/>
          <w:b/>
          <w:bCs/>
          <w:szCs w:val="21"/>
        </w:rPr>
      </w:pPr>
      <w:r>
        <w:rPr>
          <w:rFonts w:hint="eastAsia" w:cs="宋体"/>
          <w:b/>
          <w:bCs/>
          <w:szCs w:val="21"/>
        </w:rPr>
        <w:t>1.采购人信息</w:t>
      </w:r>
    </w:p>
    <w:p w14:paraId="56342BFE">
      <w:pPr>
        <w:ind w:firstLine="420" w:firstLineChars="200"/>
        <w:rPr>
          <w:rFonts w:hint="eastAsia" w:cs="宋体"/>
          <w:szCs w:val="21"/>
        </w:rPr>
      </w:pPr>
      <w:r>
        <w:rPr>
          <w:rFonts w:hint="eastAsia" w:cs="宋体"/>
          <w:szCs w:val="21"/>
        </w:rPr>
        <w:t>名称：</w:t>
      </w:r>
      <w:r>
        <w:rPr>
          <w:rFonts w:hint="eastAsia" w:cs="宋体"/>
          <w:szCs w:val="21"/>
          <w:u w:val="single"/>
        </w:rPr>
        <w:t>洱源县人民医院</w:t>
      </w:r>
    </w:p>
    <w:p w14:paraId="56342BFF">
      <w:pPr>
        <w:ind w:firstLine="420" w:firstLineChars="200"/>
        <w:rPr>
          <w:rFonts w:hint="eastAsia" w:cs="宋体"/>
          <w:szCs w:val="21"/>
        </w:rPr>
      </w:pPr>
      <w:r>
        <w:rPr>
          <w:rFonts w:hint="eastAsia" w:cs="宋体"/>
          <w:bCs/>
          <w:szCs w:val="21"/>
        </w:rPr>
        <w:t>地址</w:t>
      </w:r>
      <w:r>
        <w:rPr>
          <w:rFonts w:hint="eastAsia" w:cs="宋体"/>
          <w:szCs w:val="21"/>
        </w:rPr>
        <w:t>：</w:t>
      </w:r>
      <w:r>
        <w:rPr>
          <w:rFonts w:hint="eastAsia" w:cs="宋体"/>
          <w:szCs w:val="21"/>
          <w:u w:val="single"/>
        </w:rPr>
        <w:t>大理州洱源县茈碧湖镇文康路43号</w:t>
      </w:r>
    </w:p>
    <w:p w14:paraId="56342C00">
      <w:pPr>
        <w:ind w:firstLine="420" w:firstLineChars="200"/>
        <w:rPr>
          <w:rFonts w:hint="eastAsia" w:cs="宋体"/>
          <w:bCs/>
          <w:szCs w:val="21"/>
        </w:rPr>
      </w:pPr>
      <w:r>
        <w:rPr>
          <w:rFonts w:hint="eastAsia" w:cs="宋体"/>
          <w:bCs/>
          <w:szCs w:val="21"/>
        </w:rPr>
        <w:t>联系方式：</w:t>
      </w:r>
      <w:bookmarkStart w:id="57" w:name="_Toc35393807"/>
      <w:bookmarkStart w:id="58" w:name="_Toc28359097"/>
      <w:bookmarkStart w:id="59" w:name="_Toc28359020"/>
      <w:bookmarkStart w:id="60" w:name="_Toc35393638"/>
      <w:r>
        <w:rPr>
          <w:rFonts w:hint="eastAsia" w:cs="宋体"/>
          <w:bCs/>
          <w:color w:val="000000" w:themeColor="text1"/>
          <w:szCs w:val="21"/>
          <w:u w:val="single"/>
          <w14:textFill>
            <w14:solidFill>
              <w14:schemeClr w14:val="tx1"/>
            </w14:solidFill>
          </w14:textFill>
        </w:rPr>
        <w:t>刘老师（0872-5121128）</w:t>
      </w:r>
    </w:p>
    <w:p w14:paraId="56342C01">
      <w:pPr>
        <w:tabs>
          <w:tab w:val="left" w:pos="312"/>
        </w:tabs>
        <w:ind w:firstLine="420" w:firstLineChars="200"/>
        <w:rPr>
          <w:rFonts w:hint="eastAsia" w:cs="宋体"/>
          <w:b/>
          <w:szCs w:val="21"/>
        </w:rPr>
      </w:pPr>
      <w:r>
        <w:rPr>
          <w:rFonts w:hint="eastAsia" w:cs="宋体"/>
          <w:b/>
          <w:szCs w:val="21"/>
        </w:rPr>
        <w:t>2</w:t>
      </w:r>
      <w:r>
        <w:rPr>
          <w:rFonts w:cs="宋体"/>
          <w:b/>
          <w:szCs w:val="21"/>
        </w:rPr>
        <w:t>.</w:t>
      </w:r>
      <w:r>
        <w:rPr>
          <w:rFonts w:hint="eastAsia" w:cs="宋体"/>
          <w:b/>
          <w:szCs w:val="21"/>
        </w:rPr>
        <w:t>采购代理机构信息</w:t>
      </w:r>
      <w:bookmarkEnd w:id="57"/>
      <w:bookmarkEnd w:id="58"/>
      <w:bookmarkEnd w:id="59"/>
      <w:bookmarkEnd w:id="60"/>
    </w:p>
    <w:p w14:paraId="415100FE">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r>
        <w:rPr>
          <w:rFonts w:hint="eastAsia" w:cs="宋体"/>
          <w:color w:val="000000" w:themeColor="text1"/>
          <w:szCs w:val="21"/>
          <w:u w:val="single"/>
          <w14:textFill>
            <w14:solidFill>
              <w14:schemeClr w14:val="tx1"/>
            </w14:solidFill>
          </w14:textFill>
        </w:rPr>
        <w:t>云南招标股份有限公司</w:t>
      </w:r>
    </w:p>
    <w:p w14:paraId="5B9FD49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地址：</w:t>
      </w:r>
      <w:r>
        <w:rPr>
          <w:rFonts w:hint="eastAsia" w:cs="宋体"/>
          <w:color w:val="000000" w:themeColor="text1"/>
          <w:szCs w:val="21"/>
          <w:u w:val="single"/>
          <w14:textFill>
            <w14:solidFill>
              <w14:schemeClr w14:val="tx1"/>
            </w14:solidFill>
          </w14:textFill>
        </w:rPr>
        <w:t>云南省昆明市五华区人民西路328号</w:t>
      </w:r>
    </w:p>
    <w:p w14:paraId="1DAC3153">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联系方式：</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p w14:paraId="71ED1005">
      <w:pPr>
        <w:ind w:firstLine="420" w:firstLineChars="200"/>
        <w:rPr>
          <w:rFonts w:hint="eastAsia" w:cs="宋体"/>
          <w:b/>
          <w:bCs/>
          <w:color w:val="000000" w:themeColor="text1"/>
          <w:szCs w:val="21"/>
          <w14:textFill>
            <w14:solidFill>
              <w14:schemeClr w14:val="tx1"/>
            </w14:solidFill>
          </w14:textFill>
        </w:rPr>
      </w:pPr>
      <w:bookmarkStart w:id="61" w:name="_Toc28359021"/>
      <w:bookmarkStart w:id="62" w:name="_Toc35393808"/>
      <w:bookmarkStart w:id="63" w:name="_Toc28359098"/>
      <w:bookmarkStart w:id="64" w:name="_Toc35393639"/>
      <w:r>
        <w:rPr>
          <w:rFonts w:hint="eastAsia" w:cs="宋体"/>
          <w:b/>
          <w:bCs/>
          <w:color w:val="000000" w:themeColor="text1"/>
          <w:szCs w:val="21"/>
          <w14:textFill>
            <w14:solidFill>
              <w14:schemeClr w14:val="tx1"/>
            </w14:solidFill>
          </w14:textFill>
        </w:rPr>
        <w:t>3.项目联系方式</w:t>
      </w:r>
      <w:bookmarkEnd w:id="61"/>
      <w:bookmarkEnd w:id="62"/>
      <w:bookmarkEnd w:id="63"/>
      <w:bookmarkEnd w:id="64"/>
    </w:p>
    <w:p w14:paraId="2E8C8BF9">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项目联系人：</w:t>
      </w:r>
      <w:r>
        <w:rPr>
          <w:rFonts w:hint="eastAsia"/>
          <w:color w:val="000000" w:themeColor="text1"/>
          <w:szCs w:val="21"/>
          <w:u w:val="single"/>
          <w14:textFill>
            <w14:solidFill>
              <w14:schemeClr w14:val="tx1"/>
            </w14:solidFill>
          </w14:textFill>
        </w:rPr>
        <w:t>谭思思、臧敏、邵航军、师继承、郑艳</w:t>
      </w:r>
    </w:p>
    <w:p w14:paraId="56342C07">
      <w:pPr>
        <w:ind w:firstLine="420" w:firstLineChars="200"/>
        <w:rPr>
          <w:rFonts w:hint="eastAsia" w:cs="宋体"/>
          <w:szCs w:val="21"/>
        </w:rPr>
      </w:pPr>
      <w:r>
        <w:rPr>
          <w:rFonts w:hint="eastAsia" w:cs="宋体"/>
          <w:color w:val="000000" w:themeColor="text1"/>
          <w:szCs w:val="21"/>
          <w14:textFill>
            <w14:solidFill>
              <w14:schemeClr w14:val="tx1"/>
            </w14:solidFill>
          </w14:textFill>
        </w:rPr>
        <w:t>电话：</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bookmarkEnd w:id="5"/>
    <w:bookmarkEnd w:id="6"/>
    <w:bookmarkEnd w:id="7"/>
    <w:p w14:paraId="63581383">
      <w:pPr>
        <w:widowControl/>
        <w:spacing w:line="240" w:lineRule="auto"/>
        <w:jc w:val="left"/>
        <w:rPr>
          <w:rFonts w:hint="eastAsia" w:cs="宋体"/>
          <w:b/>
          <w:bCs/>
          <w:sz w:val="36"/>
        </w:rPr>
      </w:pPr>
      <w:bookmarkStart w:id="65" w:name="_Toc1621"/>
      <w:r>
        <w:rPr>
          <w:rFonts w:hint="eastAsia" w:cs="宋体"/>
          <w:b/>
          <w:bCs/>
          <w:sz w:val="36"/>
        </w:rPr>
        <w:br w:type="page"/>
      </w:r>
    </w:p>
    <w:p w14:paraId="5A88E133">
      <w:pPr>
        <w:outlineLvl w:val="1"/>
        <w:rPr>
          <w:rFonts w:hint="eastAsia" w:cs="宋体"/>
          <w:b/>
          <w:bCs/>
          <w:sz w:val="24"/>
          <w:szCs w:val="20"/>
        </w:rPr>
      </w:pPr>
      <w:bookmarkStart w:id="66" w:name="_Toc12259"/>
      <w:r>
        <w:rPr>
          <w:rFonts w:hint="eastAsia" w:cs="宋体"/>
          <w:b/>
          <w:bCs/>
          <w:sz w:val="24"/>
          <w:szCs w:val="20"/>
        </w:rPr>
        <w:t>附件：采购公告附件</w:t>
      </w:r>
      <w:bookmarkEnd w:id="66"/>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711"/>
        <w:gridCol w:w="520"/>
        <w:gridCol w:w="734"/>
        <w:gridCol w:w="1672"/>
        <w:gridCol w:w="429"/>
        <w:gridCol w:w="546"/>
        <w:gridCol w:w="941"/>
        <w:gridCol w:w="1143"/>
        <w:gridCol w:w="1062"/>
        <w:gridCol w:w="2018"/>
      </w:tblGrid>
      <w:tr w14:paraId="5C888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blHeader/>
          <w:jc w:val="center"/>
        </w:trPr>
        <w:tc>
          <w:tcPr>
            <w:tcW w:w="370" w:type="pct"/>
            <w:shd w:val="clear" w:color="auto" w:fill="FFFFFF"/>
            <w:vAlign w:val="center"/>
          </w:tcPr>
          <w:p w14:paraId="47522DF7">
            <w:pPr>
              <w:widowControl/>
              <w:spacing w:line="276" w:lineRule="auto"/>
              <w:jc w:val="center"/>
              <w:rPr>
                <w:rFonts w:hint="eastAsia" w:cs="宋体"/>
                <w:b/>
                <w:bCs/>
                <w:szCs w:val="21"/>
              </w:rPr>
            </w:pPr>
            <w:r>
              <w:rPr>
                <w:rFonts w:hint="eastAsia" w:cs="宋体"/>
                <w:b/>
                <w:bCs/>
                <w:szCs w:val="21"/>
              </w:rPr>
              <w:t>标段号</w:t>
            </w:r>
          </w:p>
        </w:tc>
        <w:tc>
          <w:tcPr>
            <w:tcW w:w="272" w:type="pct"/>
            <w:shd w:val="clear" w:color="auto" w:fill="FFFFFF"/>
            <w:vAlign w:val="center"/>
          </w:tcPr>
          <w:p w14:paraId="4B480B65">
            <w:pPr>
              <w:widowControl/>
              <w:spacing w:line="276" w:lineRule="auto"/>
              <w:jc w:val="center"/>
              <w:rPr>
                <w:rFonts w:hint="eastAsia" w:cs="宋体"/>
                <w:b/>
                <w:bCs/>
                <w:szCs w:val="21"/>
              </w:rPr>
            </w:pPr>
            <w:r>
              <w:rPr>
                <w:rFonts w:hint="eastAsia" w:cs="宋体"/>
                <w:b/>
                <w:bCs/>
                <w:szCs w:val="21"/>
              </w:rPr>
              <w:t>序号</w:t>
            </w:r>
          </w:p>
        </w:tc>
        <w:tc>
          <w:tcPr>
            <w:tcW w:w="381" w:type="pct"/>
            <w:shd w:val="clear" w:color="auto" w:fill="FFFFFF"/>
            <w:vAlign w:val="center"/>
          </w:tcPr>
          <w:p w14:paraId="457D1037">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861" w:type="pct"/>
            <w:shd w:val="clear" w:color="auto" w:fill="FFFFFF"/>
            <w:vAlign w:val="center"/>
          </w:tcPr>
          <w:p w14:paraId="69E3D4EF">
            <w:pPr>
              <w:widowControl/>
              <w:spacing w:line="276" w:lineRule="auto"/>
              <w:jc w:val="center"/>
              <w:rPr>
                <w:rFonts w:hint="eastAsia"/>
                <w:b/>
                <w:kern w:val="0"/>
                <w:szCs w:val="21"/>
              </w:rPr>
            </w:pPr>
            <w:r>
              <w:rPr>
                <w:rFonts w:hint="eastAsia"/>
                <w:b/>
                <w:kern w:val="0"/>
                <w:szCs w:val="21"/>
              </w:rPr>
              <w:t>采购内容</w:t>
            </w:r>
          </w:p>
        </w:tc>
        <w:tc>
          <w:tcPr>
            <w:tcW w:w="225" w:type="pct"/>
            <w:shd w:val="clear" w:color="auto" w:fill="FFFFFF"/>
            <w:vAlign w:val="center"/>
          </w:tcPr>
          <w:p w14:paraId="646CD58D">
            <w:pPr>
              <w:widowControl/>
              <w:spacing w:line="276" w:lineRule="auto"/>
              <w:jc w:val="center"/>
              <w:rPr>
                <w:rFonts w:hint="eastAsia"/>
                <w:b/>
                <w:kern w:val="0"/>
                <w:szCs w:val="21"/>
              </w:rPr>
            </w:pPr>
            <w:r>
              <w:rPr>
                <w:b/>
                <w:kern w:val="0"/>
                <w:szCs w:val="21"/>
              </w:rPr>
              <w:t>数量</w:t>
            </w:r>
          </w:p>
        </w:tc>
        <w:tc>
          <w:tcPr>
            <w:tcW w:w="285" w:type="pct"/>
            <w:shd w:val="clear" w:color="auto" w:fill="FFFFFF"/>
            <w:vAlign w:val="center"/>
          </w:tcPr>
          <w:p w14:paraId="3E495E4F">
            <w:pPr>
              <w:widowControl/>
              <w:spacing w:line="276" w:lineRule="auto"/>
              <w:jc w:val="center"/>
              <w:rPr>
                <w:rFonts w:hint="eastAsia"/>
                <w:b/>
                <w:kern w:val="0"/>
                <w:szCs w:val="21"/>
              </w:rPr>
            </w:pPr>
            <w:r>
              <w:rPr>
                <w:b/>
                <w:kern w:val="0"/>
                <w:szCs w:val="21"/>
              </w:rPr>
              <w:t>计量单位</w:t>
            </w:r>
          </w:p>
        </w:tc>
        <w:tc>
          <w:tcPr>
            <w:tcW w:w="487" w:type="pct"/>
            <w:shd w:val="clear" w:color="auto" w:fill="FFFFFF"/>
            <w:vAlign w:val="center"/>
          </w:tcPr>
          <w:p w14:paraId="1FB3DF9B">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52960E28">
            <w:pPr>
              <w:widowControl/>
              <w:spacing w:line="276" w:lineRule="auto"/>
              <w:jc w:val="center"/>
              <w:rPr>
                <w:rFonts w:hint="eastAsia"/>
                <w:b/>
                <w:kern w:val="0"/>
                <w:szCs w:val="21"/>
              </w:rPr>
            </w:pPr>
            <w:r>
              <w:rPr>
                <w:rFonts w:hint="eastAsia" w:cs="宋体"/>
                <w:b/>
                <w:bCs/>
                <w:kern w:val="0"/>
                <w:szCs w:val="21"/>
              </w:rPr>
              <w:t>（元）</w:t>
            </w:r>
          </w:p>
        </w:tc>
        <w:tc>
          <w:tcPr>
            <w:tcW w:w="590" w:type="pct"/>
            <w:shd w:val="clear" w:color="auto" w:fill="FFFFFF"/>
            <w:vAlign w:val="center"/>
          </w:tcPr>
          <w:p w14:paraId="61A9EDFE">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b/>
                <w:kern w:val="0"/>
                <w:szCs w:val="21"/>
              </w:rPr>
              <w:t>元</w:t>
            </w:r>
            <w:r>
              <w:rPr>
                <w:b/>
                <w:kern w:val="0"/>
                <w:szCs w:val="21"/>
              </w:rPr>
              <w:t>)</w:t>
            </w:r>
          </w:p>
        </w:tc>
        <w:tc>
          <w:tcPr>
            <w:tcW w:w="549" w:type="pct"/>
            <w:shd w:val="clear" w:color="auto" w:fill="FFFFFF"/>
            <w:vAlign w:val="center"/>
          </w:tcPr>
          <w:p w14:paraId="4F1C24D4">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b/>
                <w:kern w:val="0"/>
                <w:szCs w:val="21"/>
              </w:rPr>
              <w:t>元</w:t>
            </w:r>
            <w:r>
              <w:rPr>
                <w:b/>
                <w:kern w:val="0"/>
                <w:szCs w:val="21"/>
              </w:rPr>
              <w:t>)</w:t>
            </w:r>
          </w:p>
        </w:tc>
        <w:tc>
          <w:tcPr>
            <w:tcW w:w="980" w:type="pct"/>
            <w:shd w:val="clear" w:color="auto" w:fill="FFFFFF"/>
            <w:vAlign w:val="center"/>
          </w:tcPr>
          <w:p w14:paraId="05BDC704">
            <w:pPr>
              <w:widowControl/>
              <w:spacing w:line="276" w:lineRule="auto"/>
              <w:jc w:val="center"/>
              <w:rPr>
                <w:rFonts w:hint="eastAsia"/>
                <w:b/>
                <w:kern w:val="0"/>
                <w:szCs w:val="21"/>
              </w:rPr>
            </w:pPr>
            <w:r>
              <w:rPr>
                <w:rFonts w:hint="eastAsia"/>
                <w:b/>
                <w:kern w:val="0"/>
                <w:szCs w:val="21"/>
              </w:rPr>
              <w:t>简要技术参数要求</w:t>
            </w:r>
          </w:p>
        </w:tc>
      </w:tr>
      <w:tr w14:paraId="0B259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6A2D979A">
            <w:pPr>
              <w:widowControl/>
              <w:jc w:val="center"/>
              <w:rPr>
                <w:rFonts w:hint="eastAsia"/>
                <w:b/>
                <w:kern w:val="0"/>
                <w:szCs w:val="21"/>
              </w:rPr>
            </w:pPr>
            <w:r>
              <w:rPr>
                <w:rFonts w:hint="eastAsia"/>
                <w:b/>
                <w:kern w:val="0"/>
                <w:szCs w:val="21"/>
              </w:rPr>
              <w:t>1标段</w:t>
            </w:r>
          </w:p>
        </w:tc>
        <w:tc>
          <w:tcPr>
            <w:tcW w:w="272" w:type="pct"/>
            <w:shd w:val="clear" w:color="auto" w:fill="FFFFFF"/>
            <w:vAlign w:val="center"/>
          </w:tcPr>
          <w:p w14:paraId="6DDD6398">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4C4E186C">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0BBED3">
            <w:pPr>
              <w:widowControl/>
              <w:spacing w:line="276" w:lineRule="auto"/>
              <w:jc w:val="center"/>
              <w:rPr>
                <w:rFonts w:hint="eastAsia"/>
                <w:b/>
                <w:bCs/>
                <w:kern w:val="0"/>
                <w:szCs w:val="21"/>
              </w:rPr>
            </w:pPr>
            <w:r>
              <w:rPr>
                <w:rFonts w:hint="eastAsia" w:cs="方正仿宋_GB2312"/>
                <w:b/>
                <w:bCs/>
                <w:szCs w:val="21"/>
              </w:rPr>
              <w:t>数字化摄影X射线系统（DR）</w:t>
            </w:r>
          </w:p>
        </w:tc>
        <w:tc>
          <w:tcPr>
            <w:tcW w:w="225" w:type="pct"/>
            <w:shd w:val="clear" w:color="auto" w:fill="FFFFFF"/>
            <w:vAlign w:val="center"/>
          </w:tcPr>
          <w:p w14:paraId="3CA48B74">
            <w:pPr>
              <w:widowControl/>
              <w:jc w:val="center"/>
              <w:rPr>
                <w:rFonts w:hint="eastAsia"/>
                <w:kern w:val="0"/>
                <w:szCs w:val="21"/>
              </w:rPr>
            </w:pPr>
            <w:r>
              <w:rPr>
                <w:rFonts w:hint="eastAsia"/>
                <w:kern w:val="0"/>
                <w:szCs w:val="21"/>
              </w:rPr>
              <w:t>1</w:t>
            </w:r>
          </w:p>
        </w:tc>
        <w:tc>
          <w:tcPr>
            <w:tcW w:w="285" w:type="pct"/>
            <w:shd w:val="clear" w:color="auto" w:fill="FFFFFF"/>
            <w:vAlign w:val="center"/>
          </w:tcPr>
          <w:p w14:paraId="0F86C313">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3FF672E3">
            <w:pPr>
              <w:widowControl/>
              <w:jc w:val="center"/>
              <w:rPr>
                <w:rFonts w:hint="eastAsia"/>
                <w:b/>
                <w:bCs/>
                <w:kern w:val="0"/>
                <w:szCs w:val="21"/>
              </w:rPr>
            </w:pPr>
            <w:r>
              <w:rPr>
                <w:rStyle w:val="382"/>
                <w:rFonts w:hint="eastAsia"/>
                <w:szCs w:val="21"/>
              </w:rPr>
              <w:t>30.00</w:t>
            </w:r>
          </w:p>
        </w:tc>
        <w:tc>
          <w:tcPr>
            <w:tcW w:w="590" w:type="pct"/>
            <w:shd w:val="clear" w:color="auto" w:fill="FFFFFF"/>
            <w:vAlign w:val="center"/>
          </w:tcPr>
          <w:p w14:paraId="6CA25723">
            <w:pPr>
              <w:widowControl/>
              <w:jc w:val="center"/>
              <w:rPr>
                <w:rFonts w:hint="eastAsia"/>
                <w:b/>
                <w:bCs/>
                <w:kern w:val="0"/>
                <w:szCs w:val="21"/>
              </w:rPr>
            </w:pPr>
            <w:r>
              <w:rPr>
                <w:rStyle w:val="382"/>
                <w:rFonts w:hint="eastAsia"/>
                <w:szCs w:val="21"/>
              </w:rPr>
              <w:t>30.00</w:t>
            </w:r>
          </w:p>
        </w:tc>
        <w:tc>
          <w:tcPr>
            <w:tcW w:w="549" w:type="pct"/>
            <w:vMerge w:val="restart"/>
            <w:shd w:val="clear" w:color="auto" w:fill="FFFFFF"/>
            <w:vAlign w:val="center"/>
          </w:tcPr>
          <w:p w14:paraId="2AF5D067">
            <w:pPr>
              <w:widowControl/>
              <w:jc w:val="center"/>
              <w:rPr>
                <w:rFonts w:hint="eastAsia"/>
                <w:b/>
                <w:kern w:val="0"/>
                <w:szCs w:val="21"/>
              </w:rPr>
            </w:pPr>
            <w:r>
              <w:rPr>
                <w:rStyle w:val="382"/>
                <w:rFonts w:hint="eastAsia"/>
                <w:b/>
                <w:bCs/>
                <w:szCs w:val="21"/>
              </w:rPr>
              <w:t>230.00</w:t>
            </w:r>
          </w:p>
        </w:tc>
        <w:tc>
          <w:tcPr>
            <w:tcW w:w="980" w:type="pct"/>
            <w:shd w:val="clear" w:color="auto" w:fill="FFFFFF"/>
            <w:vAlign w:val="center"/>
          </w:tcPr>
          <w:p w14:paraId="3348CE78">
            <w:pPr>
              <w:widowControl/>
              <w:jc w:val="center"/>
              <w:rPr>
                <w:rFonts w:hint="eastAsia"/>
                <w:bCs/>
                <w:kern w:val="0"/>
                <w:szCs w:val="21"/>
              </w:rPr>
            </w:pPr>
            <w:r>
              <w:rPr>
                <w:rFonts w:hint="eastAsia"/>
                <w:color w:val="000000"/>
                <w:szCs w:val="21"/>
                <w14:ligatures w14:val="standardContextual"/>
              </w:rPr>
              <w:t>逆变频率：≥450KHZ</w:t>
            </w:r>
          </w:p>
        </w:tc>
      </w:tr>
      <w:tr w14:paraId="62D60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196EBC1A">
            <w:pPr>
              <w:widowControl/>
              <w:jc w:val="center"/>
              <w:rPr>
                <w:rFonts w:hint="eastAsia"/>
                <w:b/>
                <w:kern w:val="0"/>
                <w:szCs w:val="21"/>
              </w:rPr>
            </w:pPr>
          </w:p>
        </w:tc>
        <w:tc>
          <w:tcPr>
            <w:tcW w:w="272" w:type="pct"/>
            <w:shd w:val="clear" w:color="auto" w:fill="FFFFFF"/>
            <w:vAlign w:val="center"/>
          </w:tcPr>
          <w:p w14:paraId="78DD1037">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ECDECB2">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CFE1673">
            <w:pPr>
              <w:widowControl/>
              <w:spacing w:line="276" w:lineRule="auto"/>
              <w:jc w:val="center"/>
              <w:rPr>
                <w:rFonts w:hint="eastAsia"/>
                <w:b/>
                <w:bCs/>
                <w:kern w:val="0"/>
                <w:szCs w:val="21"/>
              </w:rPr>
            </w:pPr>
            <w:r>
              <w:rPr>
                <w:rFonts w:hint="eastAsia" w:cs="方正仿宋_GB2312"/>
                <w:b/>
                <w:bCs/>
                <w:szCs w:val="21"/>
              </w:rPr>
              <w:t>彩色多普勒超声诊断仪</w:t>
            </w:r>
          </w:p>
        </w:tc>
        <w:tc>
          <w:tcPr>
            <w:tcW w:w="225" w:type="pct"/>
            <w:shd w:val="clear" w:color="auto" w:fill="FFFFFF"/>
            <w:vAlign w:val="center"/>
          </w:tcPr>
          <w:p w14:paraId="0AAFEC95">
            <w:pPr>
              <w:widowControl/>
              <w:jc w:val="center"/>
              <w:rPr>
                <w:rFonts w:hint="eastAsia"/>
                <w:kern w:val="0"/>
                <w:szCs w:val="21"/>
              </w:rPr>
            </w:pPr>
            <w:r>
              <w:rPr>
                <w:rFonts w:hint="eastAsia"/>
                <w:kern w:val="0"/>
                <w:szCs w:val="21"/>
              </w:rPr>
              <w:t>1</w:t>
            </w:r>
          </w:p>
        </w:tc>
        <w:tc>
          <w:tcPr>
            <w:tcW w:w="285" w:type="pct"/>
            <w:shd w:val="clear" w:color="auto" w:fill="FFFFFF"/>
            <w:vAlign w:val="center"/>
          </w:tcPr>
          <w:p w14:paraId="1A13C974">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042418E6">
            <w:pPr>
              <w:widowControl/>
              <w:jc w:val="center"/>
              <w:rPr>
                <w:rFonts w:hint="eastAsia"/>
                <w:b/>
                <w:bCs/>
                <w:kern w:val="0"/>
                <w:szCs w:val="21"/>
              </w:rPr>
            </w:pPr>
            <w:r>
              <w:rPr>
                <w:rStyle w:val="382"/>
                <w:rFonts w:hint="eastAsia"/>
                <w:szCs w:val="21"/>
              </w:rPr>
              <w:t>200.00</w:t>
            </w:r>
          </w:p>
        </w:tc>
        <w:tc>
          <w:tcPr>
            <w:tcW w:w="590" w:type="pct"/>
            <w:shd w:val="clear" w:color="auto" w:fill="FFFFFF"/>
            <w:vAlign w:val="center"/>
          </w:tcPr>
          <w:p w14:paraId="77DBD40B">
            <w:pPr>
              <w:widowControl/>
              <w:jc w:val="center"/>
              <w:rPr>
                <w:rFonts w:hint="eastAsia"/>
                <w:b/>
                <w:bCs/>
                <w:kern w:val="0"/>
                <w:szCs w:val="21"/>
              </w:rPr>
            </w:pPr>
            <w:r>
              <w:rPr>
                <w:rStyle w:val="382"/>
                <w:rFonts w:hint="eastAsia"/>
                <w:szCs w:val="21"/>
              </w:rPr>
              <w:t>200.00</w:t>
            </w:r>
          </w:p>
        </w:tc>
        <w:tc>
          <w:tcPr>
            <w:tcW w:w="549" w:type="pct"/>
            <w:vMerge w:val="continue"/>
            <w:shd w:val="clear" w:color="auto" w:fill="FFFFFF"/>
            <w:vAlign w:val="center"/>
          </w:tcPr>
          <w:p w14:paraId="47629571">
            <w:pPr>
              <w:widowControl/>
              <w:jc w:val="center"/>
              <w:rPr>
                <w:rFonts w:hint="eastAsia"/>
                <w:bCs/>
                <w:kern w:val="0"/>
                <w:szCs w:val="21"/>
              </w:rPr>
            </w:pPr>
          </w:p>
        </w:tc>
        <w:tc>
          <w:tcPr>
            <w:tcW w:w="980" w:type="pct"/>
            <w:shd w:val="clear" w:color="auto" w:fill="FFFFFF"/>
            <w:vAlign w:val="center"/>
          </w:tcPr>
          <w:p w14:paraId="2C0BFC2D">
            <w:pPr>
              <w:widowControl/>
              <w:jc w:val="center"/>
              <w:rPr>
                <w:rFonts w:hint="eastAsia"/>
                <w:bCs/>
                <w:kern w:val="0"/>
                <w:szCs w:val="21"/>
              </w:rPr>
            </w:pPr>
            <w:r>
              <w:rPr>
                <w:rFonts w:hint="eastAsia"/>
                <w:szCs w:val="21"/>
                <w14:ligatures w14:val="standardContextual"/>
              </w:rPr>
              <w:t>具备集束精准发射技术</w:t>
            </w:r>
          </w:p>
        </w:tc>
      </w:tr>
      <w:tr w14:paraId="7CA7C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7A7A0F61">
            <w:pPr>
              <w:widowControl/>
              <w:jc w:val="center"/>
              <w:rPr>
                <w:rFonts w:hint="eastAsia"/>
                <w:b/>
                <w:kern w:val="0"/>
                <w:szCs w:val="21"/>
              </w:rPr>
            </w:pPr>
            <w:r>
              <w:rPr>
                <w:rFonts w:hint="eastAsia"/>
                <w:b/>
                <w:kern w:val="0"/>
                <w:szCs w:val="21"/>
              </w:rPr>
              <w:t>2标段</w:t>
            </w:r>
          </w:p>
        </w:tc>
        <w:tc>
          <w:tcPr>
            <w:tcW w:w="272" w:type="pct"/>
            <w:shd w:val="clear" w:color="auto" w:fill="FFFFFF"/>
            <w:vAlign w:val="center"/>
          </w:tcPr>
          <w:p w14:paraId="6CC41F46">
            <w:pPr>
              <w:widowControl/>
              <w:jc w:val="center"/>
              <w:rPr>
                <w:rFonts w:hint="eastAsia"/>
                <w:b/>
                <w:kern w:val="0"/>
                <w:szCs w:val="21"/>
              </w:rPr>
            </w:pPr>
            <w:r>
              <w:rPr>
                <w:rFonts w:hint="eastAsia" w:cs="方正仿宋_GB2312"/>
                <w:b/>
                <w:bCs/>
                <w:szCs w:val="21"/>
              </w:rPr>
              <w:t>1</w:t>
            </w:r>
          </w:p>
        </w:tc>
        <w:tc>
          <w:tcPr>
            <w:tcW w:w="381" w:type="pct"/>
            <w:shd w:val="clear" w:color="auto" w:fill="FFFFFF"/>
            <w:vAlign w:val="center"/>
          </w:tcPr>
          <w:p w14:paraId="1CCB5E8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0F643E0">
            <w:pPr>
              <w:widowControl/>
              <w:spacing w:line="276" w:lineRule="auto"/>
              <w:jc w:val="center"/>
              <w:rPr>
                <w:rFonts w:hint="eastAsia"/>
                <w:b/>
                <w:bCs/>
                <w:kern w:val="0"/>
                <w:szCs w:val="21"/>
              </w:rPr>
            </w:pPr>
            <w:r>
              <w:rPr>
                <w:rFonts w:hint="eastAsia" w:cs="方正仿宋_GB2312"/>
                <w:b/>
                <w:bCs/>
                <w:szCs w:val="21"/>
              </w:rPr>
              <w:t>动脉硬化检测仪</w:t>
            </w:r>
          </w:p>
        </w:tc>
        <w:tc>
          <w:tcPr>
            <w:tcW w:w="225" w:type="pct"/>
            <w:shd w:val="clear" w:color="auto" w:fill="FFFFFF"/>
            <w:vAlign w:val="center"/>
          </w:tcPr>
          <w:p w14:paraId="4296B241">
            <w:pPr>
              <w:widowControl/>
              <w:jc w:val="center"/>
              <w:rPr>
                <w:rFonts w:hint="eastAsia"/>
                <w:kern w:val="0"/>
                <w:szCs w:val="21"/>
              </w:rPr>
            </w:pPr>
            <w:r>
              <w:rPr>
                <w:rFonts w:hint="eastAsia"/>
                <w:szCs w:val="21"/>
              </w:rPr>
              <w:t>1</w:t>
            </w:r>
          </w:p>
        </w:tc>
        <w:tc>
          <w:tcPr>
            <w:tcW w:w="285" w:type="pct"/>
            <w:shd w:val="clear" w:color="auto" w:fill="FFFFFF"/>
            <w:vAlign w:val="center"/>
          </w:tcPr>
          <w:p w14:paraId="2A414533">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25088A59">
            <w:pPr>
              <w:widowControl/>
              <w:jc w:val="center"/>
              <w:rPr>
                <w:rFonts w:hint="eastAsia"/>
                <w:b/>
                <w:bCs/>
                <w:kern w:val="0"/>
                <w:szCs w:val="21"/>
              </w:rPr>
            </w:pPr>
            <w:r>
              <w:rPr>
                <w:rStyle w:val="382"/>
                <w:rFonts w:hint="eastAsia"/>
                <w:szCs w:val="21"/>
              </w:rPr>
              <w:t>8.00</w:t>
            </w:r>
          </w:p>
        </w:tc>
        <w:tc>
          <w:tcPr>
            <w:tcW w:w="590" w:type="pct"/>
            <w:shd w:val="clear" w:color="auto" w:fill="FFFFFF"/>
            <w:vAlign w:val="center"/>
          </w:tcPr>
          <w:p w14:paraId="53B0437C">
            <w:pPr>
              <w:widowControl/>
              <w:jc w:val="center"/>
              <w:rPr>
                <w:rFonts w:hint="eastAsia"/>
                <w:b/>
                <w:bCs/>
                <w:kern w:val="0"/>
                <w:szCs w:val="21"/>
              </w:rPr>
            </w:pPr>
            <w:r>
              <w:rPr>
                <w:rStyle w:val="382"/>
                <w:rFonts w:hint="eastAsia"/>
                <w:szCs w:val="21"/>
              </w:rPr>
              <w:t>8.00</w:t>
            </w:r>
          </w:p>
        </w:tc>
        <w:tc>
          <w:tcPr>
            <w:tcW w:w="549" w:type="pct"/>
            <w:vMerge w:val="restart"/>
            <w:shd w:val="clear" w:color="auto" w:fill="FFFFFF"/>
            <w:vAlign w:val="center"/>
          </w:tcPr>
          <w:p w14:paraId="2C19CD01">
            <w:pPr>
              <w:widowControl/>
              <w:jc w:val="center"/>
              <w:rPr>
                <w:rFonts w:hint="eastAsia"/>
                <w:bCs/>
                <w:kern w:val="0"/>
                <w:szCs w:val="21"/>
              </w:rPr>
            </w:pPr>
            <w:r>
              <w:rPr>
                <w:rStyle w:val="382"/>
                <w:rFonts w:hint="eastAsia"/>
                <w:b/>
                <w:bCs/>
                <w:szCs w:val="21"/>
              </w:rPr>
              <w:t>43.28</w:t>
            </w:r>
          </w:p>
        </w:tc>
        <w:tc>
          <w:tcPr>
            <w:tcW w:w="980" w:type="pct"/>
            <w:shd w:val="clear" w:color="auto" w:fill="FFFFFF"/>
            <w:vAlign w:val="center"/>
          </w:tcPr>
          <w:p w14:paraId="74DA7AD9">
            <w:pPr>
              <w:widowControl/>
              <w:jc w:val="center"/>
              <w:rPr>
                <w:rFonts w:hint="eastAsia"/>
                <w:bCs/>
                <w:kern w:val="0"/>
                <w:szCs w:val="21"/>
              </w:rPr>
            </w:pPr>
            <w:r>
              <w:rPr>
                <w:rFonts w:hint="eastAsia"/>
                <w:szCs w:val="21"/>
              </w:rPr>
              <w:t>臂围测量范围：≥20-35cm</w:t>
            </w:r>
          </w:p>
        </w:tc>
      </w:tr>
      <w:tr w14:paraId="7A32D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753CB659">
            <w:pPr>
              <w:widowControl/>
              <w:jc w:val="center"/>
              <w:rPr>
                <w:rFonts w:hint="eastAsia"/>
                <w:b/>
                <w:kern w:val="0"/>
                <w:szCs w:val="21"/>
              </w:rPr>
            </w:pPr>
          </w:p>
        </w:tc>
        <w:tc>
          <w:tcPr>
            <w:tcW w:w="272" w:type="pct"/>
            <w:shd w:val="clear" w:color="auto" w:fill="FFFFFF"/>
            <w:vAlign w:val="center"/>
          </w:tcPr>
          <w:p w14:paraId="6343B96D">
            <w:pPr>
              <w:widowControl/>
              <w:jc w:val="center"/>
              <w:rPr>
                <w:rFonts w:hint="eastAsia"/>
                <w:b/>
                <w:kern w:val="0"/>
                <w:szCs w:val="21"/>
              </w:rPr>
            </w:pPr>
            <w:r>
              <w:rPr>
                <w:rFonts w:hint="eastAsia" w:cs="方正仿宋_GB2312"/>
                <w:b/>
                <w:bCs/>
                <w:szCs w:val="21"/>
              </w:rPr>
              <w:t>2</w:t>
            </w:r>
          </w:p>
        </w:tc>
        <w:tc>
          <w:tcPr>
            <w:tcW w:w="381" w:type="pct"/>
            <w:shd w:val="clear" w:color="auto" w:fill="FFFFFF"/>
            <w:vAlign w:val="center"/>
          </w:tcPr>
          <w:p w14:paraId="6B8D1E26">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FCA9024">
            <w:pPr>
              <w:widowControl/>
              <w:spacing w:line="276" w:lineRule="auto"/>
              <w:jc w:val="center"/>
              <w:rPr>
                <w:rFonts w:hint="eastAsia"/>
                <w:b/>
                <w:bCs/>
                <w:kern w:val="0"/>
                <w:szCs w:val="21"/>
              </w:rPr>
            </w:pPr>
            <w:r>
              <w:rPr>
                <w:rFonts w:hint="eastAsia" w:cs="方正仿宋_GB2312"/>
                <w:b/>
                <w:bCs/>
                <w:szCs w:val="21"/>
              </w:rPr>
              <w:t>心电图机</w:t>
            </w:r>
          </w:p>
        </w:tc>
        <w:tc>
          <w:tcPr>
            <w:tcW w:w="225" w:type="pct"/>
            <w:shd w:val="clear" w:color="auto" w:fill="FFFFFF"/>
            <w:vAlign w:val="center"/>
          </w:tcPr>
          <w:p w14:paraId="39088421">
            <w:pPr>
              <w:widowControl/>
              <w:jc w:val="center"/>
              <w:rPr>
                <w:rFonts w:hint="eastAsia"/>
                <w:kern w:val="0"/>
                <w:szCs w:val="21"/>
              </w:rPr>
            </w:pPr>
            <w:r>
              <w:rPr>
                <w:rFonts w:hint="eastAsia"/>
                <w:color w:val="000000"/>
                <w:szCs w:val="21"/>
              </w:rPr>
              <w:t>1</w:t>
            </w:r>
          </w:p>
        </w:tc>
        <w:tc>
          <w:tcPr>
            <w:tcW w:w="285" w:type="pct"/>
            <w:shd w:val="clear" w:color="auto" w:fill="FFFFFF"/>
            <w:vAlign w:val="center"/>
          </w:tcPr>
          <w:p w14:paraId="16C1B1AB">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1FC9B222">
            <w:pPr>
              <w:widowControl/>
              <w:jc w:val="center"/>
              <w:rPr>
                <w:rFonts w:hint="eastAsia"/>
                <w:b/>
                <w:bCs/>
                <w:kern w:val="0"/>
                <w:szCs w:val="21"/>
              </w:rPr>
            </w:pPr>
            <w:r>
              <w:rPr>
                <w:rStyle w:val="382"/>
                <w:rFonts w:hint="eastAsia"/>
                <w:szCs w:val="21"/>
              </w:rPr>
              <w:t>1.98</w:t>
            </w:r>
          </w:p>
        </w:tc>
        <w:tc>
          <w:tcPr>
            <w:tcW w:w="590" w:type="pct"/>
            <w:shd w:val="clear" w:color="auto" w:fill="FFFFFF"/>
            <w:vAlign w:val="center"/>
          </w:tcPr>
          <w:p w14:paraId="17C380FF">
            <w:pPr>
              <w:widowControl/>
              <w:jc w:val="center"/>
              <w:rPr>
                <w:rFonts w:hint="eastAsia"/>
                <w:b/>
                <w:bCs/>
                <w:kern w:val="0"/>
                <w:szCs w:val="21"/>
              </w:rPr>
            </w:pPr>
            <w:r>
              <w:rPr>
                <w:rStyle w:val="382"/>
                <w:rFonts w:hint="eastAsia"/>
                <w:szCs w:val="21"/>
              </w:rPr>
              <w:t>1.98</w:t>
            </w:r>
          </w:p>
        </w:tc>
        <w:tc>
          <w:tcPr>
            <w:tcW w:w="549" w:type="pct"/>
            <w:vMerge w:val="continue"/>
            <w:shd w:val="clear" w:color="auto" w:fill="FFFFFF"/>
            <w:vAlign w:val="center"/>
          </w:tcPr>
          <w:p w14:paraId="4238646B">
            <w:pPr>
              <w:widowControl/>
              <w:jc w:val="center"/>
              <w:rPr>
                <w:rFonts w:hint="eastAsia"/>
                <w:bCs/>
                <w:kern w:val="0"/>
                <w:szCs w:val="21"/>
              </w:rPr>
            </w:pPr>
          </w:p>
        </w:tc>
        <w:tc>
          <w:tcPr>
            <w:tcW w:w="980" w:type="pct"/>
            <w:shd w:val="clear" w:color="auto" w:fill="FFFFFF"/>
            <w:vAlign w:val="center"/>
          </w:tcPr>
          <w:p w14:paraId="0871360A">
            <w:pPr>
              <w:widowControl/>
              <w:jc w:val="center"/>
              <w:rPr>
                <w:rFonts w:hint="eastAsia"/>
                <w:bCs/>
                <w:kern w:val="0"/>
                <w:szCs w:val="21"/>
              </w:rPr>
            </w:pPr>
            <w:r>
              <w:rPr>
                <w:rFonts w:hint="eastAsia"/>
                <w:szCs w:val="21"/>
              </w:rPr>
              <w:t>电压分辨率≥1uV</w:t>
            </w:r>
          </w:p>
        </w:tc>
      </w:tr>
      <w:tr w14:paraId="4C6A2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443E3839">
            <w:pPr>
              <w:widowControl/>
              <w:jc w:val="center"/>
              <w:rPr>
                <w:rFonts w:hint="eastAsia"/>
                <w:b/>
                <w:kern w:val="0"/>
                <w:szCs w:val="21"/>
              </w:rPr>
            </w:pPr>
          </w:p>
        </w:tc>
        <w:tc>
          <w:tcPr>
            <w:tcW w:w="272" w:type="pct"/>
            <w:shd w:val="clear" w:color="auto" w:fill="FFFFFF"/>
            <w:vAlign w:val="center"/>
          </w:tcPr>
          <w:p w14:paraId="11C8B2B2">
            <w:pPr>
              <w:widowControl/>
              <w:jc w:val="center"/>
              <w:rPr>
                <w:rFonts w:hint="eastAsia"/>
                <w:b/>
                <w:kern w:val="0"/>
                <w:szCs w:val="21"/>
              </w:rPr>
            </w:pPr>
            <w:r>
              <w:rPr>
                <w:rFonts w:hint="eastAsia" w:cs="方正仿宋_GB2312"/>
                <w:b/>
                <w:bCs/>
                <w:szCs w:val="21"/>
              </w:rPr>
              <w:t>3</w:t>
            </w:r>
          </w:p>
        </w:tc>
        <w:tc>
          <w:tcPr>
            <w:tcW w:w="381" w:type="pct"/>
            <w:shd w:val="clear" w:color="auto" w:fill="FFFFFF"/>
            <w:vAlign w:val="center"/>
          </w:tcPr>
          <w:p w14:paraId="7574AB54">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7DDA0F7">
            <w:pPr>
              <w:widowControl/>
              <w:spacing w:line="276" w:lineRule="auto"/>
              <w:jc w:val="center"/>
              <w:rPr>
                <w:rFonts w:hint="eastAsia"/>
                <w:b/>
                <w:bCs/>
                <w:kern w:val="0"/>
                <w:szCs w:val="21"/>
              </w:rPr>
            </w:pPr>
            <w:r>
              <w:rPr>
                <w:rFonts w:hint="eastAsia"/>
                <w:b/>
                <w:bCs/>
                <w:color w:val="000000"/>
                <w:szCs w:val="21"/>
              </w:rPr>
              <w:t>动态血压监测仪</w:t>
            </w:r>
          </w:p>
        </w:tc>
        <w:tc>
          <w:tcPr>
            <w:tcW w:w="225" w:type="pct"/>
            <w:shd w:val="clear" w:color="auto" w:fill="FFFFFF"/>
            <w:vAlign w:val="center"/>
          </w:tcPr>
          <w:p w14:paraId="2C74E97D">
            <w:pPr>
              <w:widowControl/>
              <w:jc w:val="center"/>
              <w:rPr>
                <w:rFonts w:hint="eastAsia"/>
                <w:kern w:val="0"/>
                <w:szCs w:val="21"/>
              </w:rPr>
            </w:pPr>
            <w:r>
              <w:rPr>
                <w:rFonts w:hint="eastAsia"/>
                <w:color w:val="000000"/>
                <w:szCs w:val="21"/>
              </w:rPr>
              <w:t>5</w:t>
            </w:r>
          </w:p>
        </w:tc>
        <w:tc>
          <w:tcPr>
            <w:tcW w:w="285" w:type="pct"/>
            <w:shd w:val="clear" w:color="auto" w:fill="FFFFFF"/>
            <w:vAlign w:val="center"/>
          </w:tcPr>
          <w:p w14:paraId="1C2E3E5F">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351B93CF">
            <w:pPr>
              <w:widowControl/>
              <w:jc w:val="center"/>
              <w:rPr>
                <w:rFonts w:hint="eastAsia"/>
                <w:b/>
                <w:bCs/>
                <w:kern w:val="0"/>
                <w:szCs w:val="21"/>
              </w:rPr>
            </w:pPr>
            <w:r>
              <w:rPr>
                <w:rStyle w:val="382"/>
                <w:rFonts w:hint="eastAsia"/>
                <w:szCs w:val="21"/>
              </w:rPr>
              <w:t>1.70</w:t>
            </w:r>
          </w:p>
        </w:tc>
        <w:tc>
          <w:tcPr>
            <w:tcW w:w="590" w:type="pct"/>
            <w:shd w:val="clear" w:color="auto" w:fill="FFFFFF"/>
            <w:vAlign w:val="center"/>
          </w:tcPr>
          <w:p w14:paraId="7E02491B">
            <w:pPr>
              <w:widowControl/>
              <w:jc w:val="center"/>
              <w:rPr>
                <w:rFonts w:hint="eastAsia"/>
                <w:b/>
                <w:bCs/>
                <w:kern w:val="0"/>
                <w:szCs w:val="21"/>
              </w:rPr>
            </w:pPr>
            <w:r>
              <w:rPr>
                <w:rStyle w:val="382"/>
                <w:rFonts w:hint="eastAsia"/>
                <w:szCs w:val="21"/>
              </w:rPr>
              <w:t>8.50</w:t>
            </w:r>
          </w:p>
        </w:tc>
        <w:tc>
          <w:tcPr>
            <w:tcW w:w="549" w:type="pct"/>
            <w:vMerge w:val="continue"/>
            <w:shd w:val="clear" w:color="auto" w:fill="FFFFFF"/>
            <w:vAlign w:val="center"/>
          </w:tcPr>
          <w:p w14:paraId="38BB9A01">
            <w:pPr>
              <w:widowControl/>
              <w:jc w:val="center"/>
              <w:rPr>
                <w:rFonts w:hint="eastAsia"/>
                <w:bCs/>
                <w:kern w:val="0"/>
                <w:szCs w:val="21"/>
              </w:rPr>
            </w:pPr>
          </w:p>
        </w:tc>
        <w:tc>
          <w:tcPr>
            <w:tcW w:w="980" w:type="pct"/>
            <w:shd w:val="clear" w:color="auto" w:fill="FFFFFF"/>
            <w:vAlign w:val="center"/>
          </w:tcPr>
          <w:p w14:paraId="100FE252">
            <w:pPr>
              <w:widowControl/>
              <w:jc w:val="center"/>
              <w:rPr>
                <w:rFonts w:hint="eastAsia"/>
                <w:bCs/>
                <w:kern w:val="0"/>
                <w:szCs w:val="21"/>
              </w:rPr>
            </w:pPr>
            <w:r>
              <w:rPr>
                <w:color w:val="000000" w:themeColor="text1"/>
                <w:szCs w:val="21"/>
                <w14:textFill>
                  <w14:solidFill>
                    <w14:schemeClr w14:val="tx1"/>
                  </w14:solidFill>
                </w14:textFill>
              </w:rPr>
              <w:t>血压测量范围：</w:t>
            </w:r>
            <w:r>
              <w:rPr>
                <w:rFonts w:hint="eastAsia"/>
                <w:color w:val="000000" w:themeColor="text1"/>
                <w:szCs w:val="21"/>
                <w14:textFill>
                  <w14:solidFill>
                    <w14:schemeClr w14:val="tx1"/>
                  </w14:solidFill>
                </w14:textFill>
              </w:rPr>
              <w:t>0~280</w:t>
            </w:r>
            <w:r>
              <w:rPr>
                <w:color w:val="000000" w:themeColor="text1"/>
                <w:szCs w:val="21"/>
                <w14:textFill>
                  <w14:solidFill>
                    <w14:schemeClr w14:val="tx1"/>
                  </w14:solidFill>
                </w14:textFill>
              </w:rPr>
              <w:t xml:space="preserve"> mmHg</w:t>
            </w:r>
          </w:p>
        </w:tc>
      </w:tr>
      <w:tr w14:paraId="7DC61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C5A4642">
            <w:pPr>
              <w:widowControl/>
              <w:jc w:val="center"/>
              <w:rPr>
                <w:rFonts w:hint="eastAsia"/>
                <w:b/>
                <w:kern w:val="0"/>
                <w:szCs w:val="21"/>
              </w:rPr>
            </w:pPr>
          </w:p>
        </w:tc>
        <w:tc>
          <w:tcPr>
            <w:tcW w:w="272" w:type="pct"/>
            <w:shd w:val="clear" w:color="auto" w:fill="FFFFFF"/>
            <w:vAlign w:val="center"/>
          </w:tcPr>
          <w:p w14:paraId="2062CF1E">
            <w:pPr>
              <w:widowControl/>
              <w:jc w:val="center"/>
              <w:rPr>
                <w:rFonts w:hint="eastAsia"/>
                <w:b/>
                <w:kern w:val="0"/>
                <w:szCs w:val="21"/>
              </w:rPr>
            </w:pPr>
            <w:r>
              <w:rPr>
                <w:rFonts w:hint="eastAsia" w:cs="方正仿宋_GB2312"/>
                <w:b/>
                <w:bCs/>
                <w:szCs w:val="21"/>
              </w:rPr>
              <w:t>4</w:t>
            </w:r>
          </w:p>
        </w:tc>
        <w:tc>
          <w:tcPr>
            <w:tcW w:w="381" w:type="pct"/>
            <w:shd w:val="clear" w:color="auto" w:fill="FFFFFF"/>
            <w:vAlign w:val="center"/>
          </w:tcPr>
          <w:p w14:paraId="715F2BA0">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199CEC">
            <w:pPr>
              <w:widowControl/>
              <w:spacing w:line="276" w:lineRule="auto"/>
              <w:jc w:val="center"/>
              <w:rPr>
                <w:rFonts w:hint="eastAsia"/>
                <w:b/>
                <w:bCs/>
                <w:kern w:val="0"/>
                <w:szCs w:val="21"/>
              </w:rPr>
            </w:pPr>
            <w:r>
              <w:rPr>
                <w:rFonts w:hint="eastAsia" w:cs="方正仿宋_GB2312"/>
                <w:b/>
                <w:bCs/>
                <w:szCs w:val="21"/>
              </w:rPr>
              <w:t>动态心电图监测仪</w:t>
            </w:r>
          </w:p>
        </w:tc>
        <w:tc>
          <w:tcPr>
            <w:tcW w:w="225" w:type="pct"/>
            <w:shd w:val="clear" w:color="auto" w:fill="FFFFFF"/>
            <w:vAlign w:val="center"/>
          </w:tcPr>
          <w:p w14:paraId="50A5F70E">
            <w:pPr>
              <w:widowControl/>
              <w:jc w:val="center"/>
              <w:rPr>
                <w:rFonts w:hint="eastAsia"/>
                <w:kern w:val="0"/>
                <w:szCs w:val="21"/>
              </w:rPr>
            </w:pPr>
            <w:r>
              <w:rPr>
                <w:rFonts w:hint="eastAsia"/>
                <w:color w:val="000000"/>
                <w:szCs w:val="21"/>
              </w:rPr>
              <w:t>5</w:t>
            </w:r>
          </w:p>
        </w:tc>
        <w:tc>
          <w:tcPr>
            <w:tcW w:w="285" w:type="pct"/>
            <w:shd w:val="clear" w:color="auto" w:fill="FFFFFF"/>
            <w:vAlign w:val="center"/>
          </w:tcPr>
          <w:p w14:paraId="0A03AE87">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4A4B2DBC">
            <w:pPr>
              <w:widowControl/>
              <w:jc w:val="center"/>
              <w:rPr>
                <w:rFonts w:hint="eastAsia"/>
                <w:b/>
                <w:bCs/>
                <w:kern w:val="0"/>
                <w:szCs w:val="21"/>
              </w:rPr>
            </w:pPr>
            <w:r>
              <w:rPr>
                <w:rStyle w:val="382"/>
                <w:rFonts w:hint="eastAsia"/>
                <w:szCs w:val="21"/>
              </w:rPr>
              <w:t>1.60</w:t>
            </w:r>
          </w:p>
        </w:tc>
        <w:tc>
          <w:tcPr>
            <w:tcW w:w="590" w:type="pct"/>
            <w:shd w:val="clear" w:color="auto" w:fill="FFFFFF"/>
            <w:vAlign w:val="center"/>
          </w:tcPr>
          <w:p w14:paraId="41266415">
            <w:pPr>
              <w:widowControl/>
              <w:jc w:val="center"/>
              <w:rPr>
                <w:rFonts w:hint="eastAsia"/>
                <w:b/>
                <w:bCs/>
                <w:kern w:val="0"/>
                <w:szCs w:val="21"/>
              </w:rPr>
            </w:pPr>
            <w:r>
              <w:rPr>
                <w:rStyle w:val="382"/>
                <w:rFonts w:hint="eastAsia"/>
                <w:szCs w:val="21"/>
              </w:rPr>
              <w:t>8.00</w:t>
            </w:r>
          </w:p>
        </w:tc>
        <w:tc>
          <w:tcPr>
            <w:tcW w:w="549" w:type="pct"/>
            <w:vMerge w:val="continue"/>
            <w:shd w:val="clear" w:color="auto" w:fill="FFFFFF"/>
            <w:vAlign w:val="center"/>
          </w:tcPr>
          <w:p w14:paraId="78DA4AD9">
            <w:pPr>
              <w:widowControl/>
              <w:jc w:val="center"/>
              <w:rPr>
                <w:rFonts w:hint="eastAsia"/>
                <w:bCs/>
                <w:kern w:val="0"/>
                <w:szCs w:val="21"/>
              </w:rPr>
            </w:pPr>
          </w:p>
        </w:tc>
        <w:tc>
          <w:tcPr>
            <w:tcW w:w="980" w:type="pct"/>
            <w:shd w:val="clear" w:color="auto" w:fill="FFFFFF"/>
            <w:vAlign w:val="center"/>
          </w:tcPr>
          <w:p w14:paraId="69766323">
            <w:pPr>
              <w:widowControl/>
              <w:jc w:val="center"/>
              <w:rPr>
                <w:rFonts w:hint="eastAsia"/>
                <w:bCs/>
                <w:kern w:val="0"/>
                <w:szCs w:val="21"/>
              </w:rPr>
            </w:pPr>
            <w:r>
              <w:rPr>
                <w:rFonts w:hint="eastAsia"/>
                <w:szCs w:val="21"/>
              </w:rPr>
              <w:t>支持12导及3通道心电数据采集</w:t>
            </w:r>
          </w:p>
        </w:tc>
      </w:tr>
      <w:tr w14:paraId="21B94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3A09F981">
            <w:pPr>
              <w:widowControl/>
              <w:jc w:val="center"/>
              <w:rPr>
                <w:rFonts w:hint="eastAsia"/>
                <w:b/>
                <w:kern w:val="0"/>
                <w:szCs w:val="21"/>
              </w:rPr>
            </w:pPr>
          </w:p>
        </w:tc>
        <w:tc>
          <w:tcPr>
            <w:tcW w:w="272" w:type="pct"/>
            <w:shd w:val="clear" w:color="auto" w:fill="FFFFFF"/>
            <w:vAlign w:val="center"/>
          </w:tcPr>
          <w:p w14:paraId="247CD20E">
            <w:pPr>
              <w:widowControl/>
              <w:jc w:val="center"/>
              <w:rPr>
                <w:rFonts w:hint="eastAsia"/>
                <w:b/>
                <w:kern w:val="0"/>
                <w:szCs w:val="21"/>
              </w:rPr>
            </w:pPr>
            <w:r>
              <w:rPr>
                <w:rFonts w:hint="eastAsia" w:cs="方正仿宋_GB2312"/>
                <w:b/>
                <w:bCs/>
                <w:szCs w:val="21"/>
              </w:rPr>
              <w:t>5</w:t>
            </w:r>
          </w:p>
        </w:tc>
        <w:tc>
          <w:tcPr>
            <w:tcW w:w="381" w:type="pct"/>
            <w:shd w:val="clear" w:color="auto" w:fill="FFFFFF"/>
            <w:vAlign w:val="center"/>
          </w:tcPr>
          <w:p w14:paraId="012D664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5B95CCD">
            <w:pPr>
              <w:widowControl/>
              <w:spacing w:line="276" w:lineRule="auto"/>
              <w:jc w:val="center"/>
              <w:rPr>
                <w:rFonts w:hint="eastAsia"/>
                <w:b/>
                <w:bCs/>
                <w:kern w:val="0"/>
                <w:szCs w:val="21"/>
              </w:rPr>
            </w:pPr>
            <w:r>
              <w:rPr>
                <w:rFonts w:hint="eastAsia" w:cs="方正仿宋_GB2312"/>
                <w:b/>
                <w:bCs/>
                <w:szCs w:val="21"/>
              </w:rPr>
              <w:t>高频胸壁振荡排痰仪</w:t>
            </w:r>
          </w:p>
        </w:tc>
        <w:tc>
          <w:tcPr>
            <w:tcW w:w="225" w:type="pct"/>
            <w:shd w:val="clear" w:color="auto" w:fill="FFFFFF"/>
            <w:vAlign w:val="center"/>
          </w:tcPr>
          <w:p w14:paraId="732A085A">
            <w:pPr>
              <w:widowControl/>
              <w:jc w:val="center"/>
              <w:rPr>
                <w:rFonts w:hint="eastAsia"/>
                <w:kern w:val="0"/>
                <w:szCs w:val="21"/>
              </w:rPr>
            </w:pPr>
            <w:r>
              <w:rPr>
                <w:rFonts w:hint="eastAsia"/>
                <w:szCs w:val="21"/>
              </w:rPr>
              <w:t>3</w:t>
            </w:r>
          </w:p>
        </w:tc>
        <w:tc>
          <w:tcPr>
            <w:tcW w:w="285" w:type="pct"/>
            <w:shd w:val="clear" w:color="auto" w:fill="FFFFFF"/>
            <w:vAlign w:val="center"/>
          </w:tcPr>
          <w:p w14:paraId="2E8F4EDF">
            <w:pPr>
              <w:widowControl/>
              <w:jc w:val="center"/>
              <w:rPr>
                <w:rFonts w:hint="eastAsia"/>
                <w:kern w:val="0"/>
                <w:szCs w:val="21"/>
              </w:rPr>
            </w:pPr>
            <w:r>
              <w:rPr>
                <w:rFonts w:hint="eastAsia"/>
                <w:color w:val="000000"/>
                <w:szCs w:val="21"/>
              </w:rPr>
              <w:t>台</w:t>
            </w:r>
          </w:p>
        </w:tc>
        <w:tc>
          <w:tcPr>
            <w:tcW w:w="487" w:type="pct"/>
            <w:shd w:val="clear" w:color="auto" w:fill="FFFFFF"/>
            <w:vAlign w:val="center"/>
          </w:tcPr>
          <w:p w14:paraId="4AD18353">
            <w:pPr>
              <w:widowControl/>
              <w:jc w:val="center"/>
              <w:rPr>
                <w:rFonts w:hint="eastAsia"/>
                <w:b/>
                <w:bCs/>
                <w:kern w:val="0"/>
                <w:szCs w:val="21"/>
              </w:rPr>
            </w:pPr>
            <w:r>
              <w:rPr>
                <w:rStyle w:val="382"/>
                <w:rFonts w:hint="eastAsia"/>
                <w:szCs w:val="21"/>
              </w:rPr>
              <w:t>2.60</w:t>
            </w:r>
          </w:p>
        </w:tc>
        <w:tc>
          <w:tcPr>
            <w:tcW w:w="590" w:type="pct"/>
            <w:shd w:val="clear" w:color="auto" w:fill="FFFFFF"/>
            <w:vAlign w:val="center"/>
          </w:tcPr>
          <w:p w14:paraId="62A7D779">
            <w:pPr>
              <w:widowControl/>
              <w:jc w:val="center"/>
              <w:rPr>
                <w:rFonts w:hint="eastAsia"/>
                <w:b/>
                <w:bCs/>
                <w:kern w:val="0"/>
                <w:szCs w:val="21"/>
              </w:rPr>
            </w:pPr>
            <w:r>
              <w:rPr>
                <w:rStyle w:val="382"/>
                <w:rFonts w:hint="eastAsia"/>
                <w:szCs w:val="21"/>
              </w:rPr>
              <w:t>7.80</w:t>
            </w:r>
          </w:p>
        </w:tc>
        <w:tc>
          <w:tcPr>
            <w:tcW w:w="549" w:type="pct"/>
            <w:vMerge w:val="continue"/>
            <w:shd w:val="clear" w:color="auto" w:fill="FFFFFF"/>
            <w:vAlign w:val="center"/>
          </w:tcPr>
          <w:p w14:paraId="5C02325E">
            <w:pPr>
              <w:widowControl/>
              <w:jc w:val="center"/>
              <w:rPr>
                <w:rFonts w:hint="eastAsia"/>
                <w:bCs/>
                <w:kern w:val="0"/>
                <w:szCs w:val="21"/>
              </w:rPr>
            </w:pPr>
          </w:p>
        </w:tc>
        <w:tc>
          <w:tcPr>
            <w:tcW w:w="980" w:type="pct"/>
            <w:shd w:val="clear" w:color="auto" w:fill="FFFFFF"/>
            <w:vAlign w:val="center"/>
          </w:tcPr>
          <w:p w14:paraId="5B533230">
            <w:pPr>
              <w:widowControl/>
              <w:jc w:val="center"/>
              <w:rPr>
                <w:rFonts w:hint="eastAsia"/>
                <w:bCs/>
                <w:kern w:val="0"/>
                <w:szCs w:val="21"/>
              </w:rPr>
            </w:pPr>
            <w:r>
              <w:rPr>
                <w:rFonts w:hint="eastAsia"/>
                <w:szCs w:val="21"/>
              </w:rPr>
              <w:t>频率：≤15Hz</w:t>
            </w:r>
          </w:p>
        </w:tc>
      </w:tr>
      <w:tr w14:paraId="75D3A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continue"/>
            <w:shd w:val="clear" w:color="auto" w:fill="FFFFFF"/>
            <w:vAlign w:val="center"/>
          </w:tcPr>
          <w:p w14:paraId="604F8553">
            <w:pPr>
              <w:widowControl/>
              <w:jc w:val="center"/>
              <w:rPr>
                <w:rFonts w:hint="eastAsia"/>
                <w:b/>
                <w:kern w:val="0"/>
                <w:szCs w:val="21"/>
              </w:rPr>
            </w:pPr>
          </w:p>
        </w:tc>
        <w:tc>
          <w:tcPr>
            <w:tcW w:w="272" w:type="pct"/>
            <w:shd w:val="clear" w:color="auto" w:fill="FFFFFF"/>
            <w:vAlign w:val="center"/>
          </w:tcPr>
          <w:p w14:paraId="0504FBD4">
            <w:pPr>
              <w:widowControl/>
              <w:jc w:val="center"/>
              <w:rPr>
                <w:rFonts w:hint="eastAsia"/>
                <w:b/>
                <w:kern w:val="0"/>
                <w:szCs w:val="21"/>
              </w:rPr>
            </w:pPr>
            <w:r>
              <w:rPr>
                <w:rFonts w:hint="eastAsia" w:cs="方正仿宋_GB2312"/>
                <w:b/>
                <w:bCs/>
                <w:szCs w:val="21"/>
              </w:rPr>
              <w:t>6</w:t>
            </w:r>
          </w:p>
        </w:tc>
        <w:tc>
          <w:tcPr>
            <w:tcW w:w="381" w:type="pct"/>
            <w:shd w:val="clear" w:color="auto" w:fill="FFFFFF"/>
            <w:vAlign w:val="center"/>
          </w:tcPr>
          <w:p w14:paraId="7BEA9708">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1B10D6E">
            <w:pPr>
              <w:widowControl/>
              <w:spacing w:line="276" w:lineRule="auto"/>
              <w:jc w:val="center"/>
              <w:rPr>
                <w:rFonts w:hint="eastAsia" w:cs="宋体"/>
                <w:b/>
                <w:bCs/>
                <w:color w:val="000000"/>
                <w:kern w:val="0"/>
                <w:szCs w:val="21"/>
              </w:rPr>
            </w:pPr>
            <w:r>
              <w:rPr>
                <w:rFonts w:hint="eastAsia" w:cs="方正仿宋_GB2312"/>
                <w:b/>
                <w:bCs/>
                <w:szCs w:val="21"/>
              </w:rPr>
              <w:t>空气波压力治疗仪</w:t>
            </w:r>
          </w:p>
        </w:tc>
        <w:tc>
          <w:tcPr>
            <w:tcW w:w="225" w:type="pct"/>
            <w:shd w:val="clear" w:color="auto" w:fill="FFFFFF"/>
            <w:vAlign w:val="center"/>
          </w:tcPr>
          <w:p w14:paraId="305D3B29">
            <w:pPr>
              <w:widowControl/>
              <w:jc w:val="center"/>
              <w:rPr>
                <w:rFonts w:hint="eastAsia" w:cs="宋体"/>
                <w:color w:val="000000"/>
                <w:kern w:val="0"/>
                <w:szCs w:val="21"/>
              </w:rPr>
            </w:pPr>
            <w:r>
              <w:rPr>
                <w:rFonts w:hint="eastAsia"/>
                <w:szCs w:val="21"/>
              </w:rPr>
              <w:t>5</w:t>
            </w:r>
          </w:p>
        </w:tc>
        <w:tc>
          <w:tcPr>
            <w:tcW w:w="285" w:type="pct"/>
            <w:shd w:val="clear" w:color="auto" w:fill="FFFFFF"/>
            <w:vAlign w:val="center"/>
          </w:tcPr>
          <w:p w14:paraId="03B353AA">
            <w:pPr>
              <w:widowControl/>
              <w:jc w:val="center"/>
              <w:rPr>
                <w:rFonts w:hint="eastAsia" w:cs="宋体"/>
                <w:color w:val="000000"/>
                <w:kern w:val="0"/>
                <w:szCs w:val="21"/>
              </w:rPr>
            </w:pPr>
            <w:r>
              <w:rPr>
                <w:rFonts w:hint="eastAsia"/>
                <w:color w:val="000000"/>
                <w:szCs w:val="21"/>
              </w:rPr>
              <w:t>台</w:t>
            </w:r>
          </w:p>
        </w:tc>
        <w:tc>
          <w:tcPr>
            <w:tcW w:w="487" w:type="pct"/>
            <w:shd w:val="clear" w:color="auto" w:fill="FFFFFF"/>
            <w:vAlign w:val="center"/>
          </w:tcPr>
          <w:p w14:paraId="119D43FA">
            <w:pPr>
              <w:widowControl/>
              <w:jc w:val="center"/>
              <w:rPr>
                <w:rFonts w:hint="eastAsia" w:cs="宋体"/>
                <w:b/>
                <w:bCs/>
                <w:color w:val="000000"/>
                <w:kern w:val="0"/>
                <w:szCs w:val="21"/>
              </w:rPr>
            </w:pPr>
            <w:r>
              <w:rPr>
                <w:rStyle w:val="382"/>
                <w:rFonts w:hint="eastAsia"/>
                <w:szCs w:val="21"/>
              </w:rPr>
              <w:t>1.80</w:t>
            </w:r>
          </w:p>
        </w:tc>
        <w:tc>
          <w:tcPr>
            <w:tcW w:w="590" w:type="pct"/>
            <w:shd w:val="clear" w:color="auto" w:fill="FFFFFF"/>
            <w:vAlign w:val="center"/>
          </w:tcPr>
          <w:p w14:paraId="59458F88">
            <w:pPr>
              <w:widowControl/>
              <w:jc w:val="center"/>
              <w:rPr>
                <w:rFonts w:hint="eastAsia"/>
                <w:b/>
                <w:bCs/>
                <w:kern w:val="0"/>
                <w:szCs w:val="21"/>
              </w:rPr>
            </w:pPr>
            <w:r>
              <w:rPr>
                <w:rStyle w:val="382"/>
                <w:rFonts w:hint="eastAsia"/>
                <w:szCs w:val="21"/>
              </w:rPr>
              <w:t>9.00</w:t>
            </w:r>
          </w:p>
        </w:tc>
        <w:tc>
          <w:tcPr>
            <w:tcW w:w="549" w:type="pct"/>
            <w:vMerge w:val="continue"/>
            <w:shd w:val="clear" w:color="auto" w:fill="FFFFFF"/>
            <w:vAlign w:val="center"/>
          </w:tcPr>
          <w:p w14:paraId="5CA039B5">
            <w:pPr>
              <w:widowControl/>
              <w:jc w:val="center"/>
              <w:rPr>
                <w:rFonts w:hint="eastAsia"/>
                <w:bCs/>
                <w:kern w:val="0"/>
                <w:szCs w:val="21"/>
              </w:rPr>
            </w:pPr>
          </w:p>
        </w:tc>
        <w:tc>
          <w:tcPr>
            <w:tcW w:w="980" w:type="pct"/>
            <w:shd w:val="clear" w:color="auto" w:fill="FFFFFF"/>
            <w:vAlign w:val="center"/>
          </w:tcPr>
          <w:p w14:paraId="09D2C4C6">
            <w:pPr>
              <w:widowControl/>
              <w:jc w:val="center"/>
              <w:rPr>
                <w:rFonts w:hint="eastAsia"/>
                <w:bCs/>
                <w:kern w:val="0"/>
                <w:szCs w:val="21"/>
              </w:rPr>
            </w:pPr>
            <w:r>
              <w:rPr>
                <w:rFonts w:hint="eastAsia" w:cs="宋体"/>
                <w:szCs w:val="16"/>
              </w:rPr>
              <w:t>压力范围：0-26kPa(0-200mmHg）</w:t>
            </w:r>
          </w:p>
        </w:tc>
      </w:tr>
      <w:tr w14:paraId="2035A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2B611092">
            <w:pPr>
              <w:widowControl/>
              <w:jc w:val="center"/>
              <w:rPr>
                <w:rFonts w:hint="eastAsia"/>
                <w:b/>
                <w:kern w:val="0"/>
                <w:szCs w:val="21"/>
              </w:rPr>
            </w:pPr>
            <w:r>
              <w:rPr>
                <w:rFonts w:hint="eastAsia"/>
                <w:b/>
                <w:kern w:val="0"/>
                <w:szCs w:val="21"/>
              </w:rPr>
              <w:t>3标段</w:t>
            </w:r>
          </w:p>
        </w:tc>
        <w:tc>
          <w:tcPr>
            <w:tcW w:w="272" w:type="pct"/>
            <w:shd w:val="clear" w:color="auto" w:fill="FFFFFF"/>
            <w:vAlign w:val="center"/>
          </w:tcPr>
          <w:p w14:paraId="099ECD7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773620A9">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728FE5E2">
            <w:pPr>
              <w:jc w:val="center"/>
              <w:rPr>
                <w:rFonts w:hint="eastAsia"/>
                <w:b/>
                <w:bCs/>
                <w:kern w:val="0"/>
                <w:szCs w:val="21"/>
              </w:rPr>
            </w:pPr>
            <w:r>
              <w:rPr>
                <w:rFonts w:hint="eastAsia" w:cs="方正仿宋_GB2312"/>
                <w:b/>
                <w:bCs/>
                <w:szCs w:val="21"/>
              </w:rPr>
              <w:t>碳13呼气分析仪</w:t>
            </w:r>
          </w:p>
        </w:tc>
        <w:tc>
          <w:tcPr>
            <w:tcW w:w="225" w:type="pct"/>
            <w:shd w:val="clear" w:color="auto" w:fill="FFFFFF"/>
            <w:vAlign w:val="center"/>
          </w:tcPr>
          <w:p w14:paraId="1572FDEC">
            <w:pPr>
              <w:widowControl/>
              <w:jc w:val="center"/>
              <w:rPr>
                <w:rFonts w:hint="eastAsia"/>
                <w:b/>
                <w:bCs/>
                <w:kern w:val="0"/>
                <w:szCs w:val="21"/>
              </w:rPr>
            </w:pPr>
            <w:r>
              <w:rPr>
                <w:rFonts w:hint="eastAsia"/>
                <w:szCs w:val="21"/>
              </w:rPr>
              <w:t>1</w:t>
            </w:r>
          </w:p>
        </w:tc>
        <w:tc>
          <w:tcPr>
            <w:tcW w:w="285" w:type="pct"/>
            <w:shd w:val="clear" w:color="auto" w:fill="FFFFFF"/>
            <w:vAlign w:val="center"/>
          </w:tcPr>
          <w:p w14:paraId="77841315">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20DD105B">
            <w:pPr>
              <w:widowControl/>
              <w:jc w:val="center"/>
              <w:rPr>
                <w:rFonts w:hint="eastAsia"/>
                <w:b/>
                <w:bCs/>
                <w:kern w:val="0"/>
                <w:szCs w:val="21"/>
              </w:rPr>
            </w:pPr>
            <w:r>
              <w:rPr>
                <w:rFonts w:hint="eastAsia"/>
                <w:szCs w:val="21"/>
              </w:rPr>
              <w:t>4.20</w:t>
            </w:r>
          </w:p>
        </w:tc>
        <w:tc>
          <w:tcPr>
            <w:tcW w:w="590" w:type="pct"/>
            <w:shd w:val="clear" w:color="auto" w:fill="FFFFFF"/>
            <w:vAlign w:val="center"/>
          </w:tcPr>
          <w:p w14:paraId="5BC9331F">
            <w:pPr>
              <w:widowControl/>
              <w:jc w:val="center"/>
              <w:rPr>
                <w:rFonts w:hint="eastAsia"/>
                <w:b/>
                <w:bCs/>
                <w:kern w:val="0"/>
                <w:szCs w:val="21"/>
              </w:rPr>
            </w:pPr>
            <w:r>
              <w:rPr>
                <w:rFonts w:hint="eastAsia"/>
                <w:szCs w:val="21"/>
              </w:rPr>
              <w:t>4.20</w:t>
            </w:r>
          </w:p>
        </w:tc>
        <w:tc>
          <w:tcPr>
            <w:tcW w:w="549" w:type="pct"/>
            <w:vMerge w:val="restart"/>
            <w:shd w:val="clear" w:color="auto" w:fill="FFFFFF"/>
            <w:vAlign w:val="center"/>
          </w:tcPr>
          <w:p w14:paraId="50BB11B7">
            <w:pPr>
              <w:widowControl/>
              <w:jc w:val="center"/>
              <w:rPr>
                <w:rFonts w:hint="eastAsia"/>
                <w:bCs/>
                <w:kern w:val="0"/>
                <w:szCs w:val="21"/>
              </w:rPr>
            </w:pPr>
            <w:r>
              <w:rPr>
                <w:rStyle w:val="382"/>
                <w:rFonts w:hint="eastAsia"/>
                <w:b/>
                <w:bCs/>
                <w:szCs w:val="21"/>
              </w:rPr>
              <w:t>50.20</w:t>
            </w:r>
          </w:p>
        </w:tc>
        <w:tc>
          <w:tcPr>
            <w:tcW w:w="980" w:type="pct"/>
            <w:shd w:val="clear" w:color="auto" w:fill="FFFFFF"/>
            <w:vAlign w:val="center"/>
          </w:tcPr>
          <w:p w14:paraId="33A37113">
            <w:pPr>
              <w:widowControl/>
              <w:jc w:val="center"/>
              <w:rPr>
                <w:rFonts w:hint="eastAsia"/>
                <w:bCs/>
                <w:kern w:val="0"/>
                <w:szCs w:val="21"/>
              </w:rPr>
            </w:pPr>
            <w:r>
              <w:rPr>
                <w:rFonts w:hint="eastAsia"/>
                <w:bCs/>
                <w:kern w:val="0"/>
                <w:szCs w:val="21"/>
              </w:rPr>
              <w:t>样本CO2浓度范围：0.5～6.0%</w:t>
            </w:r>
          </w:p>
        </w:tc>
      </w:tr>
      <w:tr w14:paraId="60252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A233EDC">
            <w:pPr>
              <w:widowControl/>
              <w:jc w:val="center"/>
              <w:rPr>
                <w:rFonts w:hint="eastAsia"/>
                <w:b/>
                <w:kern w:val="0"/>
                <w:szCs w:val="21"/>
              </w:rPr>
            </w:pPr>
          </w:p>
        </w:tc>
        <w:tc>
          <w:tcPr>
            <w:tcW w:w="272" w:type="pct"/>
            <w:shd w:val="clear" w:color="auto" w:fill="FFFFFF"/>
            <w:vAlign w:val="center"/>
          </w:tcPr>
          <w:p w14:paraId="4588C1A5">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C1B261F">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08923594">
            <w:pPr>
              <w:jc w:val="center"/>
              <w:rPr>
                <w:rFonts w:hint="eastAsia"/>
                <w:b/>
                <w:bCs/>
                <w:kern w:val="0"/>
                <w:szCs w:val="21"/>
              </w:rPr>
            </w:pPr>
            <w:r>
              <w:rPr>
                <w:rFonts w:hint="eastAsia" w:cs="方正仿宋_GB2312"/>
                <w:b/>
                <w:bCs/>
                <w:szCs w:val="21"/>
              </w:rPr>
              <w:t>肺功能仪（大肺）</w:t>
            </w:r>
          </w:p>
        </w:tc>
        <w:tc>
          <w:tcPr>
            <w:tcW w:w="225" w:type="pct"/>
            <w:shd w:val="clear" w:color="auto" w:fill="FFFFFF"/>
            <w:vAlign w:val="center"/>
          </w:tcPr>
          <w:p w14:paraId="6C1E18B9">
            <w:pPr>
              <w:widowControl/>
              <w:jc w:val="center"/>
              <w:rPr>
                <w:rFonts w:hint="eastAsia"/>
                <w:b/>
                <w:bCs/>
                <w:kern w:val="0"/>
                <w:szCs w:val="21"/>
              </w:rPr>
            </w:pPr>
            <w:r>
              <w:rPr>
                <w:rFonts w:hint="eastAsia"/>
                <w:szCs w:val="21"/>
              </w:rPr>
              <w:t>1</w:t>
            </w:r>
          </w:p>
        </w:tc>
        <w:tc>
          <w:tcPr>
            <w:tcW w:w="285" w:type="pct"/>
            <w:shd w:val="clear" w:color="auto" w:fill="FFFFFF"/>
            <w:vAlign w:val="center"/>
          </w:tcPr>
          <w:p w14:paraId="59A7669E">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0618AD85">
            <w:pPr>
              <w:widowControl/>
              <w:jc w:val="center"/>
              <w:rPr>
                <w:rFonts w:hint="eastAsia"/>
                <w:b/>
                <w:bCs/>
                <w:kern w:val="0"/>
                <w:szCs w:val="21"/>
              </w:rPr>
            </w:pPr>
            <w:r>
              <w:rPr>
                <w:rStyle w:val="382"/>
                <w:rFonts w:hint="eastAsia"/>
                <w:szCs w:val="21"/>
              </w:rPr>
              <w:t>46.00</w:t>
            </w:r>
          </w:p>
        </w:tc>
        <w:tc>
          <w:tcPr>
            <w:tcW w:w="590" w:type="pct"/>
            <w:shd w:val="clear" w:color="auto" w:fill="FFFFFF"/>
            <w:vAlign w:val="center"/>
          </w:tcPr>
          <w:p w14:paraId="7BC56CED">
            <w:pPr>
              <w:widowControl/>
              <w:jc w:val="center"/>
              <w:rPr>
                <w:rFonts w:hint="eastAsia"/>
                <w:b/>
                <w:bCs/>
                <w:kern w:val="0"/>
                <w:szCs w:val="21"/>
              </w:rPr>
            </w:pPr>
            <w:r>
              <w:rPr>
                <w:rStyle w:val="382"/>
                <w:rFonts w:hint="eastAsia"/>
                <w:szCs w:val="21"/>
              </w:rPr>
              <w:t>46.00</w:t>
            </w:r>
          </w:p>
        </w:tc>
        <w:tc>
          <w:tcPr>
            <w:tcW w:w="549" w:type="pct"/>
            <w:vMerge w:val="continue"/>
            <w:shd w:val="clear" w:color="auto" w:fill="FFFFFF"/>
            <w:vAlign w:val="center"/>
          </w:tcPr>
          <w:p w14:paraId="5FF0C757">
            <w:pPr>
              <w:widowControl/>
              <w:jc w:val="center"/>
              <w:rPr>
                <w:rFonts w:hint="eastAsia"/>
                <w:bCs/>
                <w:kern w:val="0"/>
                <w:szCs w:val="21"/>
              </w:rPr>
            </w:pPr>
          </w:p>
        </w:tc>
        <w:tc>
          <w:tcPr>
            <w:tcW w:w="980" w:type="pct"/>
            <w:shd w:val="clear" w:color="auto" w:fill="FFFFFF"/>
            <w:vAlign w:val="center"/>
          </w:tcPr>
          <w:p w14:paraId="331C4F90">
            <w:pPr>
              <w:widowControl/>
              <w:jc w:val="center"/>
              <w:rPr>
                <w:rFonts w:hint="eastAsia"/>
                <w:bCs/>
                <w:kern w:val="0"/>
                <w:szCs w:val="21"/>
              </w:rPr>
            </w:pPr>
            <w:r>
              <w:rPr>
                <w:rFonts w:hint="eastAsia"/>
                <w:color w:val="000000" w:themeColor="text1"/>
                <w:szCs w:val="21"/>
                <w14:textFill>
                  <w14:solidFill>
                    <w14:schemeClr w14:val="tx1"/>
                  </w14:solidFill>
                </w14:textFill>
              </w:rPr>
              <w:t>流速范围：≥0-20升/秒</w:t>
            </w:r>
          </w:p>
        </w:tc>
      </w:tr>
      <w:tr w14:paraId="44E9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jc w:val="center"/>
        </w:trPr>
        <w:tc>
          <w:tcPr>
            <w:tcW w:w="370" w:type="pct"/>
            <w:vMerge w:val="restart"/>
            <w:shd w:val="clear" w:color="auto" w:fill="FFFFFF"/>
            <w:vAlign w:val="center"/>
          </w:tcPr>
          <w:p w14:paraId="0BF83705">
            <w:pPr>
              <w:widowControl/>
              <w:jc w:val="center"/>
              <w:rPr>
                <w:rFonts w:hint="eastAsia"/>
                <w:b/>
                <w:kern w:val="0"/>
                <w:szCs w:val="21"/>
              </w:rPr>
            </w:pPr>
            <w:r>
              <w:rPr>
                <w:rFonts w:hint="eastAsia"/>
                <w:b/>
                <w:kern w:val="0"/>
                <w:szCs w:val="21"/>
              </w:rPr>
              <w:t>4标段</w:t>
            </w:r>
          </w:p>
        </w:tc>
        <w:tc>
          <w:tcPr>
            <w:tcW w:w="272" w:type="pct"/>
            <w:shd w:val="clear" w:color="auto" w:fill="FFFFFF"/>
            <w:vAlign w:val="center"/>
          </w:tcPr>
          <w:p w14:paraId="61FF8085">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BBBAD73">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59F9F0DD">
            <w:pPr>
              <w:widowControl/>
              <w:jc w:val="center"/>
              <w:rPr>
                <w:rFonts w:hint="eastAsia"/>
                <w:b/>
                <w:bCs/>
                <w:kern w:val="0"/>
                <w:szCs w:val="21"/>
              </w:rPr>
            </w:pPr>
            <w:r>
              <w:rPr>
                <w:rFonts w:hint="eastAsia" w:cs="方正仿宋_GB2312"/>
                <w:b/>
                <w:bCs/>
                <w:szCs w:val="21"/>
              </w:rPr>
              <w:t>CO2点阵激光治疗仪</w:t>
            </w:r>
          </w:p>
        </w:tc>
        <w:tc>
          <w:tcPr>
            <w:tcW w:w="225" w:type="pct"/>
            <w:shd w:val="clear" w:color="auto" w:fill="FFFFFF"/>
            <w:vAlign w:val="center"/>
          </w:tcPr>
          <w:p w14:paraId="649A3130">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0A5DF5A7">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51A5BAC5">
            <w:pPr>
              <w:widowControl/>
              <w:jc w:val="center"/>
              <w:rPr>
                <w:rFonts w:hint="eastAsia"/>
                <w:b/>
                <w:bCs/>
                <w:kern w:val="0"/>
                <w:szCs w:val="21"/>
              </w:rPr>
            </w:pPr>
            <w:r>
              <w:rPr>
                <w:rStyle w:val="382"/>
                <w:rFonts w:hint="eastAsia"/>
                <w:szCs w:val="21"/>
              </w:rPr>
              <w:t>22.00</w:t>
            </w:r>
          </w:p>
        </w:tc>
        <w:tc>
          <w:tcPr>
            <w:tcW w:w="590" w:type="pct"/>
            <w:shd w:val="clear" w:color="auto" w:fill="FFFFFF"/>
            <w:vAlign w:val="center"/>
          </w:tcPr>
          <w:p w14:paraId="5DFAECC2">
            <w:pPr>
              <w:widowControl/>
              <w:jc w:val="center"/>
              <w:rPr>
                <w:rFonts w:hint="eastAsia"/>
                <w:b/>
                <w:bCs/>
                <w:kern w:val="0"/>
                <w:szCs w:val="21"/>
              </w:rPr>
            </w:pPr>
            <w:r>
              <w:rPr>
                <w:rStyle w:val="382"/>
                <w:rFonts w:hint="eastAsia"/>
                <w:szCs w:val="21"/>
              </w:rPr>
              <w:t>22.00</w:t>
            </w:r>
          </w:p>
        </w:tc>
        <w:tc>
          <w:tcPr>
            <w:tcW w:w="549" w:type="pct"/>
            <w:vMerge w:val="restart"/>
            <w:shd w:val="clear" w:color="auto" w:fill="FFFFFF"/>
            <w:vAlign w:val="center"/>
          </w:tcPr>
          <w:p w14:paraId="7E59BC78">
            <w:pPr>
              <w:widowControl/>
              <w:jc w:val="center"/>
              <w:rPr>
                <w:rFonts w:hint="eastAsia"/>
                <w:b/>
                <w:kern w:val="0"/>
                <w:szCs w:val="21"/>
              </w:rPr>
            </w:pPr>
            <w:r>
              <w:rPr>
                <w:rFonts w:hint="eastAsia"/>
                <w:b/>
                <w:kern w:val="0"/>
                <w:szCs w:val="21"/>
              </w:rPr>
              <w:t>45.00</w:t>
            </w:r>
          </w:p>
        </w:tc>
        <w:tc>
          <w:tcPr>
            <w:tcW w:w="980" w:type="pct"/>
            <w:shd w:val="clear" w:color="auto" w:fill="FFFFFF"/>
            <w:vAlign w:val="center"/>
          </w:tcPr>
          <w:p w14:paraId="53A03A4F">
            <w:pPr>
              <w:widowControl/>
              <w:jc w:val="center"/>
              <w:rPr>
                <w:rFonts w:hint="eastAsia"/>
                <w:bCs/>
                <w:kern w:val="0"/>
                <w:szCs w:val="21"/>
              </w:rPr>
            </w:pPr>
            <w:r>
              <w:rPr>
                <w:rFonts w:hint="eastAsia"/>
                <w:szCs w:val="21"/>
              </w:rPr>
              <w:t>激光波长：10.6µm</w:t>
            </w:r>
          </w:p>
        </w:tc>
      </w:tr>
      <w:tr w14:paraId="05BDC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0E0287C">
            <w:pPr>
              <w:widowControl/>
              <w:jc w:val="center"/>
              <w:rPr>
                <w:rFonts w:hint="eastAsia"/>
                <w:b/>
                <w:kern w:val="0"/>
                <w:szCs w:val="21"/>
              </w:rPr>
            </w:pPr>
          </w:p>
        </w:tc>
        <w:tc>
          <w:tcPr>
            <w:tcW w:w="272" w:type="pct"/>
            <w:shd w:val="clear" w:color="auto" w:fill="FFFFFF"/>
            <w:vAlign w:val="center"/>
          </w:tcPr>
          <w:p w14:paraId="4A1416A1">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0A2807F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3CC6E207">
            <w:pPr>
              <w:widowControl/>
              <w:jc w:val="center"/>
              <w:rPr>
                <w:rFonts w:hint="eastAsia"/>
                <w:b/>
                <w:bCs/>
                <w:kern w:val="0"/>
                <w:szCs w:val="21"/>
              </w:rPr>
            </w:pPr>
            <w:r>
              <w:rPr>
                <w:rFonts w:hint="eastAsia" w:cs="方正仿宋_GB2312"/>
                <w:b/>
                <w:bCs/>
                <w:szCs w:val="21"/>
              </w:rPr>
              <w:t>皮肤镜</w:t>
            </w:r>
          </w:p>
        </w:tc>
        <w:tc>
          <w:tcPr>
            <w:tcW w:w="225" w:type="pct"/>
            <w:shd w:val="clear" w:color="auto" w:fill="FFFFFF"/>
            <w:vAlign w:val="center"/>
          </w:tcPr>
          <w:p w14:paraId="34DA0913">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2B9AF246">
            <w:pPr>
              <w:widowControl/>
              <w:jc w:val="center"/>
              <w:rPr>
                <w:rFonts w:hint="eastAsia"/>
                <w:b/>
                <w:bCs/>
                <w:kern w:val="0"/>
                <w:szCs w:val="21"/>
              </w:rPr>
            </w:pPr>
            <w:r>
              <w:rPr>
                <w:rFonts w:hint="eastAsia" w:cs="方正仿宋_GB2312"/>
                <w:szCs w:val="21"/>
              </w:rPr>
              <w:t>套</w:t>
            </w:r>
          </w:p>
        </w:tc>
        <w:tc>
          <w:tcPr>
            <w:tcW w:w="487" w:type="pct"/>
            <w:shd w:val="clear" w:color="auto" w:fill="FFFFFF"/>
            <w:vAlign w:val="center"/>
          </w:tcPr>
          <w:p w14:paraId="724D2F22">
            <w:pPr>
              <w:widowControl/>
              <w:jc w:val="center"/>
              <w:rPr>
                <w:rFonts w:hint="eastAsia"/>
                <w:b/>
                <w:bCs/>
                <w:kern w:val="0"/>
                <w:szCs w:val="21"/>
              </w:rPr>
            </w:pPr>
            <w:r>
              <w:rPr>
                <w:rStyle w:val="382"/>
                <w:rFonts w:hint="eastAsia"/>
                <w:szCs w:val="21"/>
              </w:rPr>
              <w:t>23.00</w:t>
            </w:r>
          </w:p>
        </w:tc>
        <w:tc>
          <w:tcPr>
            <w:tcW w:w="590" w:type="pct"/>
            <w:shd w:val="clear" w:color="auto" w:fill="FFFFFF"/>
            <w:vAlign w:val="center"/>
          </w:tcPr>
          <w:p w14:paraId="1616250A">
            <w:pPr>
              <w:widowControl/>
              <w:jc w:val="center"/>
              <w:rPr>
                <w:rFonts w:hint="eastAsia"/>
                <w:b/>
                <w:bCs/>
                <w:kern w:val="0"/>
                <w:szCs w:val="21"/>
              </w:rPr>
            </w:pPr>
            <w:r>
              <w:rPr>
                <w:rStyle w:val="382"/>
                <w:rFonts w:hint="eastAsia"/>
                <w:szCs w:val="21"/>
              </w:rPr>
              <w:t>23.00</w:t>
            </w:r>
          </w:p>
        </w:tc>
        <w:tc>
          <w:tcPr>
            <w:tcW w:w="549" w:type="pct"/>
            <w:vMerge w:val="continue"/>
            <w:shd w:val="clear" w:color="auto" w:fill="FFFFFF"/>
            <w:vAlign w:val="center"/>
          </w:tcPr>
          <w:p w14:paraId="6A97A382">
            <w:pPr>
              <w:widowControl/>
              <w:jc w:val="center"/>
              <w:rPr>
                <w:rFonts w:hint="eastAsia"/>
                <w:bCs/>
                <w:kern w:val="0"/>
                <w:szCs w:val="21"/>
              </w:rPr>
            </w:pPr>
          </w:p>
        </w:tc>
        <w:tc>
          <w:tcPr>
            <w:tcW w:w="980" w:type="pct"/>
            <w:shd w:val="clear" w:color="auto" w:fill="FFFFFF"/>
            <w:vAlign w:val="center"/>
          </w:tcPr>
          <w:p w14:paraId="566898E1">
            <w:pPr>
              <w:widowControl/>
              <w:jc w:val="center"/>
              <w:rPr>
                <w:rFonts w:hint="eastAsia"/>
                <w:bCs/>
                <w:kern w:val="0"/>
                <w:szCs w:val="21"/>
              </w:rPr>
            </w:pPr>
            <w:r>
              <w:rPr>
                <w:rFonts w:hint="eastAsia" w:cs="宋体"/>
                <w:kern w:val="24"/>
                <w:szCs w:val="21"/>
              </w:rPr>
              <w:t>图像放大倍率：50倍、200倍</w:t>
            </w:r>
          </w:p>
        </w:tc>
      </w:tr>
      <w:tr w14:paraId="680D6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restart"/>
            <w:shd w:val="clear" w:color="auto" w:fill="FFFFFF"/>
            <w:vAlign w:val="center"/>
          </w:tcPr>
          <w:p w14:paraId="4BA5846B">
            <w:pPr>
              <w:widowControl/>
              <w:jc w:val="center"/>
              <w:rPr>
                <w:rFonts w:hint="eastAsia"/>
                <w:b/>
                <w:kern w:val="0"/>
                <w:szCs w:val="21"/>
              </w:rPr>
            </w:pPr>
            <w:r>
              <w:rPr>
                <w:rFonts w:hint="eastAsia"/>
                <w:b/>
                <w:kern w:val="0"/>
                <w:szCs w:val="21"/>
              </w:rPr>
              <w:t>5标段</w:t>
            </w:r>
          </w:p>
        </w:tc>
        <w:tc>
          <w:tcPr>
            <w:tcW w:w="272" w:type="pct"/>
            <w:shd w:val="clear" w:color="auto" w:fill="FFFFFF"/>
            <w:vAlign w:val="center"/>
          </w:tcPr>
          <w:p w14:paraId="46973BC4">
            <w:pPr>
              <w:widowControl/>
              <w:jc w:val="center"/>
              <w:rPr>
                <w:rFonts w:hint="eastAsia"/>
                <w:b/>
                <w:kern w:val="0"/>
                <w:szCs w:val="21"/>
              </w:rPr>
            </w:pPr>
            <w:r>
              <w:rPr>
                <w:rFonts w:hint="eastAsia"/>
                <w:b/>
                <w:kern w:val="0"/>
                <w:szCs w:val="21"/>
              </w:rPr>
              <w:t>1</w:t>
            </w:r>
          </w:p>
        </w:tc>
        <w:tc>
          <w:tcPr>
            <w:tcW w:w="381" w:type="pct"/>
            <w:shd w:val="clear" w:color="auto" w:fill="FFFFFF"/>
            <w:vAlign w:val="center"/>
          </w:tcPr>
          <w:p w14:paraId="25A1D29B">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4C195BAD">
            <w:pPr>
              <w:widowControl/>
              <w:jc w:val="center"/>
              <w:rPr>
                <w:rFonts w:hint="eastAsia" w:cs="宋体"/>
                <w:b/>
                <w:bCs/>
                <w:color w:val="000000"/>
                <w:kern w:val="0"/>
                <w:szCs w:val="21"/>
              </w:rPr>
            </w:pPr>
            <w:r>
              <w:rPr>
                <w:rFonts w:hint="eastAsia" w:cs="方正仿宋_GB2312"/>
                <w:b/>
                <w:bCs/>
                <w:szCs w:val="21"/>
              </w:rPr>
              <w:t>除颤监护仪</w:t>
            </w:r>
          </w:p>
        </w:tc>
        <w:tc>
          <w:tcPr>
            <w:tcW w:w="225" w:type="pct"/>
            <w:shd w:val="clear" w:color="auto" w:fill="FFFFFF"/>
            <w:vAlign w:val="center"/>
          </w:tcPr>
          <w:p w14:paraId="03DECDC0">
            <w:pPr>
              <w:widowControl/>
              <w:jc w:val="center"/>
              <w:rPr>
                <w:rFonts w:hint="eastAsia" w:cs="宋体"/>
                <w:b/>
                <w:bCs/>
                <w:color w:val="000000"/>
                <w:kern w:val="0"/>
                <w:szCs w:val="21"/>
              </w:rPr>
            </w:pPr>
            <w:r>
              <w:rPr>
                <w:rFonts w:hint="eastAsia" w:cs="宋体"/>
                <w:b/>
                <w:bCs/>
                <w:color w:val="000000"/>
                <w:kern w:val="0"/>
                <w:szCs w:val="21"/>
              </w:rPr>
              <w:t>2</w:t>
            </w:r>
          </w:p>
        </w:tc>
        <w:tc>
          <w:tcPr>
            <w:tcW w:w="285" w:type="pct"/>
            <w:shd w:val="clear" w:color="auto" w:fill="FFFFFF"/>
            <w:vAlign w:val="center"/>
          </w:tcPr>
          <w:p w14:paraId="1587E052">
            <w:pPr>
              <w:widowControl/>
              <w:jc w:val="center"/>
              <w:rPr>
                <w:rFonts w:hint="eastAsia" w:cs="宋体"/>
                <w:b/>
                <w:bCs/>
                <w:color w:val="000000"/>
                <w:kern w:val="0"/>
                <w:szCs w:val="21"/>
              </w:rPr>
            </w:pPr>
            <w:r>
              <w:rPr>
                <w:rFonts w:hint="eastAsia"/>
                <w:color w:val="000000"/>
                <w:szCs w:val="21"/>
              </w:rPr>
              <w:t>台</w:t>
            </w:r>
          </w:p>
        </w:tc>
        <w:tc>
          <w:tcPr>
            <w:tcW w:w="487" w:type="pct"/>
            <w:shd w:val="clear" w:color="auto" w:fill="FFFFFF"/>
            <w:vAlign w:val="center"/>
          </w:tcPr>
          <w:p w14:paraId="18B56BA7">
            <w:pPr>
              <w:widowControl/>
              <w:jc w:val="center"/>
              <w:rPr>
                <w:rFonts w:hint="eastAsia" w:cs="宋体"/>
                <w:b/>
                <w:bCs/>
                <w:color w:val="000000"/>
                <w:kern w:val="0"/>
                <w:szCs w:val="21"/>
              </w:rPr>
            </w:pPr>
            <w:r>
              <w:rPr>
                <w:rStyle w:val="382"/>
                <w:rFonts w:hint="eastAsia"/>
                <w:szCs w:val="21"/>
              </w:rPr>
              <w:t>4.00</w:t>
            </w:r>
          </w:p>
        </w:tc>
        <w:tc>
          <w:tcPr>
            <w:tcW w:w="590" w:type="pct"/>
            <w:shd w:val="clear" w:color="auto" w:fill="FFFFFF"/>
            <w:vAlign w:val="center"/>
          </w:tcPr>
          <w:p w14:paraId="02EFB28C">
            <w:pPr>
              <w:widowControl/>
              <w:jc w:val="center"/>
              <w:rPr>
                <w:rFonts w:hint="eastAsia" w:cs="宋体"/>
                <w:b/>
                <w:bCs/>
                <w:color w:val="000000"/>
                <w:kern w:val="0"/>
                <w:szCs w:val="21"/>
              </w:rPr>
            </w:pPr>
            <w:r>
              <w:rPr>
                <w:rStyle w:val="382"/>
                <w:rFonts w:hint="eastAsia"/>
                <w:szCs w:val="21"/>
              </w:rPr>
              <w:t>8.00</w:t>
            </w:r>
          </w:p>
        </w:tc>
        <w:tc>
          <w:tcPr>
            <w:tcW w:w="549" w:type="pct"/>
            <w:vMerge w:val="restart"/>
            <w:shd w:val="clear" w:color="auto" w:fill="FFFFFF"/>
            <w:vAlign w:val="center"/>
          </w:tcPr>
          <w:p w14:paraId="40A16646">
            <w:pPr>
              <w:widowControl/>
              <w:jc w:val="center"/>
              <w:rPr>
                <w:rFonts w:hint="eastAsia"/>
                <w:bCs/>
                <w:kern w:val="0"/>
                <w:szCs w:val="21"/>
              </w:rPr>
            </w:pPr>
            <w:r>
              <w:rPr>
                <w:rStyle w:val="382"/>
                <w:rFonts w:hint="eastAsia"/>
                <w:b/>
                <w:bCs/>
                <w:szCs w:val="21"/>
              </w:rPr>
              <w:t>69.00</w:t>
            </w:r>
          </w:p>
        </w:tc>
        <w:tc>
          <w:tcPr>
            <w:tcW w:w="980" w:type="pct"/>
            <w:shd w:val="clear" w:color="auto" w:fill="FFFFFF"/>
            <w:vAlign w:val="center"/>
          </w:tcPr>
          <w:p w14:paraId="0ADD54DE">
            <w:pPr>
              <w:widowControl/>
              <w:jc w:val="center"/>
              <w:rPr>
                <w:rFonts w:hint="eastAsia"/>
                <w:bCs/>
                <w:kern w:val="0"/>
                <w:szCs w:val="21"/>
              </w:rPr>
            </w:pPr>
            <w:r>
              <w:rPr>
                <w:rFonts w:hint="eastAsia"/>
                <w:szCs w:val="21"/>
              </w:rPr>
              <w:t>可显示≥5通道监护参数波形</w:t>
            </w:r>
          </w:p>
        </w:tc>
      </w:tr>
      <w:tr w14:paraId="22ACB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0305FB18">
            <w:pPr>
              <w:widowControl/>
              <w:jc w:val="center"/>
              <w:rPr>
                <w:rFonts w:hint="eastAsia"/>
                <w:b/>
                <w:kern w:val="0"/>
                <w:szCs w:val="21"/>
              </w:rPr>
            </w:pPr>
          </w:p>
        </w:tc>
        <w:tc>
          <w:tcPr>
            <w:tcW w:w="272" w:type="pct"/>
            <w:shd w:val="clear" w:color="auto" w:fill="FFFFFF"/>
            <w:vAlign w:val="center"/>
          </w:tcPr>
          <w:p w14:paraId="06A57018">
            <w:pPr>
              <w:widowControl/>
              <w:jc w:val="center"/>
              <w:rPr>
                <w:rFonts w:hint="eastAsia"/>
                <w:b/>
                <w:kern w:val="0"/>
                <w:szCs w:val="21"/>
              </w:rPr>
            </w:pPr>
            <w:r>
              <w:rPr>
                <w:rFonts w:hint="eastAsia"/>
                <w:b/>
                <w:kern w:val="0"/>
                <w:szCs w:val="21"/>
              </w:rPr>
              <w:t>2</w:t>
            </w:r>
          </w:p>
        </w:tc>
        <w:tc>
          <w:tcPr>
            <w:tcW w:w="381" w:type="pct"/>
            <w:shd w:val="clear" w:color="auto" w:fill="FFFFFF"/>
            <w:vAlign w:val="center"/>
          </w:tcPr>
          <w:p w14:paraId="23A57DF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1EDEAF79">
            <w:pPr>
              <w:widowControl/>
              <w:jc w:val="center"/>
              <w:rPr>
                <w:rFonts w:hint="eastAsia"/>
                <w:b/>
                <w:bCs/>
                <w:kern w:val="0"/>
                <w:szCs w:val="21"/>
              </w:rPr>
            </w:pPr>
            <w:r>
              <w:rPr>
                <w:rFonts w:hint="eastAsia" w:cs="方正仿宋_GB2312"/>
                <w:b/>
                <w:bCs/>
                <w:szCs w:val="21"/>
              </w:rPr>
              <w:t>连续性血液循环净化机</w:t>
            </w:r>
          </w:p>
        </w:tc>
        <w:tc>
          <w:tcPr>
            <w:tcW w:w="225" w:type="pct"/>
            <w:shd w:val="clear" w:color="auto" w:fill="FFFFFF"/>
            <w:vAlign w:val="center"/>
          </w:tcPr>
          <w:p w14:paraId="5FFE6BA7">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3E74D66F">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23534854">
            <w:pPr>
              <w:widowControl/>
              <w:jc w:val="center"/>
              <w:rPr>
                <w:rFonts w:hint="eastAsia"/>
                <w:b/>
                <w:bCs/>
                <w:kern w:val="0"/>
                <w:szCs w:val="21"/>
              </w:rPr>
            </w:pPr>
            <w:r>
              <w:rPr>
                <w:rStyle w:val="382"/>
                <w:rFonts w:hint="eastAsia"/>
                <w:szCs w:val="21"/>
              </w:rPr>
              <w:t>35.00</w:t>
            </w:r>
          </w:p>
        </w:tc>
        <w:tc>
          <w:tcPr>
            <w:tcW w:w="590" w:type="pct"/>
            <w:shd w:val="clear" w:color="auto" w:fill="FFFFFF"/>
            <w:vAlign w:val="center"/>
          </w:tcPr>
          <w:p w14:paraId="4D0A767D">
            <w:pPr>
              <w:widowControl/>
              <w:jc w:val="center"/>
              <w:rPr>
                <w:rFonts w:hint="eastAsia"/>
                <w:b/>
                <w:bCs/>
                <w:kern w:val="0"/>
                <w:szCs w:val="21"/>
              </w:rPr>
            </w:pPr>
            <w:r>
              <w:rPr>
                <w:rStyle w:val="382"/>
                <w:rFonts w:hint="eastAsia"/>
                <w:szCs w:val="21"/>
              </w:rPr>
              <w:t>35.00</w:t>
            </w:r>
          </w:p>
        </w:tc>
        <w:tc>
          <w:tcPr>
            <w:tcW w:w="549" w:type="pct"/>
            <w:vMerge w:val="continue"/>
            <w:shd w:val="clear" w:color="auto" w:fill="FFFFFF"/>
            <w:vAlign w:val="center"/>
          </w:tcPr>
          <w:p w14:paraId="25706730">
            <w:pPr>
              <w:widowControl/>
              <w:jc w:val="center"/>
              <w:rPr>
                <w:rFonts w:hint="eastAsia"/>
                <w:bCs/>
                <w:kern w:val="0"/>
                <w:szCs w:val="21"/>
              </w:rPr>
            </w:pPr>
          </w:p>
        </w:tc>
        <w:tc>
          <w:tcPr>
            <w:tcW w:w="980" w:type="pct"/>
            <w:shd w:val="clear" w:color="auto" w:fill="FFFFFF"/>
            <w:vAlign w:val="center"/>
          </w:tcPr>
          <w:p w14:paraId="643364BE">
            <w:pPr>
              <w:widowControl/>
              <w:jc w:val="center"/>
              <w:rPr>
                <w:rFonts w:hint="eastAsia"/>
                <w:bCs/>
                <w:kern w:val="0"/>
                <w:szCs w:val="21"/>
              </w:rPr>
            </w:pPr>
            <w:r>
              <w:rPr>
                <w:rFonts w:hint="eastAsia"/>
                <w:bCs/>
                <w:kern w:val="0"/>
                <w:szCs w:val="21"/>
              </w:rPr>
              <w:t>血液净化治疗模式全覆盖</w:t>
            </w:r>
          </w:p>
        </w:tc>
      </w:tr>
      <w:tr w14:paraId="3A24E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5DE5F18D">
            <w:pPr>
              <w:widowControl/>
              <w:jc w:val="center"/>
              <w:rPr>
                <w:rFonts w:hint="eastAsia"/>
                <w:b/>
                <w:kern w:val="0"/>
                <w:szCs w:val="21"/>
              </w:rPr>
            </w:pPr>
          </w:p>
        </w:tc>
        <w:tc>
          <w:tcPr>
            <w:tcW w:w="272" w:type="pct"/>
            <w:shd w:val="clear" w:color="auto" w:fill="FFFFFF"/>
            <w:vAlign w:val="center"/>
          </w:tcPr>
          <w:p w14:paraId="3884E79F">
            <w:pPr>
              <w:widowControl/>
              <w:jc w:val="center"/>
              <w:rPr>
                <w:rFonts w:hint="eastAsia"/>
                <w:b/>
                <w:kern w:val="0"/>
                <w:szCs w:val="21"/>
              </w:rPr>
            </w:pPr>
            <w:r>
              <w:rPr>
                <w:rFonts w:hint="eastAsia"/>
                <w:b/>
                <w:kern w:val="0"/>
                <w:szCs w:val="21"/>
              </w:rPr>
              <w:t>3</w:t>
            </w:r>
          </w:p>
        </w:tc>
        <w:tc>
          <w:tcPr>
            <w:tcW w:w="381" w:type="pct"/>
            <w:shd w:val="clear" w:color="auto" w:fill="FFFFFF"/>
            <w:vAlign w:val="center"/>
          </w:tcPr>
          <w:p w14:paraId="4C59B38A">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28499352">
            <w:pPr>
              <w:widowControl/>
              <w:jc w:val="center"/>
              <w:rPr>
                <w:rFonts w:hint="eastAsia"/>
                <w:b/>
                <w:bCs/>
                <w:kern w:val="0"/>
                <w:szCs w:val="21"/>
              </w:rPr>
            </w:pPr>
            <w:r>
              <w:rPr>
                <w:rFonts w:hint="eastAsia" w:cs="方正仿宋_GB2312"/>
                <w:b/>
                <w:bCs/>
                <w:szCs w:val="21"/>
              </w:rPr>
              <w:t>可视喉镜</w:t>
            </w:r>
          </w:p>
        </w:tc>
        <w:tc>
          <w:tcPr>
            <w:tcW w:w="225" w:type="pct"/>
            <w:shd w:val="clear" w:color="auto" w:fill="FFFFFF"/>
            <w:vAlign w:val="center"/>
          </w:tcPr>
          <w:p w14:paraId="29A570A1">
            <w:pPr>
              <w:widowControl/>
              <w:jc w:val="center"/>
              <w:rPr>
                <w:rFonts w:hint="eastAsia"/>
                <w:b/>
                <w:bCs/>
                <w:kern w:val="0"/>
                <w:szCs w:val="21"/>
              </w:rPr>
            </w:pPr>
            <w:r>
              <w:rPr>
                <w:rFonts w:hint="eastAsia"/>
                <w:b/>
                <w:bCs/>
                <w:kern w:val="0"/>
                <w:szCs w:val="21"/>
              </w:rPr>
              <w:t>3</w:t>
            </w:r>
          </w:p>
        </w:tc>
        <w:tc>
          <w:tcPr>
            <w:tcW w:w="285" w:type="pct"/>
            <w:shd w:val="clear" w:color="auto" w:fill="FFFFFF"/>
            <w:vAlign w:val="center"/>
          </w:tcPr>
          <w:p w14:paraId="4ADEA109">
            <w:pPr>
              <w:widowControl/>
              <w:jc w:val="center"/>
              <w:rPr>
                <w:rFonts w:hint="eastAsia"/>
                <w:b/>
                <w:bCs/>
                <w:kern w:val="0"/>
                <w:szCs w:val="21"/>
              </w:rPr>
            </w:pPr>
            <w:r>
              <w:rPr>
                <w:rFonts w:hint="eastAsia"/>
                <w:color w:val="000000"/>
                <w:szCs w:val="21"/>
              </w:rPr>
              <w:t>个</w:t>
            </w:r>
          </w:p>
        </w:tc>
        <w:tc>
          <w:tcPr>
            <w:tcW w:w="487" w:type="pct"/>
            <w:shd w:val="clear" w:color="auto" w:fill="FFFFFF"/>
            <w:vAlign w:val="center"/>
          </w:tcPr>
          <w:p w14:paraId="59D4BA39">
            <w:pPr>
              <w:widowControl/>
              <w:jc w:val="center"/>
              <w:rPr>
                <w:rFonts w:hint="eastAsia"/>
                <w:b/>
                <w:bCs/>
                <w:kern w:val="0"/>
                <w:szCs w:val="21"/>
              </w:rPr>
            </w:pPr>
            <w:r>
              <w:rPr>
                <w:rStyle w:val="382"/>
                <w:rFonts w:hint="eastAsia"/>
                <w:szCs w:val="21"/>
              </w:rPr>
              <w:t>3.50</w:t>
            </w:r>
          </w:p>
        </w:tc>
        <w:tc>
          <w:tcPr>
            <w:tcW w:w="590" w:type="pct"/>
            <w:shd w:val="clear" w:color="auto" w:fill="FFFFFF"/>
            <w:vAlign w:val="center"/>
          </w:tcPr>
          <w:p w14:paraId="50F90262">
            <w:pPr>
              <w:widowControl/>
              <w:jc w:val="center"/>
              <w:rPr>
                <w:rFonts w:hint="eastAsia"/>
                <w:b/>
                <w:bCs/>
                <w:kern w:val="0"/>
                <w:szCs w:val="21"/>
              </w:rPr>
            </w:pPr>
            <w:r>
              <w:rPr>
                <w:rStyle w:val="382"/>
                <w:rFonts w:hint="eastAsia"/>
                <w:szCs w:val="21"/>
              </w:rPr>
              <w:t>10.50</w:t>
            </w:r>
          </w:p>
        </w:tc>
        <w:tc>
          <w:tcPr>
            <w:tcW w:w="549" w:type="pct"/>
            <w:vMerge w:val="continue"/>
            <w:shd w:val="clear" w:color="auto" w:fill="FFFFFF"/>
            <w:vAlign w:val="center"/>
          </w:tcPr>
          <w:p w14:paraId="7BDD5618">
            <w:pPr>
              <w:widowControl/>
              <w:jc w:val="center"/>
              <w:rPr>
                <w:rFonts w:hint="eastAsia"/>
                <w:bCs/>
                <w:kern w:val="0"/>
                <w:szCs w:val="21"/>
              </w:rPr>
            </w:pPr>
          </w:p>
        </w:tc>
        <w:tc>
          <w:tcPr>
            <w:tcW w:w="980" w:type="pct"/>
            <w:shd w:val="clear" w:color="auto" w:fill="FFFFFF"/>
            <w:vAlign w:val="center"/>
          </w:tcPr>
          <w:p w14:paraId="753CD784">
            <w:pPr>
              <w:widowControl/>
              <w:jc w:val="center"/>
              <w:rPr>
                <w:rFonts w:hint="eastAsia"/>
                <w:bCs/>
                <w:kern w:val="0"/>
                <w:szCs w:val="21"/>
              </w:rPr>
            </w:pPr>
            <w:r>
              <w:rPr>
                <w:rFonts w:hint="eastAsia"/>
                <w:szCs w:val="21"/>
              </w:rPr>
              <w:t>一次性喉镜片总长度：110-170mm</w:t>
            </w:r>
          </w:p>
        </w:tc>
      </w:tr>
      <w:tr w14:paraId="5876F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70" w:type="pct"/>
            <w:vMerge w:val="continue"/>
            <w:shd w:val="clear" w:color="auto" w:fill="FFFFFF"/>
            <w:vAlign w:val="center"/>
          </w:tcPr>
          <w:p w14:paraId="72ADDCA1">
            <w:pPr>
              <w:widowControl/>
              <w:jc w:val="center"/>
              <w:rPr>
                <w:rFonts w:hint="eastAsia"/>
                <w:b/>
                <w:kern w:val="0"/>
                <w:szCs w:val="21"/>
              </w:rPr>
            </w:pPr>
          </w:p>
        </w:tc>
        <w:tc>
          <w:tcPr>
            <w:tcW w:w="272" w:type="pct"/>
            <w:shd w:val="clear" w:color="auto" w:fill="FFFFFF"/>
            <w:vAlign w:val="center"/>
          </w:tcPr>
          <w:p w14:paraId="6F8A01AA">
            <w:pPr>
              <w:widowControl/>
              <w:jc w:val="center"/>
              <w:rPr>
                <w:rFonts w:hint="eastAsia"/>
                <w:b/>
                <w:kern w:val="0"/>
                <w:szCs w:val="21"/>
              </w:rPr>
            </w:pPr>
            <w:r>
              <w:rPr>
                <w:rFonts w:hint="eastAsia"/>
                <w:b/>
                <w:kern w:val="0"/>
                <w:szCs w:val="21"/>
              </w:rPr>
              <w:t>4</w:t>
            </w:r>
          </w:p>
        </w:tc>
        <w:tc>
          <w:tcPr>
            <w:tcW w:w="381" w:type="pct"/>
            <w:shd w:val="clear" w:color="auto" w:fill="FFFFFF"/>
            <w:vAlign w:val="center"/>
          </w:tcPr>
          <w:p w14:paraId="65759997">
            <w:pPr>
              <w:widowControl/>
              <w:jc w:val="center"/>
              <w:rPr>
                <w:rFonts w:hint="eastAsia"/>
                <w:b/>
                <w:kern w:val="0"/>
                <w:szCs w:val="21"/>
              </w:rPr>
            </w:pPr>
            <w:r>
              <w:rPr>
                <w:rFonts w:hint="eastAsia"/>
                <w:b/>
                <w:kern w:val="0"/>
                <w:szCs w:val="21"/>
              </w:rPr>
              <w:t>否</w:t>
            </w:r>
          </w:p>
        </w:tc>
        <w:tc>
          <w:tcPr>
            <w:tcW w:w="861" w:type="pct"/>
            <w:shd w:val="clear" w:color="auto" w:fill="FFFFFF"/>
            <w:vAlign w:val="center"/>
          </w:tcPr>
          <w:p w14:paraId="6B922E6A">
            <w:pPr>
              <w:widowControl/>
              <w:jc w:val="center"/>
              <w:rPr>
                <w:rFonts w:hint="eastAsia"/>
                <w:b/>
                <w:bCs/>
                <w:kern w:val="0"/>
                <w:szCs w:val="21"/>
              </w:rPr>
            </w:pPr>
            <w:r>
              <w:rPr>
                <w:rFonts w:hint="eastAsia" w:cs="方正仿宋_GB2312"/>
                <w:b/>
                <w:bCs/>
                <w:szCs w:val="21"/>
              </w:rPr>
              <w:t>自动心肺复苏机</w:t>
            </w:r>
          </w:p>
        </w:tc>
        <w:tc>
          <w:tcPr>
            <w:tcW w:w="225" w:type="pct"/>
            <w:shd w:val="clear" w:color="auto" w:fill="FFFFFF"/>
            <w:vAlign w:val="center"/>
          </w:tcPr>
          <w:p w14:paraId="620B7C4F">
            <w:pPr>
              <w:widowControl/>
              <w:jc w:val="center"/>
              <w:rPr>
                <w:rFonts w:hint="eastAsia"/>
                <w:b/>
                <w:bCs/>
                <w:kern w:val="0"/>
                <w:szCs w:val="21"/>
              </w:rPr>
            </w:pPr>
            <w:r>
              <w:rPr>
                <w:rFonts w:hint="eastAsia"/>
                <w:b/>
                <w:bCs/>
                <w:kern w:val="0"/>
                <w:szCs w:val="21"/>
              </w:rPr>
              <w:t>1</w:t>
            </w:r>
          </w:p>
        </w:tc>
        <w:tc>
          <w:tcPr>
            <w:tcW w:w="285" w:type="pct"/>
            <w:shd w:val="clear" w:color="auto" w:fill="FFFFFF"/>
            <w:vAlign w:val="center"/>
          </w:tcPr>
          <w:p w14:paraId="6DACE0CD">
            <w:pPr>
              <w:widowControl/>
              <w:jc w:val="center"/>
              <w:rPr>
                <w:rFonts w:hint="eastAsia"/>
                <w:b/>
                <w:bCs/>
                <w:kern w:val="0"/>
                <w:szCs w:val="21"/>
              </w:rPr>
            </w:pPr>
            <w:r>
              <w:rPr>
                <w:rFonts w:hint="eastAsia"/>
                <w:color w:val="000000"/>
                <w:szCs w:val="21"/>
              </w:rPr>
              <w:t>台</w:t>
            </w:r>
          </w:p>
        </w:tc>
        <w:tc>
          <w:tcPr>
            <w:tcW w:w="487" w:type="pct"/>
            <w:shd w:val="clear" w:color="auto" w:fill="FFFFFF"/>
            <w:vAlign w:val="center"/>
          </w:tcPr>
          <w:p w14:paraId="1C390D37">
            <w:pPr>
              <w:widowControl/>
              <w:jc w:val="center"/>
              <w:rPr>
                <w:rFonts w:hint="eastAsia"/>
                <w:b/>
                <w:bCs/>
                <w:kern w:val="0"/>
                <w:szCs w:val="21"/>
              </w:rPr>
            </w:pPr>
            <w:r>
              <w:rPr>
                <w:rStyle w:val="382"/>
                <w:rFonts w:hint="eastAsia"/>
                <w:szCs w:val="21"/>
              </w:rPr>
              <w:t>15.50</w:t>
            </w:r>
          </w:p>
        </w:tc>
        <w:tc>
          <w:tcPr>
            <w:tcW w:w="590" w:type="pct"/>
            <w:shd w:val="clear" w:color="auto" w:fill="FFFFFF"/>
            <w:vAlign w:val="center"/>
          </w:tcPr>
          <w:p w14:paraId="53BCAA75">
            <w:pPr>
              <w:widowControl/>
              <w:jc w:val="center"/>
              <w:rPr>
                <w:rFonts w:hint="eastAsia"/>
                <w:b/>
                <w:bCs/>
                <w:kern w:val="0"/>
                <w:szCs w:val="21"/>
              </w:rPr>
            </w:pPr>
            <w:r>
              <w:rPr>
                <w:rStyle w:val="382"/>
                <w:rFonts w:hint="eastAsia"/>
                <w:szCs w:val="21"/>
              </w:rPr>
              <w:t>15.50</w:t>
            </w:r>
          </w:p>
        </w:tc>
        <w:tc>
          <w:tcPr>
            <w:tcW w:w="549" w:type="pct"/>
            <w:vMerge w:val="continue"/>
            <w:shd w:val="clear" w:color="auto" w:fill="FFFFFF"/>
            <w:vAlign w:val="center"/>
          </w:tcPr>
          <w:p w14:paraId="07E41C2E">
            <w:pPr>
              <w:widowControl/>
              <w:jc w:val="center"/>
              <w:rPr>
                <w:rFonts w:hint="eastAsia"/>
                <w:bCs/>
                <w:kern w:val="0"/>
                <w:szCs w:val="21"/>
              </w:rPr>
            </w:pPr>
          </w:p>
        </w:tc>
        <w:tc>
          <w:tcPr>
            <w:tcW w:w="980" w:type="pct"/>
            <w:shd w:val="clear" w:color="auto" w:fill="FFFFFF"/>
            <w:vAlign w:val="center"/>
          </w:tcPr>
          <w:p w14:paraId="5519C3BC">
            <w:pPr>
              <w:widowControl/>
              <w:jc w:val="center"/>
              <w:rPr>
                <w:rFonts w:hint="eastAsia"/>
                <w:bCs/>
                <w:kern w:val="0"/>
                <w:szCs w:val="21"/>
              </w:rPr>
            </w:pPr>
            <w:r>
              <w:rPr>
                <w:rFonts w:hint="eastAsia"/>
                <w:szCs w:val="22"/>
              </w:rPr>
              <w:t>按压原理：3D按压技术</w:t>
            </w:r>
          </w:p>
        </w:tc>
      </w:tr>
    </w:tbl>
    <w:p w14:paraId="51B5716E">
      <w:pPr>
        <w:widowControl/>
        <w:spacing w:line="240" w:lineRule="auto"/>
        <w:jc w:val="left"/>
        <w:rPr>
          <w:rFonts w:hint="eastAsia" w:cs="宋体"/>
          <w:b/>
          <w:bCs/>
          <w:sz w:val="24"/>
          <w:szCs w:val="20"/>
        </w:rPr>
      </w:pPr>
    </w:p>
    <w:p w14:paraId="3802BD68">
      <w:pPr>
        <w:widowControl/>
        <w:spacing w:line="240" w:lineRule="auto"/>
        <w:jc w:val="left"/>
        <w:rPr>
          <w:rFonts w:hint="eastAsia" w:cs="宋体"/>
          <w:b/>
          <w:bCs/>
          <w:sz w:val="24"/>
          <w:szCs w:val="20"/>
        </w:rPr>
      </w:pPr>
      <w:r>
        <w:rPr>
          <w:rFonts w:hint="eastAsia" w:cs="宋体"/>
          <w:b/>
          <w:bCs/>
          <w:sz w:val="24"/>
          <w:szCs w:val="20"/>
        </w:rPr>
        <w:br w:type="page"/>
      </w:r>
    </w:p>
    <w:p w14:paraId="56342C09">
      <w:pPr>
        <w:pStyle w:val="3"/>
        <w:keepNext w:val="0"/>
        <w:keepLines w:val="0"/>
        <w:numPr>
          <w:ilvl w:val="0"/>
          <w:numId w:val="0"/>
        </w:numPr>
        <w:jc w:val="center"/>
        <w:rPr>
          <w:rFonts w:hint="eastAsia" w:eastAsia="宋体" w:cs="宋体"/>
          <w:bCs/>
          <w:sz w:val="36"/>
        </w:rPr>
      </w:pPr>
      <w:bookmarkStart w:id="67" w:name="_Toc25059"/>
      <w:bookmarkStart w:id="68" w:name="_Toc32097"/>
      <w:r>
        <w:rPr>
          <w:rFonts w:hint="eastAsia" w:eastAsia="宋体" w:cs="宋体"/>
          <w:bCs/>
          <w:sz w:val="36"/>
        </w:rPr>
        <w:t>第二章 投标人须知</w:t>
      </w:r>
      <w:bookmarkEnd w:id="65"/>
      <w:bookmarkEnd w:id="67"/>
      <w:bookmarkEnd w:id="68"/>
    </w:p>
    <w:p w14:paraId="56342C0A">
      <w:pPr>
        <w:pStyle w:val="4"/>
        <w:keepNext w:val="0"/>
        <w:numPr>
          <w:ilvl w:val="1"/>
          <w:numId w:val="0"/>
        </w:numPr>
        <w:tabs>
          <w:tab w:val="left" w:pos="420"/>
          <w:tab w:val="left" w:pos="6090"/>
        </w:tabs>
        <w:ind w:left="-2" w:leftChars="-1"/>
        <w:jc w:val="center"/>
        <w:rPr>
          <w:rFonts w:hint="eastAsia" w:eastAsia="宋体" w:cs="宋体"/>
          <w:szCs w:val="28"/>
        </w:rPr>
      </w:pPr>
      <w:bookmarkStart w:id="69" w:name="_Toc25256"/>
      <w:bookmarkStart w:id="70" w:name="_Toc16959"/>
      <w:bookmarkStart w:id="71" w:name="_Toc216368751"/>
      <w:bookmarkStart w:id="72" w:name="_Toc4756"/>
      <w:r>
        <w:rPr>
          <w:rFonts w:hint="eastAsia" w:eastAsia="宋体" w:cs="宋体"/>
          <w:szCs w:val="28"/>
        </w:rPr>
        <w:t>投标人须知前附表</w:t>
      </w:r>
      <w:bookmarkEnd w:id="69"/>
      <w:bookmarkEnd w:id="70"/>
      <w:bookmarkEnd w:id="71"/>
      <w:bookmarkEnd w:id="72"/>
    </w:p>
    <w:tbl>
      <w:tblPr>
        <w:tblStyle w:val="44"/>
        <w:tblW w:w="99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2"/>
        <w:gridCol w:w="781"/>
        <w:gridCol w:w="2552"/>
        <w:gridCol w:w="6025"/>
      </w:tblGrid>
      <w:tr w14:paraId="56342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383" w:type="dxa"/>
            <w:gridSpan w:val="2"/>
            <w:noWrap/>
            <w:vAlign w:val="center"/>
          </w:tcPr>
          <w:p w14:paraId="56342C0B">
            <w:pPr>
              <w:pStyle w:val="23"/>
              <w:jc w:val="center"/>
              <w:rPr>
                <w:rFonts w:hint="eastAsia" w:cs="宋体"/>
                <w:b/>
                <w:szCs w:val="21"/>
              </w:rPr>
            </w:pPr>
            <w:r>
              <w:rPr>
                <w:rFonts w:hint="eastAsia" w:cs="宋体"/>
                <w:b/>
                <w:szCs w:val="21"/>
              </w:rPr>
              <w:t>条款号</w:t>
            </w:r>
          </w:p>
        </w:tc>
        <w:tc>
          <w:tcPr>
            <w:tcW w:w="2552" w:type="dxa"/>
            <w:noWrap/>
            <w:vAlign w:val="center"/>
          </w:tcPr>
          <w:p w14:paraId="56342C0C">
            <w:pPr>
              <w:pStyle w:val="23"/>
              <w:jc w:val="center"/>
              <w:rPr>
                <w:rFonts w:hint="eastAsia" w:cs="宋体"/>
                <w:b/>
                <w:szCs w:val="21"/>
              </w:rPr>
            </w:pPr>
            <w:r>
              <w:rPr>
                <w:rFonts w:hint="eastAsia" w:cs="宋体"/>
                <w:b/>
                <w:szCs w:val="21"/>
              </w:rPr>
              <w:t>条 款 名 称</w:t>
            </w:r>
          </w:p>
        </w:tc>
        <w:tc>
          <w:tcPr>
            <w:tcW w:w="6025" w:type="dxa"/>
            <w:noWrap/>
            <w:vAlign w:val="center"/>
          </w:tcPr>
          <w:p w14:paraId="56342C0D">
            <w:pPr>
              <w:pStyle w:val="23"/>
              <w:jc w:val="center"/>
              <w:rPr>
                <w:rFonts w:hint="eastAsia" w:cs="宋体"/>
                <w:b/>
                <w:szCs w:val="21"/>
              </w:rPr>
            </w:pPr>
            <w:r>
              <w:rPr>
                <w:rFonts w:hint="eastAsia" w:cs="宋体"/>
                <w:b/>
                <w:szCs w:val="21"/>
              </w:rPr>
              <w:t>编 列 内 容</w:t>
            </w:r>
          </w:p>
        </w:tc>
      </w:tr>
      <w:tr w14:paraId="56342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restart"/>
            <w:noWrap/>
            <w:vAlign w:val="center"/>
          </w:tcPr>
          <w:p w14:paraId="56342C0F">
            <w:pPr>
              <w:pStyle w:val="23"/>
              <w:jc w:val="center"/>
              <w:rPr>
                <w:rFonts w:hint="eastAsia" w:cs="宋体"/>
                <w:b/>
                <w:bCs/>
                <w:szCs w:val="21"/>
              </w:rPr>
            </w:pPr>
            <w:r>
              <w:rPr>
                <w:rFonts w:hint="eastAsia" w:cs="宋体"/>
                <w:b/>
                <w:bCs/>
                <w:szCs w:val="21"/>
              </w:rPr>
              <w:t>1</w:t>
            </w:r>
          </w:p>
        </w:tc>
        <w:tc>
          <w:tcPr>
            <w:tcW w:w="2552" w:type="dxa"/>
            <w:noWrap/>
            <w:vAlign w:val="center"/>
          </w:tcPr>
          <w:p w14:paraId="56342C10">
            <w:pPr>
              <w:pStyle w:val="23"/>
              <w:rPr>
                <w:rFonts w:hint="eastAsia" w:cs="宋体"/>
                <w:b/>
                <w:bCs/>
                <w:szCs w:val="21"/>
                <w:u w:val="single"/>
              </w:rPr>
            </w:pPr>
            <w:r>
              <w:rPr>
                <w:rFonts w:hint="eastAsia" w:cs="宋体"/>
                <w:b/>
                <w:bCs/>
                <w:szCs w:val="21"/>
              </w:rPr>
              <w:t>采购人</w:t>
            </w:r>
          </w:p>
        </w:tc>
        <w:tc>
          <w:tcPr>
            <w:tcW w:w="6025" w:type="dxa"/>
            <w:noWrap/>
            <w:vAlign w:val="center"/>
          </w:tcPr>
          <w:p w14:paraId="56342C11">
            <w:pPr>
              <w:pStyle w:val="23"/>
              <w:rPr>
                <w:rFonts w:hint="eastAsia" w:cs="宋体"/>
                <w:szCs w:val="21"/>
              </w:rPr>
            </w:pPr>
            <w:r>
              <w:rPr>
                <w:rFonts w:hint="eastAsia" w:cs="宋体"/>
                <w:szCs w:val="21"/>
              </w:rPr>
              <w:t>洱源县人民医院</w:t>
            </w:r>
          </w:p>
        </w:tc>
      </w:tr>
      <w:tr w14:paraId="56342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continue"/>
            <w:noWrap/>
            <w:vAlign w:val="center"/>
          </w:tcPr>
          <w:p w14:paraId="56342C13">
            <w:pPr>
              <w:rPr>
                <w:rFonts w:hint="eastAsia" w:cs="宋体"/>
                <w:b/>
                <w:bCs/>
                <w:szCs w:val="21"/>
              </w:rPr>
            </w:pPr>
          </w:p>
        </w:tc>
        <w:tc>
          <w:tcPr>
            <w:tcW w:w="2552" w:type="dxa"/>
            <w:noWrap/>
            <w:vAlign w:val="center"/>
          </w:tcPr>
          <w:p w14:paraId="56342C14">
            <w:pPr>
              <w:pStyle w:val="23"/>
              <w:rPr>
                <w:rFonts w:hint="eastAsia" w:cs="宋体"/>
                <w:b/>
                <w:bCs/>
                <w:szCs w:val="21"/>
              </w:rPr>
            </w:pPr>
            <w:r>
              <w:rPr>
                <w:rFonts w:hint="eastAsia" w:cs="宋体"/>
                <w:b/>
                <w:bCs/>
                <w:szCs w:val="21"/>
              </w:rPr>
              <w:t>采购代理机构</w:t>
            </w:r>
          </w:p>
        </w:tc>
        <w:tc>
          <w:tcPr>
            <w:tcW w:w="6025" w:type="dxa"/>
            <w:noWrap/>
            <w:vAlign w:val="center"/>
          </w:tcPr>
          <w:p w14:paraId="56342C15">
            <w:pPr>
              <w:pStyle w:val="23"/>
              <w:rPr>
                <w:rFonts w:hint="eastAsia" w:cs="宋体"/>
                <w:szCs w:val="21"/>
              </w:rPr>
            </w:pPr>
            <w:r>
              <w:rPr>
                <w:rFonts w:hint="eastAsia" w:cs="宋体"/>
                <w:szCs w:val="21"/>
              </w:rPr>
              <w:t>云南招标股份有限公司</w:t>
            </w:r>
          </w:p>
        </w:tc>
      </w:tr>
      <w:tr w14:paraId="56342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383" w:type="dxa"/>
            <w:gridSpan w:val="2"/>
            <w:vMerge w:val="continue"/>
            <w:noWrap/>
            <w:vAlign w:val="center"/>
          </w:tcPr>
          <w:p w14:paraId="56342C17">
            <w:pPr>
              <w:rPr>
                <w:rFonts w:hint="eastAsia" w:cs="宋体"/>
                <w:b/>
                <w:bCs/>
                <w:szCs w:val="21"/>
              </w:rPr>
            </w:pPr>
          </w:p>
        </w:tc>
        <w:tc>
          <w:tcPr>
            <w:tcW w:w="2552" w:type="dxa"/>
            <w:noWrap/>
            <w:vAlign w:val="center"/>
          </w:tcPr>
          <w:p w14:paraId="56342C18">
            <w:pPr>
              <w:pStyle w:val="23"/>
              <w:rPr>
                <w:rFonts w:hint="eastAsia" w:cs="宋体"/>
                <w:b/>
                <w:bCs/>
                <w:szCs w:val="21"/>
              </w:rPr>
            </w:pPr>
            <w:r>
              <w:rPr>
                <w:rFonts w:hint="eastAsia" w:cs="宋体"/>
                <w:b/>
                <w:bCs/>
                <w:szCs w:val="21"/>
              </w:rPr>
              <w:t>项目名称及项目编号</w:t>
            </w:r>
          </w:p>
        </w:tc>
        <w:tc>
          <w:tcPr>
            <w:tcW w:w="6025" w:type="dxa"/>
            <w:noWrap/>
            <w:vAlign w:val="center"/>
          </w:tcPr>
          <w:p w14:paraId="56342C19">
            <w:pPr>
              <w:pStyle w:val="23"/>
              <w:rPr>
                <w:rFonts w:hint="eastAsia" w:cs="宋体"/>
                <w:szCs w:val="21"/>
              </w:rPr>
            </w:pPr>
            <w:r>
              <w:rPr>
                <w:rFonts w:hint="eastAsia" w:cs="宋体"/>
                <w:szCs w:val="21"/>
              </w:rPr>
              <w:t>项目名称：洱源县人民医院体检中心设备与医疗服务保障能力提升项目设备采购</w:t>
            </w:r>
          </w:p>
          <w:p w14:paraId="56342C1A">
            <w:pPr>
              <w:pStyle w:val="23"/>
              <w:rPr>
                <w:rFonts w:hint="eastAsia" w:cs="宋体"/>
                <w:szCs w:val="21"/>
              </w:rPr>
            </w:pPr>
            <w:r>
              <w:rPr>
                <w:rFonts w:hint="eastAsia" w:cs="宋体"/>
                <w:szCs w:val="21"/>
              </w:rPr>
              <w:t xml:space="preserve">项目编号：Q53LX0326001230 </w:t>
            </w:r>
          </w:p>
        </w:tc>
      </w:tr>
      <w:tr w14:paraId="56342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1C">
            <w:pPr>
              <w:jc w:val="center"/>
              <w:rPr>
                <w:rFonts w:hint="eastAsia" w:cs="宋体"/>
                <w:b/>
                <w:bCs/>
                <w:szCs w:val="21"/>
              </w:rPr>
            </w:pPr>
            <w:r>
              <w:rPr>
                <w:rFonts w:hint="eastAsia" w:cs="宋体"/>
                <w:b/>
                <w:bCs/>
                <w:szCs w:val="21"/>
              </w:rPr>
              <w:t>2</w:t>
            </w:r>
          </w:p>
        </w:tc>
        <w:tc>
          <w:tcPr>
            <w:tcW w:w="2552" w:type="dxa"/>
            <w:noWrap/>
            <w:vAlign w:val="center"/>
          </w:tcPr>
          <w:p w14:paraId="56342C1D">
            <w:pPr>
              <w:pStyle w:val="23"/>
              <w:rPr>
                <w:rFonts w:hint="eastAsia" w:cs="宋体"/>
                <w:b/>
                <w:bCs/>
                <w:szCs w:val="21"/>
              </w:rPr>
            </w:pPr>
            <w:r>
              <w:rPr>
                <w:rFonts w:hint="eastAsia" w:cs="宋体"/>
                <w:b/>
                <w:szCs w:val="21"/>
              </w:rPr>
              <w:t>资金来源</w:t>
            </w:r>
          </w:p>
        </w:tc>
        <w:tc>
          <w:tcPr>
            <w:tcW w:w="6025" w:type="dxa"/>
            <w:noWrap/>
            <w:vAlign w:val="center"/>
          </w:tcPr>
          <w:p w14:paraId="56342C1E">
            <w:pPr>
              <w:pStyle w:val="23"/>
              <w:rPr>
                <w:rFonts w:hint="eastAsia" w:cs="宋体"/>
                <w:szCs w:val="21"/>
              </w:rPr>
            </w:pPr>
            <w:r>
              <w:rPr>
                <w:rFonts w:hint="eastAsia" w:cs="宋体"/>
                <w:szCs w:val="21"/>
              </w:rPr>
              <w:t>财政资金30%，医院自筹资金70%，已落实</w:t>
            </w:r>
          </w:p>
        </w:tc>
      </w:tr>
      <w:tr w14:paraId="56342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20">
            <w:pPr>
              <w:pStyle w:val="23"/>
              <w:jc w:val="center"/>
              <w:rPr>
                <w:rFonts w:hint="eastAsia" w:cs="宋体"/>
                <w:b/>
                <w:bCs/>
                <w:szCs w:val="21"/>
              </w:rPr>
            </w:pPr>
            <w:r>
              <w:rPr>
                <w:rFonts w:hint="eastAsia" w:cs="宋体"/>
                <w:b/>
                <w:bCs/>
                <w:szCs w:val="21"/>
              </w:rPr>
              <w:t>3.1</w:t>
            </w:r>
          </w:p>
        </w:tc>
        <w:tc>
          <w:tcPr>
            <w:tcW w:w="2552" w:type="dxa"/>
            <w:noWrap/>
            <w:vAlign w:val="center"/>
          </w:tcPr>
          <w:p w14:paraId="56342C21">
            <w:pPr>
              <w:pStyle w:val="23"/>
              <w:rPr>
                <w:rFonts w:hint="eastAsia" w:cs="宋体"/>
                <w:b/>
                <w:bCs/>
                <w:szCs w:val="21"/>
              </w:rPr>
            </w:pPr>
            <w:r>
              <w:rPr>
                <w:rFonts w:hint="eastAsia" w:cs="宋体"/>
                <w:b/>
                <w:bCs/>
                <w:szCs w:val="21"/>
              </w:rPr>
              <w:t>招标范围</w:t>
            </w:r>
          </w:p>
        </w:tc>
        <w:tc>
          <w:tcPr>
            <w:tcW w:w="6025" w:type="dxa"/>
            <w:noWrap/>
            <w:vAlign w:val="center"/>
          </w:tcPr>
          <w:p w14:paraId="56342C22">
            <w:pPr>
              <w:pStyle w:val="23"/>
              <w:jc w:val="left"/>
              <w:rPr>
                <w:rFonts w:hint="eastAsia" w:cs="宋体"/>
                <w:szCs w:val="21"/>
              </w:rPr>
            </w:pPr>
            <w:r>
              <w:rPr>
                <w:rFonts w:hint="eastAsia" w:cs="宋体"/>
                <w:szCs w:val="21"/>
              </w:rPr>
              <w:t>详见</w:t>
            </w:r>
            <w:r>
              <w:rPr>
                <w:rFonts w:hint="eastAsia" w:cs="宋体"/>
                <w:b/>
                <w:bCs/>
                <w:szCs w:val="21"/>
              </w:rPr>
              <w:t>第一章招标公告</w:t>
            </w:r>
            <w:r>
              <w:rPr>
                <w:rFonts w:hint="eastAsia" w:cs="宋体"/>
                <w:szCs w:val="21"/>
              </w:rPr>
              <w:t>采购需求</w:t>
            </w:r>
          </w:p>
        </w:tc>
      </w:tr>
      <w:tr w14:paraId="56342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1383" w:type="dxa"/>
            <w:gridSpan w:val="2"/>
            <w:noWrap/>
            <w:vAlign w:val="center"/>
          </w:tcPr>
          <w:p w14:paraId="56342C24">
            <w:pPr>
              <w:pStyle w:val="23"/>
              <w:jc w:val="center"/>
              <w:rPr>
                <w:rFonts w:hint="eastAsia" w:cs="宋体"/>
                <w:b/>
                <w:bCs/>
                <w:szCs w:val="21"/>
              </w:rPr>
            </w:pPr>
            <w:r>
              <w:rPr>
                <w:rFonts w:hint="eastAsia" w:cs="宋体"/>
                <w:b/>
                <w:bCs/>
                <w:szCs w:val="21"/>
              </w:rPr>
              <w:t>★3.2</w:t>
            </w:r>
          </w:p>
        </w:tc>
        <w:tc>
          <w:tcPr>
            <w:tcW w:w="2552" w:type="dxa"/>
            <w:noWrap/>
            <w:vAlign w:val="center"/>
          </w:tcPr>
          <w:p w14:paraId="56342C25">
            <w:pPr>
              <w:pStyle w:val="23"/>
              <w:rPr>
                <w:rFonts w:hint="eastAsia" w:cs="宋体"/>
                <w:b/>
                <w:bCs/>
                <w:szCs w:val="21"/>
              </w:rPr>
            </w:pPr>
            <w:r>
              <w:rPr>
                <w:rFonts w:hint="eastAsia" w:cs="宋体"/>
                <w:b/>
                <w:bCs/>
                <w:szCs w:val="21"/>
              </w:rPr>
              <w:t>交货期、交货地点、交货方式、质量要求及质保期</w:t>
            </w:r>
          </w:p>
        </w:tc>
        <w:tc>
          <w:tcPr>
            <w:tcW w:w="6025" w:type="dxa"/>
            <w:noWrap/>
            <w:vAlign w:val="center"/>
          </w:tcPr>
          <w:p w14:paraId="56342C26">
            <w:pPr>
              <w:rPr>
                <w:rFonts w:hint="eastAsia"/>
                <w:szCs w:val="21"/>
              </w:rPr>
            </w:pPr>
            <w:r>
              <w:rPr>
                <w:b/>
                <w:bCs/>
                <w:szCs w:val="21"/>
              </w:rPr>
              <w:t>交货期：</w:t>
            </w:r>
            <w:r>
              <w:rPr>
                <w:rFonts w:hint="eastAsia"/>
                <w:szCs w:val="21"/>
              </w:rPr>
              <w:t>合同签订后30个日历日内完成交货及安装</w:t>
            </w:r>
            <w:r>
              <w:rPr>
                <w:szCs w:val="21"/>
              </w:rPr>
              <w:t>。</w:t>
            </w:r>
          </w:p>
          <w:p w14:paraId="56342C27">
            <w:pPr>
              <w:rPr>
                <w:rFonts w:hint="eastAsia" w:cs="宋体"/>
                <w:b/>
                <w:bCs/>
                <w:szCs w:val="21"/>
              </w:rPr>
            </w:pPr>
            <w:r>
              <w:rPr>
                <w:b/>
                <w:bCs/>
                <w:szCs w:val="21"/>
              </w:rPr>
              <w:t>交货地点：</w:t>
            </w:r>
            <w:r>
              <w:rPr>
                <w:rFonts w:hint="eastAsia"/>
                <w:szCs w:val="21"/>
              </w:rPr>
              <w:t>采购人指定地点。</w:t>
            </w:r>
          </w:p>
          <w:p w14:paraId="56342C28">
            <w:pPr>
              <w:rPr>
                <w:rFonts w:hint="eastAsia"/>
                <w:b/>
                <w:bCs/>
                <w:szCs w:val="21"/>
              </w:rPr>
            </w:pPr>
            <w:r>
              <w:rPr>
                <w:b/>
                <w:bCs/>
              </w:rPr>
              <w:t>交货方式：</w:t>
            </w:r>
            <w:r>
              <w:t>现场安装调试验收完成。</w:t>
            </w:r>
          </w:p>
          <w:p w14:paraId="5BD51AA1">
            <w:pPr>
              <w:rPr>
                <w:rFonts w:hint="eastAsia"/>
                <w:szCs w:val="21"/>
              </w:rPr>
            </w:pPr>
            <w:r>
              <w:rPr>
                <w:b/>
                <w:bCs/>
                <w:szCs w:val="21"/>
              </w:rPr>
              <w:t>质量要求：</w:t>
            </w:r>
            <w:r>
              <w:rPr>
                <w:szCs w:val="21"/>
              </w:rPr>
              <w:t>有国家标准和行业标准的，按国家标准和行业标准执行，满足质量要求和使用需求的全新产品，满足采购人需求，一次验收合格。</w:t>
            </w:r>
          </w:p>
          <w:p w14:paraId="56342C29">
            <w:pPr>
              <w:pStyle w:val="2"/>
              <w:rPr>
                <w:rFonts w:hint="eastAsia" w:ascii="宋体" w:hAnsi="宋体"/>
              </w:rPr>
            </w:pPr>
            <w:r>
              <w:rPr>
                <w:rFonts w:hint="eastAsia" w:ascii="宋体" w:hAnsi="宋体"/>
                <w:bCs/>
                <w:color w:val="000000"/>
                <w:szCs w:val="21"/>
              </w:rPr>
              <w:t>质保期：</w:t>
            </w:r>
            <w:r>
              <w:rPr>
                <w:rFonts w:hint="eastAsia" w:ascii="宋体" w:hAnsi="宋体" w:cs="宋体"/>
                <w:b w:val="0"/>
                <w:bCs/>
              </w:rPr>
              <w:t>自验收合格之日起计算≥3年。</w:t>
            </w:r>
          </w:p>
        </w:tc>
      </w:tr>
      <w:tr w14:paraId="5634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restart"/>
            <w:noWrap/>
            <w:vAlign w:val="center"/>
          </w:tcPr>
          <w:p w14:paraId="56342C2B">
            <w:pPr>
              <w:pStyle w:val="23"/>
              <w:jc w:val="center"/>
              <w:rPr>
                <w:rFonts w:hint="eastAsia" w:cs="宋体"/>
                <w:szCs w:val="21"/>
              </w:rPr>
            </w:pPr>
            <w:r>
              <w:rPr>
                <w:rFonts w:hint="eastAsia"/>
                <w:szCs w:val="21"/>
              </w:rPr>
              <w:t>★4</w:t>
            </w:r>
          </w:p>
        </w:tc>
        <w:tc>
          <w:tcPr>
            <w:tcW w:w="781" w:type="dxa"/>
            <w:noWrap/>
            <w:vAlign w:val="center"/>
          </w:tcPr>
          <w:p w14:paraId="56342C2C">
            <w:pPr>
              <w:pStyle w:val="23"/>
              <w:jc w:val="center"/>
              <w:rPr>
                <w:rFonts w:hint="eastAsia"/>
                <w:b/>
                <w:bCs/>
                <w:szCs w:val="21"/>
              </w:rPr>
            </w:pPr>
            <w:r>
              <w:rPr>
                <w:rFonts w:hint="eastAsia" w:cs="宋体"/>
                <w:b/>
                <w:bCs/>
                <w:szCs w:val="21"/>
              </w:rPr>
              <w:t>4.1.2</w:t>
            </w:r>
          </w:p>
        </w:tc>
        <w:tc>
          <w:tcPr>
            <w:tcW w:w="2552" w:type="dxa"/>
            <w:noWrap/>
            <w:vAlign w:val="center"/>
          </w:tcPr>
          <w:p w14:paraId="56342C2D">
            <w:pPr>
              <w:pStyle w:val="23"/>
              <w:rPr>
                <w:rFonts w:hint="eastAsia" w:cs="宋体"/>
                <w:b/>
                <w:bCs/>
                <w:szCs w:val="21"/>
              </w:rPr>
            </w:pPr>
            <w:r>
              <w:rPr>
                <w:rFonts w:hint="eastAsia" w:cs="宋体"/>
                <w:b/>
                <w:bCs/>
                <w:szCs w:val="21"/>
              </w:rPr>
              <w:t>财务状况报告</w:t>
            </w:r>
          </w:p>
        </w:tc>
        <w:tc>
          <w:tcPr>
            <w:tcW w:w="6025" w:type="dxa"/>
            <w:noWrap/>
            <w:vAlign w:val="center"/>
          </w:tcPr>
          <w:p w14:paraId="2B85016A">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28940DBC">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2DFB10C">
            <w:pPr>
              <w:pStyle w:val="23"/>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A980BB3">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605B2E8">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03AD692B">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56342C32">
            <w:pPr>
              <w:pStyle w:val="23"/>
              <w:rPr>
                <w:rFonts w:hint="eastAsia" w:cs="宋体"/>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56342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602" w:type="dxa"/>
            <w:vMerge w:val="continue"/>
            <w:noWrap/>
            <w:vAlign w:val="center"/>
          </w:tcPr>
          <w:p w14:paraId="56342C34">
            <w:pPr>
              <w:pStyle w:val="23"/>
              <w:jc w:val="center"/>
              <w:rPr>
                <w:rFonts w:hint="eastAsia"/>
              </w:rPr>
            </w:pPr>
          </w:p>
        </w:tc>
        <w:tc>
          <w:tcPr>
            <w:tcW w:w="781" w:type="dxa"/>
            <w:noWrap/>
            <w:vAlign w:val="center"/>
          </w:tcPr>
          <w:p w14:paraId="56342C35">
            <w:pPr>
              <w:pStyle w:val="23"/>
              <w:jc w:val="center"/>
              <w:rPr>
                <w:rFonts w:hint="eastAsia"/>
                <w:b/>
                <w:bCs/>
                <w:szCs w:val="21"/>
              </w:rPr>
            </w:pPr>
            <w:r>
              <w:rPr>
                <w:rFonts w:hint="eastAsia" w:cs="宋体"/>
                <w:b/>
                <w:bCs/>
                <w:szCs w:val="21"/>
              </w:rPr>
              <w:t>4.1.3</w:t>
            </w:r>
          </w:p>
        </w:tc>
        <w:tc>
          <w:tcPr>
            <w:tcW w:w="2552" w:type="dxa"/>
            <w:noWrap/>
            <w:vAlign w:val="center"/>
          </w:tcPr>
          <w:p w14:paraId="56342C36">
            <w:pPr>
              <w:autoSpaceDE w:val="0"/>
              <w:autoSpaceDN w:val="0"/>
              <w:snapToGrid w:val="0"/>
              <w:textAlignment w:val="bottom"/>
              <w:rPr>
                <w:rFonts w:hint="eastAsia"/>
                <w:b/>
                <w:bCs/>
                <w:szCs w:val="21"/>
              </w:rPr>
            </w:pPr>
            <w:r>
              <w:rPr>
                <w:rFonts w:hint="eastAsia" w:cs="宋体"/>
                <w:b/>
                <w:bCs/>
                <w:szCs w:val="21"/>
              </w:rPr>
              <w:t>纳税证明材料的时间范围</w:t>
            </w:r>
          </w:p>
        </w:tc>
        <w:tc>
          <w:tcPr>
            <w:tcW w:w="6025" w:type="dxa"/>
            <w:noWrap/>
            <w:vAlign w:val="center"/>
          </w:tcPr>
          <w:p w14:paraId="56342C37">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56342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9">
            <w:pPr>
              <w:pStyle w:val="23"/>
              <w:jc w:val="center"/>
              <w:rPr>
                <w:rFonts w:hint="eastAsia"/>
                <w:szCs w:val="21"/>
              </w:rPr>
            </w:pPr>
          </w:p>
        </w:tc>
        <w:tc>
          <w:tcPr>
            <w:tcW w:w="781" w:type="dxa"/>
            <w:noWrap/>
            <w:vAlign w:val="center"/>
          </w:tcPr>
          <w:p w14:paraId="56342C3A">
            <w:pPr>
              <w:pStyle w:val="23"/>
              <w:jc w:val="center"/>
              <w:rPr>
                <w:rFonts w:hint="eastAsia"/>
                <w:b/>
                <w:bCs/>
                <w:szCs w:val="21"/>
              </w:rPr>
            </w:pPr>
            <w:r>
              <w:rPr>
                <w:rFonts w:hint="eastAsia" w:cs="宋体"/>
                <w:b/>
                <w:bCs/>
                <w:szCs w:val="21"/>
              </w:rPr>
              <w:t>4.1.4</w:t>
            </w:r>
          </w:p>
        </w:tc>
        <w:tc>
          <w:tcPr>
            <w:tcW w:w="2552" w:type="dxa"/>
            <w:noWrap/>
            <w:vAlign w:val="center"/>
          </w:tcPr>
          <w:p w14:paraId="56342C3B">
            <w:pPr>
              <w:pStyle w:val="23"/>
              <w:rPr>
                <w:rFonts w:hint="eastAsia"/>
                <w:b/>
                <w:bCs/>
                <w:szCs w:val="21"/>
              </w:rPr>
            </w:pPr>
            <w:r>
              <w:rPr>
                <w:rFonts w:hint="eastAsia" w:cs="宋体"/>
                <w:b/>
                <w:bCs/>
                <w:szCs w:val="21"/>
              </w:rPr>
              <w:t>缴纳社会保险证明材料的时间范围</w:t>
            </w:r>
          </w:p>
        </w:tc>
        <w:tc>
          <w:tcPr>
            <w:tcW w:w="6025" w:type="dxa"/>
            <w:noWrap/>
            <w:vAlign w:val="center"/>
          </w:tcPr>
          <w:p w14:paraId="56342C3C">
            <w:pPr>
              <w:autoSpaceDE w:val="0"/>
              <w:autoSpaceDN w:val="0"/>
              <w:snapToGrid w:val="0"/>
              <w:textAlignment w:val="bottom"/>
              <w:rPr>
                <w:rFonts w:hint="eastAsia"/>
                <w:szCs w:val="21"/>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56342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E">
            <w:pPr>
              <w:pStyle w:val="23"/>
              <w:jc w:val="center"/>
              <w:rPr>
                <w:rFonts w:hint="eastAsia"/>
                <w:szCs w:val="21"/>
              </w:rPr>
            </w:pPr>
          </w:p>
        </w:tc>
        <w:tc>
          <w:tcPr>
            <w:tcW w:w="781" w:type="dxa"/>
            <w:noWrap/>
            <w:vAlign w:val="center"/>
          </w:tcPr>
          <w:p w14:paraId="56342C3F">
            <w:pPr>
              <w:pStyle w:val="23"/>
              <w:jc w:val="center"/>
              <w:rPr>
                <w:rFonts w:hint="eastAsia"/>
                <w:b/>
                <w:bCs/>
                <w:szCs w:val="21"/>
              </w:rPr>
            </w:pPr>
            <w:r>
              <w:rPr>
                <w:rFonts w:hint="eastAsia" w:cs="宋体"/>
                <w:b/>
                <w:bCs/>
                <w:szCs w:val="21"/>
              </w:rPr>
              <w:t>4.1.5</w:t>
            </w:r>
          </w:p>
        </w:tc>
        <w:tc>
          <w:tcPr>
            <w:tcW w:w="2552" w:type="dxa"/>
            <w:noWrap/>
            <w:vAlign w:val="center"/>
          </w:tcPr>
          <w:p w14:paraId="56342C40">
            <w:pPr>
              <w:pStyle w:val="23"/>
              <w:rPr>
                <w:rFonts w:hint="eastAsia"/>
                <w:b/>
                <w:bCs/>
                <w:szCs w:val="21"/>
              </w:rPr>
            </w:pPr>
            <w:r>
              <w:rPr>
                <w:rFonts w:hint="eastAsia" w:cs="宋体"/>
                <w:b/>
                <w:bCs/>
                <w:szCs w:val="21"/>
              </w:rPr>
              <w:t>履行合同所必需的设备和专业技术能力</w:t>
            </w:r>
          </w:p>
        </w:tc>
        <w:tc>
          <w:tcPr>
            <w:tcW w:w="6025" w:type="dxa"/>
            <w:noWrap/>
            <w:vAlign w:val="center"/>
          </w:tcPr>
          <w:p w14:paraId="56342C41">
            <w:pPr>
              <w:autoSpaceDE w:val="0"/>
              <w:autoSpaceDN w:val="0"/>
              <w:snapToGrid w:val="0"/>
              <w:textAlignment w:val="bottom"/>
              <w:rPr>
                <w:rFonts w:hint="eastAsia"/>
                <w:szCs w:val="21"/>
              </w:rPr>
            </w:pPr>
            <w:r>
              <w:rPr>
                <w:rFonts w:hint="eastAsia" w:cs="宋体"/>
                <w:szCs w:val="21"/>
              </w:rPr>
              <w:t>投标人须提供具备履行合同所必需的设备和专业技术能力的证明材料。（提供承诺书）</w:t>
            </w:r>
          </w:p>
        </w:tc>
      </w:tr>
      <w:tr w14:paraId="56342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43">
            <w:pPr>
              <w:pStyle w:val="23"/>
              <w:jc w:val="center"/>
              <w:rPr>
                <w:rFonts w:hint="eastAsia"/>
                <w:szCs w:val="21"/>
              </w:rPr>
            </w:pPr>
          </w:p>
        </w:tc>
        <w:tc>
          <w:tcPr>
            <w:tcW w:w="781" w:type="dxa"/>
            <w:noWrap/>
            <w:vAlign w:val="center"/>
          </w:tcPr>
          <w:p w14:paraId="56342C44">
            <w:pPr>
              <w:pStyle w:val="23"/>
              <w:jc w:val="center"/>
              <w:rPr>
                <w:rFonts w:hint="eastAsia"/>
                <w:b/>
                <w:bCs/>
                <w:szCs w:val="21"/>
              </w:rPr>
            </w:pPr>
            <w:r>
              <w:rPr>
                <w:rFonts w:hint="eastAsia" w:cs="宋体"/>
                <w:b/>
                <w:bCs/>
                <w:szCs w:val="21"/>
              </w:rPr>
              <w:t>4.1.6</w:t>
            </w:r>
          </w:p>
        </w:tc>
        <w:tc>
          <w:tcPr>
            <w:tcW w:w="2552" w:type="dxa"/>
            <w:noWrap/>
          </w:tcPr>
          <w:p w14:paraId="56342C45">
            <w:pPr>
              <w:pStyle w:val="23"/>
              <w:rPr>
                <w:rFonts w:hint="eastAsia"/>
                <w:b/>
                <w:bCs/>
                <w:szCs w:val="21"/>
              </w:rPr>
            </w:pPr>
            <w:r>
              <w:rPr>
                <w:rFonts w:hint="eastAsia" w:cs="宋体"/>
                <w:b/>
                <w:bCs/>
              </w:rPr>
              <w:t>参加本项目政府采购活动前3年内在经营活动中没有重大违法记录的书面声明</w:t>
            </w:r>
          </w:p>
        </w:tc>
        <w:tc>
          <w:tcPr>
            <w:tcW w:w="6025" w:type="dxa"/>
            <w:noWrap/>
            <w:vAlign w:val="center"/>
          </w:tcPr>
          <w:p w14:paraId="56342C46">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56342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8">
            <w:pPr>
              <w:pStyle w:val="23"/>
              <w:jc w:val="center"/>
              <w:rPr>
                <w:rFonts w:hint="eastAsia" w:cs="宋体"/>
                <w:b/>
                <w:bCs/>
                <w:szCs w:val="21"/>
              </w:rPr>
            </w:pPr>
            <w:r>
              <w:rPr>
                <w:rFonts w:hint="eastAsia" w:cs="宋体"/>
                <w:b/>
                <w:bCs/>
                <w:szCs w:val="21"/>
              </w:rPr>
              <w:t>★4.2</w:t>
            </w:r>
          </w:p>
        </w:tc>
        <w:tc>
          <w:tcPr>
            <w:tcW w:w="2552" w:type="dxa"/>
            <w:noWrap/>
            <w:vAlign w:val="center"/>
          </w:tcPr>
          <w:p w14:paraId="56342C49">
            <w:pPr>
              <w:pStyle w:val="23"/>
              <w:rPr>
                <w:rFonts w:hint="eastAsia" w:cs="宋体"/>
                <w:b/>
                <w:bCs/>
                <w:szCs w:val="21"/>
              </w:rPr>
            </w:pPr>
            <w:r>
              <w:rPr>
                <w:rFonts w:hint="eastAsia" w:cs="宋体"/>
                <w:b/>
                <w:bCs/>
                <w:szCs w:val="21"/>
              </w:rPr>
              <w:t>落实政府采购政策需满足的资格要求</w:t>
            </w:r>
          </w:p>
        </w:tc>
        <w:tc>
          <w:tcPr>
            <w:tcW w:w="6025" w:type="dxa"/>
            <w:noWrap/>
            <w:vAlign w:val="center"/>
          </w:tcPr>
          <w:p w14:paraId="56342C4A">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C">
            <w:pPr>
              <w:pStyle w:val="23"/>
              <w:jc w:val="center"/>
              <w:rPr>
                <w:rFonts w:hint="eastAsia" w:cs="宋体"/>
                <w:b/>
                <w:bCs/>
                <w:szCs w:val="21"/>
              </w:rPr>
            </w:pPr>
            <w:r>
              <w:rPr>
                <w:rFonts w:hint="eastAsia" w:cs="宋体"/>
                <w:b/>
                <w:bCs/>
                <w:szCs w:val="21"/>
              </w:rPr>
              <w:t>★4.</w:t>
            </w:r>
            <w:r>
              <w:rPr>
                <w:rFonts w:cs="宋体"/>
                <w:b/>
                <w:bCs/>
                <w:szCs w:val="21"/>
              </w:rPr>
              <w:t>3</w:t>
            </w:r>
          </w:p>
        </w:tc>
        <w:tc>
          <w:tcPr>
            <w:tcW w:w="2552" w:type="dxa"/>
            <w:noWrap/>
            <w:vAlign w:val="center"/>
          </w:tcPr>
          <w:p w14:paraId="56342C4D">
            <w:pPr>
              <w:pStyle w:val="23"/>
              <w:rPr>
                <w:rFonts w:hint="eastAsia" w:cs="宋体"/>
                <w:b/>
                <w:bCs/>
                <w:szCs w:val="21"/>
              </w:rPr>
            </w:pPr>
            <w:r>
              <w:rPr>
                <w:rFonts w:hint="eastAsia" w:cs="宋体"/>
                <w:b/>
                <w:bCs/>
                <w:szCs w:val="21"/>
              </w:rPr>
              <w:t>本项目的特定资格要求</w:t>
            </w:r>
          </w:p>
        </w:tc>
        <w:tc>
          <w:tcPr>
            <w:tcW w:w="6025" w:type="dxa"/>
            <w:noWrap/>
            <w:vAlign w:val="center"/>
          </w:tcPr>
          <w:p w14:paraId="56342C4E">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1383" w:type="dxa"/>
            <w:gridSpan w:val="2"/>
            <w:noWrap/>
            <w:vAlign w:val="center"/>
          </w:tcPr>
          <w:p w14:paraId="56342C50">
            <w:pPr>
              <w:pStyle w:val="23"/>
              <w:jc w:val="center"/>
              <w:rPr>
                <w:rFonts w:hint="eastAsia" w:cs="宋体"/>
                <w:b/>
                <w:bCs/>
                <w:szCs w:val="21"/>
              </w:rPr>
            </w:pPr>
            <w:r>
              <w:rPr>
                <w:rFonts w:hint="eastAsia" w:cs="宋体"/>
                <w:b/>
                <w:bCs/>
                <w:szCs w:val="21"/>
              </w:rPr>
              <w:t>★4.</w:t>
            </w:r>
            <w:r>
              <w:rPr>
                <w:rFonts w:cs="宋体"/>
                <w:b/>
                <w:bCs/>
                <w:szCs w:val="21"/>
              </w:rPr>
              <w:t>6</w:t>
            </w:r>
          </w:p>
        </w:tc>
        <w:tc>
          <w:tcPr>
            <w:tcW w:w="2552" w:type="dxa"/>
            <w:noWrap/>
            <w:vAlign w:val="center"/>
          </w:tcPr>
          <w:p w14:paraId="56342C51">
            <w:pPr>
              <w:pStyle w:val="23"/>
              <w:rPr>
                <w:rFonts w:hint="eastAsia" w:cs="宋体"/>
                <w:b/>
                <w:bCs/>
                <w:szCs w:val="21"/>
              </w:rPr>
            </w:pPr>
            <w:r>
              <w:rPr>
                <w:rFonts w:hint="eastAsia" w:cs="宋体"/>
                <w:b/>
                <w:bCs/>
                <w:szCs w:val="21"/>
              </w:rPr>
              <w:t>是否接受联合体投标</w:t>
            </w:r>
          </w:p>
        </w:tc>
        <w:tc>
          <w:tcPr>
            <w:tcW w:w="6025" w:type="dxa"/>
            <w:noWrap/>
            <w:vAlign w:val="center"/>
          </w:tcPr>
          <w:p w14:paraId="56342C52">
            <w:pPr>
              <w:pStyle w:val="23"/>
              <w:jc w:val="left"/>
              <w:rPr>
                <w:rFonts w:hint="eastAsia" w:cs="宋体"/>
                <w:szCs w:val="21"/>
              </w:rPr>
            </w:pPr>
            <w:r>
              <w:rPr>
                <w:rFonts w:hint="eastAsia" w:cs="宋体"/>
                <w:szCs w:val="21"/>
              </w:rPr>
              <w:t>不接受。</w:t>
            </w:r>
          </w:p>
        </w:tc>
      </w:tr>
      <w:tr w14:paraId="56342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383" w:type="dxa"/>
            <w:gridSpan w:val="2"/>
            <w:noWrap/>
            <w:vAlign w:val="center"/>
          </w:tcPr>
          <w:p w14:paraId="56342C54">
            <w:pPr>
              <w:pStyle w:val="23"/>
              <w:jc w:val="center"/>
              <w:rPr>
                <w:rFonts w:hint="eastAsia" w:cs="宋体"/>
                <w:b/>
                <w:bCs/>
                <w:szCs w:val="21"/>
              </w:rPr>
            </w:pPr>
            <w:r>
              <w:rPr>
                <w:rFonts w:hint="eastAsia" w:cs="宋体"/>
                <w:b/>
                <w:bCs/>
                <w:szCs w:val="21"/>
              </w:rPr>
              <w:t>10.1</w:t>
            </w:r>
          </w:p>
        </w:tc>
        <w:tc>
          <w:tcPr>
            <w:tcW w:w="2552" w:type="dxa"/>
            <w:noWrap/>
            <w:vAlign w:val="center"/>
          </w:tcPr>
          <w:p w14:paraId="56342C55">
            <w:pPr>
              <w:autoSpaceDE w:val="0"/>
              <w:autoSpaceDN w:val="0"/>
              <w:snapToGrid w:val="0"/>
              <w:spacing w:line="276" w:lineRule="auto"/>
              <w:textAlignment w:val="bottom"/>
              <w:rPr>
                <w:rFonts w:hint="eastAsia" w:cs="宋体"/>
                <w:b/>
                <w:bCs/>
                <w:szCs w:val="21"/>
              </w:rPr>
            </w:pPr>
            <w:r>
              <w:rPr>
                <w:rFonts w:hint="eastAsia" w:cs="宋体"/>
                <w:b/>
                <w:bCs/>
                <w:szCs w:val="21"/>
              </w:rPr>
              <w:t>招标文件澄清截止时间</w:t>
            </w:r>
          </w:p>
        </w:tc>
        <w:tc>
          <w:tcPr>
            <w:tcW w:w="6025" w:type="dxa"/>
            <w:noWrap/>
            <w:vAlign w:val="center"/>
          </w:tcPr>
          <w:p w14:paraId="56342C56">
            <w:pPr>
              <w:pStyle w:val="23"/>
              <w:rPr>
                <w:rFonts w:hint="eastAsia" w:cs="宋体"/>
                <w:bCs/>
                <w:szCs w:val="21"/>
              </w:rPr>
            </w:pPr>
            <w:r>
              <w:rPr>
                <w:rFonts w:hint="eastAsia" w:cs="宋体"/>
                <w:szCs w:val="21"/>
              </w:rPr>
              <w:t>提交投标文件截止时间十五日前。</w:t>
            </w:r>
          </w:p>
        </w:tc>
      </w:tr>
      <w:tr w14:paraId="56342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8">
            <w:pPr>
              <w:pStyle w:val="23"/>
              <w:jc w:val="center"/>
              <w:rPr>
                <w:rFonts w:hint="eastAsia" w:cs="宋体"/>
                <w:b/>
                <w:bCs/>
                <w:szCs w:val="21"/>
              </w:rPr>
            </w:pPr>
            <w:r>
              <w:rPr>
                <w:rFonts w:hint="eastAsia" w:cs="宋体"/>
                <w:b/>
                <w:bCs/>
                <w:szCs w:val="21"/>
              </w:rPr>
              <w:t>14.1.1</w:t>
            </w:r>
          </w:p>
        </w:tc>
        <w:tc>
          <w:tcPr>
            <w:tcW w:w="2552" w:type="dxa"/>
            <w:noWrap/>
            <w:vAlign w:val="center"/>
          </w:tcPr>
          <w:p w14:paraId="56342C59">
            <w:pPr>
              <w:autoSpaceDE w:val="0"/>
              <w:autoSpaceDN w:val="0"/>
              <w:snapToGrid w:val="0"/>
              <w:textAlignment w:val="bottom"/>
              <w:rPr>
                <w:rFonts w:hint="eastAsia" w:cs="宋体"/>
                <w:b/>
                <w:bCs/>
                <w:szCs w:val="21"/>
              </w:rPr>
            </w:pPr>
            <w:r>
              <w:rPr>
                <w:rFonts w:hint="eastAsia" w:cs="宋体"/>
                <w:b/>
                <w:bCs/>
                <w:szCs w:val="21"/>
              </w:rPr>
              <w:t>构成投标文件技术部分的其他资料</w:t>
            </w:r>
          </w:p>
        </w:tc>
        <w:tc>
          <w:tcPr>
            <w:tcW w:w="6025" w:type="dxa"/>
            <w:noWrap/>
            <w:vAlign w:val="center"/>
          </w:tcPr>
          <w:p w14:paraId="56342C5A">
            <w:pPr>
              <w:autoSpaceDE w:val="0"/>
              <w:autoSpaceDN w:val="0"/>
              <w:snapToGrid w:val="0"/>
              <w:textAlignment w:val="bottom"/>
              <w:rPr>
                <w:rFonts w:hint="eastAsia" w:cs="宋体"/>
                <w:bCs/>
                <w:szCs w:val="21"/>
              </w:rPr>
            </w:pPr>
            <w:r>
              <w:rPr>
                <w:rFonts w:hint="eastAsia" w:cs="宋体"/>
                <w:bCs/>
                <w:szCs w:val="21"/>
              </w:rPr>
              <w:t>1、第五章《货物需求及技术要求》中要求提供的其他资料；</w:t>
            </w:r>
          </w:p>
          <w:p w14:paraId="56342C5B">
            <w:pPr>
              <w:autoSpaceDE w:val="0"/>
              <w:autoSpaceDN w:val="0"/>
              <w:snapToGrid w:val="0"/>
              <w:textAlignment w:val="bottom"/>
              <w:rPr>
                <w:rFonts w:hint="eastAsia" w:cs="宋体"/>
                <w:szCs w:val="21"/>
              </w:rPr>
            </w:pPr>
            <w:r>
              <w:rPr>
                <w:rFonts w:hint="eastAsia" w:cs="宋体"/>
                <w:bCs/>
                <w:szCs w:val="21"/>
              </w:rPr>
              <w:t>2、招标文件中所涉及到的相关资料及证明文件或投标人认为必须提供的其他相关资料。</w:t>
            </w:r>
          </w:p>
        </w:tc>
      </w:tr>
      <w:tr w14:paraId="56342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D">
            <w:pPr>
              <w:pStyle w:val="23"/>
              <w:jc w:val="center"/>
              <w:rPr>
                <w:rFonts w:hint="eastAsia" w:cs="宋体"/>
                <w:b/>
                <w:bCs/>
                <w:szCs w:val="21"/>
              </w:rPr>
            </w:pPr>
            <w:r>
              <w:rPr>
                <w:rFonts w:hint="eastAsia" w:cs="宋体"/>
                <w:b/>
                <w:bCs/>
                <w:szCs w:val="21"/>
              </w:rPr>
              <w:t>14.1.2</w:t>
            </w:r>
          </w:p>
        </w:tc>
        <w:tc>
          <w:tcPr>
            <w:tcW w:w="2552" w:type="dxa"/>
            <w:noWrap/>
            <w:vAlign w:val="center"/>
          </w:tcPr>
          <w:p w14:paraId="56342C5E">
            <w:pPr>
              <w:autoSpaceDE w:val="0"/>
              <w:autoSpaceDN w:val="0"/>
              <w:snapToGrid w:val="0"/>
              <w:textAlignment w:val="bottom"/>
              <w:rPr>
                <w:rFonts w:hint="eastAsia" w:cs="宋体"/>
                <w:b/>
                <w:bCs/>
                <w:szCs w:val="21"/>
              </w:rPr>
            </w:pPr>
            <w:r>
              <w:rPr>
                <w:rFonts w:hint="eastAsia" w:cs="宋体"/>
                <w:b/>
                <w:bCs/>
                <w:szCs w:val="21"/>
              </w:rPr>
              <w:t>构成投标文件商务部分的其他资料</w:t>
            </w:r>
          </w:p>
        </w:tc>
        <w:tc>
          <w:tcPr>
            <w:tcW w:w="6025" w:type="dxa"/>
            <w:noWrap/>
            <w:vAlign w:val="center"/>
          </w:tcPr>
          <w:p w14:paraId="56342C5F">
            <w:pPr>
              <w:autoSpaceDE w:val="0"/>
              <w:autoSpaceDN w:val="0"/>
              <w:snapToGrid w:val="0"/>
              <w:textAlignment w:val="bottom"/>
              <w:rPr>
                <w:rFonts w:hint="eastAsia" w:cs="宋体"/>
                <w:bCs/>
                <w:szCs w:val="21"/>
              </w:rPr>
            </w:pPr>
            <w:r>
              <w:rPr>
                <w:rFonts w:cs="宋体"/>
                <w:szCs w:val="21"/>
              </w:rPr>
              <w:t>1</w:t>
            </w:r>
            <w:r>
              <w:rPr>
                <w:rFonts w:hint="eastAsia" w:cs="宋体"/>
                <w:szCs w:val="21"/>
              </w:rPr>
              <w:t>、售后服务机构技术力量说明</w:t>
            </w:r>
            <w:r>
              <w:rPr>
                <w:rFonts w:hint="eastAsia" w:cs="宋体"/>
                <w:bCs/>
                <w:szCs w:val="21"/>
              </w:rPr>
              <w:t>；</w:t>
            </w:r>
          </w:p>
          <w:p w14:paraId="56342C60">
            <w:pPr>
              <w:autoSpaceDE w:val="0"/>
              <w:autoSpaceDN w:val="0"/>
              <w:snapToGrid w:val="0"/>
              <w:textAlignment w:val="bottom"/>
              <w:rPr>
                <w:rFonts w:hint="eastAsia" w:cs="宋体"/>
                <w:szCs w:val="21"/>
              </w:rPr>
            </w:pPr>
            <w:r>
              <w:rPr>
                <w:rFonts w:cs="宋体"/>
                <w:bCs/>
                <w:szCs w:val="21"/>
              </w:rPr>
              <w:t>2</w:t>
            </w:r>
            <w:r>
              <w:rPr>
                <w:rFonts w:hint="eastAsia" w:cs="宋体"/>
                <w:bCs/>
                <w:szCs w:val="21"/>
              </w:rPr>
              <w:t>、招标文件中所涉及到的相关资料及证明文件或投标人认为必须提供的其他相关资料。</w:t>
            </w:r>
          </w:p>
        </w:tc>
      </w:tr>
      <w:tr w14:paraId="56342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2">
            <w:pPr>
              <w:pStyle w:val="23"/>
              <w:jc w:val="center"/>
              <w:rPr>
                <w:rFonts w:hint="eastAsia" w:cs="宋体"/>
                <w:b/>
                <w:bCs/>
                <w:szCs w:val="21"/>
              </w:rPr>
            </w:pPr>
            <w:r>
              <w:rPr>
                <w:rFonts w:hint="eastAsia" w:cs="宋体"/>
                <w:b/>
                <w:bCs/>
                <w:szCs w:val="21"/>
              </w:rPr>
              <w:t>★16.1</w:t>
            </w:r>
          </w:p>
        </w:tc>
        <w:tc>
          <w:tcPr>
            <w:tcW w:w="2552" w:type="dxa"/>
            <w:noWrap/>
            <w:vAlign w:val="center"/>
          </w:tcPr>
          <w:p w14:paraId="56342C63">
            <w:pPr>
              <w:pStyle w:val="23"/>
              <w:rPr>
                <w:rFonts w:hint="eastAsia" w:cs="宋体"/>
                <w:b/>
                <w:bCs/>
                <w:szCs w:val="21"/>
              </w:rPr>
            </w:pPr>
            <w:r>
              <w:rPr>
                <w:b/>
                <w:bCs/>
                <w:color w:val="000000" w:themeColor="text1"/>
                <w:szCs w:val="21"/>
                <w14:textFill>
                  <w14:solidFill>
                    <w14:schemeClr w14:val="tx1"/>
                  </w14:solidFill>
                </w14:textFill>
              </w:rPr>
              <w:t>本项目预算金额及最高限价</w:t>
            </w:r>
          </w:p>
        </w:tc>
        <w:tc>
          <w:tcPr>
            <w:tcW w:w="6025" w:type="dxa"/>
            <w:noWrap/>
            <w:vAlign w:val="center"/>
          </w:tcPr>
          <w:p w14:paraId="56342C64">
            <w:pPr>
              <w:autoSpaceDE w:val="0"/>
              <w:autoSpaceDN w:val="0"/>
              <w:snapToGrid w:val="0"/>
              <w:textAlignment w:val="bottom"/>
              <w:rPr>
                <w:rFonts w:hint="eastAsia" w:cs="宋体"/>
                <w:szCs w:val="21"/>
              </w:rPr>
            </w:pPr>
            <w:r>
              <w:rPr>
                <w:rFonts w:cs="宋体"/>
                <w:color w:val="000000" w:themeColor="text1"/>
                <w:szCs w:val="21"/>
                <w14:textFill>
                  <w14:solidFill>
                    <w14:schemeClr w14:val="tx1"/>
                  </w14:solidFill>
                </w14:textFill>
              </w:rPr>
              <w:t>详见招标公告</w:t>
            </w:r>
            <w:r>
              <w:rPr>
                <w:rFonts w:hint="eastAsia" w:cs="宋体"/>
                <w:color w:val="000000" w:themeColor="text1"/>
                <w:szCs w:val="21"/>
                <w14:textFill>
                  <w14:solidFill>
                    <w14:schemeClr w14:val="tx1"/>
                  </w14:solidFill>
                </w14:textFill>
              </w:rPr>
              <w:t>。</w:t>
            </w:r>
          </w:p>
        </w:tc>
      </w:tr>
      <w:tr w14:paraId="4E1D1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4F7DBBDC">
            <w:pPr>
              <w:pStyle w:val="23"/>
              <w:jc w:val="center"/>
              <w:rPr>
                <w:rFonts w:hint="eastAsia" w:cs="宋体"/>
                <w:b/>
                <w:bCs/>
                <w:szCs w:val="21"/>
              </w:rPr>
            </w:pPr>
            <w:r>
              <w:rPr>
                <w:rFonts w:hint="eastAsia" w:cs="宋体"/>
                <w:b/>
                <w:bCs/>
                <w:szCs w:val="21"/>
              </w:rPr>
              <w:t>16.3</w:t>
            </w:r>
          </w:p>
        </w:tc>
        <w:tc>
          <w:tcPr>
            <w:tcW w:w="2552" w:type="dxa"/>
            <w:noWrap/>
            <w:vAlign w:val="center"/>
          </w:tcPr>
          <w:p w14:paraId="259CCAF4">
            <w:pPr>
              <w:pStyle w:val="23"/>
              <w:rPr>
                <w:rFonts w:hint="eastAsia"/>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投标总报价</w:t>
            </w:r>
          </w:p>
        </w:tc>
        <w:tc>
          <w:tcPr>
            <w:tcW w:w="6025" w:type="dxa"/>
            <w:noWrap/>
            <w:vAlign w:val="center"/>
          </w:tcPr>
          <w:p w14:paraId="0B22B8ED">
            <w:pPr>
              <w:autoSpaceDE w:val="0"/>
              <w:autoSpaceDN w:val="0"/>
              <w:snapToGrid w:val="0"/>
              <w:textAlignment w:val="bottom"/>
              <w:rPr>
                <w:rFonts w:hint="eastAsia"/>
                <w:color w:val="000000" w:themeColor="text1"/>
                <w:szCs w:val="21"/>
                <w14:textFill>
                  <w14:solidFill>
                    <w14:schemeClr w14:val="tx1"/>
                  </w14:solidFill>
                </w14:textFill>
              </w:rPr>
            </w:pPr>
            <w:r>
              <w:rPr>
                <w:rFonts w:hint="eastAsia"/>
                <w:bCs/>
                <w:color w:val="000000"/>
                <w:szCs w:val="21"/>
              </w:rPr>
              <w:t>投标总报价必须包含一切费用，</w:t>
            </w:r>
            <w:bookmarkStart w:id="73" w:name="_Hlk177679950"/>
            <w:r>
              <w:rPr>
                <w:szCs w:val="21"/>
              </w:rPr>
              <w:t>包括但不仅限于货物的出厂价</w:t>
            </w:r>
            <w:r>
              <w:rPr>
                <w:rFonts w:hint="eastAsia"/>
                <w:szCs w:val="21"/>
              </w:rPr>
              <w:t>、运输安装费、质保期内的维护或保修或更换费用、</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bookmarkEnd w:id="73"/>
          </w:p>
        </w:tc>
      </w:tr>
      <w:tr w14:paraId="56342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383" w:type="dxa"/>
            <w:gridSpan w:val="2"/>
            <w:noWrap/>
            <w:vAlign w:val="center"/>
          </w:tcPr>
          <w:p w14:paraId="56342C6A">
            <w:pPr>
              <w:pStyle w:val="23"/>
              <w:spacing w:line="276" w:lineRule="auto"/>
              <w:jc w:val="center"/>
              <w:rPr>
                <w:rFonts w:hint="eastAsia" w:cs="宋体"/>
                <w:b/>
                <w:bCs/>
                <w:szCs w:val="21"/>
              </w:rPr>
            </w:pPr>
            <w:r>
              <w:rPr>
                <w:b/>
                <w:bCs/>
              </w:rPr>
              <w:t>15.8</w:t>
            </w:r>
          </w:p>
        </w:tc>
        <w:tc>
          <w:tcPr>
            <w:tcW w:w="2552" w:type="dxa"/>
            <w:noWrap/>
            <w:vAlign w:val="center"/>
          </w:tcPr>
          <w:p w14:paraId="56342C6B">
            <w:pPr>
              <w:pStyle w:val="23"/>
              <w:spacing w:line="276" w:lineRule="auto"/>
              <w:rPr>
                <w:rFonts w:hint="eastAsia" w:cs="宋体"/>
                <w:b/>
                <w:bCs/>
                <w:szCs w:val="21"/>
              </w:rPr>
            </w:pPr>
            <w:r>
              <w:rPr>
                <w:b/>
                <w:bCs/>
                <w:szCs w:val="21"/>
              </w:rPr>
              <w:t>技术服务费</w:t>
            </w:r>
          </w:p>
        </w:tc>
        <w:tc>
          <w:tcPr>
            <w:tcW w:w="6025" w:type="dxa"/>
            <w:noWrap/>
            <w:vAlign w:val="center"/>
          </w:tcPr>
          <w:p w14:paraId="56342C6C">
            <w:pPr>
              <w:pStyle w:val="23"/>
              <w:spacing w:line="276" w:lineRule="auto"/>
              <w:rPr>
                <w:rFonts w:hint="eastAsia" w:cs="宋体"/>
                <w:szCs w:val="21"/>
              </w:rPr>
            </w:pPr>
            <w:r>
              <w:rPr>
                <w:szCs w:val="21"/>
              </w:rPr>
              <w:t>提供现场服务（包括安装和调试费用），并按“技术要求”提供人员培训的费用</w:t>
            </w:r>
            <w:r>
              <w:rPr>
                <w:rFonts w:hint="eastAsia"/>
                <w:szCs w:val="21"/>
              </w:rPr>
              <w:t>等。</w:t>
            </w:r>
          </w:p>
        </w:tc>
      </w:tr>
      <w:tr w14:paraId="56342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E">
            <w:pPr>
              <w:pStyle w:val="23"/>
              <w:jc w:val="center"/>
              <w:rPr>
                <w:rFonts w:hint="eastAsia" w:cs="宋体"/>
                <w:b/>
                <w:bCs/>
                <w:szCs w:val="21"/>
              </w:rPr>
            </w:pPr>
            <w:r>
              <w:rPr>
                <w:rFonts w:hint="eastAsia" w:cs="宋体"/>
                <w:b/>
                <w:bCs/>
                <w:szCs w:val="21"/>
              </w:rPr>
              <w:t>★18.1</w:t>
            </w:r>
          </w:p>
        </w:tc>
        <w:tc>
          <w:tcPr>
            <w:tcW w:w="2552" w:type="dxa"/>
            <w:noWrap/>
            <w:vAlign w:val="center"/>
          </w:tcPr>
          <w:p w14:paraId="56342C6F">
            <w:pPr>
              <w:pStyle w:val="23"/>
              <w:rPr>
                <w:rFonts w:hint="eastAsia" w:cs="宋体"/>
                <w:b/>
                <w:bCs/>
                <w:szCs w:val="21"/>
              </w:rPr>
            </w:pPr>
            <w:r>
              <w:rPr>
                <w:rFonts w:hint="eastAsia" w:cs="宋体"/>
                <w:b/>
                <w:bCs/>
                <w:szCs w:val="21"/>
              </w:rPr>
              <w:t>投标文件有效期</w:t>
            </w:r>
          </w:p>
        </w:tc>
        <w:tc>
          <w:tcPr>
            <w:tcW w:w="6025" w:type="dxa"/>
            <w:noWrap/>
            <w:vAlign w:val="center"/>
          </w:tcPr>
          <w:p w14:paraId="56342C70">
            <w:pPr>
              <w:pStyle w:val="23"/>
              <w:rPr>
                <w:rFonts w:hint="eastAsia" w:cs="宋体"/>
                <w:szCs w:val="21"/>
              </w:rPr>
            </w:pPr>
            <w:r>
              <w:rPr>
                <w:rFonts w:hint="eastAsia" w:cs="宋体"/>
                <w:szCs w:val="21"/>
              </w:rPr>
              <w:t>从提交投标文件截止之日起</w:t>
            </w:r>
            <w:r>
              <w:rPr>
                <w:rFonts w:hint="eastAsia" w:cs="宋体"/>
                <w:szCs w:val="21"/>
                <w:u w:val="single"/>
              </w:rPr>
              <w:t>90</w:t>
            </w:r>
            <w:r>
              <w:rPr>
                <w:rFonts w:hint="eastAsia" w:cs="宋体"/>
                <w:szCs w:val="21"/>
              </w:rPr>
              <w:t>日历天。</w:t>
            </w:r>
          </w:p>
        </w:tc>
      </w:tr>
      <w:tr w14:paraId="56342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56342C72">
            <w:pPr>
              <w:pStyle w:val="23"/>
              <w:jc w:val="center"/>
              <w:rPr>
                <w:rFonts w:hint="eastAsia" w:cs="宋体"/>
                <w:b/>
                <w:bCs/>
                <w:szCs w:val="21"/>
              </w:rPr>
            </w:pPr>
            <w:r>
              <w:rPr>
                <w:rFonts w:hint="eastAsia" w:cs="宋体"/>
                <w:b/>
                <w:bCs/>
                <w:szCs w:val="21"/>
              </w:rPr>
              <w:t>19.1</w:t>
            </w:r>
          </w:p>
        </w:tc>
        <w:tc>
          <w:tcPr>
            <w:tcW w:w="2552" w:type="dxa"/>
            <w:noWrap/>
            <w:vAlign w:val="center"/>
          </w:tcPr>
          <w:p w14:paraId="56342C73">
            <w:pPr>
              <w:pStyle w:val="23"/>
              <w:rPr>
                <w:rFonts w:hint="eastAsia" w:cs="宋体"/>
                <w:b/>
                <w:bCs/>
                <w:szCs w:val="21"/>
              </w:rPr>
            </w:pPr>
            <w:r>
              <w:rPr>
                <w:rFonts w:hint="eastAsia" w:cs="宋体"/>
                <w:b/>
                <w:bCs/>
                <w:szCs w:val="21"/>
              </w:rPr>
              <w:t>分包</w:t>
            </w:r>
          </w:p>
        </w:tc>
        <w:tc>
          <w:tcPr>
            <w:tcW w:w="6025" w:type="dxa"/>
            <w:noWrap/>
            <w:vAlign w:val="center"/>
          </w:tcPr>
          <w:p w14:paraId="56342C74">
            <w:pPr>
              <w:pStyle w:val="23"/>
              <w:rPr>
                <w:rFonts w:hint="eastAsia" w:cs="宋体"/>
                <w:szCs w:val="21"/>
              </w:rPr>
            </w:pPr>
            <w:r>
              <w:rPr>
                <w:rFonts w:hint="eastAsia" w:cs="宋体"/>
                <w:szCs w:val="21"/>
              </w:rPr>
              <w:t>■本项目不得分包。</w:t>
            </w:r>
          </w:p>
          <w:p w14:paraId="56342C75">
            <w:pPr>
              <w:pStyle w:val="23"/>
              <w:rPr>
                <w:rFonts w:hint="eastAsia" w:cs="宋体"/>
                <w:szCs w:val="21"/>
              </w:rPr>
            </w:pPr>
            <w:r>
              <w:rPr>
                <w:rFonts w:hint="eastAsia" w:cs="宋体"/>
                <w:szCs w:val="21"/>
              </w:rPr>
              <w:t>□本项目中，可以分包。</w:t>
            </w:r>
          </w:p>
        </w:tc>
      </w:tr>
      <w:tr w14:paraId="6E335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1E2307FF">
            <w:pPr>
              <w:pStyle w:val="23"/>
              <w:jc w:val="center"/>
              <w:rPr>
                <w:rFonts w:hint="eastAsia" w:cs="宋体"/>
                <w:b/>
                <w:bCs/>
                <w:szCs w:val="21"/>
              </w:rPr>
            </w:pPr>
            <w:r>
              <w:rPr>
                <w:rFonts w:hint="eastAsia" w:cs="宋体"/>
                <w:b/>
                <w:bCs/>
                <w:szCs w:val="21"/>
              </w:rPr>
              <w:t>21</w:t>
            </w:r>
          </w:p>
        </w:tc>
        <w:tc>
          <w:tcPr>
            <w:tcW w:w="2552" w:type="dxa"/>
            <w:noWrap/>
            <w:vAlign w:val="center"/>
          </w:tcPr>
          <w:p w14:paraId="40F687D8">
            <w:pPr>
              <w:pStyle w:val="23"/>
              <w:rPr>
                <w:rFonts w:hint="eastAsia" w:cs="宋体"/>
                <w:b/>
                <w:bCs/>
                <w:szCs w:val="21"/>
              </w:rPr>
            </w:pPr>
            <w:r>
              <w:rPr>
                <w:rFonts w:hint="eastAsia" w:cs="宋体"/>
                <w:b/>
                <w:bCs/>
                <w:szCs w:val="21"/>
              </w:rPr>
              <w:t>投标文件的编制</w:t>
            </w:r>
          </w:p>
        </w:tc>
        <w:tc>
          <w:tcPr>
            <w:tcW w:w="6025" w:type="dxa"/>
            <w:noWrap/>
            <w:vAlign w:val="center"/>
          </w:tcPr>
          <w:p w14:paraId="2FDEC6D3">
            <w:pPr>
              <w:adjustRightInd w:val="0"/>
              <w:snapToGrid w:val="0"/>
              <w:rPr>
                <w:rFonts w:hint="eastAsia"/>
                <w:szCs w:val="21"/>
              </w:rPr>
            </w:pPr>
            <w:r>
              <w:rPr>
                <w:rFonts w:hint="eastAsia"/>
                <w:b/>
                <w:bCs/>
                <w:szCs w:val="21"/>
              </w:rPr>
              <w:t>1、</w:t>
            </w:r>
            <w:r>
              <w:rPr>
                <w:rFonts w:hint="eastAsia"/>
                <w:szCs w:val="21"/>
              </w:rPr>
              <w:t>投标文件全部采用电子文档，投标人应安装客户端软件—“政采云电子交易客户端”，并按照招标文件和政采云电子交易平台的要求编制，编制后应进行电子签名及加密。</w:t>
            </w:r>
          </w:p>
          <w:p w14:paraId="107E4FB7">
            <w:pPr>
              <w:adjustRightInd w:val="0"/>
              <w:snapToGrid w:val="0"/>
              <w:rPr>
                <w:rFonts w:hint="eastAsia"/>
                <w:szCs w:val="21"/>
              </w:rPr>
            </w:pPr>
            <w:r>
              <w:rPr>
                <w:rFonts w:hint="eastAsia"/>
                <w:b/>
                <w:bCs/>
                <w:szCs w:val="21"/>
              </w:rPr>
              <w:t>2、</w:t>
            </w:r>
            <w:r>
              <w:rPr>
                <w:rFonts w:hint="eastAsia"/>
                <w:szCs w:val="21"/>
              </w:rPr>
              <w:t>如投标人提交的电子标书不符合招标文件要求或开标时无法读取导入或解密，其投标文件将不予受理。</w:t>
            </w:r>
          </w:p>
          <w:p w14:paraId="58C4E8C2">
            <w:pPr>
              <w:adjustRightInd w:val="0"/>
              <w:snapToGrid w:val="0"/>
              <w:rPr>
                <w:rFonts w:hint="eastAsia"/>
                <w:szCs w:val="21"/>
              </w:rPr>
            </w:pPr>
            <w:r>
              <w:rPr>
                <w:rFonts w:hint="eastAsia"/>
                <w:b/>
                <w:bCs/>
                <w:szCs w:val="21"/>
              </w:rPr>
              <w:t>3、</w:t>
            </w:r>
            <w:r>
              <w:rPr>
                <w:rFonts w:hint="eastAsia"/>
                <w:szCs w:val="21"/>
              </w:rPr>
              <w:t>投标文件应尽量避免涂改、行间插字或删除。如果出现上述情况，改动之处应加盖单位章或由投标人的法定代表人（签名或盖章）确认。</w:t>
            </w:r>
          </w:p>
          <w:p w14:paraId="15224D0B">
            <w:pPr>
              <w:adjustRightInd w:val="0"/>
              <w:snapToGrid w:val="0"/>
              <w:rPr>
                <w:rFonts w:hint="eastAsia"/>
                <w:szCs w:val="21"/>
              </w:rPr>
            </w:pPr>
            <w:r>
              <w:rPr>
                <w:rFonts w:hint="eastAsia"/>
                <w:b/>
                <w:bCs/>
                <w:szCs w:val="21"/>
              </w:rPr>
              <w:t>4、</w:t>
            </w:r>
            <w:r>
              <w:rPr>
                <w:rFonts w:hint="eastAsia"/>
                <w:szCs w:val="21"/>
              </w:rPr>
              <w:t>关键内容字迹潦草、表达不清、未按要求填写而导致非唯一理解，视为未实质性响应招标文件的投标文件。</w:t>
            </w:r>
          </w:p>
          <w:p w14:paraId="4CC64AE0">
            <w:pPr>
              <w:pStyle w:val="23"/>
              <w:adjustRightInd w:val="0"/>
              <w:snapToGrid w:val="0"/>
              <w:rPr>
                <w:rFonts w:hint="eastAsia" w:cs="宋体"/>
                <w:szCs w:val="21"/>
              </w:rPr>
            </w:pPr>
            <w:r>
              <w:rPr>
                <w:rFonts w:hint="eastAsia"/>
                <w:b/>
                <w:bCs/>
                <w:szCs w:val="21"/>
              </w:rPr>
              <w:t>5、</w:t>
            </w:r>
            <w:r>
              <w:rPr>
                <w:rFonts w:hint="eastAsia"/>
                <w:szCs w:val="21"/>
              </w:rPr>
              <w:t>投标文件中提供的资料（扫描件），内容必须清晰可辨，若内容模糊，无法辨识，均视为未提供。</w:t>
            </w:r>
          </w:p>
        </w:tc>
      </w:tr>
      <w:tr w14:paraId="5634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383" w:type="dxa"/>
            <w:gridSpan w:val="2"/>
            <w:noWrap/>
            <w:vAlign w:val="center"/>
          </w:tcPr>
          <w:p w14:paraId="56342C77">
            <w:pPr>
              <w:pStyle w:val="23"/>
              <w:jc w:val="center"/>
              <w:rPr>
                <w:rFonts w:hint="eastAsia" w:cs="宋体"/>
                <w:b/>
                <w:bCs/>
                <w:szCs w:val="21"/>
              </w:rPr>
            </w:pPr>
            <w:r>
              <w:rPr>
                <w:rFonts w:hint="eastAsia" w:cs="宋体"/>
                <w:b/>
                <w:bCs/>
                <w:szCs w:val="21"/>
              </w:rPr>
              <w:t>★22</w:t>
            </w:r>
          </w:p>
        </w:tc>
        <w:tc>
          <w:tcPr>
            <w:tcW w:w="2552" w:type="dxa"/>
            <w:noWrap/>
            <w:vAlign w:val="center"/>
          </w:tcPr>
          <w:p w14:paraId="56342C78">
            <w:pPr>
              <w:pStyle w:val="23"/>
              <w:rPr>
                <w:rFonts w:hint="eastAsia" w:cs="宋体"/>
                <w:b/>
                <w:bCs/>
                <w:szCs w:val="21"/>
              </w:rPr>
            </w:pPr>
            <w:r>
              <w:rPr>
                <w:rFonts w:hint="eastAsia" w:cs="宋体"/>
                <w:b/>
                <w:bCs/>
                <w:szCs w:val="21"/>
              </w:rPr>
              <w:t>投标保证金</w:t>
            </w:r>
          </w:p>
        </w:tc>
        <w:tc>
          <w:tcPr>
            <w:tcW w:w="6025" w:type="dxa"/>
            <w:noWrap/>
            <w:vAlign w:val="center"/>
          </w:tcPr>
          <w:p w14:paraId="797F326A">
            <w:pPr>
              <w:rPr>
                <w:rFonts w:hint="eastAsia" w:cs="宋体"/>
                <w:color w:val="000000" w:themeColor="text1"/>
                <w14:textFill>
                  <w14:solidFill>
                    <w14:schemeClr w14:val="tx1"/>
                  </w14:solidFill>
                </w14:textFill>
              </w:rPr>
            </w:pPr>
            <w:r>
              <w:rPr>
                <w:rFonts w:hint="eastAsia" w:cs="宋体"/>
                <w:b/>
                <w:bCs/>
                <w:color w:val="000000" w:themeColor="text1"/>
                <w:szCs w:val="21"/>
                <w14:textFill>
                  <w14:solidFill>
                    <w14:schemeClr w14:val="tx1"/>
                  </w14:solidFill>
                </w14:textFill>
              </w:rPr>
              <w:t>一、投标保证金形式：</w:t>
            </w:r>
            <w:r>
              <w:rPr>
                <w:bCs/>
                <w:color w:val="000000" w:themeColor="text1"/>
                <w:szCs w:val="21"/>
                <w14:textFill>
                  <w14:solidFill>
                    <w14:schemeClr w14:val="tx1"/>
                  </w14:solidFill>
                </w14:textFill>
              </w:rPr>
              <w:t>支票、汇票、本票、保函、保证保险、其他非现金形式：银行转账、网银、电汇等形式</w:t>
            </w:r>
            <w:r>
              <w:rPr>
                <w:rFonts w:hint="eastAsia" w:cs="宋体"/>
                <w:color w:val="000000" w:themeColor="text1"/>
                <w:szCs w:val="21"/>
                <w14:textFill>
                  <w14:solidFill>
                    <w14:schemeClr w14:val="tx1"/>
                  </w14:solidFill>
                </w14:textFill>
              </w:rPr>
              <w:t>，投标人可根据实际情况，选择保证金的提供或缴纳方式。</w:t>
            </w:r>
          </w:p>
          <w:p w14:paraId="1FBDF4A9">
            <w:pPr>
              <w:pStyle w:val="2"/>
              <w:rPr>
                <w:rFonts w:hint="eastAsia"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二、5标段投标保证金金额：</w:t>
            </w:r>
            <w:r>
              <w:rPr>
                <w:rFonts w:hint="eastAsia" w:ascii="宋体" w:hAnsi="宋体"/>
                <w:color w:val="000000" w:themeColor="text1"/>
                <w:u w:val="single"/>
                <w14:textFill>
                  <w14:solidFill>
                    <w14:schemeClr w14:val="tx1"/>
                  </w14:solidFill>
                </w14:textFill>
              </w:rPr>
              <w:t>人民币6000.00元。</w:t>
            </w:r>
          </w:p>
          <w:p w14:paraId="555FBD74">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三、</w:t>
            </w:r>
            <w:r>
              <w:rPr>
                <w:rFonts w:hint="eastAsia"/>
                <w:b/>
                <w:bCs/>
                <w:color w:val="000000" w:themeColor="text1"/>
                <w14:textFill>
                  <w14:solidFill>
                    <w14:schemeClr w14:val="tx1"/>
                  </w14:solidFill>
                </w14:textFill>
              </w:rPr>
              <w:t>投标保证金</w:t>
            </w:r>
            <w:r>
              <w:rPr>
                <w:rFonts w:hint="eastAsia" w:cs="宋体"/>
                <w:b/>
                <w:bCs/>
                <w:color w:val="000000" w:themeColor="text1"/>
                <w:kern w:val="0"/>
                <w:szCs w:val="21"/>
                <w14:textFill>
                  <w14:solidFill>
                    <w14:schemeClr w14:val="tx1"/>
                  </w14:solidFill>
                </w14:textFill>
              </w:rPr>
              <w:t>办理程序</w:t>
            </w:r>
          </w:p>
          <w:p w14:paraId="54F3DE9C">
            <w:pPr>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1、银行转账：</w:t>
            </w:r>
            <w:r>
              <w:rPr>
                <w:rFonts w:hint="eastAsia" w:cs="宋体"/>
                <w:color w:val="000000" w:themeColor="text1"/>
                <w:szCs w:val="21"/>
                <w14:textFill>
                  <w14:solidFill>
                    <w14:schemeClr w14:val="tx1"/>
                  </w14:solidFill>
                </w14:textFill>
              </w:rPr>
              <w:t>投标（交易）保证金应以投标人自身的名义提交，并且必须从其基本账户一次性汇入或转入招标人指定的帐户，不得以分支机构其他名义提交（按照规定，投标人可以为自然人的项目除外）。</w:t>
            </w:r>
          </w:p>
          <w:p w14:paraId="2AAFEDDA">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投标保证金缴纳至如下账户：</w:t>
            </w:r>
          </w:p>
          <w:p w14:paraId="3A447C3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开户名称：云南招标股份有限公司</w:t>
            </w:r>
          </w:p>
          <w:p w14:paraId="705F2B4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开户银行：富滇银行股份有限公司昆明科技支行；</w:t>
            </w:r>
          </w:p>
          <w:p w14:paraId="0E0BBA4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5标段开户账号：010000072687；</w:t>
            </w:r>
          </w:p>
          <w:p w14:paraId="72F50E7A">
            <w:pPr>
              <w:ind w:firstLine="420" w:firstLineChars="200"/>
              <w:rPr>
                <w:rFonts w:hint="eastAsia"/>
                <w:b/>
                <w:bCs/>
                <w:szCs w:val="21"/>
              </w:rPr>
            </w:pPr>
            <w:r>
              <w:rPr>
                <w:rFonts w:hint="eastAsia"/>
                <w:b/>
                <w:bCs/>
                <w:szCs w:val="21"/>
              </w:rPr>
              <w:t>注：每项目的保证金账号均不相同，请缴纳保证金时注意，请在汇款时按完整的银行账号进行汇款。</w:t>
            </w:r>
          </w:p>
          <w:p w14:paraId="3E39475F">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2、保证保险：</w:t>
            </w:r>
          </w:p>
          <w:p w14:paraId="3673D47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当投标人未能按照招投标文件要求履行投标义务而导致招标人受到损失时，由保险公司按照保险合同对招标人的损失承担代偿责任。</w:t>
            </w:r>
          </w:p>
          <w:p w14:paraId="14AAA19D">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投标人在支付投标保证金保险费时，必须使用基本账号资金支付购买，未从基本账户转出支付保费造成经济纠纷的应由企业自行承担。</w:t>
            </w:r>
          </w:p>
          <w:p w14:paraId="7106C95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在投标保证保险中，投标人为投保人，招标人为被保险人。</w:t>
            </w:r>
          </w:p>
          <w:p w14:paraId="2C670F7C">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3、银行保函：</w:t>
            </w:r>
          </w:p>
          <w:p w14:paraId="08C9CBB6">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当投标人未能按照招投标文件要求履行投标义务而导致招标人受到损失时，由担保银行按照要求对招标人的损失承担代偿责任。</w:t>
            </w:r>
          </w:p>
          <w:p w14:paraId="4098B96B">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在投标担保中，投标人为被担保人，招标人为受益人。</w:t>
            </w:r>
          </w:p>
          <w:p w14:paraId="3E0E0F78">
            <w:pPr>
              <w:rPr>
                <w:rFonts w:hint="eastAsia" w:cs="宋体"/>
                <w:szCs w:val="21"/>
              </w:rPr>
            </w:pPr>
            <w:r>
              <w:rPr>
                <w:rFonts w:hint="eastAsia" w:cs="宋体"/>
                <w:b/>
                <w:bCs/>
                <w:color w:val="000000"/>
                <w:szCs w:val="21"/>
              </w:rPr>
              <w:t>4、支票、汇票、本票：</w:t>
            </w:r>
          </w:p>
          <w:p w14:paraId="3C744104">
            <w:pPr>
              <w:ind w:firstLine="420" w:firstLineChars="200"/>
              <w:rPr>
                <w:rFonts w:hint="eastAsia" w:cs="宋体"/>
                <w:color w:val="000000"/>
                <w:szCs w:val="21"/>
              </w:rPr>
            </w:pPr>
            <w:r>
              <w:rPr>
                <w:rFonts w:hint="eastAsia" w:cs="宋体"/>
                <w:b/>
                <w:bCs/>
                <w:color w:val="000000"/>
                <w:szCs w:val="21"/>
              </w:rPr>
              <w:t>（1）</w:t>
            </w:r>
            <w:r>
              <w:rPr>
                <w:rFonts w:hint="eastAsia" w:cs="宋体"/>
                <w:color w:val="000000" w:themeColor="text1"/>
                <w:szCs w:val="21"/>
                <w14:textFill>
                  <w14:solidFill>
                    <w14:schemeClr w14:val="tx1"/>
                  </w14:solidFill>
                </w14:textFill>
              </w:rPr>
              <w:t>投标人</w:t>
            </w:r>
            <w:r>
              <w:rPr>
                <w:rFonts w:hint="eastAsia" w:cs="宋体"/>
                <w:color w:val="000000"/>
                <w:szCs w:val="21"/>
              </w:rPr>
              <w:t>需开具以采购代理机构为收款人的有效票据，票据类型为：银行汇票、银行本票，支票需为</w:t>
            </w:r>
            <w:r>
              <w:rPr>
                <w:rFonts w:hint="eastAsia" w:cs="宋体"/>
                <w:color w:val="000000" w:themeColor="text1"/>
                <w:szCs w:val="21"/>
                <w14:textFill>
                  <w14:solidFill>
                    <w14:schemeClr w14:val="tx1"/>
                  </w14:solidFill>
                </w14:textFill>
              </w:rPr>
              <w:t>投标人</w:t>
            </w:r>
            <w:r>
              <w:rPr>
                <w:rFonts w:hint="eastAsia" w:cs="宋体"/>
                <w:color w:val="000000"/>
                <w:szCs w:val="21"/>
              </w:rPr>
              <w:t>开具的有效支票。</w:t>
            </w:r>
          </w:p>
          <w:p w14:paraId="52EF08CC">
            <w:pPr>
              <w:ind w:firstLine="420" w:firstLineChars="200"/>
              <w:rPr>
                <w:rFonts w:hint="eastAsia" w:cs="宋体"/>
                <w:color w:val="000000"/>
                <w:szCs w:val="21"/>
              </w:rPr>
            </w:pPr>
            <w:r>
              <w:rPr>
                <w:rFonts w:hint="eastAsia" w:cs="宋体"/>
                <w:b/>
                <w:bCs/>
                <w:color w:val="000000"/>
                <w:szCs w:val="21"/>
              </w:rPr>
              <w:t>（2）</w:t>
            </w:r>
            <w:r>
              <w:rPr>
                <w:rFonts w:hint="eastAsia" w:cs="宋体"/>
                <w:color w:val="000000"/>
                <w:szCs w:val="21"/>
              </w:rPr>
              <w:t>由</w:t>
            </w:r>
            <w:r>
              <w:rPr>
                <w:rFonts w:hint="eastAsia" w:cs="宋体"/>
                <w:color w:val="000000" w:themeColor="text1"/>
                <w:szCs w:val="21"/>
                <w14:textFill>
                  <w14:solidFill>
                    <w14:schemeClr w14:val="tx1"/>
                  </w14:solidFill>
                </w14:textFill>
              </w:rPr>
              <w:t>投标人</w:t>
            </w:r>
            <w:r>
              <w:rPr>
                <w:rFonts w:hint="eastAsia" w:cs="宋体"/>
                <w:color w:val="000000"/>
                <w:szCs w:val="21"/>
              </w:rPr>
              <w:t>从其基本账户开户行出具，金额需与保证金金额一致，且票据需在投标有效期内有效。</w:t>
            </w:r>
          </w:p>
          <w:p w14:paraId="37316BDA">
            <w:pPr>
              <w:ind w:firstLine="420" w:firstLineChars="200"/>
              <w:rPr>
                <w:rFonts w:hint="eastAsia" w:cs="宋体"/>
                <w:color w:val="000000"/>
                <w:szCs w:val="21"/>
              </w:rPr>
            </w:pPr>
            <w:r>
              <w:rPr>
                <w:rFonts w:hint="eastAsia" w:cs="宋体"/>
                <w:b/>
                <w:bCs/>
                <w:color w:val="000000"/>
                <w:szCs w:val="21"/>
              </w:rPr>
              <w:t>（3）</w:t>
            </w:r>
            <w:r>
              <w:rPr>
                <w:rFonts w:hint="eastAsia" w:cs="宋体"/>
                <w:color w:val="000000"/>
                <w:szCs w:val="21"/>
              </w:rPr>
              <w:t>票据需注明“投标保证金”用途，开具票据后在投标截止时间前需提交原件（正本票据）至云南招标股份有限公司昆明市人民西路328号办公楼2楼201（财务室）提供财务进行核验。</w:t>
            </w:r>
          </w:p>
          <w:p w14:paraId="7E0359B1">
            <w:pPr>
              <w:ind w:firstLine="420" w:firstLineChars="200"/>
              <w:rPr>
                <w:rFonts w:hint="eastAsia" w:cs="宋体"/>
                <w:color w:val="000000"/>
                <w:szCs w:val="21"/>
              </w:rPr>
            </w:pPr>
            <w:r>
              <w:rPr>
                <w:rFonts w:hint="eastAsia" w:cs="宋体"/>
                <w:b/>
                <w:bCs/>
                <w:color w:val="000000"/>
                <w:szCs w:val="21"/>
              </w:rPr>
              <w:t>（4）</w:t>
            </w:r>
            <w:r>
              <w:rPr>
                <w:rFonts w:hint="eastAsia" w:cs="宋体"/>
                <w:color w:val="000000"/>
                <w:szCs w:val="21"/>
              </w:rPr>
              <w:t>到账时间：保证金到账时间以财务收到并核验通过时间为准，</w:t>
            </w:r>
            <w:r>
              <w:rPr>
                <w:rFonts w:hint="eastAsia" w:cs="宋体"/>
                <w:color w:val="000000" w:themeColor="text1"/>
                <w:szCs w:val="21"/>
                <w14:textFill>
                  <w14:solidFill>
                    <w14:schemeClr w14:val="tx1"/>
                  </w14:solidFill>
                </w14:textFill>
              </w:rPr>
              <w:t>投标人</w:t>
            </w:r>
            <w:r>
              <w:rPr>
                <w:rFonts w:hint="eastAsia" w:cs="宋体"/>
                <w:color w:val="000000"/>
                <w:szCs w:val="21"/>
              </w:rPr>
              <w:t>如采用以上方式递交，需考虑预留银行处理周期。</w:t>
            </w:r>
          </w:p>
          <w:p w14:paraId="6194D0C9">
            <w:pPr>
              <w:pStyle w:val="2"/>
              <w:ind w:firstLine="420" w:firstLineChars="200"/>
              <w:rPr>
                <w:rFonts w:hint="eastAsia" w:ascii="宋体" w:hAnsi="宋体" w:cs="宋体"/>
                <w:b w:val="0"/>
                <w:color w:val="000000" w:themeColor="text1"/>
                <w:spacing w:val="0"/>
                <w:szCs w:val="21"/>
                <w14:textFill>
                  <w14:solidFill>
                    <w14:schemeClr w14:val="tx1"/>
                  </w14:solidFill>
                </w14:textFill>
              </w:rPr>
            </w:pPr>
            <w:r>
              <w:rPr>
                <w:rFonts w:hint="eastAsia" w:ascii="宋体" w:hAnsi="宋体" w:cs="宋体"/>
                <w:bCs/>
                <w:color w:val="000000"/>
                <w:spacing w:val="0"/>
                <w:szCs w:val="21"/>
              </w:rPr>
              <w:t>（5）</w:t>
            </w:r>
            <w:r>
              <w:rPr>
                <w:rFonts w:hint="eastAsia" w:ascii="宋体" w:hAnsi="宋体" w:cs="宋体"/>
                <w:b w:val="0"/>
                <w:color w:val="000000"/>
                <w:spacing w:val="0"/>
                <w:szCs w:val="21"/>
              </w:rPr>
              <w:t>收款账户信息与投标保证金转账缴纳账户一致。</w:t>
            </w:r>
          </w:p>
          <w:p w14:paraId="251AA808">
            <w:pPr>
              <w:autoSpaceDE w:val="0"/>
              <w:autoSpaceDN w:val="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★四、投标保证金有效期同投标有效期，需符合本章18.1条规定。</w:t>
            </w:r>
          </w:p>
          <w:p w14:paraId="56342C91">
            <w:pPr>
              <w:rPr>
                <w:rFonts w:hint="eastAsia" w:cs="宋体"/>
                <w:color w:val="000000" w:themeColor="text1"/>
                <w:kern w:val="0"/>
                <w:szCs w:val="21"/>
                <w14:textFill>
                  <w14:solidFill>
                    <w14:schemeClr w14:val="tx1"/>
                  </w14:solidFill>
                </w14:textFill>
              </w:rPr>
            </w:pPr>
            <w:r>
              <w:rPr>
                <w:rFonts w:hint="eastAsia" w:cs="宋体"/>
                <w:b/>
                <w:bCs/>
                <w:color w:val="000000" w:themeColor="text1"/>
                <w:szCs w:val="18"/>
                <w14:textFill>
                  <w14:solidFill>
                    <w14:schemeClr w14:val="tx1"/>
                  </w14:solidFill>
                </w14:textFill>
              </w:rPr>
              <w:t>★五、提交投标保证金的截止时间为：</w:t>
            </w:r>
            <w:r>
              <w:rPr>
                <w:rFonts w:hint="eastAsia" w:cs="宋体"/>
                <w:b/>
                <w:bCs/>
                <w:color w:val="000000" w:themeColor="text1"/>
                <w:szCs w:val="18"/>
                <w:u w:val="single"/>
                <w14:textFill>
                  <w14:solidFill>
                    <w14:schemeClr w14:val="tx1"/>
                  </w14:solidFill>
                </w14:textFill>
              </w:rPr>
              <w:t>同投标截止时间</w:t>
            </w:r>
            <w:r>
              <w:rPr>
                <w:rFonts w:hint="eastAsia" w:cs="宋体"/>
                <w:b/>
                <w:bCs/>
                <w:color w:val="000000" w:themeColor="text1"/>
                <w:szCs w:val="18"/>
                <w14:textFill>
                  <w14:solidFill>
                    <w14:schemeClr w14:val="tx1"/>
                  </w14:solidFill>
                </w14:textFill>
              </w:rPr>
              <w:t>。</w:t>
            </w:r>
          </w:p>
        </w:tc>
      </w:tr>
      <w:tr w14:paraId="4CDEE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776B2708">
            <w:pPr>
              <w:pStyle w:val="23"/>
              <w:jc w:val="center"/>
              <w:rPr>
                <w:rFonts w:hint="eastAsia" w:cs="宋体"/>
                <w:b/>
                <w:bCs/>
                <w:szCs w:val="21"/>
              </w:rPr>
            </w:pPr>
            <w:r>
              <w:rPr>
                <w:rFonts w:hint="eastAsia" w:cs="宋体"/>
                <w:b/>
                <w:bCs/>
                <w:szCs w:val="21"/>
              </w:rPr>
              <w:t>22.5</w:t>
            </w:r>
          </w:p>
        </w:tc>
        <w:tc>
          <w:tcPr>
            <w:tcW w:w="2552" w:type="dxa"/>
            <w:noWrap/>
            <w:vAlign w:val="center"/>
          </w:tcPr>
          <w:p w14:paraId="64C55737">
            <w:pPr>
              <w:pStyle w:val="23"/>
              <w:rPr>
                <w:rFonts w:hint="eastAsia"/>
                <w:b/>
                <w:bCs/>
                <w:szCs w:val="21"/>
              </w:rPr>
            </w:pPr>
            <w:r>
              <w:rPr>
                <w:b/>
                <w:bCs/>
                <w:szCs w:val="21"/>
              </w:rPr>
              <w:t>投标保证金的退回方式</w:t>
            </w:r>
          </w:p>
        </w:tc>
        <w:tc>
          <w:tcPr>
            <w:tcW w:w="6025" w:type="dxa"/>
            <w:noWrap/>
            <w:vAlign w:val="center"/>
          </w:tcPr>
          <w:p w14:paraId="776C177A">
            <w:pPr>
              <w:rPr>
                <w:rFonts w:hint="eastAsia" w:cs="宋体"/>
              </w:rPr>
            </w:pPr>
            <w:r>
              <w:rPr>
                <w:rFonts w:hint="eastAsia" w:cs="宋体"/>
                <w:b/>
                <w:bCs/>
              </w:rPr>
              <w:t>（</w:t>
            </w:r>
            <w:r>
              <w:rPr>
                <w:rFonts w:cs="宋体"/>
                <w:b/>
                <w:bCs/>
              </w:rPr>
              <w:t>1）</w:t>
            </w:r>
            <w:r>
              <w:rPr>
                <w:rFonts w:cs="宋体"/>
              </w:rPr>
              <w:t>以银行转账、网银、电汇缴纳的保证金，以网银对公转账的方式退还到</w:t>
            </w:r>
            <w:r>
              <w:rPr>
                <w:rFonts w:hint="eastAsia" w:cs="宋体"/>
              </w:rPr>
              <w:t>投标人</w:t>
            </w:r>
            <w:r>
              <w:rPr>
                <w:rFonts w:cs="宋体"/>
              </w:rPr>
              <w:t>打款账户；</w:t>
            </w:r>
          </w:p>
          <w:p w14:paraId="08CDACE4">
            <w:pPr>
              <w:rPr>
                <w:rFonts w:hint="eastAsia" w:cs="宋体"/>
              </w:rPr>
            </w:pPr>
            <w:r>
              <w:rPr>
                <w:rFonts w:hint="eastAsia" w:cs="宋体"/>
                <w:b/>
                <w:bCs/>
              </w:rPr>
              <w:t>（</w:t>
            </w:r>
            <w:r>
              <w:rPr>
                <w:rFonts w:cs="宋体"/>
                <w:b/>
                <w:bCs/>
              </w:rPr>
              <w:t>2）</w:t>
            </w:r>
            <w:r>
              <w:rPr>
                <w:rFonts w:cs="宋体"/>
              </w:rPr>
              <w:t>以支票、汇票及本票等票据方式缴纳的保证金，经财务查账确认后以对公转账的方式退还到</w:t>
            </w:r>
            <w:r>
              <w:rPr>
                <w:rFonts w:hint="eastAsia" w:cs="宋体"/>
              </w:rPr>
              <w:t>投标人</w:t>
            </w:r>
            <w:r>
              <w:rPr>
                <w:rFonts w:cs="宋体"/>
              </w:rPr>
              <w:t>开户账户；</w:t>
            </w:r>
          </w:p>
          <w:p w14:paraId="01AFB5D2">
            <w:pPr>
              <w:rPr>
                <w:rFonts w:hint="eastAsia"/>
              </w:rPr>
            </w:pPr>
            <w:r>
              <w:rPr>
                <w:rFonts w:hint="eastAsia" w:cs="宋体"/>
                <w:b/>
                <w:bCs/>
              </w:rPr>
              <w:t>（</w:t>
            </w:r>
            <w:r>
              <w:rPr>
                <w:rFonts w:cs="宋体"/>
                <w:b/>
                <w:bCs/>
              </w:rPr>
              <w:t>3）</w:t>
            </w:r>
            <w:r>
              <w:rPr>
                <w:rFonts w:cs="宋体"/>
              </w:rPr>
              <w:t>以银行保函或者保证保险方式缴纳的保证金由</w:t>
            </w:r>
            <w:r>
              <w:rPr>
                <w:rFonts w:hint="eastAsia" w:cs="宋体"/>
              </w:rPr>
              <w:t>投标人</w:t>
            </w:r>
            <w:r>
              <w:rPr>
                <w:rFonts w:cs="宋体"/>
              </w:rPr>
              <w:t>自行联系出函机构。</w:t>
            </w:r>
          </w:p>
        </w:tc>
      </w:tr>
      <w:tr w14:paraId="56342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56342C97">
            <w:pPr>
              <w:pStyle w:val="23"/>
              <w:jc w:val="center"/>
              <w:rPr>
                <w:rFonts w:hint="eastAsia" w:cs="宋体"/>
                <w:b/>
                <w:bCs/>
                <w:szCs w:val="21"/>
              </w:rPr>
            </w:pPr>
            <w:r>
              <w:rPr>
                <w:rFonts w:hint="eastAsia" w:cs="宋体"/>
                <w:b/>
                <w:bCs/>
                <w:szCs w:val="21"/>
              </w:rPr>
              <w:t>24.1</w:t>
            </w:r>
          </w:p>
        </w:tc>
        <w:tc>
          <w:tcPr>
            <w:tcW w:w="2552" w:type="dxa"/>
            <w:noWrap/>
            <w:vAlign w:val="center"/>
          </w:tcPr>
          <w:p w14:paraId="56342C98">
            <w:pPr>
              <w:pStyle w:val="23"/>
              <w:rPr>
                <w:rFonts w:hint="eastAsia" w:cs="宋体"/>
                <w:b/>
                <w:bCs/>
                <w:szCs w:val="21"/>
              </w:rPr>
            </w:pPr>
            <w:r>
              <w:rPr>
                <w:rFonts w:hint="eastAsia"/>
                <w:b/>
                <w:bCs/>
                <w:szCs w:val="21"/>
              </w:rPr>
              <w:t>提交投标文件截止时间</w:t>
            </w:r>
          </w:p>
        </w:tc>
        <w:tc>
          <w:tcPr>
            <w:tcW w:w="6025" w:type="dxa"/>
            <w:noWrap/>
            <w:vAlign w:val="center"/>
          </w:tcPr>
          <w:p w14:paraId="56342C9A">
            <w:pPr>
              <w:pStyle w:val="23"/>
              <w:rPr>
                <w:rFonts w:hint="eastAsia" w:cs="宋体"/>
                <w:szCs w:val="21"/>
              </w:rPr>
            </w:pPr>
            <w:r>
              <w:rPr>
                <w:rFonts w:hint="eastAsia"/>
                <w:szCs w:val="21"/>
              </w:rPr>
              <w:t>详见“第一章 招标公告”。</w:t>
            </w:r>
          </w:p>
        </w:tc>
      </w:tr>
      <w:tr w14:paraId="073C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4B4DE932">
            <w:pPr>
              <w:pStyle w:val="23"/>
              <w:jc w:val="center"/>
              <w:rPr>
                <w:rFonts w:hint="eastAsia" w:cs="宋体"/>
                <w:b/>
                <w:bCs/>
                <w:szCs w:val="21"/>
              </w:rPr>
            </w:pPr>
            <w:r>
              <w:rPr>
                <w:rFonts w:hint="eastAsia" w:cs="宋体"/>
                <w:b/>
                <w:bCs/>
                <w:szCs w:val="21"/>
              </w:rPr>
              <w:t>24.2</w:t>
            </w:r>
          </w:p>
        </w:tc>
        <w:tc>
          <w:tcPr>
            <w:tcW w:w="2552" w:type="dxa"/>
            <w:noWrap/>
            <w:vAlign w:val="center"/>
          </w:tcPr>
          <w:p w14:paraId="06F80DF1">
            <w:pPr>
              <w:pStyle w:val="23"/>
              <w:rPr>
                <w:rFonts w:hint="eastAsia" w:cs="宋体"/>
                <w:b/>
                <w:bCs/>
                <w:szCs w:val="24"/>
              </w:rPr>
            </w:pPr>
            <w:r>
              <w:rPr>
                <w:rFonts w:hint="eastAsia"/>
                <w:b/>
                <w:bCs/>
                <w:szCs w:val="21"/>
              </w:rPr>
              <w:t>提交投标文件截止时间</w:t>
            </w:r>
          </w:p>
        </w:tc>
        <w:tc>
          <w:tcPr>
            <w:tcW w:w="6025" w:type="dxa"/>
            <w:noWrap/>
            <w:vAlign w:val="center"/>
          </w:tcPr>
          <w:p w14:paraId="753B83CE">
            <w:pPr>
              <w:pStyle w:val="23"/>
              <w:rPr>
                <w:rFonts w:hint="eastAsia" w:cs="宋体"/>
                <w:szCs w:val="24"/>
              </w:rPr>
            </w:pPr>
            <w:r>
              <w:rPr>
                <w:rFonts w:hint="eastAsia"/>
                <w:szCs w:val="21"/>
              </w:rPr>
              <w:t>详见“第一章 招标公告”。</w:t>
            </w:r>
          </w:p>
        </w:tc>
      </w:tr>
      <w:tr w14:paraId="5634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9C">
            <w:pPr>
              <w:pStyle w:val="23"/>
              <w:jc w:val="center"/>
              <w:rPr>
                <w:rFonts w:hint="eastAsia" w:cs="宋体"/>
                <w:b/>
                <w:bCs/>
                <w:szCs w:val="21"/>
              </w:rPr>
            </w:pPr>
            <w:r>
              <w:rPr>
                <w:rFonts w:hint="eastAsia" w:cs="宋体"/>
                <w:b/>
                <w:bCs/>
                <w:szCs w:val="21"/>
              </w:rPr>
              <w:t>24.3</w:t>
            </w:r>
          </w:p>
        </w:tc>
        <w:tc>
          <w:tcPr>
            <w:tcW w:w="2552" w:type="dxa"/>
            <w:noWrap/>
            <w:vAlign w:val="center"/>
          </w:tcPr>
          <w:p w14:paraId="56342C9D">
            <w:pPr>
              <w:pStyle w:val="23"/>
              <w:rPr>
                <w:rFonts w:hint="eastAsia" w:cs="宋体"/>
                <w:b/>
                <w:bCs/>
                <w:szCs w:val="21"/>
              </w:rPr>
            </w:pPr>
            <w:r>
              <w:rPr>
                <w:rFonts w:hint="eastAsia" w:cs="宋体"/>
                <w:b/>
                <w:bCs/>
                <w:szCs w:val="21"/>
              </w:rPr>
              <w:t>投标文件的退还</w:t>
            </w:r>
          </w:p>
        </w:tc>
        <w:tc>
          <w:tcPr>
            <w:tcW w:w="6025" w:type="dxa"/>
            <w:noWrap/>
            <w:vAlign w:val="center"/>
          </w:tcPr>
          <w:p w14:paraId="56342C9E">
            <w:pPr>
              <w:pStyle w:val="23"/>
              <w:rPr>
                <w:rFonts w:hint="eastAsia" w:cs="宋体"/>
                <w:szCs w:val="21"/>
              </w:rPr>
            </w:pPr>
            <w:r>
              <w:rPr>
                <w:rFonts w:hint="eastAsia" w:cs="宋体"/>
                <w:szCs w:val="21"/>
              </w:rPr>
              <w:t>不予退还。</w:t>
            </w:r>
          </w:p>
        </w:tc>
      </w:tr>
      <w:tr w14:paraId="56342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383" w:type="dxa"/>
            <w:gridSpan w:val="2"/>
            <w:noWrap/>
            <w:vAlign w:val="center"/>
          </w:tcPr>
          <w:p w14:paraId="56342CA0">
            <w:pPr>
              <w:pStyle w:val="23"/>
              <w:jc w:val="center"/>
              <w:rPr>
                <w:rFonts w:hint="eastAsia" w:cs="宋体"/>
                <w:b/>
                <w:bCs/>
                <w:szCs w:val="21"/>
              </w:rPr>
            </w:pPr>
            <w:r>
              <w:rPr>
                <w:rFonts w:hint="eastAsia" w:cs="宋体"/>
                <w:b/>
                <w:bCs/>
                <w:szCs w:val="21"/>
              </w:rPr>
              <w:t>25.1</w:t>
            </w:r>
          </w:p>
        </w:tc>
        <w:tc>
          <w:tcPr>
            <w:tcW w:w="2552" w:type="dxa"/>
            <w:noWrap/>
            <w:vAlign w:val="center"/>
          </w:tcPr>
          <w:p w14:paraId="56342CA1">
            <w:pPr>
              <w:pStyle w:val="23"/>
              <w:rPr>
                <w:rFonts w:hint="eastAsia" w:cs="宋体"/>
                <w:b/>
                <w:bCs/>
                <w:szCs w:val="21"/>
              </w:rPr>
            </w:pPr>
            <w:r>
              <w:rPr>
                <w:rFonts w:hint="eastAsia" w:cs="宋体"/>
                <w:b/>
                <w:bCs/>
                <w:szCs w:val="21"/>
              </w:rPr>
              <w:t>开标时间和地点</w:t>
            </w:r>
          </w:p>
        </w:tc>
        <w:tc>
          <w:tcPr>
            <w:tcW w:w="6025" w:type="dxa"/>
            <w:noWrap/>
            <w:vAlign w:val="center"/>
          </w:tcPr>
          <w:p w14:paraId="309C32C8">
            <w:pPr>
              <w:pStyle w:val="23"/>
              <w:rPr>
                <w:rFonts w:hint="eastAsia" w:cs="宋体"/>
                <w:szCs w:val="21"/>
              </w:rPr>
            </w:pPr>
            <w:r>
              <w:rPr>
                <w:rFonts w:hint="eastAsia" w:cs="宋体"/>
                <w:szCs w:val="21"/>
              </w:rPr>
              <w:t>开标时间：见招标公告；</w:t>
            </w:r>
          </w:p>
          <w:p w14:paraId="56342CA3">
            <w:pPr>
              <w:snapToGrid w:val="0"/>
              <w:rPr>
                <w:rFonts w:hint="eastAsia" w:cs="宋体"/>
                <w:szCs w:val="21"/>
              </w:rPr>
            </w:pPr>
            <w:r>
              <w:rPr>
                <w:rFonts w:hint="eastAsia" w:cs="宋体"/>
                <w:szCs w:val="21"/>
              </w:rPr>
              <w:t>开标地点：见招标公告。</w:t>
            </w:r>
          </w:p>
        </w:tc>
      </w:tr>
      <w:tr w14:paraId="56342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5">
            <w:pPr>
              <w:pStyle w:val="23"/>
              <w:jc w:val="center"/>
              <w:rPr>
                <w:rFonts w:hint="eastAsia" w:cs="宋体"/>
                <w:b/>
                <w:bCs/>
                <w:szCs w:val="21"/>
              </w:rPr>
            </w:pPr>
            <w:r>
              <w:rPr>
                <w:rFonts w:hint="eastAsia" w:cs="宋体"/>
                <w:b/>
                <w:bCs/>
                <w:szCs w:val="21"/>
              </w:rPr>
              <w:t>26.3</w:t>
            </w:r>
          </w:p>
        </w:tc>
        <w:tc>
          <w:tcPr>
            <w:tcW w:w="2552" w:type="dxa"/>
            <w:noWrap/>
            <w:vAlign w:val="center"/>
          </w:tcPr>
          <w:p w14:paraId="56342CA6">
            <w:pPr>
              <w:pStyle w:val="23"/>
              <w:rPr>
                <w:rFonts w:hint="eastAsia" w:cs="宋体"/>
                <w:b/>
                <w:bCs/>
                <w:szCs w:val="21"/>
              </w:rPr>
            </w:pPr>
            <w:r>
              <w:rPr>
                <w:rFonts w:hint="eastAsia" w:cs="宋体"/>
                <w:b/>
                <w:bCs/>
                <w:szCs w:val="21"/>
              </w:rPr>
              <w:t>评标方法</w:t>
            </w:r>
          </w:p>
        </w:tc>
        <w:tc>
          <w:tcPr>
            <w:tcW w:w="6025" w:type="dxa"/>
            <w:noWrap/>
            <w:vAlign w:val="center"/>
          </w:tcPr>
          <w:p w14:paraId="56342CA7">
            <w:pPr>
              <w:rPr>
                <w:rFonts w:hint="eastAsia" w:cs="宋体"/>
                <w:szCs w:val="21"/>
              </w:rPr>
            </w:pPr>
            <w:r>
              <w:rPr>
                <w:rFonts w:hint="eastAsia" w:cs="宋体"/>
                <w:szCs w:val="21"/>
              </w:rPr>
              <w:t>■综合评分法</w:t>
            </w:r>
          </w:p>
        </w:tc>
      </w:tr>
      <w:tr w14:paraId="56342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9">
            <w:pPr>
              <w:pStyle w:val="23"/>
              <w:jc w:val="center"/>
              <w:rPr>
                <w:rFonts w:hint="eastAsia" w:cs="宋体"/>
                <w:b/>
                <w:bCs/>
                <w:szCs w:val="21"/>
              </w:rPr>
            </w:pPr>
            <w:r>
              <w:rPr>
                <w:rFonts w:hint="eastAsia" w:cs="宋体"/>
                <w:b/>
                <w:bCs/>
                <w:szCs w:val="21"/>
              </w:rPr>
              <w:t>33.1</w:t>
            </w:r>
          </w:p>
        </w:tc>
        <w:tc>
          <w:tcPr>
            <w:tcW w:w="2552" w:type="dxa"/>
            <w:noWrap/>
            <w:vAlign w:val="center"/>
          </w:tcPr>
          <w:p w14:paraId="56342CAA">
            <w:pPr>
              <w:pStyle w:val="23"/>
              <w:rPr>
                <w:rFonts w:hint="eastAsia" w:cs="宋体"/>
                <w:b/>
                <w:bCs/>
                <w:szCs w:val="21"/>
              </w:rPr>
            </w:pPr>
            <w:r>
              <w:rPr>
                <w:rFonts w:hint="eastAsia" w:cs="宋体"/>
                <w:b/>
                <w:bCs/>
                <w:szCs w:val="21"/>
              </w:rPr>
              <w:t>履约保证金</w:t>
            </w:r>
          </w:p>
        </w:tc>
        <w:tc>
          <w:tcPr>
            <w:tcW w:w="6025" w:type="dxa"/>
            <w:noWrap/>
            <w:vAlign w:val="center"/>
          </w:tcPr>
          <w:p w14:paraId="56342CAB">
            <w:pPr>
              <w:pStyle w:val="23"/>
              <w:rPr>
                <w:rFonts w:hint="eastAsia" w:cs="宋体"/>
                <w:b/>
                <w:bCs/>
              </w:rPr>
            </w:pPr>
            <w:r>
              <w:rPr>
                <w:rFonts w:hint="eastAsia" w:cs="宋体"/>
                <w:b/>
                <w:bCs/>
              </w:rPr>
              <w:t>无。</w:t>
            </w:r>
          </w:p>
        </w:tc>
      </w:tr>
      <w:tr w14:paraId="56342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383" w:type="dxa"/>
            <w:gridSpan w:val="2"/>
            <w:noWrap/>
            <w:vAlign w:val="center"/>
          </w:tcPr>
          <w:p w14:paraId="56342CAD">
            <w:pPr>
              <w:pStyle w:val="23"/>
              <w:jc w:val="center"/>
              <w:rPr>
                <w:rFonts w:hint="eastAsia" w:cs="宋体"/>
                <w:b/>
                <w:bCs/>
                <w:szCs w:val="21"/>
              </w:rPr>
            </w:pPr>
            <w:r>
              <w:rPr>
                <w:rFonts w:hint="eastAsia" w:cs="宋体"/>
                <w:b/>
                <w:bCs/>
                <w:szCs w:val="21"/>
              </w:rPr>
              <w:t>34.1</w:t>
            </w:r>
          </w:p>
        </w:tc>
        <w:tc>
          <w:tcPr>
            <w:tcW w:w="2552" w:type="dxa"/>
            <w:noWrap/>
            <w:vAlign w:val="center"/>
          </w:tcPr>
          <w:p w14:paraId="56342CAE">
            <w:pPr>
              <w:pStyle w:val="23"/>
              <w:rPr>
                <w:rFonts w:hint="eastAsia" w:cs="宋体"/>
                <w:b/>
                <w:bCs/>
                <w:szCs w:val="21"/>
              </w:rPr>
            </w:pPr>
            <w:r>
              <w:rPr>
                <w:rFonts w:hint="eastAsia" w:cs="宋体"/>
                <w:b/>
                <w:bCs/>
                <w:szCs w:val="21"/>
              </w:rPr>
              <w:t xml:space="preserve">采购代理服务费 </w:t>
            </w:r>
          </w:p>
        </w:tc>
        <w:tc>
          <w:tcPr>
            <w:tcW w:w="6025" w:type="dxa"/>
            <w:noWrap/>
            <w:vAlign w:val="center"/>
          </w:tcPr>
          <w:p w14:paraId="36F4FCD2">
            <w:pPr>
              <w:pStyle w:val="23"/>
              <w:adjustRightInd w:val="0"/>
              <w:snapToGrid w:val="0"/>
              <w:rPr>
                <w:rFonts w:hint="eastAsia" w:cs="宋体"/>
                <w:b/>
                <w:szCs w:val="21"/>
              </w:rPr>
            </w:pPr>
            <w:r>
              <w:rPr>
                <w:rFonts w:hint="eastAsia" w:cs="宋体"/>
                <w:b/>
                <w:szCs w:val="21"/>
              </w:rPr>
              <w:t>1.本项目采购代理服务费由中标人支付，中标人收到中标通知书的同时，应向招标代理机构缴付采购代理服务费。</w:t>
            </w:r>
          </w:p>
          <w:p w14:paraId="6F93E22C">
            <w:pPr>
              <w:pStyle w:val="23"/>
              <w:adjustRightInd w:val="0"/>
              <w:snapToGrid w:val="0"/>
              <w:rPr>
                <w:rFonts w:hint="eastAsia" w:cs="宋体"/>
                <w:b/>
                <w:szCs w:val="21"/>
              </w:rPr>
            </w:pPr>
            <w:r>
              <w:rPr>
                <w:rFonts w:hint="eastAsia" w:cs="宋体"/>
                <w:b/>
                <w:szCs w:val="21"/>
              </w:rPr>
              <w:t>2.采购代理服务费按照关于印发《云南省建设工程招标代理服务收费参考意见》的通知（云建招协[2024]58号）以中标金额作为收费的计算基数按货物招标收费标准向中标单位收取，由中标单位支付。</w:t>
            </w:r>
          </w:p>
          <w:p w14:paraId="56342CB2">
            <w:pPr>
              <w:pStyle w:val="23"/>
              <w:adjustRightInd w:val="0"/>
              <w:snapToGrid w:val="0"/>
              <w:rPr>
                <w:rFonts w:hint="eastAsia" w:cs="宋体"/>
              </w:rPr>
            </w:pPr>
            <w:r>
              <w:rPr>
                <w:rFonts w:hint="eastAsia" w:cs="宋体"/>
                <w:b/>
                <w:szCs w:val="21"/>
              </w:rPr>
              <w:t>3.采购代理服务费接受以下形式：转账支票、银行电汇、网银。</w:t>
            </w:r>
          </w:p>
        </w:tc>
      </w:tr>
      <w:tr w14:paraId="56342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4">
            <w:pPr>
              <w:pStyle w:val="23"/>
              <w:jc w:val="center"/>
              <w:rPr>
                <w:rFonts w:hint="eastAsia" w:cs="宋体"/>
                <w:b/>
                <w:bCs/>
                <w:szCs w:val="21"/>
              </w:rPr>
            </w:pPr>
            <w:r>
              <w:rPr>
                <w:rFonts w:hint="eastAsia"/>
                <w:b/>
                <w:bCs/>
                <w:szCs w:val="21"/>
              </w:rPr>
              <w:t>36.1</w:t>
            </w:r>
          </w:p>
        </w:tc>
        <w:tc>
          <w:tcPr>
            <w:tcW w:w="2552" w:type="dxa"/>
            <w:noWrap/>
            <w:vAlign w:val="center"/>
          </w:tcPr>
          <w:p w14:paraId="56342CB5">
            <w:pPr>
              <w:pStyle w:val="23"/>
              <w:rPr>
                <w:rFonts w:hint="eastAsia" w:cs="宋体"/>
                <w:b/>
                <w:bCs/>
                <w:szCs w:val="21"/>
              </w:rPr>
            </w:pPr>
            <w:r>
              <w:rPr>
                <w:rFonts w:hint="eastAsia"/>
                <w:b/>
                <w:bCs/>
                <w:szCs w:val="21"/>
              </w:rPr>
              <w:t>备选方案</w:t>
            </w:r>
          </w:p>
        </w:tc>
        <w:tc>
          <w:tcPr>
            <w:tcW w:w="6025" w:type="dxa"/>
            <w:noWrap/>
            <w:vAlign w:val="center"/>
          </w:tcPr>
          <w:p w14:paraId="56342CB6">
            <w:pPr>
              <w:pStyle w:val="23"/>
              <w:rPr>
                <w:rFonts w:hint="eastAsia" w:cs="宋体"/>
                <w:b/>
                <w:bCs/>
                <w:szCs w:val="21"/>
              </w:rPr>
            </w:pPr>
            <w:r>
              <w:rPr>
                <w:rFonts w:hint="eastAsia"/>
                <w:b/>
                <w:bCs/>
                <w:szCs w:val="21"/>
              </w:rPr>
              <w:t>不接受。</w:t>
            </w:r>
          </w:p>
        </w:tc>
      </w:tr>
      <w:tr w14:paraId="56342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8">
            <w:pPr>
              <w:pStyle w:val="23"/>
              <w:jc w:val="center"/>
              <w:rPr>
                <w:rFonts w:hint="eastAsia" w:cs="宋体"/>
                <w:b/>
                <w:bCs/>
                <w:szCs w:val="21"/>
              </w:rPr>
            </w:pPr>
            <w:r>
              <w:rPr>
                <w:rFonts w:hint="eastAsia"/>
                <w:b/>
                <w:bCs/>
                <w:szCs w:val="21"/>
              </w:rPr>
              <w:t>36.2</w:t>
            </w:r>
          </w:p>
        </w:tc>
        <w:tc>
          <w:tcPr>
            <w:tcW w:w="8577" w:type="dxa"/>
            <w:gridSpan w:val="2"/>
            <w:noWrap/>
            <w:vAlign w:val="center"/>
          </w:tcPr>
          <w:p w14:paraId="56342CB9">
            <w:pPr>
              <w:pStyle w:val="23"/>
              <w:jc w:val="left"/>
              <w:rPr>
                <w:rFonts w:hint="eastAsia" w:cs="宋体"/>
                <w:b/>
                <w:bCs/>
                <w:szCs w:val="21"/>
              </w:rPr>
            </w:pPr>
            <w:r>
              <w:rPr>
                <w:rFonts w:hint="eastAsia"/>
                <w:b/>
                <w:bCs/>
                <w:szCs w:val="21"/>
              </w:rPr>
              <w:t>需要补充的其他内容</w:t>
            </w:r>
          </w:p>
        </w:tc>
      </w:tr>
      <w:tr w14:paraId="3F821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2988CAB">
            <w:pPr>
              <w:pStyle w:val="23"/>
              <w:jc w:val="center"/>
              <w:rPr>
                <w:rFonts w:hint="eastAsia" w:cs="宋体"/>
                <w:b/>
                <w:bCs/>
                <w:szCs w:val="21"/>
              </w:rPr>
            </w:pPr>
            <w:r>
              <w:rPr>
                <w:rFonts w:hint="eastAsia" w:cs="宋体"/>
                <w:b/>
                <w:bCs/>
                <w:szCs w:val="21"/>
              </w:rPr>
              <w:t>（1）</w:t>
            </w:r>
          </w:p>
        </w:tc>
        <w:tc>
          <w:tcPr>
            <w:tcW w:w="8577" w:type="dxa"/>
            <w:gridSpan w:val="2"/>
            <w:noWrap/>
            <w:vAlign w:val="center"/>
          </w:tcPr>
          <w:p w14:paraId="61597248">
            <w:pPr>
              <w:rPr>
                <w:rFonts w:hint="eastAsia"/>
                <w:b/>
                <w:bCs/>
                <w:szCs w:val="21"/>
              </w:rPr>
            </w:pPr>
            <w:r>
              <w:rPr>
                <w:rFonts w:hint="eastAsia"/>
                <w:b/>
                <w:bCs/>
                <w:color w:val="000000" w:themeColor="text1"/>
                <w14:textFill>
                  <w14:solidFill>
                    <w14:schemeClr w14:val="tx1"/>
                  </w14:solidFill>
                </w14:textFill>
              </w:rPr>
              <w:t>采购代理机构将依托电子交易平台发起开始解密指令，投标人的法定代表人或其委托代理人须携带加密时所用的CA锁按平台提示和采购文件的规定登录到“政采云”平台电子开标大厅签到并在发起解密指令之时起30分钟内完成对电子投标文件在线解密。投标文件未按时解密的，视为投标文件无效。</w:t>
            </w:r>
          </w:p>
        </w:tc>
      </w:tr>
      <w:tr w14:paraId="6782B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263C84B">
            <w:pPr>
              <w:pStyle w:val="23"/>
              <w:jc w:val="center"/>
              <w:rPr>
                <w:rFonts w:hint="eastAsia" w:cs="宋体"/>
                <w:b/>
                <w:bCs/>
                <w:szCs w:val="21"/>
              </w:rPr>
            </w:pPr>
            <w:r>
              <w:rPr>
                <w:rFonts w:hint="eastAsia" w:cs="宋体"/>
                <w:b/>
                <w:bCs/>
                <w:szCs w:val="21"/>
              </w:rPr>
              <w:t>（2）</w:t>
            </w:r>
          </w:p>
        </w:tc>
        <w:tc>
          <w:tcPr>
            <w:tcW w:w="8577" w:type="dxa"/>
            <w:gridSpan w:val="2"/>
            <w:noWrap/>
            <w:vAlign w:val="center"/>
          </w:tcPr>
          <w:p w14:paraId="6907B39E">
            <w:pPr>
              <w:rPr>
                <w:rFonts w:hint="eastAsia"/>
                <w:b/>
                <w:bCs/>
                <w:szCs w:val="21"/>
              </w:rPr>
            </w:pPr>
            <w:r>
              <w:rPr>
                <w:rFonts w:hint="eastAsia" w:cs="宋体"/>
                <w:b/>
                <w:bCs/>
                <w:szCs w:val="21"/>
              </w:rPr>
              <w:t>投标文件盖章要求：本项目不允许使用电子投标专用章。</w:t>
            </w:r>
          </w:p>
        </w:tc>
      </w:tr>
      <w:tr w14:paraId="77E37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05287235">
            <w:pPr>
              <w:pStyle w:val="23"/>
              <w:jc w:val="center"/>
              <w:rPr>
                <w:rFonts w:hint="eastAsia" w:cs="宋体"/>
                <w:b/>
                <w:bCs/>
                <w:szCs w:val="21"/>
              </w:rPr>
            </w:pPr>
            <w:r>
              <w:rPr>
                <w:rFonts w:hint="eastAsia" w:cs="宋体"/>
                <w:b/>
                <w:bCs/>
                <w:szCs w:val="21"/>
              </w:rPr>
              <w:t>（3）</w:t>
            </w:r>
          </w:p>
        </w:tc>
        <w:tc>
          <w:tcPr>
            <w:tcW w:w="8577" w:type="dxa"/>
            <w:gridSpan w:val="2"/>
            <w:noWrap/>
            <w:vAlign w:val="center"/>
          </w:tcPr>
          <w:p w14:paraId="7BB207D5">
            <w:pPr>
              <w:rPr>
                <w:rFonts w:hint="eastAsia"/>
                <w:b/>
                <w:bCs/>
                <w:szCs w:val="21"/>
              </w:rPr>
            </w:pPr>
            <w:r>
              <w:rPr>
                <w:rFonts w:hint="eastAsia" w:cs="宋体"/>
                <w:b/>
                <w:bCs/>
                <w:color w:val="000000" w:themeColor="text1"/>
                <w:szCs w:val="21"/>
                <w14:textFill>
                  <w14:solidFill>
                    <w14:schemeClr w14:val="tx1"/>
                  </w14:solidFill>
                </w14:textFill>
              </w:rPr>
              <w:t>电子投标文件中的</w:t>
            </w:r>
            <w:r>
              <w:rPr>
                <w:rFonts w:hint="eastAsia" w:cs="宋体"/>
                <w:b/>
                <w:bCs/>
                <w:color w:val="000000" w:themeColor="text1"/>
                <w14:textFill>
                  <w14:solidFill>
                    <w14:schemeClr w14:val="tx1"/>
                  </w14:solidFill>
                </w14:textFill>
              </w:rPr>
              <w:t>资料应该清晰可辨，否则视为未提供。</w:t>
            </w:r>
          </w:p>
        </w:tc>
      </w:tr>
      <w:tr w14:paraId="669E8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D17FE6D">
            <w:pPr>
              <w:pStyle w:val="23"/>
              <w:jc w:val="center"/>
              <w:rPr>
                <w:rFonts w:hint="eastAsia" w:cs="宋体"/>
                <w:b/>
                <w:bCs/>
                <w:szCs w:val="21"/>
              </w:rPr>
            </w:pPr>
            <w:r>
              <w:rPr>
                <w:rFonts w:hint="eastAsia" w:cs="宋体"/>
                <w:b/>
                <w:bCs/>
                <w:szCs w:val="21"/>
              </w:rPr>
              <w:t>（4）</w:t>
            </w:r>
          </w:p>
        </w:tc>
        <w:tc>
          <w:tcPr>
            <w:tcW w:w="8577" w:type="dxa"/>
            <w:gridSpan w:val="2"/>
            <w:noWrap/>
            <w:vAlign w:val="center"/>
          </w:tcPr>
          <w:p w14:paraId="0C885E83">
            <w:pPr>
              <w:rPr>
                <w:rFonts w:hint="eastAsia"/>
                <w:b/>
                <w:bCs/>
                <w:szCs w:val="21"/>
              </w:rPr>
            </w:pPr>
            <w:r>
              <w:rPr>
                <w:b/>
                <w:color w:val="000000"/>
              </w:rPr>
              <w:t>本采购文件明确所属行业为：</w:t>
            </w:r>
            <w:r>
              <w:rPr>
                <w:rFonts w:hint="eastAsia"/>
                <w:b/>
                <w:color w:val="000000"/>
              </w:rPr>
              <w:t>工业-制造业。</w:t>
            </w:r>
          </w:p>
        </w:tc>
      </w:tr>
      <w:tr w14:paraId="10A8F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EC36C3B">
            <w:pPr>
              <w:pStyle w:val="23"/>
              <w:jc w:val="center"/>
              <w:rPr>
                <w:rFonts w:hint="eastAsia" w:cs="宋体"/>
                <w:b/>
                <w:bCs/>
                <w:szCs w:val="21"/>
              </w:rPr>
            </w:pPr>
            <w:r>
              <w:rPr>
                <w:rFonts w:hint="eastAsia" w:cs="宋体"/>
                <w:b/>
                <w:bCs/>
                <w:szCs w:val="21"/>
              </w:rPr>
              <w:t>（5）</w:t>
            </w:r>
          </w:p>
        </w:tc>
        <w:tc>
          <w:tcPr>
            <w:tcW w:w="8577" w:type="dxa"/>
            <w:gridSpan w:val="2"/>
            <w:noWrap/>
            <w:vAlign w:val="center"/>
          </w:tcPr>
          <w:p w14:paraId="2A1C0999">
            <w:pPr>
              <w:rPr>
                <w:rFonts w:hint="eastAsia"/>
                <w:b/>
                <w:color w:val="000000"/>
              </w:rPr>
            </w:pPr>
            <w:r>
              <w:rPr>
                <w:rFonts w:hint="eastAsia" w:cs="宋体"/>
                <w:b/>
                <w:bCs/>
                <w:szCs w:val="21"/>
              </w:rPr>
              <w:t>投标文件编制相关要求：招标文件中对投标文件格式有要求的，投标人必须全部填写格式中要求的所有内容。无相应内容可填的项应填写“无”、“没有相应指标”等明确的回答文字。有具体数值的应填写具体数值，而不能笼统地响应为“符合”、“满足”等结论性内容”。</w:t>
            </w:r>
          </w:p>
        </w:tc>
      </w:tr>
      <w:tr w14:paraId="2AC92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397E172A">
            <w:pPr>
              <w:pStyle w:val="23"/>
              <w:jc w:val="center"/>
              <w:rPr>
                <w:rFonts w:hint="eastAsia" w:cs="宋体"/>
                <w:b/>
                <w:bCs/>
                <w:szCs w:val="21"/>
              </w:rPr>
            </w:pPr>
            <w:r>
              <w:rPr>
                <w:rFonts w:hint="eastAsia" w:cs="宋体"/>
                <w:b/>
                <w:bCs/>
                <w:szCs w:val="21"/>
              </w:rPr>
              <w:t>（6）</w:t>
            </w:r>
          </w:p>
        </w:tc>
        <w:tc>
          <w:tcPr>
            <w:tcW w:w="8577" w:type="dxa"/>
            <w:gridSpan w:val="2"/>
            <w:noWrap/>
            <w:vAlign w:val="center"/>
          </w:tcPr>
          <w:p w14:paraId="79D7800F">
            <w:pPr>
              <w:jc w:val="left"/>
              <w:rPr>
                <w:rFonts w:hint="eastAsia" w:cs="宋体"/>
                <w:b/>
                <w:bCs/>
                <w:szCs w:val="20"/>
              </w:rPr>
            </w:pPr>
            <w:r>
              <w:rPr>
                <w:rFonts w:cs="宋体"/>
                <w:b/>
                <w:bCs/>
                <w:szCs w:val="20"/>
              </w:rPr>
              <w:t>本国产品支持政策；</w:t>
            </w:r>
          </w:p>
          <w:p w14:paraId="354B74B5">
            <w:pPr>
              <w:rPr>
                <w:rFonts w:hint="eastAsia" w:cs="宋体"/>
                <w:b/>
                <w:bCs/>
                <w:szCs w:val="21"/>
              </w:rPr>
            </w:pPr>
            <w:r>
              <w:rPr>
                <w:rFonts w:cs="宋体"/>
                <w:b/>
                <w:bCs/>
              </w:rPr>
              <w:t>内容：■适用；□不适用</w:t>
            </w:r>
          </w:p>
        </w:tc>
      </w:tr>
    </w:tbl>
    <w:p w14:paraId="56342CC1">
      <w:pPr>
        <w:widowControl/>
        <w:jc w:val="left"/>
        <w:rPr>
          <w:rFonts w:hint="eastAsia" w:cs="宋体"/>
        </w:rPr>
      </w:pPr>
      <w:r>
        <w:rPr>
          <w:rFonts w:hint="eastAsia" w:cs="宋体"/>
        </w:rPr>
        <w:br w:type="page"/>
      </w:r>
    </w:p>
    <w:p w14:paraId="56342CC2">
      <w:pPr>
        <w:pStyle w:val="4"/>
        <w:numPr>
          <w:ilvl w:val="1"/>
          <w:numId w:val="0"/>
        </w:numPr>
        <w:tabs>
          <w:tab w:val="left" w:pos="567"/>
          <w:tab w:val="clear" w:pos="596"/>
        </w:tabs>
        <w:spacing w:before="0"/>
        <w:jc w:val="center"/>
        <w:rPr>
          <w:rFonts w:hint="eastAsia" w:eastAsia="宋体" w:cs="宋体"/>
          <w:szCs w:val="28"/>
        </w:rPr>
      </w:pPr>
      <w:bookmarkStart w:id="74" w:name="_Toc3601"/>
      <w:bookmarkStart w:id="75" w:name="_Toc3165"/>
      <w:bookmarkStart w:id="76" w:name="_Toc216368752"/>
      <w:bookmarkStart w:id="77" w:name="_Toc14568"/>
      <w:r>
        <w:rPr>
          <w:rFonts w:hint="eastAsia" w:eastAsia="宋体" w:cs="宋体"/>
          <w:szCs w:val="28"/>
        </w:rPr>
        <w:t>一、总  则</w:t>
      </w:r>
      <w:bookmarkEnd w:id="74"/>
      <w:bookmarkEnd w:id="75"/>
      <w:bookmarkEnd w:id="76"/>
      <w:bookmarkEnd w:id="77"/>
    </w:p>
    <w:p w14:paraId="56342CC3">
      <w:pPr>
        <w:ind w:firstLine="420" w:firstLineChars="200"/>
        <w:jc w:val="left"/>
        <w:rPr>
          <w:rFonts w:hint="eastAsia" w:cs="宋体"/>
          <w:szCs w:val="21"/>
        </w:rPr>
      </w:pPr>
      <w:bookmarkStart w:id="78" w:name="_Hlk50385447"/>
      <w:r>
        <w:rPr>
          <w:rFonts w:hint="eastAsia" w:cs="宋体"/>
          <w:bCs/>
          <w:szCs w:val="21"/>
        </w:rPr>
        <w:t>1.采购人、采购代理机构、</w:t>
      </w:r>
      <w:r>
        <w:rPr>
          <w:rFonts w:hint="eastAsia" w:cs="宋体"/>
          <w:szCs w:val="21"/>
        </w:rPr>
        <w:t>项目名称及项目编号，详见招标文件“投标人须知前附表”。</w:t>
      </w:r>
    </w:p>
    <w:p w14:paraId="56342CC4">
      <w:pPr>
        <w:ind w:firstLine="420" w:firstLineChars="200"/>
        <w:jc w:val="left"/>
        <w:rPr>
          <w:rFonts w:hint="eastAsia" w:cs="宋体"/>
          <w:b/>
          <w:szCs w:val="21"/>
        </w:rPr>
      </w:pPr>
      <w:r>
        <w:rPr>
          <w:rFonts w:hint="eastAsia" w:cs="宋体"/>
          <w:b/>
          <w:szCs w:val="21"/>
        </w:rPr>
        <w:t>2.资金来源：</w:t>
      </w:r>
      <w:r>
        <w:rPr>
          <w:rFonts w:hint="eastAsia" w:cs="宋体"/>
          <w:szCs w:val="21"/>
        </w:rPr>
        <w:t>“</w:t>
      </w:r>
      <w:r>
        <w:rPr>
          <w:rFonts w:hint="eastAsia" w:cs="宋体"/>
          <w:b/>
          <w:szCs w:val="21"/>
        </w:rPr>
        <w:t>投标人须知前附表</w:t>
      </w:r>
      <w:r>
        <w:rPr>
          <w:rFonts w:hint="eastAsia" w:cs="宋体"/>
          <w:szCs w:val="21"/>
        </w:rPr>
        <w:t>”中所述的资金，用于采购</w:t>
      </w:r>
      <w:r>
        <w:rPr>
          <w:rFonts w:hint="eastAsia" w:cs="宋体"/>
          <w:bCs/>
          <w:szCs w:val="21"/>
        </w:rPr>
        <w:t>第五章《货物需求及技术要求》</w:t>
      </w:r>
      <w:r>
        <w:rPr>
          <w:rFonts w:hint="eastAsia" w:cs="宋体"/>
          <w:szCs w:val="21"/>
        </w:rPr>
        <w:t>所列内容。</w:t>
      </w:r>
    </w:p>
    <w:p w14:paraId="56342CC5">
      <w:pPr>
        <w:ind w:firstLine="420" w:firstLineChars="200"/>
        <w:jc w:val="left"/>
        <w:rPr>
          <w:rFonts w:hint="eastAsia" w:cs="宋体"/>
          <w:b/>
          <w:szCs w:val="21"/>
        </w:rPr>
      </w:pPr>
      <w:r>
        <w:rPr>
          <w:rFonts w:hint="eastAsia" w:cs="宋体"/>
          <w:b/>
          <w:szCs w:val="21"/>
        </w:rPr>
        <w:t>3.招标范围</w:t>
      </w:r>
    </w:p>
    <w:p w14:paraId="56342CC6">
      <w:pPr>
        <w:ind w:firstLine="420" w:firstLineChars="200"/>
        <w:jc w:val="left"/>
        <w:rPr>
          <w:rFonts w:hint="eastAsia" w:cs="宋体"/>
          <w:szCs w:val="21"/>
        </w:rPr>
      </w:pPr>
      <w:r>
        <w:rPr>
          <w:rFonts w:hint="eastAsia" w:cs="宋体"/>
          <w:szCs w:val="21"/>
        </w:rPr>
        <w:t>3.1本项目招标范围：见“</w:t>
      </w:r>
      <w:r>
        <w:rPr>
          <w:rFonts w:hint="eastAsia" w:cs="宋体"/>
          <w:b/>
          <w:szCs w:val="21"/>
        </w:rPr>
        <w:t>投标人须知前附表</w:t>
      </w:r>
      <w:r>
        <w:rPr>
          <w:rFonts w:hint="eastAsia" w:cs="宋体"/>
          <w:szCs w:val="21"/>
        </w:rPr>
        <w:t>”。</w:t>
      </w:r>
    </w:p>
    <w:p w14:paraId="56342CC7">
      <w:pPr>
        <w:ind w:firstLine="420" w:firstLineChars="200"/>
        <w:jc w:val="left"/>
        <w:rPr>
          <w:rFonts w:hint="eastAsia" w:cs="宋体"/>
          <w:szCs w:val="21"/>
        </w:rPr>
      </w:pPr>
      <w:r>
        <w:rPr>
          <w:rFonts w:hint="eastAsia" w:cs="宋体"/>
          <w:szCs w:val="21"/>
        </w:rPr>
        <w:t>3.2本项目交货期、交货地点、交货方式、质量要求及质保期：见“</w:t>
      </w:r>
      <w:r>
        <w:rPr>
          <w:rFonts w:hint="eastAsia" w:cs="宋体"/>
          <w:b/>
          <w:szCs w:val="21"/>
        </w:rPr>
        <w:t>投标人须知前附表</w:t>
      </w:r>
      <w:r>
        <w:rPr>
          <w:rFonts w:hint="eastAsia" w:cs="宋体"/>
          <w:szCs w:val="21"/>
        </w:rPr>
        <w:t>”。</w:t>
      </w:r>
    </w:p>
    <w:p w14:paraId="56342CC8">
      <w:pPr>
        <w:ind w:firstLine="420" w:firstLineChars="200"/>
        <w:jc w:val="left"/>
        <w:rPr>
          <w:rFonts w:hint="eastAsia" w:cs="宋体"/>
          <w:b/>
          <w:szCs w:val="21"/>
        </w:rPr>
      </w:pPr>
      <w:r>
        <w:rPr>
          <w:rFonts w:hint="eastAsia" w:cs="宋体"/>
          <w:b/>
          <w:szCs w:val="21"/>
        </w:rPr>
        <w:t>★4.合格的投标人</w:t>
      </w:r>
    </w:p>
    <w:p w14:paraId="56342CC9">
      <w:pPr>
        <w:ind w:firstLine="420" w:firstLineChars="200"/>
        <w:jc w:val="left"/>
        <w:rPr>
          <w:rFonts w:hint="eastAsia" w:cs="宋体"/>
          <w:b/>
          <w:bCs/>
          <w:szCs w:val="21"/>
        </w:rPr>
      </w:pPr>
      <w:r>
        <w:rPr>
          <w:rFonts w:hint="eastAsia" w:cs="宋体"/>
          <w:b/>
          <w:bCs/>
          <w:szCs w:val="21"/>
        </w:rPr>
        <w:t>4.1投标人应具备《中华人民共和国政府采购法》第二十二条规定的条件，并提供下列材料：</w:t>
      </w:r>
    </w:p>
    <w:p w14:paraId="56342CCA">
      <w:pPr>
        <w:ind w:firstLine="420" w:firstLineChars="200"/>
        <w:jc w:val="left"/>
        <w:rPr>
          <w:rFonts w:hint="eastAsia" w:cs="宋体"/>
          <w:szCs w:val="21"/>
        </w:rPr>
      </w:pPr>
      <w:r>
        <w:rPr>
          <w:rFonts w:hint="eastAsia" w:cs="宋体"/>
          <w:szCs w:val="21"/>
        </w:rPr>
        <w:t>4.1.1投标人必须是具有独立承担民事责任能力的法人、其他组织或者自然人；提供有效的多证合一营业执照（扫描件）或同等法定证明；</w:t>
      </w:r>
    </w:p>
    <w:p w14:paraId="56342CCB">
      <w:pPr>
        <w:ind w:firstLine="420" w:firstLineChars="200"/>
        <w:jc w:val="left"/>
        <w:rPr>
          <w:rFonts w:hint="eastAsia" w:cs="宋体"/>
          <w:bCs/>
          <w:szCs w:val="21"/>
        </w:rPr>
      </w:pPr>
      <w:r>
        <w:rPr>
          <w:rFonts w:hint="eastAsia" w:cs="宋体"/>
          <w:szCs w:val="21"/>
        </w:rPr>
        <w:t>4.1.2投标人必须提供财务状况报告，具体年份详见</w:t>
      </w:r>
      <w:r>
        <w:rPr>
          <w:rFonts w:hint="eastAsia" w:cs="宋体"/>
          <w:b/>
          <w:szCs w:val="21"/>
        </w:rPr>
        <w:t>“</w:t>
      </w:r>
      <w:r>
        <w:rPr>
          <w:rFonts w:hint="eastAsia" w:cs="宋体"/>
          <w:b/>
          <w:bCs/>
          <w:szCs w:val="21"/>
        </w:rPr>
        <w:t>投标人须知前附表</w:t>
      </w:r>
      <w:r>
        <w:rPr>
          <w:rFonts w:hint="eastAsia" w:cs="宋体"/>
          <w:b/>
          <w:szCs w:val="21"/>
        </w:rPr>
        <w:t>”</w:t>
      </w:r>
      <w:r>
        <w:rPr>
          <w:rFonts w:hint="eastAsia" w:cs="宋体"/>
          <w:bCs/>
          <w:szCs w:val="21"/>
        </w:rPr>
        <w:t>。</w:t>
      </w:r>
    </w:p>
    <w:p w14:paraId="56342CD1">
      <w:pPr>
        <w:ind w:firstLine="420" w:firstLineChars="200"/>
        <w:jc w:val="left"/>
        <w:rPr>
          <w:rFonts w:hint="eastAsia" w:cs="宋体"/>
          <w:szCs w:val="21"/>
        </w:rPr>
      </w:pPr>
      <w:r>
        <w:rPr>
          <w:rFonts w:hint="eastAsia" w:cs="宋体"/>
          <w:szCs w:val="21"/>
        </w:rPr>
        <w:t>4.1.3</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”）的税务局税收通用缴款书扫描件或银行电子缴税（费）凭证扫描件或税务局出具纳税情况的相关证明扫描件；</w:t>
      </w:r>
      <w:r>
        <w:rPr>
          <w:rFonts w:hint="eastAsia"/>
          <w:b/>
          <w:bCs/>
          <w:color w:val="000000" w:themeColor="text1"/>
          <w:kern w:val="0"/>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新成立（成立时间不足6个月）的投标人提供承诺书或相关说明；依法免税的投标人，应提供相应文件证明其依法免税</w:t>
      </w:r>
      <w:r>
        <w:rPr>
          <w:rFonts w:hint="eastAsia"/>
          <w:b/>
          <w:bCs/>
          <w:color w:val="000000" w:themeColor="text1"/>
          <w:kern w:val="0"/>
          <w:szCs w:val="21"/>
          <w14:textFill>
            <w14:solidFill>
              <w14:schemeClr w14:val="tx1"/>
            </w14:solidFill>
          </w14:textFill>
        </w:rPr>
        <w:t>）。</w:t>
      </w:r>
    </w:p>
    <w:p w14:paraId="56342CD2">
      <w:pPr>
        <w:ind w:firstLine="420" w:firstLineChars="200"/>
        <w:jc w:val="left"/>
        <w:rPr>
          <w:rFonts w:hint="eastAsia" w:cs="宋体"/>
          <w:szCs w:val="21"/>
        </w:rPr>
      </w:pPr>
      <w:r>
        <w:rPr>
          <w:rFonts w:hint="eastAsia" w:cs="宋体"/>
          <w:szCs w:val="21"/>
        </w:rPr>
        <w:t>4.1.4</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”）的社会保险费缴款书扫描件或银行电子缴税（费）凭证扫描件或社保管理部门出具的有效的缴款证明扫描件；</w:t>
      </w:r>
      <w:r>
        <w:rPr>
          <w:rFonts w:hint="eastAsia"/>
          <w:b/>
          <w:bCs/>
          <w:color w:val="000000" w:themeColor="text1"/>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b/>
          <w:bCs/>
          <w:color w:val="000000" w:themeColor="text1"/>
          <w:szCs w:val="21"/>
          <w14:textFill>
            <w14:solidFill>
              <w14:schemeClr w14:val="tx1"/>
            </w14:solidFill>
          </w14:textFill>
        </w:rPr>
        <w:t>）</w:t>
      </w:r>
    </w:p>
    <w:p w14:paraId="56342CD3">
      <w:pPr>
        <w:ind w:firstLine="420" w:firstLineChars="200"/>
        <w:jc w:val="left"/>
        <w:rPr>
          <w:rFonts w:hint="eastAsia" w:cs="宋体"/>
          <w:szCs w:val="21"/>
        </w:rPr>
      </w:pPr>
      <w:r>
        <w:rPr>
          <w:rFonts w:hint="eastAsia" w:cs="宋体"/>
          <w:szCs w:val="21"/>
        </w:rPr>
        <w:t>4.1.5投标人须提供具备履行合同所必需的设备和专业技术能力的证明材料；</w:t>
      </w:r>
      <w:r>
        <w:rPr>
          <w:rFonts w:hint="eastAsia" w:cs="宋体"/>
          <w:b/>
          <w:bCs/>
          <w:szCs w:val="21"/>
        </w:rPr>
        <w:t>（提供承诺书）</w:t>
      </w:r>
    </w:p>
    <w:p w14:paraId="56342CD4">
      <w:pPr>
        <w:ind w:firstLine="420" w:firstLineChars="200"/>
        <w:jc w:val="left"/>
        <w:rPr>
          <w:rFonts w:hint="eastAsia" w:cs="宋体"/>
          <w:b/>
          <w:bCs/>
          <w:szCs w:val="21"/>
        </w:rPr>
      </w:pPr>
      <w:r>
        <w:rPr>
          <w:rFonts w:hint="eastAsia" w:cs="宋体"/>
          <w:szCs w:val="21"/>
        </w:rPr>
        <w:t>4.1.6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56342CD5">
      <w:pPr>
        <w:ind w:firstLine="420" w:firstLineChars="200"/>
        <w:jc w:val="left"/>
        <w:rPr>
          <w:rFonts w:hint="eastAsia" w:cs="宋体"/>
          <w:bCs/>
          <w:szCs w:val="21"/>
        </w:rPr>
      </w:pPr>
      <w:r>
        <w:rPr>
          <w:rFonts w:hint="eastAsia" w:cs="宋体"/>
          <w:bCs/>
          <w:szCs w:val="21"/>
        </w:rPr>
        <w:t>4.2</w:t>
      </w:r>
      <w:r>
        <w:t>落实政府采购政策需满足的资格要求（详见</w:t>
      </w:r>
      <w:r>
        <w:rPr>
          <w:b/>
        </w:rPr>
        <w:t>“投标人须知前附表”</w:t>
      </w:r>
      <w:r>
        <w:t>）</w:t>
      </w:r>
      <w:r>
        <w:rPr>
          <w:rFonts w:hint="eastAsia"/>
        </w:rPr>
        <w:t>。</w:t>
      </w:r>
    </w:p>
    <w:p w14:paraId="07F759EE">
      <w:pPr>
        <w:ind w:firstLine="420" w:firstLineChars="200"/>
        <w:jc w:val="left"/>
        <w:rPr>
          <w:rFonts w:hint="eastAsia" w:cs="宋体"/>
          <w:bCs/>
          <w:szCs w:val="21"/>
        </w:rPr>
      </w:pPr>
      <w:r>
        <w:rPr>
          <w:rFonts w:hint="eastAsia"/>
        </w:rPr>
        <w:t>4</w:t>
      </w:r>
      <w:r>
        <w:t>.3</w:t>
      </w:r>
      <w:r>
        <w:rPr>
          <w:rFonts w:hint="eastAsia" w:cs="宋体"/>
          <w:bCs/>
          <w:szCs w:val="21"/>
        </w:rPr>
        <w:t>投标人应符合采购人根据采购项目的特殊要求规定的特定条件。特定条件见</w:t>
      </w:r>
      <w:r>
        <w:rPr>
          <w:rFonts w:hint="eastAsia" w:cs="宋体"/>
          <w:b/>
          <w:szCs w:val="21"/>
        </w:rPr>
        <w:t>“投标人须知前附表”。</w:t>
      </w:r>
    </w:p>
    <w:p w14:paraId="56342CD6">
      <w:pPr>
        <w:ind w:firstLine="420" w:firstLineChars="200"/>
        <w:jc w:val="left"/>
        <w:rPr>
          <w:rFonts w:hint="eastAsia" w:cs="宋体"/>
          <w:bCs/>
          <w:szCs w:val="21"/>
        </w:rPr>
      </w:pPr>
      <w:r>
        <w:rPr>
          <w:rFonts w:hint="eastAsia" w:cs="宋体"/>
          <w:bCs/>
          <w:szCs w:val="21"/>
        </w:rPr>
        <w:t>4.</w:t>
      </w:r>
      <w:r>
        <w:rPr>
          <w:rFonts w:cs="宋体"/>
          <w:bCs/>
          <w:szCs w:val="21"/>
        </w:rPr>
        <w:t>4</w:t>
      </w:r>
      <w:r>
        <w:rPr>
          <w:rFonts w:hint="eastAsia" w:cs="宋体"/>
          <w:bCs/>
          <w:szCs w:val="21"/>
        </w:rPr>
        <w:t>单位负责人为同一人或者存在直接控股、管理关系的不同投标人，不得参加同一招标项目包的政府采购活动。</w:t>
      </w:r>
    </w:p>
    <w:p w14:paraId="56342CD7">
      <w:pPr>
        <w:ind w:firstLine="420" w:firstLineChars="200"/>
        <w:jc w:val="left"/>
        <w:rPr>
          <w:rFonts w:hint="eastAsia" w:cs="宋体"/>
          <w:bCs/>
          <w:szCs w:val="21"/>
        </w:rPr>
      </w:pPr>
      <w:r>
        <w:rPr>
          <w:rFonts w:hint="eastAsia" w:cs="宋体"/>
          <w:bCs/>
          <w:szCs w:val="21"/>
        </w:rPr>
        <w:t>4.</w:t>
      </w:r>
      <w:r>
        <w:rPr>
          <w:rFonts w:cs="宋体"/>
          <w:bCs/>
          <w:szCs w:val="21"/>
        </w:rPr>
        <w:t>5</w:t>
      </w:r>
      <w:r>
        <w:rPr>
          <w:rFonts w:hint="eastAsia" w:cs="宋体"/>
          <w:bCs/>
          <w:color w:val="000000" w:themeColor="text1"/>
          <w:szCs w:val="21"/>
          <w14:textFill>
            <w14:solidFill>
              <w14:schemeClr w14:val="tx1"/>
            </w14:solidFill>
          </w14:textFill>
        </w:rPr>
        <w:t>采购代理机构将于开标当天在“信用中国”网站（www.creditchina.gov.cn）失信被执行人、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bCs/>
          <w:color w:val="000000" w:themeColor="text1"/>
          <w:szCs w:val="21"/>
          <w14:textFill>
            <w14:solidFill>
              <w14:schemeClr w14:val="tx1"/>
            </w14:solidFill>
          </w14:textFill>
        </w:rPr>
        <w:t>、</w:t>
      </w:r>
      <w:r>
        <w:rPr>
          <w:rFonts w:hint="eastAsia" w:cs="宋体"/>
          <w:color w:val="000000" w:themeColor="text1"/>
          <w:szCs w:val="21"/>
          <w14:textFill>
            <w14:solidFill>
              <w14:schemeClr w14:val="tx1"/>
            </w14:solidFill>
          </w14:textFill>
        </w:rPr>
        <w:t>政府采购严重违法失信行为记录名单，及</w:t>
      </w:r>
      <w:r>
        <w:rPr>
          <w:rFonts w:hint="eastAsia" w:cs="宋体"/>
          <w:bCs/>
          <w:color w:val="000000" w:themeColor="text1"/>
          <w:szCs w:val="21"/>
          <w14:textFill>
            <w14:solidFill>
              <w14:schemeClr w14:val="tx1"/>
            </w14:solidFill>
          </w14:textFill>
        </w:rPr>
        <w:t>“中国政府采购网”（www.ccgp.gov.cn）“政府采购严重违法失信行为信息记录”</w:t>
      </w:r>
      <w:r>
        <w:rPr>
          <w:rFonts w:hint="eastAsia"/>
          <w:b/>
          <w:bCs/>
        </w:rPr>
        <w:t>对投标人进行信用信息查询。上述网站信用信息查询结果的网页截图或网页打印稿作为证据留存</w:t>
      </w:r>
      <w:r>
        <w:rPr>
          <w:rFonts w:hint="eastAsia"/>
          <w:b/>
          <w:bCs/>
          <w:szCs w:val="21"/>
        </w:rPr>
        <w:t>。</w:t>
      </w:r>
      <w:r>
        <w:rPr>
          <w:rFonts w:hint="eastAsia" w:cs="宋体"/>
          <w:bCs/>
          <w:color w:val="000000" w:themeColor="text1"/>
          <w:szCs w:val="21"/>
          <w14:textFill>
            <w14:solidFill>
              <w14:schemeClr w14:val="tx1"/>
            </w14:solidFill>
          </w14:textFill>
        </w:rPr>
        <w:t>投标人存在不良信用记录的，不得参与政府采购活动。</w:t>
      </w:r>
    </w:p>
    <w:p w14:paraId="56342CD8">
      <w:pPr>
        <w:ind w:firstLine="420" w:firstLineChars="200"/>
        <w:jc w:val="left"/>
        <w:rPr>
          <w:rFonts w:hint="eastAsia" w:cs="宋体"/>
          <w:bCs/>
          <w:szCs w:val="21"/>
        </w:rPr>
      </w:pPr>
      <w:r>
        <w:rPr>
          <w:rFonts w:hint="eastAsia" w:cs="宋体"/>
          <w:bCs/>
          <w:szCs w:val="21"/>
        </w:rPr>
        <w:t>4.</w:t>
      </w:r>
      <w:r>
        <w:rPr>
          <w:rFonts w:cs="宋体"/>
          <w:bCs/>
          <w:szCs w:val="21"/>
        </w:rPr>
        <w:t>6</w:t>
      </w:r>
      <w:r>
        <w:rPr>
          <w:rFonts w:hint="eastAsia" w:cs="宋体"/>
          <w:b/>
          <w:szCs w:val="21"/>
        </w:rPr>
        <w:t>“投标人须知前附表”</w:t>
      </w:r>
      <w:r>
        <w:rPr>
          <w:rFonts w:hint="eastAsia" w:cs="宋体"/>
          <w:bCs/>
          <w:szCs w:val="21"/>
        </w:rPr>
        <w:t>规定接受联合体投标的，除应符合本章第4.1-4.</w:t>
      </w:r>
      <w:r>
        <w:rPr>
          <w:rFonts w:cs="宋体"/>
          <w:bCs/>
          <w:szCs w:val="21"/>
        </w:rPr>
        <w:t>5</w:t>
      </w:r>
      <w:r>
        <w:rPr>
          <w:rFonts w:hint="eastAsia" w:cs="宋体"/>
          <w:bCs/>
          <w:szCs w:val="21"/>
        </w:rPr>
        <w:t>项和</w:t>
      </w:r>
      <w:r>
        <w:rPr>
          <w:rFonts w:hint="eastAsia" w:cs="宋体"/>
          <w:b/>
          <w:szCs w:val="21"/>
        </w:rPr>
        <w:t>“投标人须知前附表”</w:t>
      </w:r>
      <w:r>
        <w:rPr>
          <w:rFonts w:hint="eastAsia" w:cs="宋体"/>
          <w:bCs/>
          <w:szCs w:val="21"/>
        </w:rPr>
        <w:t>的要求外，还应遵守以下规定：</w:t>
      </w:r>
    </w:p>
    <w:p w14:paraId="56342CD9">
      <w:pPr>
        <w:ind w:firstLine="420" w:firstLineChars="200"/>
        <w:jc w:val="left"/>
        <w:rPr>
          <w:rFonts w:hint="eastAsia" w:cs="宋体"/>
          <w:bCs/>
          <w:szCs w:val="21"/>
        </w:rPr>
      </w:pPr>
      <w:r>
        <w:rPr>
          <w:rFonts w:hint="eastAsia" w:cs="宋体"/>
          <w:bCs/>
          <w:szCs w:val="21"/>
        </w:rPr>
        <w:t>（1）联合体中有同类资质的投标人按照联合体分工承担相同工作的，应当按照资质等级较低的投标人确定资质等级；</w:t>
      </w:r>
    </w:p>
    <w:p w14:paraId="56342CDA">
      <w:pPr>
        <w:ind w:firstLine="420" w:firstLineChars="200"/>
        <w:jc w:val="left"/>
        <w:rPr>
          <w:rFonts w:hint="eastAsia" w:cs="宋体"/>
          <w:bCs/>
          <w:szCs w:val="21"/>
        </w:rPr>
      </w:pPr>
      <w:r>
        <w:rPr>
          <w:rFonts w:hint="eastAsia" w:cs="宋体"/>
          <w:bCs/>
          <w:szCs w:val="21"/>
        </w:rPr>
        <w:t>（2）联合体各方之间应当签订共同投标协议，明确约定联合体各方承担的工作和相应的责任；</w:t>
      </w:r>
    </w:p>
    <w:p w14:paraId="56342CDB">
      <w:pPr>
        <w:ind w:firstLine="420" w:firstLineChars="200"/>
        <w:jc w:val="left"/>
        <w:rPr>
          <w:rFonts w:hint="eastAsia" w:cs="宋体"/>
          <w:bCs/>
          <w:szCs w:val="21"/>
        </w:rPr>
      </w:pPr>
      <w:r>
        <w:rPr>
          <w:rFonts w:hint="eastAsia" w:cs="宋体"/>
          <w:bCs/>
          <w:szCs w:val="21"/>
        </w:rPr>
        <w:t>（3）以联合体形式参加政府采购活动的，联合体各方不得再单独参加或者与其他投标人另外组成联合体参加同一项目包下的政府采购活动。</w:t>
      </w:r>
    </w:p>
    <w:p w14:paraId="5C1C98E1">
      <w:pPr>
        <w:ind w:firstLine="420" w:firstLineChars="200"/>
        <w:jc w:val="left"/>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★4.7</w:t>
      </w:r>
      <w:r>
        <w:rPr>
          <w:rFonts w:hint="eastAsia" w:cs="宋体"/>
          <w:b/>
          <w:bCs/>
          <w:color w:val="000000" w:themeColor="text1"/>
          <w:szCs w:val="21"/>
          <w14:textFill>
            <w14:solidFill>
              <w14:schemeClr w14:val="tx1"/>
            </w14:solidFill>
          </w14:textFill>
        </w:rPr>
        <w:t>根据《中华人民共和国政府采购法实施条例》第十八条 单位负责人为同一人或者存在直接控股、管理关系的不同投标人，不得参加同一合同项的政府采购活动。除单一来源采购项目外，为采购项目提供整体设计、规范编制或者项目管理、监理、检测等服务的投标人，不得再参加该采购项目的其他采购活动。</w:t>
      </w:r>
    </w:p>
    <w:p w14:paraId="56342CDC">
      <w:pPr>
        <w:ind w:firstLine="420" w:firstLineChars="200"/>
        <w:jc w:val="left"/>
        <w:rPr>
          <w:rFonts w:hint="eastAsia" w:cs="宋体"/>
          <w:bCs/>
          <w:szCs w:val="21"/>
        </w:rPr>
      </w:pPr>
      <w:r>
        <w:rPr>
          <w:rFonts w:hint="eastAsia" w:cs="宋体"/>
          <w:bCs/>
          <w:szCs w:val="21"/>
        </w:rPr>
        <w:t>4.8符合上述条件的投标人应承担投标及履约中应承担的全部责任与义务。</w:t>
      </w:r>
    </w:p>
    <w:p w14:paraId="56342CDD">
      <w:pPr>
        <w:ind w:firstLine="420" w:firstLineChars="200"/>
        <w:jc w:val="left"/>
        <w:rPr>
          <w:rFonts w:hint="eastAsia" w:cs="宋体"/>
          <w:b/>
          <w:szCs w:val="21"/>
        </w:rPr>
      </w:pPr>
      <w:r>
        <w:rPr>
          <w:rFonts w:hint="eastAsia" w:cs="宋体"/>
          <w:b/>
          <w:szCs w:val="21"/>
        </w:rPr>
        <w:t>5.投标费用</w:t>
      </w:r>
    </w:p>
    <w:p w14:paraId="56342CDE">
      <w:pPr>
        <w:pStyle w:val="23"/>
        <w:ind w:firstLine="420" w:firstLineChars="200"/>
        <w:rPr>
          <w:rFonts w:hint="eastAsia" w:cs="宋体"/>
          <w:szCs w:val="21"/>
        </w:rPr>
      </w:pPr>
      <w:r>
        <w:rPr>
          <w:rFonts w:hint="eastAsia" w:cs="宋体"/>
          <w:szCs w:val="21"/>
        </w:rPr>
        <w:t>5.1不论投标结果如何，投标人均应自行承担所有与准备和参加投标活动有关的全部费用。</w:t>
      </w:r>
    </w:p>
    <w:bookmarkEnd w:id="78"/>
    <w:p w14:paraId="5DE05D2D">
      <w:pPr>
        <w:ind w:firstLine="420" w:firstLineChars="200"/>
        <w:jc w:val="left"/>
        <w:rPr>
          <w:rFonts w:hint="eastAsia" w:cs="宋体"/>
          <w:b/>
          <w:szCs w:val="21"/>
        </w:rPr>
      </w:pPr>
      <w:r>
        <w:rPr>
          <w:rFonts w:cs="宋体"/>
          <w:b/>
          <w:szCs w:val="21"/>
        </w:rPr>
        <w:t>6.询问</w:t>
      </w:r>
    </w:p>
    <w:p w14:paraId="03637D10">
      <w:pPr>
        <w:pStyle w:val="23"/>
        <w:ind w:firstLine="420" w:firstLineChars="200"/>
        <w:rPr>
          <w:rFonts w:hint="eastAsia" w:cs="宋体"/>
          <w:szCs w:val="21"/>
        </w:rPr>
      </w:pPr>
      <w:r>
        <w:rPr>
          <w:rFonts w:cs="宋体"/>
          <w:szCs w:val="21"/>
        </w:rPr>
        <w:t>6.1投标人可向采购代理机构就招标文件的内容依法提出询问，采购代理机构将在收到询问后 3 个工作日内作出答复。</w:t>
      </w:r>
    </w:p>
    <w:p w14:paraId="1AC19001">
      <w:pPr>
        <w:ind w:firstLine="420" w:firstLineChars="200"/>
        <w:rPr>
          <w:rFonts w:hint="eastAsia" w:cs="宋体"/>
          <w:b/>
          <w:szCs w:val="21"/>
        </w:rPr>
      </w:pPr>
      <w:r>
        <w:rPr>
          <w:rFonts w:hint="eastAsia" w:cs="宋体"/>
          <w:b/>
          <w:szCs w:val="21"/>
        </w:rPr>
        <w:t>7.质疑</w:t>
      </w:r>
    </w:p>
    <w:p w14:paraId="0EBE2AE4">
      <w:pPr>
        <w:ind w:firstLine="420" w:firstLineChars="200"/>
        <w:rPr>
          <w:rFonts w:hint="eastAsia" w:cs="宋体"/>
          <w:color w:val="000000" w:themeColor="text1"/>
          <w:szCs w:val="21"/>
          <w14:textFill>
            <w14:solidFill>
              <w14:schemeClr w14:val="tx1"/>
            </w14:solidFill>
          </w14:textFill>
        </w:rPr>
      </w:pPr>
      <w:bookmarkStart w:id="79" w:name="_Toc321836357"/>
      <w:r>
        <w:rPr>
          <w:rFonts w:hint="eastAsia" w:cs="宋体"/>
          <w:color w:val="000000" w:themeColor="text1"/>
          <w:szCs w:val="21"/>
          <w14:textFill>
            <w14:solidFill>
              <w14:schemeClr w14:val="tx1"/>
            </w14:solidFill>
          </w14:textFill>
        </w:rPr>
        <w:t>7.1投标人认为招标文件、招标过程和中标结果使自己的权益受到损害的，应当在知道或者应知其权益受到损害之日起7个工作日内，以书面形式向采购代理机构或采购人提出质疑。质疑内容不得含有虚假、恶意成分。当事人对自己提出的主张，有责任提供证据，提出质疑时应同时提交相关证据材料和注明事实的确切来源且证据合法、真实、有效。采购人或采购代理机构应当在7个工作日内对投标人依法提出的质疑作出书面答复，但答复的内容不得涉及商业秘密。</w:t>
      </w:r>
    </w:p>
    <w:p w14:paraId="30802CF8">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7.2投标人应知其权益受到损害之日，是指：</w:t>
      </w:r>
    </w:p>
    <w:p w14:paraId="4049EC27">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w:t>
      </w:r>
      <w:r>
        <w:rPr>
          <w:rFonts w:hint="eastAsia" w:cs="宋体"/>
          <w:b/>
          <w:bCs/>
          <w:color w:val="000000" w:themeColor="text1"/>
          <w:szCs w:val="21"/>
          <w14:textFill>
            <w14:solidFill>
              <w14:schemeClr w14:val="tx1"/>
            </w14:solidFill>
          </w14:textFill>
        </w:rPr>
        <w:t>对可以质疑的采购文件提出质疑的，为投标人在“政采云电子交易平台”申请获取采购文件之日</w:t>
      </w:r>
      <w:r>
        <w:rPr>
          <w:rFonts w:hint="eastAsia" w:cs="宋体"/>
          <w:color w:val="000000" w:themeColor="text1"/>
          <w:szCs w:val="21"/>
          <w14:textFill>
            <w14:solidFill>
              <w14:schemeClr w14:val="tx1"/>
            </w14:solidFill>
          </w14:textFill>
        </w:rPr>
        <w:t>；</w:t>
      </w:r>
    </w:p>
    <w:p w14:paraId="6EF567A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（2）对采购过程提出质疑的，为各采购程序环节结束之日；</w:t>
      </w:r>
    </w:p>
    <w:p w14:paraId="5795BF64">
      <w:pPr>
        <w:ind w:firstLine="420" w:firstLineChars="200"/>
        <w:jc w:val="left"/>
        <w:rPr>
          <w:rFonts w:hint="eastAsia" w:cs="宋体"/>
          <w:color w:val="000000"/>
          <w:szCs w:val="21"/>
        </w:rPr>
      </w:pPr>
      <w:r>
        <w:rPr>
          <w:rFonts w:hint="eastAsia" w:cs="宋体"/>
          <w:color w:val="000000" w:themeColor="text1"/>
          <w:szCs w:val="21"/>
          <w14:textFill>
            <w14:solidFill>
              <w14:schemeClr w14:val="tx1"/>
            </w14:solidFill>
          </w14:textFill>
        </w:rPr>
        <w:t>（3）对中标结果提出质疑的，为中标结果公告期限届满之日。</w:t>
      </w:r>
      <w:r>
        <w:rPr>
          <w:rFonts w:hint="eastAsia" w:cs="宋体"/>
          <w:color w:val="000000"/>
          <w:szCs w:val="21"/>
        </w:rPr>
        <w:t>（中标结果公告发布之日起七个工作日内）</w:t>
      </w:r>
    </w:p>
    <w:p w14:paraId="26DC3DD1">
      <w:pPr>
        <w:ind w:firstLine="420" w:firstLineChars="200"/>
        <w:rPr>
          <w:rFonts w:hint="eastAsia" w:cs="宋体"/>
          <w:color w:val="000000"/>
          <w:szCs w:val="21"/>
        </w:rPr>
      </w:pPr>
      <w:r>
        <w:rPr>
          <w:rFonts w:hint="eastAsia" w:cs="宋体"/>
          <w:color w:val="000000"/>
          <w:szCs w:val="21"/>
        </w:rPr>
        <w:t>7.3投标人必须在法定质疑期内一次性提出针对同一采购程序环节的质疑，否则不予受理。</w:t>
      </w:r>
    </w:p>
    <w:p w14:paraId="6A3C3046">
      <w:pPr>
        <w:ind w:firstLine="420" w:firstLineChars="200"/>
        <w:rPr>
          <w:rFonts w:hint="eastAsia" w:cs="宋体"/>
          <w:color w:val="000000"/>
          <w:szCs w:val="21"/>
        </w:rPr>
      </w:pPr>
      <w:r>
        <w:rPr>
          <w:rFonts w:hint="eastAsia" w:cs="宋体"/>
          <w:color w:val="000000"/>
          <w:szCs w:val="21"/>
        </w:rPr>
        <w:t>7.4提出质疑的投标人应当是参与所质疑项目采购活动的投标人。</w:t>
      </w:r>
    </w:p>
    <w:p w14:paraId="2214D3DC">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u w:val="single"/>
          <w14:textFill>
            <w14:solidFill>
              <w14:schemeClr w14:val="tx1"/>
            </w14:solidFill>
          </w14:textFill>
        </w:rPr>
        <w:t>7.5投标人提出质疑应符合中华人民共和国财政部第94号令《政府采购质疑和投诉办法》的规定。提出质疑应当提交质疑函和必要的证明材料。质疑函应当包括下列内容：</w:t>
      </w:r>
    </w:p>
    <w:p w14:paraId="14105E04">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（一）投标人名称、地址、邮编、联系人及联系电话；</w:t>
      </w:r>
    </w:p>
    <w:p w14:paraId="52F370AE">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（二）质疑项目的名称、编号；</w:t>
      </w:r>
    </w:p>
    <w:p w14:paraId="6036AA0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（三）具体、明确的质疑事项和与质疑事项相关的请求；</w:t>
      </w:r>
    </w:p>
    <w:p w14:paraId="2C25170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（四）事实依据；</w:t>
      </w:r>
    </w:p>
    <w:p w14:paraId="25F1042B">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（五）必要的法律依据；</w:t>
      </w:r>
    </w:p>
    <w:p w14:paraId="2A39A7E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（六）提出质疑的日期。</w:t>
      </w:r>
    </w:p>
    <w:p w14:paraId="00EC4C27">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7.6</w:t>
      </w:r>
      <w:r>
        <w:rPr>
          <w:rFonts w:hint="eastAsia" w:cs="宋体"/>
          <w:color w:val="000000" w:themeColor="text1"/>
          <w:szCs w:val="21"/>
          <w14:textFill>
            <w14:solidFill>
              <w14:schemeClr w14:val="tx1"/>
            </w14:solidFill>
          </w14:textFill>
        </w:rPr>
        <w:t>质疑函应当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14:paraId="04321CD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接收质疑函的方式：以书面形式递交由法定代表人、主要负责人签字或者盖章，并加盖公章的质疑函原件和必要的证明材料；邮寄送达的以邮件交邮日期为准。</w:t>
      </w:r>
    </w:p>
    <w:p w14:paraId="1189C93E">
      <w:pPr>
        <w:ind w:firstLine="420" w:firstLineChars="200"/>
        <w:rPr>
          <w:rFonts w:hint="eastAsia" w:cs="宋体"/>
          <w:bCs/>
          <w:color w:val="000000"/>
          <w:szCs w:val="21"/>
        </w:rPr>
      </w:pPr>
      <w:r>
        <w:rPr>
          <w:rFonts w:hint="eastAsia" w:cs="宋体"/>
          <w:bCs/>
          <w:color w:val="000000"/>
          <w:szCs w:val="21"/>
        </w:rPr>
        <w:t>受理质疑部门：</w:t>
      </w:r>
    </w:p>
    <w:p w14:paraId="6DF9F9AA">
      <w:pPr>
        <w:ind w:firstLine="420" w:firstLineChars="200"/>
        <w:rPr>
          <w:rFonts w:hint="eastAsia" w:cs="宋体"/>
          <w:bCs/>
          <w:color w:val="000000"/>
          <w:szCs w:val="21"/>
        </w:rPr>
      </w:pPr>
      <w:r>
        <w:rPr>
          <w:rFonts w:hint="eastAsia" w:cs="宋体"/>
          <w:bCs/>
          <w:color w:val="000000"/>
          <w:szCs w:val="21"/>
        </w:rPr>
        <w:t xml:space="preserve">云南招标股份有限公司  </w:t>
      </w:r>
    </w:p>
    <w:p w14:paraId="29EBDACA">
      <w:pPr>
        <w:ind w:firstLine="420" w:firstLineChars="200"/>
        <w:rPr>
          <w:rFonts w:hint="eastAsia" w:cs="宋体"/>
          <w:bCs/>
          <w:color w:val="000000"/>
          <w:szCs w:val="21"/>
        </w:rPr>
      </w:pPr>
      <w:r>
        <w:rPr>
          <w:rFonts w:hint="eastAsia" w:cs="宋体"/>
          <w:bCs/>
          <w:color w:val="000000"/>
          <w:szCs w:val="21"/>
        </w:rPr>
        <w:t xml:space="preserve">通讯地址：云南省大理市创新工业园区天井社区云岭大道五台路8号（云南招标股份有限公司大理分公司） </w:t>
      </w:r>
    </w:p>
    <w:p w14:paraId="58352FF4">
      <w:pPr>
        <w:ind w:firstLine="420" w:firstLineChars="200"/>
        <w:rPr>
          <w:rFonts w:hint="eastAsia" w:cs="宋体"/>
          <w:bCs/>
          <w:color w:val="000000"/>
          <w:szCs w:val="21"/>
        </w:rPr>
      </w:pPr>
      <w:r>
        <w:rPr>
          <w:rFonts w:hint="eastAsia" w:cs="宋体"/>
          <w:bCs/>
          <w:color w:val="000000"/>
          <w:szCs w:val="21"/>
        </w:rPr>
        <w:t>邮编：671000</w:t>
      </w:r>
    </w:p>
    <w:p w14:paraId="0B7D82CE">
      <w:pPr>
        <w:ind w:firstLine="420" w:firstLineChars="200"/>
        <w:rPr>
          <w:rFonts w:hint="eastAsia" w:cs="宋体"/>
          <w:bCs/>
          <w:color w:val="000000"/>
          <w:szCs w:val="21"/>
        </w:rPr>
      </w:pPr>
      <w:r>
        <w:rPr>
          <w:rFonts w:hint="eastAsia" w:cs="宋体"/>
          <w:color w:val="000000"/>
          <w:szCs w:val="21"/>
        </w:rPr>
        <w:t>联系人：谭思思、臧敏、邵航军、师继承、郑艳</w:t>
      </w:r>
    </w:p>
    <w:p w14:paraId="690FC02C">
      <w:pPr>
        <w:ind w:firstLine="420" w:firstLineChars="200"/>
        <w:rPr>
          <w:rFonts w:hint="eastAsia" w:cs="宋体"/>
          <w:color w:val="000000"/>
          <w:szCs w:val="21"/>
        </w:rPr>
      </w:pPr>
      <w:r>
        <w:rPr>
          <w:rFonts w:hint="eastAsia" w:cs="宋体"/>
          <w:color w:val="000000"/>
          <w:szCs w:val="21"/>
        </w:rPr>
        <w:t>联系方式：0872-2312160（大理分公司）</w:t>
      </w:r>
    </w:p>
    <w:p w14:paraId="1C4C3FB0">
      <w:pPr>
        <w:ind w:firstLine="420" w:firstLineChars="200"/>
        <w:rPr>
          <w:rFonts w:hint="eastAsia"/>
          <w:b/>
          <w:bCs/>
          <w:color w:val="000000"/>
          <w:szCs w:val="21"/>
        </w:rPr>
      </w:pPr>
      <w:r>
        <w:rPr>
          <w:b/>
          <w:bCs/>
          <w:color w:val="000000"/>
          <w:szCs w:val="21"/>
        </w:rPr>
        <w:t>7.</w:t>
      </w:r>
      <w:r>
        <w:rPr>
          <w:rFonts w:hint="eastAsia"/>
          <w:b/>
          <w:bCs/>
          <w:color w:val="000000"/>
          <w:szCs w:val="21"/>
        </w:rPr>
        <w:t>7</w:t>
      </w:r>
      <w:r>
        <w:rPr>
          <w:b/>
          <w:bCs/>
          <w:color w:val="000000"/>
          <w:szCs w:val="21"/>
        </w:rPr>
        <w:t>有下列情形之一的，属于无效质疑，采购代理机构可不予受理：</w:t>
      </w:r>
    </w:p>
    <w:p w14:paraId="34340566">
      <w:pPr>
        <w:ind w:firstLine="420" w:firstLineChars="200"/>
        <w:rPr>
          <w:rFonts w:hint="eastAsia"/>
          <w:color w:val="000000"/>
          <w:szCs w:val="21"/>
        </w:rPr>
      </w:pPr>
      <w:r>
        <w:rPr>
          <w:color w:val="000000"/>
          <w:szCs w:val="21"/>
        </w:rPr>
        <w:t>（1）质疑主体不满足规定的；</w:t>
      </w:r>
    </w:p>
    <w:p w14:paraId="4ABFF850">
      <w:pPr>
        <w:ind w:firstLine="420" w:firstLineChars="200"/>
        <w:rPr>
          <w:rFonts w:hint="eastAsia"/>
          <w:color w:val="000000"/>
          <w:szCs w:val="21"/>
        </w:rPr>
      </w:pPr>
      <w:r>
        <w:rPr>
          <w:color w:val="000000"/>
          <w:szCs w:val="21"/>
        </w:rPr>
        <w:t>（2）供应商自身合法权益未受到损害的；</w:t>
      </w:r>
    </w:p>
    <w:p w14:paraId="41A6023C">
      <w:pPr>
        <w:ind w:firstLine="420" w:firstLineChars="200"/>
        <w:rPr>
          <w:rFonts w:hint="eastAsia"/>
          <w:color w:val="000000"/>
          <w:szCs w:val="21"/>
        </w:rPr>
      </w:pPr>
      <w:r>
        <w:rPr>
          <w:color w:val="000000"/>
          <w:szCs w:val="21"/>
        </w:rPr>
        <w:t>（3）供应商超过法定质疑期提出质疑的；</w:t>
      </w:r>
    </w:p>
    <w:p w14:paraId="18B0843A">
      <w:pPr>
        <w:ind w:firstLine="420" w:firstLineChars="200"/>
        <w:rPr>
          <w:rFonts w:hint="eastAsia"/>
          <w:color w:val="000000"/>
          <w:szCs w:val="21"/>
        </w:rPr>
      </w:pPr>
      <w:r>
        <w:rPr>
          <w:color w:val="000000"/>
          <w:szCs w:val="21"/>
        </w:rPr>
        <w:t>（4）质疑函未按要求签署或盖章的；</w:t>
      </w:r>
    </w:p>
    <w:p w14:paraId="46CD6309">
      <w:pPr>
        <w:ind w:firstLine="420" w:firstLineChars="200"/>
        <w:rPr>
          <w:rFonts w:hint="eastAsia"/>
          <w:color w:val="000000"/>
          <w:szCs w:val="21"/>
        </w:rPr>
      </w:pPr>
      <w:r>
        <w:rPr>
          <w:color w:val="000000"/>
          <w:szCs w:val="21"/>
        </w:rPr>
        <w:t>（5）其它不符合受理条件情形的。</w:t>
      </w:r>
    </w:p>
    <w:p w14:paraId="505D326D">
      <w:pPr>
        <w:ind w:firstLine="420" w:firstLineChars="200"/>
        <w:jc w:val="left"/>
        <w:rPr>
          <w:rFonts w:hint="eastAsia" w:cs="宋体"/>
          <w:bCs/>
          <w:szCs w:val="21"/>
        </w:rPr>
      </w:pPr>
      <w:r>
        <w:rPr>
          <w:rFonts w:hint="eastAsia" w:cs="宋体"/>
          <w:b/>
          <w:bCs/>
          <w:color w:val="000000" w:themeColor="text1"/>
          <w:szCs w:val="21"/>
          <w14:textFill>
            <w14:solidFill>
              <w14:schemeClr w14:val="tx1"/>
            </w14:solidFill>
          </w14:textFill>
        </w:rPr>
        <w:t>7.8</w:t>
      </w:r>
      <w:r>
        <w:rPr>
          <w:rFonts w:hint="eastAsia" w:cs="宋体"/>
          <w:color w:val="000000" w:themeColor="text1"/>
          <w:szCs w:val="21"/>
          <w14:textFill>
            <w14:solidFill>
              <w14:schemeClr w14:val="tx1"/>
            </w14:solidFill>
          </w14:textFill>
        </w:rPr>
        <w:t>采购代理机构将在收到投标人的质疑函后7个工作日内作出答复，并以书面形式通知质疑投标人和其他有关投标人。</w:t>
      </w:r>
    </w:p>
    <w:p w14:paraId="2264577E">
      <w:pPr>
        <w:ind w:firstLine="420" w:firstLineChars="200"/>
        <w:rPr>
          <w:rFonts w:hint="eastAsia" w:cs="宋体"/>
          <w:b/>
          <w:szCs w:val="21"/>
        </w:rPr>
      </w:pPr>
      <w:r>
        <w:rPr>
          <w:rFonts w:hint="eastAsia" w:cs="宋体"/>
          <w:b/>
          <w:szCs w:val="21"/>
        </w:rPr>
        <w:t>8.投诉</w:t>
      </w:r>
      <w:bookmarkEnd w:id="79"/>
    </w:p>
    <w:p w14:paraId="56342CF3">
      <w:pPr>
        <w:pStyle w:val="23"/>
        <w:ind w:firstLine="420" w:firstLineChars="200"/>
        <w:rPr>
          <w:rFonts w:hint="eastAsia" w:cs="宋体"/>
          <w:szCs w:val="21"/>
        </w:rPr>
      </w:pPr>
      <w:r>
        <w:rPr>
          <w:rFonts w:hint="eastAsia" w:cs="宋体"/>
          <w:szCs w:val="21"/>
        </w:rPr>
        <w:t>8.1投诉必须首先经过质疑程序。质疑人对采购人、采购代理机构的答复不满意，或者采购人、采购代理机构未在规定的时间内做出答复的，可以在答复期满后15个工作日内书面向同级财政部门提出投诉。</w:t>
      </w:r>
    </w:p>
    <w:p w14:paraId="56342CF4">
      <w:pPr>
        <w:pStyle w:val="4"/>
        <w:numPr>
          <w:ilvl w:val="1"/>
          <w:numId w:val="0"/>
        </w:numPr>
        <w:spacing w:before="0"/>
        <w:jc w:val="center"/>
        <w:rPr>
          <w:rFonts w:hint="eastAsia" w:eastAsia="宋体" w:cs="宋体"/>
          <w:szCs w:val="28"/>
        </w:rPr>
      </w:pPr>
      <w:bookmarkStart w:id="80" w:name="_Toc27934"/>
      <w:bookmarkStart w:id="81" w:name="_Toc216368753"/>
      <w:bookmarkStart w:id="82" w:name="_Toc3941"/>
      <w:bookmarkStart w:id="83" w:name="_Toc491076989"/>
      <w:bookmarkStart w:id="84" w:name="_Toc14159"/>
      <w:r>
        <w:rPr>
          <w:rFonts w:hint="eastAsia" w:eastAsia="宋体" w:cs="宋体"/>
          <w:szCs w:val="28"/>
        </w:rPr>
        <w:t>二、招标文件</w:t>
      </w:r>
      <w:bookmarkEnd w:id="80"/>
      <w:bookmarkEnd w:id="81"/>
      <w:bookmarkEnd w:id="82"/>
      <w:bookmarkEnd w:id="83"/>
      <w:bookmarkEnd w:id="84"/>
    </w:p>
    <w:p w14:paraId="56342CF5">
      <w:pPr>
        <w:pStyle w:val="23"/>
        <w:ind w:firstLine="420" w:firstLineChars="200"/>
        <w:rPr>
          <w:rFonts w:hint="eastAsia" w:cs="宋体"/>
          <w:b/>
          <w:bCs/>
          <w:szCs w:val="21"/>
        </w:rPr>
      </w:pPr>
      <w:r>
        <w:rPr>
          <w:rFonts w:hint="eastAsia" w:cs="宋体"/>
          <w:b/>
          <w:bCs/>
          <w:szCs w:val="21"/>
        </w:rPr>
        <w:t>9.招标文件构成</w:t>
      </w:r>
    </w:p>
    <w:p w14:paraId="56342CF6">
      <w:pPr>
        <w:ind w:firstLine="420" w:firstLineChars="200"/>
        <w:jc w:val="left"/>
        <w:rPr>
          <w:rFonts w:hint="eastAsia" w:cs="宋体"/>
          <w:szCs w:val="21"/>
        </w:rPr>
      </w:pPr>
      <w:r>
        <w:rPr>
          <w:rFonts w:hint="eastAsia" w:cs="宋体"/>
          <w:szCs w:val="21"/>
        </w:rPr>
        <w:t>9.1要求提供的货物、采购过程及合同条款在招标文件中均有说明，招标文件共七章，各章的内容如下：</w:t>
      </w:r>
    </w:p>
    <w:p w14:paraId="56342CF7">
      <w:pPr>
        <w:ind w:firstLine="420" w:firstLineChars="200"/>
        <w:jc w:val="left"/>
        <w:rPr>
          <w:rFonts w:hint="eastAsia" w:cs="宋体"/>
          <w:szCs w:val="21"/>
        </w:rPr>
      </w:pPr>
      <w:r>
        <w:rPr>
          <w:rFonts w:hint="eastAsia" w:cs="宋体"/>
          <w:szCs w:val="21"/>
        </w:rPr>
        <w:t>第一章  招标公告</w:t>
      </w:r>
    </w:p>
    <w:p w14:paraId="56342CF8">
      <w:pPr>
        <w:ind w:firstLine="420" w:firstLineChars="200"/>
        <w:jc w:val="left"/>
        <w:rPr>
          <w:rFonts w:hint="eastAsia" w:cs="宋体"/>
          <w:szCs w:val="21"/>
        </w:rPr>
      </w:pPr>
      <w:r>
        <w:rPr>
          <w:rFonts w:hint="eastAsia" w:cs="宋体"/>
          <w:szCs w:val="21"/>
        </w:rPr>
        <w:t>第二章  投标人须知</w:t>
      </w:r>
    </w:p>
    <w:p w14:paraId="56342CF9">
      <w:pPr>
        <w:ind w:firstLine="420" w:firstLineChars="200"/>
        <w:jc w:val="left"/>
        <w:rPr>
          <w:rFonts w:hint="eastAsia" w:cs="宋体"/>
          <w:szCs w:val="21"/>
        </w:rPr>
      </w:pPr>
      <w:r>
        <w:rPr>
          <w:rFonts w:hint="eastAsia" w:cs="宋体"/>
          <w:szCs w:val="21"/>
        </w:rPr>
        <w:t>第三章  合同书样式及主要条款</w:t>
      </w:r>
    </w:p>
    <w:p w14:paraId="56342CFA">
      <w:pPr>
        <w:ind w:firstLine="420" w:firstLineChars="200"/>
        <w:jc w:val="left"/>
        <w:rPr>
          <w:rFonts w:hint="eastAsia" w:cs="宋体"/>
          <w:szCs w:val="21"/>
        </w:rPr>
      </w:pPr>
      <w:r>
        <w:rPr>
          <w:rFonts w:hint="eastAsia" w:cs="宋体"/>
          <w:szCs w:val="21"/>
        </w:rPr>
        <w:t>第四章  投标文件格式</w:t>
      </w:r>
    </w:p>
    <w:p w14:paraId="56342CFB">
      <w:pPr>
        <w:ind w:firstLine="420" w:firstLineChars="200"/>
        <w:jc w:val="left"/>
        <w:rPr>
          <w:rFonts w:hint="eastAsia" w:cs="宋体"/>
          <w:szCs w:val="21"/>
        </w:rPr>
      </w:pPr>
      <w:r>
        <w:rPr>
          <w:rFonts w:hint="eastAsia" w:cs="宋体"/>
          <w:szCs w:val="21"/>
        </w:rPr>
        <w:t>第五章  货物需求及技术要求</w:t>
      </w:r>
    </w:p>
    <w:p w14:paraId="56342CFC">
      <w:pPr>
        <w:ind w:firstLine="420" w:firstLineChars="200"/>
        <w:jc w:val="left"/>
        <w:rPr>
          <w:rFonts w:hint="eastAsia" w:cs="宋体"/>
          <w:szCs w:val="21"/>
        </w:rPr>
      </w:pPr>
      <w:r>
        <w:rPr>
          <w:rFonts w:hint="eastAsia" w:cs="宋体"/>
          <w:szCs w:val="21"/>
        </w:rPr>
        <w:t>第六章  资格评审标准</w:t>
      </w:r>
    </w:p>
    <w:p w14:paraId="56342CFD">
      <w:pPr>
        <w:ind w:firstLine="420" w:firstLineChars="200"/>
        <w:jc w:val="left"/>
        <w:rPr>
          <w:rFonts w:hint="eastAsia" w:cs="宋体"/>
          <w:szCs w:val="21"/>
        </w:rPr>
      </w:pPr>
      <w:r>
        <w:rPr>
          <w:rFonts w:hint="eastAsia" w:cs="宋体"/>
          <w:szCs w:val="21"/>
        </w:rPr>
        <w:t>第七章  评标办法</w:t>
      </w:r>
    </w:p>
    <w:p w14:paraId="56342CFE">
      <w:pPr>
        <w:pStyle w:val="23"/>
        <w:ind w:firstLine="420" w:firstLineChars="200"/>
        <w:rPr>
          <w:rFonts w:hint="eastAsia" w:cs="宋体"/>
          <w:b/>
          <w:bCs/>
          <w:szCs w:val="21"/>
        </w:rPr>
      </w:pPr>
      <w:r>
        <w:rPr>
          <w:rFonts w:hint="eastAsia" w:cs="宋体"/>
          <w:b/>
          <w:bCs/>
          <w:szCs w:val="21"/>
        </w:rPr>
        <w:t>10.招标文件的澄清</w:t>
      </w:r>
    </w:p>
    <w:p w14:paraId="59054FAD">
      <w:pPr>
        <w:ind w:firstLine="420" w:firstLineChars="200"/>
        <w:jc w:val="left"/>
        <w:rPr>
          <w:rFonts w:hint="eastAsia" w:cs="宋体"/>
          <w:szCs w:val="21"/>
        </w:rPr>
      </w:pPr>
      <w:r>
        <w:rPr>
          <w:rFonts w:hint="eastAsia" w:cs="宋体"/>
          <w:szCs w:val="21"/>
        </w:rPr>
        <w:t>10.1</w:t>
      </w:r>
      <w:r>
        <w:rPr>
          <w:rFonts w:hint="eastAsia"/>
          <w:szCs w:val="21"/>
        </w:rPr>
        <w:t>投标人应认真核查招标文件，如有疑问的，投标人可以在投标截止时间前，凭企业数字证书（CA）登录“政采云”平台，以在线形式要求采购代理机构澄清，截止时间后送达的澄清要求概不接受。</w:t>
      </w:r>
    </w:p>
    <w:p w14:paraId="56342D00">
      <w:pPr>
        <w:ind w:firstLine="420" w:firstLineChars="200"/>
        <w:jc w:val="left"/>
        <w:rPr>
          <w:rFonts w:hint="eastAsia" w:cs="宋体"/>
          <w:szCs w:val="21"/>
        </w:rPr>
      </w:pPr>
      <w:r>
        <w:rPr>
          <w:rFonts w:hint="eastAsia" w:cs="宋体"/>
          <w:szCs w:val="21"/>
        </w:rPr>
        <w:t>10.2采购代理机构将以书面形式答复所有获取招标文件的投标人（答复中不包含问题的来源）要求澄清的问题，其他澄清方式为无效。</w:t>
      </w:r>
    </w:p>
    <w:p w14:paraId="56342D01">
      <w:pPr>
        <w:ind w:firstLine="420" w:firstLineChars="200"/>
        <w:jc w:val="left"/>
        <w:rPr>
          <w:rFonts w:hint="eastAsia" w:cs="宋体"/>
          <w:b/>
          <w:bCs/>
          <w:szCs w:val="21"/>
        </w:rPr>
      </w:pPr>
      <w:r>
        <w:rPr>
          <w:rFonts w:hint="eastAsia" w:cs="宋体"/>
          <w:b/>
          <w:bCs/>
          <w:szCs w:val="21"/>
        </w:rPr>
        <w:t>11.招标文件的澄清或者修改</w:t>
      </w:r>
    </w:p>
    <w:p w14:paraId="07EE6996">
      <w:pPr>
        <w:ind w:firstLine="420" w:firstLineChars="200"/>
        <w:jc w:val="left"/>
        <w:rPr>
          <w:rFonts w:hint="eastAsia" w:cs="宋体"/>
          <w:szCs w:val="21"/>
        </w:rPr>
      </w:pPr>
      <w:bookmarkStart w:id="85" w:name="_Toc491076990"/>
      <w:r>
        <w:rPr>
          <w:rFonts w:hint="eastAsia" w:cs="宋体"/>
          <w:szCs w:val="21"/>
        </w:rPr>
        <w:t>11.1采购代理机构对已发出的招标文件进行必要澄清或者修改的，于招标文件要求提交投标文件截止时间15日前，在财政部门指定的政府采购信息发布媒体上发布更正公告。</w:t>
      </w:r>
    </w:p>
    <w:p w14:paraId="73799B49">
      <w:pPr>
        <w:ind w:firstLine="420" w:firstLineChars="200"/>
        <w:jc w:val="left"/>
        <w:rPr>
          <w:rFonts w:hint="eastAsia" w:cs="宋体"/>
          <w:bCs/>
          <w:szCs w:val="21"/>
        </w:rPr>
      </w:pPr>
      <w:r>
        <w:rPr>
          <w:rFonts w:hint="eastAsia" w:cs="宋体"/>
          <w:szCs w:val="21"/>
        </w:rPr>
        <w:t>11.2</w:t>
      </w:r>
      <w:r>
        <w:rPr>
          <w:rFonts w:hint="eastAsia" w:cs="宋体"/>
          <w:bCs/>
          <w:szCs w:val="21"/>
        </w:rPr>
        <w:t>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的组成部分。</w:t>
      </w:r>
    </w:p>
    <w:p w14:paraId="60554388">
      <w:pPr>
        <w:ind w:firstLine="420" w:firstLineChars="200"/>
        <w:jc w:val="left"/>
        <w:rPr>
          <w:rFonts w:hint="eastAsia" w:cs="宋体"/>
          <w:szCs w:val="21"/>
        </w:rPr>
      </w:pPr>
      <w:r>
        <w:rPr>
          <w:rFonts w:hint="eastAsia" w:cs="宋体"/>
          <w:bCs/>
          <w:szCs w:val="21"/>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420CA068">
      <w:pPr>
        <w:ind w:firstLine="420" w:firstLineChars="200"/>
        <w:jc w:val="left"/>
        <w:rPr>
          <w:rFonts w:hint="eastAsia" w:cs="宋体"/>
          <w:szCs w:val="21"/>
        </w:rPr>
      </w:pPr>
      <w:r>
        <w:rPr>
          <w:rFonts w:hint="eastAsia" w:cs="宋体"/>
          <w:szCs w:val="21"/>
        </w:rPr>
        <w:t>11.3</w:t>
      </w:r>
      <w:r>
        <w:rPr>
          <w:rFonts w:hint="eastAsia"/>
          <w:szCs w:val="21"/>
        </w:rPr>
        <w:t>采购人对采购文件中的涉及评标办法、评审项目等重要评审内容做出变更，将同时发布补遗文件进行说明以保证各投标人都能重新下载并用于编制电子投标文件</w:t>
      </w:r>
      <w:r>
        <w:rPr>
          <w:rFonts w:hint="eastAsia" w:cs="宋体"/>
          <w:szCs w:val="21"/>
        </w:rPr>
        <w:t>。</w:t>
      </w:r>
    </w:p>
    <w:p w14:paraId="7972941D">
      <w:pPr>
        <w:ind w:firstLine="420" w:firstLineChars="200"/>
        <w:jc w:val="left"/>
        <w:rPr>
          <w:rFonts w:hint="eastAsia" w:cs="宋体"/>
          <w:szCs w:val="21"/>
        </w:rPr>
      </w:pPr>
      <w:r>
        <w:rPr>
          <w:rFonts w:hint="eastAsia" w:cs="宋体"/>
          <w:szCs w:val="21"/>
        </w:rPr>
        <w:t>11.4</w:t>
      </w:r>
      <w:r>
        <w:rPr>
          <w:rFonts w:hint="eastAsia"/>
          <w:szCs w:val="21"/>
        </w:rPr>
        <w:t>投标人应在投标截止时间前及时登录政府采购云平台（https://www.zcygov.cn/）中查看有关招标文件的答疑、补遗内容。否则，后果自负</w:t>
      </w:r>
      <w:r>
        <w:rPr>
          <w:rFonts w:hint="eastAsia" w:cs="宋体"/>
          <w:szCs w:val="21"/>
        </w:rPr>
        <w:t>。</w:t>
      </w:r>
    </w:p>
    <w:p w14:paraId="56342D06">
      <w:pPr>
        <w:ind w:firstLine="420" w:firstLineChars="200"/>
        <w:jc w:val="left"/>
        <w:rPr>
          <w:rFonts w:hint="eastAsia" w:cs="宋体"/>
          <w:szCs w:val="21"/>
        </w:rPr>
      </w:pPr>
      <w:r>
        <w:rPr>
          <w:rFonts w:hint="eastAsia" w:cs="宋体"/>
          <w:szCs w:val="21"/>
        </w:rPr>
        <w:t>11.5招标文件澄清、招标文件修改文件内容均以网上电子文件为准，当招标文件、招标文件澄清、招标文件修改文件内容后前相互矛盾时，以最后发出的为准。</w:t>
      </w:r>
    </w:p>
    <w:p w14:paraId="56342D07">
      <w:pPr>
        <w:pStyle w:val="4"/>
        <w:numPr>
          <w:ilvl w:val="1"/>
          <w:numId w:val="0"/>
        </w:numPr>
        <w:spacing w:before="0"/>
        <w:jc w:val="center"/>
        <w:rPr>
          <w:rFonts w:hint="eastAsia" w:eastAsia="宋体" w:cs="宋体"/>
          <w:szCs w:val="28"/>
        </w:rPr>
      </w:pPr>
      <w:bookmarkStart w:id="86" w:name="_Toc4438"/>
      <w:bookmarkStart w:id="87" w:name="_Toc11469"/>
      <w:bookmarkStart w:id="88" w:name="_Toc216368754"/>
      <w:bookmarkStart w:id="89" w:name="_Toc15969"/>
      <w:r>
        <w:rPr>
          <w:rFonts w:hint="eastAsia" w:eastAsia="宋体" w:cs="宋体"/>
          <w:szCs w:val="28"/>
        </w:rPr>
        <w:t>三、投标文件</w:t>
      </w:r>
      <w:bookmarkEnd w:id="85"/>
      <w:bookmarkEnd w:id="86"/>
      <w:bookmarkEnd w:id="87"/>
      <w:bookmarkEnd w:id="88"/>
      <w:bookmarkEnd w:id="89"/>
    </w:p>
    <w:p w14:paraId="56342D08">
      <w:pPr>
        <w:ind w:firstLine="420" w:firstLineChars="200"/>
        <w:jc w:val="left"/>
        <w:rPr>
          <w:rFonts w:hint="eastAsia" w:cs="宋体"/>
          <w:b/>
          <w:szCs w:val="21"/>
        </w:rPr>
      </w:pPr>
      <w:r>
        <w:rPr>
          <w:rFonts w:hint="eastAsia" w:cs="宋体"/>
          <w:b/>
          <w:szCs w:val="21"/>
        </w:rPr>
        <w:t>12.投标文件编写注意事项</w:t>
      </w:r>
    </w:p>
    <w:p w14:paraId="56342D09">
      <w:pPr>
        <w:ind w:firstLine="420" w:firstLineChars="200"/>
        <w:jc w:val="left"/>
        <w:rPr>
          <w:rFonts w:hint="eastAsia" w:cs="宋体"/>
          <w:szCs w:val="21"/>
        </w:rPr>
      </w:pPr>
      <w:r>
        <w:rPr>
          <w:rFonts w:hint="eastAsia" w:cs="宋体"/>
          <w:szCs w:val="21"/>
        </w:rPr>
        <w:t>12.1投标人应仔细阅读招标文件，在完全了解采购的内容、技术性能要求(详见</w:t>
      </w:r>
      <w:r>
        <w:rPr>
          <w:rFonts w:hint="eastAsia" w:cs="宋体"/>
          <w:bCs/>
          <w:szCs w:val="21"/>
        </w:rPr>
        <w:t>第五章《货物需求及技术要求》</w:t>
      </w:r>
      <w:r>
        <w:rPr>
          <w:rFonts w:hint="eastAsia" w:cs="宋体"/>
          <w:szCs w:val="21"/>
        </w:rPr>
        <w:t>)和商务条件后，编写投标文件。</w:t>
      </w:r>
      <w:r>
        <w:rPr>
          <w:rFonts w:hint="eastAsia" w:cs="宋体"/>
          <w:b/>
          <w:bCs/>
          <w:szCs w:val="21"/>
        </w:rPr>
        <w:t>招标文件中标注★号的条款为实质性要求和条件，投标文件必须响应招标文件的实质性要求和条件，不满足任何一条将导致投标无效。</w:t>
      </w:r>
    </w:p>
    <w:p w14:paraId="56342D0A">
      <w:pPr>
        <w:ind w:firstLine="420" w:firstLineChars="200"/>
        <w:jc w:val="left"/>
        <w:rPr>
          <w:rFonts w:hint="eastAsia" w:cs="宋体"/>
          <w:szCs w:val="21"/>
        </w:rPr>
      </w:pPr>
      <w:r>
        <w:rPr>
          <w:rFonts w:hint="eastAsia" w:cs="宋体"/>
          <w:szCs w:val="21"/>
        </w:rPr>
        <w:t>12.2对招标文件提出的实质性要求和条件作出响应是指：投标人必须对招标文件中的实质性要求和条件的内容作出满足或者优于原要求和条件的承诺，并提供相应的材料。</w:t>
      </w:r>
    </w:p>
    <w:p w14:paraId="56342D0B">
      <w:pPr>
        <w:ind w:firstLine="420" w:firstLineChars="200"/>
        <w:jc w:val="left"/>
        <w:rPr>
          <w:rFonts w:hint="eastAsia" w:cs="宋体"/>
          <w:b/>
          <w:szCs w:val="21"/>
        </w:rPr>
      </w:pPr>
      <w:r>
        <w:rPr>
          <w:rFonts w:hint="eastAsia" w:cs="宋体"/>
          <w:b/>
          <w:szCs w:val="21"/>
        </w:rPr>
        <w:t>13.投标的语言及计量单位</w:t>
      </w:r>
    </w:p>
    <w:p w14:paraId="56342D0C">
      <w:pPr>
        <w:ind w:firstLine="420" w:firstLineChars="200"/>
        <w:jc w:val="left"/>
        <w:rPr>
          <w:rFonts w:hint="eastAsia" w:cs="宋体"/>
          <w:szCs w:val="21"/>
        </w:rPr>
      </w:pPr>
      <w:r>
        <w:rPr>
          <w:rFonts w:hint="eastAsia" w:cs="宋体"/>
          <w:szCs w:val="21"/>
        </w:rPr>
        <w:t>13.1投标人的投标文件以及投标人与采购代理机构就有关投标的所有来往函电统一使用中文（特别规定除外）。</w:t>
      </w:r>
    </w:p>
    <w:p w14:paraId="56342D0D">
      <w:pPr>
        <w:ind w:firstLine="420" w:firstLineChars="200"/>
        <w:jc w:val="left"/>
        <w:rPr>
          <w:rFonts w:hint="eastAsia" w:cs="宋体"/>
          <w:szCs w:val="21"/>
        </w:rPr>
      </w:pPr>
      <w:r>
        <w:rPr>
          <w:rFonts w:hint="eastAsia" w:cs="宋体"/>
          <w:szCs w:val="21"/>
        </w:rPr>
        <w:t>13.2投标文件中使用的计量单位除招标文件中有特殊规定外，一律使用中国法定计量单位。</w:t>
      </w:r>
    </w:p>
    <w:p w14:paraId="56342D0E">
      <w:pPr>
        <w:ind w:firstLine="420" w:firstLineChars="200"/>
        <w:jc w:val="left"/>
        <w:rPr>
          <w:rFonts w:hint="eastAsia" w:cs="宋体"/>
          <w:b/>
          <w:szCs w:val="21"/>
        </w:rPr>
      </w:pPr>
      <w:r>
        <w:rPr>
          <w:rFonts w:hint="eastAsia" w:cs="宋体"/>
          <w:b/>
          <w:szCs w:val="21"/>
        </w:rPr>
        <w:t>14.投标文件构成</w:t>
      </w:r>
    </w:p>
    <w:p w14:paraId="56342D0F">
      <w:pPr>
        <w:ind w:firstLine="420" w:firstLineChars="200"/>
        <w:jc w:val="left"/>
        <w:rPr>
          <w:rFonts w:hint="eastAsia" w:cs="宋体"/>
          <w:szCs w:val="21"/>
        </w:rPr>
      </w:pPr>
      <w:r>
        <w:rPr>
          <w:rFonts w:hint="eastAsia" w:cs="宋体"/>
          <w:szCs w:val="21"/>
        </w:rPr>
        <w:t>14.1投标人编写的投标文件应由下列部分构成，并按第四章“投标文件格式”要求填写。有关文件的提交如未特别注明需提供原件的，可提供复印件/扫描件。</w:t>
      </w:r>
    </w:p>
    <w:p w14:paraId="2DD275B8">
      <w:pPr>
        <w:pStyle w:val="363"/>
        <w:ind w:firstLine="420" w:firstLineChars="200"/>
        <w:rPr>
          <w:rFonts w:hint="eastAsia"/>
          <w:szCs w:val="21"/>
        </w:rPr>
      </w:pPr>
      <w:r>
        <w:rPr>
          <w:rFonts w:hint="eastAsia"/>
        </w:rPr>
        <w:t>14.1.1</w:t>
      </w:r>
      <w:r>
        <w:rPr>
          <w:rFonts w:hint="eastAsia"/>
          <w:szCs w:val="21"/>
        </w:rPr>
        <w:t>构成投标文件技术部分的其他资料：详见</w:t>
      </w:r>
      <w:r>
        <w:rPr>
          <w:rFonts w:hint="eastAsia"/>
          <w:b/>
          <w:bCs w:val="0"/>
          <w:szCs w:val="21"/>
        </w:rPr>
        <w:t>“投标人须知前附表”</w:t>
      </w:r>
      <w:r>
        <w:rPr>
          <w:rFonts w:hint="eastAsia"/>
          <w:szCs w:val="21"/>
        </w:rPr>
        <w:t>要求。</w:t>
      </w:r>
    </w:p>
    <w:p w14:paraId="34CA1FDD">
      <w:pPr>
        <w:pStyle w:val="363"/>
        <w:ind w:firstLine="420" w:firstLineChars="200"/>
        <w:rPr>
          <w:rFonts w:hint="eastAsia"/>
        </w:rPr>
      </w:pPr>
      <w:r>
        <w:rPr>
          <w:rFonts w:hint="eastAsia"/>
          <w:szCs w:val="21"/>
        </w:rPr>
        <w:t>14.1.2构成投标文件商务部分的其他资料：详见</w:t>
      </w:r>
      <w:r>
        <w:rPr>
          <w:rFonts w:hint="eastAsia"/>
          <w:b/>
          <w:bCs w:val="0"/>
          <w:szCs w:val="21"/>
        </w:rPr>
        <w:t>“投标人须知前附表”</w:t>
      </w:r>
      <w:r>
        <w:rPr>
          <w:rFonts w:hint="eastAsia"/>
          <w:szCs w:val="21"/>
        </w:rPr>
        <w:t>要求。</w:t>
      </w:r>
    </w:p>
    <w:p w14:paraId="56342D1D">
      <w:pPr>
        <w:ind w:firstLine="420" w:firstLineChars="200"/>
        <w:jc w:val="left"/>
        <w:rPr>
          <w:rFonts w:hint="eastAsia" w:cs="宋体"/>
          <w:szCs w:val="21"/>
        </w:rPr>
      </w:pPr>
      <w:r>
        <w:rPr>
          <w:rFonts w:hint="eastAsia" w:cs="宋体"/>
          <w:szCs w:val="21"/>
        </w:rPr>
        <w:t>14.2投标人同时投多个标段</w:t>
      </w:r>
      <w:r>
        <w:rPr>
          <w:rFonts w:hint="eastAsia" w:cs="宋体"/>
          <w:b/>
          <w:bCs/>
          <w:szCs w:val="21"/>
        </w:rPr>
        <w:t>（若分标段时）</w:t>
      </w:r>
      <w:r>
        <w:rPr>
          <w:rFonts w:hint="eastAsia" w:cs="宋体"/>
          <w:szCs w:val="21"/>
        </w:rPr>
        <w:t>的，投标文件应按标段分别编制，并按标段单独递交。</w:t>
      </w:r>
    </w:p>
    <w:p w14:paraId="56342D1E">
      <w:pPr>
        <w:ind w:firstLine="420" w:firstLineChars="200"/>
        <w:jc w:val="left"/>
        <w:rPr>
          <w:rFonts w:hint="eastAsia" w:cs="宋体"/>
          <w:b/>
          <w:szCs w:val="21"/>
        </w:rPr>
      </w:pPr>
      <w:r>
        <w:rPr>
          <w:rFonts w:hint="eastAsia" w:cs="宋体"/>
          <w:b/>
          <w:szCs w:val="21"/>
        </w:rPr>
        <w:t>15.投标文件的格式要求</w:t>
      </w:r>
    </w:p>
    <w:p w14:paraId="56342D1F">
      <w:pPr>
        <w:pStyle w:val="23"/>
        <w:tabs>
          <w:tab w:val="left" w:pos="3030"/>
        </w:tabs>
        <w:ind w:firstLine="420" w:firstLineChars="200"/>
        <w:rPr>
          <w:rFonts w:hint="eastAsia" w:cs="宋体"/>
          <w:szCs w:val="21"/>
        </w:rPr>
      </w:pPr>
      <w:r>
        <w:rPr>
          <w:rFonts w:hint="eastAsia" w:cs="宋体"/>
          <w:szCs w:val="21"/>
        </w:rPr>
        <w:t>15.1投标人应按第四章</w:t>
      </w:r>
      <w:r>
        <w:rPr>
          <w:rFonts w:hint="eastAsia" w:cs="宋体"/>
          <w:b/>
          <w:bCs/>
          <w:szCs w:val="21"/>
        </w:rPr>
        <w:t>“投标文件格式”</w:t>
      </w:r>
      <w:r>
        <w:rPr>
          <w:rFonts w:hint="eastAsia" w:cs="宋体"/>
          <w:szCs w:val="21"/>
        </w:rPr>
        <w:t>提供的格式完整地填写。</w:t>
      </w:r>
    </w:p>
    <w:p w14:paraId="56342D20">
      <w:pPr>
        <w:ind w:firstLine="420" w:firstLineChars="200"/>
        <w:jc w:val="left"/>
        <w:rPr>
          <w:rFonts w:hint="eastAsia" w:cs="宋体"/>
          <w:b/>
          <w:szCs w:val="21"/>
        </w:rPr>
      </w:pPr>
      <w:r>
        <w:rPr>
          <w:rFonts w:hint="eastAsia" w:cs="宋体"/>
          <w:b/>
          <w:szCs w:val="21"/>
        </w:rPr>
        <w:t>16.投标总报价</w:t>
      </w:r>
    </w:p>
    <w:p w14:paraId="56342D21">
      <w:pPr>
        <w:ind w:firstLine="420" w:firstLineChars="200"/>
        <w:rPr>
          <w:rFonts w:hint="eastAsia"/>
          <w:bCs/>
          <w:color w:val="000000" w:themeColor="text1"/>
          <w:szCs w:val="21"/>
          <w14:textFill>
            <w14:solidFill>
              <w14:schemeClr w14:val="tx1"/>
            </w14:solidFill>
          </w14:textFill>
        </w:rPr>
      </w:pPr>
      <w:r>
        <w:rPr>
          <w:rFonts w:cs="Segoe UI Symbol"/>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.1本项目预算金额及最高限价见</w:t>
      </w:r>
      <w:r>
        <w:rPr>
          <w:b/>
          <w:color w:val="000000" w:themeColor="text1"/>
          <w:szCs w:val="21"/>
          <w14:textFill>
            <w14:solidFill>
              <w14:schemeClr w14:val="tx1"/>
            </w14:solidFill>
          </w14:textFill>
        </w:rPr>
        <w:t>“投标人须知前附表”</w:t>
      </w:r>
      <w:r>
        <w:rPr>
          <w:bCs/>
          <w:color w:val="000000" w:themeColor="text1"/>
          <w:szCs w:val="21"/>
          <w14:textFill>
            <w14:solidFill>
              <w14:schemeClr w14:val="tx1"/>
            </w14:solidFill>
          </w14:textFill>
        </w:rPr>
        <w:t>，若投标人的投标总报价超过最高限价，按未实质性响应招标文件要求处理。</w:t>
      </w:r>
    </w:p>
    <w:p w14:paraId="56342D22">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.2投标人须就第五章《</w:t>
      </w:r>
      <w:r>
        <w:rPr>
          <w:rFonts w:hint="eastAsia"/>
          <w:bCs/>
          <w:color w:val="000000" w:themeColor="text1"/>
          <w:szCs w:val="21"/>
          <w14:textFill>
            <w14:solidFill>
              <w14:schemeClr w14:val="tx1"/>
            </w14:solidFill>
          </w14:textFill>
        </w:rPr>
        <w:t>货物需求及技术要求</w:t>
      </w:r>
      <w:r>
        <w:rPr>
          <w:bCs/>
          <w:color w:val="000000" w:themeColor="text1"/>
          <w:szCs w:val="21"/>
          <w14:textFill>
            <w14:solidFill>
              <w14:schemeClr w14:val="tx1"/>
            </w14:solidFill>
          </w14:textFill>
        </w:rPr>
        <w:t>》中的所有内容作完整唯一报价。</w:t>
      </w:r>
    </w:p>
    <w:p w14:paraId="56342D23">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.3</w:t>
      </w:r>
      <w:r>
        <w:t>投标人应依据招标文件的要求及有关资料，按国家或行业现行技术经济标准、定额及规范，自行测算出满足招标要求的投标货物的竞争性报价。</w:t>
      </w:r>
      <w:r>
        <w:rPr>
          <w:rFonts w:hint="eastAsia"/>
          <w:bCs/>
          <w:color w:val="000000"/>
          <w:szCs w:val="21"/>
        </w:rPr>
        <w:t>投标总报价必须包含一切费用，</w:t>
      </w:r>
      <w:r>
        <w:rPr>
          <w:szCs w:val="21"/>
        </w:rPr>
        <w:t>包括但不仅限于货物的出厂价</w:t>
      </w:r>
      <w:r>
        <w:rPr>
          <w:rFonts w:hint="eastAsia"/>
          <w:szCs w:val="21"/>
        </w:rPr>
        <w:t>、运输安装费、质保期内的维护或保修或更换费用、</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p>
    <w:p w14:paraId="56342D24">
      <w:pPr>
        <w:ind w:firstLine="420"/>
        <w:rPr>
          <w:rFonts w:hint="eastAsia"/>
        </w:rPr>
      </w:pPr>
      <w:r>
        <w:t>1</w:t>
      </w:r>
      <w:r>
        <w:rPr>
          <w:rFonts w:hint="eastAsia"/>
        </w:rPr>
        <w:t>6</w:t>
      </w:r>
      <w:r>
        <w:t>.4货物的</w:t>
      </w:r>
      <w:r>
        <w:rPr>
          <w:b/>
        </w:rPr>
        <w:t>出厂价</w:t>
      </w:r>
      <w: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w:t>
      </w:r>
      <w:r>
        <w:rPr>
          <w:bCs/>
        </w:rPr>
        <w:t>的价格</w:t>
      </w:r>
      <w:r>
        <w:t>。</w:t>
      </w:r>
    </w:p>
    <w:p w14:paraId="56342D25">
      <w:pPr>
        <w:ind w:firstLine="420"/>
        <w:rPr>
          <w:rFonts w:hint="eastAsia"/>
        </w:rPr>
      </w:pPr>
      <w:r>
        <w:t>1</w:t>
      </w:r>
      <w:r>
        <w:rPr>
          <w:rFonts w:hint="eastAsia"/>
        </w:rPr>
        <w:t>6</w:t>
      </w:r>
      <w:r>
        <w:t>.5</w:t>
      </w:r>
      <w:r>
        <w:rPr>
          <w:rFonts w:hint="eastAsia" w:cs="宋体"/>
          <w:szCs w:val="21"/>
        </w:rPr>
        <w:t>质保期内备品备件的价格包含在投标总报价中，不再单独报价。</w:t>
      </w:r>
    </w:p>
    <w:p w14:paraId="56342D27">
      <w:pPr>
        <w:ind w:firstLine="420"/>
        <w:rPr>
          <w:rFonts w:hint="eastAsia"/>
        </w:rPr>
      </w:pPr>
      <w:r>
        <w:rPr>
          <w:bCs/>
        </w:rPr>
        <w:t>1</w:t>
      </w:r>
      <w:r>
        <w:rPr>
          <w:rFonts w:hint="eastAsia"/>
          <w:bCs/>
        </w:rPr>
        <w:t>6</w:t>
      </w:r>
      <w:r>
        <w:rPr>
          <w:bCs/>
        </w:rPr>
        <w:t>.</w:t>
      </w:r>
      <w:r>
        <w:rPr>
          <w:rFonts w:hint="eastAsia"/>
          <w:bCs/>
        </w:rPr>
        <w:t>6</w:t>
      </w:r>
      <w:r>
        <w:rPr>
          <w:b/>
        </w:rPr>
        <w:t>运杂费用</w:t>
      </w:r>
      <w:r>
        <w:t>：即投标货物到交货地点前的所有费用，包括铁路或公路运费、提货及转运费用、短途运费、包装费、装卸费用、加固费用、保险费等。</w:t>
      </w:r>
    </w:p>
    <w:p w14:paraId="56342D28">
      <w:pPr>
        <w:pStyle w:val="23"/>
        <w:ind w:firstLine="420" w:firstLineChars="200"/>
        <w:rPr>
          <w:rFonts w:hint="eastAsia" w:cs="宋体"/>
        </w:rPr>
      </w:pPr>
      <w:r>
        <w:rPr>
          <w:szCs w:val="24"/>
        </w:rPr>
        <w:t>1</w:t>
      </w:r>
      <w:r>
        <w:rPr>
          <w:rFonts w:hint="eastAsia"/>
          <w:szCs w:val="24"/>
        </w:rPr>
        <w:t>6</w:t>
      </w:r>
      <w:r>
        <w:rPr>
          <w:szCs w:val="24"/>
        </w:rPr>
        <w:t>.</w:t>
      </w:r>
      <w:r>
        <w:rPr>
          <w:rFonts w:hint="eastAsia"/>
          <w:szCs w:val="24"/>
        </w:rPr>
        <w:t>7</w:t>
      </w:r>
      <w:r>
        <w:rPr>
          <w:b/>
          <w:szCs w:val="24"/>
        </w:rPr>
        <w:t>技术服务费用</w:t>
      </w:r>
      <w:r>
        <w:rPr>
          <w:szCs w:val="24"/>
        </w:rPr>
        <w:t>包括：设计联络费用（若有）、现场服务（包括指导安装和调试费用）和人员培训的费用、技术资料费以及技术咨询协调费用等。</w:t>
      </w:r>
    </w:p>
    <w:p w14:paraId="56342D29">
      <w:pPr>
        <w:ind w:firstLine="420" w:firstLineChars="200"/>
        <w:jc w:val="left"/>
        <w:rPr>
          <w:rFonts w:hint="eastAsia" w:cs="宋体"/>
          <w:b/>
          <w:szCs w:val="21"/>
        </w:rPr>
      </w:pPr>
      <w:r>
        <w:rPr>
          <w:rFonts w:hint="eastAsia" w:cs="宋体"/>
          <w:b/>
          <w:szCs w:val="21"/>
        </w:rPr>
        <w:t>17.投标货币</w:t>
      </w:r>
    </w:p>
    <w:p w14:paraId="56342D2A">
      <w:pPr>
        <w:pStyle w:val="23"/>
        <w:ind w:firstLine="420" w:firstLineChars="200"/>
        <w:rPr>
          <w:rFonts w:hint="eastAsia" w:cs="宋体"/>
          <w:bCs/>
          <w:szCs w:val="21"/>
        </w:rPr>
      </w:pPr>
      <w:r>
        <w:rPr>
          <w:rFonts w:hint="eastAsia" w:cs="宋体"/>
          <w:szCs w:val="21"/>
        </w:rPr>
        <w:t>17.1投标以人民币报价。</w:t>
      </w:r>
    </w:p>
    <w:p w14:paraId="56342D2B">
      <w:pPr>
        <w:ind w:firstLine="420" w:firstLineChars="200"/>
        <w:jc w:val="left"/>
        <w:rPr>
          <w:rFonts w:hint="eastAsia" w:cs="宋体"/>
          <w:b/>
          <w:szCs w:val="21"/>
        </w:rPr>
      </w:pPr>
      <w:r>
        <w:rPr>
          <w:rFonts w:hint="eastAsia" w:cs="宋体"/>
          <w:b/>
          <w:szCs w:val="21"/>
        </w:rPr>
        <w:t>18.投标文件有效期</w:t>
      </w:r>
    </w:p>
    <w:p w14:paraId="56342D2C">
      <w:pPr>
        <w:ind w:firstLine="420" w:firstLineChars="200"/>
        <w:jc w:val="left"/>
        <w:rPr>
          <w:rFonts w:hint="eastAsia" w:cs="宋体"/>
          <w:szCs w:val="21"/>
        </w:rPr>
      </w:pPr>
      <w:r>
        <w:rPr>
          <w:rFonts w:hint="eastAsia" w:cs="宋体"/>
          <w:szCs w:val="21"/>
        </w:rPr>
        <w:t>★18.1在</w:t>
      </w:r>
      <w:r>
        <w:rPr>
          <w:rFonts w:hint="eastAsia" w:cs="宋体"/>
          <w:b/>
          <w:bCs/>
          <w:szCs w:val="21"/>
        </w:rPr>
        <w:t>“投标人须知前附表”</w:t>
      </w:r>
      <w:r>
        <w:rPr>
          <w:rFonts w:hint="eastAsia" w:cs="宋体"/>
          <w:szCs w:val="21"/>
        </w:rPr>
        <w:t>规定的投标有效期内，投标人不得要求撤销或修改其投标文件。</w:t>
      </w:r>
    </w:p>
    <w:p w14:paraId="56342D2D">
      <w:pPr>
        <w:ind w:firstLine="420" w:firstLineChars="200"/>
        <w:jc w:val="left"/>
        <w:rPr>
          <w:rFonts w:hint="eastAsia" w:cs="宋体"/>
          <w:szCs w:val="21"/>
        </w:rPr>
      </w:pPr>
      <w:r>
        <w:rPr>
          <w:rFonts w:hint="eastAsia" w:cs="宋体"/>
          <w:szCs w:val="21"/>
        </w:rPr>
        <w:t>18.2投标有效期从提交投标文件的截止之日起算。投标文件中承诺的投标有效期应当不少于招标文件中载明的投标有效期。投标有效期内投标人撤销投标文件的，采购代理机构可以不退还投标保证金。</w:t>
      </w:r>
    </w:p>
    <w:p w14:paraId="56342D2E">
      <w:pPr>
        <w:ind w:firstLine="420" w:firstLineChars="200"/>
        <w:jc w:val="left"/>
        <w:rPr>
          <w:rFonts w:hint="eastAsia" w:cs="宋体"/>
          <w:szCs w:val="21"/>
        </w:rPr>
      </w:pPr>
      <w:r>
        <w:rPr>
          <w:rFonts w:hint="eastAsia" w:cs="宋体"/>
          <w:szCs w:val="21"/>
        </w:rPr>
        <w:t>18.3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14:paraId="56342D2F">
      <w:pPr>
        <w:ind w:firstLine="420" w:firstLineChars="200"/>
        <w:jc w:val="left"/>
        <w:rPr>
          <w:rFonts w:hint="eastAsia" w:cs="宋体"/>
          <w:b/>
          <w:szCs w:val="21"/>
        </w:rPr>
      </w:pPr>
      <w:r>
        <w:rPr>
          <w:rFonts w:hint="eastAsia" w:cs="宋体"/>
          <w:b/>
          <w:szCs w:val="21"/>
        </w:rPr>
        <w:t>19.分包</w:t>
      </w:r>
    </w:p>
    <w:p w14:paraId="56342D30">
      <w:pPr>
        <w:ind w:firstLine="420" w:firstLineChars="200"/>
        <w:jc w:val="left"/>
        <w:rPr>
          <w:rFonts w:hint="eastAsia" w:cs="宋体"/>
          <w:kern w:val="0"/>
          <w:szCs w:val="21"/>
        </w:rPr>
      </w:pPr>
      <w:r>
        <w:rPr>
          <w:rFonts w:hint="eastAsia" w:cs="宋体"/>
          <w:szCs w:val="21"/>
        </w:rPr>
        <w:t>19.1</w:t>
      </w:r>
      <w:r>
        <w:rPr>
          <w:rFonts w:hint="eastAsia" w:cs="宋体"/>
          <w:b/>
          <w:bCs/>
          <w:szCs w:val="21"/>
        </w:rPr>
        <w:t>“投标人须知前附表”</w:t>
      </w:r>
      <w:r>
        <w:rPr>
          <w:rFonts w:hint="eastAsia" w:cs="宋体"/>
          <w:szCs w:val="21"/>
        </w:rPr>
        <w:t>规定允许分包的项目，投标人在中标后只能将项目的非主体、</w:t>
      </w:r>
      <w:r>
        <w:rPr>
          <w:rFonts w:hint="eastAsia" w:cs="宋体"/>
          <w:kern w:val="0"/>
          <w:szCs w:val="21"/>
        </w:rPr>
        <w:t>非关键性工作分包。投标人应当在投标文件中载明分包承担主体，分包承担主体应当具备相应资质条件且不得再次分包。</w:t>
      </w:r>
    </w:p>
    <w:p w14:paraId="56342D31">
      <w:pPr>
        <w:ind w:firstLine="420" w:firstLineChars="200"/>
        <w:jc w:val="left"/>
        <w:rPr>
          <w:rFonts w:hint="eastAsia" w:cs="宋体"/>
          <w:b/>
          <w:bCs/>
          <w:kern w:val="0"/>
          <w:szCs w:val="21"/>
        </w:rPr>
      </w:pPr>
      <w:r>
        <w:rPr>
          <w:rFonts w:hint="eastAsia" w:cs="宋体"/>
          <w:b/>
          <w:bCs/>
          <w:kern w:val="0"/>
          <w:szCs w:val="21"/>
        </w:rPr>
        <w:t>★20.投标人应当遵循公平竞争的原则，不得恶意串通，不得妨碍其他投标人的竞争行为，不得损害采购人或者其他投标人的合法权益。</w:t>
      </w:r>
    </w:p>
    <w:p w14:paraId="56342D32">
      <w:pPr>
        <w:ind w:firstLine="420" w:firstLineChars="200"/>
        <w:jc w:val="left"/>
        <w:rPr>
          <w:rFonts w:hint="eastAsia" w:cs="宋体"/>
          <w:b/>
          <w:szCs w:val="21"/>
        </w:rPr>
      </w:pPr>
      <w:r>
        <w:rPr>
          <w:rFonts w:hint="eastAsia" w:cs="宋体"/>
          <w:b/>
          <w:szCs w:val="21"/>
        </w:rPr>
        <w:t>21.投标文件的编制</w:t>
      </w:r>
    </w:p>
    <w:p w14:paraId="5F12986A">
      <w:pPr>
        <w:pStyle w:val="23"/>
        <w:ind w:firstLine="420" w:firstLineChars="200"/>
        <w:rPr>
          <w:rFonts w:hint="eastAsia" w:cs="宋体"/>
          <w:szCs w:val="21"/>
        </w:rPr>
      </w:pPr>
      <w:r>
        <w:rPr>
          <w:rFonts w:hint="eastAsia" w:cs="宋体"/>
          <w:szCs w:val="21"/>
        </w:rPr>
        <w:t>21.1</w:t>
      </w:r>
      <w:r>
        <w:rPr>
          <w:rFonts w:hint="eastAsia"/>
          <w:szCs w:val="21"/>
        </w:rPr>
        <w:t>投标文件全部采用电子文档，投标人应安装客户端软件—</w:t>
      </w:r>
      <w:r>
        <w:rPr>
          <w:rFonts w:hint="eastAsia"/>
          <w:b/>
          <w:bCs/>
          <w:szCs w:val="21"/>
        </w:rPr>
        <w:t>“政采云电子交易客户端”</w:t>
      </w:r>
      <w:r>
        <w:rPr>
          <w:rFonts w:hint="eastAsia"/>
          <w:szCs w:val="21"/>
        </w:rPr>
        <w:t>，并按照招标文件和政采云电子交易平台的要求编制，编制后应进行电子签名及加密</w:t>
      </w:r>
      <w:r>
        <w:rPr>
          <w:rFonts w:hint="eastAsia" w:cs="宋体"/>
          <w:szCs w:val="21"/>
        </w:rPr>
        <w:t>。</w:t>
      </w:r>
    </w:p>
    <w:p w14:paraId="676DF7F1">
      <w:pPr>
        <w:pStyle w:val="23"/>
        <w:ind w:firstLine="420" w:firstLineChars="200"/>
        <w:rPr>
          <w:rFonts w:hint="eastAsia" w:cs="宋体"/>
          <w:szCs w:val="21"/>
        </w:rPr>
      </w:pPr>
      <w:r>
        <w:rPr>
          <w:rFonts w:hint="eastAsia"/>
          <w:szCs w:val="21"/>
        </w:rPr>
        <w:t>★21.</w:t>
      </w:r>
      <w:r>
        <w:rPr>
          <w:szCs w:val="21"/>
        </w:rPr>
        <w:t>2</w:t>
      </w:r>
      <w:r>
        <w:rPr>
          <w:rFonts w:hint="eastAsia"/>
          <w:szCs w:val="21"/>
        </w:rPr>
        <w:t>如投标人提交的电子标书不符合21</w:t>
      </w:r>
      <w:r>
        <w:rPr>
          <w:szCs w:val="21"/>
        </w:rPr>
        <w:t>.1</w:t>
      </w:r>
      <w:r>
        <w:rPr>
          <w:rFonts w:hint="eastAsia"/>
          <w:szCs w:val="21"/>
        </w:rPr>
        <w:t>要求或开标时无法读取导入或解密，其投标文件将不予受理。</w:t>
      </w:r>
    </w:p>
    <w:p w14:paraId="00CDC5CD">
      <w:pPr>
        <w:pStyle w:val="23"/>
        <w:ind w:firstLine="420" w:firstLineChars="200"/>
        <w:rPr>
          <w:rFonts w:hint="eastAsia" w:cs="宋体"/>
          <w:szCs w:val="21"/>
        </w:rPr>
      </w:pPr>
      <w:r>
        <w:rPr>
          <w:rFonts w:hint="eastAsia" w:cs="宋体"/>
          <w:szCs w:val="21"/>
        </w:rPr>
        <w:t>21.3</w:t>
      </w:r>
      <w:r>
        <w:rPr>
          <w:rFonts w:hint="eastAsia"/>
          <w:szCs w:val="21"/>
        </w:rPr>
        <w:t>投标文件应尽量避免涂改、行间插字或删除。如果出现上述情况，改动之处应加盖单位章或由投标人的法定代表人/单位负责人（签名或盖章）确认</w:t>
      </w:r>
      <w:r>
        <w:rPr>
          <w:rFonts w:hint="eastAsia" w:cs="宋体"/>
          <w:szCs w:val="21"/>
        </w:rPr>
        <w:t>。</w:t>
      </w:r>
    </w:p>
    <w:p w14:paraId="7129F680">
      <w:pPr>
        <w:pStyle w:val="23"/>
        <w:ind w:firstLine="420" w:firstLineChars="200"/>
        <w:rPr>
          <w:rFonts w:hint="eastAsia" w:cs="宋体"/>
          <w:szCs w:val="21"/>
        </w:rPr>
      </w:pPr>
      <w:r>
        <w:rPr>
          <w:rFonts w:hint="eastAsia" w:cs="宋体"/>
          <w:szCs w:val="21"/>
        </w:rPr>
        <w:t>★21.4</w:t>
      </w:r>
      <w:r>
        <w:rPr>
          <w:rFonts w:hint="eastAsia"/>
          <w:szCs w:val="21"/>
        </w:rPr>
        <w:t>关键内容字迹潦草、表达不清、未按要求填写而导致非唯一理解，视为未实质性响应招标文件的投标文件</w:t>
      </w:r>
      <w:r>
        <w:rPr>
          <w:rFonts w:hint="eastAsia" w:cs="宋体"/>
          <w:szCs w:val="21"/>
        </w:rPr>
        <w:t>。</w:t>
      </w:r>
    </w:p>
    <w:p w14:paraId="71E29312">
      <w:pPr>
        <w:pStyle w:val="23"/>
        <w:ind w:firstLine="420" w:firstLineChars="200"/>
        <w:rPr>
          <w:rFonts w:hint="eastAsia" w:cs="宋体"/>
          <w:szCs w:val="21"/>
        </w:rPr>
      </w:pPr>
      <w:r>
        <w:rPr>
          <w:rFonts w:hint="eastAsia" w:cs="宋体"/>
          <w:szCs w:val="21"/>
        </w:rPr>
        <w:t>★21.5</w:t>
      </w:r>
      <w:r>
        <w:rPr>
          <w:rFonts w:hint="eastAsia"/>
          <w:szCs w:val="21"/>
        </w:rPr>
        <w:t>投标文件中提供的资料（复印件或扫描件），内容必须清晰可辨，若内容模糊，无法辨识，均视为未提供</w:t>
      </w:r>
      <w:r>
        <w:rPr>
          <w:rFonts w:hint="eastAsia" w:cs="宋体"/>
          <w:szCs w:val="21"/>
        </w:rPr>
        <w:t>。</w:t>
      </w:r>
    </w:p>
    <w:p w14:paraId="1C31079C">
      <w:pPr>
        <w:pStyle w:val="23"/>
        <w:ind w:firstLine="420" w:firstLineChars="200"/>
        <w:rPr>
          <w:rFonts w:hint="eastAsia" w:cs="宋体"/>
          <w:szCs w:val="21"/>
        </w:rPr>
      </w:pPr>
      <w:r>
        <w:t>2</w:t>
      </w:r>
      <w:r>
        <w:rPr>
          <w:rFonts w:hint="eastAsia"/>
        </w:rPr>
        <w:t>1</w:t>
      </w:r>
      <w:r>
        <w:t>.6投标文件应由法定代表人/单位负责人在凡规定（签字或电子签名）处逐一电子签名（电子签名或电子签章），要求盖章处应盖单位章（电子签章）。</w:t>
      </w:r>
    </w:p>
    <w:p w14:paraId="1FFDBF12">
      <w:pPr>
        <w:ind w:firstLine="420" w:firstLineChars="200"/>
        <w:jc w:val="left"/>
        <w:rPr>
          <w:rFonts w:hint="eastAsia" w:cs="宋体"/>
          <w:b/>
          <w:szCs w:val="21"/>
        </w:rPr>
      </w:pPr>
      <w:r>
        <w:rPr>
          <w:rFonts w:hint="eastAsia" w:cs="宋体"/>
          <w:b/>
          <w:szCs w:val="21"/>
        </w:rPr>
        <w:t>22.投标保证金</w:t>
      </w:r>
    </w:p>
    <w:p w14:paraId="6497CF62">
      <w:pPr>
        <w:pStyle w:val="23"/>
        <w:tabs>
          <w:tab w:val="left" w:pos="710"/>
        </w:tabs>
        <w:ind w:firstLine="420" w:firstLineChars="200"/>
        <w:rPr>
          <w:rFonts w:hint="eastAsia" w:cs="宋体"/>
          <w:szCs w:val="21"/>
        </w:rPr>
      </w:pPr>
      <w:r>
        <w:rPr>
          <w:rFonts w:hint="eastAsia" w:cs="宋体"/>
          <w:szCs w:val="21"/>
        </w:rPr>
        <w:t>22.1投标保证金为人民币。投标人应在提交投标文件截止时间以前按“</w:t>
      </w:r>
      <w:r>
        <w:rPr>
          <w:rFonts w:hint="eastAsia" w:cs="宋体"/>
          <w:b/>
          <w:szCs w:val="21"/>
        </w:rPr>
        <w:t>投标人须知前附表</w:t>
      </w:r>
      <w:r>
        <w:rPr>
          <w:rFonts w:hint="eastAsia" w:cs="宋体"/>
          <w:szCs w:val="21"/>
        </w:rPr>
        <w:t>”规定的金额提交，并在规定的时间内保持有效。</w:t>
      </w:r>
    </w:p>
    <w:p w14:paraId="2EFBC522">
      <w:pPr>
        <w:pStyle w:val="23"/>
        <w:ind w:firstLine="420" w:firstLineChars="200"/>
        <w:rPr>
          <w:rFonts w:hint="eastAsia" w:cs="宋体"/>
          <w:szCs w:val="21"/>
        </w:rPr>
      </w:pPr>
      <w:r>
        <w:rPr>
          <w:rFonts w:hint="eastAsia" w:cs="宋体"/>
          <w:szCs w:val="21"/>
        </w:rPr>
        <w:t>22.2</w:t>
      </w:r>
      <w:r>
        <w:rPr>
          <w:rFonts w:hint="eastAsia" w:cs="宋体"/>
          <w:szCs w:val="24"/>
        </w:rPr>
        <w:t>投标保证金形式：投标保证金应按“</w:t>
      </w:r>
      <w:r>
        <w:rPr>
          <w:rFonts w:hint="eastAsia" w:cs="宋体"/>
          <w:b/>
          <w:szCs w:val="24"/>
        </w:rPr>
        <w:t>投标人须知前附表</w:t>
      </w:r>
      <w:r>
        <w:rPr>
          <w:rFonts w:hint="eastAsia" w:cs="宋体"/>
          <w:szCs w:val="24"/>
        </w:rPr>
        <w:t>”规定的形式提交。</w:t>
      </w:r>
    </w:p>
    <w:p w14:paraId="0BC67DB9">
      <w:pPr>
        <w:pStyle w:val="23"/>
        <w:ind w:firstLine="420" w:firstLineChars="200"/>
        <w:rPr>
          <w:rFonts w:hint="eastAsia" w:cs="宋体"/>
          <w:szCs w:val="21"/>
        </w:rPr>
      </w:pPr>
      <w:r>
        <w:rPr>
          <w:rFonts w:hint="eastAsia" w:cs="宋体"/>
          <w:szCs w:val="21"/>
        </w:rPr>
        <w:t>22.3</w:t>
      </w:r>
      <w:r>
        <w:rPr>
          <w:rFonts w:hint="eastAsia" w:cs="宋体"/>
          <w:color w:val="000000"/>
          <w:kern w:val="0"/>
          <w:szCs w:val="24"/>
        </w:rPr>
        <w:t>投标人在投标截止时间前撤回已提交的投标文件的，采购代理机构将在自收到投标人书面撤回通知之日起</w:t>
      </w:r>
      <w:r>
        <w:rPr>
          <w:rFonts w:hint="eastAsia" w:cs="宋体"/>
          <w:szCs w:val="24"/>
        </w:rPr>
        <w:t>5</w:t>
      </w:r>
      <w:r>
        <w:rPr>
          <w:rFonts w:hint="eastAsia" w:cs="宋体"/>
          <w:color w:val="000000"/>
          <w:kern w:val="0"/>
          <w:szCs w:val="24"/>
        </w:rPr>
        <w:t>个工作日内，退还已收取的投标保证金，但因投标人自身原因导致无法及时退还的除外</w:t>
      </w:r>
      <w:r>
        <w:rPr>
          <w:rFonts w:hint="eastAsia" w:cs="宋体"/>
          <w:szCs w:val="24"/>
        </w:rPr>
        <w:t>。</w:t>
      </w:r>
    </w:p>
    <w:p w14:paraId="58D1E9EA">
      <w:pPr>
        <w:pStyle w:val="23"/>
        <w:ind w:firstLine="420" w:firstLineChars="200"/>
        <w:rPr>
          <w:rFonts w:hint="eastAsia" w:cs="宋体"/>
          <w:szCs w:val="24"/>
        </w:rPr>
      </w:pPr>
      <w:r>
        <w:rPr>
          <w:rFonts w:hint="eastAsia" w:cs="宋体"/>
          <w:szCs w:val="21"/>
        </w:rPr>
        <w:t>22.4</w:t>
      </w:r>
      <w:r>
        <w:rPr>
          <w:rFonts w:hint="eastAsia" w:cs="宋体"/>
          <w:szCs w:val="24"/>
        </w:rPr>
        <w:t>未中标人的投标保证金将在中标公告发出后5个工作日退还；中标人的投标保证金将在</w:t>
      </w:r>
      <w:r>
        <w:rPr>
          <w:rFonts w:hint="eastAsia" w:cs="宋体"/>
          <w:color w:val="000000"/>
          <w:kern w:val="0"/>
          <w:szCs w:val="24"/>
        </w:rPr>
        <w:t>采购合同签订之日起5个工作日内退还</w:t>
      </w:r>
      <w:r>
        <w:rPr>
          <w:rFonts w:hint="eastAsia" w:cs="宋体"/>
          <w:szCs w:val="24"/>
        </w:rPr>
        <w:t>。</w:t>
      </w:r>
    </w:p>
    <w:p w14:paraId="07AA54BF">
      <w:pPr>
        <w:ind w:firstLine="420" w:firstLineChars="200"/>
        <w:rPr>
          <w:rFonts w:hint="eastAsia" w:cs="宋体"/>
        </w:rPr>
      </w:pPr>
      <w:r>
        <w:rPr>
          <w:rFonts w:hint="eastAsia"/>
        </w:rPr>
        <w:t>22.5</w:t>
      </w:r>
      <w:r>
        <w:rPr>
          <w:rFonts w:hint="eastAsia" w:cs="宋体"/>
        </w:rPr>
        <w:t>投标保证金的退回方式：</w:t>
      </w:r>
    </w:p>
    <w:p w14:paraId="0B43A7BA">
      <w:pPr>
        <w:ind w:firstLine="420" w:firstLineChars="200"/>
        <w:rPr>
          <w:rFonts w:hint="eastAsia" w:cs="宋体"/>
        </w:rPr>
      </w:pPr>
      <w:r>
        <w:rPr>
          <w:rFonts w:hint="eastAsia" w:cs="宋体"/>
        </w:rPr>
        <w:t>（</w:t>
      </w:r>
      <w:r>
        <w:rPr>
          <w:rFonts w:cs="宋体"/>
        </w:rPr>
        <w:t>1）以银行转账、网银、电汇缴纳的保证金，以网银对公转账的方式退还到</w:t>
      </w:r>
      <w:r>
        <w:rPr>
          <w:rFonts w:hint="eastAsia" w:cs="宋体"/>
        </w:rPr>
        <w:t>投标人</w:t>
      </w:r>
      <w:r>
        <w:rPr>
          <w:rFonts w:cs="宋体"/>
        </w:rPr>
        <w:t>打款账户；</w:t>
      </w:r>
    </w:p>
    <w:p w14:paraId="51226555">
      <w:pPr>
        <w:ind w:firstLine="420" w:firstLineChars="200"/>
        <w:rPr>
          <w:rFonts w:hint="eastAsia" w:cs="宋体"/>
        </w:rPr>
      </w:pPr>
      <w:r>
        <w:rPr>
          <w:rFonts w:hint="eastAsia" w:cs="宋体"/>
        </w:rPr>
        <w:t>（</w:t>
      </w:r>
      <w:r>
        <w:rPr>
          <w:rFonts w:cs="宋体"/>
        </w:rPr>
        <w:t>2）以支票、汇票及本票等票据方式缴纳的保证金，经财务查账确认后以对公转账的方式退还到</w:t>
      </w:r>
      <w:r>
        <w:rPr>
          <w:rFonts w:hint="eastAsia" w:cs="宋体"/>
        </w:rPr>
        <w:t>投标人</w:t>
      </w:r>
      <w:r>
        <w:rPr>
          <w:rFonts w:cs="宋体"/>
        </w:rPr>
        <w:t>开户账户；</w:t>
      </w:r>
    </w:p>
    <w:p w14:paraId="08078955">
      <w:pPr>
        <w:ind w:firstLine="420" w:firstLineChars="200"/>
        <w:rPr>
          <w:rFonts w:hint="eastAsia"/>
        </w:rPr>
      </w:pPr>
      <w:r>
        <w:rPr>
          <w:rFonts w:hint="eastAsia" w:cs="宋体"/>
        </w:rPr>
        <w:t>（</w:t>
      </w:r>
      <w:r>
        <w:rPr>
          <w:rFonts w:cs="宋体"/>
        </w:rPr>
        <w:t>3）以银行保函或者保证保险方式缴纳的保证金由</w:t>
      </w:r>
      <w:r>
        <w:rPr>
          <w:rFonts w:hint="eastAsia" w:cs="宋体"/>
        </w:rPr>
        <w:t>投标人</w:t>
      </w:r>
      <w:r>
        <w:rPr>
          <w:rFonts w:cs="宋体"/>
        </w:rPr>
        <w:t>自行联系出函机构。</w:t>
      </w:r>
    </w:p>
    <w:p w14:paraId="242C34C2">
      <w:pPr>
        <w:pStyle w:val="23"/>
        <w:ind w:firstLine="420" w:firstLineChars="200"/>
        <w:rPr>
          <w:rFonts w:hint="eastAsia" w:cs="宋体"/>
          <w:szCs w:val="21"/>
        </w:rPr>
      </w:pPr>
      <w:r>
        <w:rPr>
          <w:rFonts w:hint="eastAsia" w:cs="宋体"/>
          <w:szCs w:val="21"/>
        </w:rPr>
        <w:t>22.6下列情况发生时，投标保证金将不予退还：</w:t>
      </w:r>
    </w:p>
    <w:p w14:paraId="4EF0B6C4">
      <w:pPr>
        <w:ind w:firstLine="420" w:firstLineChars="200"/>
        <w:jc w:val="left"/>
        <w:rPr>
          <w:rFonts w:hint="eastAsia" w:cs="宋体"/>
          <w:szCs w:val="21"/>
        </w:rPr>
      </w:pPr>
      <w:r>
        <w:rPr>
          <w:rFonts w:hint="eastAsia" w:cs="宋体"/>
          <w:szCs w:val="21"/>
        </w:rPr>
        <w:t>（1）投标人在投标有效期内要求撤回投标的；</w:t>
      </w:r>
    </w:p>
    <w:p w14:paraId="03A05134">
      <w:pPr>
        <w:ind w:firstLine="420" w:firstLineChars="200"/>
        <w:jc w:val="left"/>
        <w:rPr>
          <w:rFonts w:hint="eastAsia" w:cs="宋体"/>
          <w:szCs w:val="21"/>
        </w:rPr>
      </w:pPr>
      <w:r>
        <w:rPr>
          <w:rFonts w:hint="eastAsia" w:cs="宋体"/>
          <w:szCs w:val="21"/>
        </w:rPr>
        <w:t>（2）中标人中标后无正当理由不与采购人签订合同的；</w:t>
      </w:r>
    </w:p>
    <w:p w14:paraId="3857DCC2">
      <w:pPr>
        <w:ind w:firstLine="420" w:firstLineChars="200"/>
        <w:jc w:val="left"/>
        <w:rPr>
          <w:rFonts w:hint="eastAsia" w:cs="宋体"/>
          <w:szCs w:val="21"/>
        </w:rPr>
      </w:pPr>
      <w:r>
        <w:rPr>
          <w:rFonts w:hint="eastAsia" w:cs="宋体"/>
          <w:szCs w:val="21"/>
        </w:rPr>
        <w:t>（3）中标人将中标项目转让给他人，或者在投标文件中未说明，且未经采购人同意，将中标项目分包给他人的；</w:t>
      </w:r>
    </w:p>
    <w:p w14:paraId="56342D41">
      <w:pPr>
        <w:ind w:firstLine="420" w:firstLineChars="200"/>
        <w:jc w:val="left"/>
        <w:rPr>
          <w:rFonts w:hint="eastAsia" w:cs="宋体"/>
          <w:szCs w:val="21"/>
        </w:rPr>
      </w:pPr>
      <w:r>
        <w:rPr>
          <w:rFonts w:hint="eastAsia" w:cs="宋体"/>
          <w:szCs w:val="21"/>
        </w:rPr>
        <w:t>（4）中标人拒绝履行合同义务的。</w:t>
      </w:r>
    </w:p>
    <w:p w14:paraId="56342D42">
      <w:pPr>
        <w:pStyle w:val="4"/>
        <w:numPr>
          <w:ilvl w:val="1"/>
          <w:numId w:val="0"/>
        </w:numPr>
        <w:spacing w:before="0"/>
        <w:jc w:val="center"/>
        <w:rPr>
          <w:rFonts w:hint="eastAsia" w:eastAsia="宋体" w:cs="宋体"/>
          <w:szCs w:val="28"/>
        </w:rPr>
      </w:pPr>
      <w:bookmarkStart w:id="90" w:name="_Toc5421"/>
      <w:bookmarkStart w:id="91" w:name="_Toc7380"/>
      <w:bookmarkStart w:id="92" w:name="_Toc216368755"/>
      <w:bookmarkStart w:id="93" w:name="_Toc491076991"/>
      <w:bookmarkStart w:id="94" w:name="_Toc24325"/>
      <w:r>
        <w:rPr>
          <w:rFonts w:hint="eastAsia" w:eastAsia="宋体" w:cs="宋体"/>
          <w:szCs w:val="28"/>
        </w:rPr>
        <w:t>四、投标文件的提交</w:t>
      </w:r>
      <w:bookmarkEnd w:id="90"/>
      <w:bookmarkEnd w:id="91"/>
      <w:bookmarkEnd w:id="92"/>
      <w:bookmarkEnd w:id="93"/>
      <w:bookmarkEnd w:id="94"/>
    </w:p>
    <w:p w14:paraId="73CC36D3">
      <w:pPr>
        <w:ind w:firstLine="420" w:firstLineChars="200"/>
        <w:jc w:val="left"/>
        <w:rPr>
          <w:rFonts w:hint="eastAsia" w:cs="宋体"/>
          <w:b/>
          <w:szCs w:val="21"/>
        </w:rPr>
      </w:pPr>
      <w:bookmarkStart w:id="95" w:name="_Toc491076992"/>
      <w:r>
        <w:rPr>
          <w:rFonts w:hint="eastAsia" w:cs="宋体"/>
          <w:b/>
          <w:szCs w:val="21"/>
        </w:rPr>
        <w:t>23.投标文件递交及有关内容</w:t>
      </w:r>
    </w:p>
    <w:p w14:paraId="7C602C4B">
      <w:pPr>
        <w:ind w:firstLine="420" w:firstLineChars="200"/>
        <w:jc w:val="left"/>
        <w:rPr>
          <w:rFonts w:hint="eastAsia" w:cs="宋体"/>
          <w:szCs w:val="21"/>
        </w:rPr>
      </w:pPr>
      <w:r>
        <w:rPr>
          <w:rFonts w:hint="eastAsia" w:cs="宋体"/>
          <w:szCs w:val="21"/>
        </w:rPr>
        <w:t>23.1</w:t>
      </w:r>
      <w:r>
        <w:rPr>
          <w:rFonts w:hint="eastAsia"/>
        </w:rPr>
        <w:t>投标人进行电子交易应安装客户端软件—</w:t>
      </w:r>
      <w:r>
        <w:rPr>
          <w:rFonts w:hint="eastAsia"/>
          <w:b/>
          <w:bCs/>
        </w:rPr>
        <w:t>“政采云电子交易客户端”</w:t>
      </w:r>
      <w:r>
        <w:rPr>
          <w:rFonts w:hint="eastAsia"/>
        </w:rPr>
        <w:t>，并按照招标文件和电子交易平台的要求编制并加密投标文件。招标人未按规定加密的投标文件，电子交易平台将拒收并提示。</w:t>
      </w:r>
    </w:p>
    <w:p w14:paraId="1090375B">
      <w:pPr>
        <w:ind w:firstLine="420" w:firstLineChars="200"/>
        <w:jc w:val="left"/>
        <w:rPr>
          <w:rFonts w:hint="eastAsia" w:cs="宋体"/>
          <w:szCs w:val="21"/>
        </w:rPr>
      </w:pPr>
      <w:r>
        <w:rPr>
          <w:rFonts w:hint="eastAsia" w:cs="宋体"/>
          <w:szCs w:val="21"/>
        </w:rPr>
        <w:t>23.2</w:t>
      </w:r>
      <w:r>
        <w:rPr>
          <w:rFonts w:hint="eastAsia"/>
        </w:rPr>
        <w:t>使用“政采云电子交易客户端”需要提前申领 CA 数字证书</w:t>
      </w:r>
      <w:r>
        <w:rPr>
          <w:rFonts w:hint="eastAsia" w:cs="宋体"/>
          <w:szCs w:val="21"/>
        </w:rPr>
        <w:t>。</w:t>
      </w:r>
    </w:p>
    <w:p w14:paraId="07A84626">
      <w:pPr>
        <w:ind w:firstLine="420" w:firstLineChars="200"/>
        <w:jc w:val="left"/>
        <w:rPr>
          <w:rFonts w:hint="eastAsia" w:cs="宋体"/>
          <w:szCs w:val="21"/>
        </w:rPr>
      </w:pPr>
      <w:r>
        <w:rPr>
          <w:rFonts w:hint="eastAsia" w:cs="宋体"/>
          <w:szCs w:val="21"/>
        </w:rPr>
        <w:t>23.3</w:t>
      </w:r>
      <w:r>
        <w:rPr>
          <w:rFonts w:hint="eastAsia"/>
        </w:rPr>
        <w:t>为确保网上操作合法、有效和安全，投标人应当在投标文件提交截止时间前完成在“政府采购云平台”的身份认证，确保在电子交易过程中能够对相关数据电文进行加密和使用电子签名</w:t>
      </w:r>
      <w:r>
        <w:rPr>
          <w:rFonts w:hint="eastAsia" w:cs="宋体"/>
          <w:szCs w:val="21"/>
        </w:rPr>
        <w:t>。</w:t>
      </w:r>
    </w:p>
    <w:p w14:paraId="5D97DA19">
      <w:pPr>
        <w:ind w:firstLine="420" w:firstLineChars="200"/>
        <w:jc w:val="left"/>
        <w:rPr>
          <w:rFonts w:hint="eastAsia" w:cs="宋体"/>
          <w:szCs w:val="21"/>
        </w:rPr>
      </w:pPr>
      <w:r>
        <w:rPr>
          <w:rFonts w:hint="eastAsia" w:cs="宋体"/>
          <w:b/>
          <w:szCs w:val="21"/>
        </w:rPr>
        <w:t>24.提交投标文件截止时间和地点</w:t>
      </w:r>
    </w:p>
    <w:p w14:paraId="2596D710">
      <w:pPr>
        <w:ind w:firstLine="420" w:firstLineChars="200"/>
        <w:jc w:val="left"/>
        <w:rPr>
          <w:rFonts w:hint="eastAsia" w:cs="宋体"/>
          <w:color w:val="000000"/>
          <w:szCs w:val="21"/>
        </w:rPr>
      </w:pPr>
      <w:r>
        <w:rPr>
          <w:rFonts w:hint="eastAsia" w:cs="宋体"/>
          <w:color w:val="000000"/>
          <w:szCs w:val="21"/>
        </w:rPr>
        <w:t>24.1投标文件的递交/上传不得迟于</w:t>
      </w:r>
      <w:r>
        <w:rPr>
          <w:rFonts w:cs="宋体"/>
          <w:b/>
          <w:bCs/>
          <w:color w:val="000000"/>
          <w:szCs w:val="21"/>
        </w:rPr>
        <w:t>“投标人须知前附表”</w:t>
      </w:r>
      <w:r>
        <w:rPr>
          <w:rFonts w:hint="eastAsia" w:cs="宋体"/>
          <w:color w:val="000000"/>
          <w:szCs w:val="21"/>
        </w:rPr>
        <w:t>规定的提交投标文件截止时间。逾期送达/上传的投标文件，采购人不予接收。</w:t>
      </w:r>
    </w:p>
    <w:p w14:paraId="26C53C75">
      <w:pPr>
        <w:ind w:firstLine="420" w:firstLineChars="200"/>
        <w:jc w:val="left"/>
        <w:rPr>
          <w:rFonts w:hint="eastAsia" w:cs="宋体"/>
          <w:color w:val="000000"/>
          <w:szCs w:val="21"/>
        </w:rPr>
      </w:pPr>
      <w:r>
        <w:rPr>
          <w:rFonts w:hint="eastAsia" w:cs="宋体"/>
          <w:color w:val="000000"/>
          <w:szCs w:val="21"/>
        </w:rPr>
        <w:t>24.2投标人必须在规定时间内将投标文件递交/上传到</w:t>
      </w:r>
      <w:r>
        <w:rPr>
          <w:rFonts w:cs="宋体"/>
          <w:b/>
          <w:bCs/>
          <w:color w:val="000000"/>
          <w:szCs w:val="21"/>
        </w:rPr>
        <w:t>“投标人须知前附表”</w:t>
      </w:r>
      <w:r>
        <w:rPr>
          <w:rFonts w:hint="eastAsia" w:cs="宋体"/>
          <w:color w:val="000000"/>
          <w:szCs w:val="21"/>
        </w:rPr>
        <w:t>规定的地点。</w:t>
      </w:r>
    </w:p>
    <w:p w14:paraId="77AD1E74">
      <w:pPr>
        <w:ind w:firstLine="420" w:firstLineChars="200"/>
        <w:jc w:val="left"/>
        <w:rPr>
          <w:rFonts w:hint="eastAsia" w:cs="宋体"/>
          <w:color w:val="000000"/>
          <w:szCs w:val="21"/>
        </w:rPr>
      </w:pPr>
      <w:r>
        <w:rPr>
          <w:rFonts w:hint="eastAsia" w:cs="宋体"/>
          <w:color w:val="000000"/>
          <w:szCs w:val="21"/>
        </w:rPr>
        <w:t>24.3 除</w:t>
      </w:r>
      <w:r>
        <w:rPr>
          <w:rFonts w:cs="宋体"/>
          <w:b/>
          <w:bCs/>
          <w:color w:val="000000"/>
          <w:szCs w:val="21"/>
        </w:rPr>
        <w:t>“投标人须知前附表”</w:t>
      </w:r>
      <w:r>
        <w:rPr>
          <w:rFonts w:hint="eastAsia" w:cs="宋体"/>
          <w:color w:val="000000"/>
          <w:szCs w:val="21"/>
        </w:rPr>
        <w:t>另有规定外，投标人所递交的投标文件不予退还。</w:t>
      </w:r>
    </w:p>
    <w:p w14:paraId="4776530F">
      <w:pPr>
        <w:ind w:firstLine="420" w:firstLineChars="200"/>
        <w:jc w:val="left"/>
        <w:rPr>
          <w:rFonts w:hint="eastAsia" w:cs="宋体"/>
          <w:color w:val="000000"/>
          <w:szCs w:val="21"/>
        </w:rPr>
      </w:pPr>
      <w:r>
        <w:rPr>
          <w:rFonts w:hint="eastAsia" w:cs="宋体"/>
          <w:b/>
          <w:bCs/>
          <w:color w:val="000000"/>
          <w:szCs w:val="21"/>
        </w:rPr>
        <w:t>25.电子投标文件的修改与撤回</w:t>
      </w:r>
    </w:p>
    <w:p w14:paraId="215D374D">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.1</w:t>
      </w:r>
      <w:r>
        <w:rPr>
          <w:rFonts w:hint="eastAsia" w:cs="宋体"/>
          <w:color w:val="000000"/>
          <w:szCs w:val="21"/>
        </w:rPr>
        <w:t>在投标截止时间前，投标人可以撤回在网上已递交的投标文件，修改后重新上传，无须书面形式通知采购人。</w:t>
      </w:r>
    </w:p>
    <w:p w14:paraId="3EE45CC1">
      <w:pPr>
        <w:ind w:firstLine="420" w:firstLineChars="200"/>
        <w:jc w:val="left"/>
        <w:rPr>
          <w:rFonts w:hint="eastAsia" w:cs="宋体"/>
          <w:color w:val="000000"/>
          <w:szCs w:val="21"/>
        </w:rPr>
      </w:pPr>
      <w:r>
        <w:rPr>
          <w:rFonts w:cs="宋体"/>
          <w:color w:val="000000"/>
          <w:szCs w:val="21"/>
        </w:rPr>
        <w:t>2</w:t>
      </w:r>
      <w:r>
        <w:rPr>
          <w:rFonts w:hint="eastAsia" w:cs="宋体"/>
          <w:color w:val="000000"/>
          <w:szCs w:val="21"/>
        </w:rPr>
        <w:t>5</w:t>
      </w:r>
      <w:r>
        <w:rPr>
          <w:rFonts w:cs="宋体"/>
          <w:color w:val="000000"/>
          <w:szCs w:val="21"/>
        </w:rPr>
        <w:t>.2</w:t>
      </w:r>
      <w:r>
        <w:rPr>
          <w:rFonts w:hint="eastAsia" w:cs="宋体"/>
          <w:color w:val="000000"/>
          <w:szCs w:val="21"/>
        </w:rPr>
        <w:t>修改的投标文件应按照本章第</w:t>
      </w:r>
      <w:r>
        <w:rPr>
          <w:rFonts w:cs="宋体"/>
          <w:color w:val="000000"/>
          <w:szCs w:val="21"/>
        </w:rPr>
        <w:t>2</w:t>
      </w:r>
      <w:r>
        <w:rPr>
          <w:rFonts w:hint="eastAsia" w:cs="宋体"/>
          <w:color w:val="000000"/>
          <w:szCs w:val="21"/>
        </w:rPr>
        <w:t>1款、第</w:t>
      </w:r>
      <w:r>
        <w:rPr>
          <w:rFonts w:cs="宋体"/>
          <w:color w:val="000000"/>
          <w:szCs w:val="21"/>
        </w:rPr>
        <w:t>2</w:t>
      </w:r>
      <w:r>
        <w:rPr>
          <w:rFonts w:hint="eastAsia" w:cs="宋体"/>
          <w:color w:val="000000"/>
          <w:szCs w:val="21"/>
        </w:rPr>
        <w:t>3款的要求进行重新编制、加密和递交。</w:t>
      </w:r>
    </w:p>
    <w:p w14:paraId="0354CF2E">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.3</w:t>
      </w:r>
      <w:r>
        <w:rPr>
          <w:rFonts w:hint="eastAsia" w:cs="宋体"/>
          <w:color w:val="000000"/>
          <w:szCs w:val="21"/>
        </w:rPr>
        <w:t>在投标截止时间后递交的投标文件不予撤回。</w:t>
      </w:r>
    </w:p>
    <w:p w14:paraId="56342D4D">
      <w:pPr>
        <w:pStyle w:val="4"/>
        <w:numPr>
          <w:ilvl w:val="1"/>
          <w:numId w:val="0"/>
        </w:numPr>
        <w:spacing w:before="0"/>
        <w:jc w:val="center"/>
        <w:rPr>
          <w:rFonts w:hint="eastAsia" w:eastAsia="宋体" w:cs="宋体"/>
          <w:szCs w:val="28"/>
        </w:rPr>
      </w:pPr>
      <w:bookmarkStart w:id="96" w:name="_Toc216368756"/>
      <w:bookmarkStart w:id="97" w:name="_Toc27640"/>
      <w:bookmarkStart w:id="98" w:name="_Toc28435"/>
      <w:bookmarkStart w:id="99" w:name="_Toc25979"/>
      <w:r>
        <w:rPr>
          <w:rFonts w:hint="eastAsia" w:eastAsia="宋体" w:cs="宋体"/>
          <w:szCs w:val="28"/>
        </w:rPr>
        <w:t>五、开标与评标</w:t>
      </w:r>
      <w:bookmarkEnd w:id="95"/>
      <w:bookmarkEnd w:id="96"/>
      <w:bookmarkEnd w:id="97"/>
      <w:bookmarkEnd w:id="98"/>
      <w:bookmarkEnd w:id="99"/>
    </w:p>
    <w:p w14:paraId="19FDCCFB">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26.开标</w:t>
      </w:r>
    </w:p>
    <w:p w14:paraId="38AD8B61">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26.1采购代理机构将在“</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”规定的时间和地点进行开标，请各投标人代表准时参加线上开标会。</w:t>
      </w:r>
    </w:p>
    <w:p w14:paraId="74C8EC0A">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26.2投标截止后投标人不足3家的，不得开标。</w:t>
      </w:r>
    </w:p>
    <w:p w14:paraId="5B1439BC">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开标会：开标会由采购代理机构主持，具体流程如下：</w:t>
      </w:r>
    </w:p>
    <w:p w14:paraId="31F7D61C">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（1）采购代理机构依托电子交易平台发起开始解密指令，投标人须使用加密时所用的 CA 锁按平台提示和招标文件的规定登录到“政采云”平台电子开标大厅签到，并在发起解密指令之时起30分钟内完成对电子投标文件在线解密。</w:t>
      </w:r>
    </w:p>
    <w:p w14:paraId="0BDDD0D5">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（2）发起解密指令之时起 5 分钟内投标人还未进行解密的，代理机构可通知投标人，投标人未预留联系方式或预留联系方式无效，导致代理机构无法联系到投标人进行解密的，视为撤回投标文件。</w:t>
      </w:r>
    </w:p>
    <w:p w14:paraId="57A13AFE">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（解密异常情况处理：详见本章 </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9</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电子交易活动的中止）如投标人成功解密投标文件，但未在“政采云”电子开标大厅参加开标的，视同认可开标过程和结果，由此产生的后果由投标人自行负责。</w:t>
      </w:r>
    </w:p>
    <w:p w14:paraId="5F610447">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开标工作人员将做开标记录。</w:t>
      </w:r>
    </w:p>
    <w:p w14:paraId="27EE081D">
      <w:pPr>
        <w:pStyle w:val="23"/>
        <w:ind w:firstLine="420" w:firstLineChars="200"/>
        <w:rPr>
          <w:rFonts w:hint="eastAsia"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26.5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14:paraId="71B9FEB9">
      <w:pPr>
        <w:pStyle w:val="23"/>
        <w:ind w:left="2"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27.资格审查</w:t>
      </w:r>
    </w:p>
    <w:p w14:paraId="076DF646">
      <w:pPr>
        <w:pStyle w:val="23"/>
        <w:ind w:left="2"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27.1开标结束后，采购人或者采购代理机构应当依法对投标人的资格进行审查。合格投标人不足3家的，不得评标。</w:t>
      </w:r>
    </w:p>
    <w:p w14:paraId="208D80AC">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28.评标</w:t>
      </w:r>
    </w:p>
    <w:p w14:paraId="6F8E0486">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28.1评标由采购人依法组建的评标委员会负责。评标委员会由采购人代表和评审专家组成，成员人数应当为5人以上单数，其中评审专家不得少于成员总数的三分之二。评标委员会应当推选组长，但采购人代表不得担任组长。</w:t>
      </w:r>
    </w:p>
    <w:p w14:paraId="365071CE">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采购人委派代表参加评标委员会的，要向采购代理机构出具授权函。</w:t>
      </w:r>
    </w:p>
    <w:p w14:paraId="472ABFAE">
      <w:pPr>
        <w:pStyle w:val="23"/>
        <w:ind w:firstLine="420" w:firstLineChars="200"/>
        <w:rPr>
          <w:rFonts w:hint="eastAsia" w:cs="宋体"/>
          <w:bCs/>
          <w:color w:val="000000" w:themeColor="text1"/>
          <w:szCs w:val="21"/>
          <w14:textFill>
            <w14:solidFill>
              <w14:schemeClr w14:val="tx1"/>
            </w14:solidFill>
          </w14:textFill>
        </w:rPr>
      </w:pPr>
      <w:bookmarkStart w:id="100" w:name="_Toc191374422"/>
      <w:r>
        <w:rPr>
          <w:rFonts w:hint="eastAsia" w:cs="宋体"/>
          <w:bCs/>
          <w:color w:val="000000" w:themeColor="text1"/>
          <w:szCs w:val="21"/>
          <w14:textFill>
            <w14:solidFill>
              <w14:schemeClr w14:val="tx1"/>
            </w14:solidFill>
          </w14:textFill>
        </w:rPr>
        <w:t>28.2评标原则</w:t>
      </w:r>
      <w:bookmarkEnd w:id="100"/>
      <w:r>
        <w:rPr>
          <w:rFonts w:hint="eastAsia" w:cs="宋体"/>
          <w:bCs/>
          <w:color w:val="000000" w:themeColor="text1"/>
          <w:szCs w:val="21"/>
          <w14:textFill>
            <w14:solidFill>
              <w14:schemeClr w14:val="tx1"/>
            </w14:solidFill>
          </w14:textFill>
        </w:rPr>
        <w:t>及方法</w:t>
      </w:r>
    </w:p>
    <w:p w14:paraId="4E0859D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评标活动遵循公平、公正、科学和择优的原则。</w:t>
      </w:r>
    </w:p>
    <w:p w14:paraId="316C6374">
      <w:pPr>
        <w:pStyle w:val="23"/>
        <w:ind w:firstLine="420" w:firstLineChars="200"/>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28.3</w:t>
      </w:r>
      <w:r>
        <w:rPr>
          <w:rFonts w:hint="eastAsia" w:cs="宋体"/>
          <w:bCs/>
          <w:color w:val="000000" w:themeColor="text1"/>
          <w:szCs w:val="21"/>
          <w14:textFill>
            <w14:solidFill>
              <w14:schemeClr w14:val="tx1"/>
            </w14:solidFill>
          </w14:textFill>
        </w:rPr>
        <w:t>评标方法</w:t>
      </w:r>
    </w:p>
    <w:p w14:paraId="26302FC2">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本项目按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规定的评标方法评标。在评标中，不得改变招标文件中规定的评标标准、方法和中标条件。第七章</w:t>
      </w:r>
      <w:r>
        <w:rPr>
          <w:rFonts w:hint="eastAsia" w:cs="宋体"/>
          <w:b/>
          <w:bCs/>
          <w:color w:val="000000" w:themeColor="text1"/>
          <w:szCs w:val="21"/>
          <w14:textFill>
            <w14:solidFill>
              <w14:schemeClr w14:val="tx1"/>
            </w14:solidFill>
          </w14:textFill>
        </w:rPr>
        <w:t>“评标方法”</w:t>
      </w:r>
      <w:r>
        <w:rPr>
          <w:rFonts w:hint="eastAsia" w:cs="宋体"/>
          <w:color w:val="000000" w:themeColor="text1"/>
          <w:szCs w:val="21"/>
          <w14:textFill>
            <w14:solidFill>
              <w14:schemeClr w14:val="tx1"/>
            </w14:solidFill>
          </w14:textFill>
        </w:rPr>
        <w:t>没有规定的评审因素和标准，不作为评标依据。</w:t>
      </w:r>
    </w:p>
    <w:p w14:paraId="21A4FE6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28.4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14:paraId="51C119A6">
      <w:pPr>
        <w:ind w:firstLine="420" w:firstLineChars="200"/>
        <w:rPr>
          <w:rFonts w:hint="eastAsia" w:cs="宋体"/>
          <w:color w:val="000000" w:themeColor="text1"/>
          <w:kern w:val="0"/>
          <w:szCs w:val="21"/>
          <w14:textFill>
            <w14:solidFill>
              <w14:schemeClr w14:val="tx1"/>
            </w14:solidFill>
          </w14:textFill>
        </w:rPr>
      </w:pPr>
      <w:r>
        <w:rPr>
          <w:rFonts w:hint="eastAsia" w:cs="宋体"/>
          <w:color w:val="000000" w:themeColor="text1"/>
          <w:szCs w:val="21"/>
          <w14:textFill>
            <w14:solidFill>
              <w14:schemeClr w14:val="tx1"/>
            </w14:solidFill>
          </w14:textFill>
        </w:rPr>
        <w:t>★28.5</w:t>
      </w:r>
      <w:r>
        <w:rPr>
          <w:rFonts w:hint="eastAsia" w:cs="宋体"/>
          <w:color w:val="000000" w:themeColor="text1"/>
          <w:kern w:val="0"/>
          <w:szCs w:val="21"/>
          <w14:textFill>
            <w14:solidFill>
              <w14:schemeClr w14:val="tx1"/>
            </w14:solidFill>
          </w14:textFill>
        </w:rPr>
        <w:t>在评标过程中，评标委员会发现投标人有本须知第20条款规定的情形，应当认定其投标无效，并书面报告本级财政部门。</w:t>
      </w:r>
    </w:p>
    <w:p w14:paraId="7801D9C8">
      <w:pPr>
        <w:ind w:firstLine="420" w:firstLineChars="200"/>
        <w:rPr>
          <w:rFonts w:hint="eastAsia" w:cs="宋体"/>
          <w:b/>
          <w:bCs/>
          <w:color w:val="000000" w:themeColor="text1"/>
          <w:kern w:val="0"/>
          <w:szCs w:val="21"/>
          <w14:textFill>
            <w14:solidFill>
              <w14:schemeClr w14:val="tx1"/>
            </w14:solidFill>
          </w14:textFill>
        </w:rPr>
      </w:pPr>
      <w:r>
        <w:rPr>
          <w:rFonts w:hint="eastAsia" w:cs="宋体"/>
          <w:b/>
          <w:bCs/>
          <w:color w:val="000000" w:themeColor="text1"/>
          <w:szCs w:val="21"/>
          <w14:textFill>
            <w14:solidFill>
              <w14:schemeClr w14:val="tx1"/>
            </w14:solidFill>
          </w14:textFill>
        </w:rPr>
        <w:t>★28.6有</w:t>
      </w:r>
      <w:r>
        <w:rPr>
          <w:rFonts w:hint="eastAsia" w:cs="宋体"/>
          <w:b/>
          <w:bCs/>
          <w:color w:val="000000" w:themeColor="text1"/>
          <w:kern w:val="0"/>
          <w:szCs w:val="21"/>
          <w14:textFill>
            <w14:solidFill>
              <w14:schemeClr w14:val="tx1"/>
            </w14:solidFill>
          </w14:textFill>
        </w:rPr>
        <w:t>下列情形之一的，视为投标人串通投标，其投标无效：</w:t>
      </w:r>
    </w:p>
    <w:p w14:paraId="7A0CBDBF">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（一）不同投标人的投标文件由同一单位或者个人编制；</w:t>
      </w:r>
    </w:p>
    <w:p w14:paraId="55D83E66">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（二）不同投标人委托同一单位或者个人办理投标事宜；</w:t>
      </w:r>
    </w:p>
    <w:p w14:paraId="63DEAC30">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（三）不同投标人的投标文件载明的项目管理成员或者联系人员为同一人；</w:t>
      </w:r>
    </w:p>
    <w:p w14:paraId="7080A52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（四）不同投标人的投标文件异常一致或者投标报价呈规律性差异；</w:t>
      </w:r>
    </w:p>
    <w:p w14:paraId="124D6CDE">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（五）不同投标人的投标文件相互混装；</w:t>
      </w:r>
    </w:p>
    <w:p w14:paraId="3F563912">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（六）不同投标人的投标保证金从同一单位或者个人的账户转出。</w:t>
      </w:r>
    </w:p>
    <w:p w14:paraId="69D838C2">
      <w:pPr>
        <w:ind w:firstLine="420" w:firstLineChars="200"/>
        <w:rPr>
          <w:rFonts w:hint="eastAsia" w:cs="宋体"/>
          <w:kern w:val="0"/>
          <w:szCs w:val="21"/>
        </w:rPr>
      </w:pPr>
      <w:r>
        <w:rPr>
          <w:rFonts w:hint="eastAsia" w:cs="宋体"/>
          <w:szCs w:val="21"/>
        </w:rPr>
        <w:t>★28.7</w:t>
      </w:r>
      <w:r>
        <w:rPr>
          <w:rFonts w:hint="eastAsia" w:cs="宋体"/>
          <w:b/>
          <w:szCs w:val="21"/>
        </w:rPr>
        <w:t>（适用于综合评分法）提供的核心产品为相同品牌产品且通过资格审查、符合性审查的不同投标人参加同标段下投标的，按一家投标人计算（有效投标人不足3家的，作废标处理），评审后得分最高的同品牌投标人获得中标人推荐资格；评审得分相同的，评标委员会将依次按技术部分得分高优先、价格部分得分高优先、小微企业（</w:t>
      </w:r>
      <w:r>
        <w:rPr>
          <w:rFonts w:hint="eastAsia" w:cs="宋体"/>
          <w:b/>
          <w:bCs/>
          <w:szCs w:val="21"/>
        </w:rPr>
        <w:t>监狱企业、残疾人福利性单位视为小微企业</w:t>
      </w:r>
      <w:r>
        <w:rPr>
          <w:rFonts w:hint="eastAsia" w:cs="宋体"/>
          <w:b/>
          <w:szCs w:val="21"/>
        </w:rPr>
        <w:t>）优先、商务部分得分高优先的顺序确定；所有得分均相等的，核心产品质保期长优先、交货时间短优先、故障到达时间短优先的顺序确定一个投标人获得中标人推荐资格，其他同品牌投标人不作为中标候选人</w:t>
      </w:r>
      <w:r>
        <w:rPr>
          <w:rFonts w:hint="eastAsia" w:cs="宋体"/>
          <w:kern w:val="0"/>
          <w:szCs w:val="21"/>
        </w:rPr>
        <w:t>。</w:t>
      </w:r>
    </w:p>
    <w:p w14:paraId="270666C9">
      <w:pPr>
        <w:ind w:firstLine="420" w:firstLineChars="200"/>
        <w:rPr>
          <w:rFonts w:hint="eastAsia" w:cs="宋体"/>
          <w:kern w:val="0"/>
          <w:szCs w:val="21"/>
        </w:rPr>
      </w:pPr>
      <w:r>
        <w:rPr>
          <w:rFonts w:hint="eastAsia" w:cs="宋体"/>
          <w:szCs w:val="21"/>
        </w:rPr>
        <w:t>★28.8</w:t>
      </w:r>
      <w:r>
        <w:rPr>
          <w:rFonts w:hint="eastAsia" w:cs="宋体"/>
          <w:b/>
          <w:szCs w:val="21"/>
        </w:rPr>
        <w:t>（适用于最低评标价法）</w:t>
      </w:r>
      <w:r>
        <w:rPr>
          <w:rFonts w:hint="eastAsia" w:cs="宋体"/>
          <w:kern w:val="0"/>
          <w:szCs w:val="21"/>
        </w:rPr>
        <w:t>提供相同品牌产品的不同投标人参加同一合同项下投标的，以其中通过资格审查、符合性审查且报价最低的参加评标；报价相同的，评标委员会将依次按核心产品质保期长、交货时间短优先、故障到达时间短优先的顺序确定一个参加评标的投标人，其他投标无效。</w:t>
      </w:r>
    </w:p>
    <w:p w14:paraId="3BA1ED9C">
      <w:pPr>
        <w:ind w:firstLine="420" w:firstLineChars="200"/>
        <w:rPr>
          <w:rFonts w:hint="eastAsia" w:cs="宋体"/>
          <w:kern w:val="0"/>
          <w:szCs w:val="21"/>
        </w:rPr>
      </w:pPr>
      <w:r>
        <w:rPr>
          <w:rFonts w:hint="eastAsia" w:cs="宋体"/>
          <w:szCs w:val="21"/>
        </w:rPr>
        <w:t>28.9若</w:t>
      </w:r>
      <w:r>
        <w:rPr>
          <w:rFonts w:hint="eastAsia" w:cs="宋体"/>
          <w:kern w:val="0"/>
          <w:szCs w:val="21"/>
        </w:rPr>
        <w:t>单个标段为非单一产品采购，对于招标文件第五章规定的核心产品，多家投标人提供的核心产品品牌有一项品牌相同的，按前两款规定处理。</w:t>
      </w:r>
    </w:p>
    <w:p w14:paraId="4E25432D">
      <w:pPr>
        <w:pStyle w:val="23"/>
        <w:ind w:firstLine="420" w:firstLineChars="200"/>
        <w:rPr>
          <w:rFonts w:hint="eastAsia" w:cs="宋体"/>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w:t>
      </w:r>
      <w:r>
        <w:rPr>
          <w:rFonts w:hint="eastAsia"/>
          <w:b/>
          <w:bCs/>
          <w:color w:val="000000" w:themeColor="text1"/>
          <w:szCs w:val="21"/>
          <w14:textFill>
            <w14:solidFill>
              <w14:schemeClr w14:val="tx1"/>
            </w14:solidFill>
          </w14:textFill>
        </w:rPr>
        <w:t>9</w:t>
      </w:r>
      <w:r>
        <w:rPr>
          <w:b/>
          <w:bCs/>
          <w:color w:val="000000" w:themeColor="text1"/>
          <w:szCs w:val="21"/>
          <w14:textFill>
            <w14:solidFill>
              <w14:schemeClr w14:val="tx1"/>
            </w14:solidFill>
          </w14:textFill>
        </w:rPr>
        <w:t>.</w:t>
      </w:r>
      <w:r>
        <w:rPr>
          <w:rFonts w:hint="eastAsia"/>
          <w:b/>
          <w:bCs/>
          <w:color w:val="000000" w:themeColor="text1"/>
          <w:szCs w:val="21"/>
          <w14:textFill>
            <w14:solidFill>
              <w14:schemeClr w14:val="tx1"/>
            </w14:solidFill>
          </w14:textFill>
        </w:rPr>
        <w:t>采购活动的终止</w:t>
      </w:r>
    </w:p>
    <w:p w14:paraId="068EF675">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29.1在招标采购中，出现下列情形之一的，应予废标：</w:t>
      </w:r>
    </w:p>
    <w:p w14:paraId="3591A991">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（1）符合专业条件的投标人或者对招标文件作实质响应的投标人不足3家的；</w:t>
      </w:r>
    </w:p>
    <w:p w14:paraId="3022E8F5">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（2）出现影响采购公正的违法、违规行为的；</w:t>
      </w:r>
    </w:p>
    <w:p w14:paraId="464FCB35">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（3）投标人的报价均超过了采购预算，采购人不能支付的；</w:t>
      </w:r>
    </w:p>
    <w:p w14:paraId="7E337FAD">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（4）因重大变故，采购任务取消的。</w:t>
      </w:r>
    </w:p>
    <w:p w14:paraId="18B5FE5F">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废标后，应当将废标理由通知所有投标人。</w:t>
      </w:r>
    </w:p>
    <w:p w14:paraId="18EC32FE">
      <w:pPr>
        <w:ind w:firstLine="420" w:firstLineChars="20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29</w:t>
      </w: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电子交易活动的中止</w:t>
      </w:r>
    </w:p>
    <w:p w14:paraId="386D01C1">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48E92DE4">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（1）电子交易平台发生故障而无法登录访问的；</w:t>
      </w:r>
    </w:p>
    <w:p w14:paraId="3492696F">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（2）电子交易平台应用或数据库出现错误，不能进行正常操作的；</w:t>
      </w:r>
    </w:p>
    <w:p w14:paraId="6FE3867C">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（3）电子交易平台发现严重安全漏洞，有潜在泄密危险的；</w:t>
      </w:r>
    </w:p>
    <w:p w14:paraId="06AB47F9">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（4）病毒发作导致不能进行正常操作的；</w:t>
      </w:r>
    </w:p>
    <w:p w14:paraId="73F4D7EC">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（5）其他无法保证电子交易的公平、公正和安全的情况。</w:t>
      </w:r>
    </w:p>
    <w:p w14:paraId="61AC5DEC">
      <w:pPr>
        <w:pStyle w:val="23"/>
        <w:ind w:firstLine="420" w:firstLineChars="200"/>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9</w:t>
      </w: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出现2</w:t>
      </w:r>
      <w:r>
        <w:rPr>
          <w:b/>
          <w:color w:val="000000" w:themeColor="text1"/>
          <w:szCs w:val="21"/>
          <w14:textFill>
            <w14:solidFill>
              <w14:schemeClr w14:val="tx1"/>
            </w14:solidFill>
          </w14:textFill>
        </w:rPr>
        <w:t>7.2</w:t>
      </w:r>
      <w:r>
        <w:rPr>
          <w:rFonts w:hint="eastAsia"/>
          <w:b/>
          <w:color w:val="000000" w:themeColor="text1"/>
          <w:szCs w:val="21"/>
          <w14:textFill>
            <w14:solidFill>
              <w14:schemeClr w14:val="tx1"/>
            </w14:solidFill>
          </w14:textFill>
        </w:rPr>
        <w:t>中情形，不影响采购公平、公正性的，采购代理机构可以待上述情形消除后继续组织电子交易活动；影响或可能影响采购公平、公正性的，经采购人确认后，应当重新采购。采购代理机构必须对原有的资料及信息作出妥善保密处理，并报财政部门备案。</w:t>
      </w:r>
    </w:p>
    <w:p w14:paraId="56342D75">
      <w:pPr>
        <w:pStyle w:val="4"/>
        <w:numPr>
          <w:ilvl w:val="1"/>
          <w:numId w:val="0"/>
        </w:numPr>
        <w:spacing w:before="0"/>
        <w:jc w:val="center"/>
        <w:rPr>
          <w:rFonts w:hint="eastAsia" w:eastAsia="宋体" w:cs="宋体"/>
          <w:szCs w:val="28"/>
        </w:rPr>
      </w:pPr>
      <w:bookmarkStart w:id="101" w:name="_Toc25921"/>
      <w:bookmarkStart w:id="102" w:name="_Toc491076993"/>
      <w:bookmarkStart w:id="103" w:name="_Toc216368757"/>
      <w:bookmarkStart w:id="104" w:name="_Toc24605"/>
      <w:bookmarkStart w:id="105" w:name="_Toc15137"/>
      <w:r>
        <w:rPr>
          <w:rFonts w:hint="eastAsia" w:eastAsia="宋体" w:cs="宋体"/>
          <w:szCs w:val="28"/>
        </w:rPr>
        <w:t>六、中标结果</w:t>
      </w:r>
      <w:bookmarkEnd w:id="101"/>
      <w:bookmarkEnd w:id="102"/>
      <w:bookmarkEnd w:id="103"/>
      <w:bookmarkEnd w:id="104"/>
      <w:bookmarkEnd w:id="105"/>
    </w:p>
    <w:p w14:paraId="78EBFFFC">
      <w:pPr>
        <w:ind w:firstLine="420" w:firstLineChars="200"/>
        <w:jc w:val="left"/>
        <w:rPr>
          <w:rFonts w:hint="eastAsia" w:cs="宋体"/>
          <w:b/>
          <w:bCs/>
          <w:color w:val="000000" w:themeColor="text1"/>
          <w:szCs w:val="21"/>
          <w14:textFill>
            <w14:solidFill>
              <w14:schemeClr w14:val="tx1"/>
            </w14:solidFill>
          </w14:textFill>
        </w:rPr>
      </w:pPr>
      <w:bookmarkStart w:id="106" w:name="_Toc491076994"/>
      <w:r>
        <w:rPr>
          <w:rFonts w:hint="eastAsia" w:cs="宋体"/>
          <w:b/>
          <w:bCs/>
          <w:color w:val="000000" w:themeColor="text1"/>
          <w:szCs w:val="21"/>
          <w14:textFill>
            <w14:solidFill>
              <w14:schemeClr w14:val="tx1"/>
            </w14:solidFill>
          </w14:textFill>
        </w:rPr>
        <w:t>30.中标人的确定</w:t>
      </w:r>
    </w:p>
    <w:p w14:paraId="10C86C1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30.1采购代理机构应当在评标结束之日起2个工作日内将评标报告送采购人确认。</w:t>
      </w:r>
    </w:p>
    <w:p w14:paraId="73E6BC6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30.2采购人应当在收到评标报告之日起5个工作日内，在评标报告中推荐的中标候选人中按顺序确定中标人。</w:t>
      </w:r>
    </w:p>
    <w:p w14:paraId="75D61799">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31.中标通知书</w:t>
      </w:r>
    </w:p>
    <w:p w14:paraId="31544FAE">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31.1中标人确定之日起2个工作日内，采购代理机构在上财政部门指定的媒体上公告中标结果，中标公告期限为1个工作日，同时向中标人发出中标通知书。</w:t>
      </w:r>
    </w:p>
    <w:p w14:paraId="0A818CD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31.2中标通知书是合同的一个组成部分。</w:t>
      </w:r>
    </w:p>
    <w:p w14:paraId="27060581">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32.签订合同</w:t>
      </w:r>
    </w:p>
    <w:p w14:paraId="2D0DEC1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32.1采购人与中标人应当在中标通知书发出之日起30日内，按照招标文件和中标人投标文件的规定签订政府采购合同。</w:t>
      </w:r>
    </w:p>
    <w:p w14:paraId="0A264FF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32.2中标人因不可抗力或者自身原因不能履行政府采购合同的，或中标人拒绝与采购人签订合同的，采购人可以按照评标报告推荐的中标候选人名单排序，确定下一候选人为中标人，也可以重新开展政府采购活动。</w:t>
      </w:r>
    </w:p>
    <w:p w14:paraId="7AD5D5D8">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32.3政府采购合同履行中，采购人需追加与合同标的相同的货物的，在不改变合同其他条款的前提下，可以与中标人协商签订补充合同，但所有补充合同的采购金额不得超过原合同采购金额的百分之十。</w:t>
      </w:r>
    </w:p>
    <w:p w14:paraId="7879C4FD">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33.履约保证金</w:t>
      </w:r>
    </w:p>
    <w:p w14:paraId="7287121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33.1签订合同前，中标人应按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上确定的履约保证金的金额，向采购人提交履约保证金，联合体中标的，其履约保证金由牵头人递交。否则，视为放弃中标项目，投标保证金将不予退还。</w:t>
      </w:r>
    </w:p>
    <w:p w14:paraId="56342D82">
      <w:pPr>
        <w:ind w:firstLine="420" w:firstLineChars="200"/>
        <w:jc w:val="left"/>
        <w:rPr>
          <w:rFonts w:hint="eastAsia" w:cs="宋体"/>
          <w:szCs w:val="28"/>
        </w:rPr>
      </w:pPr>
      <w:r>
        <w:rPr>
          <w:rFonts w:hint="eastAsia" w:cs="宋体"/>
          <w:color w:val="000000" w:themeColor="text1"/>
          <w:szCs w:val="21"/>
          <w14:textFill>
            <w14:solidFill>
              <w14:schemeClr w14:val="tx1"/>
            </w14:solidFill>
          </w14:textFill>
        </w:rPr>
        <w:t>33.2签订合同后，如中标人不按双方签订合同约定履约，则没收其全部履约保证金，履约保证金不足以赔偿损失的，按实际损失赔偿。</w:t>
      </w:r>
    </w:p>
    <w:p w14:paraId="56342D83">
      <w:pPr>
        <w:pStyle w:val="4"/>
        <w:numPr>
          <w:ilvl w:val="1"/>
          <w:numId w:val="0"/>
        </w:numPr>
        <w:spacing w:before="0"/>
        <w:jc w:val="center"/>
        <w:rPr>
          <w:rFonts w:hint="eastAsia" w:eastAsia="宋体" w:cs="宋体"/>
          <w:szCs w:val="28"/>
        </w:rPr>
      </w:pPr>
      <w:bookmarkStart w:id="107" w:name="_Toc216368758"/>
      <w:bookmarkStart w:id="108" w:name="_Toc14360"/>
      <w:bookmarkStart w:id="109" w:name="_Toc17375"/>
      <w:bookmarkStart w:id="110" w:name="_Toc22666"/>
      <w:r>
        <w:rPr>
          <w:rFonts w:hint="eastAsia" w:eastAsia="宋体" w:cs="宋体"/>
          <w:szCs w:val="28"/>
        </w:rPr>
        <w:t>七、其他事项</w:t>
      </w:r>
      <w:bookmarkEnd w:id="106"/>
      <w:bookmarkEnd w:id="107"/>
      <w:bookmarkEnd w:id="108"/>
      <w:bookmarkEnd w:id="109"/>
      <w:bookmarkEnd w:id="110"/>
    </w:p>
    <w:p w14:paraId="0A5FEB88">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34.需要补充的其他内容</w:t>
      </w:r>
    </w:p>
    <w:p w14:paraId="4FF68CD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34.1采购代理机构按以下货物招标收费标准以中标金额为计算依据向中标人收取采购代理服务费：</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01"/>
        <w:gridCol w:w="2128"/>
        <w:gridCol w:w="2267"/>
        <w:gridCol w:w="2766"/>
      </w:tblGrid>
      <w:tr w14:paraId="1735E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restart"/>
            <w:vAlign w:val="center"/>
          </w:tcPr>
          <w:p w14:paraId="6D904CF4">
            <w:pPr>
              <w:spacing w:line="276" w:lineRule="auto"/>
              <w:jc w:val="center"/>
              <w:rPr>
                <w:rFonts w:hint="eastAsia" w:cs="宋体"/>
                <w:b/>
                <w:bCs/>
                <w:kern w:val="0"/>
                <w:szCs w:val="21"/>
              </w:rPr>
            </w:pPr>
            <w:r>
              <w:rPr>
                <w:rFonts w:hint="eastAsia" w:cs="宋体"/>
                <w:b/>
                <w:bCs/>
                <w:kern w:val="0"/>
                <w:szCs w:val="21"/>
              </w:rPr>
              <w:t>计价金额</w:t>
            </w:r>
          </w:p>
        </w:tc>
        <w:tc>
          <w:tcPr>
            <w:tcW w:w="3594" w:type="pct"/>
            <w:gridSpan w:val="3"/>
            <w:vAlign w:val="center"/>
          </w:tcPr>
          <w:p w14:paraId="53E51A7C">
            <w:pPr>
              <w:spacing w:line="276" w:lineRule="auto"/>
              <w:jc w:val="center"/>
              <w:rPr>
                <w:rFonts w:hint="eastAsia" w:cs="宋体"/>
                <w:b/>
                <w:bCs/>
                <w:kern w:val="0"/>
                <w:szCs w:val="21"/>
              </w:rPr>
            </w:pPr>
            <w:r>
              <w:rPr>
                <w:rFonts w:hint="eastAsia" w:cs="宋体"/>
                <w:b/>
                <w:bCs/>
                <w:kern w:val="0"/>
                <w:szCs w:val="21"/>
              </w:rPr>
              <w:t>服务类型</w:t>
            </w:r>
          </w:p>
        </w:tc>
      </w:tr>
      <w:tr w14:paraId="43CC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0AAAA300">
            <w:pPr>
              <w:spacing w:line="276" w:lineRule="auto"/>
              <w:jc w:val="center"/>
              <w:rPr>
                <w:rFonts w:hint="eastAsia" w:cs="宋体"/>
                <w:b/>
                <w:bCs/>
                <w:kern w:val="0"/>
                <w:szCs w:val="21"/>
              </w:rPr>
            </w:pPr>
          </w:p>
        </w:tc>
        <w:tc>
          <w:tcPr>
            <w:tcW w:w="1068" w:type="pct"/>
            <w:vAlign w:val="center"/>
          </w:tcPr>
          <w:p w14:paraId="4F3BEDEC">
            <w:pPr>
              <w:spacing w:line="276" w:lineRule="auto"/>
              <w:jc w:val="center"/>
              <w:rPr>
                <w:rFonts w:hint="eastAsia" w:cs="宋体"/>
                <w:b/>
                <w:bCs/>
                <w:kern w:val="0"/>
                <w:szCs w:val="21"/>
              </w:rPr>
            </w:pPr>
            <w:r>
              <w:rPr>
                <w:rFonts w:hint="eastAsia" w:cs="宋体"/>
                <w:b/>
                <w:bCs/>
                <w:kern w:val="0"/>
                <w:szCs w:val="21"/>
              </w:rPr>
              <w:t>货物招标</w:t>
            </w:r>
          </w:p>
        </w:tc>
        <w:tc>
          <w:tcPr>
            <w:tcW w:w="1138" w:type="pct"/>
            <w:vAlign w:val="center"/>
          </w:tcPr>
          <w:p w14:paraId="4923560B">
            <w:pPr>
              <w:spacing w:line="276" w:lineRule="auto"/>
              <w:jc w:val="center"/>
              <w:rPr>
                <w:rFonts w:hint="eastAsia" w:cs="宋体"/>
                <w:b/>
                <w:bCs/>
                <w:kern w:val="0"/>
                <w:szCs w:val="21"/>
              </w:rPr>
            </w:pPr>
            <w:r>
              <w:rPr>
                <w:rFonts w:hint="eastAsia" w:cs="宋体"/>
                <w:b/>
                <w:bCs/>
                <w:kern w:val="0"/>
                <w:szCs w:val="21"/>
              </w:rPr>
              <w:t>服务招标</w:t>
            </w:r>
          </w:p>
        </w:tc>
        <w:tc>
          <w:tcPr>
            <w:tcW w:w="1388" w:type="pct"/>
            <w:vAlign w:val="center"/>
          </w:tcPr>
          <w:p w14:paraId="6BA8BFA2">
            <w:pPr>
              <w:spacing w:line="276" w:lineRule="auto"/>
              <w:jc w:val="center"/>
              <w:rPr>
                <w:rFonts w:hint="eastAsia" w:cs="宋体"/>
                <w:b/>
                <w:bCs/>
                <w:kern w:val="0"/>
                <w:szCs w:val="21"/>
              </w:rPr>
            </w:pPr>
            <w:r>
              <w:rPr>
                <w:rFonts w:hint="eastAsia" w:cs="宋体"/>
                <w:b/>
                <w:bCs/>
                <w:kern w:val="0"/>
                <w:szCs w:val="21"/>
              </w:rPr>
              <w:t>工程招标</w:t>
            </w:r>
          </w:p>
        </w:tc>
      </w:tr>
      <w:tr w14:paraId="1AD96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18BC856D">
            <w:pPr>
              <w:spacing w:line="276" w:lineRule="auto"/>
              <w:jc w:val="center"/>
              <w:rPr>
                <w:rFonts w:hint="eastAsia" w:cs="宋体"/>
                <w:b/>
                <w:bCs/>
                <w:kern w:val="0"/>
                <w:szCs w:val="21"/>
              </w:rPr>
            </w:pPr>
          </w:p>
        </w:tc>
        <w:tc>
          <w:tcPr>
            <w:tcW w:w="3594" w:type="pct"/>
            <w:gridSpan w:val="3"/>
            <w:vAlign w:val="center"/>
          </w:tcPr>
          <w:p w14:paraId="13576564">
            <w:pPr>
              <w:spacing w:line="276" w:lineRule="auto"/>
              <w:jc w:val="center"/>
              <w:rPr>
                <w:rFonts w:hint="eastAsia" w:cs="宋体"/>
                <w:b/>
                <w:bCs/>
                <w:kern w:val="0"/>
                <w:szCs w:val="21"/>
              </w:rPr>
            </w:pPr>
            <w:r>
              <w:rPr>
                <w:rFonts w:hint="eastAsia" w:cs="宋体"/>
                <w:b/>
                <w:bCs/>
                <w:kern w:val="0"/>
                <w:szCs w:val="21"/>
              </w:rPr>
              <w:t>费率</w:t>
            </w:r>
          </w:p>
        </w:tc>
      </w:tr>
      <w:tr w14:paraId="0CA18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19FC249">
            <w:pPr>
              <w:spacing w:line="276" w:lineRule="auto"/>
              <w:jc w:val="center"/>
              <w:rPr>
                <w:rFonts w:hint="eastAsia" w:cs="宋体"/>
                <w:szCs w:val="21"/>
              </w:rPr>
            </w:pPr>
            <w:r>
              <w:rPr>
                <w:rFonts w:hint="eastAsia" w:cs="宋体"/>
                <w:szCs w:val="21"/>
              </w:rPr>
              <w:t>50万元及以下</w:t>
            </w:r>
          </w:p>
        </w:tc>
        <w:tc>
          <w:tcPr>
            <w:tcW w:w="3594" w:type="pct"/>
            <w:gridSpan w:val="3"/>
            <w:vAlign w:val="center"/>
          </w:tcPr>
          <w:p w14:paraId="08ED2498">
            <w:pPr>
              <w:spacing w:line="276" w:lineRule="auto"/>
              <w:jc w:val="center"/>
              <w:rPr>
                <w:rFonts w:hint="eastAsia" w:cs="宋体"/>
                <w:szCs w:val="21"/>
              </w:rPr>
            </w:pPr>
            <w:r>
              <w:rPr>
                <w:rFonts w:hint="eastAsia" w:cs="宋体"/>
                <w:szCs w:val="21"/>
              </w:rPr>
              <w:t>0.70万元</w:t>
            </w:r>
          </w:p>
        </w:tc>
      </w:tr>
      <w:tr w14:paraId="3FA5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9BC378">
            <w:pPr>
              <w:spacing w:line="276" w:lineRule="auto"/>
              <w:jc w:val="center"/>
              <w:rPr>
                <w:rFonts w:hint="eastAsia" w:cs="宋体"/>
                <w:szCs w:val="21"/>
              </w:rPr>
            </w:pPr>
            <w:r>
              <w:rPr>
                <w:rFonts w:hint="eastAsia" w:cs="宋体"/>
                <w:szCs w:val="21"/>
              </w:rPr>
              <w:t>50-100万元(含)</w:t>
            </w:r>
          </w:p>
        </w:tc>
        <w:tc>
          <w:tcPr>
            <w:tcW w:w="3594" w:type="pct"/>
            <w:gridSpan w:val="3"/>
            <w:vAlign w:val="center"/>
          </w:tcPr>
          <w:p w14:paraId="11A69B6D">
            <w:pPr>
              <w:spacing w:line="276" w:lineRule="auto"/>
              <w:jc w:val="center"/>
              <w:rPr>
                <w:rFonts w:hint="eastAsia" w:cs="宋体"/>
                <w:szCs w:val="21"/>
              </w:rPr>
            </w:pPr>
            <w:r>
              <w:rPr>
                <w:rFonts w:hint="eastAsia" w:cs="宋体"/>
                <w:szCs w:val="21"/>
              </w:rPr>
              <w:t>1.5%</w:t>
            </w:r>
          </w:p>
        </w:tc>
      </w:tr>
      <w:tr w14:paraId="3778A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4860FDD8">
            <w:pPr>
              <w:spacing w:line="276" w:lineRule="auto"/>
              <w:jc w:val="center"/>
              <w:rPr>
                <w:rFonts w:hint="eastAsia" w:cs="宋体"/>
                <w:szCs w:val="21"/>
              </w:rPr>
            </w:pPr>
            <w:r>
              <w:rPr>
                <w:rFonts w:hint="eastAsia" w:cs="宋体"/>
                <w:szCs w:val="21"/>
              </w:rPr>
              <w:t>100-500万元(含)</w:t>
            </w:r>
          </w:p>
        </w:tc>
        <w:tc>
          <w:tcPr>
            <w:tcW w:w="1068" w:type="pct"/>
            <w:vAlign w:val="center"/>
          </w:tcPr>
          <w:p w14:paraId="4BF733BD">
            <w:pPr>
              <w:spacing w:line="276" w:lineRule="auto"/>
              <w:jc w:val="center"/>
              <w:rPr>
                <w:rFonts w:hint="eastAsia" w:cs="宋体"/>
                <w:szCs w:val="21"/>
              </w:rPr>
            </w:pPr>
            <w:r>
              <w:rPr>
                <w:rFonts w:hint="eastAsia" w:cs="宋体"/>
                <w:szCs w:val="21"/>
              </w:rPr>
              <w:t>1.30%</w:t>
            </w:r>
          </w:p>
        </w:tc>
        <w:tc>
          <w:tcPr>
            <w:tcW w:w="1138" w:type="pct"/>
            <w:vAlign w:val="center"/>
          </w:tcPr>
          <w:p w14:paraId="6588C58E">
            <w:pPr>
              <w:spacing w:line="276" w:lineRule="auto"/>
              <w:jc w:val="center"/>
              <w:rPr>
                <w:rFonts w:hint="eastAsia" w:cs="宋体"/>
                <w:szCs w:val="21"/>
              </w:rPr>
            </w:pPr>
            <w:r>
              <w:rPr>
                <w:rFonts w:hint="eastAsia" w:cs="宋体"/>
                <w:szCs w:val="21"/>
              </w:rPr>
              <w:t>1.30%</w:t>
            </w:r>
          </w:p>
        </w:tc>
        <w:tc>
          <w:tcPr>
            <w:tcW w:w="1388" w:type="pct"/>
            <w:vAlign w:val="center"/>
          </w:tcPr>
          <w:p w14:paraId="4B0FC801">
            <w:pPr>
              <w:spacing w:line="276" w:lineRule="auto"/>
              <w:jc w:val="center"/>
              <w:rPr>
                <w:rFonts w:hint="eastAsia" w:cs="宋体"/>
                <w:szCs w:val="21"/>
              </w:rPr>
            </w:pPr>
            <w:r>
              <w:rPr>
                <w:rFonts w:hint="eastAsia" w:cs="宋体"/>
                <w:szCs w:val="21"/>
              </w:rPr>
              <w:t>1.00%</w:t>
            </w:r>
          </w:p>
        </w:tc>
      </w:tr>
      <w:tr w14:paraId="47501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6C3DF8">
            <w:pPr>
              <w:spacing w:line="276" w:lineRule="auto"/>
              <w:jc w:val="center"/>
              <w:rPr>
                <w:rFonts w:hint="eastAsia" w:cs="宋体"/>
                <w:szCs w:val="21"/>
              </w:rPr>
            </w:pPr>
            <w:r>
              <w:rPr>
                <w:rFonts w:hint="eastAsia" w:cs="宋体"/>
                <w:szCs w:val="21"/>
              </w:rPr>
              <w:t>500-1000万元(含)</w:t>
            </w:r>
          </w:p>
        </w:tc>
        <w:tc>
          <w:tcPr>
            <w:tcW w:w="1068" w:type="pct"/>
            <w:vAlign w:val="center"/>
          </w:tcPr>
          <w:p w14:paraId="72921A1F">
            <w:pPr>
              <w:spacing w:line="276" w:lineRule="auto"/>
              <w:jc w:val="center"/>
              <w:rPr>
                <w:rFonts w:hint="eastAsia" w:cs="宋体"/>
                <w:szCs w:val="21"/>
              </w:rPr>
            </w:pPr>
            <w:r>
              <w:rPr>
                <w:rFonts w:hint="eastAsia" w:cs="宋体"/>
                <w:szCs w:val="21"/>
              </w:rPr>
              <w:t>1.00%</w:t>
            </w:r>
          </w:p>
        </w:tc>
        <w:tc>
          <w:tcPr>
            <w:tcW w:w="1138" w:type="pct"/>
            <w:vAlign w:val="center"/>
          </w:tcPr>
          <w:p w14:paraId="6A011EF4">
            <w:pPr>
              <w:spacing w:line="276" w:lineRule="auto"/>
              <w:jc w:val="center"/>
              <w:rPr>
                <w:rFonts w:hint="eastAsia" w:cs="宋体"/>
                <w:szCs w:val="21"/>
              </w:rPr>
            </w:pPr>
            <w:r>
              <w:rPr>
                <w:rFonts w:hint="eastAsia" w:cs="宋体"/>
                <w:szCs w:val="21"/>
              </w:rPr>
              <w:t>0.50%</w:t>
            </w:r>
          </w:p>
        </w:tc>
        <w:tc>
          <w:tcPr>
            <w:tcW w:w="1388" w:type="pct"/>
            <w:vAlign w:val="center"/>
          </w:tcPr>
          <w:p w14:paraId="480D750B">
            <w:pPr>
              <w:spacing w:line="276" w:lineRule="auto"/>
              <w:jc w:val="center"/>
              <w:rPr>
                <w:rFonts w:hint="eastAsia" w:cs="宋体"/>
                <w:szCs w:val="21"/>
              </w:rPr>
            </w:pPr>
            <w:r>
              <w:rPr>
                <w:rFonts w:hint="eastAsia" w:cs="宋体"/>
                <w:szCs w:val="21"/>
              </w:rPr>
              <w:t>0.70%</w:t>
            </w:r>
          </w:p>
        </w:tc>
      </w:tr>
      <w:tr w14:paraId="79F91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B26717">
            <w:pPr>
              <w:spacing w:line="276" w:lineRule="auto"/>
              <w:jc w:val="center"/>
              <w:rPr>
                <w:rFonts w:hint="eastAsia" w:cs="宋体"/>
                <w:szCs w:val="21"/>
              </w:rPr>
            </w:pPr>
            <w:r>
              <w:rPr>
                <w:rFonts w:hint="eastAsia" w:cs="宋体"/>
                <w:szCs w:val="21"/>
              </w:rPr>
              <w:t>1000-5000万元(含)</w:t>
            </w:r>
          </w:p>
        </w:tc>
        <w:tc>
          <w:tcPr>
            <w:tcW w:w="1068" w:type="pct"/>
            <w:vAlign w:val="center"/>
          </w:tcPr>
          <w:p w14:paraId="0829C8F5">
            <w:pPr>
              <w:spacing w:line="276" w:lineRule="auto"/>
              <w:jc w:val="center"/>
              <w:rPr>
                <w:rFonts w:hint="eastAsia" w:cs="宋体"/>
                <w:szCs w:val="21"/>
              </w:rPr>
            </w:pPr>
            <w:r>
              <w:rPr>
                <w:rFonts w:hint="eastAsia" w:cs="宋体"/>
                <w:szCs w:val="21"/>
              </w:rPr>
              <w:t>0.70%</w:t>
            </w:r>
          </w:p>
        </w:tc>
        <w:tc>
          <w:tcPr>
            <w:tcW w:w="1138" w:type="pct"/>
            <w:vAlign w:val="center"/>
          </w:tcPr>
          <w:p w14:paraId="460F0C30">
            <w:pPr>
              <w:spacing w:line="276" w:lineRule="auto"/>
              <w:jc w:val="center"/>
              <w:rPr>
                <w:rFonts w:hint="eastAsia" w:cs="宋体"/>
                <w:szCs w:val="21"/>
              </w:rPr>
            </w:pPr>
            <w:r>
              <w:rPr>
                <w:rFonts w:hint="eastAsia" w:cs="宋体"/>
                <w:szCs w:val="21"/>
              </w:rPr>
              <w:t>0.40%</w:t>
            </w:r>
          </w:p>
        </w:tc>
        <w:tc>
          <w:tcPr>
            <w:tcW w:w="1388" w:type="pct"/>
            <w:vAlign w:val="center"/>
          </w:tcPr>
          <w:p w14:paraId="4A535538">
            <w:pPr>
              <w:spacing w:line="276" w:lineRule="auto"/>
              <w:jc w:val="center"/>
              <w:rPr>
                <w:rFonts w:hint="eastAsia" w:cs="宋体"/>
                <w:szCs w:val="21"/>
              </w:rPr>
            </w:pPr>
            <w:r>
              <w:rPr>
                <w:rFonts w:hint="eastAsia" w:cs="宋体"/>
                <w:szCs w:val="21"/>
              </w:rPr>
              <w:t>0.40%</w:t>
            </w:r>
          </w:p>
        </w:tc>
      </w:tr>
      <w:tr w14:paraId="0F3BE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3F5EF8">
            <w:pPr>
              <w:spacing w:line="276" w:lineRule="auto"/>
              <w:jc w:val="center"/>
              <w:rPr>
                <w:rFonts w:hint="eastAsia" w:cs="宋体"/>
                <w:szCs w:val="21"/>
              </w:rPr>
            </w:pPr>
            <w:r>
              <w:rPr>
                <w:rFonts w:hint="eastAsia" w:cs="宋体"/>
                <w:szCs w:val="21"/>
              </w:rPr>
              <w:t>5000万元-1亿元(含)</w:t>
            </w:r>
          </w:p>
        </w:tc>
        <w:tc>
          <w:tcPr>
            <w:tcW w:w="1068" w:type="pct"/>
            <w:vAlign w:val="center"/>
          </w:tcPr>
          <w:p w14:paraId="4B2B371F">
            <w:pPr>
              <w:spacing w:line="276" w:lineRule="auto"/>
              <w:jc w:val="center"/>
              <w:rPr>
                <w:rFonts w:hint="eastAsia" w:cs="宋体"/>
                <w:szCs w:val="21"/>
              </w:rPr>
            </w:pPr>
            <w:r>
              <w:rPr>
                <w:rFonts w:hint="eastAsia" w:cs="宋体"/>
                <w:szCs w:val="21"/>
              </w:rPr>
              <w:t>0.25%</w:t>
            </w:r>
          </w:p>
        </w:tc>
        <w:tc>
          <w:tcPr>
            <w:tcW w:w="1138" w:type="pct"/>
            <w:vAlign w:val="center"/>
          </w:tcPr>
          <w:p w14:paraId="53EE70BC">
            <w:pPr>
              <w:spacing w:line="276" w:lineRule="auto"/>
              <w:jc w:val="center"/>
              <w:rPr>
                <w:rFonts w:hint="eastAsia" w:cs="宋体"/>
                <w:szCs w:val="21"/>
              </w:rPr>
            </w:pPr>
            <w:r>
              <w:rPr>
                <w:rFonts w:hint="eastAsia" w:cs="宋体"/>
                <w:szCs w:val="21"/>
              </w:rPr>
              <w:t>0.10%</w:t>
            </w:r>
          </w:p>
        </w:tc>
        <w:tc>
          <w:tcPr>
            <w:tcW w:w="1388" w:type="pct"/>
            <w:vAlign w:val="center"/>
          </w:tcPr>
          <w:p w14:paraId="7D67B948">
            <w:pPr>
              <w:spacing w:line="276" w:lineRule="auto"/>
              <w:jc w:val="center"/>
              <w:rPr>
                <w:rFonts w:hint="eastAsia" w:cs="宋体"/>
                <w:szCs w:val="21"/>
              </w:rPr>
            </w:pPr>
            <w:r>
              <w:rPr>
                <w:rFonts w:hint="eastAsia" w:cs="宋体"/>
                <w:szCs w:val="21"/>
              </w:rPr>
              <w:t>0.25%</w:t>
            </w:r>
          </w:p>
        </w:tc>
      </w:tr>
      <w:tr w14:paraId="708B6B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0864C4C4">
            <w:pPr>
              <w:spacing w:line="276" w:lineRule="auto"/>
              <w:jc w:val="center"/>
              <w:rPr>
                <w:rFonts w:hint="eastAsia" w:cs="宋体"/>
                <w:szCs w:val="21"/>
              </w:rPr>
            </w:pPr>
            <w:r>
              <w:rPr>
                <w:rFonts w:hint="eastAsia" w:cs="宋体"/>
                <w:szCs w:val="21"/>
              </w:rPr>
              <w:t>1亿元-5亿元(含)</w:t>
            </w:r>
          </w:p>
        </w:tc>
        <w:tc>
          <w:tcPr>
            <w:tcW w:w="3594" w:type="pct"/>
            <w:gridSpan w:val="3"/>
            <w:vAlign w:val="center"/>
          </w:tcPr>
          <w:p w14:paraId="1CDD4ACD">
            <w:pPr>
              <w:spacing w:line="276" w:lineRule="auto"/>
              <w:jc w:val="center"/>
              <w:rPr>
                <w:rFonts w:hint="eastAsia" w:cs="宋体"/>
                <w:szCs w:val="21"/>
              </w:rPr>
            </w:pPr>
            <w:r>
              <w:rPr>
                <w:rFonts w:hint="eastAsia" w:cs="宋体"/>
                <w:szCs w:val="21"/>
              </w:rPr>
              <w:t>0.05%</w:t>
            </w:r>
          </w:p>
        </w:tc>
      </w:tr>
      <w:tr w14:paraId="21B94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FB2417B">
            <w:pPr>
              <w:spacing w:line="276" w:lineRule="auto"/>
              <w:jc w:val="center"/>
              <w:rPr>
                <w:rFonts w:hint="eastAsia" w:cs="宋体"/>
                <w:szCs w:val="21"/>
              </w:rPr>
            </w:pPr>
            <w:r>
              <w:rPr>
                <w:rFonts w:hint="eastAsia" w:cs="宋体"/>
                <w:szCs w:val="21"/>
              </w:rPr>
              <w:t>5亿元一10亿元(含)</w:t>
            </w:r>
          </w:p>
        </w:tc>
        <w:tc>
          <w:tcPr>
            <w:tcW w:w="3594" w:type="pct"/>
            <w:gridSpan w:val="3"/>
            <w:vAlign w:val="center"/>
          </w:tcPr>
          <w:p w14:paraId="6486C826">
            <w:pPr>
              <w:spacing w:line="276" w:lineRule="auto"/>
              <w:jc w:val="center"/>
              <w:rPr>
                <w:rFonts w:hint="eastAsia" w:cs="宋体"/>
                <w:szCs w:val="21"/>
              </w:rPr>
            </w:pPr>
            <w:r>
              <w:rPr>
                <w:rFonts w:hint="eastAsia" w:cs="宋体"/>
                <w:szCs w:val="21"/>
              </w:rPr>
              <w:t>0.035%</w:t>
            </w:r>
          </w:p>
        </w:tc>
      </w:tr>
      <w:tr w14:paraId="5644D2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5C5A8BF2">
            <w:pPr>
              <w:spacing w:line="276" w:lineRule="auto"/>
              <w:jc w:val="center"/>
              <w:rPr>
                <w:rFonts w:hint="eastAsia" w:cs="宋体"/>
                <w:szCs w:val="21"/>
              </w:rPr>
            </w:pPr>
            <w:r>
              <w:rPr>
                <w:rFonts w:hint="eastAsia" w:cs="宋体"/>
                <w:szCs w:val="21"/>
              </w:rPr>
              <w:t>10亿元以上</w:t>
            </w:r>
          </w:p>
        </w:tc>
        <w:tc>
          <w:tcPr>
            <w:tcW w:w="3594" w:type="pct"/>
            <w:gridSpan w:val="3"/>
            <w:vAlign w:val="center"/>
          </w:tcPr>
          <w:p w14:paraId="18B797BC">
            <w:pPr>
              <w:spacing w:line="276" w:lineRule="auto"/>
              <w:jc w:val="center"/>
              <w:rPr>
                <w:rFonts w:hint="eastAsia" w:cs="宋体"/>
                <w:szCs w:val="21"/>
              </w:rPr>
            </w:pPr>
            <w:r>
              <w:rPr>
                <w:rFonts w:hint="eastAsia" w:cs="宋体"/>
                <w:szCs w:val="21"/>
              </w:rPr>
              <w:t>0.008%</w:t>
            </w:r>
          </w:p>
        </w:tc>
      </w:tr>
    </w:tbl>
    <w:p w14:paraId="5ABFF35F">
      <w:pPr>
        <w:ind w:firstLine="420" w:firstLineChars="200"/>
        <w:rPr>
          <w:rFonts w:hint="eastAsia" w:cs="宋体"/>
          <w:kern w:val="0"/>
          <w:szCs w:val="21"/>
        </w:rPr>
      </w:pPr>
      <w:r>
        <w:rPr>
          <w:rFonts w:hint="eastAsia" w:cs="宋体"/>
          <w:kern w:val="0"/>
          <w:szCs w:val="21"/>
        </w:rPr>
        <w:t>备注：招标代理服务收费按差额定率累进法计算。</w:t>
      </w:r>
    </w:p>
    <w:p w14:paraId="10E86453">
      <w:pPr>
        <w:ind w:firstLine="420" w:firstLineChars="200"/>
        <w:jc w:val="left"/>
        <w:rPr>
          <w:rFonts w:hint="eastAsia" w:cs="宋体"/>
          <w:szCs w:val="21"/>
        </w:rPr>
      </w:pPr>
      <w:r>
        <w:rPr>
          <w:rFonts w:hint="eastAsia" w:cs="宋体"/>
          <w:color w:val="000000" w:themeColor="text1"/>
          <w:szCs w:val="21"/>
          <w14:textFill>
            <w14:solidFill>
              <w14:schemeClr w14:val="tx1"/>
            </w14:solidFill>
          </w14:textFill>
        </w:rPr>
        <w:t>34.2中标人应在接受“中标通知书”前向采购代理机构一次付清代理服务费，若因中标人未缴纳代理服务费，采购代理机构有权向有关部门提取诉讼。</w:t>
      </w:r>
    </w:p>
    <w:p w14:paraId="3E5D6B57">
      <w:pPr>
        <w:ind w:firstLine="420" w:firstLineChars="200"/>
        <w:jc w:val="left"/>
        <w:rPr>
          <w:rFonts w:hint="eastAsia" w:cs="宋体"/>
          <w:b/>
          <w:bCs/>
          <w:szCs w:val="21"/>
        </w:rPr>
      </w:pPr>
      <w:r>
        <w:rPr>
          <w:rFonts w:hint="eastAsia" w:cs="宋体"/>
          <w:b/>
          <w:bCs/>
          <w:szCs w:val="21"/>
        </w:rPr>
        <w:t>34.3代理服务费收款账户信息同投标保证金收款账户信息，银行附言要求：在进行对公缴款时，请中标人在银行附言栏次注明“标段编号+款项性质”。如：“E53LX032500XXXX+代理费”。</w:t>
      </w:r>
    </w:p>
    <w:p w14:paraId="20EBC25F">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35.招标文件编制依据</w:t>
      </w:r>
    </w:p>
    <w:p w14:paraId="0F8C8138">
      <w:pPr>
        <w:pStyle w:val="23"/>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35.1本招标文件根据《中华人民共和国政府采购法》及相关法律法规编制。</w:t>
      </w:r>
    </w:p>
    <w:p w14:paraId="1C45F87E">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36.</w:t>
      </w:r>
      <w:r>
        <w:rPr>
          <w:rFonts w:hint="eastAsia"/>
          <w:b/>
          <w:color w:val="000000" w:themeColor="text1"/>
          <w:szCs w:val="21"/>
          <w14:textFill>
            <w14:solidFill>
              <w14:schemeClr w14:val="tx1"/>
            </w14:solidFill>
          </w14:textFill>
        </w:rPr>
        <w:t>需要补充的其他内容</w:t>
      </w:r>
    </w:p>
    <w:p w14:paraId="435AC7A0">
      <w:pPr>
        <w:pStyle w:val="23"/>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.1“</w:t>
      </w:r>
      <w:r>
        <w:rPr>
          <w:b/>
          <w:color w:val="000000" w:themeColor="text1"/>
          <w:szCs w:val="21"/>
          <w14:textFill>
            <w14:solidFill>
              <w14:schemeClr w14:val="tx1"/>
            </w14:solidFill>
          </w14:textFill>
        </w:rPr>
        <w:t>投标人须知前附表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中若</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可以接受</w:t>
      </w:r>
      <w:r>
        <w:rPr>
          <w:color w:val="000000" w:themeColor="text1"/>
          <w:szCs w:val="21"/>
          <w14:textFill>
            <w14:solidFill>
              <w14:schemeClr w14:val="tx1"/>
            </w14:solidFill>
          </w14:textFill>
        </w:rPr>
        <w:t>备选方案</w:t>
      </w:r>
      <w:r>
        <w:rPr>
          <w:rFonts w:hint="eastAsia"/>
          <w:color w:val="000000" w:themeColor="text1"/>
          <w:szCs w:val="21"/>
          <w14:textFill>
            <w14:solidFill>
              <w14:schemeClr w14:val="tx1"/>
            </w14:solidFill>
          </w14:textFill>
        </w:rPr>
        <w:t>的，投标人在投标文件中只能提供一个备选方案，并注明主选方案，且备选方案的投标价格不得高于主选方案。凡提供两个以上备选方案或未注明主选方案的，该投标将被视为未实质性响应招标文件要求。评标委员会在对有备选方案的投标人进行评审时，应当以</w:t>
      </w:r>
      <w:r>
        <w:rPr>
          <w:color w:val="000000" w:themeColor="text1"/>
          <w:szCs w:val="21"/>
          <w14:textFill>
            <w14:solidFill>
              <w14:schemeClr w14:val="tx1"/>
            </w14:solidFill>
          </w14:textFill>
        </w:rPr>
        <w:t>主选方案</w:t>
      </w:r>
      <w:r>
        <w:rPr>
          <w:rFonts w:hint="eastAsia"/>
          <w:color w:val="000000" w:themeColor="text1"/>
          <w:szCs w:val="21"/>
          <w14:textFill>
            <w14:solidFill>
              <w14:schemeClr w14:val="tx1"/>
            </w14:solidFill>
          </w14:textFill>
        </w:rPr>
        <w:t>为准进行</w:t>
      </w:r>
      <w:r>
        <w:rPr>
          <w:color w:val="000000" w:themeColor="text1"/>
          <w:szCs w:val="21"/>
          <w14:textFill>
            <w14:solidFill>
              <w14:schemeClr w14:val="tx1"/>
            </w14:solidFill>
          </w14:textFill>
        </w:rPr>
        <w:t>评</w:t>
      </w:r>
      <w:r>
        <w:rPr>
          <w:rFonts w:hint="eastAsia"/>
          <w:color w:val="000000" w:themeColor="text1"/>
          <w:szCs w:val="21"/>
          <w14:textFill>
            <w14:solidFill>
              <w14:schemeClr w14:val="tx1"/>
            </w14:solidFill>
          </w14:textFill>
        </w:rPr>
        <w:t>审，如考虑备选方案的，备选方案必须实质性响应招标文件要求</w:t>
      </w:r>
      <w:r>
        <w:rPr>
          <w:color w:val="000000" w:themeColor="text1"/>
          <w:szCs w:val="21"/>
          <w14:textFill>
            <w14:solidFill>
              <w14:schemeClr w14:val="tx1"/>
            </w14:solidFill>
          </w14:textFill>
        </w:rPr>
        <w:t>。</w:t>
      </w:r>
    </w:p>
    <w:p w14:paraId="63D1C9FD">
      <w:pPr>
        <w:widowControl/>
        <w:ind w:firstLine="420" w:firstLineChars="200"/>
        <w:jc w:val="left"/>
        <w:rPr>
          <w:rFonts w:hint="eastAsia" w:cs="宋体"/>
          <w:szCs w:val="21"/>
        </w:rPr>
      </w:pPr>
      <w:r>
        <w:rPr>
          <w:rFonts w:hint="eastAsia"/>
          <w:color w:val="000000" w:themeColor="text1"/>
          <w:szCs w:val="21"/>
          <w14:textFill>
            <w14:solidFill>
              <w14:schemeClr w14:val="tx1"/>
            </w14:solidFill>
          </w14:textFill>
        </w:rPr>
        <w:t>36.2其它需要补充的其他内容：见</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w:t>
      </w:r>
      <w:r>
        <w:rPr>
          <w:rFonts w:hint="eastAsia" w:cs="宋体"/>
          <w:szCs w:val="21"/>
        </w:rPr>
        <w:br w:type="page"/>
      </w:r>
    </w:p>
    <w:p w14:paraId="023ED7AA">
      <w:pPr>
        <w:keepNext/>
        <w:keepLines/>
        <w:tabs>
          <w:tab w:val="left" w:pos="360"/>
        </w:tabs>
        <w:adjustRightInd w:val="0"/>
        <w:spacing w:before="120"/>
        <w:jc w:val="center"/>
        <w:textAlignment w:val="baseline"/>
        <w:outlineLvl w:val="0"/>
        <w:rPr>
          <w:rFonts w:hint="eastAsia" w:cs="宋体"/>
          <w:kern w:val="44"/>
          <w:sz w:val="36"/>
          <w:szCs w:val="20"/>
        </w:rPr>
      </w:pPr>
      <w:bookmarkStart w:id="111" w:name="_Toc194694396"/>
      <w:bookmarkStart w:id="112" w:name="_Toc22772"/>
      <w:bookmarkStart w:id="113" w:name="_Toc331685783"/>
      <w:bookmarkStart w:id="114" w:name="_Toc32200"/>
      <w:bookmarkStart w:id="115" w:name="_Toc18866"/>
      <w:bookmarkStart w:id="116" w:name="_Hlk17287648"/>
      <w:r>
        <w:rPr>
          <w:rFonts w:hint="eastAsia" w:cs="宋体"/>
          <w:b/>
          <w:bCs/>
          <w:kern w:val="44"/>
          <w:sz w:val="36"/>
          <w:szCs w:val="20"/>
        </w:rPr>
        <w:t>第三章 合同书样式及主要条款</w:t>
      </w:r>
      <w:bookmarkEnd w:id="111"/>
      <w:bookmarkEnd w:id="112"/>
    </w:p>
    <w:p w14:paraId="3FE445B0">
      <w:pPr>
        <w:spacing w:line="240" w:lineRule="auto"/>
        <w:jc w:val="center"/>
        <w:rPr>
          <w:rFonts w:hint="eastAsia" w:cs="宋体"/>
          <w:b/>
          <w:szCs w:val="16"/>
        </w:rPr>
      </w:pPr>
      <w:r>
        <w:rPr>
          <w:rFonts w:hint="eastAsia" w:cs="宋体"/>
          <w:b/>
          <w:szCs w:val="16"/>
        </w:rPr>
        <w:t>（最终合同以双方协商确定为准）</w:t>
      </w:r>
    </w:p>
    <w:p w14:paraId="33523BDF">
      <w:pPr>
        <w:tabs>
          <w:tab w:val="left" w:pos="2611"/>
        </w:tabs>
        <w:spacing w:line="240" w:lineRule="auto"/>
        <w:jc w:val="center"/>
        <w:rPr>
          <w:rFonts w:hint="eastAsia" w:cs="华文中宋"/>
          <w:b/>
          <w:sz w:val="72"/>
          <w:szCs w:val="44"/>
        </w:rPr>
      </w:pPr>
    </w:p>
    <w:p w14:paraId="74CF96B3">
      <w:pPr>
        <w:tabs>
          <w:tab w:val="left" w:pos="2611"/>
        </w:tabs>
        <w:spacing w:line="240" w:lineRule="auto"/>
        <w:jc w:val="center"/>
        <w:rPr>
          <w:rFonts w:hint="eastAsia" w:cs="华文中宋"/>
          <w:b/>
          <w:sz w:val="72"/>
          <w:szCs w:val="44"/>
        </w:rPr>
      </w:pPr>
    </w:p>
    <w:p w14:paraId="5AD5562C">
      <w:pPr>
        <w:tabs>
          <w:tab w:val="left" w:pos="2611"/>
        </w:tabs>
        <w:spacing w:line="240" w:lineRule="auto"/>
        <w:jc w:val="center"/>
        <w:rPr>
          <w:rFonts w:hint="eastAsia" w:cs="华文中宋"/>
          <w:b/>
          <w:sz w:val="72"/>
          <w:szCs w:val="44"/>
        </w:rPr>
      </w:pPr>
      <w:r>
        <w:rPr>
          <w:rFonts w:hint="eastAsia" w:cs="华文中宋"/>
          <w:b/>
          <w:sz w:val="72"/>
          <w:szCs w:val="44"/>
        </w:rPr>
        <w:t>政府采购合同</w:t>
      </w:r>
    </w:p>
    <w:p w14:paraId="4557CDA5">
      <w:pPr>
        <w:spacing w:after="160" w:line="240" w:lineRule="auto"/>
        <w:jc w:val="center"/>
        <w:rPr>
          <w:rFonts w:hint="eastAsia"/>
          <w:b/>
          <w:bCs/>
          <w:sz w:val="26"/>
          <w:szCs w:val="20"/>
        </w:rPr>
      </w:pPr>
      <w:r>
        <w:rPr>
          <w:b/>
          <w:bCs/>
          <w:sz w:val="26"/>
          <w:szCs w:val="20"/>
        </w:rPr>
        <w:t>(</w:t>
      </w:r>
      <w:r>
        <w:rPr>
          <w:rFonts w:hint="eastAsia"/>
          <w:b/>
          <w:bCs/>
          <w:sz w:val="26"/>
          <w:szCs w:val="20"/>
        </w:rPr>
        <w:t>电子交易项目适用）</w:t>
      </w:r>
    </w:p>
    <w:p w14:paraId="54790FDA">
      <w:pPr>
        <w:tabs>
          <w:tab w:val="left" w:pos="2611"/>
        </w:tabs>
        <w:spacing w:line="240" w:lineRule="auto"/>
        <w:ind w:left="720"/>
        <w:jc w:val="center"/>
        <w:rPr>
          <w:rFonts w:hint="eastAsia"/>
          <w:b/>
          <w:sz w:val="27"/>
        </w:rPr>
      </w:pPr>
    </w:p>
    <w:p w14:paraId="43620107">
      <w:pPr>
        <w:spacing w:line="240" w:lineRule="auto"/>
        <w:rPr>
          <w:rFonts w:hint="eastAsia" w:cs="华文中宋"/>
          <w:b/>
          <w:sz w:val="28"/>
          <w:szCs w:val="28"/>
        </w:rPr>
      </w:pPr>
    </w:p>
    <w:p w14:paraId="21CE336D">
      <w:pPr>
        <w:rPr>
          <w:rFonts w:hint="eastAsia"/>
          <w:b/>
          <w:spacing w:val="-8"/>
          <w:szCs w:val="20"/>
        </w:rPr>
      </w:pPr>
    </w:p>
    <w:p w14:paraId="7E9793D1">
      <w:pPr>
        <w:rPr>
          <w:rFonts w:hint="eastAsia"/>
        </w:rPr>
      </w:pPr>
    </w:p>
    <w:p w14:paraId="180EB41C">
      <w:pPr>
        <w:spacing w:line="600" w:lineRule="auto"/>
        <w:ind w:left="1050" w:leftChars="500"/>
        <w:rPr>
          <w:rFonts w:hint="eastAsia"/>
          <w:b/>
          <w:bCs/>
          <w:sz w:val="36"/>
          <w:szCs w:val="36"/>
          <w:u w:val="single"/>
        </w:rPr>
      </w:pPr>
      <w:r>
        <w:rPr>
          <w:rFonts w:hint="eastAsia"/>
          <w:b/>
          <w:bCs/>
          <w:sz w:val="36"/>
          <w:szCs w:val="36"/>
        </w:rPr>
        <w:t>项目名称：</w:t>
      </w:r>
      <w:r>
        <w:rPr>
          <w:rFonts w:hint="eastAsia"/>
          <w:b/>
          <w:bCs/>
          <w:sz w:val="36"/>
          <w:szCs w:val="36"/>
          <w:u w:val="single"/>
        </w:rPr>
        <w:t xml:space="preserve">                        </w:t>
      </w:r>
    </w:p>
    <w:p w14:paraId="07206154">
      <w:pPr>
        <w:spacing w:line="600" w:lineRule="auto"/>
        <w:ind w:left="1050" w:leftChars="500"/>
        <w:rPr>
          <w:rFonts w:hint="eastAsia" w:cs="华文中宋"/>
          <w:b/>
          <w:bCs/>
          <w:sz w:val="36"/>
          <w:szCs w:val="36"/>
        </w:rPr>
      </w:pPr>
      <w:r>
        <w:rPr>
          <w:rFonts w:hint="eastAsia" w:cs="华文中宋"/>
          <w:b/>
          <w:bCs/>
          <w:sz w:val="36"/>
          <w:szCs w:val="36"/>
        </w:rPr>
        <w:t>合同编号：</w:t>
      </w:r>
      <w:r>
        <w:rPr>
          <w:rFonts w:hint="eastAsia"/>
          <w:b/>
          <w:bCs/>
          <w:sz w:val="36"/>
          <w:szCs w:val="36"/>
          <w:u w:val="single"/>
        </w:rPr>
        <w:t xml:space="preserve">                        </w:t>
      </w:r>
    </w:p>
    <w:p w14:paraId="00428E1D">
      <w:pPr>
        <w:spacing w:line="600" w:lineRule="auto"/>
        <w:ind w:left="1050" w:leftChars="500"/>
        <w:rPr>
          <w:rFonts w:hint="eastAsia" w:cs="华文中宋"/>
          <w:b/>
          <w:bCs/>
          <w:sz w:val="36"/>
          <w:szCs w:val="36"/>
        </w:rPr>
      </w:pPr>
      <w:r>
        <w:rPr>
          <w:rFonts w:hint="eastAsia" w:cs="华文中宋"/>
          <w:b/>
          <w:bCs/>
          <w:sz w:val="36"/>
          <w:szCs w:val="36"/>
        </w:rPr>
        <w:t>自 编 号：</w:t>
      </w:r>
      <w:r>
        <w:rPr>
          <w:rFonts w:hint="eastAsia"/>
          <w:b/>
          <w:bCs/>
          <w:sz w:val="36"/>
          <w:szCs w:val="36"/>
          <w:u w:val="single"/>
        </w:rPr>
        <w:t xml:space="preserve">                        </w:t>
      </w:r>
    </w:p>
    <w:p w14:paraId="1452A3AA">
      <w:pPr>
        <w:spacing w:line="600" w:lineRule="auto"/>
        <w:ind w:left="1050" w:leftChars="500"/>
        <w:rPr>
          <w:rFonts w:hint="eastAsia"/>
          <w:b/>
          <w:bCs/>
          <w:spacing w:val="-8"/>
          <w:sz w:val="36"/>
          <w:szCs w:val="36"/>
        </w:rPr>
      </w:pPr>
      <w:r>
        <w:rPr>
          <w:rFonts w:hint="eastAsia"/>
          <w:b/>
          <w:bCs/>
          <w:sz w:val="36"/>
          <w:szCs w:val="36"/>
        </w:rPr>
        <w:t>甲    方</w:t>
      </w:r>
      <w:r>
        <w:rPr>
          <w:rFonts w:hint="eastAsia"/>
          <w:b/>
          <w:bCs/>
          <w:spacing w:val="-8"/>
          <w:sz w:val="36"/>
          <w:szCs w:val="36"/>
        </w:rPr>
        <w:t>：</w:t>
      </w:r>
      <w:r>
        <w:rPr>
          <w:rFonts w:hint="eastAsia"/>
          <w:b/>
          <w:bCs/>
          <w:sz w:val="36"/>
          <w:szCs w:val="36"/>
          <w:u w:val="single"/>
        </w:rPr>
        <w:t xml:space="preserve">                        </w:t>
      </w:r>
    </w:p>
    <w:p w14:paraId="415D5BEB">
      <w:pPr>
        <w:spacing w:line="600" w:lineRule="auto"/>
        <w:ind w:left="1050" w:leftChars="500"/>
        <w:rPr>
          <w:rFonts w:hint="eastAsia"/>
          <w:b/>
          <w:bCs/>
          <w:sz w:val="36"/>
          <w:szCs w:val="36"/>
        </w:rPr>
      </w:pPr>
      <w:r>
        <w:rPr>
          <w:rFonts w:hint="eastAsia"/>
          <w:b/>
          <w:bCs/>
          <w:sz w:val="36"/>
          <w:szCs w:val="36"/>
        </w:rPr>
        <w:t>乙    方：</w:t>
      </w:r>
      <w:r>
        <w:rPr>
          <w:rFonts w:hint="eastAsia"/>
          <w:b/>
          <w:bCs/>
          <w:sz w:val="36"/>
          <w:szCs w:val="36"/>
          <w:u w:val="single"/>
        </w:rPr>
        <w:t xml:space="preserve">                        </w:t>
      </w:r>
    </w:p>
    <w:p w14:paraId="359C2031">
      <w:pPr>
        <w:spacing w:line="240" w:lineRule="auto"/>
        <w:rPr>
          <w:rFonts w:hint="eastAsia" w:cs="宋体"/>
          <w:b/>
          <w:bCs/>
          <w:spacing w:val="-20"/>
          <w:kern w:val="44"/>
          <w:sz w:val="48"/>
          <w:szCs w:val="48"/>
        </w:rPr>
      </w:pPr>
    </w:p>
    <w:p w14:paraId="418BD157">
      <w:pPr>
        <w:widowControl/>
        <w:spacing w:after="160" w:line="278" w:lineRule="auto"/>
        <w:jc w:val="left"/>
        <w:rPr>
          <w:rFonts w:hint="eastAsia" w:cs="宋体"/>
          <w:b/>
          <w:bCs/>
          <w:spacing w:val="-20"/>
          <w:kern w:val="44"/>
          <w:sz w:val="48"/>
          <w:szCs w:val="48"/>
        </w:rPr>
      </w:pPr>
      <w:r>
        <w:rPr>
          <w:rFonts w:hint="eastAsia" w:cs="宋体"/>
          <w:b/>
          <w:bCs/>
          <w:spacing w:val="-20"/>
          <w:kern w:val="44"/>
          <w:sz w:val="48"/>
          <w:szCs w:val="48"/>
        </w:rPr>
        <w:br w:type="page"/>
      </w:r>
    </w:p>
    <w:p w14:paraId="2BEAD2C5">
      <w:pPr>
        <w:spacing w:line="240" w:lineRule="auto"/>
        <w:jc w:val="center"/>
        <w:rPr>
          <w:rFonts w:hint="eastAsia" w:cs="宋体"/>
          <w:b/>
          <w:bCs/>
          <w:spacing w:val="-20"/>
          <w:kern w:val="44"/>
          <w:sz w:val="48"/>
          <w:szCs w:val="48"/>
        </w:rPr>
      </w:pPr>
    </w:p>
    <w:p w14:paraId="6AA49313">
      <w:pPr>
        <w:spacing w:line="240" w:lineRule="auto"/>
        <w:jc w:val="center"/>
        <w:rPr>
          <w:rFonts w:hint="eastAsia" w:cs="宋体"/>
          <w:b/>
          <w:bCs/>
          <w:spacing w:val="-20"/>
          <w:kern w:val="44"/>
          <w:sz w:val="48"/>
          <w:szCs w:val="48"/>
        </w:rPr>
      </w:pPr>
    </w:p>
    <w:p w14:paraId="46AB32FE">
      <w:pPr>
        <w:spacing w:line="240" w:lineRule="auto"/>
        <w:jc w:val="center"/>
        <w:rPr>
          <w:rFonts w:hint="eastAsia" w:cs="宋体"/>
          <w:b/>
          <w:bCs/>
          <w:spacing w:val="-20"/>
          <w:kern w:val="44"/>
          <w:sz w:val="48"/>
          <w:szCs w:val="48"/>
        </w:rPr>
      </w:pPr>
    </w:p>
    <w:p w14:paraId="30D0141D">
      <w:pPr>
        <w:spacing w:line="240" w:lineRule="auto"/>
        <w:jc w:val="center"/>
        <w:rPr>
          <w:rFonts w:hint="eastAsia" w:cs="宋体"/>
          <w:b/>
          <w:bCs/>
          <w:spacing w:val="-20"/>
          <w:kern w:val="44"/>
          <w:sz w:val="48"/>
          <w:szCs w:val="48"/>
        </w:rPr>
      </w:pPr>
      <w:r>
        <w:rPr>
          <w:rFonts w:hint="eastAsia" w:cs="宋体"/>
          <w:b/>
          <w:bCs/>
          <w:spacing w:val="-20"/>
          <w:kern w:val="44"/>
          <w:sz w:val="48"/>
          <w:szCs w:val="48"/>
        </w:rPr>
        <w:t>政府采购货物买卖合同</w:t>
      </w:r>
    </w:p>
    <w:p w14:paraId="39A06E35">
      <w:pPr>
        <w:spacing w:line="240" w:lineRule="auto"/>
        <w:jc w:val="center"/>
        <w:rPr>
          <w:rFonts w:hint="eastAsia" w:cs="宋体"/>
          <w:b/>
          <w:bCs/>
          <w:spacing w:val="-20"/>
          <w:kern w:val="44"/>
          <w:sz w:val="48"/>
          <w:szCs w:val="48"/>
        </w:rPr>
      </w:pPr>
      <w:r>
        <w:rPr>
          <w:rFonts w:hint="eastAsia" w:cs="宋体"/>
          <w:b/>
          <w:bCs/>
          <w:spacing w:val="-20"/>
          <w:kern w:val="44"/>
          <w:sz w:val="48"/>
          <w:szCs w:val="48"/>
        </w:rPr>
        <w:t>（试行）</w:t>
      </w:r>
    </w:p>
    <w:p w14:paraId="5AB0C0A4">
      <w:pPr>
        <w:spacing w:line="240" w:lineRule="auto"/>
        <w:rPr>
          <w:rFonts w:hint="eastAsia" w:cs="宋体"/>
          <w:b/>
          <w:bCs/>
          <w:spacing w:val="-20"/>
          <w:kern w:val="44"/>
          <w:sz w:val="40"/>
          <w:szCs w:val="40"/>
        </w:rPr>
      </w:pPr>
    </w:p>
    <w:p w14:paraId="49DB482B">
      <w:pPr>
        <w:spacing w:line="240" w:lineRule="auto"/>
        <w:rPr>
          <w:rFonts w:hint="eastAsia" w:cs="宋体"/>
          <w:b/>
          <w:bCs/>
          <w:spacing w:val="-20"/>
          <w:kern w:val="44"/>
          <w:sz w:val="40"/>
          <w:szCs w:val="40"/>
        </w:rPr>
      </w:pPr>
    </w:p>
    <w:p w14:paraId="7C6C655F">
      <w:pPr>
        <w:spacing w:line="240" w:lineRule="auto"/>
        <w:rPr>
          <w:rFonts w:hint="eastAsia" w:cs="宋体"/>
          <w:b/>
          <w:bCs/>
          <w:spacing w:val="-20"/>
          <w:kern w:val="44"/>
          <w:sz w:val="40"/>
          <w:szCs w:val="40"/>
        </w:rPr>
      </w:pPr>
    </w:p>
    <w:p w14:paraId="6579DFDA">
      <w:pPr>
        <w:spacing w:line="240" w:lineRule="auto"/>
        <w:rPr>
          <w:rFonts w:hint="eastAsia" w:cs="宋体"/>
          <w:b/>
          <w:bCs/>
          <w:spacing w:val="-20"/>
          <w:kern w:val="44"/>
          <w:sz w:val="40"/>
          <w:szCs w:val="40"/>
        </w:rPr>
      </w:pPr>
    </w:p>
    <w:p w14:paraId="0F8D8F3B">
      <w:pPr>
        <w:spacing w:line="240" w:lineRule="auto"/>
        <w:rPr>
          <w:rFonts w:hint="eastAsia" w:cs="宋体"/>
          <w:b/>
          <w:bCs/>
          <w:spacing w:val="-20"/>
          <w:kern w:val="44"/>
          <w:sz w:val="40"/>
          <w:szCs w:val="40"/>
        </w:rPr>
      </w:pPr>
    </w:p>
    <w:p w14:paraId="44BC8687">
      <w:pPr>
        <w:spacing w:line="240" w:lineRule="auto"/>
        <w:rPr>
          <w:rFonts w:hint="eastAsia" w:cs="宋体"/>
          <w:b/>
          <w:bCs/>
          <w:spacing w:val="-20"/>
          <w:kern w:val="44"/>
          <w:sz w:val="40"/>
          <w:szCs w:val="40"/>
        </w:rPr>
      </w:pPr>
    </w:p>
    <w:p w14:paraId="0F81B672">
      <w:pPr>
        <w:spacing w:line="480" w:lineRule="auto"/>
        <w:ind w:left="1757" w:leftChars="837"/>
        <w:rPr>
          <w:rFonts w:hint="eastAsia"/>
          <w:b/>
          <w:bCs/>
          <w:sz w:val="32"/>
          <w:szCs w:val="32"/>
        </w:rPr>
      </w:pPr>
      <w:r>
        <w:rPr>
          <w:rFonts w:hint="eastAsia" w:cs="宋体"/>
          <w:b/>
          <w:bCs/>
          <w:kern w:val="0"/>
          <w:sz w:val="32"/>
          <w:szCs w:val="32"/>
        </w:rPr>
        <w:t>项目名称：</w:t>
      </w:r>
      <w:r>
        <w:rPr>
          <w:rFonts w:hint="eastAsia"/>
          <w:b/>
          <w:bCs/>
          <w:sz w:val="32"/>
          <w:szCs w:val="32"/>
          <w:u w:val="single"/>
        </w:rPr>
        <w:t xml:space="preserve">                             </w:t>
      </w:r>
    </w:p>
    <w:p w14:paraId="7E40FF3D">
      <w:pPr>
        <w:spacing w:line="480" w:lineRule="auto"/>
        <w:ind w:left="1757" w:leftChars="837"/>
        <w:rPr>
          <w:rFonts w:hint="eastAsia"/>
          <w:b/>
          <w:bCs/>
          <w:sz w:val="32"/>
          <w:szCs w:val="32"/>
          <w:u w:val="single"/>
        </w:rPr>
      </w:pPr>
      <w:r>
        <w:rPr>
          <w:rFonts w:hint="eastAsia"/>
          <w:b/>
          <w:bCs/>
          <w:sz w:val="32"/>
          <w:szCs w:val="32"/>
        </w:rPr>
        <w:t>合同编号：</w:t>
      </w:r>
      <w:r>
        <w:rPr>
          <w:rFonts w:hint="eastAsia"/>
          <w:b/>
          <w:bCs/>
          <w:sz w:val="32"/>
          <w:szCs w:val="32"/>
          <w:u w:val="single"/>
        </w:rPr>
        <w:t xml:space="preserve">                             </w:t>
      </w:r>
    </w:p>
    <w:p w14:paraId="1E8CC079">
      <w:pPr>
        <w:spacing w:line="480" w:lineRule="auto"/>
        <w:ind w:left="1757" w:leftChars="837"/>
        <w:rPr>
          <w:rFonts w:hint="eastAsia"/>
          <w:b/>
          <w:bCs/>
          <w:sz w:val="32"/>
          <w:szCs w:val="32"/>
        </w:rPr>
      </w:pPr>
      <w:r>
        <w:rPr>
          <w:rFonts w:hint="eastAsia"/>
          <w:b/>
          <w:bCs/>
          <w:sz w:val="32"/>
          <w:szCs w:val="32"/>
        </w:rPr>
        <w:t>甲    方：</w:t>
      </w:r>
      <w:r>
        <w:rPr>
          <w:rFonts w:hint="eastAsia"/>
          <w:b/>
          <w:bCs/>
          <w:sz w:val="32"/>
          <w:szCs w:val="32"/>
          <w:u w:val="single"/>
        </w:rPr>
        <w:t xml:space="preserve">                             </w:t>
      </w:r>
    </w:p>
    <w:p w14:paraId="18C0986F">
      <w:pPr>
        <w:spacing w:line="480" w:lineRule="auto"/>
        <w:ind w:left="1757" w:leftChars="837"/>
        <w:rPr>
          <w:rFonts w:hint="eastAsia"/>
          <w:b/>
          <w:bCs/>
          <w:sz w:val="32"/>
          <w:szCs w:val="32"/>
          <w:u w:val="single"/>
        </w:rPr>
      </w:pPr>
      <w:r>
        <w:rPr>
          <w:rFonts w:hint="eastAsia"/>
          <w:b/>
          <w:bCs/>
          <w:sz w:val="32"/>
          <w:szCs w:val="32"/>
        </w:rPr>
        <w:t>乙    方：</w:t>
      </w:r>
      <w:r>
        <w:rPr>
          <w:rFonts w:hint="eastAsia"/>
          <w:b/>
          <w:bCs/>
          <w:sz w:val="32"/>
          <w:szCs w:val="32"/>
          <w:u w:val="single"/>
        </w:rPr>
        <w:t xml:space="preserve">                             </w:t>
      </w:r>
    </w:p>
    <w:p w14:paraId="2FA48FD3">
      <w:pPr>
        <w:spacing w:line="480" w:lineRule="auto"/>
        <w:ind w:left="1757" w:leftChars="837"/>
        <w:rPr>
          <w:rFonts w:hint="eastAsia"/>
          <w:b/>
          <w:bCs/>
          <w:sz w:val="32"/>
          <w:szCs w:val="32"/>
        </w:rPr>
      </w:pPr>
      <w:r>
        <w:rPr>
          <w:rFonts w:hint="eastAsia"/>
          <w:b/>
          <w:bCs/>
          <w:sz w:val="32"/>
          <w:szCs w:val="32"/>
        </w:rPr>
        <w:t>签订时间：</w:t>
      </w:r>
      <w:r>
        <w:rPr>
          <w:rFonts w:hint="eastAsia"/>
          <w:b/>
          <w:bCs/>
          <w:sz w:val="32"/>
          <w:szCs w:val="32"/>
          <w:u w:val="single"/>
        </w:rPr>
        <w:t xml:space="preserve">      </w:t>
      </w:r>
      <w:r>
        <w:rPr>
          <w:b/>
          <w:bCs/>
          <w:sz w:val="32"/>
          <w:szCs w:val="32"/>
          <w:u w:val="single"/>
        </w:rPr>
        <w:t xml:space="preserve">           </w:t>
      </w:r>
      <w:r>
        <w:rPr>
          <w:rFonts w:hint="eastAsia"/>
          <w:b/>
          <w:bCs/>
          <w:sz w:val="32"/>
          <w:szCs w:val="32"/>
          <w:u w:val="single"/>
        </w:rPr>
        <w:t xml:space="preserve">            </w:t>
      </w:r>
    </w:p>
    <w:p w14:paraId="572E5FA7">
      <w:pPr>
        <w:spacing w:line="240" w:lineRule="auto"/>
        <w:rPr>
          <w:rFonts w:hint="eastAsia"/>
        </w:rPr>
      </w:pPr>
    </w:p>
    <w:p w14:paraId="291866E1">
      <w:pPr>
        <w:spacing w:line="240" w:lineRule="auto"/>
        <w:rPr>
          <w:rFonts w:hint="eastAsia"/>
          <w:sz w:val="44"/>
          <w:szCs w:val="44"/>
        </w:rPr>
      </w:pPr>
      <w:r>
        <w:rPr>
          <w:sz w:val="44"/>
          <w:szCs w:val="44"/>
        </w:rPr>
        <w:br w:type="page"/>
      </w:r>
    </w:p>
    <w:p w14:paraId="282F9E15">
      <w:pPr>
        <w:spacing w:line="240" w:lineRule="auto"/>
        <w:jc w:val="center"/>
        <w:rPr>
          <w:rFonts w:hint="eastAsia"/>
          <w:b/>
          <w:bCs/>
          <w:sz w:val="44"/>
          <w:szCs w:val="44"/>
        </w:rPr>
      </w:pPr>
      <w:r>
        <w:rPr>
          <w:rFonts w:hint="eastAsia"/>
          <w:b/>
          <w:bCs/>
          <w:sz w:val="44"/>
          <w:szCs w:val="44"/>
        </w:rPr>
        <w:t>使 用 说 明</w:t>
      </w:r>
    </w:p>
    <w:p w14:paraId="45D04506">
      <w:pPr>
        <w:spacing w:line="240" w:lineRule="auto"/>
        <w:ind w:firstLine="640" w:firstLineChars="200"/>
        <w:rPr>
          <w:rFonts w:hint="eastAsia" w:cs="仿宋_GB2312"/>
          <w:sz w:val="32"/>
          <w:szCs w:val="32"/>
        </w:rPr>
      </w:pPr>
    </w:p>
    <w:p w14:paraId="61F4D643">
      <w:pPr>
        <w:spacing w:line="240" w:lineRule="auto"/>
        <w:ind w:firstLine="560" w:firstLineChars="200"/>
        <w:rPr>
          <w:rFonts w:hint="eastAsia" w:cs="仿宋_GB2312"/>
          <w:sz w:val="28"/>
          <w:szCs w:val="28"/>
        </w:rPr>
      </w:pPr>
      <w:r>
        <w:rPr>
          <w:rFonts w:hint="eastAsia" w:cs="仿宋_GB2312"/>
          <w:sz w:val="28"/>
          <w:szCs w:val="28"/>
        </w:rPr>
        <w:t>1.本合同标准文本适用于购买现成货物的采购项目，不包括需要供应商定制开发、创新研发的货物采购项目。</w:t>
      </w:r>
    </w:p>
    <w:p w14:paraId="08CCB570">
      <w:pPr>
        <w:spacing w:line="240" w:lineRule="auto"/>
        <w:rPr>
          <w:rFonts w:hint="eastAsia"/>
          <w:sz w:val="40"/>
          <w:szCs w:val="40"/>
        </w:rPr>
      </w:pPr>
      <w:r>
        <w:rPr>
          <w:rFonts w:hint="eastAsia"/>
          <w:sz w:val="40"/>
          <w:szCs w:val="40"/>
        </w:rPr>
        <w:t xml:space="preserve">   </w:t>
      </w:r>
      <w:r>
        <w:rPr>
          <w:rFonts w:hint="eastAsia" w:cs="仿宋_GB2312"/>
          <w:sz w:val="28"/>
          <w:szCs w:val="28"/>
        </w:rPr>
        <w:t>2.本合同标准文本为政府采购货物买卖合同编制提供参考，可以结合采购项目具体情况，对文本作必要的调整修订后使用。</w:t>
      </w:r>
    </w:p>
    <w:p w14:paraId="30594F26">
      <w:pPr>
        <w:spacing w:line="240" w:lineRule="auto"/>
        <w:ind w:firstLine="560" w:firstLineChars="200"/>
        <w:rPr>
          <w:rFonts w:hint="eastAsia" w:cs="仿宋_GB2312"/>
          <w:sz w:val="28"/>
          <w:szCs w:val="28"/>
        </w:rPr>
      </w:pPr>
      <w:r>
        <w:rPr>
          <w:rFonts w:hint="eastAsia" w:cs="仿宋_GB2312"/>
          <w:sz w:val="28"/>
          <w:szCs w:val="28"/>
        </w:rPr>
        <w:t>3.本合同标准文本各条款中，如涉及填写多家供应商、制造商，多种采购标的、分包主要内容等信息的，可根据采购项目具体情况添加信息项。</w:t>
      </w:r>
    </w:p>
    <w:p w14:paraId="6D3E26E4">
      <w:pPr>
        <w:spacing w:line="240" w:lineRule="auto"/>
        <w:ind w:firstLine="880" w:firstLineChars="200"/>
        <w:rPr>
          <w:rFonts w:hint="eastAsia"/>
          <w:sz w:val="44"/>
          <w:szCs w:val="44"/>
        </w:rPr>
      </w:pPr>
    </w:p>
    <w:p w14:paraId="0466DA9D">
      <w:pPr>
        <w:widowControl/>
        <w:spacing w:after="160" w:line="278" w:lineRule="auto"/>
        <w:jc w:val="left"/>
        <w:rPr>
          <w:rFonts w:hint="eastAsia"/>
          <w:sz w:val="44"/>
          <w:szCs w:val="44"/>
        </w:rPr>
      </w:pPr>
      <w:r>
        <w:rPr>
          <w:rFonts w:hint="eastAsia"/>
          <w:sz w:val="44"/>
          <w:szCs w:val="44"/>
        </w:rPr>
        <w:br w:type="page"/>
      </w:r>
    </w:p>
    <w:p w14:paraId="78DD6E28">
      <w:pPr>
        <w:keepNext/>
        <w:tabs>
          <w:tab w:val="left" w:pos="596"/>
        </w:tabs>
        <w:jc w:val="center"/>
        <w:outlineLvl w:val="1"/>
        <w:rPr>
          <w:rFonts w:hint="eastAsia" w:cs="宋体"/>
          <w:b/>
          <w:bCs/>
          <w:kern w:val="0"/>
          <w:sz w:val="28"/>
          <w:szCs w:val="28"/>
        </w:rPr>
      </w:pPr>
      <w:bookmarkStart w:id="117" w:name="_Toc194694397"/>
      <w:bookmarkStart w:id="118" w:name="_Toc22209"/>
      <w:bookmarkStart w:id="119" w:name="_Toc216724733"/>
      <w:bookmarkStart w:id="120" w:name="_Toc29366"/>
      <w:r>
        <w:rPr>
          <w:rFonts w:hint="eastAsia" w:cs="宋体"/>
          <w:b/>
          <w:bCs/>
          <w:kern w:val="0"/>
          <w:sz w:val="28"/>
          <w:szCs w:val="28"/>
        </w:rPr>
        <w:t>第一节 政府采购合同协议书</w:t>
      </w:r>
      <w:bookmarkEnd w:id="117"/>
      <w:bookmarkEnd w:id="118"/>
      <w:bookmarkEnd w:id="119"/>
      <w:bookmarkEnd w:id="120"/>
    </w:p>
    <w:p w14:paraId="61D7EC6A">
      <w:pPr>
        <w:spacing w:line="240" w:lineRule="auto"/>
        <w:rPr>
          <w:rFonts w:hint="eastAsia"/>
        </w:rPr>
      </w:pPr>
    </w:p>
    <w:p w14:paraId="33959053">
      <w:pPr>
        <w:rPr>
          <w:rFonts w:hint="eastAsia" w:cs="宋体"/>
          <w:b/>
          <w:bCs/>
          <w:szCs w:val="21"/>
        </w:rPr>
      </w:pPr>
      <w:r>
        <w:rPr>
          <w:rFonts w:hint="eastAsia" w:cs="宋体"/>
          <w:b/>
          <w:bCs/>
          <w:szCs w:val="21"/>
        </w:rPr>
        <w:t>甲方（全称）：</w:t>
      </w:r>
      <w:r>
        <w:rPr>
          <w:rFonts w:hint="eastAsia" w:cs="宋体"/>
          <w:b/>
          <w:bCs/>
          <w:szCs w:val="21"/>
          <w:u w:val="single"/>
        </w:rPr>
        <w:t xml:space="preserve">                        </w:t>
      </w:r>
      <w:r>
        <w:rPr>
          <w:rFonts w:hint="eastAsia" w:cs="宋体"/>
          <w:b/>
          <w:bCs/>
          <w:szCs w:val="21"/>
        </w:rPr>
        <w:t>（采购人、受采购人委托签订合同的单位或采购文件约定的合同甲方）</w:t>
      </w:r>
    </w:p>
    <w:p w14:paraId="0BCE96A0">
      <w:pPr>
        <w:rPr>
          <w:rFonts w:hint="eastAsia" w:cs="宋体"/>
          <w:b/>
          <w:bCs/>
          <w:szCs w:val="21"/>
        </w:rPr>
      </w:pPr>
      <w:r>
        <w:rPr>
          <w:rFonts w:hint="eastAsia" w:cs="宋体"/>
          <w:b/>
          <w:bCs/>
          <w:szCs w:val="21"/>
        </w:rPr>
        <w:t>乙方（全称）：</w:t>
      </w:r>
      <w:r>
        <w:rPr>
          <w:rFonts w:hint="eastAsia" w:cs="宋体"/>
          <w:b/>
          <w:bCs/>
          <w:szCs w:val="21"/>
          <w:u w:val="single"/>
        </w:rPr>
        <w:t xml:space="preserve">                         </w:t>
      </w:r>
      <w:r>
        <w:rPr>
          <w:rFonts w:hint="eastAsia" w:cs="宋体"/>
          <w:b/>
          <w:bCs/>
          <w:szCs w:val="21"/>
        </w:rPr>
        <w:t>（投标人）</w:t>
      </w:r>
    </w:p>
    <w:p w14:paraId="0F751CC5">
      <w:pPr>
        <w:ind w:firstLine="404" w:firstLineChars="200"/>
        <w:rPr>
          <w:rFonts w:hint="eastAsia" w:cs="宋体"/>
          <w:spacing w:val="-4"/>
          <w:szCs w:val="21"/>
        </w:rPr>
      </w:pPr>
      <w:r>
        <w:rPr>
          <w:rFonts w:hint="eastAsia" w:cs="宋体"/>
          <w:spacing w:val="-4"/>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ADD5E3A">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项目信息</w:t>
      </w:r>
    </w:p>
    <w:p w14:paraId="39749470">
      <w:pPr>
        <w:snapToGrid w:val="0"/>
        <w:ind w:firstLine="404" w:firstLineChars="200"/>
        <w:rPr>
          <w:rFonts w:hint="eastAsia" w:cs="宋体"/>
          <w:b/>
          <w:bCs/>
          <w:szCs w:val="21"/>
        </w:rPr>
      </w:pPr>
      <w:r>
        <w:rPr>
          <w:rFonts w:hint="eastAsia" w:cs="宋体"/>
          <w:b/>
          <w:bCs/>
          <w:spacing w:val="-4"/>
          <w:szCs w:val="21"/>
        </w:rPr>
        <w:t>（1）采购项目名称：</w:t>
      </w:r>
      <w:r>
        <w:rPr>
          <w:rFonts w:hint="eastAsia" w:cs="宋体"/>
          <w:b/>
          <w:bCs/>
          <w:spacing w:val="-4"/>
          <w:szCs w:val="21"/>
          <w:u w:val="single"/>
        </w:rPr>
        <w:t xml:space="preserve">                                          </w:t>
      </w:r>
    </w:p>
    <w:p w14:paraId="486F5D76">
      <w:pPr>
        <w:numPr>
          <w:ilvl w:val="255"/>
          <w:numId w:val="0"/>
        </w:numPr>
        <w:tabs>
          <w:tab w:val="left" w:pos="999"/>
        </w:tabs>
        <w:snapToGrid w:val="0"/>
        <w:rPr>
          <w:rFonts w:hint="eastAsia" w:cs="宋体"/>
          <w:b/>
          <w:bCs/>
          <w:spacing w:val="-4"/>
          <w:szCs w:val="21"/>
        </w:rPr>
      </w:pPr>
      <w:r>
        <w:rPr>
          <w:rFonts w:hint="eastAsia" w:cs="宋体"/>
          <w:spacing w:val="-4"/>
          <w:szCs w:val="21"/>
        </w:rPr>
        <w:t xml:space="preserve">         </w:t>
      </w:r>
      <w:r>
        <w:rPr>
          <w:rFonts w:hint="eastAsia" w:cs="宋体"/>
          <w:b/>
          <w:bCs/>
          <w:spacing w:val="-4"/>
          <w:szCs w:val="21"/>
        </w:rPr>
        <w:t>采购项目编号：</w:t>
      </w:r>
      <w:r>
        <w:rPr>
          <w:rFonts w:hint="eastAsia" w:cs="宋体"/>
          <w:b/>
          <w:bCs/>
          <w:spacing w:val="-4"/>
          <w:szCs w:val="21"/>
          <w:u w:val="single"/>
        </w:rPr>
        <w:t xml:space="preserve">                                          </w:t>
      </w:r>
    </w:p>
    <w:p w14:paraId="73614A5C">
      <w:pPr>
        <w:snapToGrid w:val="0"/>
        <w:ind w:firstLine="404" w:firstLineChars="200"/>
        <w:rPr>
          <w:rFonts w:hint="eastAsia" w:cs="宋体"/>
          <w:b/>
          <w:bCs/>
          <w:spacing w:val="-4"/>
          <w:szCs w:val="21"/>
        </w:rPr>
      </w:pPr>
      <w:r>
        <w:rPr>
          <w:rFonts w:hint="eastAsia" w:cs="宋体"/>
          <w:b/>
          <w:bCs/>
          <w:spacing w:val="-4"/>
          <w:szCs w:val="21"/>
        </w:rPr>
        <w:t>（2）采购计划编号：</w:t>
      </w:r>
      <w:r>
        <w:rPr>
          <w:rFonts w:hint="eastAsia" w:cs="宋体"/>
          <w:b/>
          <w:bCs/>
          <w:spacing w:val="-4"/>
          <w:szCs w:val="21"/>
          <w:u w:val="single"/>
        </w:rPr>
        <w:t xml:space="preserve">                                          </w:t>
      </w:r>
      <w:r>
        <w:rPr>
          <w:rFonts w:hint="eastAsia" w:cs="宋体"/>
          <w:b/>
          <w:bCs/>
          <w:spacing w:val="-4"/>
          <w:szCs w:val="21"/>
        </w:rPr>
        <w:t xml:space="preserve"> </w:t>
      </w:r>
    </w:p>
    <w:p w14:paraId="766EAB19">
      <w:pPr>
        <w:snapToGrid w:val="0"/>
        <w:ind w:firstLine="420" w:firstLineChars="200"/>
        <w:rPr>
          <w:rFonts w:hint="eastAsia" w:cs="宋体"/>
          <w:b/>
          <w:bCs/>
          <w:szCs w:val="21"/>
        </w:rPr>
      </w:pPr>
      <w:r>
        <w:rPr>
          <w:rFonts w:hint="eastAsia" w:cs="宋体"/>
          <w:b/>
          <w:bCs/>
          <w:szCs w:val="21"/>
        </w:rPr>
        <w:t>（3）项目内容：</w:t>
      </w:r>
    </w:p>
    <w:p w14:paraId="0EA6CBB5">
      <w:pPr>
        <w:snapToGrid w:val="0"/>
        <w:ind w:firstLine="420" w:firstLineChars="200"/>
        <w:rPr>
          <w:rFonts w:hint="eastAsia" w:cs="宋体"/>
          <w:b/>
          <w:bCs/>
          <w:szCs w:val="21"/>
        </w:rPr>
      </w:pPr>
      <w:r>
        <w:rPr>
          <w:rFonts w:hint="eastAsia" w:cs="宋体"/>
          <w:szCs w:val="21"/>
        </w:rPr>
        <w:t xml:space="preserve">     </w:t>
      </w:r>
      <w:r>
        <w:rPr>
          <w:rFonts w:hint="eastAsia" w:cs="宋体"/>
          <w:b/>
          <w:bCs/>
          <w:szCs w:val="21"/>
        </w:rPr>
        <w:t>采购标的及数量（台/套</w:t>
      </w:r>
      <w:r>
        <w:rPr>
          <w:rFonts w:hint="eastAsia" w:cs="宋体"/>
          <w:b/>
          <w:bCs/>
          <w:szCs w:val="21"/>
          <w:lang w:val="en"/>
        </w:rPr>
        <w:t>/个/架/组等</w:t>
      </w:r>
      <w:r>
        <w:rPr>
          <w:rFonts w:hint="eastAsia" w:cs="宋体"/>
          <w:b/>
          <w:bCs/>
          <w:szCs w:val="21"/>
        </w:rPr>
        <w:t>）：</w:t>
      </w:r>
      <w:r>
        <w:rPr>
          <w:rFonts w:hint="eastAsia" w:cs="宋体"/>
          <w:b/>
          <w:bCs/>
          <w:szCs w:val="21"/>
          <w:u w:val="single"/>
        </w:rPr>
        <w:t xml:space="preserve">                </w:t>
      </w:r>
    </w:p>
    <w:p w14:paraId="2FE18857">
      <w:pPr>
        <w:numPr>
          <w:ilvl w:val="255"/>
          <w:numId w:val="0"/>
        </w:numPr>
        <w:snapToGrid w:val="0"/>
        <w:ind w:firstLine="420" w:firstLineChars="200"/>
        <w:rPr>
          <w:rFonts w:hint="eastAsia" w:cs="宋体"/>
          <w:b/>
          <w:bCs/>
          <w:szCs w:val="21"/>
          <w:lang w:val="en"/>
        </w:rPr>
      </w:pPr>
      <w:r>
        <w:rPr>
          <w:rFonts w:hint="eastAsia" w:cs="宋体"/>
          <w:szCs w:val="21"/>
        </w:rPr>
        <w:t xml:space="preserve">     </w:t>
      </w:r>
      <w:r>
        <w:rPr>
          <w:rFonts w:hint="eastAsia" w:cs="宋体"/>
          <w:b/>
          <w:bCs/>
          <w:szCs w:val="21"/>
        </w:rPr>
        <w:t>品牌：</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lang w:val="en"/>
        </w:rPr>
        <w:t xml:space="preserve">     </w:t>
      </w:r>
      <w:r>
        <w:rPr>
          <w:rFonts w:hint="eastAsia" w:cs="宋体"/>
          <w:b/>
          <w:bCs/>
          <w:szCs w:val="21"/>
        </w:rPr>
        <w:t>规格型号：</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p>
    <w:p w14:paraId="7A38442C">
      <w:pPr>
        <w:snapToGrid w:val="0"/>
        <w:ind w:firstLine="945" w:firstLineChars="450"/>
        <w:rPr>
          <w:rFonts w:hint="eastAsia" w:cs="宋体"/>
          <w:b/>
          <w:bCs/>
          <w:szCs w:val="21"/>
          <w:u w:val="single"/>
        </w:rPr>
      </w:pPr>
      <w:r>
        <w:rPr>
          <w:rFonts w:hint="eastAsia" w:cs="宋体"/>
          <w:b/>
          <w:bCs/>
          <w:szCs w:val="21"/>
        </w:rPr>
        <w:t>采购标的的技术要求、商务要求具体见附件。</w:t>
      </w:r>
    </w:p>
    <w:p w14:paraId="5B9C52A1">
      <w:pPr>
        <w:numPr>
          <w:ilvl w:val="255"/>
          <w:numId w:val="0"/>
        </w:numPr>
        <w:snapToGrid w:val="0"/>
        <w:ind w:firstLine="945" w:firstLineChars="450"/>
        <w:rPr>
          <w:rFonts w:hint="eastAsia" w:cs="宋体"/>
          <w:szCs w:val="21"/>
        </w:rPr>
      </w:pPr>
      <w:r>
        <w:rPr>
          <w:rFonts w:hint="eastAsia" w:cs="宋体"/>
          <w:szCs w:val="21"/>
        </w:rPr>
        <w:t>①涉及信息类产品，请填写该产品关键部件的品牌、型号：</w:t>
      </w:r>
    </w:p>
    <w:p w14:paraId="171AD411">
      <w:pPr>
        <w:numPr>
          <w:ilvl w:val="255"/>
          <w:numId w:val="0"/>
        </w:numPr>
        <w:snapToGrid w:val="0"/>
        <w:ind w:firstLine="420" w:firstLineChars="200"/>
        <w:rPr>
          <w:rFonts w:hint="eastAsia" w:cs="宋体"/>
          <w:kern w:val="0"/>
          <w:szCs w:val="21"/>
          <w:u w:val="single"/>
        </w:rPr>
      </w:pPr>
      <w:r>
        <w:rPr>
          <w:rFonts w:hint="eastAsia" w:cs="宋体"/>
          <w:szCs w:val="21"/>
        </w:rPr>
        <w:t xml:space="preserve">     标的名称：</w:t>
      </w:r>
      <w:r>
        <w:rPr>
          <w:rFonts w:hint="eastAsia" w:cs="宋体"/>
          <w:kern w:val="0"/>
          <w:szCs w:val="21"/>
          <w:u w:val="single"/>
        </w:rPr>
        <w:t xml:space="preserve">      </w:t>
      </w:r>
      <w:r>
        <w:rPr>
          <w:rFonts w:hint="eastAsia" w:cs="宋体"/>
          <w:kern w:val="0"/>
          <w:szCs w:val="21"/>
          <w:u w:val="single"/>
          <w:lang w:val="en"/>
        </w:rPr>
        <w:t xml:space="preserve">               </w:t>
      </w:r>
      <w:r>
        <w:rPr>
          <w:rFonts w:hint="eastAsia" w:cs="宋体"/>
          <w:kern w:val="0"/>
          <w:szCs w:val="21"/>
          <w:u w:val="single"/>
        </w:rPr>
        <w:t xml:space="preserve">    </w:t>
      </w:r>
    </w:p>
    <w:p w14:paraId="7B464107">
      <w:pPr>
        <w:numPr>
          <w:ilvl w:val="255"/>
          <w:numId w:val="0"/>
        </w:numPr>
        <w:snapToGrid w:val="0"/>
        <w:ind w:firstLine="420" w:firstLineChars="200"/>
        <w:rPr>
          <w:rFonts w:hint="eastAsia" w:cs="宋体"/>
          <w:szCs w:val="21"/>
        </w:rPr>
      </w:pPr>
      <w:r>
        <w:rPr>
          <w:rFonts w:hint="eastAsia" w:cs="宋体"/>
          <w:szCs w:val="21"/>
        </w:rPr>
        <w:t xml:space="preserve">     关键部件：</w:t>
      </w:r>
      <w:r>
        <w:rPr>
          <w:rFonts w:hint="eastAsia" w:cs="宋体"/>
          <w:kern w:val="0"/>
          <w:szCs w:val="21"/>
          <w:u w:val="single"/>
        </w:rPr>
        <w:t xml:space="preserve">          </w:t>
      </w:r>
      <w:r>
        <w:rPr>
          <w:rFonts w:hint="eastAsia" w:cs="宋体"/>
          <w:kern w:val="0"/>
          <w:szCs w:val="21"/>
        </w:rPr>
        <w:t xml:space="preserve"> </w:t>
      </w:r>
      <w:r>
        <w:rPr>
          <w:rFonts w:hint="eastAsia" w:cs="宋体"/>
          <w:szCs w:val="21"/>
        </w:rPr>
        <w:t>品牌：</w:t>
      </w:r>
      <w:r>
        <w:rPr>
          <w:rFonts w:hint="eastAsia" w:cs="宋体"/>
          <w:szCs w:val="21"/>
          <w:u w:val="single"/>
        </w:rPr>
        <w:t xml:space="preserve">        </w:t>
      </w:r>
      <w:r>
        <w:rPr>
          <w:rFonts w:hint="eastAsia" w:cs="宋体"/>
          <w:szCs w:val="21"/>
        </w:rPr>
        <w:t xml:space="preserve"> 型号：</w:t>
      </w:r>
      <w:r>
        <w:rPr>
          <w:rFonts w:hint="eastAsia" w:cs="宋体"/>
          <w:szCs w:val="21"/>
          <w:u w:val="single"/>
        </w:rPr>
        <w:t xml:space="preserve">       </w:t>
      </w:r>
      <w:r>
        <w:rPr>
          <w:rFonts w:hint="eastAsia" w:cs="宋体"/>
          <w:szCs w:val="21"/>
        </w:rPr>
        <w:t xml:space="preserve"> </w:t>
      </w:r>
    </w:p>
    <w:p w14:paraId="513993DE">
      <w:pPr>
        <w:widowControl/>
        <w:autoSpaceDE w:val="0"/>
        <w:autoSpaceDN w:val="0"/>
        <w:ind w:firstLine="420" w:firstLineChars="200"/>
        <w:rPr>
          <w:rFonts w:hint="eastAsia" w:cs="宋体"/>
          <w:kern w:val="0"/>
          <w:szCs w:val="21"/>
        </w:rPr>
      </w:pPr>
      <w:r>
        <w:rPr>
          <w:rFonts w:hint="eastAsia" w:cs="宋体"/>
          <w:kern w:val="0"/>
          <w:szCs w:val="21"/>
        </w:rPr>
        <w:t xml:space="preserve">     </w:t>
      </w:r>
      <w:r>
        <w:rPr>
          <w:rFonts w:hint="eastAsia" w:cs="宋体"/>
          <w:szCs w:val="21"/>
        </w:rPr>
        <w:t>关键部件</w:t>
      </w:r>
      <w:r>
        <w:rPr>
          <w:rFonts w:hint="eastAsia" w:cs="宋体"/>
          <w:kern w:val="0"/>
          <w:szCs w:val="21"/>
        </w:rPr>
        <w:t>：</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r>
        <w:rPr>
          <w:rFonts w:hint="eastAsia" w:cs="宋体"/>
          <w:kern w:val="0"/>
          <w:szCs w:val="21"/>
        </w:rPr>
        <w:t xml:space="preserve"> </w:t>
      </w:r>
    </w:p>
    <w:p w14:paraId="28EA7BE6">
      <w:pPr>
        <w:widowControl/>
        <w:autoSpaceDE w:val="0"/>
        <w:autoSpaceDN w:val="0"/>
        <w:ind w:firstLine="420" w:firstLineChars="200"/>
        <w:rPr>
          <w:rFonts w:hint="eastAsia" w:cs="宋体"/>
          <w:kern w:val="0"/>
          <w:szCs w:val="21"/>
        </w:rPr>
      </w:pPr>
      <w:r>
        <w:rPr>
          <w:rFonts w:hint="eastAsia" w:cs="宋体"/>
          <w:kern w:val="0"/>
          <w:szCs w:val="21"/>
        </w:rPr>
        <w:t xml:space="preserve">     关键部件：</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p>
    <w:p w14:paraId="469FEEA3">
      <w:pPr>
        <w:widowControl/>
        <w:numPr>
          <w:ilvl w:val="255"/>
          <w:numId w:val="0"/>
        </w:numPr>
        <w:autoSpaceDE w:val="0"/>
        <w:autoSpaceDN w:val="0"/>
        <w:snapToGrid w:val="0"/>
        <w:rPr>
          <w:rFonts w:hint="eastAsia" w:cs="宋体"/>
          <w:kern w:val="0"/>
          <w:szCs w:val="21"/>
        </w:rPr>
      </w:pPr>
      <w:r>
        <w:rPr>
          <w:rFonts w:hint="eastAsia" w:cs="宋体"/>
          <w:kern w:val="0"/>
          <w:szCs w:val="21"/>
        </w:rPr>
        <w:t>（注：关键部件是指财政部会同有关部门发布的政府采购需求标准规定的需要通过国家有关部门指定的测评机构开展的安全可靠测评的软硬件，如CPU芯片、操作系统、数据库等。）</w:t>
      </w:r>
    </w:p>
    <w:p w14:paraId="0092B30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②涉及车辆采购，请填写是否属于新能源汽车：</w:t>
      </w:r>
    </w:p>
    <w:p w14:paraId="16EA6517">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是，《政府采购品目分类目录》底级品目名称：</w:t>
      </w:r>
      <w:r>
        <w:rPr>
          <w:rFonts w:hint="eastAsia" w:cs="宋体"/>
          <w:kern w:val="0"/>
          <w:szCs w:val="21"/>
          <w:u w:val="single"/>
        </w:rPr>
        <w:t xml:space="preserve">     </w:t>
      </w:r>
      <w:r>
        <w:rPr>
          <w:rFonts w:hint="eastAsia" w:cs="宋体"/>
          <w:kern w:val="0"/>
          <w:szCs w:val="21"/>
        </w:rPr>
        <w:t xml:space="preserve"> 数量：</w:t>
      </w:r>
      <w:r>
        <w:rPr>
          <w:rFonts w:hint="eastAsia" w:cs="宋体"/>
          <w:kern w:val="0"/>
          <w:szCs w:val="21"/>
          <w:u w:val="single"/>
        </w:rPr>
        <w:t xml:space="preserve">    </w:t>
      </w:r>
      <w:r>
        <w:rPr>
          <w:rFonts w:hint="eastAsia" w:cs="宋体"/>
          <w:kern w:val="0"/>
          <w:szCs w:val="21"/>
        </w:rPr>
        <w:t xml:space="preserve"> 金额：</w:t>
      </w:r>
      <w:r>
        <w:rPr>
          <w:rFonts w:hint="eastAsia" w:cs="宋体"/>
          <w:kern w:val="0"/>
          <w:szCs w:val="21"/>
          <w:u w:val="single"/>
        </w:rPr>
        <w:t xml:space="preserve">     </w:t>
      </w:r>
      <w:r>
        <w:rPr>
          <w:rFonts w:hint="eastAsia" w:cs="宋体"/>
          <w:kern w:val="0"/>
          <w:szCs w:val="21"/>
        </w:rPr>
        <w:t xml:space="preserve"> </w:t>
      </w:r>
    </w:p>
    <w:p w14:paraId="3934E58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szCs w:val="21"/>
        </w:rPr>
        <w:sym w:font="Wingdings" w:char="00FE"/>
      </w:r>
      <w:r>
        <w:rPr>
          <w:rFonts w:hint="eastAsia" w:cs="宋体"/>
          <w:kern w:val="0"/>
          <w:szCs w:val="21"/>
        </w:rPr>
        <w:t>否</w:t>
      </w:r>
    </w:p>
    <w:p w14:paraId="3D55ED34">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b/>
          <w:bCs/>
          <w:kern w:val="0"/>
          <w:szCs w:val="21"/>
        </w:rPr>
        <w:t>（</w:t>
      </w:r>
      <w:r>
        <w:rPr>
          <w:rFonts w:hint="eastAsia" w:cs="宋体"/>
          <w:b/>
          <w:bCs/>
          <w:kern w:val="0"/>
          <w:szCs w:val="21"/>
          <w:lang w:val="en"/>
        </w:rPr>
        <w:t>4</w:t>
      </w:r>
      <w:r>
        <w:rPr>
          <w:rFonts w:hint="eastAsia" w:cs="宋体"/>
          <w:b/>
          <w:bCs/>
          <w:kern w:val="0"/>
          <w:szCs w:val="21"/>
        </w:rPr>
        <w:t>）政府采购组织形式：</w:t>
      </w:r>
      <w:r>
        <w:rPr>
          <w:rFonts w:hint="eastAsia" w:cs="宋体"/>
          <w:kern w:val="0"/>
          <w:szCs w:val="21"/>
        </w:rPr>
        <w:sym w:font="Wingdings" w:char="00A8"/>
      </w:r>
      <w:r>
        <w:rPr>
          <w:rFonts w:hint="eastAsia" w:cs="宋体"/>
          <w:kern w:val="0"/>
          <w:szCs w:val="21"/>
        </w:rPr>
        <w:t xml:space="preserve">政府集中采购  </w:t>
      </w:r>
      <w:r>
        <w:rPr>
          <w:rFonts w:hint="eastAsia" w:cs="宋体"/>
          <w:kern w:val="0"/>
          <w:szCs w:val="21"/>
        </w:rPr>
        <w:sym w:font="Wingdings" w:char="00A8"/>
      </w:r>
      <w:r>
        <w:rPr>
          <w:rFonts w:hint="eastAsia" w:cs="宋体"/>
          <w:kern w:val="0"/>
          <w:szCs w:val="21"/>
        </w:rPr>
        <w:t xml:space="preserve">部门集中采购  </w:t>
      </w:r>
      <w:r>
        <w:rPr>
          <w:rFonts w:hint="eastAsia" w:cs="宋体"/>
          <w:szCs w:val="21"/>
        </w:rPr>
        <w:sym w:font="Wingdings" w:char="00FE"/>
      </w:r>
      <w:r>
        <w:rPr>
          <w:rFonts w:hint="eastAsia" w:cs="宋体"/>
          <w:kern w:val="0"/>
          <w:szCs w:val="21"/>
        </w:rPr>
        <w:t>分散采购</w:t>
      </w:r>
    </w:p>
    <w:p w14:paraId="2479C9CC">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b/>
          <w:bCs/>
          <w:kern w:val="0"/>
          <w:szCs w:val="21"/>
        </w:rPr>
        <w:t>（</w:t>
      </w:r>
      <w:r>
        <w:rPr>
          <w:rFonts w:hint="eastAsia" w:cs="宋体"/>
          <w:b/>
          <w:bCs/>
          <w:kern w:val="0"/>
          <w:szCs w:val="21"/>
          <w:lang w:val="en"/>
        </w:rPr>
        <w:t>5</w:t>
      </w:r>
      <w:r>
        <w:rPr>
          <w:rFonts w:hint="eastAsia" w:cs="宋体"/>
          <w:b/>
          <w:bCs/>
          <w:kern w:val="0"/>
          <w:szCs w:val="21"/>
        </w:rPr>
        <w:t>）政府采购方式：</w:t>
      </w:r>
      <w:r>
        <w:rPr>
          <w:rFonts w:hint="eastAsia" w:cs="宋体"/>
          <w:szCs w:val="21"/>
        </w:rPr>
        <w:sym w:font="Wingdings" w:char="00FE"/>
      </w:r>
      <w:r>
        <w:rPr>
          <w:rFonts w:hint="eastAsia" w:cs="宋体"/>
          <w:kern w:val="0"/>
          <w:szCs w:val="21"/>
        </w:rPr>
        <w:t xml:space="preserve">公开招标 </w:t>
      </w:r>
      <w:r>
        <w:rPr>
          <w:rFonts w:hint="eastAsia" w:cs="宋体"/>
          <w:kern w:val="0"/>
          <w:szCs w:val="21"/>
        </w:rPr>
        <w:sym w:font="Wingdings" w:char="00A8"/>
      </w:r>
      <w:r>
        <w:rPr>
          <w:rFonts w:hint="eastAsia" w:cs="宋体"/>
          <w:kern w:val="0"/>
          <w:szCs w:val="21"/>
        </w:rPr>
        <w:t xml:space="preserve">邀请招标 </w:t>
      </w:r>
      <w:r>
        <w:rPr>
          <w:rFonts w:hint="eastAsia" w:cs="宋体"/>
          <w:kern w:val="0"/>
          <w:szCs w:val="21"/>
        </w:rPr>
        <w:sym w:font="Wingdings" w:char="00A8"/>
      </w:r>
      <w:r>
        <w:rPr>
          <w:rFonts w:hint="eastAsia" w:cs="宋体"/>
          <w:kern w:val="0"/>
          <w:szCs w:val="21"/>
        </w:rPr>
        <w:t xml:space="preserve">竞争性谈判 </w:t>
      </w:r>
      <w:r>
        <w:rPr>
          <w:rFonts w:hint="eastAsia" w:cs="宋体"/>
          <w:kern w:val="0"/>
          <w:szCs w:val="21"/>
        </w:rPr>
        <w:sym w:font="Wingdings" w:char="00A8"/>
      </w:r>
      <w:r>
        <w:rPr>
          <w:rFonts w:hint="eastAsia" w:cs="宋体"/>
          <w:kern w:val="0"/>
          <w:szCs w:val="21"/>
        </w:rPr>
        <w:t>竞争性磋商</w:t>
      </w:r>
    </w:p>
    <w:p w14:paraId="6F3F4BC8">
      <w:pPr>
        <w:widowControl/>
        <w:numPr>
          <w:ilvl w:val="255"/>
          <w:numId w:val="0"/>
        </w:numPr>
        <w:autoSpaceDE w:val="0"/>
        <w:autoSpaceDN w:val="0"/>
        <w:adjustRightInd w:val="0"/>
        <w:snapToGrid w:val="0"/>
        <w:ind w:firstLine="420"/>
        <w:jc w:val="left"/>
        <w:rPr>
          <w:rFonts w:hint="eastAsia" w:cs="宋体"/>
          <w:kern w:val="0"/>
          <w:szCs w:val="21"/>
          <w:u w:val="single"/>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 xml:space="preserve">询价 </w:t>
      </w:r>
      <w:r>
        <w:rPr>
          <w:rFonts w:hint="eastAsia" w:cs="宋体"/>
          <w:kern w:val="0"/>
          <w:szCs w:val="21"/>
        </w:rPr>
        <w:sym w:font="Wingdings" w:char="00A8"/>
      </w:r>
      <w:r>
        <w:rPr>
          <w:rFonts w:hint="eastAsia" w:cs="宋体"/>
          <w:kern w:val="0"/>
          <w:szCs w:val="21"/>
        </w:rPr>
        <w:t xml:space="preserve">单一来源 </w:t>
      </w:r>
      <w:r>
        <w:rPr>
          <w:rFonts w:hint="eastAsia" w:cs="宋体"/>
          <w:kern w:val="0"/>
          <w:szCs w:val="21"/>
        </w:rPr>
        <w:sym w:font="Wingdings" w:char="00A8"/>
      </w:r>
      <w:r>
        <w:rPr>
          <w:rFonts w:hint="eastAsia" w:cs="宋体"/>
          <w:kern w:val="0"/>
          <w:szCs w:val="21"/>
        </w:rPr>
        <w:t xml:space="preserve">框架协议 </w:t>
      </w:r>
      <w:r>
        <w:rPr>
          <w:rFonts w:hint="eastAsia" w:cs="宋体"/>
          <w:kern w:val="0"/>
          <w:szCs w:val="21"/>
        </w:rPr>
        <w:sym w:font="Wingdings" w:char="00A8"/>
      </w:r>
      <w:r>
        <w:rPr>
          <w:rFonts w:hint="eastAsia" w:cs="宋体"/>
          <w:kern w:val="0"/>
          <w:szCs w:val="21"/>
        </w:rPr>
        <w:t>其他：</w:t>
      </w:r>
      <w:r>
        <w:rPr>
          <w:rFonts w:hint="eastAsia" w:cs="宋体"/>
          <w:kern w:val="0"/>
          <w:szCs w:val="21"/>
          <w:u w:val="single"/>
        </w:rPr>
        <w:t xml:space="preserve">          </w:t>
      </w:r>
    </w:p>
    <w:p w14:paraId="6A4B2C18">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kern w:val="0"/>
          <w:szCs w:val="21"/>
        </w:rPr>
        <w:t>（注：在框架协议采购的第二阶段，可选择使用该合同文本）</w:t>
      </w:r>
    </w:p>
    <w:p w14:paraId="60E7790C">
      <w:pPr>
        <w:widowControl/>
        <w:numPr>
          <w:ilvl w:val="255"/>
          <w:numId w:val="0"/>
        </w:numPr>
        <w:autoSpaceDE w:val="0"/>
        <w:autoSpaceDN w:val="0"/>
        <w:adjustRightInd w:val="0"/>
        <w:snapToGrid w:val="0"/>
        <w:ind w:firstLine="420" w:firstLineChars="200"/>
        <w:jc w:val="left"/>
        <w:rPr>
          <w:rFonts w:hint="eastAsia" w:cs="宋体"/>
          <w:szCs w:val="21"/>
        </w:rPr>
      </w:pPr>
      <w:r>
        <w:rPr>
          <w:rFonts w:hint="eastAsia" w:cs="宋体"/>
          <w:b/>
          <w:bCs/>
          <w:kern w:val="0"/>
          <w:szCs w:val="21"/>
        </w:rPr>
        <w:t>（</w:t>
      </w:r>
      <w:r>
        <w:rPr>
          <w:rFonts w:hint="eastAsia" w:cs="宋体"/>
          <w:b/>
          <w:bCs/>
          <w:kern w:val="0"/>
          <w:szCs w:val="21"/>
          <w:lang w:val="en"/>
        </w:rPr>
        <w:t>6</w:t>
      </w:r>
      <w:r>
        <w:rPr>
          <w:rFonts w:hint="eastAsia" w:cs="宋体"/>
          <w:b/>
          <w:bCs/>
          <w:kern w:val="0"/>
          <w:szCs w:val="21"/>
        </w:rPr>
        <w:t>）</w:t>
      </w:r>
      <w:r>
        <w:rPr>
          <w:rFonts w:hint="eastAsia" w:cs="宋体"/>
          <w:b/>
          <w:bCs/>
          <w:szCs w:val="21"/>
        </w:rPr>
        <w:t>中标（成交）采购标的制造商是否为中小企业：</w:t>
      </w: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否</w:t>
      </w:r>
    </w:p>
    <w:p w14:paraId="2B1BA384">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本合同是否为专门面向中小企业的采购合同（中小企业预留合同）：</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E5CD6D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若本项目不专门面向中小企业采购，是否给予小微企业评审优惠：</w:t>
      </w:r>
      <w:r>
        <w:rPr>
          <w:rFonts w:hint="eastAsia" w:cs="宋体"/>
          <w:szCs w:val="21"/>
        </w:rPr>
        <w:sym w:font="Wingdings" w:char="00FE"/>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2AAAF8C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中标（成交）采购标的制造商是否为残疾人福利性单位：</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7C16E21A">
      <w:pPr>
        <w:snapToGrid w:val="0"/>
        <w:rPr>
          <w:rFonts w:hint="eastAsia" w:cs="宋体"/>
          <w:szCs w:val="21"/>
        </w:rPr>
      </w:pPr>
      <w:r>
        <w:rPr>
          <w:rFonts w:hint="eastAsia" w:cs="宋体"/>
          <w:szCs w:val="21"/>
        </w:rPr>
        <w:t xml:space="preserve">         </w:t>
      </w:r>
      <w:r>
        <w:rPr>
          <w:rFonts w:hint="eastAsia" w:cs="宋体"/>
          <w:b/>
          <w:bCs/>
          <w:szCs w:val="21"/>
        </w:rPr>
        <w:t>中标（成交）采购标的制造商是否为监狱企业：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14ECEA4C">
      <w:pPr>
        <w:adjustRightInd w:val="0"/>
        <w:snapToGrid w:val="0"/>
        <w:ind w:firstLine="420" w:firstLineChars="200"/>
        <w:rPr>
          <w:rFonts w:hint="eastAsia" w:cs="宋体"/>
          <w:szCs w:val="21"/>
        </w:rPr>
      </w:pPr>
      <w:r>
        <w:rPr>
          <w:rFonts w:hint="eastAsia" w:cs="宋体"/>
          <w:szCs w:val="21"/>
        </w:rPr>
        <w:t>（</w:t>
      </w:r>
      <w:r>
        <w:rPr>
          <w:rFonts w:hint="eastAsia" w:cs="宋体"/>
          <w:szCs w:val="21"/>
          <w:lang w:val="en"/>
        </w:rPr>
        <w:t>7</w:t>
      </w:r>
      <w:r>
        <w:rPr>
          <w:rFonts w:hint="eastAsia" w:cs="宋体"/>
          <w:szCs w:val="21"/>
        </w:rPr>
        <w:t>）合同是否分包：</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FE519FC">
      <w:pPr>
        <w:adjustRightInd w:val="0"/>
        <w:snapToGrid w:val="0"/>
        <w:ind w:firstLine="840" w:firstLineChars="400"/>
        <w:rPr>
          <w:rFonts w:hint="eastAsia" w:cs="宋体"/>
          <w:szCs w:val="21"/>
          <w:u w:val="single"/>
        </w:rPr>
      </w:pPr>
      <w:r>
        <w:rPr>
          <w:rFonts w:hint="eastAsia" w:cs="宋体"/>
          <w:szCs w:val="21"/>
        </w:rPr>
        <w:t xml:space="preserve"> 分包主要内容：</w:t>
      </w:r>
      <w:r>
        <w:rPr>
          <w:rFonts w:hint="eastAsia" w:cs="宋体"/>
          <w:szCs w:val="21"/>
          <w:u w:val="single"/>
        </w:rPr>
        <w:t>/</w:t>
      </w:r>
    </w:p>
    <w:p w14:paraId="14F173D7">
      <w:pPr>
        <w:adjustRightInd w:val="0"/>
        <w:snapToGrid w:val="0"/>
        <w:ind w:firstLine="840" w:firstLineChars="400"/>
        <w:rPr>
          <w:rFonts w:hint="eastAsia" w:cs="宋体"/>
          <w:szCs w:val="21"/>
        </w:rPr>
      </w:pPr>
      <w:r>
        <w:rPr>
          <w:rFonts w:hint="eastAsia" w:cs="宋体"/>
          <w:szCs w:val="21"/>
        </w:rPr>
        <w:t xml:space="preserve"> 分包供应商/制造商名称（如供应商和制造商不同，请分别填写）：</w:t>
      </w:r>
      <w:r>
        <w:rPr>
          <w:rFonts w:hint="eastAsia" w:cs="宋体"/>
          <w:szCs w:val="21"/>
          <w:u w:val="single"/>
        </w:rPr>
        <w:t>/</w:t>
      </w:r>
    </w:p>
    <w:p w14:paraId="0DF5AB8B">
      <w:pPr>
        <w:adjustRightInd w:val="0"/>
        <w:snapToGrid w:val="0"/>
        <w:ind w:firstLine="840" w:firstLineChars="400"/>
        <w:rPr>
          <w:rFonts w:hint="eastAsia" w:cs="宋体"/>
          <w:szCs w:val="21"/>
        </w:rPr>
      </w:pPr>
      <w:r>
        <w:rPr>
          <w:rFonts w:hint="eastAsia" w:cs="宋体"/>
          <w:szCs w:val="21"/>
        </w:rPr>
        <w:t xml:space="preserve"> 分包供应商/制造商类型（如果供应商和制造商不同，只填写制造商类型）：</w:t>
      </w:r>
    </w:p>
    <w:p w14:paraId="24C29BF6">
      <w:pPr>
        <w:adjustRightInd w:val="0"/>
        <w:snapToGrid w:val="0"/>
        <w:ind w:firstLine="840" w:firstLineChars="400"/>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大型企业  </w:t>
      </w:r>
      <w:r>
        <w:rPr>
          <w:rFonts w:hint="eastAsia" w:cs="宋体"/>
          <w:iCs/>
          <w:szCs w:val="21"/>
        </w:rPr>
        <w:sym w:font="Wingdings" w:char="00A8"/>
      </w:r>
      <w:r>
        <w:rPr>
          <w:rFonts w:hint="eastAsia" w:cs="宋体"/>
          <w:iCs/>
          <w:szCs w:val="21"/>
        </w:rPr>
        <w:t xml:space="preserve">中型企业  </w:t>
      </w:r>
      <w:r>
        <w:rPr>
          <w:rFonts w:hint="eastAsia" w:cs="宋体"/>
          <w:iCs/>
          <w:szCs w:val="21"/>
        </w:rPr>
        <w:sym w:font="Wingdings" w:char="00A8"/>
      </w:r>
      <w:r>
        <w:rPr>
          <w:rFonts w:hint="eastAsia" w:cs="宋体"/>
          <w:iCs/>
          <w:szCs w:val="21"/>
        </w:rPr>
        <w:t xml:space="preserve">小微型企业  </w:t>
      </w:r>
    </w:p>
    <w:p w14:paraId="58E5E323">
      <w:pPr>
        <w:adjustRightInd w:val="0"/>
        <w:snapToGrid w:val="0"/>
        <w:ind w:firstLine="840" w:firstLineChars="400"/>
        <w:rPr>
          <w:rFonts w:hint="eastAsia" w:cs="宋体"/>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残疾人福利性单位 </w:t>
      </w:r>
      <w:r>
        <w:rPr>
          <w:rFonts w:hint="eastAsia" w:cs="宋体"/>
          <w:iCs/>
          <w:szCs w:val="21"/>
        </w:rPr>
        <w:sym w:font="Wingdings" w:char="00A8"/>
      </w:r>
      <w:r>
        <w:rPr>
          <w:rFonts w:hint="eastAsia" w:cs="宋体"/>
          <w:iCs/>
          <w:szCs w:val="21"/>
        </w:rPr>
        <w:t xml:space="preserve">监狱企业 </w:t>
      </w:r>
      <w:r>
        <w:rPr>
          <w:rFonts w:hint="eastAsia" w:cs="宋体"/>
          <w:iCs/>
          <w:szCs w:val="21"/>
        </w:rPr>
        <w:sym w:font="Wingdings" w:char="00A8"/>
      </w:r>
      <w:r>
        <w:rPr>
          <w:rFonts w:hint="eastAsia" w:cs="宋体"/>
          <w:iCs/>
          <w:szCs w:val="21"/>
        </w:rPr>
        <w:t>其他</w:t>
      </w:r>
    </w:p>
    <w:p w14:paraId="0647AD74">
      <w:pPr>
        <w:numPr>
          <w:ilvl w:val="255"/>
          <w:numId w:val="0"/>
        </w:numPr>
        <w:ind w:firstLine="420" w:firstLineChars="200"/>
        <w:rPr>
          <w:rFonts w:hint="eastAsia" w:cs="宋体"/>
          <w:iCs/>
          <w:szCs w:val="21"/>
        </w:rPr>
      </w:pPr>
      <w:r>
        <w:rPr>
          <w:rFonts w:hint="eastAsia" w:cs="宋体"/>
          <w:b/>
          <w:bCs/>
          <w:szCs w:val="21"/>
        </w:rPr>
        <w:t>（</w:t>
      </w:r>
      <w:r>
        <w:rPr>
          <w:rFonts w:hint="eastAsia" w:cs="宋体"/>
          <w:b/>
          <w:bCs/>
          <w:szCs w:val="21"/>
          <w:lang w:val="en"/>
        </w:rPr>
        <w:t>8</w:t>
      </w:r>
      <w:r>
        <w:rPr>
          <w:rFonts w:hint="eastAsia" w:cs="宋体"/>
          <w:b/>
          <w:bCs/>
          <w:szCs w:val="21"/>
        </w:rPr>
        <w:t>）中标（成交）供应商是否为外商投资企业：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06D5F8A9">
      <w:pPr>
        <w:widowControl/>
        <w:tabs>
          <w:tab w:val="left" w:pos="1340"/>
        </w:tabs>
        <w:autoSpaceDE w:val="0"/>
        <w:autoSpaceDN w:val="0"/>
        <w:ind w:firstLine="420" w:firstLineChars="200"/>
        <w:rPr>
          <w:rFonts w:hint="eastAsia" w:cs="宋体"/>
          <w:kern w:val="0"/>
          <w:szCs w:val="21"/>
          <w:u w:val="single"/>
        </w:rPr>
      </w:pPr>
      <w:r>
        <w:rPr>
          <w:rFonts w:hint="eastAsia" w:cs="宋体"/>
          <w:kern w:val="0"/>
          <w:szCs w:val="21"/>
        </w:rPr>
        <w:t xml:space="preserve">     外商投资企业类型：</w:t>
      </w:r>
      <w:r>
        <w:rPr>
          <w:rFonts w:hint="eastAsia" w:cs="宋体"/>
          <w:iCs/>
          <w:kern w:val="0"/>
          <w:szCs w:val="21"/>
        </w:rPr>
        <w:sym w:font="Wingdings" w:char="00A8"/>
      </w:r>
      <w:r>
        <w:rPr>
          <w:rFonts w:hint="eastAsia" w:cs="宋体"/>
          <w:kern w:val="0"/>
          <w:szCs w:val="21"/>
        </w:rPr>
        <w:t xml:space="preserve">全部由外国投资者投资  </w:t>
      </w:r>
      <w:r>
        <w:rPr>
          <w:rFonts w:hint="eastAsia" w:cs="宋体"/>
          <w:iCs/>
          <w:kern w:val="0"/>
          <w:szCs w:val="21"/>
        </w:rPr>
        <w:sym w:font="Wingdings" w:char="00A8"/>
      </w:r>
      <w:r>
        <w:rPr>
          <w:rFonts w:hint="eastAsia" w:cs="宋体"/>
          <w:iCs/>
          <w:kern w:val="0"/>
          <w:szCs w:val="21"/>
        </w:rPr>
        <w:t>部分由外国投资者投资</w:t>
      </w:r>
    </w:p>
    <w:p w14:paraId="59B123BD">
      <w:pPr>
        <w:numPr>
          <w:ilvl w:val="255"/>
          <w:numId w:val="0"/>
        </w:numPr>
        <w:ind w:firstLine="420" w:firstLineChars="200"/>
        <w:rPr>
          <w:rFonts w:hint="eastAsia" w:cs="宋体"/>
          <w:b/>
          <w:bCs/>
          <w:szCs w:val="21"/>
        </w:rPr>
      </w:pPr>
      <w:r>
        <w:rPr>
          <w:rFonts w:hint="eastAsia" w:cs="宋体"/>
          <w:b/>
          <w:bCs/>
          <w:szCs w:val="21"/>
        </w:rPr>
        <w:t>（</w:t>
      </w:r>
      <w:r>
        <w:rPr>
          <w:rFonts w:hint="eastAsia" w:cs="宋体"/>
          <w:b/>
          <w:bCs/>
          <w:szCs w:val="21"/>
          <w:lang w:val="en"/>
        </w:rPr>
        <w:t>9</w:t>
      </w:r>
      <w:r>
        <w:rPr>
          <w:rFonts w:hint="eastAsia" w:cs="宋体"/>
          <w:b/>
          <w:bCs/>
          <w:szCs w:val="21"/>
        </w:rPr>
        <w:t>）是否涉及进口产品：</w:t>
      </w:r>
    </w:p>
    <w:p w14:paraId="7BB4FA46">
      <w:pPr>
        <w:numPr>
          <w:ilvl w:val="255"/>
          <w:numId w:val="0"/>
        </w:numPr>
        <w:adjustRightInd w:val="0"/>
        <w:snapToGrid w:val="0"/>
        <w:ind w:firstLine="840" w:firstLineChars="400"/>
        <w:rPr>
          <w:rFonts w:hint="eastAsia" w:cs="宋体"/>
          <w:szCs w:val="21"/>
          <w:u w:val="single"/>
        </w:rPr>
      </w:pPr>
      <w:r>
        <w:rPr>
          <w:rFonts w:hint="eastAsia" w:cs="宋体"/>
          <w:szCs w:val="21"/>
        </w:rPr>
        <w:t xml:space="preserve"> </w:t>
      </w:r>
      <w:r>
        <w:rPr>
          <w:rFonts w:hint="eastAsia" w:cs="宋体"/>
          <w:szCs w:val="21"/>
        </w:rPr>
        <w:sym w:font="Wingdings" w:char="00A8"/>
      </w:r>
      <w:r>
        <w:rPr>
          <w:rFonts w:hint="eastAsia" w:cs="宋体"/>
          <w:szCs w:val="21"/>
        </w:rPr>
        <w:t>是，《政府采购品目分类目录》底级品目名称：</w:t>
      </w:r>
      <w:r>
        <w:rPr>
          <w:rFonts w:hint="eastAsia" w:cs="宋体"/>
          <w:szCs w:val="21"/>
          <w:u w:val="single"/>
        </w:rPr>
        <w:t xml:space="preserve">         </w:t>
      </w:r>
      <w:r>
        <w:rPr>
          <w:rFonts w:hint="eastAsia" w:cs="宋体"/>
          <w:szCs w:val="21"/>
        </w:rPr>
        <w:t xml:space="preserve"> 金额：</w:t>
      </w:r>
      <w:r>
        <w:rPr>
          <w:rFonts w:hint="eastAsia" w:cs="宋体"/>
          <w:szCs w:val="21"/>
          <w:u w:val="single"/>
        </w:rPr>
        <w:t xml:space="preserve">        </w:t>
      </w:r>
    </w:p>
    <w:p w14:paraId="68F24FDB">
      <w:pPr>
        <w:numPr>
          <w:ilvl w:val="255"/>
          <w:numId w:val="0"/>
        </w:numPr>
        <w:adjustRightInd w:val="0"/>
        <w:snapToGrid w:val="0"/>
        <w:ind w:firstLine="840" w:firstLineChars="400"/>
        <w:rPr>
          <w:rFonts w:hint="eastAsia" w:cs="宋体"/>
          <w:szCs w:val="21"/>
        </w:rPr>
      </w:pPr>
      <w:r>
        <w:rPr>
          <w:rFonts w:hint="eastAsia" w:cs="宋体"/>
          <w:szCs w:val="21"/>
        </w:rPr>
        <w:t xml:space="preserve">        国别：</w:t>
      </w:r>
      <w:r>
        <w:rPr>
          <w:rFonts w:hint="eastAsia" w:cs="宋体"/>
          <w:szCs w:val="21"/>
          <w:u w:val="single"/>
        </w:rPr>
        <w:t xml:space="preserve">        </w:t>
      </w:r>
      <w:r>
        <w:rPr>
          <w:rFonts w:hint="eastAsia" w:cs="宋体"/>
          <w:szCs w:val="21"/>
        </w:rPr>
        <w:t xml:space="preserve"> 品牌：</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r>
        <w:rPr>
          <w:rFonts w:hint="eastAsia" w:cs="宋体"/>
          <w:szCs w:val="21"/>
        </w:rPr>
        <w:t xml:space="preserve">      </w:t>
      </w:r>
    </w:p>
    <w:p w14:paraId="32EE6B49">
      <w:pPr>
        <w:adjustRightInd w:val="0"/>
        <w:snapToGrid w:val="0"/>
        <w:ind w:firstLine="840" w:firstLineChars="400"/>
        <w:rPr>
          <w:rFonts w:hint="eastAsia" w:cs="宋体"/>
          <w:szCs w:val="21"/>
        </w:rPr>
      </w:pPr>
      <w:r>
        <w:rPr>
          <w:rFonts w:hint="eastAsia" w:cs="宋体"/>
          <w:szCs w:val="21"/>
        </w:rPr>
        <w:t xml:space="preserve"> </w:t>
      </w:r>
      <w:r>
        <w:rPr>
          <w:rFonts w:hint="eastAsia" w:cs="宋体"/>
          <w:szCs w:val="21"/>
        </w:rPr>
        <w:sym w:font="Wingdings" w:char="00FE"/>
      </w:r>
      <w:r>
        <w:rPr>
          <w:rFonts w:hint="eastAsia" w:cs="宋体"/>
          <w:szCs w:val="21"/>
        </w:rPr>
        <w:t>否</w:t>
      </w:r>
    </w:p>
    <w:p w14:paraId="7F96AA7B">
      <w:pPr>
        <w:numPr>
          <w:ilvl w:val="255"/>
          <w:numId w:val="0"/>
        </w:numPr>
        <w:tabs>
          <w:tab w:val="left" w:pos="740"/>
        </w:tabs>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0</w:t>
      </w:r>
      <w:r>
        <w:rPr>
          <w:rFonts w:hint="eastAsia" w:cs="宋体"/>
          <w:b/>
          <w:bCs/>
          <w:szCs w:val="21"/>
        </w:rPr>
        <w:t>）是否涉及节能产品：</w:t>
      </w:r>
    </w:p>
    <w:p w14:paraId="52171E27">
      <w:pPr>
        <w:numPr>
          <w:ilvl w:val="255"/>
          <w:numId w:val="0"/>
        </w:numPr>
        <w:tabs>
          <w:tab w:val="left" w:pos="740"/>
        </w:tabs>
        <w:rPr>
          <w:rFonts w:hint="eastAsia" w:cs="宋体"/>
          <w:iCs/>
          <w:szCs w:val="21"/>
        </w:rPr>
      </w:pPr>
      <w:r>
        <w:rPr>
          <w:rFonts w:hint="eastAsia" w:cs="宋体"/>
          <w:szCs w:val="21"/>
        </w:rPr>
        <w:t xml:space="preserve">         </w:t>
      </w:r>
      <w:r>
        <w:rPr>
          <w:rFonts w:hint="eastAsia" w:cs="宋体"/>
          <w:szCs w:val="21"/>
        </w:rPr>
        <w:sym w:font="Wingdings" w:char="00A8"/>
      </w:r>
      <w:r>
        <w:rPr>
          <w:rFonts w:hint="eastAsia" w:cs="宋体"/>
          <w:szCs w:val="21"/>
        </w:rPr>
        <w:t>是，《节能产品政府采购品目清单》的底级品目名称：</w:t>
      </w:r>
      <w:r>
        <w:rPr>
          <w:rFonts w:hint="eastAsia" w:cs="宋体"/>
          <w:szCs w:val="21"/>
          <w:u w:val="single"/>
        </w:rPr>
        <w:t xml:space="preserve">         </w:t>
      </w:r>
      <w:r>
        <w:rPr>
          <w:rFonts w:hint="eastAsia" w:cs="宋体"/>
          <w:iCs/>
          <w:szCs w:val="21"/>
        </w:rPr>
        <w:t xml:space="preserve">     </w:t>
      </w:r>
    </w:p>
    <w:p w14:paraId="5BECA68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20BDFD50">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3AB9F3C">
      <w:pPr>
        <w:numPr>
          <w:ilvl w:val="255"/>
          <w:numId w:val="0"/>
        </w:numPr>
        <w:tabs>
          <w:tab w:val="left" w:pos="740"/>
        </w:tabs>
        <w:rPr>
          <w:rFonts w:hint="eastAsia" w:cs="宋体"/>
          <w:szCs w:val="21"/>
        </w:rPr>
      </w:pPr>
      <w:r>
        <w:rPr>
          <w:rFonts w:hint="eastAsia" w:cs="宋体"/>
          <w:szCs w:val="21"/>
        </w:rPr>
        <w:t xml:space="preserve">          是否涉及环境标志产品：</w:t>
      </w:r>
    </w:p>
    <w:p w14:paraId="5A088AFA">
      <w:pPr>
        <w:numPr>
          <w:ilvl w:val="255"/>
          <w:numId w:val="0"/>
        </w:numPr>
        <w:tabs>
          <w:tab w:val="left" w:pos="740"/>
        </w:tabs>
        <w:rPr>
          <w:rFonts w:hint="eastAsia" w:cs="宋体"/>
          <w:szCs w:val="21"/>
        </w:rPr>
      </w:pPr>
      <w:r>
        <w:rPr>
          <w:rFonts w:hint="eastAsia" w:cs="宋体"/>
          <w:szCs w:val="21"/>
        </w:rPr>
        <w:t xml:space="preserve">         </w:t>
      </w:r>
      <w:r>
        <w:rPr>
          <w:rFonts w:hint="eastAsia" w:cs="宋体"/>
          <w:szCs w:val="21"/>
        </w:rPr>
        <w:sym w:font="Wingdings" w:char="00A8"/>
      </w:r>
      <w:r>
        <w:rPr>
          <w:rFonts w:hint="eastAsia" w:cs="宋体"/>
          <w:szCs w:val="21"/>
        </w:rPr>
        <w:t>是，《环境标志产品政府采购品目清单》的底级品目名称：</w:t>
      </w:r>
      <w:r>
        <w:rPr>
          <w:rFonts w:hint="eastAsia" w:cs="宋体"/>
          <w:szCs w:val="21"/>
          <w:u w:val="single"/>
        </w:rPr>
        <w:t xml:space="preserve">         </w:t>
      </w:r>
      <w:r>
        <w:rPr>
          <w:rFonts w:hint="eastAsia" w:cs="宋体"/>
          <w:iCs/>
          <w:szCs w:val="21"/>
        </w:rPr>
        <w:t xml:space="preserve"> </w:t>
      </w:r>
    </w:p>
    <w:p w14:paraId="14C86BE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67E0DAB4">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8331E68">
      <w:pPr>
        <w:widowControl/>
        <w:numPr>
          <w:ilvl w:val="255"/>
          <w:numId w:val="0"/>
        </w:numPr>
        <w:autoSpaceDE w:val="0"/>
        <w:autoSpaceDN w:val="0"/>
        <w:jc w:val="left"/>
        <w:rPr>
          <w:rFonts w:hint="eastAsia" w:cs="宋体"/>
          <w:szCs w:val="21"/>
        </w:rPr>
      </w:pPr>
      <w:r>
        <w:rPr>
          <w:rFonts w:hint="eastAsia" w:cs="宋体"/>
          <w:kern w:val="0"/>
          <w:szCs w:val="21"/>
        </w:rPr>
        <w:t xml:space="preserve">          </w:t>
      </w:r>
      <w:r>
        <w:rPr>
          <w:rFonts w:hint="eastAsia" w:cs="宋体"/>
          <w:szCs w:val="21"/>
        </w:rPr>
        <w:t xml:space="preserve">是否涉及绿色产品： </w:t>
      </w:r>
    </w:p>
    <w:p w14:paraId="1C224EA8">
      <w:pPr>
        <w:widowControl/>
        <w:autoSpaceDE w:val="0"/>
        <w:autoSpaceDN w:val="0"/>
        <w:ind w:firstLine="420"/>
        <w:jc w:val="left"/>
        <w:rPr>
          <w:rFonts w:hint="eastAsia" w:cs="宋体"/>
          <w:kern w:val="0"/>
          <w:szCs w:val="21"/>
          <w:u w:val="single"/>
        </w:rPr>
      </w:pPr>
      <w:r>
        <w:rPr>
          <w:rFonts w:hint="eastAsia" w:cs="宋体"/>
          <w:szCs w:val="21"/>
        </w:rPr>
        <w:t xml:space="preserve">     </w:t>
      </w:r>
      <w:r>
        <w:rPr>
          <w:rFonts w:hint="eastAsia" w:cs="宋体"/>
          <w:szCs w:val="21"/>
        </w:rPr>
        <w:sym w:font="Wingdings" w:char="00A8"/>
      </w:r>
      <w:r>
        <w:rPr>
          <w:rFonts w:hint="eastAsia" w:cs="宋体"/>
          <w:szCs w:val="21"/>
        </w:rPr>
        <w:t>是，绿色产品政府采购相关政策确定的底级品目名称：</w:t>
      </w:r>
      <w:r>
        <w:rPr>
          <w:rFonts w:hint="eastAsia" w:cs="宋体"/>
          <w:kern w:val="0"/>
          <w:szCs w:val="21"/>
          <w:u w:val="single"/>
        </w:rPr>
        <w:t xml:space="preserve">         </w:t>
      </w:r>
    </w:p>
    <w:p w14:paraId="6B303275">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330CB1E2">
      <w:pPr>
        <w:widowControl/>
        <w:autoSpaceDE w:val="0"/>
        <w:autoSpaceDN w:val="0"/>
        <w:ind w:firstLine="420"/>
        <w:jc w:val="left"/>
        <w:rPr>
          <w:rFonts w:hint="eastAsia" w:cs="宋体"/>
          <w:kern w:val="0"/>
          <w:szCs w:val="21"/>
        </w:rPr>
      </w:pPr>
      <w:r>
        <w:rPr>
          <w:rFonts w:hint="eastAsia" w:cs="宋体"/>
          <w:szCs w:val="21"/>
        </w:rPr>
        <w:t xml:space="preserve">     </w:t>
      </w:r>
      <w:r>
        <w:rPr>
          <w:rFonts w:hint="eastAsia" w:cs="宋体"/>
          <w:szCs w:val="21"/>
        </w:rPr>
        <w:sym w:font="Wingdings" w:char="00A8"/>
      </w:r>
      <w:r>
        <w:rPr>
          <w:rFonts w:hint="eastAsia" w:cs="宋体"/>
          <w:szCs w:val="21"/>
        </w:rPr>
        <w:t>否</w:t>
      </w:r>
    </w:p>
    <w:p w14:paraId="0910FCDA">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1</w:t>
      </w:r>
      <w:r>
        <w:rPr>
          <w:rFonts w:hint="eastAsia" w:cs="宋体"/>
          <w:b/>
          <w:bCs/>
          <w:szCs w:val="21"/>
        </w:rPr>
        <w:t>）涉及商品包装和快递包装的，是否参考《商品包装政府采购需求标准（试行）》、《快递包装政府采购需求标准（试行）》明确产品及相关快递服务的具体包装要求：</w:t>
      </w:r>
    </w:p>
    <w:p w14:paraId="6BC0F130">
      <w:pPr>
        <w:numPr>
          <w:ilvl w:val="255"/>
          <w:numId w:val="0"/>
        </w:numPr>
        <w:adjustRightInd w:val="0"/>
        <w:snapToGrid w:val="0"/>
        <w:ind w:firstLine="840" w:firstLineChars="400"/>
        <w:rPr>
          <w:rFonts w:hint="eastAsia" w:cs="宋体"/>
          <w:szCs w:val="21"/>
        </w:rPr>
      </w:pP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 xml:space="preserve">否      </w:t>
      </w:r>
      <w:r>
        <w:rPr>
          <w:rFonts w:hint="eastAsia" w:cs="宋体"/>
          <w:szCs w:val="21"/>
        </w:rPr>
        <w:sym w:font="Wingdings" w:char="00A8"/>
      </w:r>
      <w:r>
        <w:rPr>
          <w:rFonts w:hint="eastAsia" w:cs="宋体"/>
          <w:szCs w:val="21"/>
        </w:rPr>
        <w:t>不涉及</w:t>
      </w:r>
    </w:p>
    <w:p w14:paraId="63F1AEE7">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合同金额</w:t>
      </w:r>
    </w:p>
    <w:p w14:paraId="49CFC67C">
      <w:pPr>
        <w:adjustRightInd w:val="0"/>
        <w:snapToGrid w:val="0"/>
        <w:ind w:firstLine="420" w:firstLineChars="200"/>
        <w:rPr>
          <w:rFonts w:hint="eastAsia" w:cs="宋体"/>
          <w:b/>
          <w:bCs/>
          <w:szCs w:val="21"/>
        </w:rPr>
      </w:pPr>
      <w:r>
        <w:rPr>
          <w:rFonts w:hint="eastAsia" w:cs="宋体"/>
          <w:b/>
          <w:bCs/>
          <w:szCs w:val="21"/>
        </w:rPr>
        <w:t>（1）合同金额小写：</w:t>
      </w:r>
      <w:r>
        <w:rPr>
          <w:rFonts w:hint="eastAsia" w:cs="宋体"/>
          <w:b/>
          <w:bCs/>
          <w:szCs w:val="21"/>
          <w:u w:val="single"/>
        </w:rPr>
        <w:t xml:space="preserve">                           </w:t>
      </w:r>
    </w:p>
    <w:p w14:paraId="42FE5279">
      <w:pPr>
        <w:adjustRightInd w:val="0"/>
        <w:snapToGrid w:val="0"/>
        <w:rPr>
          <w:rFonts w:hint="eastAsia" w:cs="宋体"/>
          <w:b/>
          <w:bCs/>
          <w:szCs w:val="21"/>
          <w:u w:val="single"/>
        </w:rPr>
      </w:pPr>
      <w:r>
        <w:rPr>
          <w:rFonts w:hint="eastAsia" w:cs="宋体"/>
          <w:szCs w:val="21"/>
        </w:rPr>
        <w:t xml:space="preserve">     </w:t>
      </w:r>
      <w:r>
        <w:rPr>
          <w:rFonts w:hint="eastAsia" w:cs="宋体"/>
          <w:b/>
          <w:bCs/>
          <w:szCs w:val="21"/>
        </w:rPr>
        <w:t>大写：</w:t>
      </w:r>
      <w:r>
        <w:rPr>
          <w:rFonts w:hint="eastAsia" w:cs="宋体"/>
          <w:b/>
          <w:bCs/>
          <w:szCs w:val="21"/>
          <w:u w:val="single"/>
        </w:rPr>
        <w:t xml:space="preserve">                           </w:t>
      </w:r>
    </w:p>
    <w:p w14:paraId="31AEB41D">
      <w:pPr>
        <w:adjustRightInd w:val="0"/>
        <w:snapToGrid w:val="0"/>
        <w:rPr>
          <w:rFonts w:hint="eastAsia" w:cs="宋体"/>
          <w:szCs w:val="21"/>
        </w:rPr>
      </w:pPr>
      <w:r>
        <w:rPr>
          <w:rFonts w:hint="eastAsia" w:cs="宋体"/>
          <w:szCs w:val="21"/>
        </w:rPr>
        <w:t xml:space="preserve">     分包金额（如有）小写：</w:t>
      </w:r>
      <w:r>
        <w:rPr>
          <w:rFonts w:hint="eastAsia" w:cs="宋体"/>
          <w:szCs w:val="21"/>
          <w:u w:val="single"/>
        </w:rPr>
        <w:t>/</w:t>
      </w:r>
    </w:p>
    <w:p w14:paraId="1640934E">
      <w:pPr>
        <w:adjustRightInd w:val="0"/>
        <w:snapToGrid w:val="0"/>
        <w:rPr>
          <w:rFonts w:hint="eastAsia" w:cs="宋体"/>
          <w:szCs w:val="21"/>
          <w:u w:val="single"/>
        </w:rPr>
      </w:pPr>
      <w:r>
        <w:rPr>
          <w:rFonts w:hint="eastAsia" w:cs="宋体"/>
          <w:szCs w:val="21"/>
        </w:rPr>
        <w:t xml:space="preserve">                     大写：</w:t>
      </w:r>
      <w:r>
        <w:rPr>
          <w:rFonts w:hint="eastAsia" w:cs="宋体"/>
          <w:szCs w:val="21"/>
          <w:u w:val="single"/>
        </w:rPr>
        <w:t>/</w:t>
      </w:r>
    </w:p>
    <w:p w14:paraId="465FD7D9">
      <w:pPr>
        <w:adjustRightInd w:val="0"/>
        <w:snapToGrid w:val="0"/>
        <w:rPr>
          <w:rFonts w:hint="eastAsia" w:cs="宋体"/>
          <w:szCs w:val="21"/>
        </w:rPr>
      </w:pPr>
      <w:r>
        <w:rPr>
          <w:rFonts w:hint="eastAsia" w:cs="宋体"/>
          <w:szCs w:val="21"/>
        </w:rPr>
        <w:t xml:space="preserve">    （注：固定单价合同应填写单价和最高限价）</w:t>
      </w:r>
    </w:p>
    <w:p w14:paraId="65E888BB">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（2）合同定价方式（采用组合定价方式的，可以勾选多项）：</w:t>
      </w:r>
    </w:p>
    <w:p w14:paraId="24D2532A">
      <w:pPr>
        <w:adjustRightInd w:val="0"/>
        <w:snapToGrid w:val="0"/>
        <w:ind w:firstLine="420" w:firstLineChars="200"/>
        <w:rPr>
          <w:rFonts w:hint="eastAsia" w:cs="宋体"/>
          <w:szCs w:val="21"/>
        </w:rPr>
      </w:pPr>
      <w:r>
        <w:rPr>
          <w:rFonts w:hint="eastAsia" w:cs="宋体"/>
          <w:iCs/>
          <w:szCs w:val="21"/>
        </w:rPr>
        <w:t xml:space="preserve">  </w:t>
      </w:r>
      <w:r>
        <w:rPr>
          <w:rFonts w:hint="eastAsia" w:cs="宋体"/>
          <w:szCs w:val="21"/>
        </w:rPr>
        <w:sym w:font="Wingdings" w:char="00FE"/>
      </w:r>
      <w:r>
        <w:rPr>
          <w:rFonts w:hint="eastAsia" w:cs="宋体"/>
          <w:iCs/>
          <w:szCs w:val="21"/>
        </w:rPr>
        <w:t xml:space="preserve">固定总价 </w:t>
      </w:r>
      <w:r>
        <w:rPr>
          <w:rFonts w:hint="eastAsia" w:cs="宋体"/>
          <w:iCs/>
          <w:szCs w:val="21"/>
        </w:rPr>
        <w:sym w:font="Wingdings" w:char="00A8"/>
      </w:r>
      <w:r>
        <w:rPr>
          <w:rFonts w:hint="eastAsia" w:cs="宋体"/>
          <w:iCs/>
          <w:szCs w:val="21"/>
        </w:rPr>
        <w:t xml:space="preserve">固定单价 </w:t>
      </w:r>
      <w:r>
        <w:rPr>
          <w:rFonts w:hint="eastAsia" w:cs="宋体"/>
          <w:iCs/>
          <w:szCs w:val="21"/>
        </w:rPr>
        <w:sym w:font="Wingdings" w:char="00A8"/>
      </w:r>
      <w:r>
        <w:rPr>
          <w:rFonts w:hint="eastAsia" w:cs="宋体"/>
          <w:iCs/>
          <w:szCs w:val="21"/>
        </w:rPr>
        <w:t xml:space="preserve">固定费率 </w:t>
      </w:r>
      <w:r>
        <w:rPr>
          <w:rFonts w:hint="eastAsia" w:cs="宋体"/>
          <w:iCs/>
          <w:szCs w:val="21"/>
        </w:rPr>
        <w:sym w:font="Wingdings" w:char="00A8"/>
      </w:r>
      <w:r>
        <w:rPr>
          <w:rFonts w:hint="eastAsia" w:cs="宋体"/>
          <w:iCs/>
          <w:szCs w:val="21"/>
        </w:rPr>
        <w:t xml:space="preserve">成本补偿 </w:t>
      </w:r>
      <w:r>
        <w:rPr>
          <w:rFonts w:hint="eastAsia" w:cs="宋体"/>
          <w:iCs/>
          <w:szCs w:val="21"/>
        </w:rPr>
        <w:sym w:font="Wingdings" w:char="00A8"/>
      </w:r>
      <w:r>
        <w:rPr>
          <w:rFonts w:hint="eastAsia" w:cs="宋体"/>
          <w:iCs/>
          <w:szCs w:val="21"/>
        </w:rPr>
        <w:t xml:space="preserve">绩效激励 </w:t>
      </w:r>
      <w:r>
        <w:rPr>
          <w:rFonts w:hint="eastAsia" w:cs="宋体"/>
          <w:iCs/>
          <w:szCs w:val="21"/>
        </w:rPr>
        <w:sym w:font="Wingdings" w:char="00A8"/>
      </w:r>
      <w:r>
        <w:rPr>
          <w:rFonts w:hint="eastAsia" w:cs="宋体"/>
          <w:iCs/>
          <w:szCs w:val="21"/>
        </w:rPr>
        <w:t>其他</w:t>
      </w:r>
      <w:r>
        <w:rPr>
          <w:rFonts w:hint="eastAsia" w:cs="宋体"/>
          <w:szCs w:val="21"/>
          <w:u w:val="single"/>
        </w:rPr>
        <w:t xml:space="preserve">       </w:t>
      </w:r>
    </w:p>
    <w:p w14:paraId="33CD34F2">
      <w:pPr>
        <w:ind w:firstLine="420" w:firstLineChars="200"/>
        <w:rPr>
          <w:rFonts w:hint="eastAsia" w:cs="宋体"/>
          <w:b/>
          <w:bCs/>
          <w:szCs w:val="21"/>
        </w:rPr>
      </w:pPr>
      <w:r>
        <w:rPr>
          <w:rFonts w:hint="eastAsia" w:cs="宋体"/>
          <w:b/>
          <w:bCs/>
          <w:szCs w:val="21"/>
        </w:rPr>
        <w:t>（3）付款方式（按项目实际勾选填写）：</w:t>
      </w:r>
    </w:p>
    <w:p w14:paraId="06957330">
      <w:pPr>
        <w:adjustRightInd w:val="0"/>
        <w:snapToGrid w:val="0"/>
        <w:ind w:firstLine="630" w:firstLineChars="300"/>
        <w:rPr>
          <w:rFonts w:hint="eastAsia" w:cs="宋体"/>
          <w:szCs w:val="21"/>
          <w:u w:val="single"/>
        </w:rPr>
      </w:pPr>
      <w:bookmarkStart w:id="121" w:name="_Hlk190805521"/>
      <w:r>
        <w:rPr>
          <w:rFonts w:hint="eastAsia" w:cs="宋体"/>
          <w:szCs w:val="21"/>
        </w:rPr>
        <w:sym w:font="Wingdings" w:char="00A8"/>
      </w:r>
      <w:r>
        <w:rPr>
          <w:rFonts w:hint="eastAsia" w:cs="宋体"/>
          <w:szCs w:val="21"/>
        </w:rPr>
        <w:t>全额付款：</w:t>
      </w:r>
      <w:r>
        <w:rPr>
          <w:rFonts w:hint="eastAsia" w:cs="宋体"/>
          <w:b/>
          <w:bCs/>
          <w:szCs w:val="21"/>
          <w:u w:val="single"/>
        </w:rPr>
        <w:t xml:space="preserve"> </w:t>
      </w:r>
      <w:r>
        <w:rPr>
          <w:rFonts w:cs="宋体"/>
          <w:b/>
          <w:bCs/>
          <w:szCs w:val="21"/>
          <w:u w:val="single"/>
        </w:rPr>
        <w:t xml:space="preserve">        </w:t>
      </w:r>
      <w:r>
        <w:rPr>
          <w:rFonts w:hint="eastAsia" w:cs="宋体"/>
          <w:b/>
          <w:bCs/>
          <w:szCs w:val="21"/>
          <w:u w:val="single"/>
        </w:rPr>
        <w:t>。</w:t>
      </w:r>
    </w:p>
    <w:p w14:paraId="28B29E44">
      <w:pPr>
        <w:snapToGrid w:val="0"/>
        <w:ind w:firstLine="630" w:firstLineChars="300"/>
        <w:rPr>
          <w:rFonts w:hint="eastAsia" w:cs="宋体"/>
          <w:szCs w:val="21"/>
          <w:u w:val="single"/>
        </w:rPr>
      </w:pPr>
      <w:r>
        <w:rPr>
          <w:rFonts w:hint="eastAsia" w:cs="宋体"/>
          <w:szCs w:val="21"/>
        </w:rPr>
        <w:sym w:font="Wingdings" w:char="00FE"/>
      </w:r>
      <w:r>
        <w:rPr>
          <w:rFonts w:hint="eastAsia" w:cs="宋体"/>
          <w:szCs w:val="21"/>
        </w:rPr>
        <w:t>分期付款</w:t>
      </w:r>
      <w:r>
        <w:rPr>
          <w:rFonts w:hint="eastAsia" w:cs="宋体"/>
          <w:b/>
          <w:bCs/>
          <w:szCs w:val="21"/>
        </w:rPr>
        <w:t>：</w:t>
      </w:r>
      <w:r>
        <w:rPr>
          <w:rFonts w:hint="eastAsia" w:cs="宋体"/>
          <w:szCs w:val="21"/>
          <w:u w:val="single"/>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p w14:paraId="3BDCF14A">
      <w:pPr>
        <w:snapToGrid w:val="0"/>
        <w:ind w:firstLine="630" w:firstLineChars="300"/>
        <w:rPr>
          <w:rFonts w:hint="eastAsia" w:cs="宋体"/>
          <w:b/>
          <w:bCs/>
          <w:szCs w:val="21"/>
        </w:rPr>
      </w:pPr>
      <w:r>
        <w:rPr>
          <w:rFonts w:hint="eastAsia" w:cs="宋体"/>
          <w:szCs w:val="21"/>
        </w:rPr>
        <w:sym w:font="Wingdings" w:char="00A8"/>
      </w:r>
      <w:r>
        <w:rPr>
          <w:rFonts w:hint="eastAsia" w:cs="宋体"/>
          <w:szCs w:val="21"/>
        </w:rPr>
        <w:t>分期付款</w:t>
      </w:r>
      <w:r>
        <w:rPr>
          <w:rFonts w:hint="eastAsia" w:cs="宋体"/>
          <w:b/>
          <w:bCs/>
          <w:szCs w:val="21"/>
        </w:rPr>
        <w:t>：</w:t>
      </w:r>
    </w:p>
    <w:bookmarkEnd w:id="121"/>
    <w:p w14:paraId="6DA4D708">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成本补偿：</w:t>
      </w:r>
      <w:r>
        <w:rPr>
          <w:rFonts w:hint="eastAsia" w:cs="宋体"/>
          <w:szCs w:val="21"/>
          <w:u w:val="single"/>
        </w:rPr>
        <w:t xml:space="preserve">      （应明确按照成本补偿方式的支付方式和支付条件）</w:t>
      </w:r>
    </w:p>
    <w:p w14:paraId="67DA4916">
      <w:pPr>
        <w:adjustRightInd w:val="0"/>
        <w:snapToGrid w:val="0"/>
        <w:ind w:firstLine="630" w:firstLineChars="300"/>
        <w:rPr>
          <w:rFonts w:hint="eastAsia" w:cs="宋体"/>
          <w:szCs w:val="21"/>
        </w:rPr>
      </w:pPr>
      <w:r>
        <w:rPr>
          <w:rFonts w:hint="eastAsia" w:cs="宋体"/>
          <w:szCs w:val="21"/>
        </w:rPr>
        <w:sym w:font="Wingdings" w:char="00A8"/>
      </w:r>
      <w:r>
        <w:rPr>
          <w:rFonts w:hint="eastAsia" w:cs="宋体"/>
          <w:szCs w:val="21"/>
        </w:rPr>
        <w:t>绩效激励：</w:t>
      </w:r>
      <w:r>
        <w:rPr>
          <w:rFonts w:hint="eastAsia" w:cs="宋体"/>
          <w:szCs w:val="21"/>
          <w:u w:val="single"/>
        </w:rPr>
        <w:t xml:space="preserve">      （应明确按照绩效激励方式的支付方式和支付条件）</w:t>
      </w:r>
    </w:p>
    <w:p w14:paraId="3C32C282">
      <w:pPr>
        <w:numPr>
          <w:ilvl w:val="0"/>
          <w:numId w:val="7"/>
        </w:numPr>
        <w:adjustRightInd w:val="0"/>
        <w:snapToGrid w:val="0"/>
        <w:spacing w:after="160" w:line="278" w:lineRule="auto"/>
        <w:ind w:firstLine="420" w:firstLineChars="200"/>
        <w:jc w:val="left"/>
        <w:rPr>
          <w:rFonts w:hint="eastAsia" w:cs="宋体"/>
          <w:b/>
          <w:szCs w:val="21"/>
          <w:u w:val="single"/>
        </w:rPr>
      </w:pPr>
      <w:r>
        <w:rPr>
          <w:rFonts w:hint="eastAsia" w:cs="宋体"/>
          <w:b/>
          <w:szCs w:val="21"/>
        </w:rPr>
        <w:t>合同履行</w:t>
      </w:r>
    </w:p>
    <w:p w14:paraId="025CD630">
      <w:pPr>
        <w:adjustRightInd w:val="0"/>
        <w:snapToGrid w:val="0"/>
        <w:ind w:firstLine="420" w:firstLineChars="200"/>
        <w:rPr>
          <w:rFonts w:hint="eastAsia" w:cs="宋体"/>
          <w:szCs w:val="21"/>
        </w:rPr>
      </w:pPr>
      <w:r>
        <w:rPr>
          <w:rFonts w:hint="eastAsia" w:cs="宋体"/>
          <w:b/>
          <w:bCs/>
          <w:szCs w:val="21"/>
        </w:rPr>
        <w:t>（1）起始日期：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日，完成日期：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3E91A490">
      <w:pPr>
        <w:adjustRightInd w:val="0"/>
        <w:snapToGrid w:val="0"/>
        <w:ind w:firstLine="420" w:firstLineChars="200"/>
        <w:rPr>
          <w:rFonts w:hint="eastAsia" w:cs="宋体"/>
          <w:b/>
          <w:bCs/>
          <w:szCs w:val="21"/>
          <w:u w:val="single"/>
        </w:rPr>
      </w:pPr>
      <w:r>
        <w:rPr>
          <w:rFonts w:hint="eastAsia" w:cs="宋体"/>
          <w:b/>
          <w:bCs/>
          <w:szCs w:val="21"/>
        </w:rPr>
        <w:t>（2）履约地点：</w:t>
      </w:r>
      <w:r>
        <w:rPr>
          <w:rFonts w:hint="eastAsia" w:cs="宋体"/>
          <w:b/>
          <w:bCs/>
          <w:szCs w:val="21"/>
          <w:u w:val="single"/>
        </w:rPr>
        <w:t xml:space="preserve">                             </w:t>
      </w:r>
    </w:p>
    <w:p w14:paraId="7462F9D5">
      <w:pPr>
        <w:ind w:firstLine="420" w:firstLineChars="200"/>
        <w:rPr>
          <w:rFonts w:hint="eastAsia" w:cs="宋体"/>
          <w:szCs w:val="21"/>
        </w:rPr>
      </w:pPr>
      <w:r>
        <w:rPr>
          <w:rFonts w:hint="eastAsia" w:cs="宋体"/>
          <w:b/>
          <w:szCs w:val="21"/>
        </w:rPr>
        <w:t>（3）履约担保：</w:t>
      </w:r>
      <w:r>
        <w:rPr>
          <w:rFonts w:hint="eastAsia" w:cs="宋体"/>
          <w:szCs w:val="21"/>
        </w:rPr>
        <w:t>是否收取履约保证金：</w:t>
      </w:r>
      <w:r>
        <w:rPr>
          <w:rFonts w:hint="eastAsia" w:cs="宋体"/>
          <w:szCs w:val="21"/>
        </w:rPr>
        <w:sym w:font="Wingdings" w:char="00A8"/>
      </w:r>
      <w:r>
        <w:rPr>
          <w:rFonts w:hint="eastAsia" w:cs="宋体"/>
          <w:szCs w:val="21"/>
        </w:rPr>
        <w:t xml:space="preserve">是   </w:t>
      </w:r>
      <w:r>
        <w:rPr>
          <w:rFonts w:hint="eastAsia" w:cs="宋体"/>
          <w:szCs w:val="21"/>
        </w:rPr>
        <w:sym w:font="Wingdings" w:char="00FE"/>
      </w:r>
      <w:r>
        <w:rPr>
          <w:rFonts w:hint="eastAsia" w:cs="宋体"/>
          <w:szCs w:val="21"/>
        </w:rPr>
        <w:t>否</w:t>
      </w:r>
    </w:p>
    <w:p w14:paraId="6CBA619B">
      <w:pPr>
        <w:ind w:firstLine="420" w:firstLineChars="200"/>
        <w:rPr>
          <w:rFonts w:hint="eastAsia" w:cs="宋体"/>
          <w:b/>
          <w:szCs w:val="21"/>
        </w:rPr>
      </w:pPr>
      <w:r>
        <w:rPr>
          <w:rFonts w:hint="eastAsia" w:cs="宋体"/>
          <w:b/>
          <w:szCs w:val="21"/>
        </w:rPr>
        <w:t>（4）分期履行要求：</w:t>
      </w:r>
      <w:r>
        <w:rPr>
          <w:rFonts w:hint="eastAsia" w:cs="宋体"/>
          <w:b/>
          <w:szCs w:val="21"/>
          <w:u w:val="single"/>
        </w:rPr>
        <w:t xml:space="preserve">                                                        </w:t>
      </w:r>
    </w:p>
    <w:p w14:paraId="453F7B2F">
      <w:pPr>
        <w:ind w:firstLine="420" w:firstLineChars="200"/>
        <w:rPr>
          <w:rFonts w:hint="eastAsia" w:cs="宋体"/>
          <w:b/>
          <w:szCs w:val="21"/>
          <w:u w:val="single"/>
        </w:rPr>
      </w:pPr>
      <w:r>
        <w:rPr>
          <w:rFonts w:hint="eastAsia" w:cs="宋体"/>
          <w:b/>
          <w:szCs w:val="21"/>
        </w:rPr>
        <w:t>（5）风险处置措施和替代方案：</w:t>
      </w:r>
      <w:r>
        <w:rPr>
          <w:rFonts w:hint="eastAsia" w:cs="宋体"/>
          <w:b/>
          <w:szCs w:val="21"/>
          <w:u w:val="single"/>
        </w:rPr>
        <w:t xml:space="preserve">                                              </w:t>
      </w:r>
    </w:p>
    <w:p w14:paraId="2F6587ED">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合同验收</w:t>
      </w:r>
    </w:p>
    <w:p w14:paraId="651C5E5F">
      <w:pPr>
        <w:adjustRightInd w:val="0"/>
        <w:snapToGrid w:val="0"/>
        <w:ind w:left="422"/>
        <w:rPr>
          <w:rFonts w:hint="eastAsia" w:cs="宋体"/>
          <w:bCs/>
          <w:szCs w:val="21"/>
        </w:rPr>
      </w:pPr>
      <w:r>
        <w:rPr>
          <w:rFonts w:cs="宋体"/>
          <w:b/>
          <w:szCs w:val="21"/>
        </w:rPr>
        <w:t>（</w:t>
      </w:r>
      <w:r>
        <w:rPr>
          <w:rFonts w:hint="eastAsia" w:cs="宋体"/>
          <w:b/>
          <w:szCs w:val="21"/>
        </w:rPr>
        <w:t>1</w:t>
      </w:r>
      <w:r>
        <w:rPr>
          <w:rFonts w:cs="宋体"/>
          <w:b/>
          <w:szCs w:val="21"/>
        </w:rPr>
        <w:t>）</w:t>
      </w:r>
      <w:r>
        <w:rPr>
          <w:rFonts w:hint="eastAsia" w:cs="宋体"/>
          <w:b/>
          <w:szCs w:val="21"/>
        </w:rPr>
        <w:t>验收组织方式：</w:t>
      </w:r>
      <w:r>
        <w:rPr>
          <w:rFonts w:hint="eastAsia" w:cs="宋体"/>
          <w:szCs w:val="21"/>
        </w:rPr>
        <w:sym w:font="Wingdings" w:char="00A8"/>
      </w:r>
      <w:r>
        <w:rPr>
          <w:rFonts w:hint="eastAsia" w:cs="宋体"/>
          <w:bCs/>
          <w:szCs w:val="21"/>
        </w:rPr>
        <w:t xml:space="preserve">自行组织 </w:t>
      </w:r>
      <w:r>
        <w:rPr>
          <w:rFonts w:hint="eastAsia" w:cs="宋体"/>
          <w:szCs w:val="21"/>
        </w:rPr>
        <w:sym w:font="Wingdings" w:char="00A8"/>
      </w:r>
      <w:r>
        <w:rPr>
          <w:rFonts w:hint="eastAsia" w:cs="宋体"/>
          <w:bCs/>
          <w:szCs w:val="21"/>
        </w:rPr>
        <w:t>委托第三方组织</w:t>
      </w:r>
    </w:p>
    <w:p w14:paraId="0C5D4319">
      <w:pPr>
        <w:adjustRightInd w:val="0"/>
        <w:snapToGrid w:val="0"/>
        <w:rPr>
          <w:rFonts w:hint="eastAsia" w:cs="宋体"/>
          <w:bCs/>
          <w:szCs w:val="21"/>
        </w:rPr>
      </w:pPr>
      <w:r>
        <w:rPr>
          <w:rFonts w:hint="eastAsia" w:cs="宋体"/>
          <w:bCs/>
          <w:szCs w:val="21"/>
        </w:rPr>
        <w:t xml:space="preserve">        验收主体：</w:t>
      </w:r>
      <w:r>
        <w:rPr>
          <w:rFonts w:hint="eastAsia" w:cs="宋体"/>
          <w:bCs/>
          <w:szCs w:val="21"/>
          <w:u w:val="single"/>
        </w:rPr>
        <w:t xml:space="preserve">                  </w:t>
      </w:r>
    </w:p>
    <w:p w14:paraId="70E3CEBA">
      <w:pPr>
        <w:adjustRightInd w:val="0"/>
        <w:snapToGrid w:val="0"/>
        <w:rPr>
          <w:rFonts w:hint="eastAsia" w:cs="宋体"/>
          <w:bCs/>
          <w:szCs w:val="21"/>
        </w:rPr>
      </w:pPr>
      <w:r>
        <w:rPr>
          <w:rFonts w:hint="eastAsia" w:cs="宋体"/>
          <w:bCs/>
          <w:szCs w:val="21"/>
        </w:rPr>
        <w:t xml:space="preserve">        是否邀请本项目的其他供应商参加验收：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6E7E9BB2">
      <w:pPr>
        <w:adjustRightInd w:val="0"/>
        <w:snapToGrid w:val="0"/>
        <w:ind w:firstLine="840" w:firstLineChars="400"/>
        <w:rPr>
          <w:rFonts w:hint="eastAsia" w:cs="宋体"/>
          <w:bCs/>
          <w:szCs w:val="21"/>
        </w:rPr>
      </w:pPr>
      <w:r>
        <w:rPr>
          <w:rFonts w:hint="eastAsia" w:cs="宋体"/>
          <w:bCs/>
          <w:szCs w:val="21"/>
        </w:rPr>
        <w:t>是否邀请专家参加验收：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A27EBAF">
      <w:pPr>
        <w:adjustRightInd w:val="0"/>
        <w:snapToGrid w:val="0"/>
        <w:ind w:firstLine="840" w:firstLineChars="400"/>
        <w:rPr>
          <w:rFonts w:hint="eastAsia" w:cs="宋体"/>
          <w:bCs/>
          <w:szCs w:val="21"/>
        </w:rPr>
      </w:pPr>
      <w:r>
        <w:rPr>
          <w:rFonts w:hint="eastAsia" w:cs="宋体"/>
          <w:bCs/>
          <w:szCs w:val="21"/>
        </w:rPr>
        <w:t>是否邀请服务对象参加验收：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38896155">
      <w:pPr>
        <w:adjustRightInd w:val="0"/>
        <w:snapToGrid w:val="0"/>
        <w:ind w:firstLine="840" w:firstLineChars="400"/>
        <w:rPr>
          <w:rFonts w:hint="eastAsia" w:cs="宋体"/>
          <w:bCs/>
          <w:szCs w:val="21"/>
        </w:rPr>
      </w:pPr>
      <w:r>
        <w:rPr>
          <w:rFonts w:hint="eastAsia" w:cs="宋体"/>
          <w:bCs/>
          <w:szCs w:val="21"/>
        </w:rPr>
        <w:t>是否邀请第三方检测机构参加验收：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967BBAB">
      <w:pPr>
        <w:adjustRightInd w:val="0"/>
        <w:snapToGrid w:val="0"/>
        <w:ind w:firstLine="840" w:firstLineChars="400"/>
        <w:rPr>
          <w:rFonts w:hint="eastAsia" w:cs="宋体"/>
          <w:bCs/>
          <w:szCs w:val="21"/>
        </w:rPr>
      </w:pPr>
      <w:r>
        <w:rPr>
          <w:rFonts w:hint="eastAsia" w:cs="宋体"/>
          <w:bCs/>
          <w:szCs w:val="21"/>
        </w:rPr>
        <w:t>是否进行抽查检测：</w:t>
      </w:r>
      <w:r>
        <w:rPr>
          <w:rFonts w:hint="eastAsia" w:cs="宋体"/>
          <w:szCs w:val="21"/>
        </w:rPr>
        <w:sym w:font="Wingdings" w:char="00A8"/>
      </w:r>
      <w:r>
        <w:rPr>
          <w:rFonts w:hint="eastAsia" w:cs="宋体"/>
          <w:bCs/>
          <w:szCs w:val="21"/>
        </w:rPr>
        <w:t>是，抽查比例：</w:t>
      </w:r>
      <w:r>
        <w:rPr>
          <w:rFonts w:hint="eastAsia" w:cs="宋体"/>
          <w:bCs/>
          <w:szCs w:val="21"/>
          <w:u w:val="single"/>
        </w:rPr>
        <w:t xml:space="preserve">        </w:t>
      </w:r>
      <w:r>
        <w:rPr>
          <w:rFonts w:hint="eastAsia" w:cs="宋体"/>
          <w:bCs/>
          <w:szCs w:val="21"/>
        </w:rPr>
        <w:t xml:space="preserve"> </w:t>
      </w:r>
      <w:r>
        <w:rPr>
          <w:rFonts w:hint="eastAsia" w:cs="宋体"/>
          <w:szCs w:val="21"/>
        </w:rPr>
        <w:sym w:font="Wingdings" w:char="00A8"/>
      </w:r>
      <w:r>
        <w:rPr>
          <w:rFonts w:hint="eastAsia" w:cs="宋体"/>
          <w:bCs/>
          <w:szCs w:val="21"/>
        </w:rPr>
        <w:t>否</w:t>
      </w:r>
    </w:p>
    <w:p w14:paraId="6B975507">
      <w:pPr>
        <w:adjustRightInd w:val="0"/>
        <w:snapToGrid w:val="0"/>
        <w:ind w:firstLine="840" w:firstLineChars="400"/>
        <w:rPr>
          <w:rFonts w:hint="eastAsia" w:cs="宋体"/>
          <w:bCs/>
          <w:szCs w:val="21"/>
          <w:u w:val="single"/>
        </w:rPr>
      </w:pPr>
      <w:r>
        <w:rPr>
          <w:rFonts w:hint="eastAsia" w:cs="宋体"/>
          <w:bCs/>
          <w:szCs w:val="21"/>
        </w:rPr>
        <w:t>是否存在破坏性检测：</w:t>
      </w:r>
      <w:r>
        <w:rPr>
          <w:rFonts w:hint="eastAsia" w:cs="宋体"/>
          <w:szCs w:val="21"/>
        </w:rPr>
        <w:sym w:font="Wingdings" w:char="00A8"/>
      </w:r>
      <w:r>
        <w:rPr>
          <w:rFonts w:hint="eastAsia" w:cs="宋体"/>
          <w:bCs/>
          <w:szCs w:val="21"/>
        </w:rPr>
        <w:t>是，</w:t>
      </w:r>
      <w:r>
        <w:rPr>
          <w:rFonts w:hint="eastAsia" w:cs="宋体"/>
          <w:bCs/>
          <w:szCs w:val="21"/>
          <w:u w:val="single"/>
        </w:rPr>
        <w:t>（应明确对被破坏的检测产品的处理方式）</w:t>
      </w:r>
    </w:p>
    <w:p w14:paraId="27A5D971">
      <w:pPr>
        <w:adjustRightInd w:val="0"/>
        <w:snapToGrid w:val="0"/>
        <w:ind w:firstLine="840" w:firstLineChars="400"/>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否</w:t>
      </w:r>
    </w:p>
    <w:p w14:paraId="20938D1C">
      <w:pPr>
        <w:adjustRightInd w:val="0"/>
        <w:snapToGrid w:val="0"/>
        <w:ind w:firstLine="840" w:firstLineChars="400"/>
        <w:rPr>
          <w:rFonts w:hint="eastAsia" w:cs="宋体"/>
          <w:bCs/>
          <w:szCs w:val="21"/>
          <w:u w:val="single"/>
        </w:rPr>
      </w:pPr>
      <w:r>
        <w:rPr>
          <w:rFonts w:hint="eastAsia" w:cs="宋体"/>
          <w:bCs/>
          <w:szCs w:val="21"/>
        </w:rPr>
        <w:t>验收组织的其他事项：</w:t>
      </w:r>
      <w:r>
        <w:rPr>
          <w:rFonts w:hint="eastAsia" w:cs="宋体"/>
          <w:bCs/>
          <w:szCs w:val="21"/>
          <w:u w:val="single"/>
        </w:rPr>
        <w:t xml:space="preserve">                </w:t>
      </w:r>
    </w:p>
    <w:p w14:paraId="57992278">
      <w:pPr>
        <w:ind w:firstLine="420" w:firstLineChars="200"/>
        <w:rPr>
          <w:rFonts w:hint="eastAsia" w:cs="宋体"/>
          <w:bCs/>
          <w:szCs w:val="21"/>
          <w:u w:val="single"/>
        </w:rPr>
      </w:pPr>
      <w:r>
        <w:rPr>
          <w:rFonts w:hint="eastAsia" w:cs="宋体"/>
          <w:b/>
          <w:szCs w:val="21"/>
        </w:rPr>
        <w:t>（2）履约验收时间：</w:t>
      </w:r>
      <w:r>
        <w:rPr>
          <w:rFonts w:hint="eastAsia" w:cs="宋体"/>
          <w:bCs/>
          <w:szCs w:val="21"/>
          <w:u w:val="single"/>
        </w:rPr>
        <w:t xml:space="preserve">（计划于何时验收/供应商提出验收申请之日起   日内组织验收） </w:t>
      </w:r>
    </w:p>
    <w:p w14:paraId="28CC3162">
      <w:pPr>
        <w:ind w:firstLine="420" w:firstLineChars="200"/>
        <w:rPr>
          <w:rFonts w:hint="eastAsia" w:cs="宋体"/>
          <w:bCs/>
          <w:szCs w:val="21"/>
        </w:rPr>
      </w:pPr>
      <w:r>
        <w:rPr>
          <w:rFonts w:hint="eastAsia" w:cs="宋体"/>
          <w:b/>
          <w:szCs w:val="21"/>
        </w:rPr>
        <w:t>（3）履约验收方式：</w:t>
      </w:r>
      <w:r>
        <w:rPr>
          <w:rFonts w:hint="eastAsia" w:cs="宋体"/>
          <w:szCs w:val="21"/>
        </w:rPr>
        <w:sym w:font="Wingdings" w:char="00A8"/>
      </w:r>
      <w:r>
        <w:rPr>
          <w:rFonts w:hint="eastAsia" w:cs="宋体"/>
          <w:bCs/>
          <w:szCs w:val="21"/>
        </w:rPr>
        <w:t xml:space="preserve">一次性验收         </w:t>
      </w:r>
    </w:p>
    <w:p w14:paraId="3C8F43A2">
      <w:pPr>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分期/分项验收：</w:t>
      </w:r>
      <w:r>
        <w:rPr>
          <w:rFonts w:hint="eastAsia" w:cs="宋体"/>
          <w:bCs/>
          <w:szCs w:val="21"/>
          <w:u w:val="single"/>
        </w:rPr>
        <w:t xml:space="preserve"> （应明确分期</w:t>
      </w:r>
      <w:r>
        <w:rPr>
          <w:rFonts w:hint="eastAsia" w:cs="宋体"/>
          <w:bCs/>
          <w:szCs w:val="21"/>
          <w:u w:val="single"/>
          <w:lang w:val="en"/>
        </w:rPr>
        <w:t>/分项验收的工作安排</w:t>
      </w:r>
      <w:r>
        <w:rPr>
          <w:rFonts w:hint="eastAsia" w:cs="宋体"/>
          <w:bCs/>
          <w:szCs w:val="21"/>
          <w:u w:val="single"/>
        </w:rPr>
        <w:t xml:space="preserve">）  </w:t>
      </w:r>
    </w:p>
    <w:p w14:paraId="5F227F2F">
      <w:pPr>
        <w:ind w:firstLine="420" w:firstLineChars="200"/>
        <w:rPr>
          <w:rFonts w:hint="eastAsia" w:cs="宋体"/>
          <w:b/>
          <w:szCs w:val="21"/>
        </w:rPr>
      </w:pPr>
      <w:r>
        <w:rPr>
          <w:rFonts w:hint="eastAsia" w:cs="宋体"/>
          <w:b/>
          <w:szCs w:val="21"/>
        </w:rPr>
        <w:t>（4）履约验收程序：</w:t>
      </w:r>
      <w:r>
        <w:rPr>
          <w:rFonts w:hint="eastAsia" w:cs="宋体"/>
          <w:b/>
          <w:szCs w:val="21"/>
          <w:u w:val="single"/>
        </w:rPr>
        <w:t xml:space="preserve">                                         </w:t>
      </w:r>
    </w:p>
    <w:p w14:paraId="4976060A">
      <w:pPr>
        <w:ind w:firstLine="420" w:firstLineChars="200"/>
        <w:rPr>
          <w:rFonts w:hint="eastAsia" w:cs="宋体"/>
          <w:bCs/>
          <w:szCs w:val="21"/>
          <w:u w:val="single"/>
        </w:rPr>
      </w:pPr>
      <w:r>
        <w:rPr>
          <w:rFonts w:hint="eastAsia" w:cs="宋体"/>
          <w:b/>
          <w:szCs w:val="21"/>
        </w:rPr>
        <w:t>（5）履约验收的内容：</w:t>
      </w:r>
      <w:r>
        <w:rPr>
          <w:rFonts w:hint="eastAsia" w:cs="宋体"/>
          <w:bCs/>
          <w:szCs w:val="21"/>
          <w:u w:val="single"/>
        </w:rPr>
        <w:t xml:space="preserve"> （应当包括每一项技术和商务要求的履约情况，特别是落实政府采购扶持中小企业，支持绿色发展和乡村振兴等政策情况）                                      </w:t>
      </w:r>
    </w:p>
    <w:p w14:paraId="4FD290EA">
      <w:pPr>
        <w:ind w:firstLine="420" w:firstLineChars="200"/>
        <w:rPr>
          <w:rFonts w:hint="eastAsia" w:cs="宋体"/>
          <w:b/>
          <w:szCs w:val="21"/>
          <w:u w:val="single"/>
        </w:rPr>
      </w:pPr>
      <w:r>
        <w:rPr>
          <w:rFonts w:hint="eastAsia" w:cs="宋体"/>
          <w:b/>
          <w:szCs w:val="21"/>
        </w:rPr>
        <w:t>（6）履约验收标准：</w:t>
      </w:r>
      <w:r>
        <w:rPr>
          <w:rFonts w:hint="eastAsia" w:cs="宋体"/>
          <w:b/>
          <w:szCs w:val="21"/>
          <w:u w:val="single"/>
        </w:rPr>
        <w:t xml:space="preserve">                                         </w:t>
      </w:r>
    </w:p>
    <w:p w14:paraId="5C0E2E55">
      <w:pPr>
        <w:widowControl/>
        <w:autoSpaceDE w:val="0"/>
        <w:autoSpaceDN w:val="0"/>
        <w:ind w:firstLine="420" w:firstLineChars="200"/>
        <w:jc w:val="left"/>
        <w:rPr>
          <w:rFonts w:hint="eastAsia" w:cs="宋体"/>
          <w:kern w:val="0"/>
          <w:szCs w:val="21"/>
        </w:rPr>
      </w:pPr>
      <w:r>
        <w:rPr>
          <w:rFonts w:hint="eastAsia" w:cs="宋体"/>
          <w:b/>
          <w:kern w:val="0"/>
          <w:szCs w:val="21"/>
        </w:rPr>
        <w:t>（7）是否以采购活动中供应商提供的样品作为参考：</w:t>
      </w:r>
      <w:r>
        <w:rPr>
          <w:rFonts w:hint="eastAsia" w:cs="宋体"/>
          <w:kern w:val="0"/>
          <w:szCs w:val="21"/>
        </w:rPr>
        <w:sym w:font="Wingdings" w:char="00A8"/>
      </w:r>
      <w:r>
        <w:rPr>
          <w:rFonts w:hint="eastAsia" w:cs="宋体"/>
          <w:bCs/>
          <w:kern w:val="0"/>
          <w:szCs w:val="21"/>
        </w:rPr>
        <w:t xml:space="preserve">是  </w:t>
      </w:r>
      <w:r>
        <w:rPr>
          <w:rFonts w:hint="eastAsia" w:cs="宋体"/>
          <w:kern w:val="0"/>
          <w:szCs w:val="21"/>
        </w:rPr>
        <w:sym w:font="Wingdings" w:char="00A8"/>
      </w:r>
      <w:r>
        <w:rPr>
          <w:rFonts w:hint="eastAsia" w:cs="宋体"/>
          <w:bCs/>
          <w:kern w:val="0"/>
          <w:szCs w:val="21"/>
        </w:rPr>
        <w:t>否</w:t>
      </w:r>
    </w:p>
    <w:p w14:paraId="27145E1A">
      <w:pPr>
        <w:ind w:firstLine="420" w:firstLineChars="200"/>
        <w:rPr>
          <w:rFonts w:hint="eastAsia" w:cs="宋体"/>
          <w:bCs/>
          <w:szCs w:val="21"/>
          <w:u w:val="single"/>
        </w:rPr>
      </w:pPr>
      <w:r>
        <w:rPr>
          <w:rFonts w:hint="eastAsia" w:cs="宋体"/>
          <w:b/>
          <w:szCs w:val="21"/>
        </w:rPr>
        <w:t>（8）履约验收其他事项：</w:t>
      </w:r>
      <w:r>
        <w:rPr>
          <w:rFonts w:hint="eastAsia" w:cs="宋体"/>
          <w:bCs/>
          <w:szCs w:val="21"/>
          <w:u w:val="single"/>
        </w:rPr>
        <w:t xml:space="preserve">      （产权过户登记等）          </w:t>
      </w:r>
    </w:p>
    <w:p w14:paraId="536AE28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组成合同的文件</w:t>
      </w:r>
    </w:p>
    <w:p w14:paraId="468097FA">
      <w:pPr>
        <w:adjustRightInd w:val="0"/>
        <w:snapToGrid w:val="0"/>
        <w:ind w:firstLine="420" w:firstLineChars="200"/>
        <w:rPr>
          <w:rFonts w:hint="eastAsia" w:cs="宋体"/>
          <w:szCs w:val="21"/>
        </w:rPr>
      </w:pPr>
      <w:r>
        <w:rPr>
          <w:rFonts w:hint="eastAsia" w:cs="宋体"/>
          <w:szCs w:val="21"/>
        </w:rPr>
        <w:t>本协议书与下列文件一起构成合同文件，如下述文件之间有任何抵触、矛盾或歧义，应按以下顺序解释：</w:t>
      </w:r>
    </w:p>
    <w:p w14:paraId="4E532A3C">
      <w:pPr>
        <w:ind w:firstLine="420" w:firstLineChars="200"/>
        <w:rPr>
          <w:rFonts w:hint="eastAsia" w:cs="宋体"/>
          <w:szCs w:val="21"/>
        </w:rPr>
      </w:pPr>
      <w:r>
        <w:rPr>
          <w:rFonts w:hint="eastAsia" w:cs="宋体"/>
          <w:szCs w:val="21"/>
        </w:rPr>
        <w:t>（1）政府采购合同协议书及其变更、补充协议；</w:t>
      </w:r>
    </w:p>
    <w:p w14:paraId="67882685">
      <w:pPr>
        <w:ind w:firstLine="420" w:firstLineChars="200"/>
        <w:rPr>
          <w:rFonts w:hint="eastAsia" w:cs="宋体"/>
          <w:szCs w:val="21"/>
        </w:rPr>
      </w:pPr>
      <w:r>
        <w:rPr>
          <w:rFonts w:hint="eastAsia" w:cs="宋体"/>
          <w:szCs w:val="21"/>
        </w:rPr>
        <w:t>（2）政府采购合同专用条款；</w:t>
      </w:r>
    </w:p>
    <w:p w14:paraId="6D3ABDA4">
      <w:pPr>
        <w:ind w:firstLine="420" w:firstLineChars="200"/>
        <w:rPr>
          <w:rFonts w:hint="eastAsia" w:cs="宋体"/>
          <w:szCs w:val="21"/>
        </w:rPr>
      </w:pPr>
      <w:r>
        <w:rPr>
          <w:rFonts w:hint="eastAsia" w:cs="宋体"/>
          <w:szCs w:val="21"/>
        </w:rPr>
        <w:t>（3）政府采购合同通用条款；</w:t>
      </w:r>
    </w:p>
    <w:p w14:paraId="018A2A0D">
      <w:pPr>
        <w:ind w:firstLine="420" w:firstLineChars="200"/>
        <w:rPr>
          <w:rFonts w:hint="eastAsia" w:cs="宋体"/>
          <w:szCs w:val="21"/>
        </w:rPr>
      </w:pPr>
      <w:r>
        <w:rPr>
          <w:rFonts w:hint="eastAsia" w:cs="宋体"/>
          <w:szCs w:val="21"/>
        </w:rPr>
        <w:t>（4）中标（成交）通知书；</w:t>
      </w:r>
    </w:p>
    <w:p w14:paraId="2C7BF6BC">
      <w:pPr>
        <w:ind w:firstLine="420" w:firstLineChars="200"/>
        <w:rPr>
          <w:rFonts w:hint="eastAsia" w:cs="宋体"/>
          <w:szCs w:val="21"/>
        </w:rPr>
      </w:pPr>
      <w:r>
        <w:rPr>
          <w:rFonts w:hint="eastAsia" w:cs="宋体"/>
          <w:szCs w:val="21"/>
        </w:rPr>
        <w:t>（5）投标（响应）文件；</w:t>
      </w:r>
    </w:p>
    <w:p w14:paraId="2AB5651D">
      <w:pPr>
        <w:ind w:firstLine="420" w:firstLineChars="200"/>
        <w:rPr>
          <w:rFonts w:hint="eastAsia" w:cs="宋体"/>
          <w:szCs w:val="21"/>
        </w:rPr>
      </w:pPr>
      <w:r>
        <w:rPr>
          <w:rFonts w:hint="eastAsia" w:cs="宋体"/>
          <w:szCs w:val="21"/>
        </w:rPr>
        <w:t>（6）采购文件；</w:t>
      </w:r>
    </w:p>
    <w:p w14:paraId="0BF4CE36">
      <w:pPr>
        <w:ind w:firstLine="420" w:firstLineChars="200"/>
        <w:rPr>
          <w:rFonts w:hint="eastAsia" w:cs="宋体"/>
          <w:szCs w:val="21"/>
        </w:rPr>
      </w:pPr>
      <w:r>
        <w:rPr>
          <w:rFonts w:hint="eastAsia" w:cs="宋体"/>
          <w:szCs w:val="21"/>
        </w:rPr>
        <w:t>（7）有关技术文件，图纸；</w:t>
      </w:r>
    </w:p>
    <w:p w14:paraId="4997A015">
      <w:pPr>
        <w:widowControl/>
        <w:autoSpaceDE w:val="0"/>
        <w:autoSpaceDN w:val="0"/>
        <w:ind w:firstLine="420" w:firstLineChars="200"/>
        <w:jc w:val="left"/>
        <w:rPr>
          <w:rFonts w:hint="eastAsia" w:cs="宋体"/>
          <w:szCs w:val="21"/>
        </w:rPr>
      </w:pPr>
      <w:r>
        <w:rPr>
          <w:rFonts w:hint="eastAsia" w:cs="宋体"/>
          <w:kern w:val="0"/>
          <w:szCs w:val="21"/>
        </w:rPr>
        <w:t>（8）</w:t>
      </w:r>
      <w:r>
        <w:rPr>
          <w:rFonts w:hint="eastAsia" w:cs="宋体"/>
          <w:szCs w:val="21"/>
        </w:rPr>
        <w:t>国家法律、行政法规和规章制度规定或合同约定的作为合同组成部分的其他文件。</w:t>
      </w:r>
    </w:p>
    <w:p w14:paraId="58E5192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合同生效</w:t>
      </w:r>
    </w:p>
    <w:p w14:paraId="68022B3B">
      <w:pPr>
        <w:adjustRightInd w:val="0"/>
        <w:snapToGrid w:val="0"/>
        <w:ind w:firstLine="420" w:firstLineChars="200"/>
        <w:rPr>
          <w:rFonts w:hint="eastAsia" w:cs="宋体"/>
          <w:szCs w:val="21"/>
        </w:rPr>
      </w:pPr>
      <w:r>
        <w:rPr>
          <w:rFonts w:hint="eastAsia" w:cs="宋体"/>
          <w:szCs w:val="21"/>
        </w:rPr>
        <w:t>本合同自</w:t>
      </w:r>
      <w:r>
        <w:rPr>
          <w:rFonts w:hint="eastAsia" w:cs="宋体"/>
          <w:szCs w:val="21"/>
          <w:u w:val="single"/>
        </w:rPr>
        <w:t xml:space="preserve">                             </w:t>
      </w:r>
      <w:r>
        <w:rPr>
          <w:rFonts w:hint="eastAsia" w:cs="宋体"/>
          <w:szCs w:val="21"/>
        </w:rPr>
        <w:t>生效。</w:t>
      </w:r>
    </w:p>
    <w:p w14:paraId="36415645">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合同份数</w:t>
      </w:r>
    </w:p>
    <w:p w14:paraId="039754C2">
      <w:pPr>
        <w:adjustRightInd w:val="0"/>
        <w:snapToGrid w:val="0"/>
        <w:ind w:firstLine="420" w:firstLineChars="200"/>
        <w:rPr>
          <w:rFonts w:hint="eastAsia" w:cs="宋体"/>
          <w:szCs w:val="21"/>
        </w:rPr>
      </w:pPr>
      <w:r>
        <w:rPr>
          <w:rFonts w:hint="eastAsia" w:cs="宋体"/>
          <w:szCs w:val="21"/>
        </w:rPr>
        <w:t>本合同一式</w:t>
      </w:r>
      <w:r>
        <w:rPr>
          <w:rFonts w:hint="eastAsia" w:cs="宋体"/>
          <w:szCs w:val="21"/>
          <w:u w:val="single"/>
        </w:rPr>
        <w:t xml:space="preserve">    </w:t>
      </w:r>
      <w:r>
        <w:rPr>
          <w:rFonts w:hint="eastAsia" w:cs="宋体"/>
          <w:szCs w:val="21"/>
        </w:rPr>
        <w:t>份，甲方执</w:t>
      </w:r>
      <w:r>
        <w:rPr>
          <w:rFonts w:hint="eastAsia" w:cs="宋体"/>
          <w:szCs w:val="21"/>
          <w:u w:val="single"/>
        </w:rPr>
        <w:t xml:space="preserve">    </w:t>
      </w:r>
      <w:r>
        <w:rPr>
          <w:rFonts w:hint="eastAsia" w:cs="宋体"/>
          <w:szCs w:val="21"/>
        </w:rPr>
        <w:t>份，乙方执</w:t>
      </w:r>
      <w:r>
        <w:rPr>
          <w:rFonts w:hint="eastAsia" w:cs="宋体"/>
          <w:szCs w:val="21"/>
          <w:u w:val="single"/>
        </w:rPr>
        <w:t xml:space="preserve">    </w:t>
      </w:r>
      <w:r>
        <w:rPr>
          <w:rFonts w:hint="eastAsia" w:cs="宋体"/>
          <w:szCs w:val="21"/>
        </w:rPr>
        <w:t>份，均具有同等法律效力。</w:t>
      </w:r>
    </w:p>
    <w:p w14:paraId="5F9B5916">
      <w:pPr>
        <w:adjustRightInd w:val="0"/>
        <w:snapToGrid w:val="0"/>
        <w:ind w:firstLine="420" w:firstLineChars="200"/>
        <w:rPr>
          <w:rFonts w:hint="eastAsia" w:cs="宋体"/>
          <w:szCs w:val="21"/>
        </w:rPr>
      </w:pPr>
      <w:r>
        <w:rPr>
          <w:rFonts w:hint="eastAsia" w:cs="宋体"/>
          <w:szCs w:val="21"/>
        </w:rPr>
        <w:t>合同订立时间：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65B58D30">
      <w:pPr>
        <w:adjustRightInd w:val="0"/>
        <w:snapToGrid w:val="0"/>
        <w:ind w:firstLine="420" w:firstLineChars="200"/>
        <w:rPr>
          <w:rFonts w:hint="eastAsia" w:cs="宋体"/>
          <w:szCs w:val="21"/>
        </w:rPr>
      </w:pPr>
      <w:r>
        <w:rPr>
          <w:rFonts w:hint="eastAsia" w:cs="宋体"/>
          <w:szCs w:val="21"/>
        </w:rPr>
        <w:t>合同订立地点：</w:t>
      </w:r>
      <w:r>
        <w:rPr>
          <w:rFonts w:hint="eastAsia" w:cs="宋体"/>
          <w:szCs w:val="21"/>
          <w:u w:val="single"/>
        </w:rPr>
        <w:t xml:space="preserve">                           </w:t>
      </w:r>
    </w:p>
    <w:p w14:paraId="00F64F5F">
      <w:pPr>
        <w:adjustRightInd w:val="0"/>
        <w:snapToGrid w:val="0"/>
        <w:ind w:firstLine="420" w:firstLineChars="200"/>
        <w:rPr>
          <w:rFonts w:hint="eastAsia" w:cs="宋体"/>
          <w:szCs w:val="21"/>
        </w:rPr>
      </w:pPr>
      <w:r>
        <w:rPr>
          <w:rFonts w:hint="eastAsia" w:cs="宋体"/>
          <w:szCs w:val="21"/>
        </w:rPr>
        <w:t>附件：具体标的及其技术要求和商务要求、联合协议、分包意向协议等。</w:t>
      </w:r>
    </w:p>
    <w:p w14:paraId="044F9654">
      <w:pPr>
        <w:widowControl/>
        <w:spacing w:line="240" w:lineRule="auto"/>
        <w:jc w:val="left"/>
        <w:rPr>
          <w:rFonts w:hint="eastAsia" w:cs="宋体"/>
          <w:szCs w:val="21"/>
        </w:rPr>
      </w:pPr>
      <w:r>
        <w:rPr>
          <w:rFonts w:hint="eastAsia" w:cs="宋体"/>
          <w:szCs w:val="21"/>
        </w:rPr>
        <w:br w:type="page"/>
      </w:r>
    </w:p>
    <w:p w14:paraId="70E55FA9">
      <w:pPr>
        <w:rPr>
          <w:rFonts w:hint="eastAsia" w:cs="宋体"/>
          <w:szCs w:val="21"/>
        </w:rPr>
      </w:pPr>
    </w:p>
    <w:tbl>
      <w:tblPr>
        <w:tblStyle w:val="44"/>
        <w:tblW w:w="492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11"/>
        <w:gridCol w:w="2819"/>
        <w:gridCol w:w="2313"/>
        <w:gridCol w:w="2474"/>
      </w:tblGrid>
      <w:tr w14:paraId="29F02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2562" w:type="pct"/>
            <w:gridSpan w:val="2"/>
            <w:vAlign w:val="center"/>
          </w:tcPr>
          <w:p w14:paraId="7C46CB70">
            <w:pPr>
              <w:adjustRightInd w:val="0"/>
              <w:snapToGrid w:val="0"/>
              <w:jc w:val="center"/>
              <w:rPr>
                <w:rFonts w:hint="eastAsia" w:cs="宋体"/>
                <w:b/>
                <w:bCs/>
                <w:szCs w:val="21"/>
              </w:rPr>
            </w:pPr>
            <w:r>
              <w:rPr>
                <w:rFonts w:hint="eastAsia" w:cs="宋体"/>
                <w:b/>
                <w:bCs/>
                <w:szCs w:val="21"/>
              </w:rPr>
              <w:t>甲方（采购人、受采购人委托签订合同的单位或采购文件约定的合同甲方）</w:t>
            </w:r>
          </w:p>
        </w:tc>
        <w:tc>
          <w:tcPr>
            <w:tcW w:w="2437" w:type="pct"/>
            <w:gridSpan w:val="2"/>
            <w:vAlign w:val="center"/>
          </w:tcPr>
          <w:p w14:paraId="42F7727E">
            <w:pPr>
              <w:adjustRightInd w:val="0"/>
              <w:snapToGrid w:val="0"/>
              <w:jc w:val="center"/>
              <w:rPr>
                <w:rFonts w:hint="eastAsia" w:cs="宋体"/>
                <w:b/>
                <w:bCs/>
                <w:szCs w:val="21"/>
              </w:rPr>
            </w:pPr>
            <w:r>
              <w:rPr>
                <w:rFonts w:hint="eastAsia" w:cs="宋体"/>
                <w:b/>
                <w:bCs/>
                <w:szCs w:val="21"/>
              </w:rPr>
              <w:t>乙方（供应商）</w:t>
            </w:r>
          </w:p>
        </w:tc>
      </w:tr>
      <w:tr w14:paraId="476D5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7" w:hRule="atLeast"/>
        </w:trPr>
        <w:tc>
          <w:tcPr>
            <w:tcW w:w="1126" w:type="pct"/>
            <w:vAlign w:val="center"/>
          </w:tcPr>
          <w:p w14:paraId="7E32FA71">
            <w:pPr>
              <w:adjustRightInd w:val="0"/>
              <w:snapToGrid w:val="0"/>
              <w:jc w:val="center"/>
              <w:rPr>
                <w:rFonts w:hint="eastAsia" w:cs="宋体"/>
                <w:b/>
                <w:bCs/>
                <w:szCs w:val="21"/>
              </w:rPr>
            </w:pPr>
            <w:r>
              <w:rPr>
                <w:rFonts w:hint="eastAsia" w:cs="宋体"/>
                <w:b/>
                <w:bCs/>
                <w:szCs w:val="21"/>
              </w:rPr>
              <w:t>单位名称（公章或合同章）</w:t>
            </w:r>
          </w:p>
        </w:tc>
        <w:tc>
          <w:tcPr>
            <w:tcW w:w="1436" w:type="pct"/>
            <w:vAlign w:val="center"/>
          </w:tcPr>
          <w:p w14:paraId="04BECD3F">
            <w:pPr>
              <w:adjustRightInd w:val="0"/>
              <w:snapToGrid w:val="0"/>
              <w:jc w:val="center"/>
              <w:rPr>
                <w:rFonts w:hint="eastAsia" w:cs="宋体"/>
                <w:szCs w:val="21"/>
              </w:rPr>
            </w:pPr>
          </w:p>
        </w:tc>
        <w:tc>
          <w:tcPr>
            <w:tcW w:w="1178" w:type="pct"/>
            <w:vAlign w:val="center"/>
          </w:tcPr>
          <w:p w14:paraId="26D497AB">
            <w:pPr>
              <w:adjustRightInd w:val="0"/>
              <w:snapToGrid w:val="0"/>
              <w:jc w:val="center"/>
              <w:rPr>
                <w:rFonts w:hint="eastAsia" w:cs="宋体"/>
                <w:b/>
                <w:bCs/>
                <w:szCs w:val="21"/>
              </w:rPr>
            </w:pPr>
            <w:r>
              <w:rPr>
                <w:rFonts w:hint="eastAsia" w:cs="宋体"/>
                <w:b/>
                <w:bCs/>
                <w:szCs w:val="21"/>
              </w:rPr>
              <w:t>单位名称（公章或合同章）</w:t>
            </w:r>
          </w:p>
        </w:tc>
        <w:tc>
          <w:tcPr>
            <w:tcW w:w="1259" w:type="pct"/>
            <w:vAlign w:val="center"/>
          </w:tcPr>
          <w:p w14:paraId="44CB5449">
            <w:pPr>
              <w:adjustRightInd w:val="0"/>
              <w:snapToGrid w:val="0"/>
              <w:jc w:val="center"/>
              <w:rPr>
                <w:rFonts w:hint="eastAsia" w:cs="宋体"/>
                <w:spacing w:val="20"/>
                <w:szCs w:val="21"/>
              </w:rPr>
            </w:pPr>
          </w:p>
        </w:tc>
      </w:tr>
      <w:tr w14:paraId="40754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1" w:hRule="atLeast"/>
        </w:trPr>
        <w:tc>
          <w:tcPr>
            <w:tcW w:w="1126" w:type="pct"/>
            <w:vMerge w:val="restart"/>
            <w:vAlign w:val="center"/>
          </w:tcPr>
          <w:p w14:paraId="48442702">
            <w:pPr>
              <w:adjustRightInd w:val="0"/>
              <w:snapToGrid w:val="0"/>
              <w:jc w:val="center"/>
              <w:rPr>
                <w:rFonts w:hint="eastAsia" w:cs="宋体"/>
                <w:b/>
                <w:bCs/>
                <w:szCs w:val="21"/>
              </w:rPr>
            </w:pPr>
            <w:r>
              <w:rPr>
                <w:rFonts w:hint="eastAsia" w:cs="宋体"/>
                <w:b/>
                <w:bCs/>
                <w:szCs w:val="21"/>
              </w:rPr>
              <w:t>法定代表人</w:t>
            </w:r>
          </w:p>
          <w:p w14:paraId="79994294">
            <w:pPr>
              <w:adjustRightInd w:val="0"/>
              <w:snapToGrid w:val="0"/>
              <w:ind w:firstLine="100" w:firstLineChars="48"/>
              <w:jc w:val="center"/>
              <w:rPr>
                <w:rFonts w:hint="eastAsia" w:cs="宋体"/>
                <w:b/>
                <w:bCs/>
                <w:szCs w:val="21"/>
              </w:rPr>
            </w:pPr>
            <w:r>
              <w:rPr>
                <w:rFonts w:hint="eastAsia" w:cs="宋体"/>
                <w:b/>
                <w:bCs/>
                <w:szCs w:val="21"/>
              </w:rPr>
              <w:t>或其委托代理人（签章）</w:t>
            </w:r>
          </w:p>
        </w:tc>
        <w:tc>
          <w:tcPr>
            <w:tcW w:w="1436" w:type="pct"/>
            <w:vMerge w:val="restart"/>
            <w:vAlign w:val="center"/>
          </w:tcPr>
          <w:p w14:paraId="079C1337">
            <w:pPr>
              <w:adjustRightInd w:val="0"/>
              <w:snapToGrid w:val="0"/>
              <w:jc w:val="center"/>
              <w:rPr>
                <w:rFonts w:hint="eastAsia" w:cs="宋体"/>
                <w:szCs w:val="21"/>
              </w:rPr>
            </w:pPr>
          </w:p>
        </w:tc>
        <w:tc>
          <w:tcPr>
            <w:tcW w:w="1178" w:type="pct"/>
            <w:vAlign w:val="center"/>
          </w:tcPr>
          <w:p w14:paraId="0999EABE">
            <w:pPr>
              <w:adjustRightInd w:val="0"/>
              <w:snapToGrid w:val="0"/>
              <w:jc w:val="center"/>
              <w:rPr>
                <w:rFonts w:hint="eastAsia" w:cs="宋体"/>
                <w:b/>
                <w:bCs/>
                <w:szCs w:val="21"/>
              </w:rPr>
            </w:pPr>
            <w:r>
              <w:rPr>
                <w:rFonts w:hint="eastAsia" w:cs="宋体"/>
                <w:b/>
                <w:bCs/>
                <w:szCs w:val="21"/>
              </w:rPr>
              <w:t>法定代表人</w:t>
            </w:r>
          </w:p>
          <w:p w14:paraId="70CF329E">
            <w:pPr>
              <w:adjustRightInd w:val="0"/>
              <w:snapToGrid w:val="0"/>
              <w:jc w:val="center"/>
              <w:rPr>
                <w:rFonts w:hint="eastAsia" w:cs="宋体"/>
                <w:b/>
                <w:bCs/>
                <w:szCs w:val="21"/>
              </w:rPr>
            </w:pPr>
            <w:r>
              <w:rPr>
                <w:rFonts w:hint="eastAsia" w:cs="宋体"/>
                <w:b/>
                <w:bCs/>
                <w:szCs w:val="21"/>
              </w:rPr>
              <w:t>或其委托代理人（签章）</w:t>
            </w:r>
          </w:p>
        </w:tc>
        <w:tc>
          <w:tcPr>
            <w:tcW w:w="1259" w:type="pct"/>
            <w:vAlign w:val="center"/>
          </w:tcPr>
          <w:p w14:paraId="57D5CF0F">
            <w:pPr>
              <w:adjustRightInd w:val="0"/>
              <w:snapToGrid w:val="0"/>
              <w:jc w:val="center"/>
              <w:rPr>
                <w:rFonts w:hint="eastAsia" w:cs="宋体"/>
                <w:szCs w:val="21"/>
              </w:rPr>
            </w:pPr>
          </w:p>
        </w:tc>
      </w:tr>
      <w:tr w14:paraId="21535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Merge w:val="continue"/>
            <w:vAlign w:val="center"/>
          </w:tcPr>
          <w:p w14:paraId="6F753F1F">
            <w:pPr>
              <w:adjustRightInd w:val="0"/>
              <w:snapToGrid w:val="0"/>
              <w:jc w:val="center"/>
              <w:rPr>
                <w:rFonts w:hint="eastAsia" w:cs="宋体"/>
                <w:b/>
                <w:bCs/>
                <w:szCs w:val="21"/>
              </w:rPr>
            </w:pPr>
          </w:p>
        </w:tc>
        <w:tc>
          <w:tcPr>
            <w:tcW w:w="1436" w:type="pct"/>
            <w:vMerge w:val="continue"/>
            <w:vAlign w:val="center"/>
          </w:tcPr>
          <w:p w14:paraId="00037463">
            <w:pPr>
              <w:adjustRightInd w:val="0"/>
              <w:snapToGrid w:val="0"/>
              <w:jc w:val="center"/>
              <w:rPr>
                <w:rFonts w:hint="eastAsia" w:cs="宋体"/>
                <w:szCs w:val="21"/>
              </w:rPr>
            </w:pPr>
          </w:p>
        </w:tc>
        <w:tc>
          <w:tcPr>
            <w:tcW w:w="1178" w:type="pct"/>
            <w:vAlign w:val="center"/>
          </w:tcPr>
          <w:p w14:paraId="1F94B1A4">
            <w:pPr>
              <w:adjustRightInd w:val="0"/>
              <w:snapToGrid w:val="0"/>
              <w:jc w:val="center"/>
              <w:rPr>
                <w:rFonts w:hint="eastAsia" w:cs="宋体"/>
                <w:b/>
                <w:bCs/>
                <w:szCs w:val="21"/>
              </w:rPr>
            </w:pPr>
            <w:r>
              <w:rPr>
                <w:rFonts w:hint="eastAsia" w:cs="宋体"/>
                <w:b/>
                <w:bCs/>
                <w:szCs w:val="21"/>
              </w:rPr>
              <w:t>拥有者性别</w:t>
            </w:r>
          </w:p>
        </w:tc>
        <w:tc>
          <w:tcPr>
            <w:tcW w:w="1259" w:type="pct"/>
            <w:vAlign w:val="center"/>
          </w:tcPr>
          <w:p w14:paraId="266F927C">
            <w:pPr>
              <w:adjustRightInd w:val="0"/>
              <w:snapToGrid w:val="0"/>
              <w:jc w:val="center"/>
              <w:rPr>
                <w:rFonts w:hint="eastAsia" w:cs="宋体"/>
                <w:spacing w:val="20"/>
                <w:szCs w:val="21"/>
              </w:rPr>
            </w:pPr>
          </w:p>
        </w:tc>
      </w:tr>
      <w:tr w14:paraId="3D495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67BCA4E">
            <w:pPr>
              <w:adjustRightInd w:val="0"/>
              <w:snapToGrid w:val="0"/>
              <w:spacing w:line="276" w:lineRule="auto"/>
              <w:jc w:val="center"/>
              <w:rPr>
                <w:rFonts w:hint="eastAsia" w:cs="宋体"/>
                <w:b/>
                <w:bCs/>
                <w:szCs w:val="21"/>
              </w:rPr>
            </w:pPr>
            <w:r>
              <w:rPr>
                <w:rFonts w:hint="eastAsia" w:cs="宋体"/>
                <w:b/>
                <w:bCs/>
                <w:szCs w:val="21"/>
              </w:rPr>
              <w:t>住  所</w:t>
            </w:r>
          </w:p>
        </w:tc>
        <w:tc>
          <w:tcPr>
            <w:tcW w:w="1436" w:type="pct"/>
            <w:vAlign w:val="center"/>
          </w:tcPr>
          <w:p w14:paraId="260CCC72">
            <w:pPr>
              <w:adjustRightInd w:val="0"/>
              <w:snapToGrid w:val="0"/>
              <w:jc w:val="center"/>
              <w:rPr>
                <w:rFonts w:hint="eastAsia" w:cs="宋体"/>
                <w:szCs w:val="21"/>
              </w:rPr>
            </w:pPr>
          </w:p>
        </w:tc>
        <w:tc>
          <w:tcPr>
            <w:tcW w:w="1178" w:type="pct"/>
            <w:vAlign w:val="center"/>
          </w:tcPr>
          <w:p w14:paraId="540BF2CA">
            <w:pPr>
              <w:adjustRightInd w:val="0"/>
              <w:snapToGrid w:val="0"/>
              <w:spacing w:line="276" w:lineRule="auto"/>
              <w:jc w:val="center"/>
              <w:rPr>
                <w:rFonts w:hint="eastAsia" w:cs="宋体"/>
                <w:b/>
                <w:bCs/>
                <w:szCs w:val="21"/>
              </w:rPr>
            </w:pPr>
            <w:r>
              <w:rPr>
                <w:rFonts w:hint="eastAsia" w:cs="宋体"/>
                <w:b/>
                <w:bCs/>
                <w:szCs w:val="21"/>
              </w:rPr>
              <w:t>住  所</w:t>
            </w:r>
          </w:p>
        </w:tc>
        <w:tc>
          <w:tcPr>
            <w:tcW w:w="1259" w:type="pct"/>
            <w:vAlign w:val="center"/>
          </w:tcPr>
          <w:p w14:paraId="696E0882">
            <w:pPr>
              <w:adjustRightInd w:val="0"/>
              <w:snapToGrid w:val="0"/>
              <w:jc w:val="center"/>
              <w:rPr>
                <w:rFonts w:hint="eastAsia" w:cs="宋体"/>
                <w:spacing w:val="20"/>
                <w:szCs w:val="21"/>
              </w:rPr>
            </w:pPr>
          </w:p>
        </w:tc>
      </w:tr>
      <w:tr w14:paraId="6034F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40F181BB">
            <w:pPr>
              <w:adjustRightInd w:val="0"/>
              <w:snapToGrid w:val="0"/>
              <w:spacing w:line="276" w:lineRule="auto"/>
              <w:jc w:val="center"/>
              <w:rPr>
                <w:rFonts w:hint="eastAsia" w:cs="宋体"/>
                <w:b/>
                <w:bCs/>
                <w:szCs w:val="21"/>
              </w:rPr>
            </w:pPr>
            <w:r>
              <w:rPr>
                <w:rFonts w:hint="eastAsia" w:cs="宋体"/>
                <w:b/>
                <w:bCs/>
                <w:szCs w:val="21"/>
              </w:rPr>
              <w:t>联 系 人</w:t>
            </w:r>
          </w:p>
        </w:tc>
        <w:tc>
          <w:tcPr>
            <w:tcW w:w="1436" w:type="pct"/>
            <w:vAlign w:val="center"/>
          </w:tcPr>
          <w:p w14:paraId="0C0AC2D8">
            <w:pPr>
              <w:adjustRightInd w:val="0"/>
              <w:snapToGrid w:val="0"/>
              <w:jc w:val="center"/>
              <w:rPr>
                <w:rFonts w:hint="eastAsia" w:cs="宋体"/>
                <w:szCs w:val="21"/>
              </w:rPr>
            </w:pPr>
          </w:p>
        </w:tc>
        <w:tc>
          <w:tcPr>
            <w:tcW w:w="1178" w:type="pct"/>
            <w:vAlign w:val="center"/>
          </w:tcPr>
          <w:p w14:paraId="13E19F21">
            <w:pPr>
              <w:adjustRightInd w:val="0"/>
              <w:snapToGrid w:val="0"/>
              <w:spacing w:line="276" w:lineRule="auto"/>
              <w:jc w:val="center"/>
              <w:rPr>
                <w:rFonts w:hint="eastAsia" w:cs="宋体"/>
                <w:b/>
                <w:bCs/>
                <w:szCs w:val="21"/>
              </w:rPr>
            </w:pPr>
            <w:r>
              <w:rPr>
                <w:rFonts w:hint="eastAsia" w:cs="宋体"/>
                <w:b/>
                <w:bCs/>
                <w:szCs w:val="21"/>
              </w:rPr>
              <w:t>联 系 人</w:t>
            </w:r>
          </w:p>
        </w:tc>
        <w:tc>
          <w:tcPr>
            <w:tcW w:w="1259" w:type="pct"/>
            <w:vAlign w:val="center"/>
          </w:tcPr>
          <w:p w14:paraId="51A2737A">
            <w:pPr>
              <w:adjustRightInd w:val="0"/>
              <w:snapToGrid w:val="0"/>
              <w:jc w:val="center"/>
              <w:rPr>
                <w:rFonts w:hint="eastAsia" w:cs="宋体"/>
                <w:spacing w:val="20"/>
                <w:szCs w:val="21"/>
              </w:rPr>
            </w:pPr>
          </w:p>
        </w:tc>
      </w:tr>
      <w:tr w14:paraId="4E93A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BB03B3C">
            <w:pPr>
              <w:adjustRightInd w:val="0"/>
              <w:snapToGrid w:val="0"/>
              <w:spacing w:line="276" w:lineRule="auto"/>
              <w:jc w:val="center"/>
              <w:rPr>
                <w:rFonts w:hint="eastAsia" w:cs="宋体"/>
                <w:b/>
                <w:bCs/>
                <w:szCs w:val="21"/>
              </w:rPr>
            </w:pPr>
            <w:r>
              <w:rPr>
                <w:rFonts w:hint="eastAsia" w:cs="宋体"/>
                <w:b/>
                <w:bCs/>
                <w:szCs w:val="21"/>
              </w:rPr>
              <w:t>联系电话</w:t>
            </w:r>
          </w:p>
        </w:tc>
        <w:tc>
          <w:tcPr>
            <w:tcW w:w="1436" w:type="pct"/>
            <w:vAlign w:val="center"/>
          </w:tcPr>
          <w:p w14:paraId="62DD4BBB">
            <w:pPr>
              <w:adjustRightInd w:val="0"/>
              <w:snapToGrid w:val="0"/>
              <w:jc w:val="center"/>
              <w:rPr>
                <w:rFonts w:hint="eastAsia" w:cs="宋体"/>
                <w:szCs w:val="21"/>
              </w:rPr>
            </w:pPr>
          </w:p>
        </w:tc>
        <w:tc>
          <w:tcPr>
            <w:tcW w:w="1178" w:type="pct"/>
            <w:vAlign w:val="center"/>
          </w:tcPr>
          <w:p w14:paraId="5EAF242A">
            <w:pPr>
              <w:adjustRightInd w:val="0"/>
              <w:snapToGrid w:val="0"/>
              <w:spacing w:line="276" w:lineRule="auto"/>
              <w:jc w:val="center"/>
              <w:rPr>
                <w:rFonts w:hint="eastAsia" w:cs="宋体"/>
                <w:b/>
                <w:bCs/>
                <w:szCs w:val="21"/>
              </w:rPr>
            </w:pPr>
            <w:r>
              <w:rPr>
                <w:rFonts w:hint="eastAsia" w:cs="宋体"/>
                <w:b/>
                <w:bCs/>
                <w:szCs w:val="21"/>
              </w:rPr>
              <w:t>联系电话</w:t>
            </w:r>
          </w:p>
        </w:tc>
        <w:tc>
          <w:tcPr>
            <w:tcW w:w="1259" w:type="pct"/>
            <w:vAlign w:val="center"/>
          </w:tcPr>
          <w:p w14:paraId="000B5A4B">
            <w:pPr>
              <w:adjustRightInd w:val="0"/>
              <w:snapToGrid w:val="0"/>
              <w:jc w:val="center"/>
              <w:rPr>
                <w:rFonts w:hint="eastAsia" w:cs="宋体"/>
                <w:spacing w:val="20"/>
                <w:szCs w:val="21"/>
              </w:rPr>
            </w:pPr>
          </w:p>
        </w:tc>
      </w:tr>
      <w:tr w14:paraId="36767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24C1412">
            <w:pPr>
              <w:adjustRightInd w:val="0"/>
              <w:snapToGrid w:val="0"/>
              <w:spacing w:line="276" w:lineRule="auto"/>
              <w:jc w:val="center"/>
              <w:rPr>
                <w:rFonts w:hint="eastAsia" w:cs="宋体"/>
                <w:b/>
                <w:bCs/>
                <w:szCs w:val="21"/>
              </w:rPr>
            </w:pPr>
            <w:r>
              <w:rPr>
                <w:rFonts w:hint="eastAsia" w:cs="宋体"/>
                <w:b/>
                <w:bCs/>
                <w:szCs w:val="21"/>
              </w:rPr>
              <w:t>通信地址</w:t>
            </w:r>
          </w:p>
        </w:tc>
        <w:tc>
          <w:tcPr>
            <w:tcW w:w="1436" w:type="pct"/>
            <w:vAlign w:val="center"/>
          </w:tcPr>
          <w:p w14:paraId="0BAAB88E">
            <w:pPr>
              <w:adjustRightInd w:val="0"/>
              <w:snapToGrid w:val="0"/>
              <w:jc w:val="center"/>
              <w:rPr>
                <w:rFonts w:hint="eastAsia" w:cs="宋体"/>
                <w:szCs w:val="21"/>
              </w:rPr>
            </w:pPr>
          </w:p>
        </w:tc>
        <w:tc>
          <w:tcPr>
            <w:tcW w:w="1178" w:type="pct"/>
            <w:vAlign w:val="center"/>
          </w:tcPr>
          <w:p w14:paraId="2F76D409">
            <w:pPr>
              <w:adjustRightInd w:val="0"/>
              <w:snapToGrid w:val="0"/>
              <w:spacing w:line="276" w:lineRule="auto"/>
              <w:jc w:val="center"/>
              <w:rPr>
                <w:rFonts w:hint="eastAsia" w:cs="宋体"/>
                <w:b/>
                <w:bCs/>
                <w:szCs w:val="21"/>
              </w:rPr>
            </w:pPr>
            <w:r>
              <w:rPr>
                <w:rFonts w:hint="eastAsia" w:cs="宋体"/>
                <w:b/>
                <w:bCs/>
                <w:szCs w:val="21"/>
              </w:rPr>
              <w:t>通信地址</w:t>
            </w:r>
          </w:p>
        </w:tc>
        <w:tc>
          <w:tcPr>
            <w:tcW w:w="1259" w:type="pct"/>
            <w:vAlign w:val="center"/>
          </w:tcPr>
          <w:p w14:paraId="7CB13CCD">
            <w:pPr>
              <w:adjustRightInd w:val="0"/>
              <w:snapToGrid w:val="0"/>
              <w:jc w:val="center"/>
              <w:rPr>
                <w:rFonts w:hint="eastAsia" w:cs="宋体"/>
                <w:spacing w:val="20"/>
                <w:szCs w:val="21"/>
              </w:rPr>
            </w:pPr>
          </w:p>
        </w:tc>
      </w:tr>
      <w:tr w14:paraId="3B6E9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7973EDB2">
            <w:pPr>
              <w:adjustRightInd w:val="0"/>
              <w:snapToGrid w:val="0"/>
              <w:spacing w:line="276" w:lineRule="auto"/>
              <w:jc w:val="center"/>
              <w:rPr>
                <w:rFonts w:hint="eastAsia" w:cs="宋体"/>
                <w:b/>
                <w:bCs/>
                <w:szCs w:val="21"/>
              </w:rPr>
            </w:pPr>
            <w:r>
              <w:rPr>
                <w:rFonts w:hint="eastAsia" w:cs="宋体"/>
                <w:b/>
                <w:bCs/>
                <w:szCs w:val="21"/>
              </w:rPr>
              <w:t>邮政编码</w:t>
            </w:r>
          </w:p>
        </w:tc>
        <w:tc>
          <w:tcPr>
            <w:tcW w:w="1436" w:type="pct"/>
            <w:vAlign w:val="center"/>
          </w:tcPr>
          <w:p w14:paraId="6F72BE4C">
            <w:pPr>
              <w:adjustRightInd w:val="0"/>
              <w:snapToGrid w:val="0"/>
              <w:jc w:val="center"/>
              <w:rPr>
                <w:rFonts w:hint="eastAsia" w:cs="宋体"/>
                <w:szCs w:val="21"/>
              </w:rPr>
            </w:pPr>
          </w:p>
        </w:tc>
        <w:tc>
          <w:tcPr>
            <w:tcW w:w="1178" w:type="pct"/>
            <w:vAlign w:val="center"/>
          </w:tcPr>
          <w:p w14:paraId="1FFB5489">
            <w:pPr>
              <w:adjustRightInd w:val="0"/>
              <w:snapToGrid w:val="0"/>
              <w:spacing w:line="276" w:lineRule="auto"/>
              <w:jc w:val="center"/>
              <w:rPr>
                <w:rFonts w:hint="eastAsia" w:cs="宋体"/>
                <w:b/>
                <w:bCs/>
                <w:szCs w:val="21"/>
              </w:rPr>
            </w:pPr>
            <w:r>
              <w:rPr>
                <w:rFonts w:hint="eastAsia" w:cs="宋体"/>
                <w:b/>
                <w:bCs/>
                <w:szCs w:val="21"/>
              </w:rPr>
              <w:t>邮政编码</w:t>
            </w:r>
          </w:p>
        </w:tc>
        <w:tc>
          <w:tcPr>
            <w:tcW w:w="1259" w:type="pct"/>
            <w:vAlign w:val="center"/>
          </w:tcPr>
          <w:p w14:paraId="07E6C70B">
            <w:pPr>
              <w:adjustRightInd w:val="0"/>
              <w:snapToGrid w:val="0"/>
              <w:jc w:val="center"/>
              <w:rPr>
                <w:rFonts w:hint="eastAsia" w:cs="宋体"/>
                <w:spacing w:val="20"/>
                <w:szCs w:val="21"/>
              </w:rPr>
            </w:pPr>
          </w:p>
        </w:tc>
      </w:tr>
      <w:tr w14:paraId="7CE7F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CCE3CF8">
            <w:pPr>
              <w:adjustRightInd w:val="0"/>
              <w:snapToGrid w:val="0"/>
              <w:spacing w:line="276" w:lineRule="auto"/>
              <w:jc w:val="center"/>
              <w:rPr>
                <w:rFonts w:hint="eastAsia" w:cs="宋体"/>
                <w:b/>
                <w:bCs/>
                <w:szCs w:val="21"/>
              </w:rPr>
            </w:pPr>
            <w:r>
              <w:rPr>
                <w:rFonts w:hint="eastAsia" w:cs="宋体"/>
                <w:b/>
                <w:bCs/>
                <w:szCs w:val="21"/>
              </w:rPr>
              <w:t>电子邮箱</w:t>
            </w:r>
          </w:p>
        </w:tc>
        <w:tc>
          <w:tcPr>
            <w:tcW w:w="1436" w:type="pct"/>
            <w:vAlign w:val="center"/>
          </w:tcPr>
          <w:p w14:paraId="2F05C4EB">
            <w:pPr>
              <w:adjustRightInd w:val="0"/>
              <w:snapToGrid w:val="0"/>
              <w:jc w:val="center"/>
              <w:rPr>
                <w:rFonts w:hint="eastAsia" w:cs="宋体"/>
                <w:szCs w:val="21"/>
              </w:rPr>
            </w:pPr>
          </w:p>
        </w:tc>
        <w:tc>
          <w:tcPr>
            <w:tcW w:w="1178" w:type="pct"/>
            <w:vAlign w:val="center"/>
          </w:tcPr>
          <w:p w14:paraId="0B604883">
            <w:pPr>
              <w:adjustRightInd w:val="0"/>
              <w:snapToGrid w:val="0"/>
              <w:spacing w:line="276" w:lineRule="auto"/>
              <w:jc w:val="center"/>
              <w:rPr>
                <w:rFonts w:hint="eastAsia" w:cs="宋体"/>
                <w:b/>
                <w:bCs/>
                <w:szCs w:val="21"/>
              </w:rPr>
            </w:pPr>
            <w:r>
              <w:rPr>
                <w:rFonts w:hint="eastAsia" w:cs="宋体"/>
                <w:b/>
                <w:bCs/>
                <w:szCs w:val="21"/>
              </w:rPr>
              <w:t>电子邮箱</w:t>
            </w:r>
          </w:p>
        </w:tc>
        <w:tc>
          <w:tcPr>
            <w:tcW w:w="1259" w:type="pct"/>
            <w:vAlign w:val="center"/>
          </w:tcPr>
          <w:p w14:paraId="07CA749A">
            <w:pPr>
              <w:adjustRightInd w:val="0"/>
              <w:snapToGrid w:val="0"/>
              <w:jc w:val="center"/>
              <w:rPr>
                <w:rFonts w:hint="eastAsia" w:cs="宋体"/>
                <w:spacing w:val="20"/>
                <w:szCs w:val="21"/>
              </w:rPr>
            </w:pPr>
          </w:p>
        </w:tc>
      </w:tr>
      <w:tr w14:paraId="25E33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9C08E93">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436" w:type="pct"/>
            <w:vAlign w:val="center"/>
          </w:tcPr>
          <w:p w14:paraId="1B2A8E06">
            <w:pPr>
              <w:adjustRightInd w:val="0"/>
              <w:snapToGrid w:val="0"/>
              <w:jc w:val="center"/>
              <w:rPr>
                <w:rFonts w:hint="eastAsia" w:cs="宋体"/>
                <w:szCs w:val="21"/>
              </w:rPr>
            </w:pPr>
          </w:p>
        </w:tc>
        <w:tc>
          <w:tcPr>
            <w:tcW w:w="1178" w:type="pct"/>
            <w:vAlign w:val="center"/>
          </w:tcPr>
          <w:p w14:paraId="4A972FE1">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259" w:type="pct"/>
            <w:vAlign w:val="center"/>
          </w:tcPr>
          <w:p w14:paraId="2514B151">
            <w:pPr>
              <w:adjustRightInd w:val="0"/>
              <w:snapToGrid w:val="0"/>
              <w:jc w:val="center"/>
              <w:rPr>
                <w:rFonts w:hint="eastAsia" w:cs="宋体"/>
                <w:spacing w:val="20"/>
                <w:szCs w:val="21"/>
              </w:rPr>
            </w:pPr>
          </w:p>
        </w:tc>
      </w:tr>
      <w:tr w14:paraId="3D3DD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9B95A7E">
            <w:pPr>
              <w:adjustRightInd w:val="0"/>
              <w:snapToGrid w:val="0"/>
              <w:jc w:val="center"/>
              <w:rPr>
                <w:rFonts w:hint="eastAsia" w:cs="宋体"/>
                <w:szCs w:val="21"/>
              </w:rPr>
            </w:pPr>
          </w:p>
        </w:tc>
        <w:tc>
          <w:tcPr>
            <w:tcW w:w="1436" w:type="pct"/>
            <w:vAlign w:val="center"/>
          </w:tcPr>
          <w:p w14:paraId="76D154F5">
            <w:pPr>
              <w:adjustRightInd w:val="0"/>
              <w:snapToGrid w:val="0"/>
              <w:jc w:val="center"/>
              <w:rPr>
                <w:rFonts w:hint="eastAsia" w:cs="宋体"/>
                <w:szCs w:val="21"/>
              </w:rPr>
            </w:pPr>
          </w:p>
        </w:tc>
        <w:tc>
          <w:tcPr>
            <w:tcW w:w="1178" w:type="pct"/>
            <w:vAlign w:val="center"/>
          </w:tcPr>
          <w:p w14:paraId="57B53C41">
            <w:pPr>
              <w:adjustRightInd w:val="0"/>
              <w:snapToGrid w:val="0"/>
              <w:spacing w:line="276" w:lineRule="auto"/>
              <w:jc w:val="center"/>
              <w:rPr>
                <w:rFonts w:hint="eastAsia" w:cs="宋体"/>
                <w:b/>
                <w:bCs/>
                <w:szCs w:val="21"/>
              </w:rPr>
            </w:pPr>
            <w:r>
              <w:rPr>
                <w:rFonts w:hint="eastAsia" w:cs="宋体"/>
                <w:b/>
                <w:bCs/>
                <w:szCs w:val="21"/>
              </w:rPr>
              <w:t>开户名称</w:t>
            </w:r>
          </w:p>
        </w:tc>
        <w:tc>
          <w:tcPr>
            <w:tcW w:w="1259" w:type="pct"/>
            <w:vAlign w:val="center"/>
          </w:tcPr>
          <w:p w14:paraId="5ED57030">
            <w:pPr>
              <w:adjustRightInd w:val="0"/>
              <w:snapToGrid w:val="0"/>
              <w:jc w:val="center"/>
              <w:rPr>
                <w:rFonts w:hint="eastAsia" w:cs="宋体"/>
                <w:spacing w:val="20"/>
                <w:szCs w:val="21"/>
              </w:rPr>
            </w:pPr>
          </w:p>
        </w:tc>
      </w:tr>
      <w:tr w14:paraId="26867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81A985E">
            <w:pPr>
              <w:adjustRightInd w:val="0"/>
              <w:snapToGrid w:val="0"/>
              <w:jc w:val="center"/>
              <w:rPr>
                <w:rFonts w:hint="eastAsia" w:cs="宋体"/>
                <w:szCs w:val="21"/>
              </w:rPr>
            </w:pPr>
          </w:p>
        </w:tc>
        <w:tc>
          <w:tcPr>
            <w:tcW w:w="1436" w:type="pct"/>
            <w:vAlign w:val="center"/>
          </w:tcPr>
          <w:p w14:paraId="7F540F55">
            <w:pPr>
              <w:adjustRightInd w:val="0"/>
              <w:snapToGrid w:val="0"/>
              <w:jc w:val="center"/>
              <w:rPr>
                <w:rFonts w:hint="eastAsia" w:cs="宋体"/>
                <w:szCs w:val="21"/>
              </w:rPr>
            </w:pPr>
          </w:p>
        </w:tc>
        <w:tc>
          <w:tcPr>
            <w:tcW w:w="1178" w:type="pct"/>
            <w:vAlign w:val="center"/>
          </w:tcPr>
          <w:p w14:paraId="56DD3121">
            <w:pPr>
              <w:adjustRightInd w:val="0"/>
              <w:snapToGrid w:val="0"/>
              <w:spacing w:line="276" w:lineRule="auto"/>
              <w:jc w:val="center"/>
              <w:rPr>
                <w:rFonts w:hint="eastAsia" w:cs="宋体"/>
                <w:b/>
                <w:bCs/>
                <w:szCs w:val="21"/>
              </w:rPr>
            </w:pPr>
            <w:r>
              <w:rPr>
                <w:rFonts w:hint="eastAsia" w:cs="宋体"/>
                <w:b/>
                <w:bCs/>
                <w:szCs w:val="21"/>
              </w:rPr>
              <w:t>开户银行</w:t>
            </w:r>
          </w:p>
        </w:tc>
        <w:tc>
          <w:tcPr>
            <w:tcW w:w="1259" w:type="pct"/>
            <w:vAlign w:val="center"/>
          </w:tcPr>
          <w:p w14:paraId="7EB2A590">
            <w:pPr>
              <w:adjustRightInd w:val="0"/>
              <w:snapToGrid w:val="0"/>
              <w:jc w:val="center"/>
              <w:rPr>
                <w:rFonts w:hint="eastAsia" w:cs="宋体"/>
                <w:spacing w:val="20"/>
                <w:szCs w:val="21"/>
              </w:rPr>
            </w:pPr>
          </w:p>
        </w:tc>
      </w:tr>
      <w:tr w14:paraId="395EA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FD160BE">
            <w:pPr>
              <w:adjustRightInd w:val="0"/>
              <w:snapToGrid w:val="0"/>
              <w:jc w:val="center"/>
              <w:rPr>
                <w:rFonts w:hint="eastAsia" w:cs="宋体"/>
                <w:szCs w:val="21"/>
              </w:rPr>
            </w:pPr>
          </w:p>
        </w:tc>
        <w:tc>
          <w:tcPr>
            <w:tcW w:w="1436" w:type="pct"/>
            <w:vAlign w:val="center"/>
          </w:tcPr>
          <w:p w14:paraId="6E791A35">
            <w:pPr>
              <w:adjustRightInd w:val="0"/>
              <w:snapToGrid w:val="0"/>
              <w:jc w:val="center"/>
              <w:rPr>
                <w:rFonts w:hint="eastAsia" w:cs="宋体"/>
                <w:szCs w:val="21"/>
              </w:rPr>
            </w:pPr>
          </w:p>
        </w:tc>
        <w:tc>
          <w:tcPr>
            <w:tcW w:w="1178" w:type="pct"/>
            <w:vAlign w:val="center"/>
          </w:tcPr>
          <w:p w14:paraId="36EF6482">
            <w:pPr>
              <w:adjustRightInd w:val="0"/>
              <w:snapToGrid w:val="0"/>
              <w:spacing w:line="276" w:lineRule="auto"/>
              <w:jc w:val="center"/>
              <w:rPr>
                <w:rFonts w:hint="eastAsia" w:cs="宋体"/>
                <w:b/>
                <w:bCs/>
                <w:szCs w:val="21"/>
              </w:rPr>
            </w:pPr>
            <w:r>
              <w:rPr>
                <w:rFonts w:hint="eastAsia" w:cs="宋体"/>
                <w:b/>
                <w:bCs/>
                <w:szCs w:val="21"/>
              </w:rPr>
              <w:t>银行账号</w:t>
            </w:r>
          </w:p>
        </w:tc>
        <w:tc>
          <w:tcPr>
            <w:tcW w:w="1259" w:type="pct"/>
            <w:vAlign w:val="center"/>
          </w:tcPr>
          <w:p w14:paraId="18EF8F71">
            <w:pPr>
              <w:adjustRightInd w:val="0"/>
              <w:snapToGrid w:val="0"/>
              <w:jc w:val="center"/>
              <w:rPr>
                <w:rFonts w:hint="eastAsia" w:cs="宋体"/>
                <w:spacing w:val="20"/>
                <w:szCs w:val="21"/>
              </w:rPr>
            </w:pPr>
          </w:p>
        </w:tc>
      </w:tr>
      <w:tr w14:paraId="4C00A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trPr>
        <w:tc>
          <w:tcPr>
            <w:tcW w:w="5000" w:type="pct"/>
            <w:gridSpan w:val="4"/>
            <w:vAlign w:val="center"/>
          </w:tcPr>
          <w:p w14:paraId="006F619E">
            <w:pPr>
              <w:adjustRightInd w:val="0"/>
              <w:snapToGrid w:val="0"/>
              <w:spacing w:before="165" w:beforeLines="50"/>
              <w:jc w:val="left"/>
              <w:rPr>
                <w:rFonts w:hint="eastAsia" w:cs="宋体"/>
                <w:b/>
                <w:bCs/>
                <w:spacing w:val="20"/>
                <w:szCs w:val="21"/>
              </w:rPr>
            </w:pPr>
            <w:r>
              <w:rPr>
                <w:rFonts w:hint="eastAsia" w:cs="宋体"/>
                <w:b/>
                <w:bCs/>
                <w:spacing w:val="-4"/>
                <w:szCs w:val="21"/>
              </w:rPr>
              <w:t>注：涉及联合体或其他合同主体的信息应按上表格式加列。</w:t>
            </w:r>
          </w:p>
        </w:tc>
      </w:tr>
    </w:tbl>
    <w:p w14:paraId="50C37461">
      <w:pPr>
        <w:keepNext/>
        <w:tabs>
          <w:tab w:val="left" w:pos="596"/>
        </w:tabs>
        <w:jc w:val="center"/>
        <w:outlineLvl w:val="1"/>
        <w:rPr>
          <w:rFonts w:hint="eastAsia" w:cs="宋体"/>
          <w:b/>
          <w:bCs/>
          <w:kern w:val="0"/>
          <w:szCs w:val="21"/>
        </w:rPr>
      </w:pPr>
      <w:r>
        <w:rPr>
          <w:rFonts w:hint="eastAsia" w:cs="宋体"/>
          <w:b/>
          <w:kern w:val="0"/>
          <w:szCs w:val="21"/>
          <w:u w:val="single"/>
        </w:rPr>
        <w:br w:type="page"/>
      </w:r>
      <w:bookmarkStart w:id="122" w:name="_Toc216724734"/>
      <w:bookmarkStart w:id="123" w:name="_Toc194694398"/>
      <w:bookmarkStart w:id="124" w:name="_Toc27624"/>
      <w:bookmarkStart w:id="125" w:name="_Toc9625"/>
      <w:r>
        <w:rPr>
          <w:rFonts w:hint="eastAsia" w:cs="宋体"/>
          <w:b/>
          <w:bCs/>
          <w:kern w:val="0"/>
          <w:sz w:val="28"/>
          <w:szCs w:val="28"/>
        </w:rPr>
        <w:t>第二节 政府采购合同通用条款</w:t>
      </w:r>
      <w:bookmarkEnd w:id="122"/>
      <w:bookmarkEnd w:id="123"/>
      <w:bookmarkEnd w:id="124"/>
      <w:bookmarkEnd w:id="125"/>
    </w:p>
    <w:p w14:paraId="75549F34">
      <w:pPr>
        <w:tabs>
          <w:tab w:val="left" w:pos="8820"/>
          <w:tab w:val="left" w:pos="9345"/>
          <w:tab w:val="left" w:pos="9765"/>
        </w:tabs>
        <w:ind w:firstLine="420" w:firstLineChars="200"/>
        <w:rPr>
          <w:rFonts w:hint="eastAsia" w:cs="宋体"/>
          <w:b/>
          <w:bCs/>
          <w:szCs w:val="21"/>
        </w:rPr>
      </w:pPr>
      <w:r>
        <w:rPr>
          <w:rFonts w:hint="eastAsia" w:cs="宋体"/>
          <w:b/>
          <w:szCs w:val="21"/>
        </w:rPr>
        <w:t xml:space="preserve">1. </w:t>
      </w:r>
      <w:r>
        <w:rPr>
          <w:rFonts w:hint="eastAsia" w:cs="宋体"/>
          <w:b/>
          <w:bCs/>
          <w:szCs w:val="21"/>
        </w:rPr>
        <w:t>定义</w:t>
      </w:r>
    </w:p>
    <w:p w14:paraId="4A6C724B">
      <w:pPr>
        <w:autoSpaceDE w:val="0"/>
        <w:autoSpaceDN w:val="0"/>
        <w:ind w:firstLine="420" w:firstLineChars="200"/>
        <w:rPr>
          <w:rFonts w:hint="eastAsia" w:cs="宋体"/>
          <w:b/>
          <w:bCs/>
          <w:szCs w:val="21"/>
        </w:rPr>
      </w:pPr>
      <w:r>
        <w:rPr>
          <w:rFonts w:hint="eastAsia" w:cs="宋体"/>
          <w:b/>
          <w:bCs/>
          <w:szCs w:val="21"/>
        </w:rPr>
        <w:t>1.1合同当事人</w:t>
      </w:r>
    </w:p>
    <w:p w14:paraId="3D69905F">
      <w:pPr>
        <w:autoSpaceDE w:val="0"/>
        <w:autoSpaceDN w:val="0"/>
        <w:ind w:firstLine="420" w:firstLineChars="200"/>
        <w:rPr>
          <w:rFonts w:hint="eastAsia" w:cs="宋体"/>
          <w:szCs w:val="21"/>
        </w:rPr>
      </w:pPr>
      <w:r>
        <w:rPr>
          <w:rFonts w:hint="eastAsia" w:cs="宋体"/>
          <w:szCs w:val="21"/>
        </w:rPr>
        <w:t>（1）采购人（以下称甲方）是指使用财政性资金，通过政府采购方式向供应商购买货物及其相关服务的国家机关、事业单位、团体组织。</w:t>
      </w:r>
    </w:p>
    <w:p w14:paraId="15D46049">
      <w:pPr>
        <w:autoSpaceDE w:val="0"/>
        <w:autoSpaceDN w:val="0"/>
        <w:ind w:firstLine="420" w:firstLineChars="200"/>
        <w:rPr>
          <w:rFonts w:hint="eastAsia" w:cs="宋体"/>
          <w:szCs w:val="21"/>
        </w:rPr>
      </w:pPr>
      <w:r>
        <w:rPr>
          <w:rFonts w:hint="eastAsia" w:cs="宋体"/>
          <w:szCs w:val="21"/>
        </w:rPr>
        <w:t>（2）供应商（以下称乙方）是指参加政府采购活动并且中标（成交），向采购人提供合同约定的货物及其相关服务的法人、非法人组织或者自然人。</w:t>
      </w:r>
    </w:p>
    <w:p w14:paraId="0F7E86D9">
      <w:pPr>
        <w:autoSpaceDE w:val="0"/>
        <w:autoSpaceDN w:val="0"/>
        <w:ind w:firstLine="420" w:firstLineChars="200"/>
        <w:rPr>
          <w:rFonts w:hint="eastAsia" w:cs="宋体"/>
          <w:szCs w:val="21"/>
        </w:rPr>
      </w:pPr>
      <w:r>
        <w:rPr>
          <w:rFonts w:hint="eastAsia" w:cs="宋体"/>
          <w:szCs w:val="21"/>
        </w:rPr>
        <w:t>（3）其他合同主体是指除采购人和供应商以外，</w:t>
      </w:r>
      <w:r>
        <w:rPr>
          <w:rFonts w:hint="eastAsia" w:cs="宋体"/>
          <w:bCs/>
          <w:szCs w:val="21"/>
        </w:rPr>
        <w:t>依法参与合同缔结或履行，享有权利、承担义务的合同当事人</w:t>
      </w:r>
      <w:r>
        <w:rPr>
          <w:rFonts w:hint="eastAsia" w:cs="宋体"/>
          <w:szCs w:val="21"/>
        </w:rPr>
        <w:t>。</w:t>
      </w:r>
    </w:p>
    <w:p w14:paraId="0407DA66">
      <w:pPr>
        <w:tabs>
          <w:tab w:val="left" w:pos="570"/>
          <w:tab w:val="left" w:pos="9240"/>
          <w:tab w:val="left" w:pos="9555"/>
        </w:tabs>
        <w:ind w:firstLine="420" w:firstLineChars="200"/>
        <w:rPr>
          <w:rFonts w:hint="eastAsia" w:cs="宋体"/>
          <w:b/>
          <w:bCs/>
          <w:szCs w:val="21"/>
        </w:rPr>
      </w:pPr>
      <w:r>
        <w:rPr>
          <w:rFonts w:hint="eastAsia" w:cs="宋体"/>
          <w:b/>
          <w:bCs/>
          <w:szCs w:val="21"/>
        </w:rPr>
        <w:t>1.2本合同下列术语应解释为：</w:t>
      </w:r>
    </w:p>
    <w:p w14:paraId="3C522AEF">
      <w:pPr>
        <w:ind w:firstLine="420" w:firstLineChars="200"/>
        <w:rPr>
          <w:rFonts w:hint="eastAsia" w:cs="宋体"/>
          <w:szCs w:val="21"/>
        </w:rPr>
      </w:pPr>
      <w:r>
        <w:rPr>
          <w:rFonts w:hint="eastAsia" w:cs="宋体"/>
          <w:szCs w:val="21"/>
        </w:rPr>
        <w:t>（1）“合同”系指</w:t>
      </w:r>
      <w:r>
        <w:rPr>
          <w:rFonts w:hint="eastAsia" w:cs="宋体"/>
          <w:bCs/>
          <w:szCs w:val="21"/>
        </w:rPr>
        <w:t>合同当事人意思表示达成一致的任何协议，包括签署的</w:t>
      </w:r>
      <w:r>
        <w:rPr>
          <w:rFonts w:hint="eastAsia" w:cs="宋体"/>
          <w:szCs w:val="21"/>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3745EF49">
      <w:pPr>
        <w:tabs>
          <w:tab w:val="left" w:pos="570"/>
          <w:tab w:val="left" w:pos="9240"/>
          <w:tab w:val="left" w:pos="9555"/>
        </w:tabs>
        <w:ind w:firstLine="420" w:firstLineChars="200"/>
        <w:rPr>
          <w:rFonts w:hint="eastAsia" w:cs="宋体"/>
          <w:szCs w:val="21"/>
        </w:rPr>
      </w:pPr>
      <w:r>
        <w:rPr>
          <w:rFonts w:hint="eastAsia" w:cs="宋体"/>
          <w:szCs w:val="21"/>
        </w:rPr>
        <w:t>（2）“合同价款”系指根据本合同规定乙方在全面履行合同义务后甲方应支付给乙方的价款。</w:t>
      </w:r>
    </w:p>
    <w:p w14:paraId="10F9A2E8">
      <w:pPr>
        <w:tabs>
          <w:tab w:val="left" w:pos="570"/>
          <w:tab w:val="left" w:pos="9240"/>
          <w:tab w:val="left" w:pos="9555"/>
        </w:tabs>
        <w:ind w:firstLine="420" w:firstLineChars="200"/>
        <w:rPr>
          <w:rFonts w:hint="eastAsia" w:cs="宋体"/>
          <w:szCs w:val="21"/>
        </w:rPr>
      </w:pPr>
      <w:r>
        <w:rPr>
          <w:rFonts w:hint="eastAsia" w:cs="宋体"/>
          <w:szCs w:val="21"/>
        </w:rPr>
        <w:t>（3）“货物”系指乙方根据本合同规定须向甲方提供的各种形态和种类的物品，包括原材料、设备、产品（包括软件）及相关的其备品备件、工具、手册及</w:t>
      </w:r>
      <w:r>
        <w:rPr>
          <w:rFonts w:hint="eastAsia" w:cs="宋体"/>
          <w:szCs w:val="21"/>
          <w:lang w:val="en"/>
        </w:rPr>
        <w:t>其他</w:t>
      </w:r>
      <w:r>
        <w:rPr>
          <w:rFonts w:hint="eastAsia" w:cs="宋体"/>
          <w:szCs w:val="21"/>
        </w:rPr>
        <w:t>技术资料和材料等。</w:t>
      </w:r>
    </w:p>
    <w:p w14:paraId="53EB5A86">
      <w:pPr>
        <w:ind w:firstLine="420" w:firstLineChars="200"/>
        <w:rPr>
          <w:rFonts w:hint="eastAsia" w:cs="宋体"/>
          <w:szCs w:val="21"/>
        </w:rPr>
      </w:pPr>
      <w:r>
        <w:rPr>
          <w:rFonts w:hint="eastAsia" w:cs="宋体"/>
          <w:szCs w:val="21"/>
        </w:rPr>
        <w:t>（4）“相关服务”系指根据合同规定，乙方应提供的与货物有关的技术、管理和</w:t>
      </w:r>
      <w:r>
        <w:rPr>
          <w:rFonts w:hint="eastAsia" w:cs="宋体"/>
          <w:szCs w:val="21"/>
          <w:lang w:val="en"/>
        </w:rPr>
        <w:t>其他</w:t>
      </w:r>
      <w:r>
        <w:rPr>
          <w:rFonts w:hint="eastAsia" w:cs="宋体"/>
          <w:szCs w:val="21"/>
        </w:rPr>
        <w:t>服务，包括但不限于：管理和质量保证、运输、保险、检验、现场准备、安装、集成、调试、培训、维修、废弃处置、技术支持等以及合同中规定乙方应承担的</w:t>
      </w:r>
      <w:r>
        <w:rPr>
          <w:rFonts w:hint="eastAsia" w:cs="宋体"/>
          <w:szCs w:val="21"/>
          <w:lang w:val="en"/>
        </w:rPr>
        <w:t>其他</w:t>
      </w:r>
      <w:r>
        <w:rPr>
          <w:rFonts w:hint="eastAsia" w:cs="宋体"/>
          <w:szCs w:val="21"/>
        </w:rPr>
        <w:t>义务。</w:t>
      </w:r>
    </w:p>
    <w:p w14:paraId="06FCA205">
      <w:pPr>
        <w:ind w:firstLine="420" w:firstLineChars="200"/>
        <w:rPr>
          <w:rFonts w:hint="eastAsia" w:cs="宋体"/>
          <w:szCs w:val="21"/>
        </w:rPr>
      </w:pPr>
      <w:r>
        <w:rPr>
          <w:rFonts w:hint="eastAsia" w:cs="宋体"/>
          <w:szCs w:val="21"/>
        </w:rPr>
        <w:t>（5）“分包”系指中标（成交）供应商按采购文件、投标（响应）文件的规定，根据分包意向协议，将中标（成交）项目中的部分履约内容，分给具有相应资质条件的供应商履行合同的行为。</w:t>
      </w:r>
    </w:p>
    <w:p w14:paraId="24E05D67">
      <w:pPr>
        <w:tabs>
          <w:tab w:val="left" w:pos="570"/>
          <w:tab w:val="left" w:pos="9240"/>
          <w:tab w:val="left" w:pos="9555"/>
        </w:tabs>
        <w:ind w:firstLine="420" w:firstLineChars="200"/>
        <w:rPr>
          <w:rFonts w:hint="eastAsia" w:cs="宋体"/>
          <w:szCs w:val="21"/>
        </w:rPr>
      </w:pPr>
      <w:r>
        <w:rPr>
          <w:rFonts w:hint="eastAsia" w:cs="宋体"/>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cs="宋体"/>
          <w:b/>
          <w:bCs/>
          <w:szCs w:val="21"/>
        </w:rPr>
        <w:t>政府采购合同专用条款</w:t>
      </w:r>
      <w:r>
        <w:rPr>
          <w:rFonts w:hint="eastAsia" w:cs="宋体"/>
          <w:szCs w:val="21"/>
        </w:rPr>
        <w:t>】。</w:t>
      </w:r>
    </w:p>
    <w:p w14:paraId="4E6C0C1D">
      <w:pPr>
        <w:tabs>
          <w:tab w:val="left" w:pos="570"/>
          <w:tab w:val="left" w:pos="9240"/>
          <w:tab w:val="left" w:pos="9555"/>
        </w:tabs>
        <w:ind w:firstLine="420" w:firstLineChars="200"/>
        <w:rPr>
          <w:rFonts w:hint="eastAsia" w:cs="宋体"/>
          <w:szCs w:val="21"/>
        </w:rPr>
      </w:pPr>
      <w:r>
        <w:rPr>
          <w:rFonts w:hint="eastAsia" w:cs="宋体"/>
          <w:szCs w:val="21"/>
        </w:rPr>
        <w:t>（7）其他术语解释，见【</w:t>
      </w:r>
      <w:r>
        <w:rPr>
          <w:rFonts w:hint="eastAsia" w:cs="宋体"/>
          <w:b/>
          <w:bCs/>
          <w:szCs w:val="21"/>
        </w:rPr>
        <w:t>政府采购合同专用条款</w:t>
      </w:r>
      <w:r>
        <w:rPr>
          <w:rFonts w:hint="eastAsia" w:cs="宋体"/>
          <w:szCs w:val="21"/>
        </w:rPr>
        <w:t>】。</w:t>
      </w:r>
    </w:p>
    <w:p w14:paraId="22198A41">
      <w:pPr>
        <w:numPr>
          <w:ilvl w:val="0"/>
          <w:numId w:val="8"/>
        </w:numPr>
        <w:autoSpaceDE w:val="0"/>
        <w:autoSpaceDN w:val="0"/>
        <w:spacing w:after="160" w:line="278" w:lineRule="auto"/>
        <w:ind w:firstLine="420" w:firstLineChars="200"/>
        <w:jc w:val="left"/>
        <w:rPr>
          <w:rFonts w:hint="eastAsia" w:cs="宋体"/>
          <w:b/>
          <w:bCs/>
          <w:szCs w:val="21"/>
        </w:rPr>
      </w:pPr>
      <w:r>
        <w:rPr>
          <w:rFonts w:hint="eastAsia" w:cs="宋体"/>
          <w:b/>
          <w:szCs w:val="21"/>
        </w:rPr>
        <w:t>合同标的及金额</w:t>
      </w:r>
    </w:p>
    <w:p w14:paraId="48D9B1A9">
      <w:pPr>
        <w:autoSpaceDE w:val="0"/>
        <w:autoSpaceDN w:val="0"/>
        <w:ind w:firstLine="420" w:firstLineChars="200"/>
        <w:rPr>
          <w:rFonts w:hint="eastAsia" w:cs="宋体"/>
          <w:b/>
          <w:bCs/>
          <w:i/>
          <w:iCs/>
          <w:szCs w:val="21"/>
        </w:rPr>
      </w:pPr>
      <w:r>
        <w:rPr>
          <w:rFonts w:hint="eastAsia" w:cs="宋体"/>
          <w:b/>
          <w:bCs/>
          <w:szCs w:val="21"/>
        </w:rPr>
        <w:t xml:space="preserve">2.1 </w:t>
      </w:r>
      <w:r>
        <w:rPr>
          <w:rFonts w:hint="eastAsia" w:cs="宋体"/>
          <w:szCs w:val="21"/>
        </w:rPr>
        <w:t>合同标的及金额应与中标（成交）结果一致。乙方为履行本合同而发生的所有费用均应包含在合同价款中，甲方不再另行支付</w:t>
      </w:r>
      <w:r>
        <w:rPr>
          <w:rFonts w:hint="eastAsia" w:cs="宋体"/>
          <w:szCs w:val="21"/>
          <w:lang w:val="en"/>
        </w:rPr>
        <w:t>其他</w:t>
      </w:r>
      <w:r>
        <w:rPr>
          <w:rFonts w:hint="eastAsia" w:cs="宋体"/>
          <w:szCs w:val="21"/>
        </w:rPr>
        <w:t>任何费用。</w:t>
      </w:r>
    </w:p>
    <w:p w14:paraId="62817643">
      <w:pPr>
        <w:ind w:firstLine="420" w:firstLineChars="200"/>
        <w:rPr>
          <w:rFonts w:hint="eastAsia" w:cs="宋体"/>
          <w:b/>
          <w:szCs w:val="21"/>
        </w:rPr>
      </w:pPr>
      <w:r>
        <w:rPr>
          <w:rFonts w:hint="eastAsia" w:cs="宋体"/>
          <w:b/>
          <w:szCs w:val="21"/>
        </w:rPr>
        <w:t>3. 履行合同的时间、地点和方式</w:t>
      </w:r>
    </w:p>
    <w:p w14:paraId="1BA2C853">
      <w:pPr>
        <w:autoSpaceDE w:val="0"/>
        <w:autoSpaceDN w:val="0"/>
        <w:ind w:firstLine="420" w:firstLineChars="200"/>
        <w:rPr>
          <w:rFonts w:hint="eastAsia" w:cs="宋体"/>
          <w:szCs w:val="21"/>
        </w:rPr>
      </w:pPr>
      <w:r>
        <w:rPr>
          <w:rFonts w:hint="eastAsia" w:cs="宋体"/>
          <w:b/>
          <w:bCs/>
          <w:szCs w:val="21"/>
        </w:rPr>
        <w:t xml:space="preserve">3.1 </w:t>
      </w:r>
      <w:r>
        <w:rPr>
          <w:rFonts w:hint="eastAsia" w:cs="宋体"/>
          <w:szCs w:val="21"/>
        </w:rPr>
        <w:t>乙方应当在约定的时间、地点，按照约定方式履行合同。</w:t>
      </w:r>
    </w:p>
    <w:p w14:paraId="4EEBE5C7">
      <w:pPr>
        <w:autoSpaceDE w:val="0"/>
        <w:autoSpaceDN w:val="0"/>
        <w:ind w:firstLine="420" w:firstLineChars="200"/>
        <w:rPr>
          <w:rFonts w:hint="eastAsia" w:cs="宋体"/>
          <w:b/>
          <w:bCs/>
          <w:szCs w:val="21"/>
        </w:rPr>
      </w:pPr>
      <w:r>
        <w:rPr>
          <w:rFonts w:hint="eastAsia" w:cs="宋体"/>
          <w:b/>
          <w:bCs/>
          <w:szCs w:val="21"/>
        </w:rPr>
        <w:t>4. 甲方的权利和义务</w:t>
      </w:r>
    </w:p>
    <w:p w14:paraId="4ADAE406">
      <w:pPr>
        <w:autoSpaceDE w:val="0"/>
        <w:autoSpaceDN w:val="0"/>
        <w:ind w:firstLine="420" w:firstLineChars="200"/>
        <w:rPr>
          <w:rFonts w:hint="eastAsia" w:cs="宋体"/>
          <w:szCs w:val="21"/>
        </w:rPr>
      </w:pPr>
      <w:r>
        <w:rPr>
          <w:rFonts w:hint="eastAsia" w:cs="宋体"/>
          <w:b/>
          <w:bCs/>
          <w:szCs w:val="21"/>
        </w:rPr>
        <w:t xml:space="preserve">4.1 </w:t>
      </w:r>
      <w:r>
        <w:rPr>
          <w:rFonts w:hint="eastAsia" w:cs="宋体"/>
          <w:szCs w:val="21"/>
        </w:rPr>
        <w:t>签署合同后，甲方应确定项目负责人（或项目联系人），负责与本合同有关的事务。甲方有权对乙方的履约行为进行检查，并及时确认乙方提交的事项。甲方应当配合乙方完成相关项目实施工作。</w:t>
      </w:r>
    </w:p>
    <w:p w14:paraId="4A6AA720">
      <w:pPr>
        <w:autoSpaceDE w:val="0"/>
        <w:autoSpaceDN w:val="0"/>
        <w:ind w:firstLine="420" w:firstLineChars="200"/>
        <w:rPr>
          <w:rFonts w:hint="eastAsia" w:cs="宋体"/>
          <w:szCs w:val="21"/>
        </w:rPr>
      </w:pPr>
      <w:r>
        <w:rPr>
          <w:rFonts w:hint="eastAsia" w:cs="宋体"/>
          <w:b/>
          <w:bCs/>
          <w:szCs w:val="21"/>
        </w:rPr>
        <w:t xml:space="preserve">4.2 </w:t>
      </w:r>
      <w:r>
        <w:rPr>
          <w:rFonts w:hint="eastAsia" w:cs="宋体"/>
          <w:szCs w:val="21"/>
        </w:rPr>
        <w:t>甲方有权要求乙方按时提交各阶段有关安排计划，并有权定期核对乙方提供货物数量、规格、质量等内容。甲方有权督促乙方工作并要求乙方更换不符合要求的货物。</w:t>
      </w:r>
    </w:p>
    <w:p w14:paraId="789A5482">
      <w:pPr>
        <w:autoSpaceDE w:val="0"/>
        <w:autoSpaceDN w:val="0"/>
        <w:ind w:firstLine="420" w:firstLineChars="200"/>
        <w:rPr>
          <w:rFonts w:hint="eastAsia" w:cs="宋体"/>
          <w:szCs w:val="21"/>
        </w:rPr>
      </w:pPr>
      <w:r>
        <w:rPr>
          <w:rFonts w:hint="eastAsia" w:cs="宋体"/>
          <w:b/>
          <w:bCs/>
          <w:szCs w:val="21"/>
        </w:rPr>
        <w:t xml:space="preserve">4.3 </w:t>
      </w:r>
      <w:r>
        <w:rPr>
          <w:rFonts w:hint="eastAsia" w:cs="宋体"/>
          <w:szCs w:val="21"/>
        </w:rPr>
        <w:t>甲方有权要求乙方对缺陷部分予以修复，并按合同约定享有货物保修及其他合同约定的权利。</w:t>
      </w:r>
    </w:p>
    <w:p w14:paraId="53A8EFEB">
      <w:pPr>
        <w:ind w:firstLine="420" w:firstLineChars="200"/>
        <w:rPr>
          <w:rFonts w:hint="eastAsia" w:cs="宋体"/>
          <w:szCs w:val="21"/>
        </w:rPr>
      </w:pPr>
      <w:r>
        <w:rPr>
          <w:rFonts w:hint="eastAsia" w:cs="宋体"/>
          <w:b/>
          <w:bCs/>
          <w:szCs w:val="21"/>
        </w:rPr>
        <w:t xml:space="preserve">4.4 </w:t>
      </w:r>
      <w:r>
        <w:rPr>
          <w:rFonts w:hint="eastAsia" w:cs="宋体"/>
          <w:szCs w:val="21"/>
        </w:rPr>
        <w:t>甲方应当按照合同约定及时对交付的货物进行验收，未在</w:t>
      </w:r>
      <w:r>
        <w:rPr>
          <w:rFonts w:hint="eastAsia" w:cs="宋体"/>
          <w:b/>
          <w:bCs/>
          <w:szCs w:val="21"/>
        </w:rPr>
        <w:t>【政府采购合同专用条款】</w:t>
      </w:r>
      <w:r>
        <w:rPr>
          <w:rFonts w:hint="eastAsia" w:cs="宋体"/>
          <w:szCs w:val="21"/>
        </w:rPr>
        <w:t>约定的期限内对乙方履约提出任何异议或者向乙方作出任何说明的，视为验收通过。</w:t>
      </w:r>
    </w:p>
    <w:p w14:paraId="1308EB68">
      <w:pPr>
        <w:autoSpaceDE w:val="0"/>
        <w:autoSpaceDN w:val="0"/>
        <w:ind w:firstLine="420" w:firstLineChars="200"/>
        <w:rPr>
          <w:rFonts w:hint="eastAsia" w:cs="宋体"/>
          <w:szCs w:val="21"/>
        </w:rPr>
      </w:pPr>
      <w:r>
        <w:rPr>
          <w:rFonts w:hint="eastAsia" w:cs="宋体"/>
          <w:b/>
          <w:bCs/>
          <w:szCs w:val="21"/>
        </w:rPr>
        <w:t xml:space="preserve">4.5 </w:t>
      </w:r>
      <w:r>
        <w:rPr>
          <w:rFonts w:hint="eastAsia" w:cs="宋体"/>
          <w:szCs w:val="21"/>
        </w:rPr>
        <w:t>甲方应当根据合同约定及时向乙方支付合同价款，不得以内部人员变更、履行内部付款流程等为由，拒绝或迟延支付。</w:t>
      </w:r>
    </w:p>
    <w:p w14:paraId="583BB0DF">
      <w:pPr>
        <w:autoSpaceDE w:val="0"/>
        <w:autoSpaceDN w:val="0"/>
        <w:ind w:firstLine="420" w:firstLineChars="200"/>
        <w:rPr>
          <w:rFonts w:hint="eastAsia" w:cs="宋体"/>
          <w:szCs w:val="21"/>
        </w:rPr>
      </w:pPr>
      <w:r>
        <w:rPr>
          <w:rFonts w:hint="eastAsia" w:cs="宋体"/>
          <w:b/>
          <w:bCs/>
          <w:szCs w:val="21"/>
        </w:rPr>
        <w:t xml:space="preserve">4.6 </w:t>
      </w:r>
      <w:r>
        <w:rPr>
          <w:rFonts w:hint="eastAsia" w:cs="宋体"/>
          <w:szCs w:val="21"/>
        </w:rPr>
        <w:t>国家法律法规规定及</w:t>
      </w:r>
      <w:r>
        <w:rPr>
          <w:rFonts w:hint="eastAsia" w:cs="宋体"/>
          <w:b/>
          <w:bCs/>
          <w:szCs w:val="21"/>
        </w:rPr>
        <w:t>【政府采购合同专用条款】</w:t>
      </w:r>
      <w:r>
        <w:rPr>
          <w:rFonts w:hint="eastAsia" w:cs="宋体"/>
          <w:szCs w:val="21"/>
        </w:rPr>
        <w:t>约定应由甲方承担的其他义务和责任。</w:t>
      </w:r>
    </w:p>
    <w:p w14:paraId="04FD4EC8">
      <w:pPr>
        <w:autoSpaceDE w:val="0"/>
        <w:autoSpaceDN w:val="0"/>
        <w:ind w:firstLine="420" w:firstLineChars="200"/>
        <w:rPr>
          <w:rFonts w:hint="eastAsia" w:cs="宋体"/>
          <w:b/>
          <w:bCs/>
          <w:szCs w:val="21"/>
        </w:rPr>
      </w:pPr>
      <w:r>
        <w:rPr>
          <w:rFonts w:hint="eastAsia" w:cs="宋体"/>
          <w:b/>
          <w:bCs/>
          <w:szCs w:val="21"/>
        </w:rPr>
        <w:t>5. 乙方的权利和义务</w:t>
      </w:r>
    </w:p>
    <w:p w14:paraId="04C3F420">
      <w:pPr>
        <w:autoSpaceDE w:val="0"/>
        <w:autoSpaceDN w:val="0"/>
        <w:ind w:firstLine="420" w:firstLineChars="200"/>
        <w:rPr>
          <w:rFonts w:hint="eastAsia" w:cs="宋体"/>
          <w:szCs w:val="21"/>
        </w:rPr>
      </w:pPr>
      <w:r>
        <w:rPr>
          <w:rFonts w:hint="eastAsia" w:cs="宋体"/>
          <w:b/>
          <w:bCs/>
          <w:szCs w:val="21"/>
        </w:rPr>
        <w:t xml:space="preserve">5.1 </w:t>
      </w:r>
      <w:r>
        <w:rPr>
          <w:rFonts w:hint="eastAsia" w:cs="宋体"/>
          <w:szCs w:val="21"/>
        </w:rPr>
        <w:t>签署合同后，乙方应确定项目负责人（或项目联系人），负责与本合同有关的事务。</w:t>
      </w:r>
    </w:p>
    <w:p w14:paraId="6C791C34">
      <w:pPr>
        <w:autoSpaceDE w:val="0"/>
        <w:autoSpaceDN w:val="0"/>
        <w:ind w:firstLine="420" w:firstLineChars="200"/>
        <w:rPr>
          <w:rFonts w:hint="eastAsia" w:cs="宋体"/>
          <w:szCs w:val="21"/>
        </w:rPr>
      </w:pPr>
      <w:r>
        <w:rPr>
          <w:rFonts w:hint="eastAsia" w:cs="宋体"/>
          <w:b/>
          <w:bCs/>
          <w:szCs w:val="21"/>
        </w:rPr>
        <w:t xml:space="preserve">5.2 </w:t>
      </w:r>
      <w:r>
        <w:rPr>
          <w:rFonts w:hint="eastAsia" w:cs="宋体"/>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D3BFA03">
      <w:pPr>
        <w:ind w:firstLine="388" w:firstLineChars="200"/>
        <w:rPr>
          <w:rFonts w:hint="eastAsia" w:cs="宋体"/>
          <w:b/>
          <w:spacing w:val="-8"/>
          <w:szCs w:val="21"/>
        </w:rPr>
      </w:pPr>
      <w:r>
        <w:rPr>
          <w:rFonts w:hint="eastAsia" w:cs="宋体"/>
          <w:b/>
          <w:spacing w:val="-8"/>
          <w:szCs w:val="21"/>
        </w:rPr>
        <w:t>5.3乙方有权根据合同约定向甲方收取合同价款。</w:t>
      </w:r>
    </w:p>
    <w:p w14:paraId="00F34080">
      <w:pPr>
        <w:ind w:firstLine="388" w:firstLineChars="200"/>
        <w:rPr>
          <w:rFonts w:hint="eastAsia" w:cs="宋体"/>
          <w:b/>
          <w:spacing w:val="-8"/>
          <w:szCs w:val="21"/>
        </w:rPr>
      </w:pPr>
      <w:r>
        <w:rPr>
          <w:rFonts w:hint="eastAsia" w:cs="宋体"/>
          <w:b/>
          <w:spacing w:val="-8"/>
          <w:szCs w:val="21"/>
        </w:rPr>
        <w:t>5.4国家法律法规规定及</w:t>
      </w:r>
      <w:r>
        <w:rPr>
          <w:rFonts w:hint="eastAsia" w:cs="宋体"/>
          <w:b/>
          <w:bCs/>
          <w:spacing w:val="-8"/>
          <w:szCs w:val="21"/>
        </w:rPr>
        <w:t>【政府采购合同专用条款】</w:t>
      </w:r>
      <w:r>
        <w:rPr>
          <w:rFonts w:hint="eastAsia" w:cs="宋体"/>
          <w:spacing w:val="-8"/>
          <w:szCs w:val="21"/>
        </w:rPr>
        <w:t>约定应</w:t>
      </w:r>
      <w:r>
        <w:rPr>
          <w:rFonts w:hint="eastAsia" w:cs="宋体"/>
          <w:b/>
          <w:spacing w:val="-8"/>
          <w:szCs w:val="21"/>
        </w:rPr>
        <w:t>由乙方承担的其他义务和责任。</w:t>
      </w:r>
    </w:p>
    <w:p w14:paraId="0EFE2846">
      <w:pPr>
        <w:numPr>
          <w:ilvl w:val="0"/>
          <w:numId w:val="9"/>
        </w:numPr>
        <w:autoSpaceDE w:val="0"/>
        <w:autoSpaceDN w:val="0"/>
        <w:spacing w:after="160" w:line="278" w:lineRule="auto"/>
        <w:ind w:firstLine="420" w:firstLineChars="200"/>
        <w:jc w:val="left"/>
        <w:rPr>
          <w:rFonts w:hint="eastAsia" w:cs="宋体"/>
          <w:b/>
          <w:bCs/>
          <w:szCs w:val="21"/>
        </w:rPr>
      </w:pPr>
      <w:r>
        <w:rPr>
          <w:rFonts w:hint="eastAsia" w:cs="宋体"/>
          <w:b/>
          <w:bCs/>
          <w:szCs w:val="21"/>
        </w:rPr>
        <w:t>合同履行</w:t>
      </w:r>
    </w:p>
    <w:p w14:paraId="475BBAA1">
      <w:pPr>
        <w:autoSpaceDE w:val="0"/>
        <w:autoSpaceDN w:val="0"/>
        <w:ind w:firstLine="420" w:firstLineChars="200"/>
        <w:rPr>
          <w:rFonts w:hint="eastAsia" w:cs="宋体"/>
          <w:szCs w:val="21"/>
        </w:rPr>
      </w:pPr>
      <w:r>
        <w:rPr>
          <w:rFonts w:hint="eastAsia" w:cs="宋体"/>
          <w:b/>
          <w:bCs/>
          <w:szCs w:val="21"/>
        </w:rPr>
        <w:t xml:space="preserve">6.1 </w:t>
      </w:r>
      <w:r>
        <w:rPr>
          <w:rFonts w:hint="eastAsia" w:cs="宋体"/>
          <w:szCs w:val="21"/>
        </w:rPr>
        <w:t>甲乙双方应当按照</w:t>
      </w:r>
      <w:r>
        <w:rPr>
          <w:rFonts w:hint="eastAsia" w:cs="宋体"/>
          <w:b/>
          <w:bCs/>
          <w:szCs w:val="21"/>
        </w:rPr>
        <w:t>【政府采购合同专用条款】</w:t>
      </w:r>
      <w:r>
        <w:rPr>
          <w:rFonts w:hint="eastAsia" w:cs="宋体"/>
          <w:szCs w:val="21"/>
        </w:rPr>
        <w:t>约定顺序履行合同义务；如果没有先后顺序的，应当同时履行。</w:t>
      </w:r>
    </w:p>
    <w:p w14:paraId="2513967B">
      <w:pPr>
        <w:autoSpaceDE w:val="0"/>
        <w:autoSpaceDN w:val="0"/>
        <w:ind w:firstLine="420" w:firstLineChars="200"/>
        <w:rPr>
          <w:rFonts w:hint="eastAsia" w:cs="宋体"/>
          <w:szCs w:val="21"/>
        </w:rPr>
      </w:pPr>
      <w:r>
        <w:rPr>
          <w:rFonts w:hint="eastAsia" w:cs="宋体"/>
          <w:b/>
          <w:bCs/>
          <w:szCs w:val="21"/>
        </w:rPr>
        <w:t xml:space="preserve">6.2 </w:t>
      </w:r>
      <w:r>
        <w:rPr>
          <w:rFonts w:hint="eastAsia" w:cs="宋体"/>
          <w:szCs w:val="21"/>
        </w:rPr>
        <w:t>甲乙双方按照合同约定顺序履行合同义务时，应当先履行一方未履行的，后履行一方有权拒绝其履行请求。先履行一方履行不符合约定的，后履行一方有权拒绝其相应的履行请求。</w:t>
      </w:r>
    </w:p>
    <w:p w14:paraId="7B80C2B3">
      <w:pPr>
        <w:ind w:firstLine="420" w:firstLineChars="200"/>
        <w:rPr>
          <w:rFonts w:hint="eastAsia" w:cs="宋体"/>
          <w:b/>
          <w:bCs/>
          <w:szCs w:val="21"/>
        </w:rPr>
      </w:pPr>
      <w:r>
        <w:rPr>
          <w:rFonts w:hint="eastAsia" w:cs="宋体"/>
          <w:b/>
          <w:bCs/>
          <w:szCs w:val="21"/>
        </w:rPr>
        <w:t>7. 货物包装、运输、保险和交付要求</w:t>
      </w:r>
    </w:p>
    <w:p w14:paraId="15BA3AF3">
      <w:pPr>
        <w:autoSpaceDE w:val="0"/>
        <w:autoSpaceDN w:val="0"/>
        <w:ind w:firstLine="420" w:firstLineChars="200"/>
        <w:rPr>
          <w:rFonts w:hint="eastAsia" w:cs="宋体"/>
          <w:szCs w:val="21"/>
        </w:rPr>
      </w:pPr>
      <w:r>
        <w:rPr>
          <w:rFonts w:hint="eastAsia" w:cs="宋体"/>
          <w:b/>
          <w:bCs/>
          <w:szCs w:val="21"/>
        </w:rPr>
        <w:t xml:space="preserve">7.1 </w:t>
      </w:r>
      <w:r>
        <w:rPr>
          <w:rFonts w:hint="eastAsia" w:cs="宋体"/>
          <w:szCs w:val="21"/>
        </w:rPr>
        <w:t>本合同</w:t>
      </w:r>
      <w:r>
        <w:rPr>
          <w:rFonts w:hint="eastAsia" w:cs="宋体"/>
          <w:bCs/>
          <w:szCs w:val="21"/>
        </w:rPr>
        <w:t>涉及商品包装、快递包装的，</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包装应适应远距离运输、防潮、防震、防锈和防野蛮装卸等要求，确保货物安全无损地运抵</w:t>
      </w:r>
      <w:r>
        <w:rPr>
          <w:rFonts w:hint="eastAsia" w:cs="宋体"/>
          <w:b/>
          <w:szCs w:val="21"/>
        </w:rPr>
        <w:t>【政府采购合同专用条款】</w:t>
      </w:r>
      <w:r>
        <w:rPr>
          <w:rFonts w:hint="eastAsia" w:cs="宋体"/>
          <w:bCs/>
          <w:szCs w:val="21"/>
        </w:rPr>
        <w:t>约定的</w:t>
      </w:r>
      <w:r>
        <w:rPr>
          <w:rFonts w:hint="eastAsia" w:cs="宋体"/>
          <w:szCs w:val="21"/>
        </w:rPr>
        <w:t>指定现场。</w:t>
      </w:r>
    </w:p>
    <w:p w14:paraId="247441BD">
      <w:pPr>
        <w:ind w:firstLine="420" w:firstLineChars="200"/>
        <w:rPr>
          <w:rFonts w:hint="eastAsia" w:cs="宋体"/>
          <w:szCs w:val="21"/>
        </w:rPr>
      </w:pPr>
      <w:r>
        <w:rPr>
          <w:rFonts w:hint="eastAsia" w:cs="宋体"/>
          <w:b/>
          <w:bCs/>
          <w:szCs w:val="21"/>
        </w:rPr>
        <w:t xml:space="preserve">7.2 </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乙方负责办理将货物运抵本合同规定的交货地点，并装卸、交付至甲方的一切运输事项，相关费用应包含在合同价款中。</w:t>
      </w:r>
    </w:p>
    <w:p w14:paraId="1B0AB1C0">
      <w:pPr>
        <w:ind w:firstLine="420" w:firstLineChars="200"/>
        <w:rPr>
          <w:rFonts w:hint="eastAsia" w:cs="宋体"/>
          <w:szCs w:val="21"/>
        </w:rPr>
      </w:pPr>
      <w:r>
        <w:rPr>
          <w:rFonts w:hint="eastAsia" w:cs="宋体"/>
          <w:b/>
          <w:bCs/>
          <w:szCs w:val="21"/>
        </w:rPr>
        <w:t xml:space="preserve">7.3 </w:t>
      </w:r>
      <w:r>
        <w:rPr>
          <w:rFonts w:hint="eastAsia" w:cs="宋体"/>
          <w:szCs w:val="21"/>
        </w:rPr>
        <w:t>货物保险要求按</w:t>
      </w:r>
      <w:r>
        <w:rPr>
          <w:rFonts w:hint="eastAsia" w:cs="宋体"/>
          <w:b/>
          <w:szCs w:val="21"/>
        </w:rPr>
        <w:t>【政府采购合同专用条款】</w:t>
      </w:r>
      <w:r>
        <w:rPr>
          <w:rFonts w:hint="eastAsia" w:cs="宋体"/>
          <w:bCs/>
          <w:szCs w:val="21"/>
        </w:rPr>
        <w:t>规定执行</w:t>
      </w:r>
      <w:r>
        <w:rPr>
          <w:rFonts w:hint="eastAsia" w:cs="宋体"/>
          <w:szCs w:val="21"/>
        </w:rPr>
        <w:t>。</w:t>
      </w:r>
    </w:p>
    <w:p w14:paraId="0451CE2C">
      <w:pPr>
        <w:autoSpaceDE w:val="0"/>
        <w:autoSpaceDN w:val="0"/>
        <w:ind w:firstLine="420" w:firstLineChars="200"/>
        <w:rPr>
          <w:rFonts w:hint="eastAsia" w:cs="宋体"/>
          <w:szCs w:val="21"/>
        </w:rPr>
      </w:pPr>
      <w:r>
        <w:rPr>
          <w:rFonts w:hint="eastAsia" w:cs="宋体"/>
          <w:b/>
          <w:bCs/>
          <w:szCs w:val="21"/>
        </w:rPr>
        <w:t xml:space="preserve">7.4 </w:t>
      </w:r>
      <w:r>
        <w:rPr>
          <w:rFonts w:hint="eastAsia" w:cs="宋体"/>
          <w:szCs w:val="21"/>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515F2308">
      <w:pPr>
        <w:autoSpaceDE w:val="0"/>
        <w:autoSpaceDN w:val="0"/>
        <w:ind w:firstLine="420" w:firstLineChars="200"/>
        <w:rPr>
          <w:rFonts w:hint="eastAsia" w:cs="宋体"/>
          <w:szCs w:val="21"/>
        </w:rPr>
      </w:pPr>
      <w:r>
        <w:rPr>
          <w:rFonts w:hint="eastAsia" w:cs="宋体"/>
          <w:b/>
          <w:bCs/>
          <w:szCs w:val="21"/>
        </w:rPr>
        <w:t xml:space="preserve">7.5 </w:t>
      </w:r>
      <w:r>
        <w:rPr>
          <w:rFonts w:hint="eastAsia" w:cs="宋体"/>
          <w:szCs w:val="21"/>
        </w:rPr>
        <w:t>乙方在运输到达之前应提前通知甲方，并提示货物运输装卸的注意事项，甲方配合乙方做好货物的接收工作。</w:t>
      </w:r>
    </w:p>
    <w:p w14:paraId="49CFDAD3">
      <w:pPr>
        <w:widowControl/>
        <w:autoSpaceDE w:val="0"/>
        <w:autoSpaceDN w:val="0"/>
        <w:ind w:firstLine="420" w:firstLineChars="200"/>
        <w:rPr>
          <w:rFonts w:hint="eastAsia" w:cs="宋体"/>
          <w:kern w:val="0"/>
          <w:szCs w:val="21"/>
        </w:rPr>
      </w:pPr>
      <w:r>
        <w:rPr>
          <w:rFonts w:hint="eastAsia" w:cs="宋体"/>
          <w:b/>
          <w:bCs/>
          <w:szCs w:val="21"/>
        </w:rPr>
        <w:t xml:space="preserve">7.6 </w:t>
      </w:r>
      <w:r>
        <w:rPr>
          <w:rFonts w:hint="eastAsia" w:cs="宋体"/>
          <w:szCs w:val="21"/>
        </w:rPr>
        <w:t>如因包装、运输问题导致货物损毁、丢失或者品质下降，甲方有权要求降价、换货、拒收部分或整批货物，由此产生的费用和损失，均由乙方承担。</w:t>
      </w:r>
    </w:p>
    <w:p w14:paraId="460AA03A">
      <w:pPr>
        <w:ind w:firstLine="420" w:firstLineChars="200"/>
        <w:rPr>
          <w:rFonts w:hint="eastAsia" w:cs="宋体"/>
          <w:b/>
          <w:szCs w:val="21"/>
        </w:rPr>
      </w:pPr>
      <w:r>
        <w:rPr>
          <w:rFonts w:hint="eastAsia" w:cs="宋体"/>
          <w:b/>
          <w:szCs w:val="21"/>
        </w:rPr>
        <w:t>8. 质量标准和保证</w:t>
      </w:r>
    </w:p>
    <w:p w14:paraId="20B1A72A">
      <w:pPr>
        <w:ind w:firstLine="420" w:firstLineChars="200"/>
        <w:rPr>
          <w:rFonts w:hint="eastAsia" w:cs="宋体"/>
          <w:b/>
          <w:bCs/>
          <w:szCs w:val="21"/>
        </w:rPr>
      </w:pPr>
      <w:r>
        <w:rPr>
          <w:rFonts w:hint="eastAsia" w:cs="宋体"/>
          <w:b/>
          <w:bCs/>
          <w:szCs w:val="21"/>
        </w:rPr>
        <w:t>8.1 质量标准</w:t>
      </w:r>
    </w:p>
    <w:p w14:paraId="5A66C4C8">
      <w:pPr>
        <w:autoSpaceDE w:val="0"/>
        <w:autoSpaceDN w:val="0"/>
        <w:ind w:firstLine="420" w:firstLineChars="200"/>
        <w:rPr>
          <w:rFonts w:hint="eastAsia" w:cs="宋体"/>
          <w:szCs w:val="21"/>
        </w:rPr>
      </w:pPr>
      <w:r>
        <w:rPr>
          <w:rFonts w:hint="eastAsia" w:cs="宋体"/>
          <w:szCs w:val="21"/>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981448">
      <w:pPr>
        <w:ind w:firstLine="420" w:firstLineChars="200"/>
        <w:rPr>
          <w:rFonts w:hint="eastAsia" w:cs="宋体"/>
          <w:szCs w:val="21"/>
        </w:rPr>
      </w:pPr>
      <w:r>
        <w:rPr>
          <w:rFonts w:hint="eastAsia" w:cs="宋体"/>
          <w:szCs w:val="21"/>
        </w:rPr>
        <w:t>（2）采用中华人民共和国法定计量单位。</w:t>
      </w:r>
    </w:p>
    <w:p w14:paraId="6C4EF003">
      <w:pPr>
        <w:autoSpaceDE w:val="0"/>
        <w:autoSpaceDN w:val="0"/>
        <w:ind w:firstLine="420" w:firstLineChars="200"/>
        <w:rPr>
          <w:rFonts w:hint="eastAsia" w:cs="宋体"/>
          <w:szCs w:val="21"/>
        </w:rPr>
      </w:pPr>
      <w:r>
        <w:rPr>
          <w:rFonts w:hint="eastAsia" w:cs="宋体"/>
          <w:szCs w:val="21"/>
        </w:rPr>
        <w:t>（3）乙方所提供的货物应符合国家有关安全、环保、卫生的规定。</w:t>
      </w:r>
    </w:p>
    <w:p w14:paraId="2B5A8579">
      <w:pPr>
        <w:autoSpaceDE w:val="0"/>
        <w:autoSpaceDN w:val="0"/>
        <w:ind w:firstLine="420" w:firstLineChars="200"/>
        <w:rPr>
          <w:rFonts w:hint="eastAsia" w:cs="宋体"/>
          <w:szCs w:val="21"/>
        </w:rPr>
      </w:pPr>
      <w:r>
        <w:rPr>
          <w:rFonts w:hint="eastAsia" w:cs="宋体"/>
          <w:szCs w:val="21"/>
        </w:rPr>
        <w:t>（4）乙方应向甲方提交所提供货物的技术文件，包括相应的中文技术文件，如：产品目录、图纸、操作手册、使用说明、维护手册或服务指南等。上述文件应包装好随货物一同发运。</w:t>
      </w:r>
    </w:p>
    <w:p w14:paraId="4ABF3977">
      <w:pPr>
        <w:autoSpaceDE w:val="0"/>
        <w:autoSpaceDN w:val="0"/>
        <w:ind w:firstLine="420" w:firstLineChars="200"/>
        <w:rPr>
          <w:rFonts w:hint="eastAsia" w:cs="宋体"/>
          <w:b/>
          <w:bCs/>
          <w:szCs w:val="21"/>
        </w:rPr>
      </w:pPr>
      <w:r>
        <w:rPr>
          <w:rFonts w:hint="eastAsia" w:cs="宋体"/>
          <w:b/>
          <w:bCs/>
          <w:szCs w:val="21"/>
        </w:rPr>
        <w:t>8.2 保证</w:t>
      </w:r>
    </w:p>
    <w:p w14:paraId="250C6126">
      <w:pPr>
        <w:autoSpaceDE w:val="0"/>
        <w:autoSpaceDN w:val="0"/>
        <w:ind w:firstLine="420" w:firstLineChars="200"/>
        <w:rPr>
          <w:rFonts w:hint="eastAsia" w:cs="宋体"/>
          <w:szCs w:val="21"/>
        </w:rPr>
      </w:pPr>
      <w:r>
        <w:rPr>
          <w:rFonts w:hint="eastAsia" w:cs="宋体"/>
          <w:szCs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cs="宋体"/>
          <w:b/>
          <w:szCs w:val="21"/>
        </w:rPr>
        <w:t>【政府采购合同专用条款】</w:t>
      </w:r>
      <w:r>
        <w:rPr>
          <w:rFonts w:hint="eastAsia" w:cs="宋体"/>
          <w:szCs w:val="21"/>
        </w:rPr>
        <w:t>规定或乙方书面承诺（两者以较长的为准）的质量保证期内，本保证保持有效。</w:t>
      </w:r>
    </w:p>
    <w:p w14:paraId="66F7BD41">
      <w:pPr>
        <w:autoSpaceDE w:val="0"/>
        <w:autoSpaceDN w:val="0"/>
        <w:ind w:firstLine="420" w:firstLineChars="200"/>
        <w:rPr>
          <w:rFonts w:hint="eastAsia" w:cs="宋体"/>
          <w:szCs w:val="21"/>
        </w:rPr>
      </w:pPr>
      <w:r>
        <w:rPr>
          <w:rFonts w:hint="eastAsia" w:cs="宋体"/>
          <w:szCs w:val="21"/>
        </w:rPr>
        <w:t>（2）在质量保证期内所发现的缺陷，甲方应尽快以书面形式通知乙方。</w:t>
      </w:r>
    </w:p>
    <w:p w14:paraId="49244745">
      <w:pPr>
        <w:autoSpaceDE w:val="0"/>
        <w:autoSpaceDN w:val="0"/>
        <w:ind w:firstLine="420" w:firstLineChars="200"/>
        <w:rPr>
          <w:rFonts w:hint="eastAsia" w:cs="宋体"/>
          <w:szCs w:val="21"/>
        </w:rPr>
      </w:pPr>
      <w:r>
        <w:rPr>
          <w:rFonts w:hint="eastAsia" w:cs="宋体"/>
          <w:szCs w:val="21"/>
        </w:rPr>
        <w:t>（3）乙方收到通知后，应在</w:t>
      </w:r>
      <w:r>
        <w:rPr>
          <w:rFonts w:hint="eastAsia" w:cs="宋体"/>
          <w:b/>
          <w:szCs w:val="21"/>
        </w:rPr>
        <w:t>【政府采购合同专用条款】</w:t>
      </w:r>
      <w:r>
        <w:rPr>
          <w:rFonts w:hint="eastAsia" w:cs="宋体"/>
          <w:szCs w:val="21"/>
        </w:rPr>
        <w:t>规定的响应时间内以合理的速度免费维修或更换有缺陷的货物或部件。</w:t>
      </w:r>
    </w:p>
    <w:p w14:paraId="0FCF080C">
      <w:pPr>
        <w:autoSpaceDE w:val="0"/>
        <w:autoSpaceDN w:val="0"/>
        <w:ind w:firstLine="420" w:firstLineChars="200"/>
        <w:rPr>
          <w:rFonts w:hint="eastAsia" w:cs="宋体"/>
          <w:szCs w:val="21"/>
        </w:rPr>
      </w:pPr>
      <w:r>
        <w:rPr>
          <w:rFonts w:hint="eastAsia" w:cs="宋体"/>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14747001">
      <w:pPr>
        <w:ind w:firstLine="420" w:firstLineChars="200"/>
        <w:rPr>
          <w:rFonts w:hint="eastAsia" w:cs="宋体"/>
          <w:szCs w:val="21"/>
        </w:rPr>
      </w:pPr>
      <w:r>
        <w:rPr>
          <w:rFonts w:hint="eastAsia" w:cs="宋体"/>
          <w:szCs w:val="21"/>
        </w:rPr>
        <w:t>（5）乙方在约定的时间内未能弥补缺陷，甲方可采取必要的补救措施，但其风险和费用将由乙方承担，甲方根据合同约定对乙方行使的其他权利不受影响。</w:t>
      </w:r>
    </w:p>
    <w:p w14:paraId="51F9A051">
      <w:pPr>
        <w:ind w:firstLine="420" w:firstLineChars="200"/>
        <w:rPr>
          <w:rFonts w:hint="eastAsia" w:cs="宋体"/>
          <w:b/>
          <w:bCs/>
          <w:szCs w:val="21"/>
        </w:rPr>
      </w:pPr>
      <w:r>
        <w:rPr>
          <w:rFonts w:hint="eastAsia" w:cs="宋体"/>
          <w:b/>
          <w:bCs/>
          <w:szCs w:val="21"/>
        </w:rPr>
        <w:t>9. 权利瑕疵担保</w:t>
      </w:r>
    </w:p>
    <w:p w14:paraId="708827FA">
      <w:pPr>
        <w:autoSpaceDE w:val="0"/>
        <w:autoSpaceDN w:val="0"/>
        <w:ind w:firstLine="420" w:firstLineChars="200"/>
        <w:rPr>
          <w:rFonts w:hint="eastAsia" w:cs="宋体"/>
          <w:szCs w:val="21"/>
        </w:rPr>
      </w:pPr>
      <w:r>
        <w:rPr>
          <w:rFonts w:hint="eastAsia" w:cs="宋体"/>
          <w:b/>
          <w:bCs/>
          <w:szCs w:val="21"/>
        </w:rPr>
        <w:t xml:space="preserve">9.1 </w:t>
      </w:r>
      <w:r>
        <w:rPr>
          <w:rFonts w:hint="eastAsia" w:cs="宋体"/>
          <w:szCs w:val="21"/>
        </w:rPr>
        <w:t>乙方保证对其出售的货物享有合法的权利。</w:t>
      </w:r>
    </w:p>
    <w:p w14:paraId="327298E2">
      <w:pPr>
        <w:autoSpaceDE w:val="0"/>
        <w:autoSpaceDN w:val="0"/>
        <w:ind w:firstLine="420" w:firstLineChars="200"/>
        <w:rPr>
          <w:rFonts w:hint="eastAsia" w:cs="宋体"/>
          <w:szCs w:val="21"/>
        </w:rPr>
      </w:pPr>
      <w:r>
        <w:rPr>
          <w:rFonts w:hint="eastAsia" w:cs="宋体"/>
          <w:b/>
          <w:bCs/>
          <w:szCs w:val="21"/>
        </w:rPr>
        <w:t xml:space="preserve">9.2 </w:t>
      </w:r>
      <w:r>
        <w:rPr>
          <w:rFonts w:hint="eastAsia" w:cs="宋体"/>
          <w:szCs w:val="21"/>
        </w:rPr>
        <w:t>乙方保证在交付的货物上不存在抵押权等担保物权。</w:t>
      </w:r>
    </w:p>
    <w:p w14:paraId="715FE1B4">
      <w:pPr>
        <w:autoSpaceDE w:val="0"/>
        <w:autoSpaceDN w:val="0"/>
        <w:ind w:firstLine="420" w:firstLineChars="200"/>
        <w:rPr>
          <w:rFonts w:hint="eastAsia" w:cs="宋体"/>
          <w:szCs w:val="21"/>
        </w:rPr>
      </w:pPr>
      <w:r>
        <w:rPr>
          <w:rFonts w:hint="eastAsia" w:cs="宋体"/>
          <w:b/>
          <w:bCs/>
          <w:szCs w:val="21"/>
        </w:rPr>
        <w:t xml:space="preserve">9.3 </w:t>
      </w:r>
      <w:r>
        <w:rPr>
          <w:rFonts w:hint="eastAsia" w:cs="宋体"/>
          <w:szCs w:val="21"/>
        </w:rPr>
        <w:t>如甲方使用上述货物构成对第三人侵权的，则由乙方承担全部责任。</w:t>
      </w:r>
    </w:p>
    <w:p w14:paraId="06629ACC">
      <w:pPr>
        <w:autoSpaceDE w:val="0"/>
        <w:autoSpaceDN w:val="0"/>
        <w:ind w:firstLine="420" w:firstLineChars="200"/>
        <w:rPr>
          <w:rFonts w:hint="eastAsia" w:cs="宋体"/>
          <w:b/>
          <w:bCs/>
          <w:szCs w:val="21"/>
        </w:rPr>
      </w:pPr>
      <w:r>
        <w:rPr>
          <w:rFonts w:hint="eastAsia" w:cs="宋体"/>
          <w:b/>
          <w:bCs/>
          <w:szCs w:val="21"/>
        </w:rPr>
        <w:t>10. 知识产权保护</w:t>
      </w:r>
    </w:p>
    <w:p w14:paraId="0FD946E0">
      <w:pPr>
        <w:autoSpaceDE w:val="0"/>
        <w:autoSpaceDN w:val="0"/>
        <w:ind w:firstLine="420" w:firstLineChars="200"/>
        <w:rPr>
          <w:rFonts w:hint="eastAsia" w:cs="宋体"/>
          <w:szCs w:val="21"/>
        </w:rPr>
      </w:pPr>
      <w:r>
        <w:rPr>
          <w:rFonts w:hint="eastAsia" w:cs="宋体"/>
          <w:b/>
          <w:bCs/>
          <w:szCs w:val="21"/>
        </w:rPr>
        <w:t xml:space="preserve">10.1 </w:t>
      </w:r>
      <w:r>
        <w:rPr>
          <w:rFonts w:hint="eastAsia" w:cs="宋体"/>
          <w:szCs w:val="21"/>
        </w:rPr>
        <w:t>乙方对其所销售的货物应当享有知识产权或经权利人合法授权，保证没有侵犯任何第三人的知识产权等权利。</w:t>
      </w:r>
      <w:bookmarkStart w:id="126" w:name="_Hlk163047038"/>
      <w:r>
        <w:rPr>
          <w:rFonts w:hint="eastAsia" w:cs="宋体"/>
          <w:szCs w:val="21"/>
        </w:rPr>
        <w:t>因违反前述约定对第三人构成侵权的，应当由乙方向第三人承担法律责任；甲方依法向第三人赔偿后，有权向乙方追偿。甲方有其他损失的，乙方应当赔偿</w:t>
      </w:r>
      <w:bookmarkEnd w:id="126"/>
      <w:r>
        <w:rPr>
          <w:rFonts w:hint="eastAsia" w:cs="宋体"/>
          <w:szCs w:val="21"/>
        </w:rPr>
        <w:t>。</w:t>
      </w:r>
    </w:p>
    <w:p w14:paraId="1D80ACC9">
      <w:pPr>
        <w:autoSpaceDE w:val="0"/>
        <w:autoSpaceDN w:val="0"/>
        <w:ind w:firstLine="420" w:firstLineChars="200"/>
        <w:rPr>
          <w:rFonts w:hint="eastAsia" w:cs="宋体"/>
          <w:b/>
          <w:bCs/>
          <w:szCs w:val="21"/>
        </w:rPr>
      </w:pPr>
      <w:r>
        <w:rPr>
          <w:rFonts w:hint="eastAsia" w:cs="宋体"/>
          <w:b/>
          <w:bCs/>
          <w:szCs w:val="21"/>
        </w:rPr>
        <w:t>11. 保密义务</w:t>
      </w:r>
    </w:p>
    <w:p w14:paraId="6C715157">
      <w:pPr>
        <w:autoSpaceDE w:val="0"/>
        <w:autoSpaceDN w:val="0"/>
        <w:ind w:firstLine="420" w:firstLineChars="200"/>
        <w:rPr>
          <w:rFonts w:hint="eastAsia" w:cs="宋体"/>
          <w:szCs w:val="21"/>
        </w:rPr>
      </w:pPr>
      <w:r>
        <w:rPr>
          <w:rFonts w:hint="eastAsia" w:cs="宋体"/>
          <w:b/>
          <w:bCs/>
          <w:szCs w:val="21"/>
        </w:rPr>
        <w:t xml:space="preserve">11.1 </w:t>
      </w:r>
      <w:r>
        <w:rPr>
          <w:rFonts w:hint="eastAsia" w:cs="宋体"/>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cs="宋体"/>
          <w:b/>
          <w:bCs/>
          <w:szCs w:val="21"/>
        </w:rPr>
        <w:t>【政府采购合同专用条款】</w:t>
      </w:r>
      <w:r>
        <w:rPr>
          <w:rFonts w:hint="eastAsia" w:cs="宋体"/>
          <w:szCs w:val="21"/>
        </w:rPr>
        <w:t>中约定。</w:t>
      </w:r>
    </w:p>
    <w:p w14:paraId="524A6AE5">
      <w:pPr>
        <w:autoSpaceDE w:val="0"/>
        <w:autoSpaceDN w:val="0"/>
        <w:ind w:firstLine="420" w:firstLineChars="200"/>
        <w:rPr>
          <w:rFonts w:hint="eastAsia" w:cs="宋体"/>
          <w:b/>
          <w:bCs/>
          <w:szCs w:val="21"/>
        </w:rPr>
      </w:pPr>
      <w:r>
        <w:rPr>
          <w:rFonts w:hint="eastAsia" w:cs="宋体"/>
          <w:b/>
          <w:bCs/>
          <w:szCs w:val="21"/>
        </w:rPr>
        <w:t>12. 合同价款支付</w:t>
      </w:r>
    </w:p>
    <w:p w14:paraId="0BF3A970">
      <w:pPr>
        <w:ind w:firstLine="420" w:firstLineChars="200"/>
        <w:rPr>
          <w:rFonts w:hint="eastAsia" w:cs="宋体"/>
          <w:szCs w:val="21"/>
        </w:rPr>
      </w:pPr>
      <w:r>
        <w:rPr>
          <w:rFonts w:hint="eastAsia" w:cs="宋体"/>
          <w:b/>
          <w:bCs/>
          <w:szCs w:val="21"/>
        </w:rPr>
        <w:t xml:space="preserve">12.1 </w:t>
      </w:r>
      <w:r>
        <w:rPr>
          <w:rFonts w:hint="eastAsia" w:cs="宋体"/>
          <w:szCs w:val="21"/>
        </w:rPr>
        <w:t>合同价款支付按照国库集中支付制度及财政管理相关规定执行。</w:t>
      </w:r>
    </w:p>
    <w:p w14:paraId="1DB7E3CA">
      <w:pPr>
        <w:ind w:firstLine="420" w:firstLineChars="200"/>
        <w:rPr>
          <w:rFonts w:hint="eastAsia" w:cs="宋体"/>
          <w:szCs w:val="21"/>
        </w:rPr>
      </w:pPr>
      <w:r>
        <w:rPr>
          <w:rFonts w:hint="eastAsia" w:cs="宋体"/>
          <w:b/>
          <w:bCs/>
          <w:szCs w:val="21"/>
        </w:rPr>
        <w:t xml:space="preserve">12.2 </w:t>
      </w:r>
      <w:r>
        <w:rPr>
          <w:rFonts w:hint="eastAsia" w:cs="宋体"/>
          <w:szCs w:val="21"/>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cs="宋体"/>
          <w:b/>
          <w:bCs/>
          <w:szCs w:val="21"/>
        </w:rPr>
        <w:t>政府采购合同专用条款</w:t>
      </w:r>
      <w:r>
        <w:rPr>
          <w:rFonts w:hint="eastAsia" w:cs="宋体"/>
          <w:szCs w:val="21"/>
        </w:rPr>
        <w:t>】中约定。</w:t>
      </w:r>
    </w:p>
    <w:p w14:paraId="32AA7568">
      <w:pPr>
        <w:ind w:firstLine="388" w:firstLineChars="200"/>
        <w:rPr>
          <w:rFonts w:hint="eastAsia" w:cs="宋体"/>
          <w:b/>
          <w:bCs/>
          <w:spacing w:val="-8"/>
          <w:szCs w:val="21"/>
        </w:rPr>
      </w:pPr>
      <w:r>
        <w:rPr>
          <w:rFonts w:hint="eastAsia" w:cs="宋体"/>
          <w:b/>
          <w:bCs/>
          <w:spacing w:val="-8"/>
          <w:szCs w:val="21"/>
        </w:rPr>
        <w:t>13. 履约保证金</w:t>
      </w:r>
    </w:p>
    <w:p w14:paraId="5066D306">
      <w:pPr>
        <w:ind w:firstLine="420" w:firstLineChars="200"/>
        <w:rPr>
          <w:rFonts w:hint="eastAsia" w:cs="宋体"/>
          <w:szCs w:val="21"/>
        </w:rPr>
      </w:pPr>
      <w:r>
        <w:rPr>
          <w:rFonts w:hint="eastAsia" w:cs="宋体"/>
          <w:b/>
          <w:bCs/>
          <w:szCs w:val="21"/>
        </w:rPr>
        <w:t xml:space="preserve">13.1 </w:t>
      </w:r>
      <w:r>
        <w:rPr>
          <w:rFonts w:hint="eastAsia" w:cs="宋体"/>
          <w:szCs w:val="21"/>
        </w:rPr>
        <w:t>乙方应当以支票、汇票、本票或者金融机构、担保机构出具的保函等非现金形式提交。</w:t>
      </w:r>
    </w:p>
    <w:p w14:paraId="13BA6885">
      <w:pPr>
        <w:ind w:firstLine="420" w:firstLineChars="200"/>
        <w:rPr>
          <w:rFonts w:hint="eastAsia" w:cs="宋体"/>
          <w:szCs w:val="21"/>
        </w:rPr>
      </w:pPr>
      <w:r>
        <w:rPr>
          <w:rFonts w:hint="eastAsia" w:cs="宋体"/>
          <w:b/>
          <w:bCs/>
          <w:szCs w:val="21"/>
        </w:rPr>
        <w:t xml:space="preserve">13.2 </w:t>
      </w:r>
      <w:r>
        <w:rPr>
          <w:rFonts w:hint="eastAsia" w:cs="宋体"/>
          <w:szCs w:val="21"/>
        </w:rPr>
        <w:t>如果乙方出现</w:t>
      </w:r>
      <w:r>
        <w:rPr>
          <w:rFonts w:hint="eastAsia" w:cs="宋体"/>
          <w:b/>
          <w:bCs/>
          <w:szCs w:val="21"/>
        </w:rPr>
        <w:t>【政府采购合同专用条款】</w:t>
      </w:r>
      <w:r>
        <w:rPr>
          <w:rFonts w:hint="eastAsia" w:cs="宋体"/>
          <w:szCs w:val="21"/>
        </w:rPr>
        <w:t>约定情形的，履约保证金不予退还；如果乙方未能按合同约定全面履行义务，甲方有权从履约保证金中取得补偿或赔偿，且不影响甲方要求乙方承担合同约定的超过履约保证金的违约责任的权利。</w:t>
      </w:r>
    </w:p>
    <w:p w14:paraId="714879E6">
      <w:pPr>
        <w:ind w:firstLine="420" w:firstLineChars="200"/>
        <w:rPr>
          <w:rFonts w:hint="eastAsia" w:cs="宋体"/>
          <w:szCs w:val="21"/>
        </w:rPr>
      </w:pPr>
      <w:r>
        <w:rPr>
          <w:rFonts w:hint="eastAsia" w:cs="宋体"/>
          <w:b/>
          <w:bCs/>
          <w:szCs w:val="21"/>
        </w:rPr>
        <w:t xml:space="preserve">13.3 </w:t>
      </w:r>
      <w:r>
        <w:rPr>
          <w:rFonts w:hint="eastAsia" w:cs="宋体"/>
          <w:szCs w:val="21"/>
        </w:rPr>
        <w:t>甲方在项目通过验收后按照</w:t>
      </w:r>
      <w:r>
        <w:rPr>
          <w:rFonts w:hint="eastAsia" w:cs="宋体"/>
          <w:b/>
          <w:szCs w:val="21"/>
        </w:rPr>
        <w:t>【政府采购合同专用条款】</w:t>
      </w:r>
      <w:r>
        <w:rPr>
          <w:rFonts w:hint="eastAsia" w:cs="宋体"/>
          <w:szCs w:val="21"/>
        </w:rPr>
        <w:t>规定的时间内将履约保证金退还乙方；逾期退还的，乙方可要求甲方支付违约金，违约金按照</w:t>
      </w:r>
      <w:r>
        <w:rPr>
          <w:rFonts w:hint="eastAsia" w:cs="宋体"/>
          <w:b/>
          <w:szCs w:val="21"/>
        </w:rPr>
        <w:t>【政府采购合同专用条款】</w:t>
      </w:r>
      <w:r>
        <w:rPr>
          <w:rFonts w:hint="eastAsia" w:cs="宋体"/>
          <w:szCs w:val="21"/>
        </w:rPr>
        <w:t>规定支付。</w:t>
      </w:r>
    </w:p>
    <w:p w14:paraId="0479669E">
      <w:pPr>
        <w:autoSpaceDE w:val="0"/>
        <w:autoSpaceDN w:val="0"/>
        <w:ind w:firstLine="420" w:firstLineChars="200"/>
        <w:rPr>
          <w:rFonts w:hint="eastAsia" w:cs="宋体"/>
          <w:b/>
          <w:szCs w:val="21"/>
        </w:rPr>
      </w:pPr>
      <w:r>
        <w:rPr>
          <w:rFonts w:hint="eastAsia" w:cs="宋体"/>
          <w:b/>
          <w:bCs/>
          <w:szCs w:val="21"/>
        </w:rPr>
        <w:t xml:space="preserve">14. </w:t>
      </w:r>
      <w:r>
        <w:rPr>
          <w:rFonts w:hint="eastAsia" w:cs="宋体"/>
          <w:b/>
          <w:szCs w:val="21"/>
        </w:rPr>
        <w:t>售后服务</w:t>
      </w:r>
    </w:p>
    <w:p w14:paraId="40626AD4">
      <w:pPr>
        <w:autoSpaceDE w:val="0"/>
        <w:autoSpaceDN w:val="0"/>
        <w:ind w:firstLine="420" w:firstLineChars="200"/>
        <w:rPr>
          <w:rFonts w:hint="eastAsia" w:cs="宋体"/>
          <w:szCs w:val="21"/>
        </w:rPr>
      </w:pPr>
      <w:r>
        <w:rPr>
          <w:rFonts w:hint="eastAsia" w:cs="宋体"/>
          <w:b/>
          <w:bCs/>
          <w:szCs w:val="21"/>
        </w:rPr>
        <w:t xml:space="preserve">14.1 </w:t>
      </w:r>
      <w:r>
        <w:rPr>
          <w:rFonts w:hint="eastAsia" w:cs="宋体"/>
          <w:szCs w:val="21"/>
        </w:rPr>
        <w:t>除项目不涉及或采购活动中明确约定无须承担外，乙方还应提供下列服务：</w:t>
      </w:r>
    </w:p>
    <w:p w14:paraId="1AA92008">
      <w:pPr>
        <w:autoSpaceDE w:val="0"/>
        <w:autoSpaceDN w:val="0"/>
        <w:ind w:firstLine="420" w:firstLineChars="200"/>
        <w:rPr>
          <w:rFonts w:hint="eastAsia" w:cs="宋体"/>
          <w:szCs w:val="21"/>
        </w:rPr>
      </w:pPr>
      <w:r>
        <w:rPr>
          <w:rFonts w:hint="eastAsia" w:cs="宋体"/>
          <w:szCs w:val="21"/>
        </w:rPr>
        <w:t>（1）货物的现场移动、安装、调试、启动监督及技术支持；</w:t>
      </w:r>
    </w:p>
    <w:p w14:paraId="653EA4A7">
      <w:pPr>
        <w:autoSpaceDE w:val="0"/>
        <w:autoSpaceDN w:val="0"/>
        <w:ind w:firstLine="420" w:firstLineChars="200"/>
        <w:rPr>
          <w:rFonts w:hint="eastAsia" w:cs="宋体"/>
          <w:szCs w:val="21"/>
        </w:rPr>
      </w:pPr>
      <w:r>
        <w:rPr>
          <w:rFonts w:hint="eastAsia" w:cs="宋体"/>
          <w:szCs w:val="21"/>
        </w:rPr>
        <w:t>（2）提供货物组装和维修所需的专用工具和辅助材料；</w:t>
      </w:r>
    </w:p>
    <w:p w14:paraId="2F3F7B07">
      <w:pPr>
        <w:autoSpaceDE w:val="0"/>
        <w:autoSpaceDN w:val="0"/>
        <w:ind w:firstLine="420" w:firstLineChars="200"/>
        <w:rPr>
          <w:rFonts w:hint="eastAsia" w:cs="宋体"/>
          <w:szCs w:val="21"/>
        </w:rPr>
      </w:pPr>
      <w:r>
        <w:rPr>
          <w:rFonts w:hint="eastAsia" w:cs="宋体"/>
          <w:szCs w:val="21"/>
        </w:rPr>
        <w:t>（3）在</w:t>
      </w:r>
      <w:r>
        <w:rPr>
          <w:rFonts w:hint="eastAsia" w:cs="宋体"/>
          <w:b/>
          <w:bCs/>
          <w:szCs w:val="21"/>
        </w:rPr>
        <w:t>【政府采购合同专用条款】</w:t>
      </w:r>
      <w:r>
        <w:rPr>
          <w:rFonts w:hint="eastAsia" w:cs="宋体"/>
          <w:szCs w:val="21"/>
        </w:rPr>
        <w:t>约定的期限内对所有的货物实施运行监督、维修，但前提条件是该服务并不能免除乙方在质量保证期内所承担的义务；</w:t>
      </w:r>
    </w:p>
    <w:p w14:paraId="315F85A6">
      <w:pPr>
        <w:autoSpaceDE w:val="0"/>
        <w:autoSpaceDN w:val="0"/>
        <w:ind w:firstLine="420" w:firstLineChars="200"/>
        <w:rPr>
          <w:rFonts w:hint="eastAsia" w:cs="宋体"/>
          <w:szCs w:val="21"/>
        </w:rPr>
      </w:pPr>
      <w:r>
        <w:rPr>
          <w:rFonts w:hint="eastAsia" w:cs="宋体"/>
          <w:szCs w:val="21"/>
        </w:rPr>
        <w:t>（4）在制造商所在地或指定现场就货物的安装、启动、运营、维护、废弃处置等对甲方操作人员进行培训；</w:t>
      </w:r>
    </w:p>
    <w:p w14:paraId="3896FD6F">
      <w:pPr>
        <w:widowControl/>
        <w:autoSpaceDE w:val="0"/>
        <w:autoSpaceDN w:val="0"/>
        <w:ind w:firstLine="420" w:firstLineChars="200"/>
        <w:rPr>
          <w:rFonts w:hint="eastAsia" w:cs="宋体"/>
          <w:kern w:val="0"/>
          <w:szCs w:val="21"/>
        </w:rPr>
      </w:pPr>
      <w:r>
        <w:rPr>
          <w:rFonts w:hint="eastAsia" w:cs="宋体"/>
          <w:kern w:val="0"/>
          <w:szCs w:val="21"/>
        </w:rPr>
        <w:t>（5）依照法律、行政法规的规定或者按照</w:t>
      </w:r>
      <w:r>
        <w:rPr>
          <w:rFonts w:hint="eastAsia" w:cs="宋体"/>
          <w:b/>
          <w:bCs/>
          <w:kern w:val="0"/>
          <w:szCs w:val="21"/>
        </w:rPr>
        <w:t>【政府采购合同专用条款】</w:t>
      </w:r>
      <w:r>
        <w:rPr>
          <w:rFonts w:hint="eastAsia" w:cs="宋体"/>
          <w:kern w:val="0"/>
          <w:szCs w:val="21"/>
        </w:rPr>
        <w:t>约定，货物在有效使用年限届满后应予回收的，乙方负有自行或者委托第三人对货物予以回收的义务；</w:t>
      </w:r>
    </w:p>
    <w:p w14:paraId="138553C8">
      <w:pPr>
        <w:autoSpaceDE w:val="0"/>
        <w:autoSpaceDN w:val="0"/>
        <w:ind w:firstLine="420" w:firstLineChars="200"/>
        <w:rPr>
          <w:rFonts w:hint="eastAsia" w:cs="宋体"/>
          <w:szCs w:val="21"/>
        </w:rPr>
      </w:pPr>
      <w:r>
        <w:rPr>
          <w:rFonts w:hint="eastAsia" w:cs="宋体"/>
          <w:szCs w:val="21"/>
        </w:rPr>
        <w:t>（6）</w:t>
      </w:r>
      <w:r>
        <w:rPr>
          <w:rFonts w:hint="eastAsia" w:cs="宋体"/>
          <w:b/>
          <w:szCs w:val="21"/>
        </w:rPr>
        <w:t>【政府采购合同专用条款】</w:t>
      </w:r>
      <w:r>
        <w:rPr>
          <w:rFonts w:hint="eastAsia" w:cs="宋体"/>
          <w:szCs w:val="21"/>
        </w:rPr>
        <w:t>规定由乙方提供的其他服务。</w:t>
      </w:r>
    </w:p>
    <w:p w14:paraId="7CEBEBEE">
      <w:pPr>
        <w:autoSpaceDE w:val="0"/>
        <w:autoSpaceDN w:val="0"/>
        <w:ind w:firstLine="420" w:firstLineChars="200"/>
        <w:rPr>
          <w:rFonts w:hint="eastAsia" w:cs="宋体"/>
          <w:szCs w:val="21"/>
        </w:rPr>
      </w:pPr>
      <w:r>
        <w:rPr>
          <w:rFonts w:hint="eastAsia" w:cs="宋体"/>
          <w:b/>
          <w:bCs/>
          <w:szCs w:val="21"/>
        </w:rPr>
        <w:t xml:space="preserve">14.2 </w:t>
      </w:r>
      <w:r>
        <w:rPr>
          <w:rFonts w:hint="eastAsia" w:cs="宋体"/>
          <w:szCs w:val="21"/>
        </w:rPr>
        <w:t>乙方提供的售后服务的费用已包含在合同价款中，甲方不再另行支付。</w:t>
      </w:r>
    </w:p>
    <w:p w14:paraId="01C70638">
      <w:pPr>
        <w:ind w:firstLine="420" w:firstLineChars="200"/>
        <w:rPr>
          <w:rFonts w:hint="eastAsia" w:cs="宋体"/>
          <w:b/>
          <w:bCs/>
          <w:szCs w:val="21"/>
        </w:rPr>
      </w:pPr>
      <w:r>
        <w:rPr>
          <w:rFonts w:hint="eastAsia" w:cs="宋体"/>
          <w:b/>
          <w:bCs/>
          <w:szCs w:val="21"/>
        </w:rPr>
        <w:t>15. 违约责任</w:t>
      </w:r>
    </w:p>
    <w:p w14:paraId="4B465674">
      <w:pPr>
        <w:ind w:firstLine="420" w:firstLineChars="200"/>
        <w:rPr>
          <w:rFonts w:hint="eastAsia" w:cs="宋体"/>
          <w:b/>
          <w:szCs w:val="21"/>
        </w:rPr>
      </w:pPr>
      <w:r>
        <w:rPr>
          <w:rFonts w:hint="eastAsia" w:cs="宋体"/>
          <w:b/>
          <w:szCs w:val="21"/>
        </w:rPr>
        <w:t>15.1质量瑕疵的违约责任</w:t>
      </w:r>
    </w:p>
    <w:p w14:paraId="646F7E40">
      <w:pPr>
        <w:autoSpaceDE w:val="0"/>
        <w:autoSpaceDN w:val="0"/>
        <w:ind w:firstLine="420" w:firstLineChars="200"/>
        <w:rPr>
          <w:rFonts w:hint="eastAsia" w:cs="宋体"/>
          <w:szCs w:val="21"/>
        </w:rPr>
      </w:pPr>
      <w:r>
        <w:rPr>
          <w:rFonts w:hint="eastAsia" w:cs="宋体"/>
          <w:szCs w:val="21"/>
        </w:rPr>
        <w:t>乙方提供的产品不符合合同约定的质量标准或存在产品质量缺陷，甲方有权要求乙方根据</w:t>
      </w:r>
      <w:r>
        <w:rPr>
          <w:rFonts w:hint="eastAsia" w:cs="宋体"/>
          <w:b/>
          <w:szCs w:val="21"/>
        </w:rPr>
        <w:t>【政府采购合同专用条款】</w:t>
      </w:r>
      <w:r>
        <w:rPr>
          <w:rFonts w:hint="eastAsia" w:cs="宋体"/>
          <w:bCs/>
          <w:szCs w:val="21"/>
        </w:rPr>
        <w:t>要求</w:t>
      </w:r>
      <w:r>
        <w:rPr>
          <w:rFonts w:hint="eastAsia" w:cs="宋体"/>
          <w:szCs w:val="21"/>
        </w:rPr>
        <w:t>及时修理、重作、更换，并承担由此给甲方造成的损失。</w:t>
      </w:r>
    </w:p>
    <w:p w14:paraId="244B537D">
      <w:pPr>
        <w:autoSpaceDE w:val="0"/>
        <w:autoSpaceDN w:val="0"/>
        <w:ind w:firstLine="420" w:firstLineChars="200"/>
        <w:rPr>
          <w:rFonts w:hint="eastAsia" w:cs="宋体"/>
          <w:b/>
          <w:szCs w:val="21"/>
        </w:rPr>
      </w:pPr>
      <w:r>
        <w:rPr>
          <w:rFonts w:hint="eastAsia" w:cs="宋体"/>
          <w:b/>
          <w:szCs w:val="21"/>
        </w:rPr>
        <w:t>15.2 迟延交货的违约责任</w:t>
      </w:r>
    </w:p>
    <w:p w14:paraId="78CEAE02">
      <w:pPr>
        <w:autoSpaceDE w:val="0"/>
        <w:autoSpaceDN w:val="0"/>
        <w:ind w:firstLine="420" w:firstLineChars="200"/>
        <w:rPr>
          <w:rFonts w:hint="eastAsia" w:cs="宋体"/>
          <w:szCs w:val="21"/>
        </w:rPr>
      </w:pPr>
      <w:r>
        <w:rPr>
          <w:rFonts w:hint="eastAsia" w:cs="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BF68D7F">
      <w:pPr>
        <w:autoSpaceDE w:val="0"/>
        <w:autoSpaceDN w:val="0"/>
        <w:ind w:firstLine="420" w:firstLineChars="200"/>
        <w:rPr>
          <w:rFonts w:hint="eastAsia" w:cs="宋体"/>
          <w:szCs w:val="21"/>
        </w:rPr>
      </w:pPr>
      <w:r>
        <w:rPr>
          <w:rFonts w:hint="eastAsia" w:cs="宋体"/>
          <w:szCs w:val="21"/>
        </w:rPr>
        <w:t>（2）如果乙方没有按照合同规定的时间交货和提供相关服务，甲方有权从货款中扣除误期赔偿费而不影响合同项下的其他补救方法，赔偿费按</w:t>
      </w:r>
      <w:r>
        <w:rPr>
          <w:rFonts w:hint="eastAsia" w:cs="宋体"/>
          <w:b/>
          <w:szCs w:val="21"/>
        </w:rPr>
        <w:t>【政府采购合同专用条款】</w:t>
      </w:r>
      <w:r>
        <w:rPr>
          <w:rFonts w:hint="eastAsia" w:cs="宋体"/>
          <w:szCs w:val="21"/>
        </w:rPr>
        <w:t>规定执行。如果涉及公共利益，且赔偿金额无法弥补公共利益损失，甲方可要求继续履行或者采取其他补救措施。</w:t>
      </w:r>
    </w:p>
    <w:p w14:paraId="2C9F03E6">
      <w:pPr>
        <w:autoSpaceDE w:val="0"/>
        <w:autoSpaceDN w:val="0"/>
        <w:ind w:firstLine="420" w:firstLineChars="200"/>
        <w:rPr>
          <w:rFonts w:hint="eastAsia" w:cs="宋体"/>
          <w:b/>
          <w:bCs/>
          <w:szCs w:val="21"/>
        </w:rPr>
      </w:pPr>
      <w:r>
        <w:rPr>
          <w:rFonts w:hint="eastAsia" w:cs="宋体"/>
          <w:b/>
          <w:bCs/>
          <w:szCs w:val="21"/>
        </w:rPr>
        <w:t>15.3 迟延支付的违约责任</w:t>
      </w:r>
    </w:p>
    <w:p w14:paraId="6B656252">
      <w:pPr>
        <w:autoSpaceDE w:val="0"/>
        <w:autoSpaceDN w:val="0"/>
        <w:ind w:firstLine="420" w:firstLineChars="200"/>
        <w:rPr>
          <w:rFonts w:hint="eastAsia" w:cs="宋体"/>
          <w:szCs w:val="21"/>
        </w:rPr>
      </w:pPr>
      <w:r>
        <w:rPr>
          <w:rFonts w:hint="eastAsia" w:cs="宋体"/>
          <w:szCs w:val="21"/>
        </w:rPr>
        <w:t>甲方存在迟延支付乙方合同款项的，应当承担</w:t>
      </w:r>
      <w:r>
        <w:rPr>
          <w:rFonts w:hint="eastAsia" w:cs="宋体"/>
          <w:b/>
          <w:bCs/>
          <w:szCs w:val="21"/>
        </w:rPr>
        <w:t>【政府采购合同专用条款】</w:t>
      </w:r>
      <w:r>
        <w:rPr>
          <w:rFonts w:hint="eastAsia" w:cs="宋体"/>
          <w:szCs w:val="21"/>
        </w:rPr>
        <w:t>规定的逾期付款利息。</w:t>
      </w:r>
    </w:p>
    <w:p w14:paraId="2B79E6D7">
      <w:pPr>
        <w:ind w:firstLine="420" w:firstLineChars="200"/>
        <w:rPr>
          <w:rFonts w:hint="eastAsia" w:cs="宋体"/>
          <w:szCs w:val="21"/>
        </w:rPr>
      </w:pPr>
      <w:r>
        <w:rPr>
          <w:rFonts w:hint="eastAsia" w:cs="宋体"/>
          <w:b/>
          <w:szCs w:val="21"/>
        </w:rPr>
        <w:t>15.4</w:t>
      </w:r>
      <w:r>
        <w:rPr>
          <w:rFonts w:hint="eastAsia" w:cs="宋体"/>
          <w:bCs/>
          <w:szCs w:val="21"/>
        </w:rPr>
        <w:t>其他违约责任根据项目实际需要按</w:t>
      </w:r>
      <w:r>
        <w:rPr>
          <w:rFonts w:hint="eastAsia" w:cs="宋体"/>
          <w:b/>
          <w:bCs/>
          <w:szCs w:val="21"/>
        </w:rPr>
        <w:t>【政府采购合同专用条款】</w:t>
      </w:r>
      <w:r>
        <w:rPr>
          <w:rFonts w:hint="eastAsia" w:cs="宋体"/>
          <w:szCs w:val="21"/>
        </w:rPr>
        <w:t>规定执行。</w:t>
      </w:r>
    </w:p>
    <w:p w14:paraId="7E99941A">
      <w:pPr>
        <w:numPr>
          <w:ilvl w:val="0"/>
          <w:numId w:val="10"/>
        </w:numPr>
        <w:autoSpaceDE w:val="0"/>
        <w:autoSpaceDN w:val="0"/>
        <w:spacing w:after="160" w:line="278" w:lineRule="auto"/>
        <w:ind w:firstLine="420" w:firstLineChars="200"/>
        <w:jc w:val="left"/>
        <w:rPr>
          <w:rFonts w:hint="eastAsia" w:cs="宋体"/>
          <w:b/>
          <w:szCs w:val="21"/>
        </w:rPr>
      </w:pPr>
      <w:r>
        <w:rPr>
          <w:rFonts w:hint="eastAsia" w:cs="宋体"/>
          <w:b/>
          <w:szCs w:val="21"/>
        </w:rPr>
        <w:t>合同变更、中止与终止</w:t>
      </w:r>
    </w:p>
    <w:p w14:paraId="64D3AD04">
      <w:pPr>
        <w:ind w:firstLine="420" w:firstLineChars="200"/>
        <w:rPr>
          <w:rFonts w:hint="eastAsia" w:cs="宋体"/>
          <w:b/>
          <w:bCs/>
          <w:szCs w:val="21"/>
        </w:rPr>
      </w:pPr>
      <w:r>
        <w:rPr>
          <w:rFonts w:hint="eastAsia" w:cs="宋体"/>
          <w:b/>
          <w:bCs/>
          <w:szCs w:val="21"/>
        </w:rPr>
        <w:t>16.1合同的变更</w:t>
      </w:r>
    </w:p>
    <w:p w14:paraId="27A17129">
      <w:pPr>
        <w:autoSpaceDE w:val="0"/>
        <w:autoSpaceDN w:val="0"/>
        <w:ind w:firstLine="420" w:firstLineChars="200"/>
        <w:rPr>
          <w:rFonts w:hint="eastAsia" w:cs="宋体"/>
          <w:szCs w:val="21"/>
        </w:rPr>
      </w:pPr>
      <w:r>
        <w:rPr>
          <w:rFonts w:hint="eastAsia" w:cs="宋体"/>
          <w:szCs w:val="21"/>
        </w:rPr>
        <w:t>政府采购合同履行中，在不改变合同其他条款的前提下，甲方可以在合同价款10%的范围内追加与合同标的相同的货物，并就此与乙方协商一致后签订补充协议。</w:t>
      </w:r>
    </w:p>
    <w:p w14:paraId="777EEB49">
      <w:pPr>
        <w:ind w:firstLine="420" w:firstLineChars="200"/>
        <w:rPr>
          <w:rFonts w:hint="eastAsia" w:cs="宋体"/>
          <w:b/>
          <w:bCs/>
          <w:szCs w:val="21"/>
        </w:rPr>
      </w:pPr>
      <w:r>
        <w:rPr>
          <w:rFonts w:hint="eastAsia" w:cs="宋体"/>
          <w:b/>
          <w:bCs/>
          <w:szCs w:val="21"/>
        </w:rPr>
        <w:t>16.2合同的中止</w:t>
      </w:r>
    </w:p>
    <w:p w14:paraId="5B1554F7">
      <w:pPr>
        <w:autoSpaceDE w:val="0"/>
        <w:autoSpaceDN w:val="0"/>
        <w:ind w:firstLine="420" w:firstLineChars="200"/>
        <w:rPr>
          <w:rFonts w:hint="eastAsia" w:cs="宋体"/>
          <w:szCs w:val="21"/>
        </w:rPr>
      </w:pPr>
      <w:r>
        <w:rPr>
          <w:rFonts w:hint="eastAsia" w:cs="宋体"/>
          <w:szCs w:val="21"/>
        </w:rPr>
        <w:t>（1）合同履行过程中因供应商就采购文件、采购过程或结果提起投诉的，甲方认为有必要的，可以中止合同的履行。</w:t>
      </w:r>
    </w:p>
    <w:p w14:paraId="5C6974E6">
      <w:pPr>
        <w:autoSpaceDE w:val="0"/>
        <w:autoSpaceDN w:val="0"/>
        <w:ind w:firstLine="420" w:firstLineChars="200"/>
        <w:rPr>
          <w:rFonts w:hint="eastAsia" w:cs="宋体"/>
          <w:szCs w:val="21"/>
        </w:rPr>
      </w:pPr>
      <w:r>
        <w:rPr>
          <w:rFonts w:hint="eastAsia" w:cs="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4B68E58">
      <w:pPr>
        <w:widowControl/>
        <w:autoSpaceDE w:val="0"/>
        <w:autoSpaceDN w:val="0"/>
        <w:ind w:firstLine="420" w:firstLineChars="200"/>
        <w:rPr>
          <w:rFonts w:hint="eastAsia" w:cs="宋体"/>
          <w:kern w:val="0"/>
          <w:szCs w:val="21"/>
        </w:rPr>
      </w:pPr>
      <w:r>
        <w:rPr>
          <w:rFonts w:hint="eastAsia" w:cs="宋体"/>
          <w:kern w:val="0"/>
          <w:szCs w:val="21"/>
        </w:rPr>
        <w:t>（3）乙方分立、合并或者变更住所的，应当及时以书面形式告知甲方。乙方没有及时告知甲方，致使合同履行发生困难的，甲方可以中止合同履行并要求乙方承担由此给甲方造成的损失。</w:t>
      </w:r>
    </w:p>
    <w:p w14:paraId="7A7FAA4B">
      <w:pPr>
        <w:ind w:firstLine="420" w:firstLineChars="200"/>
        <w:rPr>
          <w:rFonts w:hint="eastAsia" w:cs="宋体"/>
          <w:szCs w:val="21"/>
        </w:rPr>
      </w:pPr>
      <w:r>
        <w:rPr>
          <w:rFonts w:hint="eastAsia" w:cs="宋体"/>
          <w:szCs w:val="21"/>
        </w:rPr>
        <w:t>（4）甲方不得以行政区划调整、政府换届、机构或者职能调整以及相关责任人更替为由中止合同。</w:t>
      </w:r>
    </w:p>
    <w:p w14:paraId="0EB507C5">
      <w:pPr>
        <w:ind w:firstLine="420" w:firstLineChars="200"/>
        <w:rPr>
          <w:rFonts w:hint="eastAsia" w:cs="宋体"/>
          <w:b/>
          <w:bCs/>
          <w:szCs w:val="21"/>
        </w:rPr>
      </w:pPr>
      <w:r>
        <w:rPr>
          <w:rFonts w:hint="eastAsia" w:cs="宋体"/>
          <w:b/>
          <w:bCs/>
          <w:szCs w:val="21"/>
        </w:rPr>
        <w:t>16.3合同的终止</w:t>
      </w:r>
    </w:p>
    <w:p w14:paraId="51F7C23E">
      <w:pPr>
        <w:autoSpaceDE w:val="0"/>
        <w:autoSpaceDN w:val="0"/>
        <w:ind w:firstLine="420" w:firstLineChars="200"/>
        <w:rPr>
          <w:rFonts w:hint="eastAsia" w:cs="宋体"/>
          <w:szCs w:val="21"/>
        </w:rPr>
      </w:pPr>
      <w:r>
        <w:rPr>
          <w:rFonts w:hint="eastAsia" w:cs="宋体"/>
          <w:szCs w:val="21"/>
        </w:rPr>
        <w:t>（1）合同因有效期限届满而终止；</w:t>
      </w:r>
    </w:p>
    <w:p w14:paraId="28E3AEC6">
      <w:pPr>
        <w:ind w:firstLine="420" w:firstLineChars="200"/>
        <w:rPr>
          <w:rFonts w:hint="eastAsia" w:cs="宋体"/>
          <w:szCs w:val="21"/>
        </w:rPr>
      </w:pPr>
      <w:r>
        <w:rPr>
          <w:rFonts w:hint="eastAsia" w:cs="宋体"/>
          <w:szCs w:val="21"/>
        </w:rPr>
        <w:t>（2）乙方未按合同约定履行，构成根本性违约的，甲方有权终止合同，并追究乙方的违约责任。</w:t>
      </w:r>
    </w:p>
    <w:p w14:paraId="41B4AB23">
      <w:pPr>
        <w:widowControl/>
        <w:autoSpaceDE w:val="0"/>
        <w:autoSpaceDN w:val="0"/>
        <w:ind w:firstLine="420" w:firstLineChars="200"/>
        <w:rPr>
          <w:rFonts w:hint="eastAsia" w:cs="宋体"/>
          <w:b/>
          <w:bCs/>
          <w:kern w:val="0"/>
          <w:szCs w:val="21"/>
        </w:rPr>
      </w:pPr>
      <w:r>
        <w:rPr>
          <w:rFonts w:hint="eastAsia" w:cs="宋体"/>
          <w:b/>
          <w:bCs/>
          <w:kern w:val="0"/>
          <w:szCs w:val="21"/>
        </w:rPr>
        <w:t xml:space="preserve">16.4 </w:t>
      </w:r>
      <w:r>
        <w:rPr>
          <w:rFonts w:hint="eastAsia" w:cs="宋体"/>
          <w:b/>
          <w:bCs/>
          <w:szCs w:val="21"/>
        </w:rPr>
        <w:t>涉及国家利益、社会公共利益的情形</w:t>
      </w:r>
    </w:p>
    <w:p w14:paraId="4B1622F3">
      <w:pPr>
        <w:widowControl/>
        <w:autoSpaceDE w:val="0"/>
        <w:autoSpaceDN w:val="0"/>
        <w:ind w:firstLine="420" w:firstLineChars="200"/>
        <w:rPr>
          <w:rFonts w:hint="eastAsia" w:cs="宋体"/>
          <w:kern w:val="0"/>
          <w:szCs w:val="21"/>
        </w:rPr>
      </w:pPr>
      <w:r>
        <w:rPr>
          <w:rFonts w:hint="eastAsia" w:cs="宋体"/>
          <w:kern w:val="0"/>
          <w:szCs w:val="21"/>
        </w:rPr>
        <w:t>政府采购合同继续履行将损害国家利益和社会公共利益的，双方当事人应当变更、中止或者终止合同。有过错的一方应当承担赔偿责任，双方都有过错的，各自承担相应的责任。</w:t>
      </w:r>
    </w:p>
    <w:p w14:paraId="2B4797D3">
      <w:pPr>
        <w:autoSpaceDE w:val="0"/>
        <w:autoSpaceDN w:val="0"/>
        <w:ind w:firstLine="420" w:firstLineChars="200"/>
        <w:rPr>
          <w:rFonts w:hint="eastAsia" w:cs="宋体"/>
          <w:b/>
          <w:bCs/>
          <w:szCs w:val="21"/>
        </w:rPr>
      </w:pPr>
      <w:r>
        <w:rPr>
          <w:rFonts w:hint="eastAsia" w:cs="宋体"/>
          <w:b/>
          <w:bCs/>
          <w:szCs w:val="21"/>
        </w:rPr>
        <w:t>17. 合同分包</w:t>
      </w:r>
    </w:p>
    <w:p w14:paraId="7498416E">
      <w:pPr>
        <w:autoSpaceDE w:val="0"/>
        <w:autoSpaceDN w:val="0"/>
        <w:ind w:firstLine="420" w:firstLineChars="200"/>
        <w:rPr>
          <w:rFonts w:hint="eastAsia" w:cs="宋体"/>
          <w:szCs w:val="21"/>
        </w:rPr>
      </w:pPr>
      <w:r>
        <w:rPr>
          <w:rFonts w:hint="eastAsia" w:cs="宋体"/>
          <w:b/>
          <w:bCs/>
          <w:szCs w:val="21"/>
        </w:rPr>
        <w:t xml:space="preserve">17.1 </w:t>
      </w:r>
      <w:r>
        <w:rPr>
          <w:rFonts w:hint="eastAsia" w:cs="宋体"/>
          <w:szCs w:val="21"/>
        </w:rPr>
        <w:t>乙方不得将合同转包给其他供应商。涉及合同分包的，乙方应根据采购文件和投标（响应）文件规定进行合同分包。</w:t>
      </w:r>
    </w:p>
    <w:p w14:paraId="1013199E">
      <w:pPr>
        <w:autoSpaceDE w:val="0"/>
        <w:autoSpaceDN w:val="0"/>
        <w:ind w:firstLine="420" w:firstLineChars="200"/>
        <w:rPr>
          <w:rFonts w:hint="eastAsia" w:cs="宋体"/>
          <w:szCs w:val="21"/>
        </w:rPr>
      </w:pPr>
      <w:r>
        <w:rPr>
          <w:rFonts w:hint="eastAsia" w:cs="宋体"/>
          <w:b/>
          <w:bCs/>
          <w:szCs w:val="21"/>
        </w:rPr>
        <w:t xml:space="preserve">17.2 </w:t>
      </w:r>
      <w:r>
        <w:rPr>
          <w:rFonts w:hint="eastAsia" w:cs="宋体"/>
          <w:szCs w:val="21"/>
        </w:rPr>
        <w:t>乙方执行政府采购政策向中小企业依法分包的，乙方应当按采购文件和投标（响应）文件签订分包意向协议，分包意向协议属于本合同组成部分。</w:t>
      </w:r>
    </w:p>
    <w:p w14:paraId="47CA713A">
      <w:pPr>
        <w:autoSpaceDE w:val="0"/>
        <w:autoSpaceDN w:val="0"/>
        <w:ind w:firstLine="420" w:firstLineChars="200"/>
        <w:rPr>
          <w:rFonts w:hint="eastAsia" w:cs="宋体"/>
          <w:b/>
          <w:bCs/>
          <w:szCs w:val="21"/>
        </w:rPr>
      </w:pPr>
      <w:r>
        <w:rPr>
          <w:rFonts w:hint="eastAsia" w:cs="宋体"/>
          <w:b/>
          <w:bCs/>
          <w:szCs w:val="21"/>
        </w:rPr>
        <w:t>18. 不可抗力</w:t>
      </w:r>
    </w:p>
    <w:p w14:paraId="3C66AC11">
      <w:pPr>
        <w:autoSpaceDE w:val="0"/>
        <w:autoSpaceDN w:val="0"/>
        <w:ind w:firstLine="420" w:firstLineChars="200"/>
        <w:rPr>
          <w:rFonts w:hint="eastAsia" w:cs="宋体"/>
          <w:szCs w:val="21"/>
        </w:rPr>
      </w:pPr>
      <w:r>
        <w:rPr>
          <w:rFonts w:hint="eastAsia" w:cs="宋体"/>
          <w:b/>
          <w:bCs/>
          <w:szCs w:val="21"/>
        </w:rPr>
        <w:t xml:space="preserve">18.1 </w:t>
      </w:r>
      <w:r>
        <w:rPr>
          <w:rFonts w:hint="eastAsia" w:cs="宋体"/>
          <w:szCs w:val="21"/>
        </w:rPr>
        <w:t>不可抗力是指合同双方不能预见、不能避免且不能克服的客观情况。</w:t>
      </w:r>
    </w:p>
    <w:p w14:paraId="49E3D487">
      <w:pPr>
        <w:autoSpaceDE w:val="0"/>
        <w:autoSpaceDN w:val="0"/>
        <w:ind w:firstLine="420" w:firstLineChars="200"/>
        <w:rPr>
          <w:rFonts w:hint="eastAsia" w:cs="宋体"/>
          <w:szCs w:val="21"/>
        </w:rPr>
      </w:pPr>
      <w:r>
        <w:rPr>
          <w:rFonts w:hint="eastAsia" w:cs="宋体"/>
          <w:b/>
          <w:bCs/>
          <w:szCs w:val="21"/>
        </w:rPr>
        <w:t xml:space="preserve">18.2 </w:t>
      </w:r>
      <w:r>
        <w:rPr>
          <w:rFonts w:hint="eastAsia" w:cs="宋体"/>
          <w:szCs w:val="21"/>
        </w:rPr>
        <w:t>任何一方对由于不可抗力造成的部分或全部不能履行合同不承担违约责任。但迟延履行后发生不可抗力的，不能免除责任。</w:t>
      </w:r>
    </w:p>
    <w:p w14:paraId="445D1C67">
      <w:pPr>
        <w:autoSpaceDE w:val="0"/>
        <w:autoSpaceDN w:val="0"/>
        <w:ind w:firstLine="420" w:firstLineChars="200"/>
        <w:rPr>
          <w:rFonts w:hint="eastAsia" w:cs="宋体"/>
          <w:szCs w:val="21"/>
        </w:rPr>
      </w:pPr>
      <w:r>
        <w:rPr>
          <w:rFonts w:hint="eastAsia" w:cs="宋体"/>
          <w:b/>
          <w:bCs/>
          <w:szCs w:val="21"/>
        </w:rPr>
        <w:t xml:space="preserve">18.3 </w:t>
      </w:r>
      <w:r>
        <w:rPr>
          <w:rFonts w:hint="eastAsia" w:cs="宋体"/>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31781B2">
      <w:pPr>
        <w:autoSpaceDE w:val="0"/>
        <w:autoSpaceDN w:val="0"/>
        <w:ind w:firstLine="420" w:firstLineChars="200"/>
        <w:rPr>
          <w:rFonts w:hint="eastAsia" w:cs="宋体"/>
          <w:b/>
          <w:bCs/>
          <w:szCs w:val="21"/>
        </w:rPr>
      </w:pPr>
      <w:r>
        <w:rPr>
          <w:rFonts w:hint="eastAsia" w:cs="宋体"/>
          <w:b/>
          <w:bCs/>
          <w:szCs w:val="21"/>
        </w:rPr>
        <w:t>19. 解决争议的方法</w:t>
      </w:r>
    </w:p>
    <w:p w14:paraId="77D7612D">
      <w:pPr>
        <w:widowControl/>
        <w:autoSpaceDE w:val="0"/>
        <w:autoSpaceDN w:val="0"/>
        <w:ind w:firstLine="420" w:firstLineChars="200"/>
        <w:rPr>
          <w:rFonts w:hint="eastAsia" w:cs="宋体"/>
          <w:kern w:val="0"/>
          <w:szCs w:val="21"/>
        </w:rPr>
      </w:pPr>
      <w:r>
        <w:rPr>
          <w:rFonts w:hint="eastAsia" w:cs="宋体"/>
          <w:b/>
          <w:bCs/>
          <w:kern w:val="0"/>
          <w:szCs w:val="21"/>
        </w:rPr>
        <w:t xml:space="preserve">19.1 </w:t>
      </w:r>
      <w:r>
        <w:rPr>
          <w:rFonts w:hint="eastAsia" w:cs="宋体"/>
          <w:kern w:val="0"/>
          <w:szCs w:val="21"/>
        </w:rPr>
        <w:t>因本合同及合同有关事项发生的争议，由甲乙双方友好协商解决。协商不成时，可以向有关组织申请调解。合同一方或双方不愿调解或调解不成的，可以通过仲裁或诉讼的方式解决争议。</w:t>
      </w:r>
    </w:p>
    <w:p w14:paraId="1CB8018C">
      <w:pPr>
        <w:widowControl/>
        <w:autoSpaceDE w:val="0"/>
        <w:autoSpaceDN w:val="0"/>
        <w:ind w:firstLine="420" w:firstLineChars="200"/>
        <w:rPr>
          <w:rFonts w:hint="eastAsia" w:cs="宋体"/>
          <w:kern w:val="0"/>
          <w:szCs w:val="21"/>
        </w:rPr>
      </w:pPr>
      <w:r>
        <w:rPr>
          <w:rFonts w:hint="eastAsia" w:cs="宋体"/>
          <w:b/>
          <w:bCs/>
          <w:kern w:val="0"/>
          <w:szCs w:val="21"/>
        </w:rPr>
        <w:t xml:space="preserve">19.2 </w:t>
      </w:r>
      <w:r>
        <w:rPr>
          <w:rFonts w:hint="eastAsia" w:cs="宋体"/>
          <w:kern w:val="0"/>
          <w:szCs w:val="21"/>
        </w:rPr>
        <w:t>选择仲裁的，应在</w:t>
      </w:r>
      <w:r>
        <w:rPr>
          <w:rFonts w:hint="eastAsia" w:cs="宋体"/>
          <w:b/>
          <w:bCs/>
          <w:kern w:val="0"/>
          <w:szCs w:val="21"/>
        </w:rPr>
        <w:t>【政府采购合同专用条款】</w:t>
      </w:r>
      <w:r>
        <w:rPr>
          <w:rFonts w:hint="eastAsia" w:cs="宋体"/>
          <w:kern w:val="0"/>
          <w:szCs w:val="21"/>
        </w:rPr>
        <w:t>中明确仲裁机构及仲裁地；通过诉讼方式解决的，可以在</w:t>
      </w:r>
      <w:r>
        <w:rPr>
          <w:rFonts w:hint="eastAsia" w:cs="宋体"/>
          <w:b/>
          <w:bCs/>
          <w:kern w:val="0"/>
          <w:szCs w:val="21"/>
        </w:rPr>
        <w:t>【政府采购合同专用条款】</w:t>
      </w:r>
      <w:r>
        <w:rPr>
          <w:rFonts w:hint="eastAsia" w:cs="宋体"/>
          <w:kern w:val="0"/>
          <w:szCs w:val="21"/>
        </w:rPr>
        <w:t>中进一步约定选择与争议有实际联系的地点的人民法院管辖，但管辖法院的约定不得违反级别管辖和专属管辖的规定。</w:t>
      </w:r>
    </w:p>
    <w:p w14:paraId="5A20179F">
      <w:pPr>
        <w:widowControl/>
        <w:autoSpaceDE w:val="0"/>
        <w:autoSpaceDN w:val="0"/>
        <w:ind w:firstLine="420" w:firstLineChars="200"/>
        <w:rPr>
          <w:rFonts w:hint="eastAsia" w:cs="宋体"/>
          <w:kern w:val="0"/>
          <w:szCs w:val="21"/>
        </w:rPr>
      </w:pPr>
      <w:r>
        <w:rPr>
          <w:rFonts w:hint="eastAsia" w:cs="宋体"/>
          <w:b/>
          <w:bCs/>
          <w:kern w:val="0"/>
          <w:szCs w:val="21"/>
        </w:rPr>
        <w:t xml:space="preserve">19.3 </w:t>
      </w:r>
      <w:r>
        <w:rPr>
          <w:rFonts w:hint="eastAsia" w:cs="宋体"/>
          <w:kern w:val="0"/>
          <w:szCs w:val="21"/>
        </w:rPr>
        <w:t>如甲乙双方有争议的事项不影响合同其他部分的履行，在争议解决期间，合同其他部分应当继续履行。</w:t>
      </w:r>
    </w:p>
    <w:p w14:paraId="1C371EB5">
      <w:pPr>
        <w:autoSpaceDE w:val="0"/>
        <w:autoSpaceDN w:val="0"/>
        <w:ind w:firstLine="420" w:firstLineChars="200"/>
        <w:rPr>
          <w:rFonts w:hint="eastAsia" w:cs="宋体"/>
          <w:szCs w:val="21"/>
        </w:rPr>
      </w:pPr>
      <w:r>
        <w:rPr>
          <w:rFonts w:hint="eastAsia" w:cs="宋体"/>
          <w:b/>
          <w:szCs w:val="21"/>
        </w:rPr>
        <w:t>20. 政府采购政策</w:t>
      </w:r>
    </w:p>
    <w:p w14:paraId="09A1C778">
      <w:pPr>
        <w:autoSpaceDE w:val="0"/>
        <w:autoSpaceDN w:val="0"/>
        <w:ind w:firstLine="420" w:firstLineChars="200"/>
        <w:rPr>
          <w:rFonts w:hint="eastAsia" w:cs="宋体"/>
          <w:szCs w:val="21"/>
        </w:rPr>
      </w:pPr>
      <w:r>
        <w:rPr>
          <w:rFonts w:hint="eastAsia" w:cs="宋体"/>
          <w:b/>
          <w:bCs/>
          <w:szCs w:val="21"/>
        </w:rPr>
        <w:t xml:space="preserve">20.1 </w:t>
      </w:r>
      <w:r>
        <w:rPr>
          <w:rFonts w:hint="eastAsia" w:cs="宋体"/>
          <w:szCs w:val="21"/>
          <w:lang w:val="en-GB"/>
        </w:rPr>
        <w:t>本合同应当按照规定执行政府采购政策。</w:t>
      </w:r>
    </w:p>
    <w:p w14:paraId="1E6E0589">
      <w:pPr>
        <w:autoSpaceDE w:val="0"/>
        <w:autoSpaceDN w:val="0"/>
        <w:ind w:firstLine="420" w:firstLineChars="200"/>
        <w:rPr>
          <w:rFonts w:hint="eastAsia" w:cs="宋体"/>
          <w:szCs w:val="21"/>
        </w:rPr>
      </w:pPr>
      <w:r>
        <w:rPr>
          <w:rFonts w:hint="eastAsia" w:cs="宋体"/>
          <w:b/>
          <w:bCs/>
          <w:szCs w:val="21"/>
        </w:rPr>
        <w:t xml:space="preserve">20.2 </w:t>
      </w:r>
      <w:r>
        <w:rPr>
          <w:rFonts w:hint="eastAsia" w:cs="宋体"/>
          <w:szCs w:val="21"/>
        </w:rPr>
        <w:t>本合同依法执行政府采购政策的方式和内容，属于合同履约验收的范围。甲乙双方</w:t>
      </w:r>
      <w:r>
        <w:rPr>
          <w:rFonts w:hint="eastAsia" w:cs="宋体"/>
          <w:szCs w:val="21"/>
          <w:lang w:val="en-GB"/>
        </w:rPr>
        <w:t>未按规定要求执行政府采购政策造成损失的</w:t>
      </w:r>
      <w:r>
        <w:rPr>
          <w:rFonts w:hint="eastAsia" w:cs="宋体"/>
          <w:szCs w:val="21"/>
        </w:rPr>
        <w:t>，有过错的一方应当承担赔偿责任，双方都有过错的，各自承担相应的责任。</w:t>
      </w:r>
    </w:p>
    <w:p w14:paraId="7DD7226C">
      <w:pPr>
        <w:ind w:firstLine="388" w:firstLineChars="200"/>
        <w:rPr>
          <w:rFonts w:hint="eastAsia" w:cs="宋体"/>
          <w:b/>
          <w:spacing w:val="-8"/>
          <w:szCs w:val="21"/>
        </w:rPr>
      </w:pPr>
      <w:r>
        <w:rPr>
          <w:rFonts w:hint="eastAsia" w:cs="宋体"/>
          <w:b/>
          <w:spacing w:val="-8"/>
          <w:szCs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507847">
      <w:pPr>
        <w:autoSpaceDE w:val="0"/>
        <w:autoSpaceDN w:val="0"/>
        <w:ind w:firstLine="420" w:firstLineChars="200"/>
        <w:rPr>
          <w:rFonts w:hint="eastAsia" w:cs="宋体"/>
          <w:b/>
          <w:szCs w:val="21"/>
        </w:rPr>
      </w:pPr>
      <w:r>
        <w:rPr>
          <w:rFonts w:hint="eastAsia" w:cs="宋体"/>
          <w:b/>
          <w:szCs w:val="21"/>
        </w:rPr>
        <w:t>21. 法律适用</w:t>
      </w:r>
    </w:p>
    <w:p w14:paraId="47231D20">
      <w:pPr>
        <w:widowControl/>
        <w:autoSpaceDE w:val="0"/>
        <w:autoSpaceDN w:val="0"/>
        <w:ind w:firstLine="420" w:firstLineChars="200"/>
        <w:rPr>
          <w:rFonts w:hint="eastAsia" w:cs="宋体"/>
          <w:kern w:val="0"/>
          <w:szCs w:val="21"/>
        </w:rPr>
      </w:pPr>
      <w:r>
        <w:rPr>
          <w:rFonts w:hint="eastAsia" w:cs="宋体"/>
          <w:b/>
          <w:bCs/>
          <w:kern w:val="0"/>
          <w:szCs w:val="21"/>
        </w:rPr>
        <w:t xml:space="preserve">21.1 </w:t>
      </w:r>
      <w:r>
        <w:rPr>
          <w:rFonts w:hint="eastAsia" w:cs="宋体"/>
          <w:kern w:val="0"/>
          <w:szCs w:val="21"/>
        </w:rPr>
        <w:t>本合同的订立、生效、解释、履行及与本合同有关的争议解决，均适用法律、行政法规。</w:t>
      </w:r>
    </w:p>
    <w:p w14:paraId="29212C98">
      <w:pPr>
        <w:widowControl/>
        <w:autoSpaceDE w:val="0"/>
        <w:autoSpaceDN w:val="0"/>
        <w:ind w:firstLine="420" w:firstLineChars="200"/>
        <w:rPr>
          <w:rFonts w:hint="eastAsia" w:cs="宋体"/>
          <w:kern w:val="0"/>
          <w:szCs w:val="21"/>
        </w:rPr>
      </w:pPr>
      <w:r>
        <w:rPr>
          <w:rFonts w:hint="eastAsia" w:cs="宋体"/>
          <w:b/>
          <w:bCs/>
          <w:kern w:val="0"/>
          <w:szCs w:val="21"/>
        </w:rPr>
        <w:t xml:space="preserve">21.2 </w:t>
      </w:r>
      <w:r>
        <w:rPr>
          <w:rFonts w:hint="eastAsia" w:cs="宋体"/>
          <w:kern w:val="0"/>
          <w:szCs w:val="21"/>
        </w:rPr>
        <w:t>本合同条款与法律、行政法规的强制性规定不一致的，双方当事人应按照法律、行政法规的强制性规定修改本合同的相关条款。</w:t>
      </w:r>
    </w:p>
    <w:p w14:paraId="78B88022">
      <w:pPr>
        <w:numPr>
          <w:ilvl w:val="255"/>
          <w:numId w:val="0"/>
        </w:numPr>
        <w:autoSpaceDE w:val="0"/>
        <w:autoSpaceDN w:val="0"/>
        <w:ind w:firstLine="420" w:firstLineChars="200"/>
        <w:rPr>
          <w:rFonts w:hint="eastAsia" w:cs="宋体"/>
          <w:b/>
          <w:szCs w:val="21"/>
        </w:rPr>
      </w:pPr>
      <w:r>
        <w:rPr>
          <w:rFonts w:hint="eastAsia" w:cs="宋体"/>
          <w:b/>
          <w:szCs w:val="21"/>
        </w:rPr>
        <w:t>22. 通知</w:t>
      </w:r>
    </w:p>
    <w:p w14:paraId="59188C0A">
      <w:pPr>
        <w:widowControl/>
        <w:autoSpaceDE w:val="0"/>
        <w:autoSpaceDN w:val="0"/>
        <w:ind w:firstLine="420" w:firstLineChars="200"/>
        <w:rPr>
          <w:rFonts w:hint="eastAsia" w:cs="宋体"/>
          <w:kern w:val="0"/>
          <w:szCs w:val="21"/>
        </w:rPr>
      </w:pPr>
      <w:r>
        <w:rPr>
          <w:rFonts w:hint="eastAsia" w:cs="宋体"/>
          <w:b/>
          <w:bCs/>
          <w:kern w:val="0"/>
          <w:szCs w:val="21"/>
        </w:rPr>
        <w:t xml:space="preserve">22.1 </w:t>
      </w:r>
      <w:r>
        <w:rPr>
          <w:rFonts w:hint="eastAsia" w:cs="宋体"/>
          <w:kern w:val="0"/>
          <w:szCs w:val="21"/>
        </w:rPr>
        <w:t>本合同任何一方向对方发出的通知、信件、数据电文等，应当发送至本合同第一部分《政府采购合同协议书》所约定的通讯地址、联系人、联系电话或电子邮箱。</w:t>
      </w:r>
    </w:p>
    <w:p w14:paraId="1DC146DC">
      <w:pPr>
        <w:widowControl/>
        <w:autoSpaceDE w:val="0"/>
        <w:autoSpaceDN w:val="0"/>
        <w:ind w:firstLine="420" w:firstLineChars="200"/>
        <w:rPr>
          <w:rFonts w:hint="eastAsia" w:cs="宋体"/>
          <w:kern w:val="0"/>
          <w:szCs w:val="21"/>
        </w:rPr>
      </w:pPr>
      <w:r>
        <w:rPr>
          <w:rFonts w:hint="eastAsia" w:cs="宋体"/>
          <w:b/>
          <w:bCs/>
          <w:kern w:val="0"/>
          <w:szCs w:val="21"/>
        </w:rPr>
        <w:t xml:space="preserve">22.2 </w:t>
      </w:r>
      <w:r>
        <w:rPr>
          <w:rFonts w:hint="eastAsia" w:cs="宋体"/>
          <w:kern w:val="0"/>
          <w:szCs w:val="21"/>
        </w:rPr>
        <w:t>一方当事人变更名称、住所、联系人、联系电话或电子邮箱等信息的，应当在变更后3日内及时书面通知对方，对方实际收到变更通知前的送达仍为有效送达。</w:t>
      </w:r>
    </w:p>
    <w:p w14:paraId="1AC816A1">
      <w:pPr>
        <w:ind w:firstLine="420" w:firstLineChars="200"/>
        <w:rPr>
          <w:rFonts w:hint="eastAsia" w:cs="宋体"/>
          <w:szCs w:val="21"/>
        </w:rPr>
      </w:pPr>
      <w:r>
        <w:rPr>
          <w:rFonts w:hint="eastAsia" w:cs="宋体"/>
          <w:b/>
          <w:bCs/>
          <w:szCs w:val="21"/>
        </w:rPr>
        <w:t>22.3</w:t>
      </w:r>
      <w:r>
        <w:rPr>
          <w:rFonts w:hint="eastAsia" w:cs="宋体"/>
          <w:szCs w:val="21"/>
        </w:rPr>
        <w:t>本合同一方给另一方的通知均应采用书面形式，传真或快递送到本合同中规定的对方的地址和办理签收手续。</w:t>
      </w:r>
    </w:p>
    <w:p w14:paraId="0918D484">
      <w:pPr>
        <w:ind w:firstLine="420" w:firstLineChars="200"/>
        <w:rPr>
          <w:rFonts w:hint="eastAsia" w:cs="宋体"/>
          <w:szCs w:val="21"/>
        </w:rPr>
      </w:pPr>
      <w:r>
        <w:rPr>
          <w:rFonts w:hint="eastAsia" w:cs="宋体"/>
          <w:b/>
          <w:bCs/>
          <w:szCs w:val="21"/>
        </w:rPr>
        <w:t>22.4</w:t>
      </w:r>
      <w:r>
        <w:rPr>
          <w:rFonts w:hint="eastAsia" w:cs="宋体"/>
          <w:szCs w:val="21"/>
        </w:rPr>
        <w:t>通知以送达之日或通知书中规定的生效之日起生效，两者中以较迟之日为准。</w:t>
      </w:r>
    </w:p>
    <w:p w14:paraId="189D7E02">
      <w:pPr>
        <w:numPr>
          <w:ilvl w:val="0"/>
          <w:numId w:val="11"/>
        </w:numPr>
        <w:spacing w:after="160" w:line="278" w:lineRule="auto"/>
        <w:ind w:firstLine="420" w:firstLineChars="200"/>
        <w:jc w:val="left"/>
        <w:rPr>
          <w:rFonts w:hint="eastAsia" w:cs="宋体"/>
          <w:b/>
          <w:bCs/>
          <w:szCs w:val="21"/>
        </w:rPr>
      </w:pPr>
      <w:r>
        <w:rPr>
          <w:rFonts w:hint="eastAsia" w:cs="宋体"/>
          <w:b/>
          <w:bCs/>
          <w:szCs w:val="21"/>
        </w:rPr>
        <w:t>合同未尽事项</w:t>
      </w:r>
    </w:p>
    <w:p w14:paraId="6CF7D316">
      <w:pPr>
        <w:ind w:firstLine="420" w:firstLineChars="200"/>
        <w:rPr>
          <w:rFonts w:hint="eastAsia" w:cs="宋体"/>
          <w:bCs/>
          <w:szCs w:val="21"/>
        </w:rPr>
      </w:pPr>
      <w:r>
        <w:rPr>
          <w:rFonts w:hint="eastAsia" w:cs="宋体"/>
          <w:b/>
          <w:szCs w:val="21"/>
        </w:rPr>
        <w:t xml:space="preserve">23.1 </w:t>
      </w:r>
      <w:r>
        <w:rPr>
          <w:rFonts w:hint="eastAsia" w:cs="宋体"/>
          <w:bCs/>
          <w:szCs w:val="21"/>
        </w:rPr>
        <w:t>合同未尽事项见</w:t>
      </w:r>
      <w:r>
        <w:rPr>
          <w:rFonts w:hint="eastAsia" w:cs="宋体"/>
          <w:b/>
          <w:szCs w:val="21"/>
        </w:rPr>
        <w:t>【政府采购合同专用条款】</w:t>
      </w:r>
      <w:r>
        <w:rPr>
          <w:rFonts w:hint="eastAsia" w:cs="宋体"/>
          <w:bCs/>
          <w:szCs w:val="21"/>
        </w:rPr>
        <w:t>。</w:t>
      </w:r>
    </w:p>
    <w:p w14:paraId="7A69F451">
      <w:pPr>
        <w:ind w:firstLine="420" w:firstLineChars="200"/>
        <w:rPr>
          <w:rFonts w:hint="eastAsia" w:cs="宋体"/>
          <w:szCs w:val="21"/>
        </w:rPr>
      </w:pPr>
      <w:r>
        <w:rPr>
          <w:rFonts w:hint="eastAsia" w:cs="宋体"/>
          <w:b/>
          <w:szCs w:val="21"/>
        </w:rPr>
        <w:t>23.2</w:t>
      </w:r>
      <w:r>
        <w:rPr>
          <w:rFonts w:hint="eastAsia" w:cs="宋体"/>
          <w:bCs/>
          <w:szCs w:val="21"/>
        </w:rPr>
        <w:t xml:space="preserve"> 合同附件与合同正文具有同等的法律效力。</w:t>
      </w:r>
      <w:bookmarkStart w:id="127" w:name="_Toc20313"/>
    </w:p>
    <w:p w14:paraId="4DCEB50C">
      <w:pPr>
        <w:adjustRightInd w:val="0"/>
        <w:snapToGrid w:val="0"/>
        <w:jc w:val="center"/>
        <w:rPr>
          <w:rFonts w:hint="eastAsia" w:cs="宋体"/>
          <w:szCs w:val="21"/>
        </w:rPr>
      </w:pPr>
      <w:r>
        <w:rPr>
          <w:rFonts w:hint="eastAsia" w:cs="宋体"/>
          <w:szCs w:val="21"/>
        </w:rPr>
        <w:br w:type="page"/>
      </w:r>
    </w:p>
    <w:p w14:paraId="0E045D50">
      <w:pPr>
        <w:keepNext/>
        <w:tabs>
          <w:tab w:val="left" w:pos="596"/>
        </w:tabs>
        <w:jc w:val="center"/>
        <w:outlineLvl w:val="1"/>
        <w:rPr>
          <w:rFonts w:hint="eastAsia" w:cs="宋体"/>
          <w:b/>
          <w:bCs/>
          <w:kern w:val="0"/>
          <w:sz w:val="28"/>
          <w:szCs w:val="28"/>
        </w:rPr>
      </w:pPr>
      <w:bookmarkStart w:id="128" w:name="_Toc216724735"/>
      <w:bookmarkStart w:id="129" w:name="_Toc194694399"/>
      <w:bookmarkStart w:id="130" w:name="_Toc22760"/>
      <w:r>
        <w:rPr>
          <w:rFonts w:hint="eastAsia" w:cs="宋体"/>
          <w:b/>
          <w:bCs/>
          <w:kern w:val="0"/>
          <w:sz w:val="28"/>
          <w:szCs w:val="28"/>
        </w:rPr>
        <w:t>第三节 政府采购合同专用条款</w:t>
      </w:r>
      <w:bookmarkEnd w:id="127"/>
      <w:bookmarkEnd w:id="128"/>
      <w:bookmarkEnd w:id="129"/>
      <w:bookmarkEnd w:id="130"/>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9"/>
        <w:gridCol w:w="2036"/>
        <w:gridCol w:w="6047"/>
      </w:tblGrid>
      <w:tr w14:paraId="56287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87C7245">
            <w:pPr>
              <w:adjustRightInd w:val="0"/>
              <w:snapToGrid w:val="0"/>
              <w:jc w:val="center"/>
              <w:rPr>
                <w:rFonts w:hint="eastAsia" w:cs="宋体"/>
                <w:b/>
                <w:bCs/>
                <w:szCs w:val="21"/>
              </w:rPr>
            </w:pPr>
            <w:r>
              <w:rPr>
                <w:rFonts w:hint="eastAsia" w:cs="宋体"/>
                <w:b/>
                <w:bCs/>
                <w:szCs w:val="21"/>
              </w:rPr>
              <w:t>第二节</w:t>
            </w:r>
          </w:p>
          <w:p w14:paraId="3938A15A">
            <w:pPr>
              <w:adjustRightInd w:val="0"/>
              <w:snapToGrid w:val="0"/>
              <w:jc w:val="center"/>
              <w:rPr>
                <w:rFonts w:hint="eastAsia" w:cs="宋体"/>
                <w:b/>
                <w:bCs/>
                <w:szCs w:val="21"/>
              </w:rPr>
            </w:pPr>
            <w:r>
              <w:rPr>
                <w:rFonts w:hint="eastAsia" w:cs="宋体"/>
                <w:b/>
                <w:bCs/>
                <w:szCs w:val="21"/>
              </w:rPr>
              <w:t>第1.2（6）项</w:t>
            </w:r>
          </w:p>
        </w:tc>
        <w:tc>
          <w:tcPr>
            <w:tcW w:w="1022" w:type="pct"/>
            <w:vAlign w:val="center"/>
          </w:tcPr>
          <w:p w14:paraId="4C92BCD5">
            <w:pPr>
              <w:rPr>
                <w:rFonts w:hint="eastAsia" w:cs="宋体"/>
                <w:b/>
                <w:bCs/>
                <w:szCs w:val="21"/>
              </w:rPr>
            </w:pPr>
            <w:r>
              <w:rPr>
                <w:rFonts w:hint="eastAsia" w:cs="宋体"/>
                <w:b/>
                <w:bCs/>
                <w:szCs w:val="21"/>
              </w:rPr>
              <w:t>联合体具体要求</w:t>
            </w:r>
          </w:p>
        </w:tc>
        <w:tc>
          <w:tcPr>
            <w:tcW w:w="3035" w:type="pct"/>
            <w:vAlign w:val="center"/>
          </w:tcPr>
          <w:p w14:paraId="346307A1">
            <w:pPr>
              <w:adjustRightInd w:val="0"/>
              <w:snapToGrid w:val="0"/>
              <w:jc w:val="left"/>
              <w:rPr>
                <w:rFonts w:hint="eastAsia" w:cs="宋体"/>
                <w:szCs w:val="21"/>
              </w:rPr>
            </w:pPr>
            <w:r>
              <w:rPr>
                <w:rFonts w:hint="eastAsia" w:cs="宋体"/>
                <w:szCs w:val="21"/>
              </w:rPr>
              <w:t>无</w:t>
            </w:r>
          </w:p>
        </w:tc>
      </w:tr>
      <w:tr w14:paraId="4F380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943" w:type="pct"/>
            <w:vAlign w:val="center"/>
          </w:tcPr>
          <w:p w14:paraId="68E677D6">
            <w:pPr>
              <w:adjustRightInd w:val="0"/>
              <w:snapToGrid w:val="0"/>
              <w:jc w:val="center"/>
              <w:rPr>
                <w:rFonts w:hint="eastAsia" w:cs="宋体"/>
                <w:b/>
                <w:bCs/>
                <w:szCs w:val="21"/>
              </w:rPr>
            </w:pPr>
            <w:r>
              <w:rPr>
                <w:rFonts w:hint="eastAsia" w:cs="宋体"/>
                <w:b/>
                <w:bCs/>
                <w:szCs w:val="21"/>
              </w:rPr>
              <w:t>第二节</w:t>
            </w:r>
          </w:p>
          <w:p w14:paraId="6C9037BD">
            <w:pPr>
              <w:adjustRightInd w:val="0"/>
              <w:snapToGrid w:val="0"/>
              <w:jc w:val="center"/>
              <w:rPr>
                <w:rFonts w:hint="eastAsia" w:cs="宋体"/>
                <w:b/>
                <w:bCs/>
                <w:szCs w:val="21"/>
              </w:rPr>
            </w:pPr>
            <w:r>
              <w:rPr>
                <w:rFonts w:hint="eastAsia" w:cs="宋体"/>
                <w:b/>
                <w:bCs/>
                <w:szCs w:val="21"/>
              </w:rPr>
              <w:t>第1.2（7）项</w:t>
            </w:r>
          </w:p>
        </w:tc>
        <w:tc>
          <w:tcPr>
            <w:tcW w:w="1022" w:type="pct"/>
            <w:vAlign w:val="center"/>
          </w:tcPr>
          <w:p w14:paraId="73B7362F">
            <w:pPr>
              <w:adjustRightInd w:val="0"/>
              <w:snapToGrid w:val="0"/>
              <w:jc w:val="left"/>
              <w:rPr>
                <w:rFonts w:hint="eastAsia" w:cs="宋体"/>
                <w:b/>
                <w:bCs/>
                <w:szCs w:val="21"/>
              </w:rPr>
            </w:pPr>
            <w:r>
              <w:rPr>
                <w:rFonts w:hint="eastAsia" w:cs="宋体"/>
                <w:b/>
                <w:bCs/>
                <w:szCs w:val="21"/>
              </w:rPr>
              <w:t>其他术语解释</w:t>
            </w:r>
          </w:p>
        </w:tc>
        <w:tc>
          <w:tcPr>
            <w:tcW w:w="3035" w:type="pct"/>
            <w:vAlign w:val="center"/>
          </w:tcPr>
          <w:p w14:paraId="56A691E6">
            <w:pPr>
              <w:adjustRightInd w:val="0"/>
              <w:snapToGrid w:val="0"/>
              <w:jc w:val="left"/>
              <w:rPr>
                <w:rFonts w:hint="eastAsia" w:cs="宋体"/>
                <w:szCs w:val="21"/>
              </w:rPr>
            </w:pPr>
            <w:r>
              <w:rPr>
                <w:rFonts w:hint="eastAsia" w:cs="宋体"/>
                <w:szCs w:val="21"/>
              </w:rPr>
              <w:t>无</w:t>
            </w:r>
          </w:p>
        </w:tc>
      </w:tr>
      <w:tr w14:paraId="58A25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2D3B29B">
            <w:pPr>
              <w:adjustRightInd w:val="0"/>
              <w:snapToGrid w:val="0"/>
              <w:jc w:val="center"/>
              <w:rPr>
                <w:rFonts w:hint="eastAsia" w:cs="宋体"/>
                <w:b/>
                <w:bCs/>
                <w:szCs w:val="21"/>
              </w:rPr>
            </w:pPr>
            <w:r>
              <w:rPr>
                <w:rFonts w:hint="eastAsia" w:cs="宋体"/>
                <w:b/>
                <w:bCs/>
                <w:szCs w:val="21"/>
              </w:rPr>
              <w:t>第二节</w:t>
            </w:r>
          </w:p>
          <w:p w14:paraId="7E77AC9C">
            <w:pPr>
              <w:adjustRightInd w:val="0"/>
              <w:snapToGrid w:val="0"/>
              <w:jc w:val="center"/>
              <w:rPr>
                <w:rFonts w:hint="eastAsia" w:cs="宋体"/>
                <w:b/>
                <w:bCs/>
                <w:szCs w:val="21"/>
              </w:rPr>
            </w:pPr>
            <w:r>
              <w:rPr>
                <w:rFonts w:hint="eastAsia" w:cs="宋体"/>
                <w:b/>
                <w:bCs/>
                <w:szCs w:val="21"/>
              </w:rPr>
              <w:t>第4.4款</w:t>
            </w:r>
          </w:p>
        </w:tc>
        <w:tc>
          <w:tcPr>
            <w:tcW w:w="1022" w:type="pct"/>
            <w:vAlign w:val="center"/>
          </w:tcPr>
          <w:p w14:paraId="5025E7BD">
            <w:pPr>
              <w:adjustRightInd w:val="0"/>
              <w:snapToGrid w:val="0"/>
              <w:jc w:val="left"/>
              <w:rPr>
                <w:rFonts w:hint="eastAsia" w:cs="宋体"/>
                <w:b/>
                <w:bCs/>
                <w:szCs w:val="21"/>
              </w:rPr>
            </w:pPr>
            <w:r>
              <w:rPr>
                <w:rFonts w:hint="eastAsia" w:cs="宋体"/>
                <w:b/>
                <w:bCs/>
                <w:szCs w:val="21"/>
              </w:rPr>
              <w:t>履约验收中甲方提出异议或作出说明的期限</w:t>
            </w:r>
          </w:p>
        </w:tc>
        <w:tc>
          <w:tcPr>
            <w:tcW w:w="3035" w:type="pct"/>
            <w:vAlign w:val="center"/>
          </w:tcPr>
          <w:p w14:paraId="59381C4B">
            <w:pPr>
              <w:adjustRightInd w:val="0"/>
              <w:snapToGrid w:val="0"/>
              <w:jc w:val="left"/>
              <w:rPr>
                <w:rFonts w:hint="eastAsia" w:cs="宋体"/>
                <w:szCs w:val="21"/>
              </w:rPr>
            </w:pPr>
            <w:r>
              <w:rPr>
                <w:rFonts w:hint="eastAsia"/>
                <w:color w:val="000000" w:themeColor="text1"/>
                <w:szCs w:val="21"/>
                <w14:textFill>
                  <w14:solidFill>
                    <w14:schemeClr w14:val="tx1"/>
                  </w14:solidFill>
                </w14:textFill>
              </w:rPr>
              <w:t>设备清点安装调试完毕，运行正常满足甲方的采购需求，甲方收到乙方的验收申请后15个工作日内组织验收小组验收；验收不合格的，乙方按甲方要求7个工作日内整改。</w:t>
            </w:r>
          </w:p>
        </w:tc>
      </w:tr>
      <w:tr w14:paraId="25E8E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6652F960">
            <w:pPr>
              <w:adjustRightInd w:val="0"/>
              <w:snapToGrid w:val="0"/>
              <w:jc w:val="center"/>
              <w:rPr>
                <w:rFonts w:hint="eastAsia" w:cs="宋体"/>
                <w:b/>
                <w:bCs/>
                <w:szCs w:val="21"/>
              </w:rPr>
            </w:pPr>
            <w:r>
              <w:rPr>
                <w:rFonts w:hint="eastAsia" w:cs="宋体"/>
                <w:b/>
                <w:bCs/>
                <w:szCs w:val="21"/>
              </w:rPr>
              <w:t>第二节</w:t>
            </w:r>
          </w:p>
          <w:p w14:paraId="1835BE14">
            <w:pPr>
              <w:adjustRightInd w:val="0"/>
              <w:snapToGrid w:val="0"/>
              <w:jc w:val="center"/>
              <w:rPr>
                <w:rFonts w:hint="eastAsia" w:cs="宋体"/>
                <w:b/>
                <w:bCs/>
                <w:szCs w:val="21"/>
              </w:rPr>
            </w:pPr>
            <w:r>
              <w:rPr>
                <w:rFonts w:hint="eastAsia" w:cs="宋体"/>
                <w:b/>
                <w:bCs/>
                <w:szCs w:val="21"/>
              </w:rPr>
              <w:t>第4.6款</w:t>
            </w:r>
          </w:p>
        </w:tc>
        <w:tc>
          <w:tcPr>
            <w:tcW w:w="1022" w:type="pct"/>
            <w:vAlign w:val="center"/>
          </w:tcPr>
          <w:p w14:paraId="60C9D5D0">
            <w:pPr>
              <w:adjustRightInd w:val="0"/>
              <w:snapToGrid w:val="0"/>
              <w:jc w:val="left"/>
              <w:rPr>
                <w:rFonts w:hint="eastAsia" w:cs="宋体"/>
                <w:b/>
                <w:bCs/>
                <w:szCs w:val="21"/>
              </w:rPr>
            </w:pPr>
            <w:r>
              <w:rPr>
                <w:rFonts w:hint="eastAsia" w:cs="宋体"/>
                <w:b/>
                <w:bCs/>
                <w:szCs w:val="21"/>
              </w:rPr>
              <w:t>约定甲方承担的其他义务和责任</w:t>
            </w:r>
          </w:p>
        </w:tc>
        <w:tc>
          <w:tcPr>
            <w:tcW w:w="3035" w:type="pct"/>
            <w:vAlign w:val="center"/>
          </w:tcPr>
          <w:p w14:paraId="3A1C7084">
            <w:pPr>
              <w:adjustRightInd w:val="0"/>
              <w:snapToGrid w:val="0"/>
              <w:rPr>
                <w:rFonts w:hint="eastAsia"/>
                <w:szCs w:val="21"/>
              </w:rPr>
            </w:pPr>
            <w:r>
              <w:rPr>
                <w:rFonts w:hint="eastAsia"/>
                <w:szCs w:val="21"/>
              </w:rPr>
              <w:t>1.负责合同签订后项目实施的工作（如与乙方的具体联系和衔接，现场安装调试时配备人员进行监管控制）；</w:t>
            </w:r>
          </w:p>
          <w:p w14:paraId="70155DA1">
            <w:pPr>
              <w:adjustRightInd w:val="0"/>
              <w:snapToGrid w:val="0"/>
              <w:rPr>
                <w:rFonts w:hint="eastAsia"/>
                <w:szCs w:val="21"/>
              </w:rPr>
            </w:pPr>
            <w:r>
              <w:rPr>
                <w:rFonts w:hint="eastAsia"/>
                <w:szCs w:val="21"/>
              </w:rPr>
              <w:t>2.负责提供产货物安装调试所必须的场地和环境条件；</w:t>
            </w:r>
          </w:p>
          <w:p w14:paraId="7EB5D5FB">
            <w:pPr>
              <w:adjustRightInd w:val="0"/>
              <w:snapToGrid w:val="0"/>
              <w:rPr>
                <w:rFonts w:hint="eastAsia"/>
                <w:szCs w:val="21"/>
              </w:rPr>
            </w:pPr>
            <w:r>
              <w:rPr>
                <w:rFonts w:hint="eastAsia"/>
                <w:szCs w:val="21"/>
              </w:rPr>
              <w:t>3.负责组织验收小组对设备进行验收并签署验收报告；</w:t>
            </w:r>
          </w:p>
          <w:p w14:paraId="20DEFEFD">
            <w:pPr>
              <w:adjustRightInd w:val="0"/>
              <w:snapToGrid w:val="0"/>
              <w:rPr>
                <w:rFonts w:hint="eastAsia" w:cs="宋体"/>
                <w:szCs w:val="21"/>
              </w:rPr>
            </w:pPr>
            <w:r>
              <w:rPr>
                <w:rFonts w:hint="eastAsia"/>
                <w:szCs w:val="21"/>
              </w:rPr>
              <w:t>4.按合同规定享有乙方提供的售后服务。</w:t>
            </w:r>
          </w:p>
        </w:tc>
      </w:tr>
      <w:tr w14:paraId="3610D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943" w:type="pct"/>
            <w:vAlign w:val="center"/>
          </w:tcPr>
          <w:p w14:paraId="73CC8E99">
            <w:pPr>
              <w:adjustRightInd w:val="0"/>
              <w:snapToGrid w:val="0"/>
              <w:jc w:val="center"/>
              <w:rPr>
                <w:rFonts w:hint="eastAsia" w:cs="宋体"/>
                <w:b/>
                <w:bCs/>
                <w:szCs w:val="21"/>
              </w:rPr>
            </w:pPr>
            <w:r>
              <w:rPr>
                <w:rFonts w:hint="eastAsia" w:cs="宋体"/>
                <w:b/>
                <w:bCs/>
                <w:szCs w:val="21"/>
              </w:rPr>
              <w:t>第二节</w:t>
            </w:r>
          </w:p>
          <w:p w14:paraId="0987770D">
            <w:pPr>
              <w:snapToGrid w:val="0"/>
              <w:jc w:val="center"/>
              <w:rPr>
                <w:rFonts w:hint="eastAsia" w:cs="宋体"/>
                <w:b/>
                <w:bCs/>
                <w:szCs w:val="21"/>
              </w:rPr>
            </w:pPr>
            <w:r>
              <w:rPr>
                <w:rFonts w:hint="eastAsia" w:cs="宋体"/>
                <w:b/>
                <w:bCs/>
                <w:szCs w:val="21"/>
              </w:rPr>
              <w:t>第5.4款</w:t>
            </w:r>
          </w:p>
        </w:tc>
        <w:tc>
          <w:tcPr>
            <w:tcW w:w="1022" w:type="pct"/>
            <w:vAlign w:val="center"/>
          </w:tcPr>
          <w:p w14:paraId="2CEEDDC1">
            <w:pPr>
              <w:adjustRightInd w:val="0"/>
              <w:snapToGrid w:val="0"/>
              <w:jc w:val="left"/>
              <w:rPr>
                <w:rFonts w:hint="eastAsia" w:cs="宋体"/>
                <w:b/>
                <w:bCs/>
                <w:szCs w:val="21"/>
              </w:rPr>
            </w:pPr>
            <w:r>
              <w:rPr>
                <w:rFonts w:hint="eastAsia" w:cs="宋体"/>
                <w:b/>
                <w:bCs/>
                <w:szCs w:val="21"/>
              </w:rPr>
              <w:t>约定乙方承担的其他义务和责任</w:t>
            </w:r>
          </w:p>
        </w:tc>
        <w:tc>
          <w:tcPr>
            <w:tcW w:w="3035" w:type="pct"/>
            <w:vAlign w:val="center"/>
          </w:tcPr>
          <w:p w14:paraId="62BDF925">
            <w:pPr>
              <w:adjustRightInd w:val="0"/>
              <w:snapToGrid w:val="0"/>
              <w:rPr>
                <w:rFonts w:hint="eastAsia"/>
                <w:szCs w:val="21"/>
              </w:rPr>
            </w:pPr>
            <w:r>
              <w:rPr>
                <w:rFonts w:hint="eastAsia"/>
                <w:szCs w:val="21"/>
              </w:rPr>
              <w:t>1.乙方保证按本合同有约定负责完成甲方项目，并保证提供的货物是全新（包括零部件）、符合采购文件规定、符合国家质量检测标准（进口产品具有国家有关部门完整手续）和产品出厂标准的设备。</w:t>
            </w:r>
          </w:p>
          <w:p w14:paraId="2D0BFDF3">
            <w:pPr>
              <w:adjustRightInd w:val="0"/>
              <w:snapToGrid w:val="0"/>
              <w:rPr>
                <w:rFonts w:hint="eastAsia"/>
                <w:szCs w:val="21"/>
              </w:rPr>
            </w:pPr>
            <w:r>
              <w:rPr>
                <w:rFonts w:hint="eastAsia"/>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401A1045">
            <w:pPr>
              <w:adjustRightInd w:val="0"/>
              <w:snapToGrid w:val="0"/>
              <w:rPr>
                <w:rFonts w:hint="eastAsia"/>
                <w:szCs w:val="21"/>
              </w:rPr>
            </w:pPr>
            <w:r>
              <w:rPr>
                <w:rFonts w:hint="eastAsia"/>
                <w:szCs w:val="21"/>
              </w:rPr>
              <w:t>3.故障响应时间：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42EEFB5C">
            <w:pPr>
              <w:adjustRightInd w:val="0"/>
              <w:snapToGrid w:val="0"/>
              <w:rPr>
                <w:rFonts w:hint="eastAsia"/>
                <w:szCs w:val="21"/>
              </w:rPr>
            </w:pPr>
            <w:r>
              <w:rPr>
                <w:rFonts w:hint="eastAsia"/>
                <w:szCs w:val="21"/>
              </w:rPr>
              <w:t>4.售后服务费用包含在报价中，售后服务内容如下：</w:t>
            </w:r>
          </w:p>
          <w:p w14:paraId="652DDF85">
            <w:pPr>
              <w:adjustRightInd w:val="0"/>
              <w:snapToGrid w:val="0"/>
              <w:rPr>
                <w:rFonts w:hint="eastAsia"/>
                <w:szCs w:val="21"/>
              </w:rPr>
            </w:pPr>
            <w:r>
              <w:rPr>
                <w:rFonts w:hint="eastAsia"/>
                <w:szCs w:val="21"/>
              </w:rPr>
              <w:t>（1）负责送货上门，安装调试，收到货后24小时内派专人到指定地点培训操作人员；</w:t>
            </w:r>
          </w:p>
          <w:p w14:paraId="2BE4EF1F">
            <w:pPr>
              <w:adjustRightInd w:val="0"/>
              <w:snapToGrid w:val="0"/>
              <w:rPr>
                <w:rFonts w:hint="eastAsia"/>
                <w:szCs w:val="21"/>
              </w:rPr>
            </w:pPr>
            <w:r>
              <w:rPr>
                <w:rFonts w:hint="eastAsia"/>
                <w:szCs w:val="21"/>
              </w:rPr>
              <w:t>（2）不能正常使用的必须提供备用产品；</w:t>
            </w:r>
          </w:p>
          <w:p w14:paraId="08B65121">
            <w:pPr>
              <w:adjustRightInd w:val="0"/>
              <w:snapToGrid w:val="0"/>
              <w:rPr>
                <w:rFonts w:hint="eastAsia"/>
                <w:szCs w:val="21"/>
              </w:rPr>
            </w:pPr>
            <w:r>
              <w:rPr>
                <w:rFonts w:hint="eastAsia"/>
                <w:szCs w:val="21"/>
              </w:rPr>
              <w:t>（3）定期回访以及对设备维修；</w:t>
            </w:r>
          </w:p>
          <w:p w14:paraId="555322CC">
            <w:pPr>
              <w:adjustRightInd w:val="0"/>
              <w:snapToGrid w:val="0"/>
              <w:rPr>
                <w:rFonts w:hint="eastAsia"/>
                <w:szCs w:val="21"/>
              </w:rPr>
            </w:pPr>
            <w:r>
              <w:rPr>
                <w:rFonts w:hint="eastAsia"/>
                <w:szCs w:val="21"/>
              </w:rPr>
              <w:t>（4）</w:t>
            </w:r>
            <w:r>
              <w:rPr>
                <w:rFonts w:hint="eastAsia"/>
                <w:szCs w:val="21"/>
                <w:u w:val="single"/>
              </w:rPr>
              <w:t>（乙方在投标文件中的承诺、生产厂家的其他售后服务承诺等）</w:t>
            </w:r>
            <w:r>
              <w:rPr>
                <w:rFonts w:hint="eastAsia"/>
                <w:szCs w:val="21"/>
              </w:rPr>
              <w:t>。</w:t>
            </w:r>
          </w:p>
          <w:p w14:paraId="716AD4B5">
            <w:pPr>
              <w:adjustRightInd w:val="0"/>
              <w:snapToGrid w:val="0"/>
              <w:rPr>
                <w:rFonts w:hint="eastAsia"/>
                <w:szCs w:val="21"/>
              </w:rPr>
            </w:pPr>
            <w:r>
              <w:rPr>
                <w:rFonts w:hint="eastAsia"/>
                <w:szCs w:val="21"/>
              </w:rPr>
              <w:t>5.备品备件要求：备品备件及易损件应为原厂配件，质保期内维修使用的备品备件及易损件的费用，由乙方承担。质保期过后，甲方需要继续由乙方提供售后服务的，乙方应以优惠价格提供售后服务。</w:t>
            </w:r>
          </w:p>
          <w:p w14:paraId="2A6F1379">
            <w:pPr>
              <w:adjustRightInd w:val="0"/>
              <w:snapToGrid w:val="0"/>
              <w:rPr>
                <w:rFonts w:hint="eastAsia"/>
                <w:szCs w:val="21"/>
              </w:rPr>
            </w:pPr>
            <w:r>
              <w:rPr>
                <w:rFonts w:hint="eastAsia"/>
                <w:szCs w:val="21"/>
              </w:rPr>
              <w:t>6.保证乙方提供的货物（有配套软件的还包括软件产品）在使用期间不受第三方提出侵犯其专利权、商标权和工业设计权的起诉。</w:t>
            </w:r>
          </w:p>
          <w:p w14:paraId="024ADC35">
            <w:pPr>
              <w:adjustRightInd w:val="0"/>
              <w:snapToGrid w:val="0"/>
              <w:rPr>
                <w:rFonts w:hint="eastAsia"/>
                <w:szCs w:val="21"/>
              </w:rPr>
            </w:pPr>
            <w:r>
              <w:rPr>
                <w:rFonts w:hint="eastAsia"/>
                <w:szCs w:val="21"/>
              </w:rPr>
              <w:t>7.严格遵守递交的响应文件、技术澄清、商务谈判、成交所承诺的一切规定和条款。</w:t>
            </w:r>
          </w:p>
          <w:p w14:paraId="0CEE892A">
            <w:pPr>
              <w:adjustRightInd w:val="0"/>
              <w:snapToGrid w:val="0"/>
              <w:rPr>
                <w:rFonts w:hint="eastAsia" w:cs="宋体"/>
                <w:szCs w:val="21"/>
              </w:rPr>
            </w:pPr>
            <w:r>
              <w:rPr>
                <w:rFonts w:hint="eastAsia"/>
                <w:szCs w:val="21"/>
              </w:rPr>
              <w:t>8.参与甲方共同进行货物和项目的验收。</w:t>
            </w:r>
          </w:p>
        </w:tc>
      </w:tr>
      <w:tr w14:paraId="0B7F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EBB8EBC">
            <w:pPr>
              <w:adjustRightInd w:val="0"/>
              <w:snapToGrid w:val="0"/>
              <w:jc w:val="center"/>
              <w:rPr>
                <w:rFonts w:hint="eastAsia" w:cs="宋体"/>
                <w:b/>
                <w:bCs/>
                <w:szCs w:val="21"/>
              </w:rPr>
            </w:pPr>
            <w:r>
              <w:rPr>
                <w:rFonts w:hint="eastAsia" w:cs="宋体"/>
                <w:b/>
                <w:bCs/>
                <w:szCs w:val="21"/>
              </w:rPr>
              <w:t>第二节</w:t>
            </w:r>
          </w:p>
          <w:p w14:paraId="3C5F9F0F">
            <w:pPr>
              <w:snapToGrid w:val="0"/>
              <w:jc w:val="center"/>
              <w:rPr>
                <w:rFonts w:hint="eastAsia" w:cs="宋体"/>
                <w:b/>
                <w:bCs/>
                <w:szCs w:val="21"/>
              </w:rPr>
            </w:pPr>
            <w:r>
              <w:rPr>
                <w:rFonts w:hint="eastAsia" w:cs="宋体"/>
                <w:b/>
                <w:bCs/>
                <w:szCs w:val="21"/>
              </w:rPr>
              <w:t>第6.1款</w:t>
            </w:r>
          </w:p>
        </w:tc>
        <w:tc>
          <w:tcPr>
            <w:tcW w:w="1022" w:type="pct"/>
            <w:vAlign w:val="center"/>
          </w:tcPr>
          <w:p w14:paraId="3B65D758">
            <w:pPr>
              <w:adjustRightInd w:val="0"/>
              <w:snapToGrid w:val="0"/>
              <w:jc w:val="left"/>
              <w:rPr>
                <w:rFonts w:hint="eastAsia" w:cs="宋体"/>
                <w:b/>
                <w:bCs/>
                <w:szCs w:val="21"/>
              </w:rPr>
            </w:pPr>
            <w:r>
              <w:rPr>
                <w:rFonts w:hint="eastAsia" w:cs="宋体"/>
                <w:b/>
                <w:bCs/>
                <w:szCs w:val="21"/>
              </w:rPr>
              <w:t>履行合同义务的顺序</w:t>
            </w:r>
          </w:p>
        </w:tc>
        <w:tc>
          <w:tcPr>
            <w:tcW w:w="3035" w:type="pct"/>
            <w:vAlign w:val="center"/>
          </w:tcPr>
          <w:p w14:paraId="4D031D17">
            <w:pPr>
              <w:adjustRightInd w:val="0"/>
              <w:snapToGrid w:val="0"/>
              <w:jc w:val="left"/>
              <w:rPr>
                <w:rFonts w:hint="eastAsia" w:cs="宋体"/>
                <w:szCs w:val="21"/>
              </w:rPr>
            </w:pPr>
            <w:r>
              <w:rPr>
                <w:rFonts w:hint="eastAsia"/>
                <w:szCs w:val="21"/>
              </w:rPr>
              <w:t>甲乙双方同时履行合同义务</w:t>
            </w:r>
          </w:p>
        </w:tc>
      </w:tr>
      <w:tr w14:paraId="4D3B9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restart"/>
            <w:vAlign w:val="center"/>
          </w:tcPr>
          <w:p w14:paraId="4295ABAA">
            <w:pPr>
              <w:adjustRightInd w:val="0"/>
              <w:snapToGrid w:val="0"/>
              <w:jc w:val="center"/>
              <w:rPr>
                <w:rFonts w:hint="eastAsia" w:cs="宋体"/>
                <w:b/>
                <w:bCs/>
                <w:szCs w:val="21"/>
              </w:rPr>
            </w:pPr>
            <w:r>
              <w:rPr>
                <w:rFonts w:hint="eastAsia" w:cs="宋体"/>
                <w:b/>
                <w:bCs/>
                <w:szCs w:val="21"/>
              </w:rPr>
              <w:t>第二节</w:t>
            </w:r>
          </w:p>
          <w:p w14:paraId="02E766C3">
            <w:pPr>
              <w:adjustRightInd w:val="0"/>
              <w:snapToGrid w:val="0"/>
              <w:jc w:val="center"/>
              <w:rPr>
                <w:rFonts w:hint="eastAsia" w:cs="宋体"/>
                <w:b/>
                <w:bCs/>
                <w:szCs w:val="21"/>
              </w:rPr>
            </w:pPr>
            <w:r>
              <w:rPr>
                <w:rFonts w:hint="eastAsia" w:cs="宋体"/>
                <w:b/>
                <w:bCs/>
                <w:szCs w:val="21"/>
              </w:rPr>
              <w:t>第7.1款</w:t>
            </w:r>
          </w:p>
        </w:tc>
        <w:tc>
          <w:tcPr>
            <w:tcW w:w="1022" w:type="pct"/>
            <w:vAlign w:val="center"/>
          </w:tcPr>
          <w:p w14:paraId="025DFDB1">
            <w:pPr>
              <w:adjustRightInd w:val="0"/>
              <w:snapToGrid w:val="0"/>
              <w:jc w:val="left"/>
              <w:rPr>
                <w:rFonts w:hint="eastAsia" w:cs="宋体"/>
                <w:b/>
                <w:bCs/>
                <w:szCs w:val="21"/>
              </w:rPr>
            </w:pPr>
            <w:r>
              <w:rPr>
                <w:rFonts w:hint="eastAsia" w:cs="宋体"/>
                <w:b/>
                <w:bCs/>
                <w:szCs w:val="21"/>
              </w:rPr>
              <w:t>包装特殊要求</w:t>
            </w:r>
          </w:p>
        </w:tc>
        <w:tc>
          <w:tcPr>
            <w:tcW w:w="3035" w:type="pct"/>
            <w:vAlign w:val="center"/>
          </w:tcPr>
          <w:p w14:paraId="6ADA2147">
            <w:pPr>
              <w:rPr>
                <w:rFonts w:hint="eastAsia" w:cs="宋体"/>
                <w:szCs w:val="21"/>
              </w:rPr>
            </w:pPr>
            <w:r>
              <w:rPr>
                <w:rFonts w:hint="eastAsia" w:cs="宋体"/>
                <w:szCs w:val="21"/>
              </w:rPr>
              <w:t>所有产品和设备需根据其使用环境做相应的防护处理。为了保证产品在长途运输和装卸过程中的安全，产品包装应符合国家或专业（部）标准规定。由于包装不善导致设备锈蚀、失缺或损坏，由乙方承担一切责任。</w:t>
            </w:r>
          </w:p>
        </w:tc>
      </w:tr>
      <w:tr w14:paraId="0A436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continue"/>
            <w:vAlign w:val="center"/>
          </w:tcPr>
          <w:p w14:paraId="0231CAAD">
            <w:pPr>
              <w:adjustRightInd w:val="0"/>
              <w:snapToGrid w:val="0"/>
              <w:jc w:val="center"/>
              <w:rPr>
                <w:rFonts w:hint="eastAsia" w:cs="宋体"/>
                <w:b/>
                <w:bCs/>
                <w:szCs w:val="21"/>
              </w:rPr>
            </w:pPr>
          </w:p>
        </w:tc>
        <w:tc>
          <w:tcPr>
            <w:tcW w:w="1022" w:type="pct"/>
            <w:vAlign w:val="center"/>
          </w:tcPr>
          <w:p w14:paraId="4B390924">
            <w:pPr>
              <w:adjustRightInd w:val="0"/>
              <w:snapToGrid w:val="0"/>
              <w:jc w:val="left"/>
              <w:rPr>
                <w:rFonts w:hint="eastAsia" w:cs="宋体"/>
                <w:b/>
                <w:bCs/>
                <w:szCs w:val="21"/>
              </w:rPr>
            </w:pPr>
            <w:r>
              <w:rPr>
                <w:rFonts w:hint="eastAsia" w:cs="宋体"/>
                <w:b/>
                <w:bCs/>
                <w:szCs w:val="21"/>
              </w:rPr>
              <w:t>指定现场</w:t>
            </w:r>
          </w:p>
        </w:tc>
        <w:tc>
          <w:tcPr>
            <w:tcW w:w="3035" w:type="pct"/>
            <w:vAlign w:val="center"/>
          </w:tcPr>
          <w:p w14:paraId="6620900E">
            <w:pPr>
              <w:rPr>
                <w:rFonts w:hint="eastAsia" w:cs="宋体"/>
                <w:szCs w:val="21"/>
              </w:rPr>
            </w:pPr>
            <w:r>
              <w:rPr>
                <w:rFonts w:hint="eastAsia" w:cs="宋体"/>
                <w:kern w:val="0"/>
                <w:szCs w:val="21"/>
              </w:rPr>
              <w:t>甲方指定地点。</w:t>
            </w:r>
          </w:p>
        </w:tc>
      </w:tr>
      <w:tr w14:paraId="1309A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943" w:type="pct"/>
            <w:vAlign w:val="center"/>
          </w:tcPr>
          <w:p w14:paraId="561719F8">
            <w:pPr>
              <w:adjustRightInd w:val="0"/>
              <w:snapToGrid w:val="0"/>
              <w:jc w:val="center"/>
              <w:rPr>
                <w:rFonts w:hint="eastAsia" w:cs="宋体"/>
                <w:b/>
                <w:bCs/>
                <w:szCs w:val="21"/>
              </w:rPr>
            </w:pPr>
            <w:r>
              <w:rPr>
                <w:rFonts w:hint="eastAsia" w:cs="宋体"/>
                <w:b/>
                <w:bCs/>
                <w:szCs w:val="21"/>
              </w:rPr>
              <w:t>第二节</w:t>
            </w:r>
          </w:p>
          <w:p w14:paraId="4F4C2479">
            <w:pPr>
              <w:adjustRightInd w:val="0"/>
              <w:snapToGrid w:val="0"/>
              <w:jc w:val="center"/>
              <w:rPr>
                <w:rFonts w:hint="eastAsia" w:cs="宋体"/>
                <w:b/>
                <w:bCs/>
                <w:szCs w:val="21"/>
              </w:rPr>
            </w:pPr>
            <w:r>
              <w:rPr>
                <w:rFonts w:hint="eastAsia" w:cs="宋体"/>
                <w:b/>
                <w:bCs/>
                <w:szCs w:val="21"/>
              </w:rPr>
              <w:t>第7.2款</w:t>
            </w:r>
          </w:p>
        </w:tc>
        <w:tc>
          <w:tcPr>
            <w:tcW w:w="1022" w:type="pct"/>
            <w:vAlign w:val="center"/>
          </w:tcPr>
          <w:p w14:paraId="37200695">
            <w:pPr>
              <w:adjustRightInd w:val="0"/>
              <w:snapToGrid w:val="0"/>
              <w:jc w:val="left"/>
              <w:rPr>
                <w:rFonts w:hint="eastAsia" w:cs="宋体"/>
                <w:b/>
                <w:bCs/>
                <w:szCs w:val="21"/>
              </w:rPr>
            </w:pPr>
            <w:r>
              <w:rPr>
                <w:rFonts w:hint="eastAsia" w:cs="宋体"/>
                <w:b/>
                <w:bCs/>
                <w:szCs w:val="21"/>
              </w:rPr>
              <w:t>运输特殊要求</w:t>
            </w:r>
          </w:p>
        </w:tc>
        <w:tc>
          <w:tcPr>
            <w:tcW w:w="3035" w:type="pct"/>
            <w:vAlign w:val="center"/>
          </w:tcPr>
          <w:p w14:paraId="62A946B0">
            <w:pPr>
              <w:rPr>
                <w:rFonts w:hint="eastAsia" w:cs="宋体"/>
                <w:szCs w:val="21"/>
              </w:rPr>
            </w:pPr>
            <w:r>
              <w:rPr>
                <w:rFonts w:hint="eastAsia"/>
                <w:szCs w:val="21"/>
              </w:rPr>
              <w:t>移交前由乙方负责，移交后由接收单位负责。</w:t>
            </w:r>
          </w:p>
        </w:tc>
      </w:tr>
      <w:tr w14:paraId="45E95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Align w:val="center"/>
          </w:tcPr>
          <w:p w14:paraId="759E61A4">
            <w:pPr>
              <w:adjustRightInd w:val="0"/>
              <w:snapToGrid w:val="0"/>
              <w:jc w:val="center"/>
              <w:rPr>
                <w:rFonts w:hint="eastAsia" w:cs="宋体"/>
                <w:b/>
                <w:bCs/>
                <w:szCs w:val="21"/>
              </w:rPr>
            </w:pPr>
            <w:r>
              <w:rPr>
                <w:rFonts w:hint="eastAsia" w:cs="宋体"/>
                <w:b/>
                <w:bCs/>
                <w:szCs w:val="21"/>
              </w:rPr>
              <w:t>第二节</w:t>
            </w:r>
          </w:p>
          <w:p w14:paraId="5814CDDB">
            <w:pPr>
              <w:adjustRightInd w:val="0"/>
              <w:snapToGrid w:val="0"/>
              <w:jc w:val="center"/>
              <w:rPr>
                <w:rFonts w:hint="eastAsia" w:cs="宋体"/>
                <w:b/>
                <w:bCs/>
                <w:szCs w:val="21"/>
              </w:rPr>
            </w:pPr>
            <w:r>
              <w:rPr>
                <w:rFonts w:hint="eastAsia" w:cs="宋体"/>
                <w:b/>
                <w:bCs/>
                <w:szCs w:val="21"/>
              </w:rPr>
              <w:t>第7.3款</w:t>
            </w:r>
          </w:p>
        </w:tc>
        <w:tc>
          <w:tcPr>
            <w:tcW w:w="1022" w:type="pct"/>
            <w:vAlign w:val="center"/>
          </w:tcPr>
          <w:p w14:paraId="312A3F5F">
            <w:pPr>
              <w:adjustRightInd w:val="0"/>
              <w:snapToGrid w:val="0"/>
              <w:jc w:val="left"/>
              <w:rPr>
                <w:rFonts w:hint="eastAsia" w:cs="宋体"/>
                <w:b/>
                <w:bCs/>
                <w:szCs w:val="21"/>
              </w:rPr>
            </w:pPr>
            <w:r>
              <w:rPr>
                <w:rFonts w:hint="eastAsia" w:cs="宋体"/>
                <w:b/>
                <w:bCs/>
                <w:szCs w:val="21"/>
              </w:rPr>
              <w:t>保险要求</w:t>
            </w:r>
          </w:p>
        </w:tc>
        <w:tc>
          <w:tcPr>
            <w:tcW w:w="3035" w:type="pct"/>
            <w:vAlign w:val="center"/>
          </w:tcPr>
          <w:p w14:paraId="3CCE002B">
            <w:pPr>
              <w:rPr>
                <w:rFonts w:hint="eastAsia" w:cs="宋体"/>
                <w:szCs w:val="21"/>
              </w:rPr>
            </w:pPr>
            <w:r>
              <w:rPr>
                <w:rFonts w:hint="eastAsia"/>
                <w:szCs w:val="21"/>
              </w:rPr>
              <w:t>货物自生产、运输、装卸，直至交货的保险均由乙方自行负责。</w:t>
            </w:r>
          </w:p>
        </w:tc>
      </w:tr>
      <w:tr w14:paraId="5B005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23D26A97">
            <w:pPr>
              <w:adjustRightInd w:val="0"/>
              <w:snapToGrid w:val="0"/>
              <w:jc w:val="center"/>
              <w:rPr>
                <w:rFonts w:hint="eastAsia" w:cs="宋体"/>
                <w:b/>
                <w:bCs/>
                <w:szCs w:val="21"/>
              </w:rPr>
            </w:pPr>
            <w:r>
              <w:rPr>
                <w:rFonts w:hint="eastAsia" w:cs="宋体"/>
                <w:b/>
                <w:bCs/>
                <w:szCs w:val="21"/>
              </w:rPr>
              <w:t>第二节</w:t>
            </w:r>
          </w:p>
          <w:p w14:paraId="5A4FECCF">
            <w:pPr>
              <w:adjustRightInd w:val="0"/>
              <w:snapToGrid w:val="0"/>
              <w:jc w:val="center"/>
              <w:rPr>
                <w:rFonts w:hint="eastAsia" w:cs="宋体"/>
                <w:b/>
                <w:bCs/>
                <w:szCs w:val="21"/>
              </w:rPr>
            </w:pPr>
            <w:r>
              <w:rPr>
                <w:rFonts w:hint="eastAsia" w:cs="宋体"/>
                <w:b/>
                <w:bCs/>
                <w:szCs w:val="21"/>
              </w:rPr>
              <w:t>第8.2（1）项</w:t>
            </w:r>
          </w:p>
        </w:tc>
        <w:tc>
          <w:tcPr>
            <w:tcW w:w="1022" w:type="pct"/>
            <w:vAlign w:val="center"/>
          </w:tcPr>
          <w:p w14:paraId="473CA5C1">
            <w:pPr>
              <w:adjustRightInd w:val="0"/>
              <w:snapToGrid w:val="0"/>
              <w:jc w:val="left"/>
              <w:rPr>
                <w:rFonts w:hint="eastAsia" w:cs="宋体"/>
                <w:b/>
                <w:bCs/>
                <w:szCs w:val="21"/>
              </w:rPr>
            </w:pPr>
            <w:r>
              <w:rPr>
                <w:rFonts w:hint="eastAsia" w:cs="宋体"/>
                <w:b/>
                <w:bCs/>
                <w:szCs w:val="21"/>
              </w:rPr>
              <w:t>质量保证期</w:t>
            </w:r>
          </w:p>
        </w:tc>
        <w:tc>
          <w:tcPr>
            <w:tcW w:w="3035" w:type="pct"/>
            <w:vAlign w:val="center"/>
          </w:tcPr>
          <w:p w14:paraId="7CAFADCF">
            <w:pPr>
              <w:autoSpaceDE w:val="0"/>
              <w:autoSpaceDN w:val="0"/>
              <w:adjustRightInd w:val="0"/>
              <w:snapToGrid w:val="0"/>
              <w:jc w:val="left"/>
              <w:rPr>
                <w:rFonts w:hint="eastAsia"/>
                <w:szCs w:val="21"/>
              </w:rPr>
            </w:pPr>
            <w:r>
              <w:rPr>
                <w:rFonts w:hint="eastAsia" w:cs="宋体"/>
                <w:kern w:val="0"/>
                <w:szCs w:val="21"/>
                <w:lang w:bidi="ar"/>
              </w:rPr>
              <w:t>质保期：自验收合格之日起计算</w:t>
            </w:r>
            <w:r>
              <w:rPr>
                <w:rFonts w:hint="eastAsia" w:cs="宋体"/>
                <w:kern w:val="0"/>
                <w:szCs w:val="21"/>
                <w:u w:val="single"/>
                <w:lang w:bidi="ar"/>
              </w:rPr>
              <w:t xml:space="preserve">   年</w:t>
            </w:r>
            <w:r>
              <w:rPr>
                <w:rFonts w:hint="eastAsia"/>
                <w:szCs w:val="21"/>
              </w:rPr>
              <w:t>。</w:t>
            </w:r>
          </w:p>
          <w:p w14:paraId="7AABD016">
            <w:pPr>
              <w:autoSpaceDE w:val="0"/>
              <w:autoSpaceDN w:val="0"/>
              <w:adjustRightInd w:val="0"/>
              <w:snapToGrid w:val="0"/>
              <w:jc w:val="left"/>
              <w:rPr>
                <w:rFonts w:hint="eastAsia" w:cs="宋体"/>
                <w:szCs w:val="21"/>
              </w:rPr>
            </w:pPr>
            <w:r>
              <w:rPr>
                <w:rFonts w:hint="eastAsia" w:cs="宋体"/>
                <w:szCs w:val="21"/>
              </w:rPr>
              <w:t>（1）保证提供的货物是全新（包括零部件）、符合采购文件规定、具有国家有关部门注册并符合国家质量检测标准（进口产品具有国家有关部门完整手续）和产品出厂标准的设备。</w:t>
            </w:r>
          </w:p>
          <w:p w14:paraId="2C5ADFCB">
            <w:pPr>
              <w:autoSpaceDE w:val="0"/>
              <w:autoSpaceDN w:val="0"/>
              <w:adjustRightInd w:val="0"/>
              <w:snapToGrid w:val="0"/>
              <w:jc w:val="left"/>
              <w:rPr>
                <w:rFonts w:hint="eastAsia" w:cs="宋体"/>
                <w:szCs w:val="21"/>
              </w:rPr>
            </w:pPr>
            <w:r>
              <w:rPr>
                <w:rFonts w:hint="eastAsia" w:cs="宋体"/>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354835B4">
            <w:pPr>
              <w:autoSpaceDE w:val="0"/>
              <w:autoSpaceDN w:val="0"/>
              <w:adjustRightInd w:val="0"/>
              <w:snapToGrid w:val="0"/>
              <w:jc w:val="left"/>
              <w:rPr>
                <w:rFonts w:hint="eastAsia" w:cs="宋体"/>
                <w:szCs w:val="21"/>
              </w:rPr>
            </w:pPr>
            <w:r>
              <w:rPr>
                <w:rFonts w:hint="eastAsia" w:cs="宋体"/>
                <w:szCs w:val="21"/>
              </w:rPr>
              <w:t>（3）故障响应时间：</w:t>
            </w:r>
            <w:r>
              <w:rPr>
                <w:rFonts w:hint="eastAsia"/>
                <w:szCs w:val="21"/>
              </w:rPr>
              <w:t>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2E4114C1">
            <w:pPr>
              <w:autoSpaceDE w:val="0"/>
              <w:autoSpaceDN w:val="0"/>
              <w:adjustRightInd w:val="0"/>
              <w:snapToGrid w:val="0"/>
              <w:jc w:val="left"/>
              <w:rPr>
                <w:rFonts w:hint="eastAsia" w:cs="宋体"/>
                <w:szCs w:val="21"/>
              </w:rPr>
            </w:pPr>
            <w:r>
              <w:rPr>
                <w:rFonts w:hint="eastAsia" w:cs="宋体"/>
                <w:szCs w:val="21"/>
              </w:rPr>
              <w:t>（4）售后服务费用包含在报价中，售后服务内容如下：</w:t>
            </w:r>
          </w:p>
          <w:p w14:paraId="11C60C34">
            <w:pPr>
              <w:autoSpaceDE w:val="0"/>
              <w:autoSpaceDN w:val="0"/>
              <w:adjustRightInd w:val="0"/>
              <w:snapToGrid w:val="0"/>
              <w:jc w:val="left"/>
              <w:rPr>
                <w:rFonts w:hint="eastAsia" w:cs="宋体"/>
                <w:szCs w:val="21"/>
              </w:rPr>
            </w:pPr>
            <w:r>
              <w:rPr>
                <w:rFonts w:hint="eastAsia" w:cs="宋体"/>
                <w:szCs w:val="21"/>
              </w:rPr>
              <w:t>①负责送货上门，安装调试，收到货后24小时内派专人到指定地点培训操作人员；</w:t>
            </w:r>
          </w:p>
          <w:p w14:paraId="75CEE36E">
            <w:pPr>
              <w:autoSpaceDE w:val="0"/>
              <w:autoSpaceDN w:val="0"/>
              <w:adjustRightInd w:val="0"/>
              <w:snapToGrid w:val="0"/>
              <w:jc w:val="left"/>
              <w:rPr>
                <w:rFonts w:hint="eastAsia" w:cs="宋体"/>
                <w:szCs w:val="21"/>
              </w:rPr>
            </w:pPr>
            <w:r>
              <w:rPr>
                <w:rFonts w:hint="eastAsia" w:cs="宋体"/>
                <w:szCs w:val="21"/>
              </w:rPr>
              <w:t>②不能正常使用的必须提供备用产品；</w:t>
            </w:r>
          </w:p>
          <w:p w14:paraId="1CF7EA2D">
            <w:pPr>
              <w:autoSpaceDE w:val="0"/>
              <w:autoSpaceDN w:val="0"/>
              <w:adjustRightInd w:val="0"/>
              <w:snapToGrid w:val="0"/>
              <w:jc w:val="left"/>
              <w:rPr>
                <w:rFonts w:hint="eastAsia" w:cs="宋体"/>
                <w:szCs w:val="21"/>
              </w:rPr>
            </w:pPr>
            <w:r>
              <w:rPr>
                <w:rFonts w:hint="eastAsia" w:cs="宋体"/>
                <w:szCs w:val="21"/>
              </w:rPr>
              <w:t>③定期回访以及对设备维修；</w:t>
            </w:r>
          </w:p>
          <w:p w14:paraId="6DDF7385">
            <w:pPr>
              <w:autoSpaceDE w:val="0"/>
              <w:autoSpaceDN w:val="0"/>
              <w:adjustRightInd w:val="0"/>
              <w:snapToGrid w:val="0"/>
              <w:jc w:val="left"/>
              <w:rPr>
                <w:rFonts w:hint="eastAsia" w:cs="宋体"/>
                <w:szCs w:val="21"/>
              </w:rPr>
            </w:pPr>
            <w:r>
              <w:rPr>
                <w:rFonts w:hint="eastAsia" w:cs="宋体"/>
                <w:szCs w:val="21"/>
              </w:rPr>
              <w:t>④</w:t>
            </w:r>
            <w:r>
              <w:rPr>
                <w:rFonts w:hint="eastAsia"/>
                <w:szCs w:val="21"/>
                <w:u w:val="single"/>
              </w:rPr>
              <w:t>（乙方在投标文件中的承诺、生产厂家的其他售后服务承诺等）</w:t>
            </w:r>
            <w:r>
              <w:rPr>
                <w:rFonts w:hint="eastAsia" w:cs="宋体"/>
                <w:szCs w:val="21"/>
              </w:rPr>
              <w:t>。</w:t>
            </w:r>
          </w:p>
          <w:p w14:paraId="305FB7D8">
            <w:pPr>
              <w:autoSpaceDE w:val="0"/>
              <w:autoSpaceDN w:val="0"/>
              <w:adjustRightInd w:val="0"/>
              <w:snapToGrid w:val="0"/>
              <w:jc w:val="left"/>
              <w:rPr>
                <w:rFonts w:hint="eastAsia" w:cs="宋体"/>
                <w:szCs w:val="21"/>
              </w:rPr>
            </w:pPr>
            <w:r>
              <w:rPr>
                <w:rFonts w:hint="eastAsia" w:cs="宋体"/>
                <w:szCs w:val="21"/>
              </w:rPr>
              <w:t>（5）产品质保期除满足国家或行业标准、行业惯例外，还必须满足甲方要求。质保期内由乙方负责维修（人为因素导致的损坏除外）；质保期外终身保修，只收取适当材料及人工费用。</w:t>
            </w:r>
          </w:p>
          <w:p w14:paraId="631C9D21">
            <w:pPr>
              <w:autoSpaceDE w:val="0"/>
              <w:autoSpaceDN w:val="0"/>
              <w:adjustRightInd w:val="0"/>
              <w:snapToGrid w:val="0"/>
              <w:jc w:val="left"/>
              <w:rPr>
                <w:rFonts w:hint="eastAsia" w:cs="宋体"/>
                <w:szCs w:val="21"/>
              </w:rPr>
            </w:pPr>
            <w:r>
              <w:rPr>
                <w:rFonts w:hint="eastAsia" w:cs="宋体"/>
                <w:szCs w:val="21"/>
              </w:rPr>
              <w:t>（6）在质保期内，由于设备本身质量原因造成的任何损伤或损坏，乙方须负责修理或更换。</w:t>
            </w:r>
          </w:p>
          <w:p w14:paraId="5BC4D5A6">
            <w:pPr>
              <w:autoSpaceDE w:val="0"/>
              <w:autoSpaceDN w:val="0"/>
              <w:adjustRightInd w:val="0"/>
              <w:snapToGrid w:val="0"/>
              <w:jc w:val="left"/>
              <w:rPr>
                <w:rFonts w:hint="eastAsia" w:cs="宋体"/>
                <w:szCs w:val="21"/>
              </w:rPr>
            </w:pPr>
            <w:r>
              <w:rPr>
                <w:rFonts w:hint="eastAsia" w:cs="宋体"/>
                <w:szCs w:val="21"/>
              </w:rPr>
              <w:t>（7）质保期内的保养包括对设备硬件及系统的定期检查。详细的保养程序和保养工作内容须于投标时提交甲方。</w:t>
            </w:r>
          </w:p>
          <w:p w14:paraId="29453944">
            <w:pPr>
              <w:autoSpaceDE w:val="0"/>
              <w:autoSpaceDN w:val="0"/>
              <w:adjustRightInd w:val="0"/>
              <w:snapToGrid w:val="0"/>
              <w:jc w:val="left"/>
              <w:rPr>
                <w:rFonts w:hint="eastAsia" w:cs="宋体"/>
                <w:szCs w:val="21"/>
              </w:rPr>
            </w:pPr>
            <w:r>
              <w:rPr>
                <w:rFonts w:hint="eastAsia" w:cs="宋体"/>
                <w:szCs w:val="21"/>
              </w:rPr>
              <w:t>（8）在质保期结束前，须由乙方专业工程师和甲方代表对整套设备进行一次全面检查，任何缺陷必须由乙方负责修理，并得到甲方代表认可。在修理之后，乙方应将缺陷成因、修理内容、完成修理及恢复正常的内容时间和日期等报告给甲方。报告一式两份，质保期外的设备维修只收零件、部件成本费，维修人员的食宿、交通费自理。</w:t>
            </w:r>
          </w:p>
          <w:p w14:paraId="5FB2B81F">
            <w:pPr>
              <w:autoSpaceDE w:val="0"/>
              <w:autoSpaceDN w:val="0"/>
              <w:adjustRightInd w:val="0"/>
              <w:snapToGrid w:val="0"/>
              <w:jc w:val="left"/>
              <w:rPr>
                <w:rFonts w:hint="eastAsia" w:cs="宋体"/>
                <w:szCs w:val="21"/>
              </w:rPr>
            </w:pPr>
            <w:r>
              <w:rPr>
                <w:rFonts w:hint="eastAsia" w:cs="宋体"/>
                <w:szCs w:val="21"/>
              </w:rPr>
              <w:t>（9）所有设备在质保期内，如非人为原因而出现的产品质量问题，维修三次后仍然有故障，则必须无条件更换同品牌、同型号的新设备或作退货处理。</w:t>
            </w:r>
          </w:p>
          <w:p w14:paraId="664E75F8">
            <w:pPr>
              <w:autoSpaceDE w:val="0"/>
              <w:autoSpaceDN w:val="0"/>
              <w:adjustRightInd w:val="0"/>
              <w:snapToGrid w:val="0"/>
              <w:jc w:val="left"/>
              <w:rPr>
                <w:rFonts w:hint="eastAsia" w:cs="宋体"/>
                <w:szCs w:val="21"/>
              </w:rPr>
            </w:pPr>
            <w:r>
              <w:rPr>
                <w:rFonts w:hint="eastAsia" w:cs="宋体"/>
                <w:szCs w:val="21"/>
              </w:rPr>
              <w:t>（10）质保期内，乙方进行设备维修时，对原有装饰装修造成损坏的或需其他工种配合的，乙方需支付相关的费用。</w:t>
            </w:r>
          </w:p>
          <w:p w14:paraId="6B109CD5">
            <w:pPr>
              <w:autoSpaceDE w:val="0"/>
              <w:autoSpaceDN w:val="0"/>
              <w:adjustRightInd w:val="0"/>
              <w:snapToGrid w:val="0"/>
              <w:jc w:val="left"/>
              <w:rPr>
                <w:rFonts w:hint="eastAsia" w:cs="宋体"/>
                <w:szCs w:val="21"/>
              </w:rPr>
            </w:pPr>
            <w:r>
              <w:rPr>
                <w:rFonts w:hint="eastAsia" w:cs="宋体"/>
                <w:szCs w:val="21"/>
              </w:rPr>
              <w:t>（11）质保期内，由于设备质量因素而造成的损坏，均由乙方负责维修和更换备件。</w:t>
            </w:r>
          </w:p>
          <w:p w14:paraId="775D8D3D">
            <w:pPr>
              <w:autoSpaceDE w:val="0"/>
              <w:autoSpaceDN w:val="0"/>
              <w:adjustRightInd w:val="0"/>
              <w:snapToGrid w:val="0"/>
              <w:jc w:val="left"/>
              <w:rPr>
                <w:rFonts w:hint="eastAsia" w:cs="宋体"/>
                <w:szCs w:val="21"/>
              </w:rPr>
            </w:pPr>
            <w:r>
              <w:rPr>
                <w:rFonts w:hint="eastAsia" w:cs="宋体"/>
                <w:szCs w:val="21"/>
              </w:rPr>
              <w:t>（12）若质保期内出现设备、材料质量问题（非设备本身质量造成的缺陷或非供货单位施工责任造成的缺陷除外）按修复更换后的日期重新开始计算质保期。质保期内，乙方须负责修复更换。</w:t>
            </w:r>
          </w:p>
        </w:tc>
      </w:tr>
      <w:tr w14:paraId="7AEC6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6725CE6">
            <w:pPr>
              <w:adjustRightInd w:val="0"/>
              <w:snapToGrid w:val="0"/>
              <w:jc w:val="center"/>
              <w:rPr>
                <w:rFonts w:hint="eastAsia" w:cs="宋体"/>
                <w:b/>
                <w:bCs/>
                <w:szCs w:val="21"/>
              </w:rPr>
            </w:pPr>
            <w:r>
              <w:rPr>
                <w:rFonts w:hint="eastAsia" w:cs="宋体"/>
                <w:b/>
                <w:bCs/>
                <w:szCs w:val="21"/>
              </w:rPr>
              <w:t>第二节</w:t>
            </w:r>
          </w:p>
          <w:p w14:paraId="5C62A74A">
            <w:pPr>
              <w:adjustRightInd w:val="0"/>
              <w:snapToGrid w:val="0"/>
              <w:jc w:val="center"/>
              <w:rPr>
                <w:rFonts w:hint="eastAsia" w:cs="宋体"/>
                <w:b/>
                <w:bCs/>
                <w:szCs w:val="21"/>
              </w:rPr>
            </w:pPr>
            <w:r>
              <w:rPr>
                <w:rFonts w:hint="eastAsia" w:cs="宋体"/>
                <w:b/>
                <w:bCs/>
                <w:szCs w:val="21"/>
              </w:rPr>
              <w:t>第8.2（3）项</w:t>
            </w:r>
          </w:p>
        </w:tc>
        <w:tc>
          <w:tcPr>
            <w:tcW w:w="1022" w:type="pct"/>
            <w:vAlign w:val="center"/>
          </w:tcPr>
          <w:p w14:paraId="4FB8A384">
            <w:pPr>
              <w:adjustRightInd w:val="0"/>
              <w:snapToGrid w:val="0"/>
              <w:jc w:val="left"/>
              <w:rPr>
                <w:rFonts w:hint="eastAsia" w:cs="宋体"/>
                <w:b/>
                <w:bCs/>
                <w:szCs w:val="21"/>
              </w:rPr>
            </w:pPr>
            <w:r>
              <w:rPr>
                <w:rFonts w:hint="eastAsia" w:cs="宋体"/>
                <w:b/>
                <w:bCs/>
                <w:szCs w:val="21"/>
              </w:rPr>
              <w:t>货物质量缺陷</w:t>
            </w:r>
          </w:p>
          <w:p w14:paraId="7965CC6D">
            <w:pPr>
              <w:adjustRightInd w:val="0"/>
              <w:snapToGrid w:val="0"/>
              <w:jc w:val="left"/>
              <w:rPr>
                <w:rFonts w:hint="eastAsia" w:cs="宋体"/>
                <w:b/>
                <w:bCs/>
                <w:szCs w:val="21"/>
              </w:rPr>
            </w:pPr>
            <w:r>
              <w:rPr>
                <w:rFonts w:hint="eastAsia" w:cs="宋体"/>
                <w:b/>
                <w:bCs/>
                <w:szCs w:val="21"/>
              </w:rPr>
              <w:t>响应时间</w:t>
            </w:r>
          </w:p>
        </w:tc>
        <w:tc>
          <w:tcPr>
            <w:tcW w:w="3035" w:type="pct"/>
            <w:vAlign w:val="center"/>
          </w:tcPr>
          <w:p w14:paraId="51606AC2">
            <w:pPr>
              <w:adjustRightInd w:val="0"/>
              <w:snapToGrid w:val="0"/>
              <w:jc w:val="left"/>
              <w:rPr>
                <w:rFonts w:hint="eastAsia" w:cs="宋体"/>
                <w:szCs w:val="21"/>
              </w:rPr>
            </w:pPr>
            <w:r>
              <w:rPr>
                <w:rFonts w:hint="eastAsia"/>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tc>
      </w:tr>
      <w:tr w14:paraId="0CFD6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9AD3DFA">
            <w:pPr>
              <w:snapToGrid w:val="0"/>
              <w:jc w:val="center"/>
              <w:rPr>
                <w:rFonts w:hint="eastAsia" w:cs="宋体"/>
                <w:b/>
                <w:bCs/>
                <w:szCs w:val="21"/>
              </w:rPr>
            </w:pPr>
            <w:r>
              <w:rPr>
                <w:rFonts w:hint="eastAsia" w:cs="宋体"/>
                <w:b/>
                <w:bCs/>
                <w:szCs w:val="21"/>
              </w:rPr>
              <w:t>第二节</w:t>
            </w:r>
          </w:p>
          <w:p w14:paraId="662F936F">
            <w:pPr>
              <w:widowControl/>
              <w:autoSpaceDE w:val="0"/>
              <w:autoSpaceDN w:val="0"/>
              <w:adjustRightInd w:val="0"/>
              <w:jc w:val="center"/>
              <w:rPr>
                <w:rFonts w:hint="eastAsia" w:cs="宋体"/>
                <w:b/>
                <w:bCs/>
                <w:kern w:val="0"/>
                <w:szCs w:val="21"/>
              </w:rPr>
            </w:pPr>
            <w:r>
              <w:rPr>
                <w:rFonts w:hint="eastAsia" w:cs="宋体"/>
                <w:b/>
                <w:bCs/>
                <w:kern w:val="0"/>
                <w:szCs w:val="21"/>
              </w:rPr>
              <w:t>第11.1款</w:t>
            </w:r>
          </w:p>
        </w:tc>
        <w:tc>
          <w:tcPr>
            <w:tcW w:w="1022" w:type="pct"/>
            <w:vAlign w:val="center"/>
          </w:tcPr>
          <w:p w14:paraId="4A37ED94">
            <w:pPr>
              <w:adjustRightInd w:val="0"/>
              <w:snapToGrid w:val="0"/>
              <w:rPr>
                <w:rFonts w:hint="eastAsia" w:cs="宋体"/>
                <w:b/>
                <w:bCs/>
                <w:szCs w:val="21"/>
              </w:rPr>
            </w:pPr>
            <w:r>
              <w:rPr>
                <w:rFonts w:hint="eastAsia" w:cs="宋体"/>
                <w:b/>
                <w:bCs/>
                <w:szCs w:val="21"/>
              </w:rPr>
              <w:t>其他应当保密的信息</w:t>
            </w:r>
          </w:p>
        </w:tc>
        <w:tc>
          <w:tcPr>
            <w:tcW w:w="3035" w:type="pct"/>
            <w:vAlign w:val="center"/>
          </w:tcPr>
          <w:p w14:paraId="5EA221F4">
            <w:pPr>
              <w:adjustRightInd w:val="0"/>
              <w:snapToGrid w:val="0"/>
              <w:jc w:val="left"/>
              <w:rPr>
                <w:rFonts w:hint="eastAsia" w:cs="宋体"/>
                <w:szCs w:val="21"/>
              </w:rPr>
            </w:pPr>
          </w:p>
        </w:tc>
      </w:tr>
      <w:tr w14:paraId="78BD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943" w:type="pct"/>
            <w:vAlign w:val="center"/>
          </w:tcPr>
          <w:p w14:paraId="70CB079A">
            <w:pPr>
              <w:adjustRightInd w:val="0"/>
              <w:snapToGrid w:val="0"/>
              <w:jc w:val="center"/>
              <w:rPr>
                <w:rFonts w:hint="eastAsia" w:cs="宋体"/>
                <w:b/>
                <w:bCs/>
                <w:szCs w:val="21"/>
              </w:rPr>
            </w:pPr>
            <w:r>
              <w:rPr>
                <w:rFonts w:hint="eastAsia" w:cs="宋体"/>
                <w:b/>
                <w:bCs/>
                <w:szCs w:val="21"/>
              </w:rPr>
              <w:t>第二节</w:t>
            </w:r>
          </w:p>
          <w:p w14:paraId="37EF9A47">
            <w:pPr>
              <w:adjustRightInd w:val="0"/>
              <w:snapToGrid w:val="0"/>
              <w:jc w:val="center"/>
              <w:rPr>
                <w:rFonts w:hint="eastAsia" w:cs="宋体"/>
                <w:b/>
                <w:bCs/>
                <w:szCs w:val="21"/>
              </w:rPr>
            </w:pPr>
            <w:r>
              <w:rPr>
                <w:rFonts w:hint="eastAsia" w:cs="宋体"/>
                <w:b/>
                <w:bCs/>
                <w:szCs w:val="21"/>
              </w:rPr>
              <w:t>第12.2款</w:t>
            </w:r>
          </w:p>
        </w:tc>
        <w:tc>
          <w:tcPr>
            <w:tcW w:w="1022" w:type="pct"/>
            <w:vAlign w:val="center"/>
          </w:tcPr>
          <w:p w14:paraId="7DFE6F07">
            <w:pPr>
              <w:adjustRightInd w:val="0"/>
              <w:snapToGrid w:val="0"/>
              <w:jc w:val="left"/>
              <w:rPr>
                <w:rFonts w:hint="eastAsia" w:cs="宋体"/>
                <w:b/>
                <w:bCs/>
                <w:szCs w:val="21"/>
              </w:rPr>
            </w:pPr>
            <w:r>
              <w:rPr>
                <w:rFonts w:hint="eastAsia" w:cs="宋体"/>
                <w:b/>
                <w:bCs/>
                <w:szCs w:val="21"/>
              </w:rPr>
              <w:t>合同价款支付时间</w:t>
            </w:r>
          </w:p>
        </w:tc>
        <w:tc>
          <w:tcPr>
            <w:tcW w:w="3035" w:type="pct"/>
            <w:vAlign w:val="center"/>
          </w:tcPr>
          <w:p w14:paraId="138537E3">
            <w:pPr>
              <w:snapToGrid w:val="0"/>
              <w:rPr>
                <w:rFonts w:hint="eastAsia" w:cs="宋体"/>
                <w:szCs w:val="21"/>
                <w:u w:val="single"/>
              </w:rPr>
            </w:pPr>
            <w:r>
              <w:rPr>
                <w:rFonts w:hint="eastAsia" w:cs="宋体"/>
                <w:szCs w:val="21"/>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tc>
      </w:tr>
      <w:tr w14:paraId="39C2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5FE78A4A">
            <w:pPr>
              <w:adjustRightInd w:val="0"/>
              <w:snapToGrid w:val="0"/>
              <w:jc w:val="center"/>
              <w:rPr>
                <w:rFonts w:hint="eastAsia" w:cs="宋体"/>
                <w:b/>
                <w:bCs/>
                <w:szCs w:val="21"/>
              </w:rPr>
            </w:pPr>
            <w:r>
              <w:rPr>
                <w:rFonts w:hint="eastAsia" w:cs="宋体"/>
                <w:b/>
                <w:bCs/>
                <w:szCs w:val="21"/>
              </w:rPr>
              <w:t>第二节</w:t>
            </w:r>
          </w:p>
          <w:p w14:paraId="50B111F9">
            <w:pPr>
              <w:adjustRightInd w:val="0"/>
              <w:snapToGrid w:val="0"/>
              <w:jc w:val="center"/>
              <w:rPr>
                <w:rFonts w:hint="eastAsia" w:cs="宋体"/>
                <w:b/>
                <w:bCs/>
                <w:szCs w:val="21"/>
              </w:rPr>
            </w:pPr>
            <w:r>
              <w:rPr>
                <w:rFonts w:hint="eastAsia" w:cs="宋体"/>
                <w:b/>
                <w:bCs/>
                <w:szCs w:val="21"/>
              </w:rPr>
              <w:t>第14.1（3）项</w:t>
            </w:r>
          </w:p>
        </w:tc>
        <w:tc>
          <w:tcPr>
            <w:tcW w:w="1022" w:type="pct"/>
            <w:vAlign w:val="center"/>
          </w:tcPr>
          <w:p w14:paraId="340B562C">
            <w:pPr>
              <w:adjustRightInd w:val="0"/>
              <w:snapToGrid w:val="0"/>
              <w:jc w:val="left"/>
              <w:rPr>
                <w:rFonts w:hint="eastAsia" w:cs="宋体"/>
                <w:b/>
                <w:bCs/>
                <w:szCs w:val="21"/>
              </w:rPr>
            </w:pPr>
            <w:r>
              <w:rPr>
                <w:rFonts w:hint="eastAsia" w:cs="宋体"/>
                <w:b/>
                <w:bCs/>
                <w:szCs w:val="21"/>
              </w:rPr>
              <w:t>运行监督、维修期限</w:t>
            </w:r>
          </w:p>
        </w:tc>
        <w:tc>
          <w:tcPr>
            <w:tcW w:w="3035" w:type="pct"/>
            <w:vAlign w:val="center"/>
          </w:tcPr>
          <w:p w14:paraId="31F5B239">
            <w:pPr>
              <w:adjustRightInd w:val="0"/>
              <w:snapToGrid w:val="0"/>
              <w:jc w:val="left"/>
              <w:rPr>
                <w:rFonts w:hint="eastAsia" w:cs="宋体"/>
                <w:szCs w:val="21"/>
              </w:rPr>
            </w:pPr>
            <w:r>
              <w:rPr>
                <w:rFonts w:hint="eastAsia"/>
                <w:szCs w:val="21"/>
              </w:rPr>
              <w:t>设备24小时内不能修复的，乙方提供备用产品，并保证48小时内将备用产品送至指定位置。</w:t>
            </w:r>
          </w:p>
        </w:tc>
      </w:tr>
      <w:tr w14:paraId="0AE68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08C49D0C">
            <w:pPr>
              <w:adjustRightInd w:val="0"/>
              <w:snapToGrid w:val="0"/>
              <w:jc w:val="center"/>
              <w:rPr>
                <w:rFonts w:hint="eastAsia" w:cs="宋体"/>
                <w:b/>
                <w:bCs/>
                <w:szCs w:val="21"/>
              </w:rPr>
            </w:pPr>
            <w:r>
              <w:rPr>
                <w:rFonts w:hint="eastAsia" w:cs="宋体"/>
                <w:b/>
                <w:bCs/>
                <w:szCs w:val="21"/>
              </w:rPr>
              <w:t>第二节</w:t>
            </w:r>
          </w:p>
          <w:p w14:paraId="79C98935">
            <w:pPr>
              <w:adjustRightInd w:val="0"/>
              <w:snapToGrid w:val="0"/>
              <w:jc w:val="center"/>
              <w:rPr>
                <w:rFonts w:hint="eastAsia" w:cs="宋体"/>
                <w:b/>
                <w:bCs/>
                <w:szCs w:val="21"/>
              </w:rPr>
            </w:pPr>
            <w:r>
              <w:rPr>
                <w:rFonts w:hint="eastAsia" w:cs="宋体"/>
                <w:b/>
                <w:bCs/>
                <w:szCs w:val="21"/>
              </w:rPr>
              <w:t>第14.1（5）项</w:t>
            </w:r>
          </w:p>
        </w:tc>
        <w:tc>
          <w:tcPr>
            <w:tcW w:w="1022" w:type="pct"/>
            <w:vAlign w:val="center"/>
          </w:tcPr>
          <w:p w14:paraId="43A1AAC4">
            <w:pPr>
              <w:adjustRightInd w:val="0"/>
              <w:snapToGrid w:val="0"/>
              <w:jc w:val="left"/>
              <w:rPr>
                <w:rFonts w:hint="eastAsia" w:cs="宋体"/>
                <w:b/>
                <w:bCs/>
                <w:szCs w:val="21"/>
              </w:rPr>
            </w:pPr>
            <w:r>
              <w:rPr>
                <w:rFonts w:hint="eastAsia" w:cs="宋体"/>
                <w:b/>
                <w:bCs/>
                <w:szCs w:val="21"/>
              </w:rPr>
              <w:t>货物回收的约定</w:t>
            </w:r>
          </w:p>
        </w:tc>
        <w:tc>
          <w:tcPr>
            <w:tcW w:w="3035" w:type="pct"/>
            <w:vAlign w:val="center"/>
          </w:tcPr>
          <w:p w14:paraId="2C210C6D">
            <w:pPr>
              <w:adjustRightInd w:val="0"/>
              <w:snapToGrid w:val="0"/>
              <w:jc w:val="left"/>
              <w:rPr>
                <w:rFonts w:hint="eastAsia" w:cs="宋体"/>
                <w:szCs w:val="21"/>
              </w:rPr>
            </w:pPr>
            <w:r>
              <w:rPr>
                <w:rFonts w:hint="eastAsia" w:cs="宋体"/>
                <w:szCs w:val="21"/>
              </w:rPr>
              <w:t>所有设备在质保期内，如非人为原因而出现的产品质量问题，维修三次后仍然有故障，则必须无条件更换同品牌、同型号的新设备或作退货处理。</w:t>
            </w:r>
          </w:p>
        </w:tc>
      </w:tr>
      <w:tr w14:paraId="0289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915BE25">
            <w:pPr>
              <w:adjustRightInd w:val="0"/>
              <w:snapToGrid w:val="0"/>
              <w:jc w:val="center"/>
              <w:rPr>
                <w:rFonts w:hint="eastAsia" w:cs="宋体"/>
                <w:b/>
                <w:bCs/>
                <w:szCs w:val="21"/>
              </w:rPr>
            </w:pPr>
            <w:r>
              <w:rPr>
                <w:rFonts w:hint="eastAsia" w:cs="宋体"/>
                <w:b/>
                <w:bCs/>
                <w:szCs w:val="21"/>
              </w:rPr>
              <w:t>第二节</w:t>
            </w:r>
          </w:p>
          <w:p w14:paraId="622C69DB">
            <w:pPr>
              <w:adjustRightInd w:val="0"/>
              <w:snapToGrid w:val="0"/>
              <w:jc w:val="center"/>
              <w:rPr>
                <w:rFonts w:hint="eastAsia" w:cs="宋体"/>
                <w:b/>
                <w:bCs/>
                <w:szCs w:val="21"/>
              </w:rPr>
            </w:pPr>
            <w:r>
              <w:rPr>
                <w:rFonts w:hint="eastAsia" w:cs="宋体"/>
                <w:b/>
                <w:bCs/>
                <w:szCs w:val="21"/>
              </w:rPr>
              <w:t>第14.1（6）项</w:t>
            </w:r>
          </w:p>
        </w:tc>
        <w:tc>
          <w:tcPr>
            <w:tcW w:w="1022" w:type="pct"/>
            <w:vAlign w:val="center"/>
          </w:tcPr>
          <w:p w14:paraId="5CE5DD49">
            <w:pPr>
              <w:adjustRightInd w:val="0"/>
              <w:snapToGrid w:val="0"/>
              <w:jc w:val="left"/>
              <w:rPr>
                <w:rFonts w:hint="eastAsia" w:cs="宋体"/>
                <w:b/>
                <w:bCs/>
                <w:szCs w:val="21"/>
              </w:rPr>
            </w:pPr>
            <w:r>
              <w:rPr>
                <w:rFonts w:hint="eastAsia" w:cs="宋体"/>
                <w:b/>
                <w:bCs/>
                <w:szCs w:val="21"/>
              </w:rPr>
              <w:t>乙方提供的其他服务</w:t>
            </w:r>
          </w:p>
        </w:tc>
        <w:tc>
          <w:tcPr>
            <w:tcW w:w="3035" w:type="pct"/>
            <w:vAlign w:val="center"/>
          </w:tcPr>
          <w:p w14:paraId="7967147B">
            <w:pPr>
              <w:adjustRightInd w:val="0"/>
              <w:snapToGrid w:val="0"/>
              <w:jc w:val="left"/>
              <w:rPr>
                <w:rFonts w:hint="eastAsia" w:cs="宋体"/>
                <w:szCs w:val="21"/>
              </w:rPr>
            </w:pPr>
            <w:r>
              <w:rPr>
                <w:rFonts w:hint="eastAsia"/>
                <w:bCs/>
                <w:szCs w:val="21"/>
              </w:rPr>
              <w:t>乙方负责送货上门，安装调试，收到货后</w:t>
            </w:r>
            <w:r>
              <w:rPr>
                <w:bCs/>
                <w:szCs w:val="21"/>
              </w:rPr>
              <w:t>24小时内派专人到指定地点培训操作人员</w:t>
            </w:r>
            <w:r>
              <w:rPr>
                <w:rFonts w:hint="eastAsia"/>
                <w:bCs/>
                <w:szCs w:val="21"/>
              </w:rPr>
              <w:t>。</w:t>
            </w:r>
          </w:p>
        </w:tc>
      </w:tr>
      <w:tr w14:paraId="3B40D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74D1E08A">
            <w:pPr>
              <w:adjustRightInd w:val="0"/>
              <w:snapToGrid w:val="0"/>
              <w:jc w:val="center"/>
              <w:rPr>
                <w:rFonts w:hint="eastAsia" w:cs="宋体"/>
                <w:b/>
                <w:bCs/>
                <w:szCs w:val="21"/>
              </w:rPr>
            </w:pPr>
            <w:r>
              <w:rPr>
                <w:rFonts w:hint="eastAsia" w:cs="宋体"/>
                <w:b/>
                <w:bCs/>
                <w:szCs w:val="21"/>
              </w:rPr>
              <w:t>第二节</w:t>
            </w:r>
          </w:p>
          <w:p w14:paraId="32A00F50">
            <w:pPr>
              <w:adjustRightInd w:val="0"/>
              <w:snapToGrid w:val="0"/>
              <w:jc w:val="center"/>
              <w:rPr>
                <w:rFonts w:hint="eastAsia" w:cs="宋体"/>
                <w:b/>
                <w:bCs/>
                <w:szCs w:val="21"/>
              </w:rPr>
            </w:pPr>
            <w:r>
              <w:rPr>
                <w:rFonts w:hint="eastAsia" w:cs="宋体"/>
                <w:b/>
                <w:bCs/>
                <w:szCs w:val="21"/>
              </w:rPr>
              <w:t>第15.1款</w:t>
            </w:r>
          </w:p>
        </w:tc>
        <w:tc>
          <w:tcPr>
            <w:tcW w:w="1022" w:type="pct"/>
            <w:vAlign w:val="center"/>
          </w:tcPr>
          <w:p w14:paraId="41784050">
            <w:pPr>
              <w:adjustRightInd w:val="0"/>
              <w:snapToGrid w:val="0"/>
              <w:jc w:val="left"/>
              <w:rPr>
                <w:rFonts w:hint="eastAsia" w:cs="宋体"/>
                <w:b/>
                <w:bCs/>
                <w:szCs w:val="21"/>
              </w:rPr>
            </w:pPr>
            <w:r>
              <w:rPr>
                <w:rFonts w:hint="eastAsia" w:cs="宋体"/>
                <w:b/>
                <w:bCs/>
                <w:szCs w:val="21"/>
              </w:rPr>
              <w:t>修理、重作、更换相关具体规定</w:t>
            </w:r>
          </w:p>
        </w:tc>
        <w:tc>
          <w:tcPr>
            <w:tcW w:w="3035" w:type="pct"/>
            <w:vAlign w:val="center"/>
          </w:tcPr>
          <w:p w14:paraId="3D480525">
            <w:pPr>
              <w:autoSpaceDE w:val="0"/>
              <w:autoSpaceDN w:val="0"/>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0EFA2C3E">
            <w:pPr>
              <w:autoSpaceDE w:val="0"/>
              <w:autoSpaceDN w:val="0"/>
              <w:adjustRightInd w:val="0"/>
              <w:snapToGrid w:val="0"/>
              <w:jc w:val="left"/>
              <w:rPr>
                <w:rFonts w:hint="eastAsia" w:cs="宋体"/>
                <w:szCs w:val="21"/>
              </w:rPr>
            </w:pPr>
            <w:r>
              <w:rPr>
                <w:rFonts w:hint="eastAsia" w:cs="宋体"/>
                <w:szCs w:val="21"/>
              </w:rPr>
              <w:t>2.所有设备在质保期内，如非人为原因而出现的产品质量问题，维修三次后仍然有故障，则必须无条件更换同品牌、同型号的新设备或作退货处理。</w:t>
            </w:r>
          </w:p>
          <w:p w14:paraId="2E800B29">
            <w:pPr>
              <w:autoSpaceDE w:val="0"/>
              <w:autoSpaceDN w:val="0"/>
              <w:adjustRightInd w:val="0"/>
              <w:snapToGrid w:val="0"/>
              <w:jc w:val="left"/>
              <w:rPr>
                <w:rFonts w:hint="eastAsia" w:cs="宋体"/>
                <w:szCs w:val="21"/>
              </w:rPr>
            </w:pPr>
            <w:r>
              <w:rPr>
                <w:rFonts w:hint="eastAsia" w:cs="宋体"/>
                <w:szCs w:val="21"/>
              </w:rPr>
              <w:t>3</w:t>
            </w:r>
            <w:r>
              <w:rPr>
                <w:rFonts w:cs="宋体"/>
                <w:szCs w:val="21"/>
              </w:rPr>
              <w:t>.</w:t>
            </w:r>
            <w:r>
              <w:rPr>
                <w:rFonts w:hint="eastAsia" w:cs="宋体"/>
                <w:szCs w:val="21"/>
              </w:rPr>
              <w:t>质保期内，乙方进行设备维修时，对原有装饰装修造成损坏的或需其他工种配合的，乙方需支付相关的费用。</w:t>
            </w:r>
          </w:p>
          <w:p w14:paraId="0138E60F">
            <w:pPr>
              <w:autoSpaceDE w:val="0"/>
              <w:autoSpaceDN w:val="0"/>
              <w:adjustRightInd w:val="0"/>
              <w:snapToGrid w:val="0"/>
              <w:jc w:val="left"/>
              <w:rPr>
                <w:rFonts w:hint="eastAsia" w:cs="宋体"/>
                <w:szCs w:val="21"/>
              </w:rPr>
            </w:pPr>
            <w:r>
              <w:rPr>
                <w:rFonts w:hint="eastAsia" w:cs="宋体"/>
                <w:szCs w:val="21"/>
              </w:rPr>
              <w:t>4</w:t>
            </w:r>
            <w:r>
              <w:rPr>
                <w:rFonts w:cs="宋体"/>
                <w:szCs w:val="21"/>
              </w:rPr>
              <w:t>.</w:t>
            </w:r>
            <w:r>
              <w:rPr>
                <w:rFonts w:hint="eastAsia" w:cs="宋体"/>
                <w:szCs w:val="21"/>
              </w:rPr>
              <w:t>质保期内，由于设备质量因素而造成的损坏，均由乙方负责维修和更换备件。</w:t>
            </w:r>
          </w:p>
          <w:p w14:paraId="7EDE8FD5">
            <w:pPr>
              <w:adjustRightInd w:val="0"/>
              <w:snapToGrid w:val="0"/>
              <w:jc w:val="left"/>
              <w:rPr>
                <w:rFonts w:hint="eastAsia" w:cs="宋体"/>
                <w:szCs w:val="21"/>
              </w:rPr>
            </w:pPr>
            <w:r>
              <w:rPr>
                <w:rFonts w:hint="eastAsia" w:cs="宋体"/>
                <w:szCs w:val="21"/>
              </w:rPr>
              <w:t>5</w:t>
            </w:r>
            <w:r>
              <w:rPr>
                <w:rFonts w:cs="宋体"/>
                <w:szCs w:val="21"/>
              </w:rPr>
              <w:t>.</w:t>
            </w:r>
            <w:r>
              <w:rPr>
                <w:rFonts w:hint="eastAsia" w:cs="宋体"/>
                <w:szCs w:val="21"/>
              </w:rPr>
              <w:t>若质保期内出现设备、材料质量问题（非设备本身质量造成的缺陷或非供货单位施工责任造成的缺陷除外）按修复更换后的日期重新开始计算质保期。质保期内，乙方须负责修复更换。</w:t>
            </w:r>
          </w:p>
        </w:tc>
      </w:tr>
      <w:tr w14:paraId="5FF2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2461BD0">
            <w:pPr>
              <w:adjustRightInd w:val="0"/>
              <w:snapToGrid w:val="0"/>
              <w:jc w:val="center"/>
              <w:rPr>
                <w:rFonts w:hint="eastAsia" w:cs="宋体"/>
                <w:b/>
                <w:bCs/>
                <w:szCs w:val="21"/>
              </w:rPr>
            </w:pPr>
            <w:r>
              <w:rPr>
                <w:rFonts w:hint="eastAsia" w:cs="宋体"/>
                <w:b/>
                <w:bCs/>
                <w:szCs w:val="21"/>
              </w:rPr>
              <w:t>第二节</w:t>
            </w:r>
          </w:p>
          <w:p w14:paraId="16A5CC89">
            <w:pPr>
              <w:adjustRightInd w:val="0"/>
              <w:snapToGrid w:val="0"/>
              <w:jc w:val="center"/>
              <w:rPr>
                <w:rFonts w:hint="eastAsia" w:cs="宋体"/>
                <w:b/>
                <w:bCs/>
                <w:szCs w:val="21"/>
              </w:rPr>
            </w:pPr>
            <w:r>
              <w:rPr>
                <w:rFonts w:hint="eastAsia" w:cs="宋体"/>
                <w:b/>
                <w:bCs/>
                <w:szCs w:val="21"/>
              </w:rPr>
              <w:t>第15.2（2）项</w:t>
            </w:r>
          </w:p>
        </w:tc>
        <w:tc>
          <w:tcPr>
            <w:tcW w:w="1022" w:type="pct"/>
            <w:vAlign w:val="center"/>
          </w:tcPr>
          <w:p w14:paraId="71A472AB">
            <w:pPr>
              <w:adjustRightInd w:val="0"/>
              <w:snapToGrid w:val="0"/>
              <w:jc w:val="left"/>
              <w:rPr>
                <w:rFonts w:hint="eastAsia" w:cs="宋体"/>
                <w:b/>
                <w:bCs/>
                <w:szCs w:val="21"/>
              </w:rPr>
            </w:pPr>
            <w:r>
              <w:rPr>
                <w:rFonts w:hint="eastAsia" w:cs="宋体"/>
                <w:b/>
                <w:bCs/>
                <w:szCs w:val="21"/>
              </w:rPr>
              <w:t>迟延交货赔偿费</w:t>
            </w:r>
          </w:p>
        </w:tc>
        <w:tc>
          <w:tcPr>
            <w:tcW w:w="3035" w:type="pct"/>
            <w:vAlign w:val="center"/>
          </w:tcPr>
          <w:p w14:paraId="4CCFEE3A">
            <w:pPr>
              <w:adjustRightInd w:val="0"/>
              <w:snapToGrid w:val="0"/>
              <w:jc w:val="left"/>
              <w:rPr>
                <w:rFonts w:hint="eastAsia" w:cs="宋体"/>
                <w:szCs w:val="21"/>
                <w:u w:val="single"/>
              </w:rPr>
            </w:pPr>
            <w:r>
              <w:rPr>
                <w:rFonts w:hint="eastAsia"/>
                <w:szCs w:val="21"/>
              </w:rPr>
              <w:t>除发生不可抗力事实外，乙方不能按期交付产品或所交产品与本合同标准不相符合的，甲方有权拒收产品，逾期交货将向甲方每日偿付合同总额0.2%的滞纳金。逾期交货超过30天的，甲方保留解除合同的权力。因乙方不能按期交付和完成安装调试，或安装调试与合同要求不符使甲方造成经济损失的应依法赔偿。</w:t>
            </w:r>
          </w:p>
        </w:tc>
      </w:tr>
      <w:tr w14:paraId="6A410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0693D20C">
            <w:pPr>
              <w:adjustRightInd w:val="0"/>
              <w:snapToGrid w:val="0"/>
              <w:jc w:val="center"/>
              <w:rPr>
                <w:rFonts w:hint="eastAsia" w:cs="宋体"/>
                <w:b/>
                <w:bCs/>
                <w:szCs w:val="21"/>
              </w:rPr>
            </w:pPr>
            <w:r>
              <w:rPr>
                <w:rFonts w:hint="eastAsia" w:cs="宋体"/>
                <w:b/>
                <w:bCs/>
                <w:szCs w:val="21"/>
              </w:rPr>
              <w:t>第二节</w:t>
            </w:r>
          </w:p>
          <w:p w14:paraId="6FEDCB2E">
            <w:pPr>
              <w:adjustRightInd w:val="0"/>
              <w:snapToGrid w:val="0"/>
              <w:jc w:val="center"/>
              <w:rPr>
                <w:rFonts w:hint="eastAsia" w:cs="宋体"/>
                <w:b/>
                <w:bCs/>
                <w:szCs w:val="21"/>
              </w:rPr>
            </w:pPr>
            <w:r>
              <w:rPr>
                <w:rFonts w:hint="eastAsia" w:cs="宋体"/>
                <w:b/>
                <w:bCs/>
                <w:szCs w:val="21"/>
              </w:rPr>
              <w:t>第15.3款</w:t>
            </w:r>
          </w:p>
        </w:tc>
        <w:tc>
          <w:tcPr>
            <w:tcW w:w="1022" w:type="pct"/>
            <w:vAlign w:val="center"/>
          </w:tcPr>
          <w:p w14:paraId="1098A617">
            <w:pPr>
              <w:adjustRightInd w:val="0"/>
              <w:snapToGrid w:val="0"/>
              <w:jc w:val="left"/>
              <w:rPr>
                <w:rFonts w:hint="eastAsia" w:cs="宋体"/>
                <w:b/>
                <w:bCs/>
                <w:szCs w:val="21"/>
              </w:rPr>
            </w:pPr>
            <w:r>
              <w:rPr>
                <w:rFonts w:hint="eastAsia" w:cs="宋体"/>
                <w:b/>
                <w:bCs/>
                <w:szCs w:val="21"/>
              </w:rPr>
              <w:t>逾期付款利息</w:t>
            </w:r>
          </w:p>
        </w:tc>
        <w:tc>
          <w:tcPr>
            <w:tcW w:w="3035" w:type="pct"/>
            <w:vAlign w:val="center"/>
          </w:tcPr>
          <w:p w14:paraId="4B2875EE">
            <w:pPr>
              <w:adjustRightInd w:val="0"/>
              <w:snapToGrid w:val="0"/>
              <w:rPr>
                <w:rFonts w:hint="eastAsia" w:cs="宋体"/>
                <w:szCs w:val="21"/>
                <w:u w:val="single"/>
              </w:rPr>
            </w:pPr>
            <w:r>
              <w:rPr>
                <w:rFonts w:hint="eastAsia"/>
                <w:szCs w:val="21"/>
              </w:rPr>
              <w:t>甲方无正当理由拒收货品，甲方向乙方偿付合同款总价</w:t>
            </w:r>
            <w:r>
              <w:rPr>
                <w:rFonts w:hint="eastAsia"/>
                <w:szCs w:val="21"/>
                <w:u w:val="single"/>
              </w:rPr>
              <w:t xml:space="preserve">   %</w:t>
            </w:r>
            <w:r>
              <w:rPr>
                <w:rFonts w:hint="eastAsia"/>
                <w:szCs w:val="21"/>
              </w:rPr>
              <w:t>的违约金；逾期支付合同款将向乙方每日偿付欠款总额</w:t>
            </w:r>
            <w:r>
              <w:rPr>
                <w:rFonts w:hint="eastAsia"/>
                <w:szCs w:val="21"/>
                <w:u w:val="single"/>
              </w:rPr>
              <w:t xml:space="preserve">   %</w:t>
            </w:r>
            <w:r>
              <w:rPr>
                <w:rFonts w:hint="eastAsia"/>
                <w:szCs w:val="21"/>
              </w:rPr>
              <w:t>的滞纳金。</w:t>
            </w:r>
          </w:p>
        </w:tc>
      </w:tr>
      <w:tr w14:paraId="40D16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943" w:type="pct"/>
            <w:vAlign w:val="center"/>
          </w:tcPr>
          <w:p w14:paraId="5ABA550D">
            <w:pPr>
              <w:adjustRightInd w:val="0"/>
              <w:snapToGrid w:val="0"/>
              <w:jc w:val="center"/>
              <w:rPr>
                <w:rFonts w:hint="eastAsia" w:cs="宋体"/>
                <w:b/>
                <w:bCs/>
                <w:szCs w:val="21"/>
              </w:rPr>
            </w:pPr>
            <w:r>
              <w:rPr>
                <w:rFonts w:hint="eastAsia" w:cs="宋体"/>
                <w:b/>
                <w:bCs/>
                <w:szCs w:val="21"/>
              </w:rPr>
              <w:t>第二节</w:t>
            </w:r>
          </w:p>
          <w:p w14:paraId="395DAC70">
            <w:pPr>
              <w:adjustRightInd w:val="0"/>
              <w:snapToGrid w:val="0"/>
              <w:jc w:val="center"/>
              <w:rPr>
                <w:rFonts w:hint="eastAsia" w:cs="宋体"/>
                <w:b/>
                <w:bCs/>
                <w:szCs w:val="21"/>
              </w:rPr>
            </w:pPr>
            <w:r>
              <w:rPr>
                <w:rFonts w:hint="eastAsia" w:cs="宋体"/>
                <w:b/>
                <w:bCs/>
                <w:szCs w:val="21"/>
              </w:rPr>
              <w:t>第15.4款</w:t>
            </w:r>
          </w:p>
        </w:tc>
        <w:tc>
          <w:tcPr>
            <w:tcW w:w="1022" w:type="pct"/>
            <w:vAlign w:val="center"/>
          </w:tcPr>
          <w:p w14:paraId="59AD20EC">
            <w:pPr>
              <w:adjustRightInd w:val="0"/>
              <w:snapToGrid w:val="0"/>
              <w:jc w:val="left"/>
              <w:rPr>
                <w:rFonts w:hint="eastAsia" w:cs="宋体"/>
                <w:b/>
                <w:bCs/>
                <w:szCs w:val="21"/>
              </w:rPr>
            </w:pPr>
            <w:r>
              <w:rPr>
                <w:rFonts w:hint="eastAsia" w:cs="宋体"/>
                <w:b/>
                <w:bCs/>
                <w:szCs w:val="21"/>
              </w:rPr>
              <w:t>其他违约责任</w:t>
            </w:r>
          </w:p>
        </w:tc>
        <w:tc>
          <w:tcPr>
            <w:tcW w:w="3035" w:type="pct"/>
            <w:vAlign w:val="center"/>
          </w:tcPr>
          <w:p w14:paraId="61D4EE93">
            <w:pPr>
              <w:adjustRightInd w:val="0"/>
              <w:snapToGrid w:val="0"/>
              <w:jc w:val="left"/>
              <w:rPr>
                <w:rFonts w:hint="eastAsia" w:cs="宋体"/>
                <w:szCs w:val="21"/>
                <w:u w:val="single"/>
              </w:rPr>
            </w:pPr>
          </w:p>
        </w:tc>
      </w:tr>
      <w:tr w14:paraId="014C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43" w:type="pct"/>
            <w:vAlign w:val="center"/>
          </w:tcPr>
          <w:p w14:paraId="3D3752BA">
            <w:pPr>
              <w:adjustRightInd w:val="0"/>
              <w:snapToGrid w:val="0"/>
              <w:jc w:val="center"/>
              <w:rPr>
                <w:rFonts w:hint="eastAsia" w:cs="宋体"/>
                <w:b/>
                <w:bCs/>
                <w:szCs w:val="21"/>
              </w:rPr>
            </w:pPr>
            <w:r>
              <w:rPr>
                <w:rFonts w:hint="eastAsia" w:cs="宋体"/>
                <w:b/>
                <w:bCs/>
                <w:szCs w:val="21"/>
              </w:rPr>
              <w:t>第二节</w:t>
            </w:r>
          </w:p>
          <w:p w14:paraId="0E6D77B9">
            <w:pPr>
              <w:adjustRightInd w:val="0"/>
              <w:snapToGrid w:val="0"/>
              <w:jc w:val="center"/>
              <w:rPr>
                <w:rFonts w:hint="eastAsia" w:cs="宋体"/>
                <w:b/>
                <w:bCs/>
                <w:szCs w:val="21"/>
              </w:rPr>
            </w:pPr>
            <w:r>
              <w:rPr>
                <w:rFonts w:hint="eastAsia" w:cs="宋体"/>
                <w:b/>
                <w:bCs/>
                <w:szCs w:val="21"/>
              </w:rPr>
              <w:t>第19.2款</w:t>
            </w:r>
          </w:p>
        </w:tc>
        <w:tc>
          <w:tcPr>
            <w:tcW w:w="1022" w:type="pct"/>
            <w:vAlign w:val="center"/>
          </w:tcPr>
          <w:p w14:paraId="1896B8FE">
            <w:pPr>
              <w:adjustRightInd w:val="0"/>
              <w:snapToGrid w:val="0"/>
              <w:jc w:val="left"/>
              <w:rPr>
                <w:rFonts w:hint="eastAsia" w:cs="宋体"/>
                <w:b/>
                <w:bCs/>
                <w:szCs w:val="21"/>
              </w:rPr>
            </w:pPr>
            <w:r>
              <w:rPr>
                <w:rFonts w:hint="eastAsia" w:cs="宋体"/>
                <w:b/>
                <w:bCs/>
                <w:szCs w:val="21"/>
              </w:rPr>
              <w:t>解决争议的方法</w:t>
            </w:r>
          </w:p>
        </w:tc>
        <w:tc>
          <w:tcPr>
            <w:tcW w:w="3035" w:type="pct"/>
            <w:vAlign w:val="center"/>
          </w:tcPr>
          <w:p w14:paraId="6943B85F">
            <w:pPr>
              <w:adjustRightInd w:val="0"/>
              <w:snapToGrid w:val="0"/>
              <w:jc w:val="left"/>
              <w:rPr>
                <w:rFonts w:hint="eastAsia" w:cs="宋体"/>
                <w:szCs w:val="21"/>
              </w:rPr>
            </w:pPr>
            <w:r>
              <w:rPr>
                <w:rFonts w:hint="eastAsia" w:cs="宋体"/>
                <w:szCs w:val="21"/>
              </w:rPr>
              <w:t>因本合同及合同有关事项发生的争议，按下列第（2）种方式解决：</w:t>
            </w:r>
          </w:p>
          <w:p w14:paraId="6604F504">
            <w:pPr>
              <w:adjustRightInd w:val="0"/>
              <w:snapToGrid w:val="0"/>
              <w:jc w:val="left"/>
              <w:rPr>
                <w:rFonts w:hint="eastAsia" w:cs="宋体"/>
                <w:szCs w:val="21"/>
              </w:rPr>
            </w:pPr>
            <w:r>
              <w:rPr>
                <w:rFonts w:hint="eastAsia" w:cs="宋体"/>
                <w:szCs w:val="21"/>
              </w:rPr>
              <w:t>（1）向</w:t>
            </w:r>
            <w:r>
              <w:rPr>
                <w:rFonts w:hint="eastAsia" w:cs="宋体"/>
                <w:szCs w:val="21"/>
                <w:u w:val="single"/>
              </w:rPr>
              <w:t xml:space="preserve"> 甲方所在地 </w:t>
            </w:r>
            <w:r>
              <w:rPr>
                <w:rFonts w:hint="eastAsia" w:cs="宋体"/>
                <w:szCs w:val="21"/>
              </w:rPr>
              <w:t>仲裁委员会申请仲裁；</w:t>
            </w:r>
          </w:p>
          <w:p w14:paraId="673898DB">
            <w:pPr>
              <w:adjustRightInd w:val="0"/>
              <w:snapToGrid w:val="0"/>
              <w:jc w:val="left"/>
              <w:rPr>
                <w:rFonts w:hint="eastAsia" w:cs="宋体"/>
                <w:szCs w:val="21"/>
                <w:u w:val="single"/>
              </w:rPr>
            </w:pPr>
            <w:r>
              <w:rPr>
                <w:rFonts w:hint="eastAsia" w:cs="宋体"/>
                <w:szCs w:val="21"/>
              </w:rPr>
              <w:t>（2）向</w:t>
            </w:r>
            <w:r>
              <w:rPr>
                <w:rFonts w:hint="eastAsia" w:cs="宋体"/>
                <w:szCs w:val="21"/>
                <w:u w:val="single"/>
              </w:rPr>
              <w:t xml:space="preserve"> 甲方所在地 </w:t>
            </w:r>
            <w:r>
              <w:rPr>
                <w:rFonts w:hint="eastAsia" w:cs="宋体"/>
                <w:szCs w:val="21"/>
              </w:rPr>
              <w:t>人民法院起诉。</w:t>
            </w:r>
          </w:p>
        </w:tc>
      </w:tr>
      <w:tr w14:paraId="0D416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943" w:type="pct"/>
            <w:vAlign w:val="center"/>
          </w:tcPr>
          <w:p w14:paraId="00321569">
            <w:pPr>
              <w:adjustRightInd w:val="0"/>
              <w:snapToGrid w:val="0"/>
              <w:jc w:val="center"/>
              <w:rPr>
                <w:rFonts w:hint="eastAsia" w:cs="宋体"/>
                <w:b/>
                <w:bCs/>
                <w:szCs w:val="21"/>
              </w:rPr>
            </w:pPr>
            <w:r>
              <w:rPr>
                <w:rFonts w:hint="eastAsia" w:cs="宋体"/>
                <w:b/>
                <w:bCs/>
                <w:szCs w:val="21"/>
              </w:rPr>
              <w:t>第二节</w:t>
            </w:r>
          </w:p>
          <w:p w14:paraId="1C6BFC05">
            <w:pPr>
              <w:adjustRightInd w:val="0"/>
              <w:snapToGrid w:val="0"/>
              <w:jc w:val="center"/>
              <w:rPr>
                <w:rFonts w:hint="eastAsia" w:cs="宋体"/>
                <w:b/>
                <w:bCs/>
                <w:szCs w:val="21"/>
              </w:rPr>
            </w:pPr>
            <w:r>
              <w:rPr>
                <w:rFonts w:hint="eastAsia" w:cs="宋体"/>
                <w:b/>
                <w:bCs/>
                <w:szCs w:val="21"/>
              </w:rPr>
              <w:t>第23.1款</w:t>
            </w:r>
          </w:p>
        </w:tc>
        <w:tc>
          <w:tcPr>
            <w:tcW w:w="1022" w:type="pct"/>
            <w:vAlign w:val="center"/>
          </w:tcPr>
          <w:p w14:paraId="75B0047F">
            <w:pPr>
              <w:adjustRightInd w:val="0"/>
              <w:snapToGrid w:val="0"/>
              <w:jc w:val="left"/>
              <w:rPr>
                <w:rFonts w:hint="eastAsia" w:cs="宋体"/>
                <w:b/>
                <w:bCs/>
                <w:szCs w:val="21"/>
              </w:rPr>
            </w:pPr>
            <w:r>
              <w:rPr>
                <w:rFonts w:hint="eastAsia" w:cs="宋体"/>
                <w:b/>
                <w:bCs/>
                <w:szCs w:val="21"/>
              </w:rPr>
              <w:t>其他专用条款</w:t>
            </w:r>
          </w:p>
        </w:tc>
        <w:tc>
          <w:tcPr>
            <w:tcW w:w="3035" w:type="pct"/>
            <w:vAlign w:val="center"/>
          </w:tcPr>
          <w:p w14:paraId="7CA964CF">
            <w:pPr>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本合同的供货范围，除包括合同标的货物外，还包括随机的备品备件、专用工具、技术文档、货物运行所必需的随机消耗品（如箱包等），相应的技术服务与质量保证等文件。</w:t>
            </w:r>
          </w:p>
          <w:p w14:paraId="098D4FF7">
            <w:pPr>
              <w:adjustRightInd w:val="0"/>
              <w:snapToGrid w:val="0"/>
              <w:jc w:val="left"/>
              <w:rPr>
                <w:rFonts w:hint="eastAsia" w:cs="宋体"/>
                <w:szCs w:val="21"/>
              </w:rPr>
            </w:pPr>
            <w:r>
              <w:rPr>
                <w:rFonts w:hint="eastAsia" w:cs="宋体"/>
                <w:szCs w:val="21"/>
              </w:rPr>
              <w:t>2</w:t>
            </w:r>
            <w:r>
              <w:rPr>
                <w:rFonts w:cs="宋体"/>
                <w:szCs w:val="21"/>
              </w:rPr>
              <w:t>.</w:t>
            </w:r>
            <w:r>
              <w:rPr>
                <w:rFonts w:hint="eastAsia" w:cs="宋体"/>
                <w:szCs w:val="21"/>
              </w:rPr>
              <w:t>乙方须提供全新的货物（含零部件、配件等），质量符合现行国家相关规定及行业标准的基础上同时满足甲方要求，严格按照合同约定履行各项服务内容。</w:t>
            </w:r>
          </w:p>
        </w:tc>
      </w:tr>
    </w:tbl>
    <w:p w14:paraId="21048B65">
      <w:pPr>
        <w:spacing w:line="240" w:lineRule="auto"/>
        <w:rPr>
          <w:rFonts w:hint="eastAsia"/>
        </w:rPr>
      </w:pPr>
    </w:p>
    <w:p w14:paraId="466462F4">
      <w:pPr>
        <w:adjustRightInd w:val="0"/>
        <w:snapToGrid w:val="0"/>
        <w:rPr>
          <w:rFonts w:hint="eastAsia"/>
          <w:sz w:val="20"/>
          <w:szCs w:val="20"/>
        </w:rPr>
      </w:pPr>
      <w:r>
        <w:rPr>
          <w:rFonts w:cs="华文中宋"/>
          <w:b/>
          <w:sz w:val="28"/>
          <w:szCs w:val="28"/>
        </w:rPr>
        <w:br w:type="page"/>
      </w:r>
    </w:p>
    <w:bookmarkEnd w:id="113"/>
    <w:p w14:paraId="14350C80">
      <w:pPr>
        <w:widowControl/>
        <w:jc w:val="center"/>
        <w:outlineLvl w:val="0"/>
        <w:rPr>
          <w:rFonts w:hint="eastAsia" w:cs="宋体"/>
          <w:b/>
          <w:bCs/>
          <w:sz w:val="36"/>
        </w:rPr>
      </w:pPr>
      <w:bookmarkStart w:id="131" w:name="_Toc13768"/>
      <w:r>
        <w:rPr>
          <w:rFonts w:hint="eastAsia" w:cs="宋体"/>
          <w:b/>
          <w:bCs/>
          <w:sz w:val="36"/>
        </w:rPr>
        <w:t>第四章  投标文件格式</w:t>
      </w:r>
      <w:bookmarkEnd w:id="114"/>
      <w:bookmarkEnd w:id="115"/>
      <w:bookmarkEnd w:id="131"/>
    </w:p>
    <w:p w14:paraId="522D4684">
      <w:pPr>
        <w:widowControl/>
        <w:rPr>
          <w:rFonts w:hint="eastAsia" w:cs="宋体"/>
          <w:b/>
          <w:bCs/>
          <w:sz w:val="44"/>
          <w:szCs w:val="44"/>
        </w:rPr>
      </w:pPr>
      <w:bookmarkStart w:id="132" w:name="_Toc213141093"/>
      <w:bookmarkStart w:id="133" w:name="_Toc496520982"/>
      <w:r>
        <w:rPr>
          <w:rFonts w:hint="eastAsia" w:cs="宋体"/>
          <w:b/>
          <w:bCs/>
          <w:sz w:val="44"/>
          <w:szCs w:val="44"/>
        </w:rPr>
        <w:t>封面</w:t>
      </w:r>
    </w:p>
    <w:p w14:paraId="2DF722C0">
      <w:pPr>
        <w:widowControl/>
        <w:jc w:val="center"/>
        <w:rPr>
          <w:rFonts w:hint="eastAsia" w:cs="宋体"/>
          <w:b/>
          <w:bCs/>
          <w:color w:val="000000" w:themeColor="text1"/>
          <w:sz w:val="44"/>
          <w:szCs w:val="44"/>
          <w14:textFill>
            <w14:solidFill>
              <w14:schemeClr w14:val="tx1"/>
            </w14:solidFill>
          </w14:textFill>
        </w:rPr>
      </w:pPr>
      <w:r>
        <w:rPr>
          <w:rFonts w:hint="eastAsia" w:cs="宋体"/>
          <w:b/>
          <w:bCs/>
          <w:sz w:val="44"/>
          <w:szCs w:val="44"/>
        </w:rPr>
        <w:t xml:space="preserve">洱源县人民医院体检中心设备与医疗服务保障能力提升项目设备采购-5标段 </w:t>
      </w:r>
    </w:p>
    <w:p w14:paraId="7CFCEFB2">
      <w:pPr>
        <w:pStyle w:val="23"/>
        <w:spacing w:line="720" w:lineRule="exact"/>
        <w:jc w:val="center"/>
        <w:rPr>
          <w:rFonts w:hint="eastAsia" w:cs="宋体"/>
          <w:b/>
          <w:sz w:val="48"/>
          <w:szCs w:val="48"/>
        </w:rPr>
      </w:pPr>
    </w:p>
    <w:p w14:paraId="0E84789A">
      <w:pPr>
        <w:pStyle w:val="23"/>
        <w:spacing w:line="500" w:lineRule="exact"/>
        <w:jc w:val="center"/>
        <w:rPr>
          <w:rFonts w:hint="eastAsia" w:cs="宋体"/>
          <w:b/>
          <w:sz w:val="32"/>
          <w:szCs w:val="32"/>
        </w:rPr>
      </w:pPr>
    </w:p>
    <w:p w14:paraId="0B136605">
      <w:pPr>
        <w:pStyle w:val="23"/>
        <w:spacing w:line="500" w:lineRule="exact"/>
        <w:jc w:val="center"/>
        <w:rPr>
          <w:rFonts w:hint="eastAsia" w:cs="宋体"/>
          <w:b/>
          <w:sz w:val="32"/>
          <w:szCs w:val="32"/>
        </w:rPr>
      </w:pPr>
    </w:p>
    <w:p w14:paraId="023D7888">
      <w:pPr>
        <w:pStyle w:val="23"/>
        <w:spacing w:line="500" w:lineRule="exact"/>
        <w:jc w:val="center"/>
        <w:rPr>
          <w:rFonts w:hint="eastAsia" w:cs="宋体"/>
          <w:b/>
          <w:sz w:val="32"/>
          <w:szCs w:val="32"/>
        </w:rPr>
      </w:pPr>
    </w:p>
    <w:p w14:paraId="0B459B0D">
      <w:pPr>
        <w:pStyle w:val="23"/>
        <w:spacing w:line="500" w:lineRule="exact"/>
        <w:jc w:val="center"/>
        <w:rPr>
          <w:rFonts w:hint="eastAsia" w:cs="宋体"/>
          <w:b/>
          <w:sz w:val="32"/>
          <w:szCs w:val="32"/>
        </w:rPr>
      </w:pPr>
    </w:p>
    <w:p w14:paraId="085A0A8F">
      <w:pPr>
        <w:pStyle w:val="23"/>
        <w:spacing w:line="500" w:lineRule="exact"/>
        <w:jc w:val="center"/>
        <w:rPr>
          <w:rFonts w:hint="eastAsia" w:cs="宋体"/>
          <w:b/>
          <w:sz w:val="32"/>
          <w:szCs w:val="32"/>
        </w:rPr>
      </w:pPr>
    </w:p>
    <w:p w14:paraId="0153C957">
      <w:pPr>
        <w:pStyle w:val="23"/>
        <w:spacing w:line="780" w:lineRule="exact"/>
        <w:jc w:val="center"/>
        <w:rPr>
          <w:rFonts w:hint="eastAsia" w:cs="宋体"/>
          <w:b/>
          <w:sz w:val="72"/>
          <w:szCs w:val="72"/>
        </w:rPr>
      </w:pPr>
      <w:r>
        <w:rPr>
          <w:rFonts w:hint="eastAsia" w:cs="宋体"/>
          <w:b/>
          <w:sz w:val="72"/>
          <w:szCs w:val="72"/>
        </w:rPr>
        <w:t>投 标 文 件</w:t>
      </w:r>
    </w:p>
    <w:p w14:paraId="065FB813">
      <w:pPr>
        <w:pStyle w:val="23"/>
        <w:spacing w:line="500" w:lineRule="exact"/>
        <w:jc w:val="center"/>
        <w:rPr>
          <w:rFonts w:hint="eastAsia" w:cs="宋体"/>
          <w:b/>
          <w:sz w:val="28"/>
          <w:szCs w:val="28"/>
        </w:rPr>
      </w:pPr>
      <w:r>
        <w:rPr>
          <w:rFonts w:hint="eastAsia" w:cs="宋体"/>
          <w:b/>
          <w:sz w:val="28"/>
          <w:szCs w:val="28"/>
        </w:rPr>
        <w:t>标段编号：</w:t>
      </w:r>
      <w:r>
        <w:rPr>
          <w:rFonts w:cs="宋体"/>
          <w:b/>
          <w:sz w:val="28"/>
          <w:szCs w:val="28"/>
        </w:rPr>
        <w:t>Q53LX0326001230-005</w:t>
      </w:r>
    </w:p>
    <w:p w14:paraId="21255696">
      <w:pPr>
        <w:rPr>
          <w:rFonts w:hint="eastAsia" w:cs="宋体"/>
          <w:b/>
          <w:sz w:val="28"/>
          <w:szCs w:val="28"/>
        </w:rPr>
      </w:pPr>
    </w:p>
    <w:p w14:paraId="30777638">
      <w:pPr>
        <w:ind w:firstLine="2" w:firstLineChars="1"/>
        <w:rPr>
          <w:rFonts w:hint="eastAsia" w:cs="宋体"/>
          <w:b/>
          <w:szCs w:val="21"/>
        </w:rPr>
      </w:pPr>
    </w:p>
    <w:p w14:paraId="71FF1F11">
      <w:pPr>
        <w:ind w:firstLine="2" w:firstLineChars="1"/>
        <w:rPr>
          <w:rFonts w:hint="eastAsia" w:cs="宋体"/>
          <w:b/>
          <w:szCs w:val="21"/>
        </w:rPr>
      </w:pPr>
    </w:p>
    <w:p w14:paraId="6357B3C4">
      <w:pPr>
        <w:ind w:firstLine="2" w:firstLineChars="1"/>
        <w:rPr>
          <w:rFonts w:hint="eastAsia" w:cs="宋体"/>
          <w:b/>
          <w:szCs w:val="21"/>
        </w:rPr>
      </w:pPr>
    </w:p>
    <w:p w14:paraId="36984DAE">
      <w:pPr>
        <w:ind w:firstLine="2" w:firstLineChars="1"/>
        <w:rPr>
          <w:rFonts w:hint="eastAsia" w:cs="宋体"/>
          <w:b/>
          <w:sz w:val="20"/>
          <w:szCs w:val="20"/>
        </w:rPr>
      </w:pPr>
    </w:p>
    <w:p w14:paraId="0BE8E022">
      <w:pPr>
        <w:spacing w:line="480" w:lineRule="auto"/>
        <w:ind w:firstLine="2310" w:firstLineChars="825"/>
        <w:rPr>
          <w:rFonts w:hint="eastAsia"/>
          <w:b/>
          <w:bCs/>
          <w:sz w:val="28"/>
          <w:szCs w:val="28"/>
        </w:rPr>
      </w:pPr>
      <w:r>
        <w:rPr>
          <w:rFonts w:hint="eastAsia"/>
          <w:b/>
          <w:bCs/>
          <w:sz w:val="28"/>
          <w:szCs w:val="28"/>
        </w:rPr>
        <w:t>投标人：</w:t>
      </w:r>
      <w:r>
        <w:rPr>
          <w:b/>
          <w:bCs/>
          <w:sz w:val="28"/>
          <w:szCs w:val="28"/>
          <w:u w:val="single"/>
        </w:rPr>
        <w:t xml:space="preserve">                   </w:t>
      </w:r>
      <w:r>
        <w:rPr>
          <w:rFonts w:hint="eastAsia"/>
          <w:b/>
          <w:bCs/>
          <w:sz w:val="28"/>
          <w:szCs w:val="28"/>
        </w:rPr>
        <w:t>（电子签章）</w:t>
      </w:r>
    </w:p>
    <w:p w14:paraId="7FEB3C9C">
      <w:pPr>
        <w:spacing w:line="480" w:lineRule="auto"/>
        <w:ind w:firstLine="2310" w:firstLineChars="825"/>
        <w:rPr>
          <w:rFonts w:hint="eastAsia"/>
          <w:b/>
          <w:bCs/>
          <w:sz w:val="28"/>
          <w:szCs w:val="28"/>
        </w:rPr>
      </w:pPr>
      <w:r>
        <w:rPr>
          <w:rFonts w:hint="eastAsia"/>
          <w:b/>
          <w:bCs/>
          <w:sz w:val="28"/>
          <w:szCs w:val="28"/>
        </w:rPr>
        <w:t>法定代表人：</w:t>
      </w:r>
      <w:r>
        <w:rPr>
          <w:b/>
          <w:bCs/>
          <w:sz w:val="28"/>
          <w:szCs w:val="28"/>
          <w:u w:val="single"/>
        </w:rPr>
        <w:t xml:space="preserve">               </w:t>
      </w:r>
      <w:r>
        <w:rPr>
          <w:rFonts w:hint="eastAsia"/>
          <w:b/>
          <w:bCs/>
          <w:sz w:val="28"/>
          <w:szCs w:val="28"/>
        </w:rPr>
        <w:t>（电子签名）</w:t>
      </w:r>
    </w:p>
    <w:p w14:paraId="7E8118B7">
      <w:pPr>
        <w:spacing w:line="480" w:lineRule="auto"/>
        <w:ind w:firstLine="2310" w:firstLineChars="825"/>
        <w:rPr>
          <w:rFonts w:hint="eastAsia"/>
          <w:b/>
          <w:bCs/>
          <w:sz w:val="28"/>
          <w:szCs w:val="28"/>
        </w:rPr>
      </w:pPr>
      <w:r>
        <w:rPr>
          <w:rFonts w:hint="eastAsia"/>
          <w:b/>
          <w:bCs/>
          <w:sz w:val="28"/>
          <w:szCs w:val="28"/>
        </w:rPr>
        <w:t>日期：</w:t>
      </w:r>
      <w:r>
        <w:rPr>
          <w:rFonts w:hint="eastAsia"/>
          <w:b/>
          <w:bCs/>
          <w:sz w:val="28"/>
          <w:szCs w:val="28"/>
          <w:u w:val="single"/>
        </w:rPr>
        <w:t xml:space="preserve"> </w:t>
      </w:r>
      <w:r>
        <w:rPr>
          <w:b/>
          <w:bCs/>
          <w:sz w:val="28"/>
          <w:szCs w:val="28"/>
          <w:u w:val="single"/>
        </w:rPr>
        <w:t xml:space="preserve">    </w:t>
      </w:r>
      <w:r>
        <w:rPr>
          <w:rFonts w:hint="eastAsia"/>
          <w:b/>
          <w:bCs/>
          <w:sz w:val="28"/>
          <w:szCs w:val="28"/>
        </w:rPr>
        <w:t>年</w:t>
      </w:r>
      <w:r>
        <w:rPr>
          <w:b/>
          <w:bCs/>
          <w:sz w:val="28"/>
          <w:szCs w:val="28"/>
          <w:u w:val="single"/>
        </w:rPr>
        <w:t xml:space="preserve">     </w:t>
      </w:r>
      <w:r>
        <w:rPr>
          <w:rFonts w:hint="eastAsia"/>
          <w:b/>
          <w:bCs/>
          <w:sz w:val="28"/>
          <w:szCs w:val="28"/>
        </w:rPr>
        <w:t>月</w:t>
      </w:r>
      <w:r>
        <w:rPr>
          <w:b/>
          <w:bCs/>
          <w:sz w:val="28"/>
          <w:szCs w:val="28"/>
          <w:u w:val="single"/>
        </w:rPr>
        <w:t xml:space="preserve">     </w:t>
      </w:r>
      <w:r>
        <w:rPr>
          <w:rFonts w:hint="eastAsia"/>
          <w:b/>
          <w:bCs/>
          <w:sz w:val="28"/>
          <w:szCs w:val="28"/>
        </w:rPr>
        <w:t>日</w:t>
      </w:r>
    </w:p>
    <w:p w14:paraId="399E21FC">
      <w:pPr>
        <w:rPr>
          <w:rFonts w:hint="eastAsia" w:cs="宋体"/>
        </w:rPr>
      </w:pPr>
      <w:r>
        <w:rPr>
          <w:rFonts w:hint="eastAsia" w:cs="宋体"/>
        </w:rPr>
        <w:br w:type="page"/>
      </w:r>
    </w:p>
    <w:p w14:paraId="028AA3FB">
      <w:pPr>
        <w:jc w:val="center"/>
        <w:outlineLvl w:val="1"/>
        <w:rPr>
          <w:rFonts w:hint="eastAsia" w:cs="宋体"/>
          <w:b/>
          <w:bCs/>
          <w:sz w:val="32"/>
          <w:szCs w:val="21"/>
        </w:rPr>
      </w:pPr>
      <w:bookmarkStart w:id="134" w:name="_Toc16252"/>
      <w:bookmarkStart w:id="135" w:name="_Toc28588"/>
      <w:bookmarkStart w:id="136" w:name="_Toc27318"/>
      <w:r>
        <w:rPr>
          <w:rFonts w:hint="eastAsia" w:cs="宋体"/>
          <w:b/>
          <w:bCs/>
          <w:sz w:val="32"/>
          <w:szCs w:val="21"/>
        </w:rPr>
        <w:t>一、5标段开标一览表</w:t>
      </w:r>
      <w:bookmarkEnd w:id="132"/>
      <w:bookmarkEnd w:id="133"/>
      <w:bookmarkEnd w:id="134"/>
      <w:bookmarkEnd w:id="135"/>
      <w:bookmarkEnd w:id="136"/>
    </w:p>
    <w:p w14:paraId="1BC18916">
      <w:pPr>
        <w:pStyle w:val="23"/>
        <w:rPr>
          <w:rFonts w:hint="eastAsia" w:cs="宋体"/>
          <w:b/>
          <w:szCs w:val="21"/>
        </w:rPr>
      </w:pPr>
      <w:r>
        <w:rPr>
          <w:rFonts w:hint="eastAsia" w:cs="宋体"/>
          <w:b/>
          <w:szCs w:val="21"/>
        </w:rPr>
        <w:t>项目名称：</w:t>
      </w:r>
    </w:p>
    <w:p w14:paraId="6AB4CD9C">
      <w:pPr>
        <w:pStyle w:val="23"/>
        <w:rPr>
          <w:rFonts w:hint="eastAsia" w:cs="宋体"/>
          <w:szCs w:val="21"/>
          <w:u w:val="single"/>
        </w:rPr>
      </w:pPr>
      <w:r>
        <w:rPr>
          <w:rFonts w:hint="eastAsia" w:cs="宋体"/>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50"/>
        <w:gridCol w:w="3262"/>
        <w:gridCol w:w="3833"/>
        <w:gridCol w:w="917"/>
      </w:tblGrid>
      <w:tr w14:paraId="211FC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979" w:type="pct"/>
            <w:vAlign w:val="center"/>
          </w:tcPr>
          <w:p w14:paraId="161CF044">
            <w:pPr>
              <w:pStyle w:val="23"/>
              <w:jc w:val="center"/>
              <w:rPr>
                <w:rFonts w:hint="eastAsia" w:cs="宋体"/>
                <w:b/>
                <w:szCs w:val="21"/>
              </w:rPr>
            </w:pPr>
            <w:r>
              <w:rPr>
                <w:rFonts w:hint="eastAsia" w:cs="宋体"/>
                <w:b/>
                <w:szCs w:val="21"/>
              </w:rPr>
              <w:t>标段号</w:t>
            </w:r>
          </w:p>
        </w:tc>
        <w:tc>
          <w:tcPr>
            <w:tcW w:w="1637" w:type="pct"/>
            <w:noWrap/>
            <w:vAlign w:val="center"/>
          </w:tcPr>
          <w:p w14:paraId="3540C87E">
            <w:pPr>
              <w:pStyle w:val="23"/>
              <w:jc w:val="center"/>
              <w:rPr>
                <w:rFonts w:hint="eastAsia" w:cs="宋体"/>
                <w:b/>
                <w:szCs w:val="21"/>
              </w:rPr>
            </w:pPr>
            <w:r>
              <w:rPr>
                <w:rFonts w:hint="eastAsia" w:cs="宋体"/>
                <w:b/>
                <w:szCs w:val="21"/>
              </w:rPr>
              <w:t>投标人名称</w:t>
            </w:r>
          </w:p>
        </w:tc>
        <w:tc>
          <w:tcPr>
            <w:tcW w:w="1924" w:type="pct"/>
            <w:noWrap/>
            <w:vAlign w:val="center"/>
          </w:tcPr>
          <w:p w14:paraId="1158560E">
            <w:pPr>
              <w:pStyle w:val="23"/>
              <w:jc w:val="center"/>
              <w:rPr>
                <w:rFonts w:hint="eastAsia" w:cs="宋体"/>
                <w:b/>
                <w:szCs w:val="21"/>
              </w:rPr>
            </w:pPr>
            <w:r>
              <w:rPr>
                <w:rFonts w:hint="eastAsia" w:cs="宋体"/>
                <w:b/>
                <w:szCs w:val="21"/>
              </w:rPr>
              <w:t>投标总报价（元）</w:t>
            </w:r>
          </w:p>
        </w:tc>
        <w:tc>
          <w:tcPr>
            <w:tcW w:w="460" w:type="pct"/>
            <w:noWrap/>
            <w:vAlign w:val="center"/>
          </w:tcPr>
          <w:p w14:paraId="04EA071E">
            <w:pPr>
              <w:pStyle w:val="23"/>
              <w:jc w:val="center"/>
              <w:rPr>
                <w:rFonts w:hint="eastAsia" w:cs="宋体"/>
                <w:b/>
                <w:szCs w:val="21"/>
              </w:rPr>
            </w:pPr>
            <w:r>
              <w:rPr>
                <w:rFonts w:hint="eastAsia" w:cs="宋体"/>
                <w:b/>
                <w:szCs w:val="21"/>
              </w:rPr>
              <w:t>备注</w:t>
            </w:r>
          </w:p>
        </w:tc>
      </w:tr>
      <w:tr w14:paraId="05497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1" w:hRule="atLeast"/>
        </w:trPr>
        <w:tc>
          <w:tcPr>
            <w:tcW w:w="979" w:type="pct"/>
            <w:vAlign w:val="center"/>
          </w:tcPr>
          <w:p w14:paraId="6F653CC6">
            <w:pPr>
              <w:pStyle w:val="23"/>
              <w:jc w:val="center"/>
              <w:rPr>
                <w:rFonts w:hint="eastAsia" w:cs="宋体"/>
                <w:b/>
                <w:bCs/>
                <w:szCs w:val="21"/>
              </w:rPr>
            </w:pPr>
            <w:r>
              <w:rPr>
                <w:rFonts w:hint="eastAsia" w:cs="宋体"/>
                <w:b/>
                <w:bCs/>
                <w:szCs w:val="21"/>
              </w:rPr>
              <w:t>5标段</w:t>
            </w:r>
          </w:p>
        </w:tc>
        <w:tc>
          <w:tcPr>
            <w:tcW w:w="1637" w:type="pct"/>
            <w:noWrap/>
            <w:vAlign w:val="center"/>
          </w:tcPr>
          <w:p w14:paraId="5C2C20F7">
            <w:pPr>
              <w:pStyle w:val="23"/>
              <w:jc w:val="center"/>
              <w:rPr>
                <w:rFonts w:hint="eastAsia" w:cs="宋体"/>
                <w:szCs w:val="21"/>
              </w:rPr>
            </w:pPr>
          </w:p>
        </w:tc>
        <w:tc>
          <w:tcPr>
            <w:tcW w:w="1924" w:type="pct"/>
            <w:noWrap/>
            <w:vAlign w:val="center"/>
          </w:tcPr>
          <w:p w14:paraId="23F98716">
            <w:pPr>
              <w:pStyle w:val="23"/>
              <w:jc w:val="center"/>
              <w:rPr>
                <w:rFonts w:hint="eastAsia" w:cs="宋体"/>
                <w:b/>
                <w:bCs/>
                <w:szCs w:val="21"/>
              </w:rPr>
            </w:pPr>
          </w:p>
        </w:tc>
        <w:tc>
          <w:tcPr>
            <w:tcW w:w="460" w:type="pct"/>
            <w:noWrap/>
            <w:vAlign w:val="center"/>
          </w:tcPr>
          <w:p w14:paraId="36C02B4A">
            <w:pPr>
              <w:pStyle w:val="23"/>
              <w:jc w:val="center"/>
              <w:rPr>
                <w:rFonts w:hint="eastAsia" w:cs="宋体"/>
                <w:szCs w:val="21"/>
              </w:rPr>
            </w:pPr>
          </w:p>
        </w:tc>
      </w:tr>
    </w:tbl>
    <w:p w14:paraId="6E588933">
      <w:pPr>
        <w:ind w:firstLine="2" w:firstLineChars="1"/>
        <w:rPr>
          <w:rFonts w:hint="eastAsia" w:cs="宋体"/>
          <w:szCs w:val="21"/>
        </w:rPr>
      </w:pPr>
    </w:p>
    <w:p w14:paraId="559468C1">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39839E70">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61FEDD">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F7B2567">
      <w:pPr>
        <w:pStyle w:val="23"/>
        <w:rPr>
          <w:rFonts w:hint="eastAsia" w:cs="宋体"/>
          <w:b/>
          <w:szCs w:val="21"/>
        </w:rPr>
      </w:pPr>
    </w:p>
    <w:p w14:paraId="02568DFA">
      <w:pPr>
        <w:pStyle w:val="23"/>
        <w:rPr>
          <w:rFonts w:hint="eastAsia" w:cs="宋体"/>
          <w:b/>
          <w:szCs w:val="21"/>
        </w:rPr>
      </w:pPr>
      <w:r>
        <w:rPr>
          <w:rFonts w:hint="eastAsia" w:cs="宋体"/>
          <w:b/>
          <w:color w:val="000000" w:themeColor="text1"/>
          <w:szCs w:val="21"/>
          <w14:textFill>
            <w14:solidFill>
              <w14:schemeClr w14:val="tx1"/>
            </w14:solidFill>
          </w14:textFill>
        </w:rPr>
        <w:t>★</w:t>
      </w:r>
      <w:r>
        <w:rPr>
          <w:rFonts w:hint="eastAsia" w:cs="宋体"/>
          <w:b/>
          <w:szCs w:val="21"/>
        </w:rPr>
        <w:t>注：</w:t>
      </w:r>
      <w:bookmarkStart w:id="137" w:name="_Toc12960"/>
      <w:bookmarkStart w:id="138" w:name="_Toc27545"/>
      <w:bookmarkStart w:id="139" w:name="_Toc496520983"/>
      <w:r>
        <w:rPr>
          <w:rFonts w:hint="eastAsia" w:cs="宋体"/>
          <w:b/>
          <w:color w:val="000000" w:themeColor="text1"/>
          <w:szCs w:val="21"/>
          <w14:textFill>
            <w14:solidFill>
              <w14:schemeClr w14:val="tx1"/>
            </w14:solidFill>
          </w14:textFill>
        </w:rPr>
        <w:t>1.投标总报价</w:t>
      </w:r>
      <w:r>
        <w:rPr>
          <w:b/>
          <w:color w:val="000000" w:themeColor="text1"/>
          <w14:textFill>
            <w14:solidFill>
              <w14:schemeClr w14:val="tx1"/>
            </w14:solidFill>
          </w14:textFill>
        </w:rPr>
        <w:t>不得超过最高限价，否则将按实质性不响应招标文件否决其投标。</w:t>
      </w:r>
    </w:p>
    <w:p w14:paraId="4D917414">
      <w:pPr>
        <w:pStyle w:val="23"/>
        <w:rPr>
          <w:rFonts w:hint="eastAsia" w:cs="宋体"/>
          <w:szCs w:val="21"/>
        </w:rPr>
      </w:pPr>
      <w:r>
        <w:rPr>
          <w:rFonts w:hint="eastAsia" w:cs="宋体"/>
          <w:b/>
          <w:bCs/>
          <w:szCs w:val="21"/>
        </w:rPr>
        <w:t>2.</w:t>
      </w:r>
      <w:r>
        <w:rPr>
          <w:rFonts w:hint="eastAsia" w:cs="宋体"/>
          <w:szCs w:val="21"/>
        </w:rPr>
        <w:t>表中“</w:t>
      </w:r>
      <w:r>
        <w:rPr>
          <w:rFonts w:hint="eastAsia" w:cs="宋体"/>
          <w:b/>
          <w:szCs w:val="21"/>
        </w:rPr>
        <w:t>投标总报价</w:t>
      </w:r>
      <w:r>
        <w:rPr>
          <w:rFonts w:hint="eastAsia" w:cs="宋体"/>
          <w:szCs w:val="21"/>
        </w:rPr>
        <w:t>”应与“</w:t>
      </w:r>
      <w:r>
        <w:rPr>
          <w:rFonts w:hint="eastAsia" w:cs="宋体"/>
          <w:b/>
          <w:bCs/>
          <w:szCs w:val="21"/>
        </w:rPr>
        <w:t>5标段</w:t>
      </w:r>
      <w:r>
        <w:rPr>
          <w:rFonts w:hint="eastAsia" w:cs="宋体"/>
          <w:b/>
          <w:szCs w:val="21"/>
        </w:rPr>
        <w:t>投标函</w:t>
      </w:r>
      <w:r>
        <w:rPr>
          <w:rFonts w:hint="eastAsia" w:cs="宋体"/>
          <w:szCs w:val="21"/>
        </w:rPr>
        <w:t>”中“</w:t>
      </w:r>
      <w:r>
        <w:rPr>
          <w:rFonts w:hint="eastAsia" w:cs="宋体"/>
          <w:b/>
          <w:szCs w:val="21"/>
        </w:rPr>
        <w:t>投标总报价</w:t>
      </w:r>
      <w:r>
        <w:rPr>
          <w:rFonts w:hint="eastAsia" w:cs="宋体"/>
          <w:szCs w:val="21"/>
        </w:rPr>
        <w:t>”和“</w:t>
      </w:r>
      <w:r>
        <w:rPr>
          <w:rFonts w:hint="eastAsia" w:cs="宋体"/>
          <w:b/>
          <w:bCs/>
          <w:szCs w:val="21"/>
        </w:rPr>
        <w:t>5标段投标报价汇总表</w:t>
      </w:r>
      <w:r>
        <w:rPr>
          <w:rFonts w:hint="eastAsia" w:cs="宋体"/>
          <w:szCs w:val="21"/>
        </w:rPr>
        <w:t>”中“</w:t>
      </w:r>
      <w:r>
        <w:rPr>
          <w:rFonts w:hint="eastAsia" w:cs="宋体"/>
          <w:b/>
          <w:szCs w:val="21"/>
        </w:rPr>
        <w:t>投标总报价</w:t>
      </w:r>
      <w:r>
        <w:rPr>
          <w:rFonts w:hint="eastAsia" w:cs="宋体"/>
          <w:szCs w:val="21"/>
        </w:rPr>
        <w:t>”一致。</w:t>
      </w:r>
    </w:p>
    <w:p w14:paraId="601F0F50">
      <w:pPr>
        <w:pStyle w:val="23"/>
        <w:rPr>
          <w:rFonts w:hint="eastAsia" w:cs="宋体"/>
          <w:b/>
          <w:szCs w:val="21"/>
        </w:rPr>
      </w:pPr>
      <w:r>
        <w:rPr>
          <w:rFonts w:hint="eastAsia" w:cs="宋体"/>
          <w:b/>
          <w:szCs w:val="21"/>
        </w:rPr>
        <w:t>3.</w:t>
      </w:r>
      <w:bookmarkStart w:id="140" w:name="_Hlk57073066"/>
      <w:r>
        <w:rPr>
          <w:rFonts w:hint="eastAsia" w:cs="宋体"/>
          <w:b/>
          <w:szCs w:val="21"/>
        </w:rPr>
        <w:t>若以上开标一览表投标总报价与政采云平台开标记录表投标总报价不一致以政采云平台开标记录表为准。</w:t>
      </w:r>
    </w:p>
    <w:bookmarkEnd w:id="140"/>
    <w:p w14:paraId="229B5E0F">
      <w:pPr>
        <w:widowControl/>
        <w:jc w:val="left"/>
        <w:rPr>
          <w:rFonts w:hint="eastAsia" w:cs="宋体"/>
          <w:b/>
          <w:kern w:val="44"/>
          <w:sz w:val="28"/>
          <w:szCs w:val="20"/>
        </w:rPr>
      </w:pPr>
      <w:r>
        <w:rPr>
          <w:rFonts w:cs="宋体"/>
        </w:rPr>
        <w:br w:type="page"/>
      </w:r>
    </w:p>
    <w:p w14:paraId="3D7431CD">
      <w:pPr>
        <w:jc w:val="center"/>
        <w:outlineLvl w:val="1"/>
        <w:rPr>
          <w:rFonts w:hint="eastAsia" w:cs="宋体"/>
          <w:b/>
          <w:bCs/>
          <w:sz w:val="32"/>
          <w:szCs w:val="21"/>
        </w:rPr>
      </w:pPr>
      <w:bookmarkStart w:id="141" w:name="_Toc6513"/>
      <w:bookmarkStart w:id="142" w:name="_Toc32150"/>
      <w:bookmarkStart w:id="143" w:name="_Toc1540"/>
      <w:bookmarkStart w:id="144" w:name="_Toc493600018"/>
      <w:bookmarkStart w:id="145" w:name="_Toc496520986"/>
      <w:r>
        <w:rPr>
          <w:rFonts w:hint="eastAsia" w:cs="宋体"/>
          <w:b/>
          <w:bCs/>
          <w:sz w:val="32"/>
          <w:szCs w:val="21"/>
        </w:rPr>
        <w:t>二、资格证明文件</w:t>
      </w:r>
      <w:bookmarkEnd w:id="141"/>
    </w:p>
    <w:p w14:paraId="2DA762D6">
      <w:pPr>
        <w:pStyle w:val="23"/>
        <w:numPr>
          <w:ilvl w:val="0"/>
          <w:numId w:val="12"/>
        </w:numPr>
        <w:rPr>
          <w:rFonts w:hint="eastAsia" w:cs="宋体"/>
          <w:szCs w:val="21"/>
        </w:rPr>
      </w:pPr>
      <w:r>
        <w:rPr>
          <w:rFonts w:hint="eastAsia" w:cs="宋体"/>
          <w:szCs w:val="21"/>
        </w:rPr>
        <w:t>投标人应按所附格式要求填写并提交。</w:t>
      </w:r>
    </w:p>
    <w:p w14:paraId="09876BA9">
      <w:pPr>
        <w:pStyle w:val="23"/>
        <w:numPr>
          <w:ilvl w:val="0"/>
          <w:numId w:val="12"/>
        </w:numPr>
        <w:rPr>
          <w:rFonts w:hint="eastAsia" w:cs="宋体"/>
          <w:szCs w:val="21"/>
        </w:rPr>
      </w:pPr>
      <w:r>
        <w:rPr>
          <w:rFonts w:hint="eastAsia" w:cs="宋体"/>
          <w:szCs w:val="21"/>
        </w:rPr>
        <w:t>资格声明中的签字人应保证全部声明和填写的内容是真实的和正确的。</w:t>
      </w:r>
    </w:p>
    <w:p w14:paraId="2B39E38D">
      <w:pPr>
        <w:pStyle w:val="23"/>
        <w:numPr>
          <w:ilvl w:val="0"/>
          <w:numId w:val="12"/>
        </w:numPr>
        <w:rPr>
          <w:rFonts w:hint="eastAsia" w:cs="宋体"/>
          <w:szCs w:val="21"/>
        </w:rPr>
      </w:pPr>
      <w:r>
        <w:rPr>
          <w:rFonts w:hint="eastAsia" w:cs="宋体"/>
          <w:szCs w:val="21"/>
        </w:rPr>
        <w:t>投标人提交的材料将被保密，但不退还。</w:t>
      </w:r>
    </w:p>
    <w:p w14:paraId="66DB51B1">
      <w:pPr>
        <w:rPr>
          <w:rFonts w:hint="eastAsia" w:cs="宋体"/>
        </w:rPr>
      </w:pPr>
    </w:p>
    <w:p w14:paraId="06D9D95B">
      <w:pPr>
        <w:pStyle w:val="23"/>
        <w:spacing w:line="600" w:lineRule="exact"/>
        <w:rPr>
          <w:rFonts w:hint="eastAsia" w:cs="宋体"/>
          <w:b/>
          <w:sz w:val="28"/>
          <w:szCs w:val="28"/>
        </w:rPr>
      </w:pPr>
      <w:r>
        <w:rPr>
          <w:rFonts w:hint="eastAsia" w:cs="宋体"/>
        </w:rPr>
        <w:br w:type="page"/>
      </w:r>
    </w:p>
    <w:p w14:paraId="6E743AAB">
      <w:pPr>
        <w:jc w:val="center"/>
        <w:outlineLvl w:val="2"/>
        <w:rPr>
          <w:rFonts w:hint="eastAsia"/>
          <w:b/>
          <w:bCs/>
          <w:sz w:val="28"/>
          <w:szCs w:val="36"/>
        </w:rPr>
      </w:pPr>
      <w:bookmarkStart w:id="146" w:name="_Toc216724739"/>
      <w:bookmarkStart w:id="147" w:name="_Toc493600038"/>
      <w:bookmarkStart w:id="148" w:name="_Toc496521006"/>
      <w:bookmarkStart w:id="149" w:name="_Toc509829319"/>
      <w:bookmarkStart w:id="150" w:name="_Toc166067769"/>
      <w:bookmarkStart w:id="151" w:name="_Toc80973395"/>
      <w:bookmarkStart w:id="152" w:name="_Toc46334346"/>
      <w:bookmarkStart w:id="153" w:name="_Toc14854"/>
      <w:bookmarkStart w:id="154" w:name="_Toc170120942"/>
      <w:bookmarkStart w:id="155" w:name="_Toc216368766"/>
      <w:bookmarkStart w:id="156" w:name="_Toc13075"/>
      <w:bookmarkStart w:id="157" w:name="_Toc508636835"/>
      <w:bookmarkStart w:id="158" w:name="_Toc21536"/>
      <w:bookmarkStart w:id="159" w:name="_Toc139357066"/>
      <w:bookmarkStart w:id="160" w:name="_Toc125904338"/>
      <w:bookmarkStart w:id="161" w:name="_Toc125986475"/>
      <w:r>
        <w:rPr>
          <w:rFonts w:hint="eastAsia"/>
          <w:b/>
          <w:bCs/>
          <w:sz w:val="28"/>
          <w:szCs w:val="36"/>
        </w:rPr>
        <w:t>（一）投标人信息表</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BFB9E50">
      <w:pPr>
        <w:pStyle w:val="23"/>
        <w:jc w:val="center"/>
        <w:rPr>
          <w:rFonts w:hint="eastAsia" w:cs="宋体"/>
          <w:b/>
        </w:rPr>
      </w:pPr>
      <w:r>
        <w:rPr>
          <w:rFonts w:hint="eastAsia" w:cs="宋体"/>
          <w:b/>
        </w:rPr>
        <w:t>（请投标人如实填写本表信息）</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84"/>
        <w:gridCol w:w="1524"/>
        <w:gridCol w:w="1863"/>
        <w:gridCol w:w="1136"/>
        <w:gridCol w:w="1235"/>
        <w:gridCol w:w="2720"/>
      </w:tblGrid>
      <w:tr w14:paraId="533CC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7EF56E5A">
            <w:pPr>
              <w:widowControl/>
              <w:jc w:val="center"/>
              <w:rPr>
                <w:rFonts w:hint="eastAsia" w:cs="宋体"/>
                <w:szCs w:val="21"/>
              </w:rPr>
            </w:pPr>
            <w:r>
              <w:rPr>
                <w:rFonts w:hint="eastAsia" w:cs="宋体"/>
                <w:szCs w:val="21"/>
              </w:rPr>
              <w:t>公司名称</w:t>
            </w:r>
          </w:p>
        </w:tc>
        <w:tc>
          <w:tcPr>
            <w:tcW w:w="3490" w:type="pct"/>
            <w:gridSpan w:val="4"/>
            <w:tcBorders>
              <w:left w:val="single" w:color="auto" w:sz="4" w:space="0"/>
            </w:tcBorders>
            <w:vAlign w:val="center"/>
          </w:tcPr>
          <w:p w14:paraId="28976650">
            <w:pPr>
              <w:widowControl/>
              <w:jc w:val="left"/>
              <w:rPr>
                <w:rFonts w:hint="eastAsia" w:cs="宋体"/>
                <w:szCs w:val="21"/>
              </w:rPr>
            </w:pPr>
          </w:p>
        </w:tc>
      </w:tr>
      <w:tr w14:paraId="3CB2A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5DF8F3B3">
            <w:pPr>
              <w:widowControl/>
              <w:jc w:val="center"/>
              <w:rPr>
                <w:rFonts w:hint="eastAsia" w:cs="宋体"/>
                <w:szCs w:val="21"/>
              </w:rPr>
            </w:pPr>
            <w:r>
              <w:rPr>
                <w:rFonts w:hint="eastAsia" w:cs="宋体"/>
                <w:szCs w:val="21"/>
              </w:rPr>
              <w:t>纳税人识别号</w:t>
            </w:r>
          </w:p>
        </w:tc>
        <w:tc>
          <w:tcPr>
            <w:tcW w:w="3490" w:type="pct"/>
            <w:gridSpan w:val="4"/>
            <w:tcBorders>
              <w:left w:val="single" w:color="auto" w:sz="4" w:space="0"/>
            </w:tcBorders>
            <w:vAlign w:val="center"/>
          </w:tcPr>
          <w:p w14:paraId="32A9F1EB">
            <w:pPr>
              <w:widowControl/>
              <w:jc w:val="left"/>
              <w:rPr>
                <w:rFonts w:hint="eastAsia" w:cs="宋体"/>
                <w:szCs w:val="21"/>
              </w:rPr>
            </w:pPr>
          </w:p>
        </w:tc>
      </w:tr>
      <w:tr w14:paraId="6C9CD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jc w:val="center"/>
        </w:trPr>
        <w:tc>
          <w:tcPr>
            <w:tcW w:w="1510" w:type="pct"/>
            <w:gridSpan w:val="2"/>
            <w:tcBorders>
              <w:right w:val="single" w:color="auto" w:sz="4" w:space="0"/>
            </w:tcBorders>
            <w:vAlign w:val="center"/>
          </w:tcPr>
          <w:p w14:paraId="2BCB2B06">
            <w:pPr>
              <w:widowControl/>
              <w:jc w:val="center"/>
              <w:rPr>
                <w:rFonts w:hint="eastAsia" w:cs="宋体"/>
                <w:szCs w:val="21"/>
              </w:rPr>
            </w:pPr>
            <w:r>
              <w:rPr>
                <w:rFonts w:hint="eastAsia" w:cs="宋体"/>
                <w:szCs w:val="21"/>
              </w:rPr>
              <w:t>公司地址</w:t>
            </w:r>
          </w:p>
        </w:tc>
        <w:tc>
          <w:tcPr>
            <w:tcW w:w="3490" w:type="pct"/>
            <w:gridSpan w:val="4"/>
            <w:tcBorders>
              <w:left w:val="single" w:color="auto" w:sz="4" w:space="0"/>
            </w:tcBorders>
            <w:vAlign w:val="center"/>
          </w:tcPr>
          <w:p w14:paraId="2C3E49AA">
            <w:pPr>
              <w:widowControl/>
              <w:jc w:val="center"/>
              <w:rPr>
                <w:rFonts w:hint="eastAsia" w:cs="宋体"/>
                <w:szCs w:val="21"/>
              </w:rPr>
            </w:pPr>
          </w:p>
        </w:tc>
      </w:tr>
      <w:tr w14:paraId="7E9D7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510" w:type="pct"/>
            <w:gridSpan w:val="2"/>
            <w:tcBorders>
              <w:right w:val="single" w:color="auto" w:sz="4" w:space="0"/>
            </w:tcBorders>
            <w:vAlign w:val="center"/>
          </w:tcPr>
          <w:p w14:paraId="584AF5F6">
            <w:pPr>
              <w:widowControl/>
              <w:jc w:val="center"/>
              <w:rPr>
                <w:rFonts w:hint="eastAsia" w:cs="宋体"/>
                <w:szCs w:val="21"/>
              </w:rPr>
            </w:pPr>
            <w:r>
              <w:rPr>
                <w:rFonts w:hint="eastAsia" w:cs="宋体"/>
                <w:szCs w:val="21"/>
              </w:rPr>
              <w:t>公司性质</w:t>
            </w:r>
          </w:p>
        </w:tc>
        <w:tc>
          <w:tcPr>
            <w:tcW w:w="935" w:type="pct"/>
            <w:tcBorders>
              <w:left w:val="single" w:color="auto" w:sz="4" w:space="0"/>
              <w:right w:val="single" w:color="auto" w:sz="4" w:space="0"/>
            </w:tcBorders>
            <w:vAlign w:val="center"/>
          </w:tcPr>
          <w:p w14:paraId="4ECAB4E9">
            <w:pPr>
              <w:widowControl/>
              <w:jc w:val="center"/>
              <w:rPr>
                <w:rFonts w:hint="eastAsia" w:cs="宋体"/>
                <w:szCs w:val="21"/>
              </w:rPr>
            </w:pPr>
          </w:p>
        </w:tc>
        <w:tc>
          <w:tcPr>
            <w:tcW w:w="1190" w:type="pct"/>
            <w:gridSpan w:val="2"/>
            <w:tcBorders>
              <w:left w:val="single" w:color="auto" w:sz="4" w:space="0"/>
              <w:right w:val="single" w:color="auto" w:sz="4" w:space="0"/>
            </w:tcBorders>
            <w:vAlign w:val="center"/>
          </w:tcPr>
          <w:p w14:paraId="518B209E">
            <w:pPr>
              <w:widowControl/>
              <w:jc w:val="center"/>
              <w:rPr>
                <w:rFonts w:hint="eastAsia" w:cs="宋体"/>
                <w:szCs w:val="21"/>
              </w:rPr>
            </w:pPr>
            <w:r>
              <w:rPr>
                <w:rFonts w:hint="eastAsia" w:cs="宋体"/>
                <w:szCs w:val="21"/>
              </w:rPr>
              <w:t>公司类型</w:t>
            </w:r>
          </w:p>
        </w:tc>
        <w:tc>
          <w:tcPr>
            <w:tcW w:w="1365" w:type="pct"/>
            <w:tcBorders>
              <w:left w:val="single" w:color="auto" w:sz="4" w:space="0"/>
            </w:tcBorders>
            <w:vAlign w:val="center"/>
          </w:tcPr>
          <w:p w14:paraId="616F1C4C">
            <w:pPr>
              <w:widowControl/>
              <w:jc w:val="center"/>
              <w:rPr>
                <w:rFonts w:hint="eastAsia" w:cs="宋体"/>
                <w:szCs w:val="21"/>
              </w:rPr>
            </w:pPr>
          </w:p>
        </w:tc>
      </w:tr>
      <w:tr w14:paraId="3DFD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57" w:hRule="atLeast"/>
          <w:jc w:val="center"/>
        </w:trPr>
        <w:tc>
          <w:tcPr>
            <w:tcW w:w="1510" w:type="pct"/>
            <w:gridSpan w:val="2"/>
            <w:vAlign w:val="center"/>
          </w:tcPr>
          <w:p w14:paraId="796D00BA">
            <w:pPr>
              <w:widowControl/>
              <w:jc w:val="center"/>
              <w:rPr>
                <w:rFonts w:hint="eastAsia" w:cs="宋体"/>
                <w:szCs w:val="21"/>
              </w:rPr>
            </w:pPr>
            <w:r>
              <w:rPr>
                <w:rFonts w:hint="eastAsia" w:cs="宋体"/>
                <w:szCs w:val="21"/>
              </w:rPr>
              <w:t>法定代表人</w:t>
            </w:r>
          </w:p>
        </w:tc>
        <w:tc>
          <w:tcPr>
            <w:tcW w:w="935" w:type="pct"/>
            <w:vAlign w:val="center"/>
          </w:tcPr>
          <w:p w14:paraId="65C1EA43">
            <w:pPr>
              <w:widowControl/>
              <w:jc w:val="center"/>
              <w:rPr>
                <w:rFonts w:hint="eastAsia" w:cs="宋体"/>
                <w:szCs w:val="21"/>
              </w:rPr>
            </w:pPr>
          </w:p>
        </w:tc>
        <w:tc>
          <w:tcPr>
            <w:tcW w:w="1190" w:type="pct"/>
            <w:gridSpan w:val="2"/>
            <w:tcBorders>
              <w:right w:val="single" w:color="auto" w:sz="4" w:space="0"/>
            </w:tcBorders>
            <w:vAlign w:val="center"/>
          </w:tcPr>
          <w:p w14:paraId="5B44EE92">
            <w:pPr>
              <w:widowControl/>
              <w:jc w:val="center"/>
              <w:rPr>
                <w:rFonts w:hint="eastAsia" w:cs="宋体"/>
                <w:szCs w:val="21"/>
              </w:rPr>
            </w:pPr>
            <w:r>
              <w:rPr>
                <w:rFonts w:hint="eastAsia" w:cs="宋体"/>
                <w:szCs w:val="21"/>
              </w:rPr>
              <w:t>注册资金</w:t>
            </w:r>
          </w:p>
        </w:tc>
        <w:tc>
          <w:tcPr>
            <w:tcW w:w="1365" w:type="pct"/>
            <w:tcBorders>
              <w:left w:val="single" w:color="auto" w:sz="4" w:space="0"/>
            </w:tcBorders>
            <w:vAlign w:val="center"/>
          </w:tcPr>
          <w:p w14:paraId="7E8135E5">
            <w:pPr>
              <w:widowControl/>
              <w:jc w:val="center"/>
              <w:rPr>
                <w:rFonts w:hint="eastAsia" w:cs="宋体"/>
                <w:szCs w:val="21"/>
              </w:rPr>
            </w:pPr>
          </w:p>
        </w:tc>
      </w:tr>
      <w:tr w14:paraId="6C1E9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1510" w:type="pct"/>
            <w:gridSpan w:val="2"/>
            <w:vMerge w:val="restart"/>
            <w:vAlign w:val="center"/>
          </w:tcPr>
          <w:p w14:paraId="43A6C149">
            <w:pPr>
              <w:widowControl/>
              <w:jc w:val="center"/>
              <w:rPr>
                <w:rFonts w:hint="eastAsia" w:cs="宋体"/>
                <w:szCs w:val="21"/>
              </w:rPr>
            </w:pPr>
            <w:r>
              <w:rPr>
                <w:rFonts w:hint="eastAsia" w:cs="宋体"/>
                <w:szCs w:val="21"/>
              </w:rPr>
              <w:t>注册日期</w:t>
            </w:r>
          </w:p>
        </w:tc>
        <w:tc>
          <w:tcPr>
            <w:tcW w:w="935" w:type="pct"/>
            <w:vMerge w:val="restart"/>
            <w:vAlign w:val="center"/>
          </w:tcPr>
          <w:p w14:paraId="6F51D573">
            <w:pPr>
              <w:widowControl/>
              <w:jc w:val="center"/>
              <w:rPr>
                <w:rFonts w:hint="eastAsia" w:cs="宋体"/>
                <w:szCs w:val="21"/>
              </w:rPr>
            </w:pPr>
          </w:p>
        </w:tc>
        <w:tc>
          <w:tcPr>
            <w:tcW w:w="1190" w:type="pct"/>
            <w:gridSpan w:val="2"/>
            <w:tcBorders>
              <w:bottom w:val="single" w:color="auto" w:sz="4" w:space="0"/>
            </w:tcBorders>
            <w:vAlign w:val="center"/>
          </w:tcPr>
          <w:p w14:paraId="31768501">
            <w:pPr>
              <w:widowControl/>
              <w:jc w:val="center"/>
              <w:rPr>
                <w:rFonts w:hint="eastAsia" w:cs="宋体"/>
                <w:szCs w:val="21"/>
              </w:rPr>
            </w:pPr>
            <w:r>
              <w:rPr>
                <w:rFonts w:hint="eastAsia" w:cs="宋体"/>
                <w:szCs w:val="21"/>
              </w:rPr>
              <w:t>开户银行</w:t>
            </w:r>
          </w:p>
        </w:tc>
        <w:tc>
          <w:tcPr>
            <w:tcW w:w="1365" w:type="pct"/>
            <w:tcBorders>
              <w:bottom w:val="single" w:color="auto" w:sz="4" w:space="0"/>
            </w:tcBorders>
            <w:vAlign w:val="center"/>
          </w:tcPr>
          <w:p w14:paraId="2AD94451">
            <w:pPr>
              <w:widowControl/>
              <w:jc w:val="center"/>
              <w:rPr>
                <w:rFonts w:hint="eastAsia" w:cs="宋体"/>
                <w:szCs w:val="21"/>
              </w:rPr>
            </w:pPr>
          </w:p>
        </w:tc>
      </w:tr>
      <w:tr w14:paraId="4CABD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jc w:val="center"/>
        </w:trPr>
        <w:tc>
          <w:tcPr>
            <w:tcW w:w="1510" w:type="pct"/>
            <w:gridSpan w:val="2"/>
            <w:vMerge w:val="continue"/>
            <w:vAlign w:val="center"/>
          </w:tcPr>
          <w:p w14:paraId="6DE58D81">
            <w:pPr>
              <w:widowControl/>
              <w:jc w:val="center"/>
              <w:rPr>
                <w:rFonts w:hint="eastAsia" w:cs="宋体"/>
                <w:szCs w:val="21"/>
              </w:rPr>
            </w:pPr>
          </w:p>
        </w:tc>
        <w:tc>
          <w:tcPr>
            <w:tcW w:w="935" w:type="pct"/>
            <w:vMerge w:val="continue"/>
            <w:vAlign w:val="center"/>
          </w:tcPr>
          <w:p w14:paraId="1A728ED1">
            <w:pPr>
              <w:widowControl/>
              <w:jc w:val="center"/>
              <w:rPr>
                <w:rFonts w:hint="eastAsia" w:cs="宋体"/>
                <w:szCs w:val="21"/>
              </w:rPr>
            </w:pPr>
          </w:p>
        </w:tc>
        <w:tc>
          <w:tcPr>
            <w:tcW w:w="1190" w:type="pct"/>
            <w:gridSpan w:val="2"/>
            <w:tcBorders>
              <w:top w:val="single" w:color="auto" w:sz="4" w:space="0"/>
            </w:tcBorders>
            <w:vAlign w:val="center"/>
          </w:tcPr>
          <w:p w14:paraId="37DDB2A1">
            <w:pPr>
              <w:widowControl/>
              <w:jc w:val="center"/>
              <w:rPr>
                <w:rFonts w:hint="eastAsia" w:cs="宋体"/>
                <w:szCs w:val="21"/>
              </w:rPr>
            </w:pPr>
            <w:r>
              <w:rPr>
                <w:rFonts w:hint="eastAsia" w:cs="宋体"/>
                <w:szCs w:val="21"/>
              </w:rPr>
              <w:t>开户基本账号</w:t>
            </w:r>
          </w:p>
        </w:tc>
        <w:tc>
          <w:tcPr>
            <w:tcW w:w="1365" w:type="pct"/>
            <w:tcBorders>
              <w:top w:val="single" w:color="auto" w:sz="4" w:space="0"/>
            </w:tcBorders>
            <w:vAlign w:val="center"/>
          </w:tcPr>
          <w:p w14:paraId="4F1AA800">
            <w:pPr>
              <w:widowControl/>
              <w:jc w:val="center"/>
              <w:rPr>
                <w:rFonts w:hint="eastAsia" w:cs="宋体"/>
                <w:szCs w:val="21"/>
              </w:rPr>
            </w:pPr>
          </w:p>
        </w:tc>
      </w:tr>
      <w:tr w14:paraId="0F21F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1510" w:type="pct"/>
            <w:gridSpan w:val="2"/>
            <w:vMerge w:val="restart"/>
            <w:vAlign w:val="center"/>
          </w:tcPr>
          <w:p w14:paraId="7737DB77">
            <w:pPr>
              <w:widowControl/>
              <w:jc w:val="center"/>
              <w:rPr>
                <w:rFonts w:hint="eastAsia" w:cs="宋体"/>
                <w:szCs w:val="21"/>
              </w:rPr>
            </w:pPr>
            <w:r>
              <w:rPr>
                <w:rFonts w:hint="eastAsia" w:cs="宋体"/>
                <w:szCs w:val="21"/>
              </w:rPr>
              <w:t>联系人</w:t>
            </w:r>
          </w:p>
        </w:tc>
        <w:tc>
          <w:tcPr>
            <w:tcW w:w="935" w:type="pct"/>
            <w:vMerge w:val="restart"/>
            <w:vAlign w:val="center"/>
          </w:tcPr>
          <w:p w14:paraId="34EB6B2D">
            <w:pPr>
              <w:widowControl/>
              <w:jc w:val="center"/>
              <w:rPr>
                <w:rFonts w:hint="eastAsia" w:cs="宋体"/>
                <w:szCs w:val="21"/>
              </w:rPr>
            </w:pPr>
          </w:p>
        </w:tc>
        <w:tc>
          <w:tcPr>
            <w:tcW w:w="570" w:type="pct"/>
            <w:vMerge w:val="restart"/>
            <w:vAlign w:val="center"/>
          </w:tcPr>
          <w:p w14:paraId="467B7C6E">
            <w:pPr>
              <w:widowControl/>
              <w:jc w:val="center"/>
              <w:rPr>
                <w:rFonts w:hint="eastAsia" w:cs="宋体"/>
                <w:szCs w:val="21"/>
              </w:rPr>
            </w:pPr>
            <w:r>
              <w:rPr>
                <w:rFonts w:hint="eastAsia" w:cs="宋体"/>
                <w:szCs w:val="21"/>
              </w:rPr>
              <w:t>联系电话</w:t>
            </w:r>
          </w:p>
        </w:tc>
        <w:tc>
          <w:tcPr>
            <w:tcW w:w="620" w:type="pct"/>
            <w:vAlign w:val="center"/>
          </w:tcPr>
          <w:p w14:paraId="0A61750F">
            <w:pPr>
              <w:widowControl/>
              <w:jc w:val="center"/>
              <w:rPr>
                <w:rFonts w:hint="eastAsia" w:cs="宋体"/>
                <w:szCs w:val="21"/>
              </w:rPr>
            </w:pPr>
            <w:r>
              <w:rPr>
                <w:rFonts w:hint="eastAsia" w:cs="宋体"/>
                <w:szCs w:val="21"/>
              </w:rPr>
              <w:t>手机</w:t>
            </w:r>
          </w:p>
        </w:tc>
        <w:tc>
          <w:tcPr>
            <w:tcW w:w="1365" w:type="pct"/>
            <w:vAlign w:val="center"/>
          </w:tcPr>
          <w:p w14:paraId="57D485E8">
            <w:pPr>
              <w:widowControl/>
              <w:jc w:val="center"/>
              <w:rPr>
                <w:rFonts w:hint="eastAsia" w:cs="宋体"/>
                <w:szCs w:val="21"/>
              </w:rPr>
            </w:pPr>
          </w:p>
        </w:tc>
      </w:tr>
      <w:tr w14:paraId="6855F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1510" w:type="pct"/>
            <w:gridSpan w:val="2"/>
            <w:vMerge w:val="continue"/>
            <w:vAlign w:val="center"/>
          </w:tcPr>
          <w:p w14:paraId="260FD0B8">
            <w:pPr>
              <w:widowControl/>
              <w:jc w:val="center"/>
              <w:rPr>
                <w:rFonts w:hint="eastAsia" w:cs="宋体"/>
                <w:szCs w:val="21"/>
              </w:rPr>
            </w:pPr>
          </w:p>
        </w:tc>
        <w:tc>
          <w:tcPr>
            <w:tcW w:w="935" w:type="pct"/>
            <w:vMerge w:val="continue"/>
            <w:vAlign w:val="center"/>
          </w:tcPr>
          <w:p w14:paraId="47C6D7E5">
            <w:pPr>
              <w:widowControl/>
              <w:jc w:val="center"/>
              <w:rPr>
                <w:rFonts w:hint="eastAsia" w:cs="宋体"/>
                <w:szCs w:val="21"/>
              </w:rPr>
            </w:pPr>
          </w:p>
        </w:tc>
        <w:tc>
          <w:tcPr>
            <w:tcW w:w="570" w:type="pct"/>
            <w:vMerge w:val="continue"/>
            <w:vAlign w:val="center"/>
          </w:tcPr>
          <w:p w14:paraId="325536BF">
            <w:pPr>
              <w:widowControl/>
              <w:jc w:val="center"/>
              <w:rPr>
                <w:rFonts w:hint="eastAsia" w:cs="宋体"/>
                <w:szCs w:val="21"/>
              </w:rPr>
            </w:pPr>
          </w:p>
        </w:tc>
        <w:tc>
          <w:tcPr>
            <w:tcW w:w="620" w:type="pct"/>
            <w:vAlign w:val="center"/>
          </w:tcPr>
          <w:p w14:paraId="0A220CF7">
            <w:pPr>
              <w:widowControl/>
              <w:jc w:val="center"/>
              <w:rPr>
                <w:rFonts w:hint="eastAsia" w:cs="宋体"/>
                <w:szCs w:val="21"/>
              </w:rPr>
            </w:pPr>
            <w:r>
              <w:rPr>
                <w:rFonts w:hint="eastAsia" w:cs="宋体"/>
                <w:szCs w:val="21"/>
              </w:rPr>
              <w:t>固话</w:t>
            </w:r>
          </w:p>
        </w:tc>
        <w:tc>
          <w:tcPr>
            <w:tcW w:w="1365" w:type="pct"/>
            <w:vAlign w:val="center"/>
          </w:tcPr>
          <w:p w14:paraId="57580F75">
            <w:pPr>
              <w:widowControl/>
              <w:jc w:val="center"/>
              <w:rPr>
                <w:rFonts w:hint="eastAsia" w:cs="宋体"/>
                <w:szCs w:val="21"/>
              </w:rPr>
            </w:pPr>
          </w:p>
        </w:tc>
      </w:tr>
      <w:tr w14:paraId="6F837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1510" w:type="pct"/>
            <w:gridSpan w:val="2"/>
            <w:vAlign w:val="center"/>
          </w:tcPr>
          <w:p w14:paraId="43F413F4">
            <w:pPr>
              <w:widowControl/>
              <w:jc w:val="center"/>
              <w:rPr>
                <w:rFonts w:hint="eastAsia" w:cs="宋体"/>
                <w:szCs w:val="21"/>
              </w:rPr>
            </w:pPr>
            <w:r>
              <w:rPr>
                <w:rFonts w:hint="eastAsia" w:cs="宋体"/>
                <w:szCs w:val="21"/>
              </w:rPr>
              <w:t>联系传真（如有）</w:t>
            </w:r>
          </w:p>
        </w:tc>
        <w:tc>
          <w:tcPr>
            <w:tcW w:w="935" w:type="pct"/>
            <w:vAlign w:val="center"/>
          </w:tcPr>
          <w:p w14:paraId="05AE5980">
            <w:pPr>
              <w:widowControl/>
              <w:jc w:val="center"/>
              <w:rPr>
                <w:rFonts w:hint="eastAsia" w:cs="宋体"/>
                <w:szCs w:val="21"/>
              </w:rPr>
            </w:pPr>
          </w:p>
        </w:tc>
        <w:tc>
          <w:tcPr>
            <w:tcW w:w="1190" w:type="pct"/>
            <w:gridSpan w:val="2"/>
            <w:vAlign w:val="center"/>
          </w:tcPr>
          <w:p w14:paraId="0CAC3F85">
            <w:pPr>
              <w:widowControl/>
              <w:jc w:val="center"/>
              <w:rPr>
                <w:rFonts w:hint="eastAsia" w:cs="宋体"/>
                <w:szCs w:val="21"/>
              </w:rPr>
            </w:pPr>
            <w:r>
              <w:rPr>
                <w:rFonts w:hint="eastAsia" w:cs="宋体"/>
                <w:szCs w:val="21"/>
              </w:rPr>
              <w:t>联系邮箱</w:t>
            </w:r>
          </w:p>
        </w:tc>
        <w:tc>
          <w:tcPr>
            <w:tcW w:w="1365" w:type="pct"/>
            <w:vAlign w:val="center"/>
          </w:tcPr>
          <w:p w14:paraId="470D97C0">
            <w:pPr>
              <w:widowControl/>
              <w:jc w:val="center"/>
              <w:rPr>
                <w:rFonts w:hint="eastAsia" w:cs="宋体"/>
                <w:szCs w:val="21"/>
              </w:rPr>
            </w:pPr>
          </w:p>
        </w:tc>
      </w:tr>
      <w:tr w14:paraId="26A5F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510" w:type="pct"/>
            <w:gridSpan w:val="2"/>
            <w:vAlign w:val="center"/>
          </w:tcPr>
          <w:p w14:paraId="2087559A">
            <w:pPr>
              <w:widowControl/>
              <w:jc w:val="center"/>
              <w:rPr>
                <w:rFonts w:hint="eastAsia" w:cs="宋体"/>
                <w:szCs w:val="21"/>
              </w:rPr>
            </w:pPr>
            <w:r>
              <w:rPr>
                <w:rFonts w:hint="eastAsia" w:cs="宋体"/>
                <w:szCs w:val="21"/>
              </w:rPr>
              <w:t>经营范围</w:t>
            </w:r>
          </w:p>
        </w:tc>
        <w:tc>
          <w:tcPr>
            <w:tcW w:w="3490" w:type="pct"/>
            <w:gridSpan w:val="4"/>
            <w:vAlign w:val="center"/>
          </w:tcPr>
          <w:p w14:paraId="02EBAF05">
            <w:pPr>
              <w:widowControl/>
              <w:jc w:val="center"/>
              <w:rPr>
                <w:rFonts w:hint="eastAsia" w:cs="宋体"/>
                <w:szCs w:val="21"/>
              </w:rPr>
            </w:pPr>
          </w:p>
        </w:tc>
      </w:tr>
      <w:tr w14:paraId="01B8C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510" w:type="pct"/>
            <w:gridSpan w:val="2"/>
            <w:vAlign w:val="center"/>
          </w:tcPr>
          <w:p w14:paraId="48FBEC0D">
            <w:pPr>
              <w:widowControl/>
              <w:jc w:val="center"/>
              <w:rPr>
                <w:rFonts w:hint="eastAsia" w:cs="宋体"/>
                <w:szCs w:val="21"/>
              </w:rPr>
            </w:pPr>
            <w:r>
              <w:rPr>
                <w:rFonts w:hint="eastAsia" w:cs="宋体"/>
                <w:szCs w:val="21"/>
              </w:rPr>
              <w:t>公司管理体系认证</w:t>
            </w:r>
          </w:p>
        </w:tc>
        <w:tc>
          <w:tcPr>
            <w:tcW w:w="3490" w:type="pct"/>
            <w:gridSpan w:val="4"/>
            <w:vAlign w:val="center"/>
          </w:tcPr>
          <w:p w14:paraId="039B8E8F">
            <w:pPr>
              <w:widowControl/>
              <w:jc w:val="center"/>
              <w:rPr>
                <w:rFonts w:hint="eastAsia" w:cs="宋体"/>
                <w:szCs w:val="21"/>
              </w:rPr>
            </w:pPr>
            <w:r>
              <w:rPr>
                <w:rFonts w:hint="eastAsia" w:cs="宋体"/>
                <w:szCs w:val="21"/>
              </w:rPr>
              <w:t>（质量、职业、环境管理体系等）</w:t>
            </w:r>
          </w:p>
        </w:tc>
      </w:tr>
      <w:tr w14:paraId="41707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5000" w:type="pct"/>
            <w:gridSpan w:val="6"/>
            <w:vAlign w:val="center"/>
          </w:tcPr>
          <w:p w14:paraId="28362D31">
            <w:pPr>
              <w:widowControl/>
              <w:jc w:val="left"/>
              <w:rPr>
                <w:rFonts w:hint="eastAsia" w:cs="宋体"/>
                <w:szCs w:val="21"/>
              </w:rPr>
            </w:pPr>
            <w:r>
              <w:rPr>
                <w:rFonts w:hint="eastAsia" w:cs="宋体"/>
                <w:szCs w:val="21"/>
              </w:rPr>
              <w:t>公司资质及各类生产、经营许可</w:t>
            </w:r>
          </w:p>
        </w:tc>
      </w:tr>
      <w:tr w14:paraId="71EA8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2" w:hRule="atLeast"/>
          <w:jc w:val="center"/>
        </w:trPr>
        <w:tc>
          <w:tcPr>
            <w:tcW w:w="5000" w:type="pct"/>
            <w:gridSpan w:val="6"/>
            <w:vAlign w:val="center"/>
          </w:tcPr>
          <w:p w14:paraId="128420C9">
            <w:pPr>
              <w:widowControl/>
              <w:rPr>
                <w:rFonts w:hint="eastAsia" w:cs="宋体"/>
                <w:szCs w:val="21"/>
              </w:rPr>
            </w:pPr>
            <w:r>
              <w:rPr>
                <w:rFonts w:hint="eastAsia" w:cs="宋体"/>
                <w:szCs w:val="21"/>
              </w:rPr>
              <w:t>如：工程类资质（工程单位）、设备制造商、经销商（生产、经营许可证、产品认证）、其它资质。</w:t>
            </w:r>
          </w:p>
        </w:tc>
      </w:tr>
      <w:tr w14:paraId="680F3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745" w:type="pct"/>
            <w:vAlign w:val="center"/>
          </w:tcPr>
          <w:p w14:paraId="4CB56719">
            <w:pPr>
              <w:widowControl/>
              <w:jc w:val="center"/>
              <w:rPr>
                <w:rFonts w:hint="eastAsia" w:cs="宋体"/>
                <w:szCs w:val="21"/>
              </w:rPr>
            </w:pPr>
            <w:r>
              <w:rPr>
                <w:rFonts w:hint="eastAsia" w:cs="宋体"/>
                <w:szCs w:val="21"/>
              </w:rPr>
              <w:t>备注</w:t>
            </w:r>
          </w:p>
        </w:tc>
        <w:tc>
          <w:tcPr>
            <w:tcW w:w="4255" w:type="pct"/>
            <w:gridSpan w:val="5"/>
            <w:vAlign w:val="center"/>
          </w:tcPr>
          <w:p w14:paraId="66410950">
            <w:pPr>
              <w:widowControl/>
              <w:jc w:val="center"/>
              <w:rPr>
                <w:rFonts w:hint="eastAsia" w:cs="宋体"/>
                <w:szCs w:val="21"/>
              </w:rPr>
            </w:pPr>
          </w:p>
        </w:tc>
      </w:tr>
    </w:tbl>
    <w:p w14:paraId="2BA7A54D">
      <w:pPr>
        <w:pStyle w:val="23"/>
        <w:rPr>
          <w:rFonts w:hint="eastAsia" w:cs="宋体"/>
        </w:rPr>
      </w:pPr>
    </w:p>
    <w:p w14:paraId="597D3DCF">
      <w:pPr>
        <w:pStyle w:val="2"/>
        <w:rPr>
          <w:rFonts w:hint="eastAsia" w:ascii="宋体" w:hAnsi="宋体"/>
        </w:rPr>
      </w:pPr>
      <w:r>
        <w:rPr>
          <w:rFonts w:ascii="宋体" w:hAnsi="宋体"/>
        </w:rPr>
        <w:br w:type="page"/>
      </w:r>
    </w:p>
    <w:p w14:paraId="34B908F0">
      <w:pPr>
        <w:jc w:val="center"/>
        <w:outlineLvl w:val="2"/>
        <w:rPr>
          <w:rFonts w:hint="eastAsia"/>
          <w:b/>
          <w:bCs/>
          <w:sz w:val="28"/>
          <w:szCs w:val="36"/>
        </w:rPr>
      </w:pPr>
      <w:bookmarkStart w:id="162" w:name="_Toc170120943"/>
      <w:bookmarkStart w:id="163" w:name="_Toc216368767"/>
      <w:bookmarkStart w:id="164" w:name="_Toc166067770"/>
      <w:bookmarkStart w:id="165" w:name="_Toc216724740"/>
      <w:bookmarkStart w:id="166" w:name="_Toc288"/>
      <w:r>
        <w:rPr>
          <w:rFonts w:hint="eastAsia"/>
          <w:b/>
          <w:bCs/>
          <w:sz w:val="28"/>
          <w:szCs w:val="36"/>
        </w:rPr>
        <w:t>（二）法定代表人身份证明书</w:t>
      </w:r>
      <w:bookmarkEnd w:id="162"/>
      <w:bookmarkEnd w:id="163"/>
      <w:bookmarkEnd w:id="164"/>
      <w:bookmarkEnd w:id="165"/>
      <w:bookmarkEnd w:id="166"/>
    </w:p>
    <w:p w14:paraId="3998B7C1">
      <w:pPr>
        <w:spacing w:line="440" w:lineRule="exact"/>
        <w:jc w:val="center"/>
        <w:rPr>
          <w:rFonts w:hint="eastAsia" w:cs="宋体"/>
          <w:b/>
          <w:sz w:val="30"/>
          <w:szCs w:val="30"/>
        </w:rPr>
      </w:pPr>
    </w:p>
    <w:p w14:paraId="32CE356A">
      <w:pPr>
        <w:rPr>
          <w:rFonts w:hint="eastAsia" w:cs="宋体"/>
          <w:szCs w:val="21"/>
          <w:u w:val="single"/>
        </w:rPr>
      </w:pPr>
      <w:r>
        <w:rPr>
          <w:rFonts w:hint="eastAsia" w:cs="宋体"/>
          <w:szCs w:val="21"/>
        </w:rPr>
        <w:t>投标人名称：</w:t>
      </w:r>
      <w:r>
        <w:rPr>
          <w:rFonts w:hint="eastAsia" w:cs="宋体"/>
          <w:szCs w:val="21"/>
          <w:u w:val="single"/>
        </w:rPr>
        <w:t xml:space="preserve">            </w:t>
      </w:r>
    </w:p>
    <w:p w14:paraId="2BE3F63B">
      <w:pPr>
        <w:rPr>
          <w:rFonts w:hint="eastAsia" w:cs="宋体"/>
          <w:szCs w:val="21"/>
          <w:u w:val="single"/>
        </w:rPr>
      </w:pPr>
      <w:r>
        <w:rPr>
          <w:rFonts w:hint="eastAsia" w:cs="宋体"/>
          <w:szCs w:val="21"/>
        </w:rPr>
        <w:t>单位性质：</w:t>
      </w:r>
      <w:r>
        <w:rPr>
          <w:rFonts w:hint="eastAsia" w:cs="宋体"/>
          <w:szCs w:val="21"/>
          <w:u w:val="single"/>
        </w:rPr>
        <w:t xml:space="preserve">                 </w:t>
      </w:r>
    </w:p>
    <w:p w14:paraId="6369FD4A">
      <w:pPr>
        <w:rPr>
          <w:rFonts w:hint="eastAsia" w:cs="宋体"/>
          <w:szCs w:val="21"/>
        </w:rPr>
      </w:pPr>
      <w:r>
        <w:rPr>
          <w:rFonts w:hint="eastAsia" w:cs="宋体"/>
          <w:szCs w:val="21"/>
        </w:rPr>
        <w:t>成立时间：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7426E123">
      <w:pPr>
        <w:rPr>
          <w:rFonts w:hint="eastAsia" w:cs="宋体"/>
          <w:szCs w:val="21"/>
          <w:u w:val="single"/>
        </w:rPr>
      </w:pPr>
      <w:r>
        <w:rPr>
          <w:rFonts w:hint="eastAsia" w:cs="宋体"/>
          <w:szCs w:val="21"/>
        </w:rPr>
        <w:t>经营期限：</w:t>
      </w:r>
      <w:r>
        <w:rPr>
          <w:rFonts w:hint="eastAsia" w:cs="宋体"/>
          <w:szCs w:val="21"/>
          <w:u w:val="single"/>
        </w:rPr>
        <w:t xml:space="preserve">           </w:t>
      </w:r>
    </w:p>
    <w:p w14:paraId="1297F314">
      <w:pPr>
        <w:rPr>
          <w:rFonts w:hint="eastAsia" w:cs="宋体"/>
          <w:szCs w:val="21"/>
        </w:rPr>
      </w:pPr>
      <w:r>
        <w:rPr>
          <w:rFonts w:hint="eastAsia" w:cs="宋体"/>
          <w:szCs w:val="21"/>
        </w:rPr>
        <w:t>姓名：</w:t>
      </w:r>
      <w:r>
        <w:rPr>
          <w:rFonts w:hint="eastAsia" w:cs="宋体"/>
          <w:szCs w:val="21"/>
          <w:u w:val="single"/>
        </w:rPr>
        <w:t xml:space="preserve">    </w:t>
      </w:r>
      <w:r>
        <w:rPr>
          <w:rFonts w:hint="eastAsia" w:cs="宋体"/>
          <w:szCs w:val="21"/>
        </w:rPr>
        <w:t>性别：</w:t>
      </w:r>
      <w:r>
        <w:rPr>
          <w:rFonts w:hint="eastAsia" w:cs="宋体"/>
          <w:szCs w:val="21"/>
          <w:u w:val="single"/>
        </w:rPr>
        <w:t xml:space="preserve">    </w:t>
      </w:r>
      <w:r>
        <w:rPr>
          <w:rFonts w:hint="eastAsia" w:cs="宋体"/>
          <w:szCs w:val="21"/>
        </w:rPr>
        <w:t>年龄：</w:t>
      </w:r>
      <w:r>
        <w:rPr>
          <w:rFonts w:hint="eastAsia" w:cs="宋体"/>
          <w:szCs w:val="21"/>
          <w:u w:val="single"/>
        </w:rPr>
        <w:t xml:space="preserve">    </w:t>
      </w:r>
      <w:r>
        <w:rPr>
          <w:rFonts w:hint="eastAsia" w:cs="宋体"/>
          <w:szCs w:val="21"/>
        </w:rPr>
        <w:t>职务：</w:t>
      </w:r>
      <w:r>
        <w:rPr>
          <w:rFonts w:hint="eastAsia" w:cs="宋体"/>
          <w:szCs w:val="21"/>
          <w:u w:val="single"/>
        </w:rPr>
        <w:t xml:space="preserve">    </w:t>
      </w:r>
    </w:p>
    <w:p w14:paraId="6A550760">
      <w:pPr>
        <w:rPr>
          <w:rFonts w:hint="eastAsia" w:cs="宋体"/>
          <w:szCs w:val="21"/>
        </w:rPr>
      </w:pPr>
      <w:r>
        <w:rPr>
          <w:rFonts w:hint="eastAsia" w:cs="宋体"/>
          <w:szCs w:val="21"/>
        </w:rPr>
        <w:t>系</w:t>
      </w:r>
      <w:r>
        <w:rPr>
          <w:rFonts w:hint="eastAsia" w:cs="宋体"/>
          <w:szCs w:val="21"/>
          <w:u w:val="single"/>
        </w:rPr>
        <w:t>（投标人名称）</w:t>
      </w:r>
      <w:r>
        <w:rPr>
          <w:rFonts w:hint="eastAsia" w:cs="宋体"/>
          <w:szCs w:val="21"/>
        </w:rPr>
        <w:t>的法定代表人。</w:t>
      </w:r>
    </w:p>
    <w:p w14:paraId="5B08E828">
      <w:pPr>
        <w:rPr>
          <w:rFonts w:hint="eastAsia" w:cs="宋体"/>
          <w:szCs w:val="21"/>
        </w:rPr>
      </w:pPr>
      <w:r>
        <w:rPr>
          <w:rFonts w:hint="eastAsia" w:cs="宋体"/>
          <w:szCs w:val="21"/>
        </w:rPr>
        <w:t>特此证明。</w:t>
      </w:r>
    </w:p>
    <w:p w14:paraId="7FBF3127">
      <w:pPr>
        <w:rPr>
          <w:rFonts w:hint="eastAsia" w:cs="宋体"/>
          <w:szCs w:val="21"/>
        </w:rPr>
      </w:pPr>
    </w:p>
    <w:p w14:paraId="64CD9136">
      <w:pPr>
        <w:pStyle w:val="23"/>
        <w:spacing w:line="500" w:lineRule="exact"/>
        <w:rPr>
          <w:rFonts w:hint="eastAsia" w:cs="宋体"/>
          <w:b/>
          <w:bCs/>
          <w:szCs w:val="21"/>
        </w:rPr>
      </w:pPr>
      <w:r>
        <w:rPr>
          <w:rFonts w:hint="eastAsia" w:cs="宋体"/>
          <w:b/>
          <w:bCs/>
          <w:szCs w:val="21"/>
        </w:rPr>
        <w:t>注: 后附法定代表人身份证（扫描件），否则视为无效证明书。</w:t>
      </w:r>
    </w:p>
    <w:p w14:paraId="3D48C21F">
      <w:pPr>
        <w:rPr>
          <w:rFonts w:hint="eastAsia" w:cs="宋体"/>
          <w:szCs w:val="21"/>
        </w:rPr>
      </w:pPr>
    </w:p>
    <w:p w14:paraId="2B4C029E">
      <w:pPr>
        <w:rPr>
          <w:rFonts w:hint="eastAsia" w:cs="宋体"/>
          <w:szCs w:val="21"/>
        </w:rPr>
      </w:pPr>
    </w:p>
    <w:p w14:paraId="1E0D3BB2">
      <w:pPr>
        <w:ind w:firstLine="2963" w:firstLineChars="1411"/>
        <w:jc w:val="right"/>
        <w:rPr>
          <w:rFonts w:hint="eastAsia" w:cs="宋体"/>
          <w:b/>
          <w:szCs w:val="21"/>
        </w:rPr>
      </w:pPr>
    </w:p>
    <w:p w14:paraId="7CB7DC66">
      <w:pPr>
        <w:ind w:firstLine="2963" w:firstLineChars="1411"/>
        <w:jc w:val="righ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w:t>
      </w:r>
      <w:r>
        <w:rPr>
          <w:rFonts w:hint="eastAsia" w:cs="宋体"/>
          <w:b/>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（电子签章）</w:t>
      </w:r>
    </w:p>
    <w:p w14:paraId="348F32DC">
      <w:pPr>
        <w:ind w:firstLine="2963" w:firstLineChars="1411"/>
        <w:jc w:val="right"/>
        <w:rPr>
          <w:rFonts w:hint="eastAsia" w:cs="宋体"/>
          <w:b/>
          <w:color w:val="000000" w:themeColor="text1"/>
          <w:szCs w:val="21"/>
          <w:u w:val="single"/>
          <w14:textFill>
            <w14:solidFill>
              <w14:schemeClr w14:val="tx1"/>
            </w14:solidFill>
          </w14:textFill>
        </w:rPr>
      </w:pPr>
    </w:p>
    <w:p w14:paraId="749EFADC">
      <w:pPr>
        <w:ind w:firstLine="2963" w:firstLineChars="1411"/>
        <w:jc w:val="right"/>
        <w:rPr>
          <w:rFonts w:hint="eastAsia" w:cs="宋体"/>
          <w:b/>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日期：</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年</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月</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日</w:t>
      </w:r>
    </w:p>
    <w:p w14:paraId="120ABB11">
      <w:pPr>
        <w:ind w:left="5397" w:leftChars="2570"/>
        <w:rPr>
          <w:rFonts w:hint="eastAsia" w:cs="宋体"/>
          <w:szCs w:val="21"/>
        </w:rPr>
      </w:pPr>
    </w:p>
    <w:p w14:paraId="40B73971">
      <w:pPr>
        <w:rPr>
          <w:rFonts w:hint="eastAsia" w:cs="宋体"/>
          <w:szCs w:val="21"/>
        </w:rPr>
      </w:pPr>
    </w:p>
    <w:p w14:paraId="50237BB7">
      <w:pPr>
        <w:pStyle w:val="23"/>
        <w:spacing w:line="600" w:lineRule="exact"/>
        <w:rPr>
          <w:rFonts w:hint="eastAsia" w:cs="宋体"/>
          <w:b/>
          <w:sz w:val="28"/>
          <w:szCs w:val="28"/>
        </w:rPr>
      </w:pPr>
      <w:r>
        <w:rPr>
          <w:rFonts w:hint="eastAsia" w:cs="宋体"/>
          <w:b/>
          <w:szCs w:val="21"/>
        </w:rPr>
        <w:br w:type="page"/>
      </w:r>
    </w:p>
    <w:p w14:paraId="7C4E093F">
      <w:pPr>
        <w:jc w:val="center"/>
        <w:outlineLvl w:val="2"/>
        <w:rPr>
          <w:rFonts w:hint="eastAsia"/>
          <w:b/>
          <w:bCs/>
          <w:sz w:val="28"/>
          <w:szCs w:val="36"/>
        </w:rPr>
      </w:pPr>
      <w:bookmarkStart w:id="167" w:name="_Toc5482"/>
      <w:bookmarkStart w:id="168" w:name="_Toc216724741"/>
      <w:bookmarkStart w:id="169" w:name="_Toc496520987"/>
      <w:bookmarkStart w:id="170" w:name="_Toc170120944"/>
      <w:bookmarkStart w:id="171" w:name="_Toc29216"/>
      <w:bookmarkStart w:id="172" w:name="_Toc216368768"/>
      <w:bookmarkStart w:id="173" w:name="_Toc213141107"/>
      <w:bookmarkStart w:id="174" w:name="_Toc166067771"/>
      <w:bookmarkStart w:id="175" w:name="_Toc493600019"/>
      <w:bookmarkStart w:id="176" w:name="_Toc3560"/>
      <w:r>
        <w:rPr>
          <w:rFonts w:hint="eastAsia"/>
          <w:b/>
          <w:bCs/>
          <w:sz w:val="28"/>
          <w:szCs w:val="36"/>
        </w:rPr>
        <w:t>（三）法定代表人授权委托书</w:t>
      </w:r>
      <w:bookmarkEnd w:id="167"/>
      <w:bookmarkEnd w:id="168"/>
      <w:bookmarkEnd w:id="169"/>
      <w:bookmarkEnd w:id="170"/>
      <w:bookmarkEnd w:id="171"/>
      <w:bookmarkEnd w:id="172"/>
      <w:bookmarkEnd w:id="173"/>
      <w:bookmarkEnd w:id="174"/>
      <w:bookmarkEnd w:id="175"/>
      <w:bookmarkEnd w:id="176"/>
    </w:p>
    <w:p w14:paraId="58C5BA0F">
      <w:pPr>
        <w:pStyle w:val="23"/>
        <w:spacing w:line="500" w:lineRule="exact"/>
        <w:rPr>
          <w:rFonts w:hint="eastAsia" w:cs="宋体"/>
          <w:b/>
          <w:bCs/>
          <w:color w:val="000000" w:themeColor="text1"/>
          <w:szCs w:val="21"/>
          <w14:textFill>
            <w14:solidFill>
              <w14:schemeClr w14:val="tx1"/>
            </w14:solidFill>
          </w14:textFill>
        </w:rPr>
      </w:pPr>
      <w:bookmarkStart w:id="177" w:name="_Hlk57300265"/>
      <w:r>
        <w:rPr>
          <w:rFonts w:hint="eastAsia" w:cs="宋体"/>
          <w:b/>
          <w:bCs/>
          <w:color w:val="000000" w:themeColor="text1"/>
          <w:szCs w:val="21"/>
          <w14:textFill>
            <w14:solidFill>
              <w14:schemeClr w14:val="tx1"/>
            </w14:solidFill>
          </w14:textFill>
        </w:rPr>
        <w:t>（注：如为法定代表人在投标过程中签署一切文件和处理与之有关的一切事务，无需提供法定代表人授权委托书。）</w:t>
      </w:r>
    </w:p>
    <w:bookmarkEnd w:id="177"/>
    <w:p w14:paraId="347FBB2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本授权书声明：</w:t>
      </w:r>
      <w:r>
        <w:rPr>
          <w:rFonts w:hint="eastAsia" w:cs="宋体"/>
          <w:color w:val="000000" w:themeColor="text1"/>
          <w:szCs w:val="21"/>
          <w:u w:val="single"/>
          <w14:textFill>
            <w14:solidFill>
              <w14:schemeClr w14:val="tx1"/>
            </w14:solidFill>
          </w14:textFill>
        </w:rPr>
        <w:t xml:space="preserve"> （投标人全称） </w:t>
      </w:r>
      <w:r>
        <w:rPr>
          <w:rFonts w:hint="eastAsia" w:cs="宋体"/>
          <w:color w:val="000000" w:themeColor="text1"/>
          <w:szCs w:val="21"/>
          <w14:textFill>
            <w14:solidFill>
              <w14:schemeClr w14:val="tx1"/>
            </w14:solidFill>
          </w14:textFill>
        </w:rPr>
        <w:t>的法定代表人代表本公司授权</w:t>
      </w:r>
      <w:r>
        <w:rPr>
          <w:rFonts w:hint="eastAsia" w:cs="宋体"/>
          <w:color w:val="000000" w:themeColor="text1"/>
          <w:szCs w:val="21"/>
          <w:u w:val="single"/>
          <w14:textFill>
            <w14:solidFill>
              <w14:schemeClr w14:val="tx1"/>
            </w14:solidFill>
          </w14:textFill>
        </w:rPr>
        <w:t>（委托代理人姓名）</w:t>
      </w:r>
      <w:r>
        <w:rPr>
          <w:rFonts w:hint="eastAsia" w:cs="宋体"/>
          <w:color w:val="000000" w:themeColor="text1"/>
          <w:szCs w:val="21"/>
          <w14:textFill>
            <w14:solidFill>
              <w14:schemeClr w14:val="tx1"/>
            </w14:solidFill>
          </w14:textFill>
        </w:rPr>
        <w:t>为本公司合法代理人，就贵方组织的有关</w:t>
      </w:r>
      <w:r>
        <w:rPr>
          <w:rFonts w:hint="eastAsia" w:cs="宋体"/>
          <w:color w:val="000000" w:themeColor="text1"/>
          <w:szCs w:val="21"/>
          <w:u w:val="single"/>
          <w14:textFill>
            <w14:solidFill>
              <w14:schemeClr w14:val="tx1"/>
            </w14:solidFill>
          </w14:textFill>
        </w:rPr>
        <w:t>（项目名称）</w:t>
      </w:r>
      <w:r>
        <w:rPr>
          <w:rFonts w:hint="eastAsia" w:cs="宋体"/>
          <w:color w:val="000000" w:themeColor="text1"/>
          <w:szCs w:val="21"/>
          <w14:textFill>
            <w14:solidFill>
              <w14:schemeClr w14:val="tx1"/>
            </w14:solidFill>
          </w14:textFill>
        </w:rPr>
        <w:t>项目（标段编号：）的招标，以本单位名义投标。代理人在本项目投标过程中所签署的一切文件和处理与之有关的一切事务，我方均予承认。</w:t>
      </w:r>
    </w:p>
    <w:p w14:paraId="233C6C2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代理人无转委托权。</w:t>
      </w:r>
    </w:p>
    <w:p w14:paraId="600D5CCB">
      <w:pPr>
        <w:pStyle w:val="23"/>
        <w:spacing w:line="500" w:lineRule="exact"/>
        <w:ind w:firstLine="800"/>
        <w:rPr>
          <w:rFonts w:hint="eastAsia" w:cs="宋体"/>
          <w:color w:val="000000" w:themeColor="text1"/>
          <w:szCs w:val="21"/>
          <w14:textFill>
            <w14:solidFill>
              <w14:schemeClr w14:val="tx1"/>
            </w14:solidFill>
          </w14:textFill>
        </w:rPr>
      </w:pPr>
    </w:p>
    <w:p w14:paraId="7BADCF07">
      <w:pPr>
        <w:spacing w:line="480" w:lineRule="auto"/>
        <w:jc w:val="righ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5EC4657">
      <w:pPr>
        <w:spacing w:line="480" w:lineRule="auto"/>
        <w:jc w:val="righ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45348C0">
      <w:pPr>
        <w:spacing w:line="480" w:lineRule="auto"/>
        <w:jc w:val="righ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6A1AE316">
      <w:pPr>
        <w:pStyle w:val="23"/>
        <w:spacing w:line="500" w:lineRule="exact"/>
        <w:ind w:firstLine="800"/>
        <w:rPr>
          <w:rFonts w:hint="eastAsia" w:cs="宋体"/>
          <w:color w:val="000000" w:themeColor="text1"/>
          <w:szCs w:val="21"/>
          <w14:textFill>
            <w14:solidFill>
              <w14:schemeClr w14:val="tx1"/>
            </w14:solidFill>
          </w14:textFill>
        </w:rPr>
      </w:pPr>
    </w:p>
    <w:tbl>
      <w:tblPr>
        <w:tblStyle w:val="44"/>
        <w:tblW w:w="6491" w:type="dxa"/>
        <w:tblInd w:w="97" w:type="dxa"/>
        <w:tblLayout w:type="fixed"/>
        <w:tblCellMar>
          <w:top w:w="0" w:type="dxa"/>
          <w:left w:w="108" w:type="dxa"/>
          <w:bottom w:w="0" w:type="dxa"/>
          <w:right w:w="108" w:type="dxa"/>
        </w:tblCellMar>
      </w:tblPr>
      <w:tblGrid>
        <w:gridCol w:w="2531"/>
        <w:gridCol w:w="3960"/>
      </w:tblGrid>
      <w:tr w14:paraId="247D13F7">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2486AE11">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 xml:space="preserve">附： </w:t>
            </w:r>
          </w:p>
        </w:tc>
        <w:tc>
          <w:tcPr>
            <w:tcW w:w="3960" w:type="dxa"/>
            <w:tcBorders>
              <w:top w:val="nil"/>
              <w:left w:val="nil"/>
              <w:bottom w:val="nil"/>
              <w:right w:val="nil"/>
            </w:tcBorders>
            <w:noWrap/>
          </w:tcPr>
          <w:p w14:paraId="5DD08B4E">
            <w:pPr>
              <w:pStyle w:val="23"/>
              <w:rPr>
                <w:rFonts w:hint="eastAsia" w:cs="宋体"/>
                <w:color w:val="000000" w:themeColor="text1"/>
                <w:szCs w:val="21"/>
                <w14:textFill>
                  <w14:solidFill>
                    <w14:schemeClr w14:val="tx1"/>
                  </w14:solidFill>
                </w14:textFill>
              </w:rPr>
            </w:pPr>
          </w:p>
        </w:tc>
      </w:tr>
      <w:tr w14:paraId="42CDAEC1">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D73C265">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委托代理人姓名：</w:t>
            </w:r>
          </w:p>
        </w:tc>
        <w:tc>
          <w:tcPr>
            <w:tcW w:w="3960" w:type="dxa"/>
            <w:tcBorders>
              <w:top w:val="nil"/>
              <w:left w:val="nil"/>
              <w:bottom w:val="nil"/>
              <w:right w:val="nil"/>
            </w:tcBorders>
            <w:noWrap/>
          </w:tcPr>
          <w:p w14:paraId="0CF58A77">
            <w:pPr>
              <w:pStyle w:val="23"/>
              <w:rPr>
                <w:rFonts w:hint="eastAsia" w:cs="宋体"/>
                <w:color w:val="000000" w:themeColor="text1"/>
                <w:szCs w:val="21"/>
                <w14:textFill>
                  <w14:solidFill>
                    <w14:schemeClr w14:val="tx1"/>
                  </w14:solidFill>
                </w14:textFill>
              </w:rPr>
            </w:pPr>
          </w:p>
        </w:tc>
      </w:tr>
      <w:tr w14:paraId="32D6E416">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7B5EC71">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       务：</w:t>
            </w:r>
          </w:p>
        </w:tc>
        <w:tc>
          <w:tcPr>
            <w:tcW w:w="3960" w:type="dxa"/>
            <w:tcBorders>
              <w:top w:val="nil"/>
              <w:left w:val="nil"/>
              <w:bottom w:val="nil"/>
              <w:right w:val="nil"/>
            </w:tcBorders>
            <w:noWrap/>
          </w:tcPr>
          <w:p w14:paraId="493C8C15">
            <w:pPr>
              <w:pStyle w:val="23"/>
              <w:rPr>
                <w:rFonts w:hint="eastAsia" w:cs="宋体"/>
                <w:color w:val="000000" w:themeColor="text1"/>
                <w:szCs w:val="21"/>
                <w14:textFill>
                  <w14:solidFill>
                    <w14:schemeClr w14:val="tx1"/>
                  </w14:solidFill>
                </w14:textFill>
              </w:rPr>
            </w:pPr>
          </w:p>
        </w:tc>
      </w:tr>
      <w:tr w14:paraId="2F054C43">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8F8ED64">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c>
          <w:tcPr>
            <w:tcW w:w="3960" w:type="dxa"/>
            <w:tcBorders>
              <w:top w:val="nil"/>
              <w:left w:val="nil"/>
              <w:bottom w:val="nil"/>
              <w:right w:val="nil"/>
            </w:tcBorders>
            <w:noWrap/>
          </w:tcPr>
          <w:p w14:paraId="00B80786">
            <w:pPr>
              <w:pStyle w:val="23"/>
              <w:rPr>
                <w:rFonts w:hint="eastAsia" w:cs="宋体"/>
                <w:color w:val="000000" w:themeColor="text1"/>
                <w:szCs w:val="21"/>
                <w14:textFill>
                  <w14:solidFill>
                    <w14:schemeClr w14:val="tx1"/>
                  </w14:solidFill>
                </w14:textFill>
              </w:rPr>
            </w:pPr>
          </w:p>
        </w:tc>
      </w:tr>
      <w:tr w14:paraId="268384FD">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94B8319">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电       话：</w:t>
            </w:r>
          </w:p>
        </w:tc>
        <w:tc>
          <w:tcPr>
            <w:tcW w:w="3960" w:type="dxa"/>
            <w:tcBorders>
              <w:top w:val="nil"/>
              <w:left w:val="nil"/>
              <w:bottom w:val="nil"/>
              <w:right w:val="nil"/>
            </w:tcBorders>
            <w:noWrap/>
          </w:tcPr>
          <w:p w14:paraId="60F15CD7">
            <w:pPr>
              <w:pStyle w:val="23"/>
              <w:rPr>
                <w:rFonts w:hint="eastAsia" w:cs="宋体"/>
                <w:color w:val="000000" w:themeColor="text1"/>
                <w:szCs w:val="21"/>
                <w14:textFill>
                  <w14:solidFill>
                    <w14:schemeClr w14:val="tx1"/>
                  </w14:solidFill>
                </w14:textFill>
              </w:rPr>
            </w:pPr>
          </w:p>
        </w:tc>
      </w:tr>
    </w:tbl>
    <w:p w14:paraId="1E91B26E">
      <w:pPr>
        <w:pStyle w:val="23"/>
        <w:spacing w:line="500" w:lineRule="exac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注:后附委托代理人身份证（扫描件）</w:t>
      </w:r>
      <w:bookmarkStart w:id="178" w:name="_Hlk57300346"/>
      <w:r>
        <w:rPr>
          <w:rFonts w:hint="eastAsia" w:cs="宋体"/>
          <w:b/>
          <w:bCs/>
          <w:color w:val="000000" w:themeColor="text1"/>
          <w:szCs w:val="21"/>
          <w14:textFill>
            <w14:solidFill>
              <w14:schemeClr w14:val="tx1"/>
            </w14:solidFill>
          </w14:textFill>
        </w:rPr>
        <w:t>，否则视为无效委托书</w:t>
      </w:r>
      <w:bookmarkEnd w:id="178"/>
      <w:r>
        <w:rPr>
          <w:rFonts w:hint="eastAsia" w:cs="宋体"/>
          <w:b/>
          <w:bCs/>
          <w:color w:val="000000" w:themeColor="text1"/>
          <w:szCs w:val="21"/>
          <w14:textFill>
            <w14:solidFill>
              <w14:schemeClr w14:val="tx1"/>
            </w14:solidFill>
          </w14:textFill>
        </w:rPr>
        <w:t>。</w:t>
      </w:r>
    </w:p>
    <w:p w14:paraId="5676FB9A">
      <w:pPr>
        <w:pStyle w:val="23"/>
        <w:spacing w:line="600" w:lineRule="exact"/>
        <w:rPr>
          <w:rFonts w:hint="eastAsia" w:cs="宋体"/>
          <w:b/>
          <w:sz w:val="28"/>
          <w:szCs w:val="28"/>
        </w:rPr>
      </w:pPr>
      <w:r>
        <w:rPr>
          <w:rFonts w:hint="eastAsia" w:cs="宋体"/>
          <w:sz w:val="24"/>
        </w:rPr>
        <w:br w:type="page"/>
      </w:r>
    </w:p>
    <w:p w14:paraId="2D9F3463">
      <w:pPr>
        <w:jc w:val="center"/>
        <w:outlineLvl w:val="2"/>
        <w:rPr>
          <w:rFonts w:hint="eastAsia"/>
          <w:b/>
          <w:bCs/>
          <w:sz w:val="28"/>
          <w:szCs w:val="36"/>
        </w:rPr>
      </w:pPr>
      <w:bookmarkStart w:id="179" w:name="_Toc9208"/>
      <w:bookmarkStart w:id="180" w:name="_Toc170120945"/>
      <w:bookmarkStart w:id="181" w:name="_Toc25787"/>
      <w:bookmarkStart w:id="182" w:name="_Toc166067772"/>
      <w:bookmarkStart w:id="183" w:name="_Toc216724742"/>
      <w:bookmarkStart w:id="184" w:name="_Toc216368769"/>
      <w:bookmarkStart w:id="185" w:name="_Toc27501"/>
      <w:r>
        <w:rPr>
          <w:rFonts w:hint="eastAsia"/>
          <w:b/>
          <w:bCs/>
          <w:sz w:val="28"/>
          <w:szCs w:val="36"/>
        </w:rPr>
        <w:t>（四）投标保证金交纳凭证</w:t>
      </w:r>
      <w:bookmarkEnd w:id="179"/>
      <w:bookmarkEnd w:id="180"/>
      <w:bookmarkEnd w:id="181"/>
      <w:bookmarkEnd w:id="182"/>
      <w:bookmarkEnd w:id="183"/>
      <w:bookmarkEnd w:id="184"/>
      <w:bookmarkEnd w:id="185"/>
    </w:p>
    <w:p w14:paraId="4FA993F4">
      <w:pPr>
        <w:jc w:val="center"/>
        <w:rPr>
          <w:rFonts w:hint="eastAsia" w:cs="宋体"/>
          <w:szCs w:val="15"/>
        </w:rPr>
      </w:pPr>
      <w:r>
        <w:rPr>
          <w:rFonts w:hint="eastAsia" w:cs="宋体"/>
          <w:szCs w:val="15"/>
        </w:rPr>
        <w:t>（扫描件）</w:t>
      </w:r>
    </w:p>
    <w:p w14:paraId="379DD740">
      <w:pPr>
        <w:rPr>
          <w:rFonts w:hint="eastAsia"/>
        </w:rPr>
      </w:pPr>
    </w:p>
    <w:p w14:paraId="3D578366">
      <w:pPr>
        <w:pStyle w:val="2"/>
        <w:rPr>
          <w:rFonts w:hint="eastAsia" w:ascii="宋体" w:hAnsi="宋体"/>
        </w:rPr>
      </w:pPr>
    </w:p>
    <w:p w14:paraId="6158AF07">
      <w:pPr>
        <w:jc w:val="center"/>
        <w:outlineLvl w:val="2"/>
        <w:rPr>
          <w:rFonts w:hint="eastAsia"/>
          <w:b/>
          <w:bCs/>
          <w:sz w:val="48"/>
          <w:szCs w:val="48"/>
        </w:rPr>
      </w:pPr>
      <w:bookmarkStart w:id="186" w:name="_Toc166067773"/>
      <w:bookmarkStart w:id="187" w:name="_Toc170120946"/>
      <w:bookmarkStart w:id="188" w:name="_Toc216724743"/>
      <w:bookmarkStart w:id="189" w:name="_Toc216368770"/>
      <w:bookmarkStart w:id="190" w:name="_Toc18868"/>
      <w:r>
        <w:rPr>
          <w:rFonts w:hint="eastAsia"/>
          <w:b/>
          <w:bCs/>
          <w:sz w:val="28"/>
          <w:szCs w:val="36"/>
        </w:rPr>
        <w:t>（五）</w:t>
      </w:r>
      <w:bookmarkEnd w:id="159"/>
      <w:bookmarkEnd w:id="160"/>
      <w:bookmarkEnd w:id="161"/>
      <w:r>
        <w:rPr>
          <w:rFonts w:hint="eastAsia"/>
          <w:b/>
          <w:bCs/>
          <w:sz w:val="28"/>
          <w:szCs w:val="36"/>
        </w:rPr>
        <w:t>营业执照或同等法定证明</w:t>
      </w:r>
      <w:bookmarkEnd w:id="186"/>
      <w:bookmarkEnd w:id="187"/>
      <w:bookmarkEnd w:id="188"/>
      <w:bookmarkEnd w:id="189"/>
      <w:bookmarkEnd w:id="190"/>
    </w:p>
    <w:p w14:paraId="223F8A9E">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（扫描件/复印件）</w:t>
      </w:r>
    </w:p>
    <w:p w14:paraId="7AB59886">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0"/>
          <w14:textFill>
            <w14:solidFill>
              <w14:schemeClr w14:val="tx1"/>
            </w14:solidFill>
          </w14:textFill>
        </w:rPr>
        <w:t>详见“</w:t>
      </w:r>
      <w:r>
        <w:rPr>
          <w:rFonts w:hint="eastAsia" w:cs="宋体"/>
          <w:b/>
          <w:color w:val="000000" w:themeColor="text1"/>
          <w:szCs w:val="28"/>
          <w14:textFill>
            <w14:solidFill>
              <w14:schemeClr w14:val="tx1"/>
            </w14:solidFill>
          </w14:textFill>
        </w:rPr>
        <w:t>投标人须知</w:t>
      </w:r>
      <w:r>
        <w:rPr>
          <w:rFonts w:hint="eastAsia" w:cs="宋体"/>
          <w:color w:val="000000" w:themeColor="text1"/>
          <w:szCs w:val="20"/>
          <w14:textFill>
            <w14:solidFill>
              <w14:schemeClr w14:val="tx1"/>
            </w14:solidFill>
          </w14:textFill>
        </w:rPr>
        <w:t>”4.1.</w:t>
      </w:r>
      <w:r>
        <w:rPr>
          <w:rFonts w:cs="宋体"/>
          <w:color w:val="000000" w:themeColor="text1"/>
          <w:szCs w:val="20"/>
          <w14:textFill>
            <w14:solidFill>
              <w14:schemeClr w14:val="tx1"/>
            </w14:solidFill>
          </w14:textFill>
        </w:rPr>
        <w:t>1</w:t>
      </w:r>
      <w:r>
        <w:rPr>
          <w:rFonts w:hint="eastAsia" w:cs="宋体"/>
          <w:color w:val="000000" w:themeColor="text1"/>
          <w:szCs w:val="20"/>
          <w14:textFill>
            <w14:solidFill>
              <w14:schemeClr w14:val="tx1"/>
            </w14:solidFill>
          </w14:textFill>
        </w:rPr>
        <w:t>款规定。</w:t>
      </w:r>
    </w:p>
    <w:p w14:paraId="23A957AC">
      <w:pPr>
        <w:spacing w:line="500" w:lineRule="exact"/>
        <w:jc w:val="left"/>
        <w:rPr>
          <w:rFonts w:hint="eastAsia" w:cs="宋体"/>
          <w:b/>
          <w:bCs/>
          <w:kern w:val="0"/>
          <w:szCs w:val="21"/>
        </w:rPr>
      </w:pPr>
      <w:r>
        <w:rPr>
          <w:rFonts w:hint="eastAsia" w:cs="宋体"/>
          <w:b/>
          <w:bCs/>
          <w:szCs w:val="21"/>
        </w:rPr>
        <w:t>注：投标人如果是代理商或经销商，须提供制造商的营业执照</w:t>
      </w:r>
      <w:r>
        <w:rPr>
          <w:rFonts w:hint="eastAsia" w:cs="宋体"/>
          <w:b/>
          <w:bCs/>
          <w:kern w:val="0"/>
          <w:szCs w:val="21"/>
        </w:rPr>
        <w:t>(制造商工商注册地在中华人民共和国境外的，不做此项要求)</w:t>
      </w:r>
    </w:p>
    <w:p w14:paraId="3295393A">
      <w:pPr>
        <w:spacing w:line="600" w:lineRule="exact"/>
        <w:jc w:val="left"/>
        <w:rPr>
          <w:rFonts w:hint="eastAsia" w:cs="宋体"/>
          <w:b/>
          <w:color w:val="000000" w:themeColor="text1"/>
          <w:sz w:val="28"/>
          <w:szCs w:val="28"/>
          <w14:textFill>
            <w14:solidFill>
              <w14:schemeClr w14:val="tx1"/>
            </w14:solidFill>
          </w14:textFill>
        </w:rPr>
      </w:pPr>
    </w:p>
    <w:p w14:paraId="21C13473">
      <w:pPr>
        <w:pStyle w:val="2"/>
        <w:rPr>
          <w:rFonts w:hint="eastAsia" w:ascii="宋体" w:hAnsi="宋体"/>
        </w:rPr>
      </w:pPr>
    </w:p>
    <w:p w14:paraId="0C05D31B">
      <w:pPr>
        <w:jc w:val="center"/>
        <w:outlineLvl w:val="2"/>
        <w:rPr>
          <w:rFonts w:hint="eastAsia"/>
          <w:b/>
          <w:bCs/>
          <w:sz w:val="28"/>
          <w:szCs w:val="36"/>
        </w:rPr>
      </w:pPr>
      <w:bookmarkStart w:id="191" w:name="_Toc125904339"/>
      <w:bookmarkStart w:id="192" w:name="_Toc216368771"/>
      <w:bookmarkStart w:id="193" w:name="_Toc216724744"/>
      <w:bookmarkStart w:id="194" w:name="_Toc139357067"/>
      <w:bookmarkStart w:id="195" w:name="_Toc170120947"/>
      <w:bookmarkStart w:id="196" w:name="_Toc166067774"/>
      <w:bookmarkStart w:id="197" w:name="_Toc125986476"/>
      <w:bookmarkStart w:id="198" w:name="_Toc779"/>
      <w:r>
        <w:rPr>
          <w:rFonts w:hint="eastAsia"/>
          <w:b/>
          <w:bCs/>
          <w:sz w:val="28"/>
          <w:szCs w:val="36"/>
        </w:rPr>
        <w:t>（六）投标人财务状况报告</w:t>
      </w:r>
      <w:bookmarkEnd w:id="191"/>
      <w:bookmarkEnd w:id="192"/>
      <w:bookmarkEnd w:id="193"/>
      <w:bookmarkEnd w:id="194"/>
      <w:bookmarkEnd w:id="195"/>
      <w:bookmarkEnd w:id="196"/>
      <w:bookmarkEnd w:id="197"/>
      <w:bookmarkEnd w:id="198"/>
    </w:p>
    <w:p w14:paraId="5680768B">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”4.1.2款规定。</w:t>
      </w:r>
    </w:p>
    <w:p w14:paraId="6A17FFB5">
      <w:pPr>
        <w:spacing w:line="600" w:lineRule="exact"/>
        <w:rPr>
          <w:rFonts w:hint="eastAsia"/>
          <w:b/>
          <w:color w:val="000000"/>
          <w:sz w:val="24"/>
          <w:szCs w:val="20"/>
        </w:rPr>
      </w:pPr>
      <w:r>
        <w:rPr>
          <w:b/>
          <w:color w:val="000000"/>
          <w:sz w:val="24"/>
        </w:rPr>
        <w:t>注：选择出具经审计的财务审计报告的投标人，</w:t>
      </w:r>
      <w:r>
        <w:rPr>
          <w:b/>
          <w:color w:val="000000"/>
          <w:sz w:val="24"/>
          <w:szCs w:val="20"/>
        </w:rPr>
        <w:t>应根据实际情况，勾选以下A、B选项，并后附经审计的财务审计报告。若选择提供</w:t>
      </w:r>
      <w:r>
        <w:rPr>
          <w:b/>
          <w:color w:val="000000"/>
          <w:sz w:val="24"/>
        </w:rPr>
        <w:t>资信证明或投标担保函的投标人则按招标文件要求提供材料即可，无需进行勾选。</w:t>
      </w:r>
    </w:p>
    <w:p w14:paraId="35B9B6F8">
      <w:pPr>
        <w:spacing w:line="600" w:lineRule="exact"/>
        <w:rPr>
          <w:rFonts w:hint="eastAsia"/>
          <w:b/>
          <w:bCs/>
          <w:color w:val="000000"/>
          <w:sz w:val="24"/>
        </w:rPr>
      </w:pPr>
      <w:r>
        <w:rPr>
          <w:b/>
          <w:bCs/>
          <w:color w:val="000000"/>
          <w:sz w:val="24"/>
        </w:rPr>
        <w:t>A.口我公司适用于企业会计准则。</w:t>
      </w:r>
    </w:p>
    <w:p w14:paraId="30AD175F">
      <w:pPr>
        <w:spacing w:line="600" w:lineRule="exact"/>
        <w:rPr>
          <w:rFonts w:hint="eastAsia"/>
          <w:b/>
          <w:bCs/>
          <w:color w:val="000000"/>
          <w:sz w:val="24"/>
        </w:rPr>
      </w:pPr>
      <w:r>
        <w:rPr>
          <w:b/>
          <w:bCs/>
          <w:color w:val="000000"/>
          <w:sz w:val="24"/>
        </w:rPr>
        <w:t>B.口我公司适用于小企业会计准则。</w:t>
      </w:r>
    </w:p>
    <w:p w14:paraId="19509421">
      <w:pPr>
        <w:spacing w:line="600" w:lineRule="exact"/>
        <w:jc w:val="left"/>
        <w:rPr>
          <w:rFonts w:hint="eastAsia" w:cs="宋体"/>
          <w:b/>
          <w:color w:val="000000" w:themeColor="text1"/>
          <w:sz w:val="28"/>
          <w:szCs w:val="28"/>
          <w14:textFill>
            <w14:solidFill>
              <w14:schemeClr w14:val="tx1"/>
            </w14:solidFill>
          </w14:textFill>
        </w:rPr>
      </w:pPr>
    </w:p>
    <w:p w14:paraId="434F8377">
      <w:pPr>
        <w:pStyle w:val="2"/>
        <w:rPr>
          <w:rFonts w:hint="eastAsia" w:ascii="宋体" w:hAnsi="宋体"/>
        </w:rPr>
      </w:pPr>
    </w:p>
    <w:p w14:paraId="380D791A">
      <w:pPr>
        <w:widowControl/>
        <w:spacing w:line="240" w:lineRule="auto"/>
        <w:jc w:val="left"/>
        <w:rPr>
          <w:rFonts w:hint="eastAsia"/>
          <w:b/>
          <w:bCs/>
          <w:sz w:val="28"/>
          <w:szCs w:val="36"/>
        </w:rPr>
      </w:pPr>
      <w:bookmarkStart w:id="199" w:name="_Toc139357068"/>
      <w:bookmarkStart w:id="200" w:name="_Toc170120948"/>
      <w:bookmarkStart w:id="201" w:name="_Toc216724745"/>
      <w:bookmarkStart w:id="202" w:name="_Toc125986477"/>
      <w:bookmarkStart w:id="203" w:name="_Toc216368772"/>
      <w:bookmarkStart w:id="204" w:name="_Toc166067775"/>
      <w:bookmarkStart w:id="205" w:name="_Toc125904340"/>
      <w:r>
        <w:rPr>
          <w:rFonts w:hint="eastAsia"/>
          <w:b/>
          <w:bCs/>
          <w:sz w:val="28"/>
          <w:szCs w:val="36"/>
        </w:rPr>
        <w:br w:type="page"/>
      </w:r>
    </w:p>
    <w:p w14:paraId="5C733F06">
      <w:pPr>
        <w:jc w:val="center"/>
        <w:outlineLvl w:val="2"/>
        <w:rPr>
          <w:rFonts w:hint="eastAsia"/>
          <w:b/>
          <w:bCs/>
          <w:sz w:val="28"/>
          <w:szCs w:val="36"/>
        </w:rPr>
      </w:pPr>
      <w:bookmarkStart w:id="206" w:name="_Toc28784"/>
      <w:r>
        <w:rPr>
          <w:rFonts w:hint="eastAsia"/>
          <w:b/>
          <w:bCs/>
          <w:sz w:val="28"/>
          <w:szCs w:val="36"/>
        </w:rPr>
        <w:t>（七）投标人依法缴纳税收的证明材料</w:t>
      </w:r>
      <w:bookmarkEnd w:id="199"/>
      <w:bookmarkEnd w:id="200"/>
      <w:bookmarkEnd w:id="201"/>
      <w:bookmarkEnd w:id="202"/>
      <w:bookmarkEnd w:id="203"/>
      <w:bookmarkEnd w:id="204"/>
      <w:bookmarkEnd w:id="205"/>
      <w:bookmarkEnd w:id="206"/>
    </w:p>
    <w:p w14:paraId="4C45BE5E">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”4.1.3款规定。</w:t>
      </w:r>
    </w:p>
    <w:p w14:paraId="2AA4F949">
      <w:pPr>
        <w:widowControl/>
        <w:jc w:val="left"/>
        <w:rPr>
          <w:rFonts w:hint="eastAsia" w:cs="宋体"/>
          <w:color w:val="000000" w:themeColor="text1"/>
          <w14:textFill>
            <w14:solidFill>
              <w14:schemeClr w14:val="tx1"/>
            </w14:solidFill>
          </w14:textFill>
        </w:rPr>
      </w:pPr>
    </w:p>
    <w:p w14:paraId="15FC36E5">
      <w:pPr>
        <w:pStyle w:val="2"/>
        <w:rPr>
          <w:rFonts w:hint="eastAsia" w:ascii="宋体" w:hAnsi="宋体"/>
        </w:rPr>
      </w:pPr>
    </w:p>
    <w:p w14:paraId="07D2ACB6">
      <w:pPr>
        <w:jc w:val="center"/>
        <w:outlineLvl w:val="2"/>
        <w:rPr>
          <w:rFonts w:hint="eastAsia"/>
          <w:b/>
          <w:bCs/>
          <w:sz w:val="28"/>
          <w:szCs w:val="36"/>
        </w:rPr>
      </w:pPr>
      <w:bookmarkStart w:id="207" w:name="_Toc166067776"/>
      <w:bookmarkStart w:id="208" w:name="_Toc170120949"/>
      <w:bookmarkStart w:id="209" w:name="_Toc125986478"/>
      <w:bookmarkStart w:id="210" w:name="_Toc139357069"/>
      <w:bookmarkStart w:id="211" w:name="_Toc216368773"/>
      <w:bookmarkStart w:id="212" w:name="_Toc216724746"/>
      <w:bookmarkStart w:id="213" w:name="_Toc125904341"/>
      <w:bookmarkStart w:id="214" w:name="_Toc23091"/>
      <w:r>
        <w:rPr>
          <w:rFonts w:hint="eastAsia"/>
          <w:b/>
          <w:bCs/>
          <w:sz w:val="28"/>
          <w:szCs w:val="36"/>
        </w:rPr>
        <w:t>（八）投标人依法缴纳社会保障资金的证明材料</w:t>
      </w:r>
      <w:bookmarkEnd w:id="207"/>
      <w:bookmarkEnd w:id="208"/>
      <w:bookmarkEnd w:id="209"/>
      <w:bookmarkEnd w:id="210"/>
      <w:bookmarkEnd w:id="211"/>
      <w:bookmarkEnd w:id="212"/>
      <w:bookmarkEnd w:id="213"/>
      <w:bookmarkEnd w:id="214"/>
    </w:p>
    <w:p w14:paraId="38387A7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”4.1.4款规定。</w:t>
      </w:r>
    </w:p>
    <w:p w14:paraId="69BEF17B">
      <w:pPr>
        <w:jc w:val="left"/>
        <w:rPr>
          <w:rFonts w:hint="eastAsia" w:cs="宋体"/>
          <w:color w:val="000000" w:themeColor="text1"/>
          <w14:textFill>
            <w14:solidFill>
              <w14:schemeClr w14:val="tx1"/>
            </w14:solidFill>
          </w14:textFill>
        </w:rPr>
      </w:pPr>
    </w:p>
    <w:p w14:paraId="5D42FC1C">
      <w:pPr>
        <w:pStyle w:val="2"/>
        <w:rPr>
          <w:rFonts w:hint="eastAsia" w:ascii="宋体" w:hAnsi="宋体"/>
        </w:rPr>
      </w:pPr>
    </w:p>
    <w:p w14:paraId="6DCEA4BF">
      <w:pPr>
        <w:jc w:val="center"/>
        <w:outlineLvl w:val="2"/>
        <w:rPr>
          <w:rFonts w:hint="eastAsia"/>
          <w:b/>
          <w:bCs/>
          <w:sz w:val="28"/>
          <w:szCs w:val="36"/>
        </w:rPr>
      </w:pPr>
      <w:bookmarkStart w:id="215" w:name="_Toc125904342"/>
      <w:bookmarkStart w:id="216" w:name="_Toc216724747"/>
      <w:bookmarkStart w:id="217" w:name="_Toc170120950"/>
      <w:bookmarkStart w:id="218" w:name="_Toc139357070"/>
      <w:bookmarkStart w:id="219" w:name="_Toc166067777"/>
      <w:bookmarkStart w:id="220" w:name="_Toc125986479"/>
      <w:bookmarkStart w:id="221" w:name="_Toc216368774"/>
      <w:bookmarkStart w:id="222" w:name="_Toc19587"/>
      <w:r>
        <w:rPr>
          <w:rFonts w:hint="eastAsia"/>
          <w:b/>
          <w:bCs/>
          <w:sz w:val="28"/>
          <w:szCs w:val="36"/>
        </w:rPr>
        <w:t>（九）投标人须提供具备履行合同所必需的设备和专业技术能力的证明材料</w:t>
      </w:r>
      <w:bookmarkEnd w:id="215"/>
      <w:bookmarkEnd w:id="216"/>
      <w:bookmarkEnd w:id="217"/>
      <w:bookmarkEnd w:id="218"/>
      <w:bookmarkEnd w:id="219"/>
      <w:bookmarkEnd w:id="220"/>
      <w:bookmarkEnd w:id="221"/>
      <w:bookmarkEnd w:id="222"/>
    </w:p>
    <w:p w14:paraId="2B9326C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（提供承诺书，内容自拟）</w:t>
      </w:r>
      <w:r>
        <w:rPr>
          <w:b/>
          <w:bCs/>
          <w:sz w:val="32"/>
          <w:szCs w:val="40"/>
        </w:rPr>
        <w:br w:type="page"/>
      </w:r>
    </w:p>
    <w:p w14:paraId="47436FA4">
      <w:pPr>
        <w:jc w:val="center"/>
        <w:outlineLvl w:val="2"/>
        <w:rPr>
          <w:rFonts w:hint="eastAsia"/>
          <w:b/>
          <w:bCs/>
          <w:sz w:val="28"/>
          <w:szCs w:val="36"/>
        </w:rPr>
      </w:pPr>
      <w:bookmarkStart w:id="223" w:name="_Toc170120951"/>
      <w:bookmarkStart w:id="224" w:name="_Toc216724748"/>
      <w:bookmarkStart w:id="225" w:name="_Toc125986480"/>
      <w:bookmarkStart w:id="226" w:name="_Toc139357071"/>
      <w:bookmarkStart w:id="227" w:name="_Toc125904343"/>
      <w:bookmarkStart w:id="228" w:name="_Toc216368775"/>
      <w:bookmarkStart w:id="229" w:name="_Toc166067778"/>
      <w:bookmarkStart w:id="230" w:name="_Toc22139"/>
      <w:r>
        <w:rPr>
          <w:rFonts w:hint="eastAsia"/>
          <w:b/>
          <w:bCs/>
          <w:sz w:val="28"/>
          <w:szCs w:val="36"/>
        </w:rPr>
        <w:t>（十）投标人须提供参加政府采购活动前3年内在经营活动中没有重大违法记录的书面声明</w:t>
      </w:r>
      <w:bookmarkEnd w:id="223"/>
      <w:bookmarkEnd w:id="224"/>
      <w:bookmarkEnd w:id="225"/>
      <w:bookmarkEnd w:id="226"/>
      <w:bookmarkEnd w:id="227"/>
      <w:bookmarkEnd w:id="228"/>
      <w:bookmarkEnd w:id="229"/>
      <w:bookmarkEnd w:id="230"/>
    </w:p>
    <w:p w14:paraId="011ECE22">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（提供书面声明，内容自拟）</w:t>
      </w:r>
    </w:p>
    <w:p w14:paraId="15D6A2E1">
      <w:pPr>
        <w:jc w:val="left"/>
        <w:rPr>
          <w:rFonts w:hint="eastAsia" w:cs="宋体"/>
          <w:color w:val="000000" w:themeColor="text1"/>
          <w14:textFill>
            <w14:solidFill>
              <w14:schemeClr w14:val="tx1"/>
            </w14:solidFill>
          </w14:textFill>
        </w:rPr>
      </w:pPr>
    </w:p>
    <w:p w14:paraId="663351E0">
      <w:pPr>
        <w:jc w:val="left"/>
        <w:rPr>
          <w:rFonts w:hint="eastAsia" w:cs="宋体"/>
          <w:color w:val="000000" w:themeColor="text1"/>
          <w14:textFill>
            <w14:solidFill>
              <w14:schemeClr w14:val="tx1"/>
            </w14:solidFill>
          </w14:textFill>
        </w:rPr>
      </w:pPr>
    </w:p>
    <w:p w14:paraId="59D8F64C">
      <w:pPr>
        <w:jc w:val="left"/>
        <w:rPr>
          <w:rFonts w:hint="eastAsia" w:cs="宋体"/>
          <w:color w:val="000000" w:themeColor="text1"/>
          <w14:textFill>
            <w14:solidFill>
              <w14:schemeClr w14:val="tx1"/>
            </w14:solidFill>
          </w14:textFill>
        </w:rPr>
      </w:pPr>
    </w:p>
    <w:p w14:paraId="736DA3C3">
      <w:pPr>
        <w:jc w:val="left"/>
        <w:rPr>
          <w:rFonts w:hint="eastAsia" w:cs="宋体"/>
          <w:color w:val="000000" w:themeColor="text1"/>
          <w14:textFill>
            <w14:solidFill>
              <w14:schemeClr w14:val="tx1"/>
            </w14:solidFill>
          </w14:textFill>
        </w:rPr>
      </w:pPr>
    </w:p>
    <w:p w14:paraId="50306E18">
      <w:pPr>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注：重大违法记录，是指投标人因违法经营受到刑事处罚或者责令停产停业、吊销许可证或者执照、较大数额罚款（即200万元以上的罚款）等行政处罚。</w:t>
      </w:r>
    </w:p>
    <w:p w14:paraId="6CFC6B1A">
      <w:pPr>
        <w:widowControl/>
        <w:spacing w:line="240" w:lineRule="auto"/>
        <w:jc w:val="left"/>
        <w:rPr>
          <w:rFonts w:hint="eastAsia"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br w:type="page"/>
      </w:r>
    </w:p>
    <w:p w14:paraId="2AA5C33A">
      <w:pPr>
        <w:jc w:val="center"/>
        <w:outlineLvl w:val="2"/>
        <w:rPr>
          <w:rFonts w:hint="eastAsia"/>
          <w:b/>
          <w:kern w:val="0"/>
          <w:sz w:val="28"/>
          <w:szCs w:val="20"/>
        </w:rPr>
      </w:pPr>
      <w:bookmarkStart w:id="231" w:name="_Toc208348108"/>
      <w:bookmarkStart w:id="232" w:name="_Toc216368776"/>
      <w:bookmarkStart w:id="233" w:name="_Toc216724749"/>
      <w:bookmarkStart w:id="234" w:name="_Toc208348197"/>
      <w:bookmarkStart w:id="235" w:name="_Toc359"/>
      <w:bookmarkStart w:id="236" w:name="_Toc16721"/>
      <w:bookmarkStart w:id="237" w:name="_Toc1740"/>
      <w:r>
        <w:rPr>
          <w:rFonts w:hint="eastAsia" w:cs="宋体"/>
          <w:b/>
          <w:bCs/>
          <w:kern w:val="0"/>
          <w:sz w:val="28"/>
          <w:szCs w:val="18"/>
        </w:rPr>
        <w:t>（十一）直接控股、管理关系书面声明函</w:t>
      </w:r>
      <w:bookmarkEnd w:id="231"/>
      <w:bookmarkEnd w:id="232"/>
      <w:bookmarkEnd w:id="233"/>
      <w:bookmarkEnd w:id="234"/>
      <w:bookmarkEnd w:id="235"/>
      <w:bookmarkEnd w:id="236"/>
      <w:bookmarkEnd w:id="237"/>
    </w:p>
    <w:p w14:paraId="343F486F">
      <w:pPr>
        <w:snapToGrid w:val="0"/>
        <w:rPr>
          <w:rFonts w:hint="eastAsia"/>
          <w:b/>
          <w:bCs/>
          <w:szCs w:val="21"/>
          <w:u w:val="single"/>
        </w:rPr>
      </w:pPr>
      <w:r>
        <w:rPr>
          <w:rFonts w:hint="eastAsia"/>
          <w:b/>
          <w:bCs/>
          <w:szCs w:val="21"/>
          <w:u w:val="single"/>
        </w:rPr>
        <w:t>云南招标股份有限公司：</w:t>
      </w:r>
    </w:p>
    <w:p w14:paraId="7ACAA549">
      <w:pPr>
        <w:snapToGrid w:val="0"/>
        <w:rPr>
          <w:rFonts w:hint="eastAsia"/>
          <w:szCs w:val="21"/>
        </w:rPr>
      </w:pPr>
      <w:r>
        <w:rPr>
          <w:rFonts w:hint="eastAsia"/>
          <w:szCs w:val="21"/>
        </w:rPr>
        <w:t xml:space="preserve">一、下述公司负责人与我公司单位负责人为同一人：（如无则本项填写“无”）  </w:t>
      </w:r>
    </w:p>
    <w:p w14:paraId="4B33CEFD">
      <w:pPr>
        <w:snapToGrid w:val="0"/>
        <w:rPr>
          <w:rFonts w:hint="eastAsia"/>
          <w:szCs w:val="21"/>
        </w:rPr>
      </w:pPr>
      <w:r>
        <w:rPr>
          <w:szCs w:val="21"/>
        </w:rPr>
        <w:t>1.</w:t>
      </w:r>
      <w:r>
        <w:rPr>
          <w:szCs w:val="21"/>
          <w:u w:val="single"/>
        </w:rPr>
        <w:t xml:space="preserve">                              </w:t>
      </w:r>
    </w:p>
    <w:p w14:paraId="1D98A84A">
      <w:pPr>
        <w:snapToGrid w:val="0"/>
        <w:rPr>
          <w:rFonts w:hint="eastAsia"/>
          <w:szCs w:val="21"/>
        </w:rPr>
      </w:pPr>
      <w:r>
        <w:rPr>
          <w:szCs w:val="21"/>
        </w:rPr>
        <w:t>2.</w:t>
      </w:r>
      <w:r>
        <w:rPr>
          <w:szCs w:val="21"/>
          <w:u w:val="single"/>
        </w:rPr>
        <w:t xml:space="preserve">                              </w:t>
      </w:r>
    </w:p>
    <w:p w14:paraId="047CD356">
      <w:pPr>
        <w:snapToGrid w:val="0"/>
        <w:rPr>
          <w:rFonts w:hint="eastAsia"/>
          <w:szCs w:val="21"/>
          <w:u w:val="single"/>
        </w:rPr>
      </w:pPr>
      <w:r>
        <w:rPr>
          <w:szCs w:val="21"/>
        </w:rPr>
        <w:t>3.</w:t>
      </w:r>
      <w:r>
        <w:rPr>
          <w:szCs w:val="21"/>
          <w:u w:val="single"/>
        </w:rPr>
        <w:t xml:space="preserve">                              </w:t>
      </w:r>
    </w:p>
    <w:p w14:paraId="43C4436A">
      <w:pPr>
        <w:snapToGrid w:val="0"/>
        <w:rPr>
          <w:rFonts w:hint="eastAsia"/>
          <w:szCs w:val="21"/>
        </w:rPr>
      </w:pPr>
      <w:r>
        <w:rPr>
          <w:rFonts w:hint="eastAsia"/>
          <w:szCs w:val="21"/>
        </w:rPr>
        <w:t>……</w:t>
      </w:r>
    </w:p>
    <w:p w14:paraId="5B5B03AF">
      <w:pPr>
        <w:snapToGrid w:val="0"/>
        <w:rPr>
          <w:rFonts w:hint="eastAsia"/>
          <w:szCs w:val="21"/>
        </w:rPr>
      </w:pPr>
      <w:r>
        <w:rPr>
          <w:rFonts w:hint="eastAsia"/>
          <w:szCs w:val="21"/>
        </w:rPr>
        <w:t>（可自行添加）</w:t>
      </w:r>
    </w:p>
    <w:p w14:paraId="4DA94A08">
      <w:pPr>
        <w:snapToGrid w:val="0"/>
        <w:rPr>
          <w:rFonts w:hint="eastAsia"/>
          <w:szCs w:val="21"/>
        </w:rPr>
      </w:pPr>
      <w:r>
        <w:rPr>
          <w:rFonts w:hint="eastAsia"/>
          <w:szCs w:val="21"/>
        </w:rPr>
        <w:t xml:space="preserve">二、我公司与下述公司存在直接控股关系：（如无则本项填写“无”） </w:t>
      </w:r>
    </w:p>
    <w:p w14:paraId="7289FF9A">
      <w:pPr>
        <w:snapToGrid w:val="0"/>
        <w:rPr>
          <w:rFonts w:hint="eastAsia"/>
          <w:szCs w:val="21"/>
        </w:rPr>
      </w:pPr>
      <w:r>
        <w:rPr>
          <w:szCs w:val="21"/>
        </w:rPr>
        <w:t>1.</w:t>
      </w:r>
      <w:r>
        <w:rPr>
          <w:szCs w:val="21"/>
          <w:u w:val="single"/>
        </w:rPr>
        <w:t xml:space="preserve">                              </w:t>
      </w:r>
    </w:p>
    <w:p w14:paraId="331FA9F6">
      <w:pPr>
        <w:snapToGrid w:val="0"/>
        <w:rPr>
          <w:rFonts w:hint="eastAsia"/>
          <w:szCs w:val="21"/>
        </w:rPr>
      </w:pPr>
      <w:r>
        <w:rPr>
          <w:szCs w:val="21"/>
        </w:rPr>
        <w:t>2.</w:t>
      </w:r>
      <w:r>
        <w:rPr>
          <w:szCs w:val="21"/>
          <w:u w:val="single"/>
        </w:rPr>
        <w:t xml:space="preserve">                              </w:t>
      </w:r>
    </w:p>
    <w:p w14:paraId="60C81550">
      <w:pPr>
        <w:snapToGrid w:val="0"/>
        <w:rPr>
          <w:rFonts w:hint="eastAsia"/>
          <w:szCs w:val="21"/>
          <w:u w:val="single"/>
        </w:rPr>
      </w:pPr>
      <w:r>
        <w:rPr>
          <w:szCs w:val="21"/>
        </w:rPr>
        <w:t>3.</w:t>
      </w:r>
      <w:r>
        <w:rPr>
          <w:szCs w:val="21"/>
          <w:u w:val="single"/>
        </w:rPr>
        <w:t xml:space="preserve">                              </w:t>
      </w:r>
    </w:p>
    <w:p w14:paraId="76E67AD2">
      <w:pPr>
        <w:snapToGrid w:val="0"/>
        <w:rPr>
          <w:rFonts w:hint="eastAsia"/>
          <w:szCs w:val="21"/>
        </w:rPr>
      </w:pPr>
      <w:r>
        <w:rPr>
          <w:rFonts w:hint="eastAsia"/>
          <w:szCs w:val="21"/>
        </w:rPr>
        <w:t>……</w:t>
      </w:r>
    </w:p>
    <w:p w14:paraId="0302C58D">
      <w:pPr>
        <w:snapToGrid w:val="0"/>
        <w:rPr>
          <w:rFonts w:hint="eastAsia"/>
          <w:szCs w:val="21"/>
        </w:rPr>
      </w:pPr>
      <w:r>
        <w:rPr>
          <w:rFonts w:hint="eastAsia"/>
          <w:szCs w:val="21"/>
        </w:rPr>
        <w:t>（可自行添加）</w:t>
      </w:r>
    </w:p>
    <w:p w14:paraId="1C615E0F">
      <w:pPr>
        <w:snapToGrid w:val="0"/>
        <w:rPr>
          <w:rFonts w:hint="eastAsia"/>
          <w:szCs w:val="21"/>
        </w:rPr>
      </w:pPr>
      <w:r>
        <w:rPr>
          <w:rFonts w:hint="eastAsia"/>
          <w:szCs w:val="21"/>
        </w:rPr>
        <w:t xml:space="preserve">三、我公司与下述公司存在管理关系：（如无则本项填写“无”） </w:t>
      </w:r>
    </w:p>
    <w:p w14:paraId="5E6222E4">
      <w:pPr>
        <w:snapToGrid w:val="0"/>
        <w:rPr>
          <w:rFonts w:hint="eastAsia"/>
          <w:szCs w:val="21"/>
        </w:rPr>
      </w:pPr>
      <w:r>
        <w:rPr>
          <w:szCs w:val="21"/>
        </w:rPr>
        <w:t>1.</w:t>
      </w:r>
      <w:r>
        <w:rPr>
          <w:szCs w:val="21"/>
          <w:u w:val="single"/>
        </w:rPr>
        <w:t xml:space="preserve">                              </w:t>
      </w:r>
    </w:p>
    <w:p w14:paraId="75E17392">
      <w:pPr>
        <w:snapToGrid w:val="0"/>
        <w:rPr>
          <w:rFonts w:hint="eastAsia"/>
          <w:szCs w:val="21"/>
        </w:rPr>
      </w:pPr>
      <w:r>
        <w:rPr>
          <w:szCs w:val="21"/>
        </w:rPr>
        <w:t>2.</w:t>
      </w:r>
      <w:r>
        <w:rPr>
          <w:szCs w:val="21"/>
          <w:u w:val="single"/>
        </w:rPr>
        <w:t xml:space="preserve">                              </w:t>
      </w:r>
    </w:p>
    <w:p w14:paraId="651B93B6">
      <w:pPr>
        <w:snapToGrid w:val="0"/>
        <w:rPr>
          <w:rFonts w:hint="eastAsia"/>
          <w:szCs w:val="21"/>
          <w:u w:val="single"/>
        </w:rPr>
      </w:pPr>
      <w:r>
        <w:rPr>
          <w:szCs w:val="21"/>
        </w:rPr>
        <w:t>3.</w:t>
      </w:r>
      <w:r>
        <w:rPr>
          <w:szCs w:val="21"/>
          <w:u w:val="single"/>
        </w:rPr>
        <w:t xml:space="preserve">                              </w:t>
      </w:r>
    </w:p>
    <w:p w14:paraId="6DFE87B4">
      <w:pPr>
        <w:snapToGrid w:val="0"/>
        <w:rPr>
          <w:rFonts w:hint="eastAsia"/>
          <w:szCs w:val="21"/>
        </w:rPr>
      </w:pPr>
      <w:r>
        <w:rPr>
          <w:rFonts w:hint="eastAsia"/>
          <w:szCs w:val="21"/>
        </w:rPr>
        <w:t>……</w:t>
      </w:r>
    </w:p>
    <w:p w14:paraId="58A8F562">
      <w:pPr>
        <w:snapToGrid w:val="0"/>
        <w:rPr>
          <w:rFonts w:hint="eastAsia"/>
          <w:szCs w:val="21"/>
        </w:rPr>
      </w:pPr>
      <w:r>
        <w:rPr>
          <w:rFonts w:hint="eastAsia"/>
          <w:szCs w:val="21"/>
        </w:rPr>
        <w:t>（可自行添加）</w:t>
      </w:r>
    </w:p>
    <w:p w14:paraId="64DA8724">
      <w:pPr>
        <w:ind w:firstLine="420" w:firstLineChars="200"/>
        <w:rPr>
          <w:rFonts w:hint="eastAsia"/>
          <w:b/>
          <w:bCs/>
          <w:szCs w:val="21"/>
        </w:rPr>
      </w:pPr>
      <w:r>
        <w:rPr>
          <w:rFonts w:hint="eastAsia"/>
          <w:b/>
          <w:bCs/>
          <w:szCs w:val="21"/>
        </w:rPr>
        <w:t>我单位郑重声明：与本单位负责人为同一人或者与本单位存在直接控股关系、管理关系的投标人未参与</w:t>
      </w:r>
      <w:r>
        <w:rPr>
          <w:rFonts w:hint="eastAsia"/>
          <w:b/>
          <w:bCs/>
          <w:szCs w:val="21"/>
          <w:u w:val="single"/>
        </w:rPr>
        <w:t>_</w:t>
      </w:r>
      <w:r>
        <w:rPr>
          <w:b/>
          <w:bCs/>
          <w:szCs w:val="21"/>
          <w:u w:val="single"/>
        </w:rPr>
        <w:t xml:space="preserve">    </w:t>
      </w:r>
      <w:r>
        <w:rPr>
          <w:rFonts w:hint="eastAsia"/>
          <w:b/>
          <w:bCs/>
          <w:szCs w:val="21"/>
          <w:u w:val="single"/>
        </w:rPr>
        <w:t xml:space="preserve">(项目名称) </w:t>
      </w:r>
      <w:r>
        <w:rPr>
          <w:b/>
          <w:bCs/>
          <w:szCs w:val="21"/>
          <w:u w:val="single"/>
        </w:rPr>
        <w:t xml:space="preserve">     </w:t>
      </w:r>
      <w:r>
        <w:rPr>
          <w:rFonts w:hint="eastAsia"/>
          <w:b/>
          <w:bCs/>
          <w:szCs w:val="21"/>
        </w:rPr>
        <w:t xml:space="preserve">同一合同项下的投标。 </w:t>
      </w:r>
    </w:p>
    <w:p w14:paraId="2E7F686A">
      <w:pPr>
        <w:ind w:firstLine="420" w:firstLineChars="200"/>
        <w:rPr>
          <w:rFonts w:hint="eastAsia"/>
          <w:b/>
          <w:bCs/>
          <w:szCs w:val="21"/>
        </w:rPr>
      </w:pPr>
      <w:r>
        <w:rPr>
          <w:rFonts w:hint="eastAsia"/>
          <w:b/>
          <w:bCs/>
          <w:szCs w:val="21"/>
        </w:rPr>
        <w:t xml:space="preserve">我单位保证上述声明真实、有效、可查。 </w:t>
      </w:r>
    </w:p>
    <w:p w14:paraId="68D57968">
      <w:pPr>
        <w:ind w:firstLine="420" w:firstLineChars="200"/>
        <w:rPr>
          <w:rFonts w:hint="eastAsia"/>
          <w:b/>
          <w:bCs/>
          <w:szCs w:val="21"/>
        </w:rPr>
      </w:pPr>
      <w:r>
        <w:rPr>
          <w:rFonts w:hint="eastAsia"/>
          <w:b/>
          <w:bCs/>
          <w:szCs w:val="21"/>
        </w:rPr>
        <w:t xml:space="preserve">特此声明。 </w:t>
      </w:r>
    </w:p>
    <w:p w14:paraId="609F6EE2">
      <w:pPr>
        <w:ind w:firstLine="212" w:firstLineChars="101"/>
        <w:rPr>
          <w:rFonts w:hint="eastAsia"/>
          <w:b/>
          <w:szCs w:val="21"/>
        </w:rPr>
      </w:pPr>
    </w:p>
    <w:p w14:paraId="5F6DC7B7">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11939BB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6CA567C">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B64AF0E">
      <w:pPr>
        <w:rPr>
          <w:rFonts w:hint="eastAsia"/>
          <w:b/>
          <w:sz w:val="15"/>
          <w:szCs w:val="15"/>
        </w:rPr>
      </w:pPr>
    </w:p>
    <w:p w14:paraId="609CAE62">
      <w:pPr>
        <w:rPr>
          <w:rFonts w:hint="eastAsia"/>
          <w:b/>
          <w:szCs w:val="21"/>
        </w:rPr>
      </w:pPr>
      <w:r>
        <w:rPr>
          <w:b/>
          <w:szCs w:val="21"/>
        </w:rPr>
        <w:t>注</w:t>
      </w:r>
      <w:r>
        <w:rPr>
          <w:rFonts w:hint="eastAsia"/>
          <w:b/>
          <w:szCs w:val="21"/>
        </w:rPr>
        <w:t>：1.</w:t>
      </w:r>
      <w:r>
        <w:rPr>
          <w:b/>
          <w:szCs w:val="21"/>
        </w:rPr>
        <w:t>单位负责人</w:t>
      </w:r>
      <w:r>
        <w:rPr>
          <w:rFonts w:hint="eastAsia"/>
          <w:b/>
          <w:szCs w:val="21"/>
        </w:rPr>
        <w:t>，是指单位法定代表人或者法律、行政法规规定代表单位行使职权的主要负责人。</w:t>
      </w:r>
    </w:p>
    <w:p w14:paraId="75DAE101">
      <w:pPr>
        <w:ind w:firstLine="420" w:firstLineChars="200"/>
        <w:rPr>
          <w:rFonts w:hint="eastAsia"/>
          <w:b/>
          <w:szCs w:val="21"/>
        </w:rPr>
      </w:pPr>
      <w:r>
        <w:rPr>
          <w:b/>
          <w:szCs w:val="21"/>
        </w:rPr>
        <w:t>2</w:t>
      </w:r>
      <w:r>
        <w:rPr>
          <w:rFonts w:hint="eastAsia"/>
          <w:b/>
          <w:szCs w:val="21"/>
        </w:rPr>
        <w:t>.</w:t>
      </w:r>
      <w:r>
        <w:rPr>
          <w:b/>
          <w:szCs w:val="21"/>
        </w:rPr>
        <w:t>直接控股关系</w:t>
      </w:r>
      <w:r>
        <w:rPr>
          <w:rFonts w:hint="eastAsia"/>
          <w:b/>
          <w:szCs w:val="21"/>
        </w:rPr>
        <w:t>，</w:t>
      </w:r>
      <w:r>
        <w:rPr>
          <w:b/>
          <w:szCs w:val="21"/>
          <w:shd w:val="clear" w:color="auto" w:fill="FFFFFF"/>
        </w:rPr>
        <w:t>是指单位或个人股东的直接控股关系</w:t>
      </w:r>
      <w:r>
        <w:rPr>
          <w:rFonts w:hint="eastAsia"/>
          <w:b/>
          <w:szCs w:val="21"/>
          <w:shd w:val="clear" w:color="auto" w:fill="FFFFFF"/>
        </w:rPr>
        <w:t>；</w:t>
      </w:r>
      <w:r>
        <w:rPr>
          <w:b/>
          <w:szCs w:val="21"/>
          <w:shd w:val="clear" w:color="auto" w:fill="FFFFFF"/>
        </w:rPr>
        <w:t>控股股东</w:t>
      </w:r>
      <w:r>
        <w:rPr>
          <w:rFonts w:hint="eastAsia"/>
          <w:b/>
          <w:szCs w:val="21"/>
          <w:shd w:val="clear" w:color="auto" w:fill="FFFFFF"/>
        </w:rPr>
        <w:t>，</w:t>
      </w:r>
      <w:r>
        <w:rPr>
          <w:b/>
          <w:szCs w:val="21"/>
          <w:shd w:val="clear" w:color="auto" w:fill="FFFFFF"/>
        </w:rPr>
        <w:t>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hint="eastAsia"/>
          <w:b/>
          <w:szCs w:val="21"/>
        </w:rPr>
        <w:t>。</w:t>
      </w:r>
    </w:p>
    <w:p w14:paraId="68F6E9C8">
      <w:pPr>
        <w:ind w:firstLine="420" w:firstLineChars="200"/>
        <w:rPr>
          <w:rFonts w:hint="eastAsia"/>
          <w:sz w:val="18"/>
          <w:szCs w:val="21"/>
        </w:rPr>
      </w:pPr>
      <w:r>
        <w:rPr>
          <w:rFonts w:hint="eastAsia"/>
          <w:b/>
          <w:szCs w:val="21"/>
        </w:rPr>
        <w:t>3.直接</w:t>
      </w:r>
      <w:r>
        <w:rPr>
          <w:b/>
          <w:szCs w:val="21"/>
        </w:rPr>
        <w:t>管理关系</w:t>
      </w:r>
      <w:r>
        <w:rPr>
          <w:rFonts w:hint="eastAsia"/>
          <w:b/>
          <w:szCs w:val="21"/>
        </w:rPr>
        <w:t>，</w:t>
      </w:r>
      <w:r>
        <w:rPr>
          <w:b/>
          <w:szCs w:val="21"/>
        </w:rPr>
        <w:t>是指不具有出资持股关系的其他单位之间存在的直接管理与被管理关系</w:t>
      </w:r>
      <w:r>
        <w:rPr>
          <w:rFonts w:hint="eastAsia"/>
          <w:b/>
          <w:szCs w:val="21"/>
        </w:rPr>
        <w:t>，</w:t>
      </w:r>
      <w:r>
        <w:rPr>
          <w:b/>
          <w:szCs w:val="21"/>
        </w:rPr>
        <w:t>如上下级关系的事业单位和团体组织</w:t>
      </w:r>
      <w:r>
        <w:rPr>
          <w:rFonts w:hint="eastAsia"/>
          <w:b/>
          <w:szCs w:val="21"/>
        </w:rPr>
        <w:t>。</w:t>
      </w:r>
    </w:p>
    <w:p w14:paraId="637398C3">
      <w:pPr>
        <w:keepNext/>
        <w:keepLines/>
        <w:spacing w:before="120" w:after="120" w:line="240" w:lineRule="auto"/>
        <w:jc w:val="center"/>
        <w:outlineLvl w:val="2"/>
        <w:rPr>
          <w:rFonts w:hint="eastAsia"/>
          <w:b/>
          <w:color w:val="000000"/>
          <w:kern w:val="0"/>
          <w:sz w:val="28"/>
          <w:szCs w:val="28"/>
        </w:rPr>
      </w:pPr>
      <w:r>
        <w:rPr>
          <w:rFonts w:hint="eastAsia" w:cs="宋体"/>
          <w:b/>
          <w:bCs/>
          <w:kern w:val="0"/>
          <w:sz w:val="28"/>
          <w:szCs w:val="18"/>
        </w:rPr>
        <w:br w:type="page"/>
      </w:r>
      <w:bookmarkStart w:id="238" w:name="_Toc21607"/>
      <w:bookmarkStart w:id="239" w:name="_Toc216368777"/>
      <w:bookmarkStart w:id="240" w:name="_Toc208348198"/>
      <w:bookmarkStart w:id="241" w:name="_Toc147846129"/>
      <w:bookmarkStart w:id="242" w:name="_Toc216724750"/>
      <w:bookmarkStart w:id="243" w:name="_Toc112677164"/>
      <w:bookmarkStart w:id="244" w:name="_Toc208348109"/>
      <w:bookmarkStart w:id="245" w:name="_Toc30813"/>
      <w:r>
        <w:rPr>
          <w:rFonts w:hint="eastAsia" w:cs="宋体"/>
          <w:b/>
          <w:bCs/>
          <w:kern w:val="0"/>
          <w:sz w:val="28"/>
          <w:szCs w:val="18"/>
        </w:rPr>
        <w:t>（十二）无串通投标行为的承诺函</w:t>
      </w:r>
      <w:bookmarkEnd w:id="238"/>
      <w:bookmarkEnd w:id="239"/>
      <w:bookmarkEnd w:id="240"/>
      <w:bookmarkEnd w:id="241"/>
      <w:bookmarkEnd w:id="242"/>
      <w:bookmarkEnd w:id="243"/>
      <w:bookmarkEnd w:id="244"/>
      <w:bookmarkEnd w:id="245"/>
    </w:p>
    <w:p w14:paraId="64B85B63">
      <w:pPr>
        <w:rPr>
          <w:rFonts w:hint="eastAsia" w:cs="宋体"/>
          <w:b/>
          <w:color w:val="000000"/>
          <w:kern w:val="0"/>
          <w:szCs w:val="21"/>
        </w:rPr>
      </w:pPr>
      <w:r>
        <w:rPr>
          <w:rFonts w:hint="eastAsia" w:cs="宋体"/>
          <w:b/>
          <w:color w:val="000000"/>
          <w:kern w:val="0"/>
          <w:szCs w:val="21"/>
        </w:rPr>
        <w:t>一、</w:t>
      </w:r>
      <w:r>
        <w:rPr>
          <w:rFonts w:cs="宋体"/>
          <w:b/>
          <w:color w:val="000000"/>
          <w:kern w:val="0"/>
          <w:szCs w:val="21"/>
        </w:rPr>
        <w:t>有下列情形之一的，</w:t>
      </w:r>
      <w:r>
        <w:rPr>
          <w:rFonts w:hint="eastAsia" w:cs="微软雅黑"/>
          <w:b/>
          <w:color w:val="000000"/>
          <w:kern w:val="0"/>
          <w:szCs w:val="21"/>
        </w:rPr>
        <w:t>属</w:t>
      </w:r>
      <w:r>
        <w:rPr>
          <w:rFonts w:hint="eastAsia" w:cs="Malgun Gothic"/>
          <w:b/>
          <w:color w:val="000000"/>
          <w:kern w:val="0"/>
          <w:szCs w:val="21"/>
        </w:rPr>
        <w:t>于</w:t>
      </w:r>
      <w:r>
        <w:rPr>
          <w:rFonts w:hint="eastAsia" w:cs="微软雅黑"/>
          <w:b/>
          <w:color w:val="000000"/>
          <w:kern w:val="0"/>
          <w:szCs w:val="21"/>
        </w:rPr>
        <w:t>恶</w:t>
      </w:r>
      <w:r>
        <w:rPr>
          <w:rFonts w:hint="eastAsia" w:cs="Malgun Gothic"/>
          <w:b/>
          <w:color w:val="000000"/>
          <w:kern w:val="0"/>
          <w:szCs w:val="21"/>
        </w:rPr>
        <w:t>意</w:t>
      </w:r>
      <w:r>
        <w:rPr>
          <w:rFonts w:cs="宋体"/>
          <w:b/>
          <w:color w:val="000000"/>
          <w:kern w:val="0"/>
          <w:szCs w:val="21"/>
        </w:rPr>
        <w:t>串通投</w:t>
      </w:r>
      <w:r>
        <w:rPr>
          <w:rFonts w:hint="eastAsia" w:cs="微软雅黑"/>
          <w:b/>
          <w:color w:val="000000"/>
          <w:kern w:val="0"/>
          <w:szCs w:val="21"/>
        </w:rPr>
        <w:t>标</w:t>
      </w:r>
      <w:r>
        <w:rPr>
          <w:rFonts w:hint="eastAsia" w:cs="Malgun Gothic"/>
          <w:b/>
          <w:color w:val="000000"/>
          <w:kern w:val="0"/>
          <w:szCs w:val="21"/>
        </w:rPr>
        <w:t>：</w:t>
      </w:r>
    </w:p>
    <w:p w14:paraId="0F96CA0C">
      <w:pPr>
        <w:ind w:firstLine="420" w:firstLineChars="200"/>
        <w:rPr>
          <w:rFonts w:hint="eastAsia" w:cs="宋体"/>
          <w:color w:val="000000"/>
          <w:kern w:val="0"/>
          <w:szCs w:val="21"/>
        </w:rPr>
      </w:pPr>
      <w:r>
        <w:rPr>
          <w:rFonts w:hint="eastAsia" w:cs="宋体"/>
          <w:color w:val="000000"/>
          <w:kern w:val="0"/>
          <w:szCs w:val="21"/>
        </w:rPr>
        <w:t>（一）</w:t>
      </w:r>
      <w:r>
        <w:rPr>
          <w:rFonts w:cs="宋体"/>
          <w:color w:val="000000"/>
          <w:kern w:val="0"/>
          <w:szCs w:val="21"/>
        </w:rPr>
        <w:t>投标人</w:t>
      </w:r>
      <w:r>
        <w:rPr>
          <w:rFonts w:hint="eastAsia" w:cs="宋体"/>
          <w:color w:val="000000"/>
          <w:kern w:val="0"/>
          <w:szCs w:val="21"/>
        </w:rPr>
        <w:t>直接或者</w:t>
      </w:r>
      <w:r>
        <w:rPr>
          <w:rFonts w:hint="eastAsia" w:cs="微软雅黑"/>
          <w:color w:val="000000"/>
          <w:kern w:val="0"/>
          <w:szCs w:val="21"/>
        </w:rPr>
        <w:t>间</w:t>
      </w:r>
      <w:r>
        <w:rPr>
          <w:rFonts w:hint="eastAsia" w:cs="Malgun Gothic"/>
          <w:color w:val="000000"/>
          <w:kern w:val="0"/>
          <w:szCs w:val="21"/>
        </w:rPr>
        <w:t>接</w:t>
      </w:r>
      <w:r>
        <w:rPr>
          <w:rFonts w:hint="eastAsia" w:cs="微软雅黑"/>
          <w:color w:val="000000"/>
          <w:kern w:val="0"/>
          <w:szCs w:val="21"/>
        </w:rPr>
        <w:t>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构处获</w:t>
      </w:r>
      <w:r>
        <w:rPr>
          <w:rFonts w:hint="eastAsia" w:cs="Malgun Gothic"/>
          <w:color w:val="000000"/>
          <w:kern w:val="0"/>
          <w:szCs w:val="21"/>
        </w:rPr>
        <w:t>得其他</w:t>
      </w:r>
      <w:r>
        <w:rPr>
          <w:rFonts w:cs="宋体"/>
          <w:color w:val="000000"/>
          <w:kern w:val="0"/>
          <w:szCs w:val="21"/>
        </w:rPr>
        <w:t>投标人</w:t>
      </w:r>
      <w:r>
        <w:rPr>
          <w:rFonts w:hint="eastAsia" w:cs="宋体"/>
          <w:color w:val="000000"/>
          <w:kern w:val="0"/>
          <w:szCs w:val="21"/>
        </w:rPr>
        <w:t>的相</w:t>
      </w:r>
      <w:r>
        <w:rPr>
          <w:rFonts w:hint="eastAsia" w:cs="微软雅黑"/>
          <w:color w:val="000000"/>
          <w:kern w:val="0"/>
          <w:szCs w:val="21"/>
        </w:rPr>
        <w:t>关</w:t>
      </w:r>
      <w:r>
        <w:rPr>
          <w:rFonts w:hint="eastAsia" w:cs="Malgun Gothic"/>
          <w:color w:val="000000"/>
          <w:kern w:val="0"/>
          <w:szCs w:val="21"/>
        </w:rPr>
        <w:t>情</w:t>
      </w:r>
      <w:r>
        <w:rPr>
          <w:rFonts w:hint="eastAsia" w:cs="微软雅黑"/>
          <w:color w:val="000000"/>
          <w:kern w:val="0"/>
          <w:szCs w:val="21"/>
        </w:rPr>
        <w:t>况并</w:t>
      </w:r>
      <w:r>
        <w:rPr>
          <w:rFonts w:hint="eastAsia" w:cs="Malgun Gothic"/>
          <w:color w:val="000000"/>
          <w:kern w:val="0"/>
          <w:szCs w:val="21"/>
        </w:rPr>
        <w:t>修改其投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26D1E31C">
      <w:pPr>
        <w:ind w:firstLine="420" w:firstLineChars="200"/>
        <w:rPr>
          <w:rFonts w:hint="eastAsia" w:cs="宋体"/>
          <w:color w:val="000000"/>
          <w:kern w:val="0"/>
          <w:szCs w:val="21"/>
        </w:rPr>
      </w:pPr>
      <w:r>
        <w:rPr>
          <w:rFonts w:hint="eastAsia" w:cs="宋体"/>
          <w:color w:val="000000"/>
          <w:kern w:val="0"/>
          <w:szCs w:val="21"/>
        </w:rPr>
        <w:t>（二）</w:t>
      </w:r>
      <w:r>
        <w:rPr>
          <w:rFonts w:cs="宋体"/>
          <w:color w:val="000000"/>
          <w:kern w:val="0"/>
          <w:szCs w:val="21"/>
        </w:rPr>
        <w:t>投标人</w:t>
      </w:r>
      <w:r>
        <w:rPr>
          <w:rFonts w:hint="eastAsia" w:cs="宋体"/>
          <w:color w:val="000000"/>
          <w:kern w:val="0"/>
          <w:szCs w:val="21"/>
        </w:rPr>
        <w:t>按照采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的授意撤</w:t>
      </w:r>
      <w:r>
        <w:rPr>
          <w:rFonts w:hint="eastAsia" w:cs="微软雅黑"/>
          <w:color w:val="000000"/>
          <w:kern w:val="0"/>
          <w:szCs w:val="21"/>
        </w:rPr>
        <w:t>换</w:t>
      </w:r>
      <w:r>
        <w:rPr>
          <w:rFonts w:hint="eastAsia" w:cs="Malgun Gothic"/>
          <w:color w:val="000000"/>
          <w:kern w:val="0"/>
          <w:szCs w:val="21"/>
        </w:rPr>
        <w:t>、修改投</w:t>
      </w:r>
      <w:r>
        <w:rPr>
          <w:rFonts w:hint="eastAsia" w:cs="微软雅黑"/>
          <w:color w:val="000000"/>
          <w:kern w:val="0"/>
          <w:szCs w:val="21"/>
        </w:rPr>
        <w:t>标</w:t>
      </w:r>
      <w:r>
        <w:rPr>
          <w:rFonts w:hint="eastAsia" w:cs="宋体"/>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5D027E37">
      <w:pPr>
        <w:ind w:firstLine="420" w:firstLineChars="200"/>
        <w:rPr>
          <w:rFonts w:hint="eastAsia" w:cs="宋体"/>
          <w:color w:val="000000"/>
          <w:kern w:val="0"/>
          <w:szCs w:val="21"/>
        </w:rPr>
      </w:pPr>
      <w:r>
        <w:rPr>
          <w:rFonts w:hint="eastAsia" w:cs="宋体"/>
          <w:color w:val="000000"/>
          <w:kern w:val="0"/>
          <w:szCs w:val="21"/>
        </w:rPr>
        <w:t>（三）</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间协</w:t>
      </w:r>
      <w:r>
        <w:rPr>
          <w:rFonts w:hint="eastAsia" w:cs="Malgun Gothic"/>
          <w:color w:val="000000"/>
          <w:kern w:val="0"/>
          <w:szCs w:val="21"/>
        </w:rPr>
        <w:t>商</w:t>
      </w:r>
      <w:r>
        <w:rPr>
          <w:rFonts w:hint="eastAsia" w:cs="微软雅黑"/>
          <w:color w:val="000000"/>
          <w:kern w:val="0"/>
          <w:szCs w:val="21"/>
        </w:rPr>
        <w:t>报</w:t>
      </w:r>
      <w:r>
        <w:rPr>
          <w:rFonts w:hint="eastAsia" w:cs="Malgun Gothic"/>
          <w:color w:val="000000"/>
          <w:kern w:val="0"/>
          <w:szCs w:val="21"/>
        </w:rPr>
        <w:t>价、技</w:t>
      </w:r>
      <w:r>
        <w:rPr>
          <w:rFonts w:hint="eastAsia" w:cs="微软雅黑"/>
          <w:color w:val="000000"/>
          <w:kern w:val="0"/>
          <w:szCs w:val="21"/>
        </w:rPr>
        <w:t>术</w:t>
      </w:r>
      <w:r>
        <w:rPr>
          <w:rFonts w:hint="eastAsia" w:cs="Malgun Gothic"/>
          <w:color w:val="000000"/>
          <w:kern w:val="0"/>
          <w:szCs w:val="21"/>
        </w:rPr>
        <w:t>方案等投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文件的</w:t>
      </w:r>
      <w:r>
        <w:rPr>
          <w:rFonts w:hint="eastAsia" w:cs="微软雅黑"/>
          <w:color w:val="000000"/>
          <w:kern w:val="0"/>
          <w:szCs w:val="21"/>
        </w:rPr>
        <w:t>实质</w:t>
      </w:r>
      <w:r>
        <w:rPr>
          <w:rFonts w:hint="eastAsia" w:cs="Malgun Gothic"/>
          <w:color w:val="000000"/>
          <w:kern w:val="0"/>
          <w:szCs w:val="21"/>
        </w:rPr>
        <w:t>性</w:t>
      </w:r>
      <w:r>
        <w:rPr>
          <w:rFonts w:hint="eastAsia" w:cs="微软雅黑"/>
          <w:color w:val="000000"/>
          <w:kern w:val="0"/>
          <w:szCs w:val="21"/>
        </w:rPr>
        <w:t>内</w:t>
      </w:r>
      <w:r>
        <w:rPr>
          <w:rFonts w:hint="eastAsia" w:cs="Malgun Gothic"/>
          <w:color w:val="000000"/>
          <w:kern w:val="0"/>
          <w:szCs w:val="21"/>
        </w:rPr>
        <w:t>容；</w:t>
      </w:r>
    </w:p>
    <w:p w14:paraId="43B0E40A">
      <w:pPr>
        <w:ind w:firstLine="420" w:firstLineChars="200"/>
        <w:rPr>
          <w:rFonts w:hint="eastAsia" w:cs="宋体"/>
          <w:color w:val="000000"/>
          <w:kern w:val="0"/>
          <w:szCs w:val="21"/>
        </w:rPr>
      </w:pPr>
      <w:r>
        <w:rPr>
          <w:rFonts w:hint="eastAsia" w:cs="宋体"/>
          <w:color w:val="000000"/>
          <w:kern w:val="0"/>
          <w:szCs w:val="21"/>
        </w:rPr>
        <w:t>（四）</w:t>
      </w:r>
      <w:r>
        <w:rPr>
          <w:rFonts w:hint="eastAsia" w:cs="微软雅黑"/>
          <w:color w:val="000000"/>
          <w:kern w:val="0"/>
          <w:szCs w:val="21"/>
        </w:rPr>
        <w:t>属</w:t>
      </w:r>
      <w:r>
        <w:rPr>
          <w:rFonts w:hint="eastAsia" w:cs="Malgun Gothic"/>
          <w:color w:val="000000"/>
          <w:kern w:val="0"/>
          <w:szCs w:val="21"/>
        </w:rPr>
        <w:t>于同一集</w:t>
      </w:r>
      <w:r>
        <w:rPr>
          <w:rFonts w:hint="eastAsia" w:cs="微软雅黑"/>
          <w:color w:val="000000"/>
          <w:kern w:val="0"/>
          <w:szCs w:val="21"/>
        </w:rPr>
        <w:t>团</w:t>
      </w:r>
      <w:r>
        <w:rPr>
          <w:rFonts w:hint="eastAsia" w:cs="Malgun Gothic"/>
          <w:color w:val="000000"/>
          <w:kern w:val="0"/>
          <w:szCs w:val="21"/>
        </w:rPr>
        <w:t>、</w:t>
      </w:r>
      <w:r>
        <w:rPr>
          <w:rFonts w:hint="eastAsia" w:cs="微软雅黑"/>
          <w:color w:val="000000"/>
          <w:kern w:val="0"/>
          <w:szCs w:val="21"/>
        </w:rPr>
        <w:t>协会</w:t>
      </w:r>
      <w:r>
        <w:rPr>
          <w:rFonts w:hint="eastAsia" w:cs="Malgun Gothic"/>
          <w:color w:val="000000"/>
          <w:kern w:val="0"/>
          <w:szCs w:val="21"/>
        </w:rPr>
        <w:t>、商</w:t>
      </w:r>
      <w:r>
        <w:rPr>
          <w:rFonts w:hint="eastAsia" w:cs="微软雅黑"/>
          <w:color w:val="000000"/>
          <w:kern w:val="0"/>
          <w:szCs w:val="21"/>
        </w:rPr>
        <w:t>会</w:t>
      </w:r>
      <w:r>
        <w:rPr>
          <w:rFonts w:hint="eastAsia" w:cs="Malgun Gothic"/>
          <w:color w:val="000000"/>
          <w:kern w:val="0"/>
          <w:szCs w:val="21"/>
        </w:rPr>
        <w:t>等</w:t>
      </w:r>
      <w:r>
        <w:rPr>
          <w:rFonts w:hint="eastAsia" w:cs="微软雅黑"/>
          <w:color w:val="000000"/>
          <w:kern w:val="0"/>
          <w:szCs w:val="21"/>
        </w:rPr>
        <w:t>组织</w:t>
      </w:r>
      <w:r>
        <w:rPr>
          <w:rFonts w:hint="eastAsia" w:cs="Malgun Gothic"/>
          <w:color w:val="000000"/>
          <w:kern w:val="0"/>
          <w:szCs w:val="21"/>
        </w:rPr>
        <w:t>成</w:t>
      </w:r>
      <w:r>
        <w:rPr>
          <w:rFonts w:hint="eastAsia" w:cs="微软雅黑"/>
          <w:color w:val="000000"/>
          <w:kern w:val="0"/>
          <w:szCs w:val="21"/>
        </w:rPr>
        <w:t>员</w:t>
      </w:r>
      <w:r>
        <w:rPr>
          <w:rFonts w:hint="eastAsia" w:cs="Malgun Gothic"/>
          <w:color w:val="000000"/>
          <w:kern w:val="0"/>
          <w:szCs w:val="21"/>
        </w:rPr>
        <w:t>的</w:t>
      </w:r>
      <w:r>
        <w:rPr>
          <w:rFonts w:cs="宋体"/>
          <w:color w:val="000000"/>
          <w:kern w:val="0"/>
          <w:szCs w:val="21"/>
        </w:rPr>
        <w:t>投标人</w:t>
      </w:r>
      <w:r>
        <w:rPr>
          <w:rFonts w:hint="eastAsia" w:cs="宋体"/>
          <w:color w:val="000000"/>
          <w:kern w:val="0"/>
          <w:szCs w:val="21"/>
        </w:rPr>
        <w:t>按照</w:t>
      </w:r>
      <w:r>
        <w:rPr>
          <w:rFonts w:hint="eastAsia" w:cs="微软雅黑"/>
          <w:color w:val="000000"/>
          <w:kern w:val="0"/>
          <w:szCs w:val="21"/>
        </w:rPr>
        <w:t>该组织</w:t>
      </w:r>
      <w:r>
        <w:rPr>
          <w:rFonts w:hint="eastAsia" w:cs="Malgun Gothic"/>
          <w:color w:val="000000"/>
          <w:kern w:val="0"/>
          <w:szCs w:val="21"/>
        </w:rPr>
        <w:t>要求</w:t>
      </w:r>
      <w:r>
        <w:rPr>
          <w:rFonts w:hint="eastAsia" w:cs="微软雅黑"/>
          <w:color w:val="000000"/>
          <w:kern w:val="0"/>
          <w:szCs w:val="21"/>
        </w:rPr>
        <w:t>协</w:t>
      </w:r>
      <w:r>
        <w:rPr>
          <w:rFonts w:hint="eastAsia" w:cs="Malgun Gothic"/>
          <w:color w:val="000000"/>
          <w:kern w:val="0"/>
          <w:szCs w:val="21"/>
        </w:rPr>
        <w:t>同</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w:t>
      </w:r>
    </w:p>
    <w:p w14:paraId="74292839">
      <w:pPr>
        <w:ind w:firstLine="420" w:firstLineChars="200"/>
        <w:rPr>
          <w:rFonts w:hint="eastAsia" w:cs="宋体"/>
          <w:color w:val="000000"/>
          <w:kern w:val="0"/>
          <w:szCs w:val="21"/>
        </w:rPr>
      </w:pPr>
      <w:r>
        <w:rPr>
          <w:rFonts w:hint="eastAsia" w:cs="宋体"/>
          <w:color w:val="000000"/>
          <w:kern w:val="0"/>
          <w:szCs w:val="21"/>
        </w:rPr>
        <w:t>（五）</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事先</w:t>
      </w:r>
      <w:r>
        <w:rPr>
          <w:rFonts w:hint="eastAsia" w:cs="微软雅黑"/>
          <w:color w:val="000000"/>
          <w:kern w:val="0"/>
          <w:szCs w:val="21"/>
        </w:rPr>
        <w:t>约</w:t>
      </w:r>
      <w:r>
        <w:rPr>
          <w:rFonts w:hint="eastAsia" w:cs="Malgun Gothic"/>
          <w:color w:val="000000"/>
          <w:kern w:val="0"/>
          <w:szCs w:val="21"/>
        </w:rPr>
        <w:t>定由某一特定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w:t>
      </w:r>
    </w:p>
    <w:p w14:paraId="69F915AE">
      <w:pPr>
        <w:ind w:firstLine="420" w:firstLineChars="200"/>
        <w:rPr>
          <w:rFonts w:hint="eastAsia" w:cs="宋体"/>
          <w:color w:val="000000"/>
          <w:kern w:val="0"/>
          <w:szCs w:val="21"/>
        </w:rPr>
      </w:pPr>
      <w:r>
        <w:rPr>
          <w:rFonts w:hint="eastAsia" w:cs="宋体"/>
          <w:color w:val="000000"/>
          <w:kern w:val="0"/>
          <w:szCs w:val="21"/>
        </w:rPr>
        <w:t>（六）</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商定部分</w:t>
      </w:r>
      <w:r>
        <w:rPr>
          <w:rFonts w:cs="宋体"/>
          <w:color w:val="000000"/>
          <w:kern w:val="0"/>
          <w:szCs w:val="21"/>
        </w:rPr>
        <w:t>投标人</w:t>
      </w:r>
      <w:r>
        <w:rPr>
          <w:rFonts w:hint="eastAsia" w:cs="宋体"/>
          <w:color w:val="000000"/>
          <w:kern w:val="0"/>
          <w:szCs w:val="21"/>
        </w:rPr>
        <w:t>放弃</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或者放弃中</w:t>
      </w:r>
      <w:r>
        <w:rPr>
          <w:rFonts w:hint="eastAsia" w:cs="微软雅黑"/>
          <w:color w:val="000000"/>
          <w:kern w:val="0"/>
          <w:szCs w:val="21"/>
        </w:rPr>
        <w:t>标</w:t>
      </w:r>
      <w:r>
        <w:rPr>
          <w:rFonts w:hint="eastAsia" w:cs="Malgun Gothic"/>
          <w:color w:val="000000"/>
          <w:kern w:val="0"/>
          <w:szCs w:val="21"/>
        </w:rPr>
        <w:t>、成交；</w:t>
      </w:r>
    </w:p>
    <w:p w14:paraId="13C1A189">
      <w:pPr>
        <w:ind w:firstLine="420" w:firstLineChars="200"/>
        <w:rPr>
          <w:rFonts w:hint="eastAsia" w:cs="宋体"/>
          <w:color w:val="000000"/>
          <w:kern w:val="0"/>
          <w:szCs w:val="21"/>
        </w:rPr>
      </w:pPr>
      <w:r>
        <w:rPr>
          <w:rFonts w:hint="eastAsia" w:cs="宋体"/>
          <w:color w:val="000000"/>
          <w:kern w:val="0"/>
          <w:szCs w:val="21"/>
        </w:rPr>
        <w:t>（七）</w:t>
      </w:r>
      <w:r>
        <w:rPr>
          <w:rFonts w:cs="宋体"/>
          <w:color w:val="000000"/>
          <w:kern w:val="0"/>
          <w:szCs w:val="21"/>
        </w:rPr>
        <w:t>投标人</w:t>
      </w:r>
      <w:r>
        <w:rPr>
          <w:rFonts w:hint="eastAsia" w:cs="微软雅黑"/>
          <w:color w:val="000000"/>
          <w:kern w:val="0"/>
          <w:szCs w:val="21"/>
        </w:rPr>
        <w:t>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之</w:t>
      </w:r>
      <w:r>
        <w:rPr>
          <w:rFonts w:hint="eastAsia" w:cs="微软雅黑"/>
          <w:color w:val="000000"/>
          <w:kern w:val="0"/>
          <w:szCs w:val="21"/>
        </w:rPr>
        <w:t>间</w:t>
      </w:r>
      <w:r>
        <w:rPr>
          <w:rFonts w:hint="eastAsia" w:cs="Malgun Gothic"/>
          <w:color w:val="000000"/>
          <w:kern w:val="0"/>
          <w:szCs w:val="21"/>
        </w:rPr>
        <w:t>、</w:t>
      </w:r>
      <w:r>
        <w:rPr>
          <w:rFonts w:cs="宋体"/>
          <w:color w:val="000000"/>
          <w:kern w:val="0"/>
          <w:szCs w:val="21"/>
        </w:rPr>
        <w:t>投标人</w:t>
      </w:r>
      <w:r>
        <w:rPr>
          <w:rFonts w:hint="eastAsia" w:cs="宋体"/>
          <w:color w:val="000000"/>
          <w:kern w:val="0"/>
          <w:szCs w:val="21"/>
        </w:rPr>
        <w:t>相互之</w:t>
      </w:r>
      <w:r>
        <w:rPr>
          <w:rFonts w:hint="eastAsia" w:cs="微软雅黑"/>
          <w:color w:val="000000"/>
          <w:kern w:val="0"/>
          <w:szCs w:val="21"/>
        </w:rPr>
        <w:t>间</w:t>
      </w:r>
      <w:r>
        <w:rPr>
          <w:rFonts w:hint="eastAsia" w:cs="Malgun Gothic"/>
          <w:color w:val="000000"/>
          <w:kern w:val="0"/>
          <w:szCs w:val="21"/>
        </w:rPr>
        <w:t>，</w:t>
      </w:r>
      <w:r>
        <w:rPr>
          <w:rFonts w:hint="eastAsia" w:cs="微软雅黑"/>
          <w:color w:val="000000"/>
          <w:kern w:val="0"/>
          <w:szCs w:val="21"/>
        </w:rPr>
        <w:t>为谋</w:t>
      </w:r>
      <w:r>
        <w:rPr>
          <w:rFonts w:hint="eastAsia" w:cs="Malgun Gothic"/>
          <w:color w:val="000000"/>
          <w:kern w:val="0"/>
          <w:szCs w:val="21"/>
        </w:rPr>
        <w:t>求特定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、成交或者排斥其他</w:t>
      </w:r>
      <w:r>
        <w:rPr>
          <w:rFonts w:cs="宋体"/>
          <w:color w:val="000000"/>
          <w:kern w:val="0"/>
          <w:szCs w:val="21"/>
        </w:rPr>
        <w:t>投标人</w:t>
      </w:r>
      <w:r>
        <w:rPr>
          <w:rFonts w:hint="eastAsia" w:cs="宋体"/>
          <w:color w:val="000000"/>
          <w:kern w:val="0"/>
          <w:szCs w:val="21"/>
        </w:rPr>
        <w:t>的其他串通行</w:t>
      </w:r>
      <w:r>
        <w:rPr>
          <w:rFonts w:hint="eastAsia" w:cs="微软雅黑"/>
          <w:color w:val="000000"/>
          <w:kern w:val="0"/>
          <w:szCs w:val="21"/>
        </w:rPr>
        <w:t>为</w:t>
      </w:r>
      <w:r>
        <w:rPr>
          <w:rFonts w:hint="eastAsia" w:cs="Malgun Gothic"/>
          <w:color w:val="000000"/>
          <w:kern w:val="0"/>
          <w:szCs w:val="21"/>
        </w:rPr>
        <w:t>。</w:t>
      </w:r>
    </w:p>
    <w:p w14:paraId="065EB8C6">
      <w:pPr>
        <w:rPr>
          <w:rFonts w:hint="eastAsia" w:cs="宋体"/>
          <w:color w:val="000000"/>
          <w:kern w:val="0"/>
          <w:szCs w:val="21"/>
        </w:rPr>
      </w:pPr>
      <w:r>
        <w:rPr>
          <w:rFonts w:hint="eastAsia" w:cs="宋体"/>
          <w:b/>
          <w:color w:val="000000"/>
          <w:kern w:val="0"/>
          <w:szCs w:val="21"/>
        </w:rPr>
        <w:t>二、</w:t>
      </w:r>
      <w:r>
        <w:rPr>
          <w:rFonts w:cs="宋体"/>
          <w:b/>
          <w:color w:val="000000"/>
          <w:kern w:val="0"/>
          <w:szCs w:val="21"/>
        </w:rPr>
        <w:t>有下列情形之一的，</w:t>
      </w:r>
      <w:r>
        <w:rPr>
          <w:rFonts w:hint="eastAsia" w:cs="微软雅黑"/>
          <w:b/>
          <w:color w:val="000000"/>
          <w:kern w:val="0"/>
          <w:szCs w:val="21"/>
        </w:rPr>
        <w:t>视为</w:t>
      </w:r>
      <w:r>
        <w:rPr>
          <w:rFonts w:hint="eastAsia" w:cs="Malgun Gothic"/>
          <w:b/>
          <w:color w:val="000000"/>
          <w:kern w:val="0"/>
          <w:szCs w:val="21"/>
        </w:rPr>
        <w:t>投标人串通投</w:t>
      </w:r>
      <w:r>
        <w:rPr>
          <w:rFonts w:hint="eastAsia" w:cs="微软雅黑"/>
          <w:b/>
          <w:color w:val="000000"/>
          <w:kern w:val="0"/>
          <w:szCs w:val="21"/>
        </w:rPr>
        <w:t>标</w:t>
      </w:r>
      <w:r>
        <w:rPr>
          <w:rFonts w:hint="eastAsia" w:cs="Malgun Gothic"/>
          <w:b/>
          <w:color w:val="000000"/>
          <w:kern w:val="0"/>
          <w:szCs w:val="21"/>
        </w:rPr>
        <w:t>，其投</w:t>
      </w:r>
      <w:r>
        <w:rPr>
          <w:rFonts w:hint="eastAsia" w:cs="微软雅黑"/>
          <w:b/>
          <w:color w:val="000000"/>
          <w:kern w:val="0"/>
          <w:szCs w:val="21"/>
        </w:rPr>
        <w:t>标</w:t>
      </w:r>
      <w:r>
        <w:rPr>
          <w:rFonts w:hint="eastAsia" w:cs="Malgun Gothic"/>
          <w:b/>
          <w:color w:val="000000"/>
          <w:kern w:val="0"/>
          <w:szCs w:val="21"/>
        </w:rPr>
        <w:t>无效：</w:t>
      </w:r>
    </w:p>
    <w:p w14:paraId="7AE339A6">
      <w:pPr>
        <w:ind w:firstLine="420" w:firstLineChars="200"/>
        <w:rPr>
          <w:rFonts w:hint="eastAsia" w:cs="宋体"/>
          <w:color w:val="000000"/>
          <w:kern w:val="0"/>
          <w:szCs w:val="21"/>
        </w:rPr>
      </w:pPr>
      <w:r>
        <w:rPr>
          <w:rFonts w:cs="宋体"/>
          <w:color w:val="000000"/>
          <w:kern w:val="0"/>
          <w:szCs w:val="21"/>
        </w:rPr>
        <w:t>（一）不同投标人</w:t>
      </w:r>
      <w:r>
        <w:rPr>
          <w:rFonts w:hint="eastAsia" w:cs="Malgun Gothic"/>
          <w:color w:val="000000"/>
          <w:kern w:val="0"/>
          <w:szCs w:val="21"/>
        </w:rPr>
        <w:t>的投标文件由同一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编</w:t>
      </w:r>
      <w:r>
        <w:rPr>
          <w:rFonts w:hint="eastAsia" w:cs="Malgun Gothic"/>
          <w:color w:val="000000"/>
          <w:kern w:val="0"/>
          <w:szCs w:val="21"/>
        </w:rPr>
        <w:t>制；</w:t>
      </w:r>
    </w:p>
    <w:p w14:paraId="7A279E92">
      <w:pPr>
        <w:ind w:firstLine="420" w:firstLineChars="200"/>
        <w:rPr>
          <w:rFonts w:hint="eastAsia" w:cs="宋体"/>
          <w:color w:val="000000"/>
          <w:kern w:val="0"/>
          <w:szCs w:val="21"/>
        </w:rPr>
      </w:pPr>
      <w:r>
        <w:rPr>
          <w:rFonts w:cs="宋体"/>
          <w:color w:val="000000"/>
          <w:kern w:val="0"/>
          <w:szCs w:val="21"/>
        </w:rPr>
        <w:t>（二）不同投标人</w:t>
      </w:r>
      <w:r>
        <w:rPr>
          <w:rFonts w:hint="eastAsia" w:cs="Malgun Gothic"/>
          <w:color w:val="000000"/>
          <w:kern w:val="0"/>
          <w:szCs w:val="21"/>
        </w:rPr>
        <w:t>委托同一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办</w:t>
      </w:r>
      <w:r>
        <w:rPr>
          <w:rFonts w:hint="eastAsia" w:cs="Malgun Gothic"/>
          <w:color w:val="000000"/>
          <w:kern w:val="0"/>
          <w:szCs w:val="21"/>
        </w:rPr>
        <w:t>理投</w:t>
      </w:r>
      <w:r>
        <w:rPr>
          <w:rFonts w:hint="eastAsia" w:cs="微软雅黑"/>
          <w:color w:val="000000"/>
          <w:kern w:val="0"/>
          <w:szCs w:val="21"/>
        </w:rPr>
        <w:t>标</w:t>
      </w:r>
      <w:r>
        <w:rPr>
          <w:rFonts w:hint="eastAsia" w:cs="Malgun Gothic"/>
          <w:color w:val="000000"/>
          <w:kern w:val="0"/>
          <w:szCs w:val="21"/>
        </w:rPr>
        <w:t>事宜；</w:t>
      </w:r>
    </w:p>
    <w:p w14:paraId="5CFB3E40">
      <w:pPr>
        <w:ind w:firstLine="420" w:firstLineChars="200"/>
        <w:rPr>
          <w:rFonts w:hint="eastAsia" w:cs="宋体"/>
          <w:color w:val="000000"/>
          <w:kern w:val="0"/>
          <w:szCs w:val="21"/>
        </w:rPr>
      </w:pPr>
      <w:r>
        <w:rPr>
          <w:rFonts w:cs="宋体"/>
          <w:color w:val="000000"/>
          <w:kern w:val="0"/>
          <w:szCs w:val="21"/>
        </w:rPr>
        <w:t>（三）不同投标人</w:t>
      </w:r>
      <w:r>
        <w:rPr>
          <w:rFonts w:hint="eastAsia" w:cs="Malgun Gothic"/>
          <w:color w:val="000000"/>
          <w:kern w:val="0"/>
          <w:szCs w:val="21"/>
        </w:rPr>
        <w:t>的投标文件</w:t>
      </w:r>
      <w:r>
        <w:rPr>
          <w:rFonts w:hint="eastAsia" w:cs="微软雅黑"/>
          <w:color w:val="000000"/>
          <w:kern w:val="0"/>
          <w:szCs w:val="21"/>
        </w:rPr>
        <w:t>载</w:t>
      </w:r>
      <w:r>
        <w:rPr>
          <w:rFonts w:hint="eastAsia" w:cs="Malgun Gothic"/>
          <w:color w:val="000000"/>
          <w:kern w:val="0"/>
          <w:szCs w:val="21"/>
        </w:rPr>
        <w:t>明的</w:t>
      </w:r>
      <w:r>
        <w:rPr>
          <w:rFonts w:hint="eastAsia" w:cs="微软雅黑"/>
          <w:color w:val="000000"/>
          <w:kern w:val="0"/>
          <w:szCs w:val="21"/>
        </w:rPr>
        <w:t>项</w:t>
      </w:r>
      <w:r>
        <w:rPr>
          <w:rFonts w:hint="eastAsia" w:cs="Malgun Gothic"/>
          <w:color w:val="000000"/>
          <w:kern w:val="0"/>
          <w:szCs w:val="21"/>
        </w:rPr>
        <w:t>目管理成</w:t>
      </w:r>
      <w:r>
        <w:rPr>
          <w:rFonts w:hint="eastAsia" w:cs="微软雅黑"/>
          <w:color w:val="000000"/>
          <w:kern w:val="0"/>
          <w:szCs w:val="21"/>
        </w:rPr>
        <w:t>员</w:t>
      </w:r>
      <w:r>
        <w:rPr>
          <w:rFonts w:hint="eastAsia" w:cs="Malgun Gothic"/>
          <w:color w:val="000000"/>
          <w:kern w:val="0"/>
          <w:szCs w:val="21"/>
        </w:rPr>
        <w:t>或者</w:t>
      </w:r>
      <w:r>
        <w:rPr>
          <w:rFonts w:hint="eastAsia" w:cs="微软雅黑"/>
          <w:color w:val="000000"/>
          <w:kern w:val="0"/>
          <w:szCs w:val="21"/>
        </w:rPr>
        <w:t>联</w:t>
      </w:r>
      <w:r>
        <w:rPr>
          <w:rFonts w:hint="eastAsia" w:cs="Malgun Gothic"/>
          <w:color w:val="000000"/>
          <w:kern w:val="0"/>
          <w:szCs w:val="21"/>
        </w:rPr>
        <w:t>系人</w:t>
      </w:r>
      <w:r>
        <w:rPr>
          <w:rFonts w:hint="eastAsia" w:cs="微软雅黑"/>
          <w:color w:val="000000"/>
          <w:kern w:val="0"/>
          <w:szCs w:val="21"/>
        </w:rPr>
        <w:t>员为</w:t>
      </w:r>
      <w:r>
        <w:rPr>
          <w:rFonts w:hint="eastAsia" w:cs="Malgun Gothic"/>
          <w:color w:val="000000"/>
          <w:kern w:val="0"/>
          <w:szCs w:val="21"/>
        </w:rPr>
        <w:t>同一人；</w:t>
      </w:r>
    </w:p>
    <w:p w14:paraId="2D8FF6CA">
      <w:pPr>
        <w:ind w:firstLine="420" w:firstLineChars="200"/>
        <w:rPr>
          <w:rFonts w:hint="eastAsia" w:cs="宋体"/>
          <w:color w:val="000000"/>
          <w:kern w:val="0"/>
          <w:szCs w:val="21"/>
        </w:rPr>
      </w:pPr>
      <w:r>
        <w:rPr>
          <w:rFonts w:cs="宋体"/>
          <w:color w:val="000000"/>
          <w:kern w:val="0"/>
          <w:szCs w:val="21"/>
        </w:rPr>
        <w:t>（四）不同投标人</w:t>
      </w:r>
      <w:r>
        <w:rPr>
          <w:rFonts w:hint="eastAsia" w:cs="Malgun Gothic"/>
          <w:color w:val="000000"/>
          <w:kern w:val="0"/>
          <w:szCs w:val="21"/>
        </w:rPr>
        <w:t>的投标文件</w:t>
      </w:r>
      <w:r>
        <w:rPr>
          <w:rFonts w:hint="eastAsia" w:cs="微软雅黑"/>
          <w:color w:val="000000"/>
          <w:kern w:val="0"/>
          <w:szCs w:val="21"/>
        </w:rPr>
        <w:t>异</w:t>
      </w:r>
      <w:r>
        <w:rPr>
          <w:rFonts w:hint="eastAsia" w:cs="Malgun Gothic"/>
          <w:color w:val="000000"/>
          <w:kern w:val="0"/>
          <w:szCs w:val="21"/>
        </w:rPr>
        <w:t>常一致或者磋商</w:t>
      </w:r>
      <w:r>
        <w:rPr>
          <w:rFonts w:hint="eastAsia" w:cs="微软雅黑"/>
          <w:color w:val="000000"/>
          <w:kern w:val="0"/>
          <w:szCs w:val="21"/>
        </w:rPr>
        <w:t>报</w:t>
      </w:r>
      <w:r>
        <w:rPr>
          <w:rFonts w:hint="eastAsia" w:cs="Malgun Gothic"/>
          <w:color w:val="000000"/>
          <w:kern w:val="0"/>
          <w:szCs w:val="21"/>
        </w:rPr>
        <w:t>价呈</w:t>
      </w:r>
      <w:r>
        <w:rPr>
          <w:rFonts w:hint="eastAsia" w:cs="微软雅黑"/>
          <w:color w:val="000000"/>
          <w:kern w:val="0"/>
          <w:szCs w:val="21"/>
        </w:rPr>
        <w:t>规</w:t>
      </w:r>
      <w:r>
        <w:rPr>
          <w:rFonts w:hint="eastAsia" w:cs="Malgun Gothic"/>
          <w:color w:val="000000"/>
          <w:kern w:val="0"/>
          <w:szCs w:val="21"/>
        </w:rPr>
        <w:t>律性差</w:t>
      </w:r>
      <w:r>
        <w:rPr>
          <w:rFonts w:hint="eastAsia" w:cs="微软雅黑"/>
          <w:color w:val="000000"/>
          <w:kern w:val="0"/>
          <w:szCs w:val="21"/>
        </w:rPr>
        <w:t>异</w:t>
      </w:r>
      <w:r>
        <w:rPr>
          <w:rFonts w:hint="eastAsia" w:cs="Malgun Gothic"/>
          <w:color w:val="000000"/>
          <w:kern w:val="0"/>
          <w:szCs w:val="21"/>
        </w:rPr>
        <w:t>；</w:t>
      </w:r>
    </w:p>
    <w:p w14:paraId="06FB7F8C">
      <w:pPr>
        <w:ind w:firstLine="420" w:firstLineChars="200"/>
        <w:rPr>
          <w:rFonts w:hint="eastAsia" w:cs="宋体"/>
          <w:color w:val="000000"/>
          <w:kern w:val="0"/>
          <w:szCs w:val="21"/>
        </w:rPr>
      </w:pPr>
      <w:r>
        <w:rPr>
          <w:rFonts w:cs="宋体"/>
          <w:color w:val="000000"/>
          <w:kern w:val="0"/>
          <w:szCs w:val="21"/>
        </w:rPr>
        <w:t>（五）不同投标人</w:t>
      </w:r>
      <w:r>
        <w:rPr>
          <w:rFonts w:hint="eastAsia" w:cs="Malgun Gothic"/>
          <w:color w:val="000000"/>
          <w:kern w:val="0"/>
          <w:szCs w:val="21"/>
        </w:rPr>
        <w:t>的投标文件相互混装；</w:t>
      </w:r>
    </w:p>
    <w:p w14:paraId="7958E15E">
      <w:pPr>
        <w:ind w:firstLine="420" w:firstLineChars="200"/>
        <w:rPr>
          <w:rFonts w:hint="eastAsia" w:cs="宋体"/>
          <w:color w:val="000000"/>
          <w:kern w:val="0"/>
          <w:szCs w:val="21"/>
        </w:rPr>
      </w:pPr>
      <w:r>
        <w:rPr>
          <w:rFonts w:cs="宋体"/>
          <w:color w:val="000000"/>
          <w:kern w:val="0"/>
          <w:szCs w:val="21"/>
        </w:rPr>
        <w:t>（六）不同投标人</w:t>
      </w:r>
      <w:r>
        <w:rPr>
          <w:rFonts w:hint="eastAsia" w:cs="Malgun Gothic"/>
          <w:color w:val="000000"/>
          <w:kern w:val="0"/>
          <w:szCs w:val="21"/>
        </w:rPr>
        <w:t>的磋商保</w:t>
      </w:r>
      <w:r>
        <w:rPr>
          <w:rFonts w:hint="eastAsia" w:cs="微软雅黑"/>
          <w:color w:val="000000"/>
          <w:kern w:val="0"/>
          <w:szCs w:val="21"/>
        </w:rPr>
        <w:t>证</w:t>
      </w:r>
      <w:r>
        <w:rPr>
          <w:rFonts w:hint="eastAsia" w:cs="Malgun Gothic"/>
          <w:color w:val="000000"/>
          <w:kern w:val="0"/>
          <w:szCs w:val="21"/>
        </w:rPr>
        <w:t>金</w:t>
      </w:r>
      <w:r>
        <w:rPr>
          <w:rFonts w:hint="eastAsia" w:cs="微软雅黑"/>
          <w:color w:val="000000"/>
          <w:kern w:val="0"/>
          <w:szCs w:val="21"/>
        </w:rPr>
        <w:t>从</w:t>
      </w:r>
      <w:r>
        <w:rPr>
          <w:rFonts w:hint="eastAsia" w:cs="Malgun Gothic"/>
          <w:color w:val="000000"/>
          <w:kern w:val="0"/>
          <w:szCs w:val="21"/>
        </w:rPr>
        <w:t>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人的</w:t>
      </w:r>
      <w:r>
        <w:rPr>
          <w:rFonts w:hint="eastAsia" w:cs="微软雅黑"/>
          <w:color w:val="000000"/>
          <w:kern w:val="0"/>
          <w:szCs w:val="21"/>
        </w:rPr>
        <w:t>账户转</w:t>
      </w:r>
      <w:r>
        <w:rPr>
          <w:rFonts w:hint="eastAsia" w:cs="Malgun Gothic"/>
          <w:color w:val="000000"/>
          <w:kern w:val="0"/>
          <w:szCs w:val="21"/>
        </w:rPr>
        <w:t>出。</w:t>
      </w:r>
    </w:p>
    <w:p w14:paraId="61CAC63D">
      <w:pPr>
        <w:rPr>
          <w:rFonts w:hint="eastAsia" w:cs="宋体"/>
          <w:color w:val="000000"/>
          <w:kern w:val="0"/>
          <w:szCs w:val="21"/>
        </w:rPr>
      </w:pPr>
    </w:p>
    <w:p w14:paraId="3B23EC00">
      <w:pPr>
        <w:ind w:firstLine="420" w:firstLineChars="200"/>
        <w:rPr>
          <w:rFonts w:hint="eastAsia" w:cs="Malgun Gothic"/>
          <w:b/>
          <w:color w:val="000000"/>
          <w:kern w:val="0"/>
          <w:szCs w:val="21"/>
        </w:rPr>
      </w:pPr>
      <w:r>
        <w:rPr>
          <w:rFonts w:hint="eastAsia" w:cs="微软雅黑"/>
          <w:b/>
          <w:color w:val="000000"/>
          <w:kern w:val="0"/>
          <w:szCs w:val="21"/>
        </w:rPr>
        <w:t>请</w:t>
      </w:r>
      <w:r>
        <w:rPr>
          <w:rFonts w:hint="eastAsia" w:cs="Malgun Gothic"/>
          <w:b/>
          <w:color w:val="000000"/>
          <w:kern w:val="0"/>
          <w:szCs w:val="21"/>
        </w:rPr>
        <w:t>投标人出具是否存在上述情形的承诺函（内容自拟），并按附表《</w:t>
      </w:r>
      <w:r>
        <w:rPr>
          <w:rFonts w:cs="Malgun Gothic"/>
          <w:b/>
          <w:color w:val="000000"/>
          <w:kern w:val="0"/>
          <w:szCs w:val="21"/>
        </w:rPr>
        <w:t>投标人</w:t>
      </w:r>
      <w:r>
        <w:rPr>
          <w:rFonts w:hint="eastAsia" w:cs="Malgun Gothic"/>
          <w:b/>
          <w:color w:val="000000"/>
          <w:kern w:val="0"/>
          <w:szCs w:val="21"/>
        </w:rPr>
        <w:t>在职</w:t>
      </w:r>
      <w:r>
        <w:rPr>
          <w:rFonts w:cs="Malgun Gothic"/>
          <w:b/>
          <w:color w:val="000000"/>
          <w:kern w:val="0"/>
          <w:szCs w:val="21"/>
        </w:rPr>
        <w:t>人</w:t>
      </w:r>
      <w:r>
        <w:rPr>
          <w:rFonts w:hint="eastAsia" w:cs="Malgun Gothic"/>
          <w:b/>
          <w:color w:val="000000"/>
          <w:kern w:val="0"/>
          <w:szCs w:val="21"/>
        </w:rPr>
        <w:t>员情况表》格式填写相关内容。如出现上述情形的，将向财政部门报告，依照政府采</w:t>
      </w:r>
      <w:r>
        <w:rPr>
          <w:rFonts w:hint="eastAsia" w:cs="微软雅黑"/>
          <w:b/>
          <w:color w:val="000000"/>
          <w:kern w:val="0"/>
          <w:szCs w:val="21"/>
        </w:rPr>
        <w:t>购</w:t>
      </w:r>
      <w:r>
        <w:rPr>
          <w:rFonts w:hint="eastAsia" w:cs="Malgun Gothic"/>
          <w:b/>
          <w:color w:val="000000"/>
          <w:kern w:val="0"/>
          <w:szCs w:val="21"/>
        </w:rPr>
        <w:t>法第七十七</w:t>
      </w:r>
      <w:r>
        <w:rPr>
          <w:rFonts w:hint="eastAsia" w:cs="微软雅黑"/>
          <w:b/>
          <w:color w:val="000000"/>
          <w:kern w:val="0"/>
          <w:szCs w:val="21"/>
        </w:rPr>
        <w:t>条</w:t>
      </w:r>
      <w:r>
        <w:rPr>
          <w:rFonts w:hint="eastAsia" w:cs="Malgun Gothic"/>
          <w:b/>
          <w:color w:val="000000"/>
          <w:kern w:val="0"/>
          <w:szCs w:val="21"/>
        </w:rPr>
        <w:t>第一款的</w:t>
      </w:r>
      <w:r>
        <w:rPr>
          <w:rFonts w:hint="eastAsia" w:cs="微软雅黑"/>
          <w:b/>
          <w:color w:val="000000"/>
          <w:kern w:val="0"/>
          <w:szCs w:val="21"/>
        </w:rPr>
        <w:t>规</w:t>
      </w:r>
      <w:r>
        <w:rPr>
          <w:rFonts w:hint="eastAsia" w:cs="Malgun Gothic"/>
          <w:b/>
          <w:color w:val="000000"/>
          <w:kern w:val="0"/>
          <w:szCs w:val="21"/>
        </w:rPr>
        <w:t>定追究法律</w:t>
      </w:r>
      <w:r>
        <w:rPr>
          <w:rFonts w:hint="eastAsia" w:cs="微软雅黑"/>
          <w:b/>
          <w:color w:val="000000"/>
          <w:kern w:val="0"/>
          <w:szCs w:val="21"/>
        </w:rPr>
        <w:t>责</w:t>
      </w:r>
      <w:r>
        <w:rPr>
          <w:rFonts w:hint="eastAsia" w:cs="Malgun Gothic"/>
          <w:b/>
          <w:color w:val="000000"/>
          <w:kern w:val="0"/>
          <w:szCs w:val="21"/>
        </w:rPr>
        <w:t>任。</w:t>
      </w:r>
    </w:p>
    <w:p w14:paraId="6C218DAB">
      <w:pPr>
        <w:spacing w:line="240" w:lineRule="auto"/>
        <w:rPr>
          <w:rFonts w:hint="eastAsia"/>
        </w:rPr>
      </w:pPr>
    </w:p>
    <w:p w14:paraId="5E44D8DF">
      <w:pPr>
        <w:spacing w:after="120" w:line="240" w:lineRule="auto"/>
        <w:rPr>
          <w:rFonts w:hint="eastAsia"/>
          <w:kern w:val="0"/>
          <w:sz w:val="24"/>
        </w:rPr>
      </w:pPr>
    </w:p>
    <w:p w14:paraId="1240D7AE">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5C9EDA91">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533DAE5">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r>
        <w:rPr>
          <w:rFonts w:hint="eastAsia"/>
          <w:b/>
        </w:rPr>
        <w:br w:type="page"/>
      </w:r>
    </w:p>
    <w:p w14:paraId="41616473">
      <w:pPr>
        <w:spacing w:line="240" w:lineRule="auto"/>
        <w:rPr>
          <w:rFonts w:hint="eastAsia"/>
          <w:b/>
          <w:bCs/>
        </w:rPr>
      </w:pPr>
      <w:r>
        <w:rPr>
          <w:rFonts w:hint="eastAsia"/>
          <w:b/>
          <w:bCs/>
          <w:sz w:val="24"/>
          <w:szCs w:val="32"/>
        </w:rPr>
        <w:t>附表：</w:t>
      </w:r>
    </w:p>
    <w:p w14:paraId="505760C6">
      <w:pPr>
        <w:jc w:val="center"/>
        <w:rPr>
          <w:rFonts w:hint="eastAsia"/>
          <w:b/>
          <w:color w:val="000000"/>
          <w:sz w:val="28"/>
          <w:szCs w:val="28"/>
        </w:rPr>
      </w:pPr>
      <w:r>
        <w:rPr>
          <w:rFonts w:hint="eastAsia"/>
          <w:b/>
          <w:color w:val="000000"/>
          <w:sz w:val="28"/>
          <w:szCs w:val="28"/>
        </w:rPr>
        <w:t>投标人在</w:t>
      </w:r>
      <w:r>
        <w:rPr>
          <w:rFonts w:hint="eastAsia" w:cs="微软雅黑"/>
          <w:b/>
          <w:color w:val="000000"/>
          <w:sz w:val="28"/>
          <w:szCs w:val="28"/>
        </w:rPr>
        <w:t>职</w:t>
      </w:r>
      <w:r>
        <w:rPr>
          <w:b/>
          <w:color w:val="000000"/>
          <w:sz w:val="28"/>
          <w:szCs w:val="28"/>
        </w:rPr>
        <w:t>人</w:t>
      </w:r>
      <w:r>
        <w:rPr>
          <w:rFonts w:hint="eastAsia" w:cs="微软雅黑"/>
          <w:b/>
          <w:color w:val="000000"/>
          <w:sz w:val="28"/>
          <w:szCs w:val="28"/>
        </w:rPr>
        <w:t>员</w:t>
      </w:r>
      <w:r>
        <w:rPr>
          <w:rFonts w:hint="eastAsia" w:cs="Malgun Gothic"/>
          <w:b/>
          <w:color w:val="000000"/>
          <w:sz w:val="28"/>
          <w:szCs w:val="28"/>
        </w:rPr>
        <w:t>情</w:t>
      </w:r>
      <w:r>
        <w:rPr>
          <w:rFonts w:hint="eastAsia" w:cs="微软雅黑"/>
          <w:b/>
          <w:color w:val="000000"/>
          <w:sz w:val="28"/>
          <w:szCs w:val="28"/>
        </w:rPr>
        <w:t>况</w:t>
      </w:r>
      <w:r>
        <w:rPr>
          <w:rFonts w:hint="eastAsia" w:cs="Malgun Gothic"/>
          <w:b/>
          <w:color w:val="000000"/>
          <w:sz w:val="28"/>
          <w:szCs w:val="28"/>
        </w:rPr>
        <w:t>表</w:t>
      </w:r>
    </w:p>
    <w:tbl>
      <w:tblPr>
        <w:tblStyle w:val="44"/>
        <w:tblW w:w="0" w:type="auto"/>
        <w:tblInd w:w="-11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1701"/>
        <w:gridCol w:w="1417"/>
        <w:gridCol w:w="1394"/>
        <w:gridCol w:w="4382"/>
      </w:tblGrid>
      <w:tr w14:paraId="19249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3287355">
            <w:pPr>
              <w:spacing w:line="276" w:lineRule="auto"/>
              <w:jc w:val="center"/>
              <w:rPr>
                <w:rFonts w:hint="eastAsia"/>
                <w:b/>
                <w:color w:val="000000"/>
                <w:szCs w:val="21"/>
              </w:rPr>
            </w:pPr>
            <w:r>
              <w:rPr>
                <w:b/>
                <w:color w:val="000000"/>
                <w:szCs w:val="21"/>
              </w:rPr>
              <w:t>序</w:t>
            </w:r>
            <w:r>
              <w:rPr>
                <w:rFonts w:hint="eastAsia" w:cs="微软雅黑"/>
                <w:b/>
                <w:color w:val="000000"/>
                <w:szCs w:val="21"/>
              </w:rPr>
              <w:t>号</w:t>
            </w:r>
          </w:p>
        </w:tc>
        <w:tc>
          <w:tcPr>
            <w:tcW w:w="1701" w:type="dxa"/>
            <w:vAlign w:val="center"/>
          </w:tcPr>
          <w:p w14:paraId="01DD50D6">
            <w:pPr>
              <w:spacing w:line="276" w:lineRule="auto"/>
              <w:jc w:val="center"/>
              <w:rPr>
                <w:rFonts w:hint="eastAsia"/>
                <w:b/>
                <w:color w:val="000000"/>
                <w:szCs w:val="21"/>
              </w:rPr>
            </w:pPr>
            <w:r>
              <w:rPr>
                <w:b/>
                <w:color w:val="000000"/>
                <w:szCs w:val="21"/>
              </w:rPr>
              <w:t>姓名</w:t>
            </w:r>
          </w:p>
        </w:tc>
        <w:tc>
          <w:tcPr>
            <w:tcW w:w="1417" w:type="dxa"/>
            <w:vAlign w:val="center"/>
          </w:tcPr>
          <w:p w14:paraId="2272C3C3">
            <w:pPr>
              <w:spacing w:line="276" w:lineRule="auto"/>
              <w:jc w:val="center"/>
              <w:rPr>
                <w:rFonts w:hint="eastAsia"/>
                <w:b/>
                <w:color w:val="000000"/>
                <w:szCs w:val="21"/>
              </w:rPr>
            </w:pPr>
            <w:r>
              <w:rPr>
                <w:b/>
                <w:color w:val="000000"/>
                <w:szCs w:val="21"/>
              </w:rPr>
              <w:t>性</w:t>
            </w:r>
            <w:r>
              <w:rPr>
                <w:rFonts w:hint="eastAsia" w:cs="微软雅黑"/>
                <w:b/>
                <w:color w:val="000000"/>
                <w:szCs w:val="21"/>
              </w:rPr>
              <w:t>别</w:t>
            </w:r>
          </w:p>
        </w:tc>
        <w:tc>
          <w:tcPr>
            <w:tcW w:w="1394" w:type="dxa"/>
            <w:vAlign w:val="center"/>
          </w:tcPr>
          <w:p w14:paraId="27CCD527">
            <w:pPr>
              <w:spacing w:line="276" w:lineRule="auto"/>
              <w:jc w:val="center"/>
              <w:rPr>
                <w:rFonts w:hint="eastAsia"/>
                <w:b/>
                <w:color w:val="000000"/>
                <w:szCs w:val="21"/>
              </w:rPr>
            </w:pPr>
            <w:r>
              <w:rPr>
                <w:rFonts w:hint="eastAsia" w:cs="微软雅黑"/>
                <w:b/>
                <w:color w:val="000000"/>
                <w:szCs w:val="21"/>
              </w:rPr>
              <w:t>职务/职称</w:t>
            </w:r>
          </w:p>
        </w:tc>
        <w:tc>
          <w:tcPr>
            <w:tcW w:w="4382" w:type="dxa"/>
            <w:vAlign w:val="center"/>
          </w:tcPr>
          <w:p w14:paraId="781A0451">
            <w:pPr>
              <w:spacing w:line="276" w:lineRule="auto"/>
              <w:jc w:val="center"/>
              <w:rPr>
                <w:rFonts w:hint="eastAsia"/>
                <w:b/>
                <w:color w:val="000000"/>
                <w:szCs w:val="21"/>
              </w:rPr>
            </w:pPr>
            <w:r>
              <w:rPr>
                <w:b/>
                <w:color w:val="000000"/>
                <w:szCs w:val="21"/>
              </w:rPr>
              <w:t>身</w:t>
            </w:r>
            <w:r>
              <w:rPr>
                <w:rFonts w:hint="eastAsia" w:cs="微软雅黑"/>
                <w:b/>
                <w:color w:val="000000"/>
                <w:szCs w:val="21"/>
              </w:rPr>
              <w:t>份证号</w:t>
            </w:r>
          </w:p>
        </w:tc>
      </w:tr>
      <w:tr w14:paraId="2BBD7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CEAE107">
            <w:pPr>
              <w:spacing w:line="276" w:lineRule="auto"/>
              <w:jc w:val="center"/>
              <w:rPr>
                <w:rFonts w:hint="eastAsia"/>
                <w:b/>
                <w:color w:val="000000"/>
                <w:szCs w:val="21"/>
              </w:rPr>
            </w:pPr>
            <w:r>
              <w:rPr>
                <w:rFonts w:hint="eastAsia"/>
                <w:b/>
                <w:color w:val="000000"/>
                <w:szCs w:val="21"/>
              </w:rPr>
              <w:t>1</w:t>
            </w:r>
          </w:p>
        </w:tc>
        <w:tc>
          <w:tcPr>
            <w:tcW w:w="1701" w:type="dxa"/>
            <w:vAlign w:val="center"/>
          </w:tcPr>
          <w:p w14:paraId="49C782A3">
            <w:pPr>
              <w:spacing w:line="276" w:lineRule="auto"/>
              <w:jc w:val="center"/>
              <w:rPr>
                <w:rFonts w:hint="eastAsia"/>
                <w:b/>
                <w:color w:val="000000"/>
                <w:szCs w:val="21"/>
              </w:rPr>
            </w:pPr>
          </w:p>
        </w:tc>
        <w:tc>
          <w:tcPr>
            <w:tcW w:w="1417" w:type="dxa"/>
            <w:vAlign w:val="center"/>
          </w:tcPr>
          <w:p w14:paraId="05EB90CB">
            <w:pPr>
              <w:spacing w:line="276" w:lineRule="auto"/>
              <w:jc w:val="center"/>
              <w:rPr>
                <w:rFonts w:hint="eastAsia"/>
                <w:b/>
                <w:color w:val="000000"/>
                <w:szCs w:val="21"/>
              </w:rPr>
            </w:pPr>
          </w:p>
        </w:tc>
        <w:tc>
          <w:tcPr>
            <w:tcW w:w="1394" w:type="dxa"/>
            <w:vAlign w:val="center"/>
          </w:tcPr>
          <w:p w14:paraId="391E6C9A">
            <w:pPr>
              <w:spacing w:line="276" w:lineRule="auto"/>
              <w:jc w:val="center"/>
              <w:rPr>
                <w:rFonts w:hint="eastAsia"/>
                <w:b/>
                <w:color w:val="000000"/>
                <w:szCs w:val="21"/>
              </w:rPr>
            </w:pPr>
          </w:p>
        </w:tc>
        <w:tc>
          <w:tcPr>
            <w:tcW w:w="4382" w:type="dxa"/>
            <w:vAlign w:val="center"/>
          </w:tcPr>
          <w:p w14:paraId="5F3913E7">
            <w:pPr>
              <w:spacing w:line="276" w:lineRule="auto"/>
              <w:jc w:val="center"/>
              <w:rPr>
                <w:rFonts w:hint="eastAsia"/>
                <w:b/>
                <w:color w:val="000000"/>
                <w:szCs w:val="21"/>
              </w:rPr>
            </w:pPr>
          </w:p>
        </w:tc>
      </w:tr>
      <w:tr w14:paraId="336AC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1F35F89E">
            <w:pPr>
              <w:spacing w:line="276" w:lineRule="auto"/>
              <w:jc w:val="center"/>
              <w:rPr>
                <w:rFonts w:hint="eastAsia"/>
                <w:b/>
                <w:color w:val="000000"/>
                <w:szCs w:val="21"/>
              </w:rPr>
            </w:pPr>
            <w:r>
              <w:rPr>
                <w:rFonts w:hint="eastAsia"/>
                <w:b/>
                <w:color w:val="000000"/>
                <w:szCs w:val="21"/>
              </w:rPr>
              <w:t>2</w:t>
            </w:r>
          </w:p>
        </w:tc>
        <w:tc>
          <w:tcPr>
            <w:tcW w:w="1701" w:type="dxa"/>
            <w:vAlign w:val="center"/>
          </w:tcPr>
          <w:p w14:paraId="748F9951">
            <w:pPr>
              <w:spacing w:line="276" w:lineRule="auto"/>
              <w:jc w:val="center"/>
              <w:rPr>
                <w:rFonts w:hint="eastAsia"/>
                <w:b/>
                <w:color w:val="000000"/>
                <w:szCs w:val="21"/>
              </w:rPr>
            </w:pPr>
          </w:p>
        </w:tc>
        <w:tc>
          <w:tcPr>
            <w:tcW w:w="1417" w:type="dxa"/>
            <w:vAlign w:val="center"/>
          </w:tcPr>
          <w:p w14:paraId="43F9A30D">
            <w:pPr>
              <w:spacing w:line="276" w:lineRule="auto"/>
              <w:jc w:val="center"/>
              <w:rPr>
                <w:rFonts w:hint="eastAsia"/>
                <w:b/>
                <w:color w:val="000000"/>
                <w:szCs w:val="21"/>
              </w:rPr>
            </w:pPr>
          </w:p>
        </w:tc>
        <w:tc>
          <w:tcPr>
            <w:tcW w:w="1394" w:type="dxa"/>
            <w:vAlign w:val="center"/>
          </w:tcPr>
          <w:p w14:paraId="5AF0EF7B">
            <w:pPr>
              <w:spacing w:line="276" w:lineRule="auto"/>
              <w:jc w:val="center"/>
              <w:rPr>
                <w:rFonts w:hint="eastAsia"/>
                <w:b/>
                <w:color w:val="000000"/>
                <w:szCs w:val="21"/>
              </w:rPr>
            </w:pPr>
          </w:p>
        </w:tc>
        <w:tc>
          <w:tcPr>
            <w:tcW w:w="4382" w:type="dxa"/>
            <w:vAlign w:val="center"/>
          </w:tcPr>
          <w:p w14:paraId="68201FA4">
            <w:pPr>
              <w:spacing w:line="276" w:lineRule="auto"/>
              <w:jc w:val="center"/>
              <w:rPr>
                <w:rFonts w:hint="eastAsia"/>
                <w:b/>
                <w:color w:val="000000"/>
                <w:szCs w:val="21"/>
              </w:rPr>
            </w:pPr>
          </w:p>
        </w:tc>
      </w:tr>
      <w:tr w14:paraId="266E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376D713">
            <w:pPr>
              <w:spacing w:line="276" w:lineRule="auto"/>
              <w:jc w:val="center"/>
              <w:rPr>
                <w:rFonts w:hint="eastAsia"/>
                <w:b/>
                <w:color w:val="000000"/>
                <w:szCs w:val="21"/>
              </w:rPr>
            </w:pPr>
            <w:r>
              <w:rPr>
                <w:rFonts w:hint="eastAsia"/>
                <w:b/>
                <w:color w:val="000000"/>
                <w:szCs w:val="21"/>
              </w:rPr>
              <w:t>3</w:t>
            </w:r>
          </w:p>
        </w:tc>
        <w:tc>
          <w:tcPr>
            <w:tcW w:w="1701" w:type="dxa"/>
            <w:vAlign w:val="center"/>
          </w:tcPr>
          <w:p w14:paraId="2125B05F">
            <w:pPr>
              <w:spacing w:line="276" w:lineRule="auto"/>
              <w:jc w:val="center"/>
              <w:rPr>
                <w:rFonts w:hint="eastAsia"/>
                <w:b/>
                <w:color w:val="000000"/>
                <w:szCs w:val="21"/>
              </w:rPr>
            </w:pPr>
          </w:p>
        </w:tc>
        <w:tc>
          <w:tcPr>
            <w:tcW w:w="1417" w:type="dxa"/>
            <w:vAlign w:val="center"/>
          </w:tcPr>
          <w:p w14:paraId="3DEBF664">
            <w:pPr>
              <w:spacing w:line="276" w:lineRule="auto"/>
              <w:jc w:val="center"/>
              <w:rPr>
                <w:rFonts w:hint="eastAsia"/>
                <w:b/>
                <w:color w:val="000000"/>
                <w:szCs w:val="21"/>
              </w:rPr>
            </w:pPr>
          </w:p>
        </w:tc>
        <w:tc>
          <w:tcPr>
            <w:tcW w:w="1394" w:type="dxa"/>
            <w:vAlign w:val="center"/>
          </w:tcPr>
          <w:p w14:paraId="205837EA">
            <w:pPr>
              <w:spacing w:line="276" w:lineRule="auto"/>
              <w:jc w:val="center"/>
              <w:rPr>
                <w:rFonts w:hint="eastAsia"/>
                <w:b/>
                <w:color w:val="000000"/>
                <w:szCs w:val="21"/>
              </w:rPr>
            </w:pPr>
          </w:p>
        </w:tc>
        <w:tc>
          <w:tcPr>
            <w:tcW w:w="4382" w:type="dxa"/>
            <w:vAlign w:val="center"/>
          </w:tcPr>
          <w:p w14:paraId="7365E0D3">
            <w:pPr>
              <w:spacing w:line="276" w:lineRule="auto"/>
              <w:jc w:val="center"/>
              <w:rPr>
                <w:rFonts w:hint="eastAsia"/>
                <w:b/>
                <w:color w:val="000000"/>
                <w:szCs w:val="21"/>
              </w:rPr>
            </w:pPr>
          </w:p>
        </w:tc>
      </w:tr>
      <w:tr w14:paraId="024C6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090082A8">
            <w:pPr>
              <w:spacing w:line="276" w:lineRule="auto"/>
              <w:jc w:val="center"/>
              <w:rPr>
                <w:rFonts w:hint="eastAsia"/>
                <w:b/>
                <w:color w:val="000000"/>
                <w:szCs w:val="21"/>
              </w:rPr>
            </w:pPr>
            <w:r>
              <w:rPr>
                <w:b/>
                <w:color w:val="000000"/>
                <w:szCs w:val="21"/>
              </w:rPr>
              <w:t>…</w:t>
            </w:r>
          </w:p>
        </w:tc>
        <w:tc>
          <w:tcPr>
            <w:tcW w:w="1701" w:type="dxa"/>
            <w:vAlign w:val="center"/>
          </w:tcPr>
          <w:p w14:paraId="73A1231F">
            <w:pPr>
              <w:spacing w:line="276" w:lineRule="auto"/>
              <w:jc w:val="center"/>
              <w:rPr>
                <w:rFonts w:hint="eastAsia"/>
                <w:b/>
                <w:color w:val="000000"/>
                <w:szCs w:val="21"/>
              </w:rPr>
            </w:pPr>
          </w:p>
        </w:tc>
        <w:tc>
          <w:tcPr>
            <w:tcW w:w="1417" w:type="dxa"/>
            <w:vAlign w:val="center"/>
          </w:tcPr>
          <w:p w14:paraId="07CD5008">
            <w:pPr>
              <w:spacing w:line="276" w:lineRule="auto"/>
              <w:jc w:val="center"/>
              <w:rPr>
                <w:rFonts w:hint="eastAsia"/>
                <w:b/>
                <w:color w:val="000000"/>
                <w:szCs w:val="21"/>
              </w:rPr>
            </w:pPr>
          </w:p>
        </w:tc>
        <w:tc>
          <w:tcPr>
            <w:tcW w:w="1394" w:type="dxa"/>
            <w:vAlign w:val="center"/>
          </w:tcPr>
          <w:p w14:paraId="6A83E871">
            <w:pPr>
              <w:spacing w:line="276" w:lineRule="auto"/>
              <w:jc w:val="center"/>
              <w:rPr>
                <w:rFonts w:hint="eastAsia"/>
                <w:b/>
                <w:color w:val="000000"/>
                <w:szCs w:val="21"/>
              </w:rPr>
            </w:pPr>
          </w:p>
        </w:tc>
        <w:tc>
          <w:tcPr>
            <w:tcW w:w="4382" w:type="dxa"/>
            <w:vAlign w:val="center"/>
          </w:tcPr>
          <w:p w14:paraId="61793754">
            <w:pPr>
              <w:spacing w:line="276" w:lineRule="auto"/>
              <w:jc w:val="center"/>
              <w:rPr>
                <w:rFonts w:hint="eastAsia"/>
                <w:b/>
                <w:color w:val="000000"/>
                <w:szCs w:val="21"/>
              </w:rPr>
            </w:pPr>
          </w:p>
        </w:tc>
      </w:tr>
      <w:tr w14:paraId="0A029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89155CD">
            <w:pPr>
              <w:spacing w:line="276" w:lineRule="auto"/>
              <w:jc w:val="center"/>
              <w:rPr>
                <w:rFonts w:hint="eastAsia"/>
                <w:b/>
                <w:color w:val="000000"/>
                <w:szCs w:val="21"/>
              </w:rPr>
            </w:pPr>
            <w:r>
              <w:rPr>
                <w:b/>
                <w:color w:val="000000"/>
                <w:szCs w:val="21"/>
              </w:rPr>
              <w:t>…</w:t>
            </w:r>
          </w:p>
        </w:tc>
        <w:tc>
          <w:tcPr>
            <w:tcW w:w="1701" w:type="dxa"/>
            <w:vAlign w:val="center"/>
          </w:tcPr>
          <w:p w14:paraId="0A956814">
            <w:pPr>
              <w:spacing w:line="276" w:lineRule="auto"/>
              <w:jc w:val="center"/>
              <w:rPr>
                <w:rFonts w:hint="eastAsia"/>
                <w:b/>
                <w:color w:val="000000"/>
                <w:szCs w:val="21"/>
              </w:rPr>
            </w:pPr>
          </w:p>
        </w:tc>
        <w:tc>
          <w:tcPr>
            <w:tcW w:w="1417" w:type="dxa"/>
            <w:vAlign w:val="center"/>
          </w:tcPr>
          <w:p w14:paraId="20C68023">
            <w:pPr>
              <w:spacing w:line="276" w:lineRule="auto"/>
              <w:jc w:val="center"/>
              <w:rPr>
                <w:rFonts w:hint="eastAsia"/>
                <w:b/>
                <w:color w:val="000000"/>
                <w:szCs w:val="21"/>
              </w:rPr>
            </w:pPr>
          </w:p>
        </w:tc>
        <w:tc>
          <w:tcPr>
            <w:tcW w:w="1394" w:type="dxa"/>
            <w:vAlign w:val="center"/>
          </w:tcPr>
          <w:p w14:paraId="7A2E9361">
            <w:pPr>
              <w:spacing w:line="276" w:lineRule="auto"/>
              <w:jc w:val="center"/>
              <w:rPr>
                <w:rFonts w:hint="eastAsia"/>
                <w:b/>
                <w:color w:val="000000"/>
                <w:szCs w:val="21"/>
              </w:rPr>
            </w:pPr>
          </w:p>
        </w:tc>
        <w:tc>
          <w:tcPr>
            <w:tcW w:w="4382" w:type="dxa"/>
            <w:vAlign w:val="center"/>
          </w:tcPr>
          <w:p w14:paraId="67D8FA2E">
            <w:pPr>
              <w:spacing w:line="276" w:lineRule="auto"/>
              <w:jc w:val="center"/>
              <w:rPr>
                <w:rFonts w:hint="eastAsia"/>
                <w:b/>
                <w:color w:val="000000"/>
                <w:szCs w:val="21"/>
              </w:rPr>
            </w:pPr>
          </w:p>
        </w:tc>
      </w:tr>
    </w:tbl>
    <w:p w14:paraId="21C06841">
      <w:pPr>
        <w:jc w:val="left"/>
        <w:rPr>
          <w:rFonts w:hint="eastAsia"/>
          <w:b/>
          <w:color w:val="000000"/>
          <w:szCs w:val="21"/>
        </w:rPr>
      </w:pPr>
    </w:p>
    <w:p w14:paraId="6D6C5A0E">
      <w:pPr>
        <w:jc w:val="left"/>
        <w:rPr>
          <w:rFonts w:hint="eastAsia"/>
          <w:b/>
          <w:color w:val="000000"/>
          <w:szCs w:val="21"/>
        </w:rPr>
      </w:pPr>
      <w:r>
        <w:rPr>
          <w:b/>
          <w:color w:val="000000"/>
          <w:szCs w:val="21"/>
        </w:rPr>
        <w:t>注</w:t>
      </w:r>
      <w:r>
        <w:rPr>
          <w:rFonts w:hint="eastAsia"/>
          <w:b/>
          <w:color w:val="000000"/>
          <w:szCs w:val="21"/>
        </w:rPr>
        <w:t>：1、投标人</w:t>
      </w:r>
      <w:r>
        <w:rPr>
          <w:rFonts w:hint="eastAsia" w:cs="微软雅黑"/>
          <w:b/>
          <w:color w:val="000000"/>
          <w:szCs w:val="21"/>
        </w:rPr>
        <w:t>须</w:t>
      </w:r>
      <w:r>
        <w:rPr>
          <w:rFonts w:hint="eastAsia" w:cs="Malgun Gothic"/>
          <w:b/>
          <w:color w:val="000000"/>
          <w:szCs w:val="21"/>
        </w:rPr>
        <w:t>如</w:t>
      </w:r>
      <w:r>
        <w:rPr>
          <w:rFonts w:hint="eastAsia" w:cs="微软雅黑"/>
          <w:b/>
          <w:color w:val="000000"/>
          <w:szCs w:val="21"/>
        </w:rPr>
        <w:t>实填写</w:t>
      </w:r>
      <w:r>
        <w:rPr>
          <w:rFonts w:hint="eastAsia" w:cs="Malgun Gothic"/>
          <w:b/>
          <w:color w:val="000000"/>
          <w:szCs w:val="21"/>
        </w:rPr>
        <w:t>公司所有在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b/>
          <w:color w:val="000000"/>
          <w:szCs w:val="21"/>
        </w:rPr>
        <w:t>。</w:t>
      </w:r>
    </w:p>
    <w:p w14:paraId="70C7C01F">
      <w:pPr>
        <w:spacing w:line="480" w:lineRule="auto"/>
        <w:jc w:val="left"/>
        <w:rPr>
          <w:rFonts w:hint="eastAsia"/>
          <w:b/>
          <w:bCs/>
          <w:color w:val="000000" w:themeColor="text1"/>
          <w:sz w:val="28"/>
          <w:szCs w:val="36"/>
          <w14:textFill>
            <w14:solidFill>
              <w14:schemeClr w14:val="tx1"/>
            </w14:solidFill>
          </w14:textFill>
        </w:rPr>
      </w:pPr>
      <w:r>
        <w:rPr>
          <w:rFonts w:hint="eastAsia"/>
          <w:color w:val="000000"/>
          <w:szCs w:val="21"/>
        </w:rPr>
        <w:t>★</w:t>
      </w:r>
      <w:r>
        <w:rPr>
          <w:rFonts w:hint="eastAsia"/>
          <w:b/>
          <w:color w:val="000000"/>
          <w:szCs w:val="21"/>
        </w:rPr>
        <w:t>2、</w:t>
      </w:r>
      <w:r>
        <w:rPr>
          <w:rFonts w:hint="eastAsia" w:cs="微软雅黑"/>
          <w:b/>
          <w:color w:val="000000"/>
          <w:szCs w:val="21"/>
        </w:rPr>
        <w:t>评标委员会</w:t>
      </w:r>
      <w:r>
        <w:rPr>
          <w:rFonts w:hint="eastAsia" w:cs="Malgun Gothic"/>
          <w:b/>
          <w:color w:val="000000"/>
          <w:szCs w:val="21"/>
        </w:rPr>
        <w:t>如</w:t>
      </w:r>
      <w:r>
        <w:rPr>
          <w:rFonts w:hint="eastAsia" w:cs="微软雅黑"/>
          <w:b/>
          <w:color w:val="000000"/>
          <w:szCs w:val="21"/>
        </w:rPr>
        <w:t>发现</w:t>
      </w:r>
      <w:r>
        <w:rPr>
          <w:rFonts w:hint="eastAsia" w:cs="Malgun Gothic"/>
          <w:b/>
          <w:color w:val="000000"/>
          <w:szCs w:val="21"/>
        </w:rPr>
        <w:t>投标人提供的在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员与</w:t>
      </w:r>
      <w:r>
        <w:rPr>
          <w:rFonts w:hint="eastAsia" w:cs="Malgun Gothic"/>
          <w:b/>
          <w:color w:val="000000"/>
          <w:szCs w:val="21"/>
        </w:rPr>
        <w:t>其他投标人所提供的在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cs="Malgun Gothic"/>
          <w:b/>
          <w:color w:val="000000"/>
          <w:szCs w:val="21"/>
        </w:rPr>
        <w:t>存在重</w:t>
      </w:r>
      <w:r>
        <w:rPr>
          <w:rFonts w:hint="eastAsia" w:cs="微软雅黑"/>
          <w:b/>
          <w:color w:val="000000"/>
          <w:szCs w:val="21"/>
        </w:rPr>
        <w:t>复</w:t>
      </w:r>
      <w:r>
        <w:rPr>
          <w:rFonts w:hint="eastAsia" w:cs="Malgun Gothic"/>
          <w:b/>
          <w:color w:val="000000"/>
          <w:szCs w:val="21"/>
        </w:rPr>
        <w:t>的，相</w:t>
      </w:r>
      <w:r>
        <w:rPr>
          <w:rFonts w:hint="eastAsia" w:cs="微软雅黑"/>
          <w:b/>
          <w:color w:val="000000"/>
          <w:szCs w:val="21"/>
        </w:rPr>
        <w:t>关</w:t>
      </w:r>
      <w:r>
        <w:rPr>
          <w:rFonts w:hint="eastAsia" w:cs="Malgun Gothic"/>
          <w:b/>
          <w:color w:val="000000"/>
          <w:szCs w:val="21"/>
        </w:rPr>
        <w:t>投</w:t>
      </w:r>
      <w:r>
        <w:rPr>
          <w:rFonts w:hint="eastAsia" w:cs="微软雅黑"/>
          <w:b/>
          <w:color w:val="000000"/>
          <w:szCs w:val="21"/>
        </w:rPr>
        <w:t>标</w:t>
      </w:r>
      <w:r>
        <w:rPr>
          <w:rFonts w:hint="eastAsia" w:cs="Malgun Gothic"/>
          <w:b/>
          <w:color w:val="000000"/>
          <w:szCs w:val="21"/>
        </w:rPr>
        <w:t>均按不</w:t>
      </w:r>
      <w:r>
        <w:rPr>
          <w:rFonts w:hint="eastAsia" w:cs="微软雅黑"/>
          <w:b/>
          <w:color w:val="000000"/>
          <w:szCs w:val="21"/>
        </w:rPr>
        <w:t>实质</w:t>
      </w:r>
      <w:r>
        <w:rPr>
          <w:rFonts w:hint="eastAsia" w:cs="Malgun Gothic"/>
          <w:b/>
          <w:color w:val="000000"/>
          <w:szCs w:val="21"/>
        </w:rPr>
        <w:t>性</w:t>
      </w:r>
      <w:r>
        <w:rPr>
          <w:rFonts w:hint="eastAsia" w:cs="微软雅黑"/>
          <w:b/>
          <w:color w:val="000000"/>
          <w:szCs w:val="21"/>
        </w:rPr>
        <w:t>响应</w:t>
      </w:r>
      <w:r>
        <w:rPr>
          <w:rFonts w:hint="eastAsia" w:cs="Malgun Gothic"/>
          <w:b/>
          <w:color w:val="000000"/>
          <w:szCs w:val="21"/>
        </w:rPr>
        <w:t>投标文件要求</w:t>
      </w:r>
      <w:r>
        <w:rPr>
          <w:rFonts w:hint="eastAsia" w:cs="微软雅黑"/>
          <w:b/>
          <w:color w:val="000000"/>
          <w:szCs w:val="21"/>
        </w:rPr>
        <w:t>处</w:t>
      </w:r>
      <w:r>
        <w:rPr>
          <w:rFonts w:hint="eastAsia" w:cs="Malgun Gothic"/>
          <w:b/>
          <w:color w:val="000000"/>
          <w:szCs w:val="21"/>
        </w:rPr>
        <w:t>理。</w:t>
      </w:r>
    </w:p>
    <w:p w14:paraId="2DBDBC6E">
      <w:pPr>
        <w:spacing w:line="480" w:lineRule="auto"/>
        <w:jc w:val="left"/>
        <w:rPr>
          <w:rFonts w:hint="eastAsia"/>
          <w:b/>
          <w:bCs/>
          <w:szCs w:val="21"/>
        </w:rPr>
      </w:pPr>
      <w:bookmarkStart w:id="246" w:name="_Toc13783"/>
      <w:bookmarkStart w:id="247" w:name="_Toc125904344"/>
      <w:bookmarkStart w:id="248" w:name="_Toc125986481"/>
      <w:bookmarkStart w:id="249" w:name="_Toc166067779"/>
      <w:bookmarkStart w:id="250" w:name="_Toc170120952"/>
      <w:bookmarkStart w:id="251" w:name="_Toc139357072"/>
      <w:r>
        <w:rPr>
          <w:rFonts w:hint="eastAsia"/>
          <w:b/>
          <w:bCs/>
          <w:sz w:val="28"/>
          <w:szCs w:val="36"/>
        </w:rPr>
        <w:br w:type="page"/>
      </w:r>
    </w:p>
    <w:p w14:paraId="7D9F9DEE">
      <w:pPr>
        <w:jc w:val="center"/>
        <w:outlineLvl w:val="2"/>
        <w:rPr>
          <w:rFonts w:hint="eastAsia"/>
          <w:b/>
          <w:bCs/>
          <w:sz w:val="28"/>
          <w:szCs w:val="36"/>
        </w:rPr>
      </w:pPr>
      <w:bookmarkStart w:id="252" w:name="_Toc5263"/>
      <w:bookmarkStart w:id="253" w:name="_Toc216368779"/>
      <w:bookmarkStart w:id="254" w:name="_Toc216724752"/>
      <w:r>
        <w:rPr>
          <w:rFonts w:hint="eastAsia"/>
          <w:b/>
          <w:bCs/>
          <w:sz w:val="28"/>
          <w:szCs w:val="36"/>
        </w:rPr>
        <w:t>（十三）医疗器械生产（经营）许可证、医疗器械注册证</w:t>
      </w:r>
      <w:bookmarkEnd w:id="252"/>
    </w:p>
    <w:p w14:paraId="219D70C2">
      <w:pPr>
        <w:widowControl/>
        <w:rPr>
          <w:rFonts w:hint="eastAsia"/>
          <w:b/>
          <w:bCs/>
          <w:sz w:val="28"/>
          <w:szCs w:val="36"/>
        </w:rPr>
      </w:pPr>
      <w:r>
        <w:rPr>
          <w:rFonts w:hint="eastAsia" w:cs="宋体"/>
          <w:b/>
          <w:bCs/>
          <w:color w:val="000000" w:themeColor="text1"/>
          <w:szCs w:val="21"/>
          <w14:textFill>
            <w14:solidFill>
              <w14:schemeClr w14:val="tx1"/>
            </w14:solidFill>
          </w14:textFill>
        </w:rPr>
        <w:t>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01A3BF1">
      <w:pPr>
        <w:widowControl/>
        <w:spacing w:line="240" w:lineRule="auto"/>
        <w:jc w:val="left"/>
        <w:rPr>
          <w:rFonts w:hint="eastAsia"/>
          <w:b/>
          <w:bCs/>
          <w:sz w:val="28"/>
          <w:szCs w:val="36"/>
        </w:rPr>
      </w:pPr>
    </w:p>
    <w:p w14:paraId="78AEE399">
      <w:pPr>
        <w:pStyle w:val="2"/>
        <w:rPr>
          <w:rFonts w:hint="eastAsia" w:ascii="宋体" w:hAnsi="宋体"/>
        </w:rPr>
      </w:pPr>
      <w:r>
        <w:rPr>
          <w:rFonts w:hint="eastAsia" w:ascii="宋体" w:hAnsi="宋体"/>
        </w:rPr>
        <w:t>2、</w:t>
      </w:r>
      <w:r>
        <w:rPr>
          <w:rFonts w:hint="eastAsia" w:ascii="宋体" w:hAnsi="宋体" w:cs="宋体"/>
          <w:kern w:val="0"/>
          <w:szCs w:val="21"/>
        </w:rPr>
        <w:t>如若投标人认为投标产品不在《医疗器械分类目录》内或不作为医疗器械管理的，需提供证明材料。</w:t>
      </w:r>
    </w:p>
    <w:p w14:paraId="5A2D8702">
      <w:pPr>
        <w:widowControl/>
        <w:spacing w:line="240" w:lineRule="auto"/>
        <w:jc w:val="left"/>
        <w:rPr>
          <w:rFonts w:hint="eastAsia"/>
          <w:b/>
          <w:bCs/>
          <w:sz w:val="28"/>
          <w:szCs w:val="36"/>
        </w:rPr>
      </w:pPr>
      <w:r>
        <w:rPr>
          <w:rFonts w:hint="eastAsia"/>
          <w:b/>
          <w:bCs/>
          <w:sz w:val="28"/>
          <w:szCs w:val="36"/>
        </w:rPr>
        <w:br w:type="page"/>
      </w:r>
    </w:p>
    <w:p w14:paraId="4645E0E7">
      <w:pPr>
        <w:jc w:val="center"/>
        <w:outlineLvl w:val="3"/>
        <w:rPr>
          <w:rFonts w:hint="eastAsia" w:cs="宋体"/>
          <w:sz w:val="40"/>
          <w:szCs w:val="40"/>
        </w:rPr>
      </w:pPr>
      <w:r>
        <w:rPr>
          <w:rFonts w:hint="eastAsia" w:cs="宋体"/>
          <w:b/>
          <w:bCs/>
          <w:sz w:val="28"/>
          <w:szCs w:val="28"/>
        </w:rPr>
        <w:t>表1：是否属于医疗器械填报表</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10"/>
        <w:gridCol w:w="2931"/>
        <w:gridCol w:w="3901"/>
        <w:gridCol w:w="1620"/>
      </w:tblGrid>
      <w:tr w14:paraId="0008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1D1E313">
            <w:pPr>
              <w:adjustRightInd w:val="0"/>
              <w:snapToGrid w:val="0"/>
              <w:spacing w:line="240" w:lineRule="auto"/>
              <w:jc w:val="center"/>
              <w:outlineLvl w:val="2"/>
              <w:rPr>
                <w:rFonts w:hint="eastAsia" w:cs="宋体"/>
                <w:b/>
                <w:bCs/>
                <w:szCs w:val="21"/>
              </w:rPr>
            </w:pPr>
            <w:bookmarkStart w:id="255" w:name="_Toc17399"/>
            <w:r>
              <w:rPr>
                <w:rFonts w:hint="eastAsia" w:cs="宋体"/>
                <w:b/>
                <w:bCs/>
                <w:szCs w:val="21"/>
              </w:rPr>
              <w:t>序号</w:t>
            </w:r>
            <w:bookmarkEnd w:id="255"/>
          </w:p>
        </w:tc>
        <w:tc>
          <w:tcPr>
            <w:tcW w:w="1471" w:type="pct"/>
            <w:vAlign w:val="center"/>
          </w:tcPr>
          <w:p w14:paraId="6C010B9E">
            <w:pPr>
              <w:adjustRightInd w:val="0"/>
              <w:snapToGrid w:val="0"/>
              <w:spacing w:line="240" w:lineRule="auto"/>
              <w:jc w:val="center"/>
              <w:outlineLvl w:val="2"/>
              <w:rPr>
                <w:rFonts w:hint="eastAsia" w:cs="宋体"/>
                <w:b/>
                <w:bCs/>
                <w:szCs w:val="21"/>
              </w:rPr>
            </w:pPr>
            <w:bookmarkStart w:id="256" w:name="_Toc26036"/>
            <w:r>
              <w:rPr>
                <w:rFonts w:hint="eastAsia" w:cs="宋体"/>
                <w:b/>
                <w:bCs/>
                <w:szCs w:val="21"/>
              </w:rPr>
              <w:t>产品名称</w:t>
            </w:r>
            <w:bookmarkEnd w:id="256"/>
          </w:p>
        </w:tc>
        <w:tc>
          <w:tcPr>
            <w:tcW w:w="1958" w:type="pct"/>
            <w:vAlign w:val="center"/>
          </w:tcPr>
          <w:p w14:paraId="7F27A3AF">
            <w:pPr>
              <w:adjustRightInd w:val="0"/>
              <w:snapToGrid w:val="0"/>
              <w:spacing w:line="240" w:lineRule="auto"/>
              <w:jc w:val="center"/>
              <w:outlineLvl w:val="2"/>
              <w:rPr>
                <w:rFonts w:hint="eastAsia" w:cs="宋体"/>
                <w:b/>
                <w:bCs/>
                <w:szCs w:val="21"/>
              </w:rPr>
            </w:pPr>
            <w:bookmarkStart w:id="257" w:name="_Toc31949"/>
            <w:r>
              <w:rPr>
                <w:rFonts w:hint="eastAsia" w:cs="宋体"/>
                <w:b/>
                <w:bCs/>
                <w:szCs w:val="21"/>
              </w:rPr>
              <w:t>是否属于医疗器械</w:t>
            </w:r>
            <w:bookmarkEnd w:id="257"/>
          </w:p>
        </w:tc>
        <w:tc>
          <w:tcPr>
            <w:tcW w:w="813" w:type="pct"/>
            <w:vAlign w:val="center"/>
          </w:tcPr>
          <w:p w14:paraId="2EBF6816">
            <w:pPr>
              <w:adjustRightInd w:val="0"/>
              <w:snapToGrid w:val="0"/>
              <w:spacing w:line="240" w:lineRule="auto"/>
              <w:jc w:val="center"/>
              <w:outlineLvl w:val="2"/>
              <w:rPr>
                <w:rFonts w:hint="eastAsia" w:cs="宋体"/>
                <w:b/>
                <w:bCs/>
                <w:szCs w:val="21"/>
              </w:rPr>
            </w:pPr>
            <w:bookmarkStart w:id="258" w:name="_Toc24067"/>
            <w:r>
              <w:rPr>
                <w:rFonts w:hint="eastAsia" w:cs="宋体"/>
                <w:b/>
                <w:bCs/>
                <w:szCs w:val="21"/>
              </w:rPr>
              <w:t>备注</w:t>
            </w:r>
            <w:bookmarkEnd w:id="258"/>
          </w:p>
        </w:tc>
      </w:tr>
      <w:tr w14:paraId="7FA51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597F50A7">
            <w:pPr>
              <w:adjustRightInd w:val="0"/>
              <w:snapToGrid w:val="0"/>
              <w:spacing w:line="240" w:lineRule="auto"/>
              <w:jc w:val="center"/>
              <w:outlineLvl w:val="2"/>
              <w:rPr>
                <w:rFonts w:hint="eastAsia" w:cs="宋体"/>
                <w:szCs w:val="21"/>
              </w:rPr>
            </w:pPr>
          </w:p>
        </w:tc>
        <w:tc>
          <w:tcPr>
            <w:tcW w:w="1471" w:type="pct"/>
            <w:vAlign w:val="center"/>
          </w:tcPr>
          <w:p w14:paraId="0445EE43">
            <w:pPr>
              <w:adjustRightInd w:val="0"/>
              <w:snapToGrid w:val="0"/>
              <w:spacing w:line="240" w:lineRule="auto"/>
              <w:jc w:val="center"/>
              <w:outlineLvl w:val="2"/>
              <w:rPr>
                <w:rFonts w:hint="eastAsia" w:cs="宋体"/>
                <w:szCs w:val="21"/>
              </w:rPr>
            </w:pPr>
          </w:p>
        </w:tc>
        <w:tc>
          <w:tcPr>
            <w:tcW w:w="1958" w:type="pct"/>
            <w:vAlign w:val="center"/>
          </w:tcPr>
          <w:p w14:paraId="09D240C8">
            <w:pPr>
              <w:adjustRightInd w:val="0"/>
              <w:snapToGrid w:val="0"/>
              <w:spacing w:line="240" w:lineRule="auto"/>
              <w:jc w:val="center"/>
              <w:outlineLvl w:val="2"/>
              <w:rPr>
                <w:rFonts w:hint="eastAsia" w:cs="宋体"/>
                <w:szCs w:val="21"/>
              </w:rPr>
            </w:pPr>
          </w:p>
        </w:tc>
        <w:tc>
          <w:tcPr>
            <w:tcW w:w="813" w:type="pct"/>
            <w:vAlign w:val="center"/>
          </w:tcPr>
          <w:p w14:paraId="620BF439">
            <w:pPr>
              <w:adjustRightInd w:val="0"/>
              <w:snapToGrid w:val="0"/>
              <w:spacing w:line="240" w:lineRule="auto"/>
              <w:jc w:val="center"/>
              <w:outlineLvl w:val="2"/>
              <w:rPr>
                <w:rFonts w:hint="eastAsia" w:cs="宋体"/>
                <w:szCs w:val="21"/>
              </w:rPr>
            </w:pPr>
          </w:p>
        </w:tc>
      </w:tr>
      <w:tr w14:paraId="12D68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7B98B9C2">
            <w:pPr>
              <w:adjustRightInd w:val="0"/>
              <w:snapToGrid w:val="0"/>
              <w:spacing w:line="240" w:lineRule="auto"/>
              <w:jc w:val="center"/>
              <w:outlineLvl w:val="2"/>
              <w:rPr>
                <w:rFonts w:hint="eastAsia" w:cs="宋体"/>
                <w:szCs w:val="21"/>
              </w:rPr>
            </w:pPr>
          </w:p>
        </w:tc>
        <w:tc>
          <w:tcPr>
            <w:tcW w:w="1471" w:type="pct"/>
            <w:vAlign w:val="center"/>
          </w:tcPr>
          <w:p w14:paraId="2D1B3E3D">
            <w:pPr>
              <w:adjustRightInd w:val="0"/>
              <w:snapToGrid w:val="0"/>
              <w:spacing w:line="240" w:lineRule="auto"/>
              <w:jc w:val="center"/>
              <w:outlineLvl w:val="2"/>
              <w:rPr>
                <w:rFonts w:hint="eastAsia" w:cs="宋体"/>
                <w:szCs w:val="21"/>
              </w:rPr>
            </w:pPr>
          </w:p>
        </w:tc>
        <w:tc>
          <w:tcPr>
            <w:tcW w:w="1958" w:type="pct"/>
            <w:vAlign w:val="center"/>
          </w:tcPr>
          <w:p w14:paraId="092F8042">
            <w:pPr>
              <w:adjustRightInd w:val="0"/>
              <w:snapToGrid w:val="0"/>
              <w:spacing w:line="240" w:lineRule="auto"/>
              <w:jc w:val="center"/>
              <w:outlineLvl w:val="2"/>
              <w:rPr>
                <w:rFonts w:hint="eastAsia" w:cs="宋体"/>
                <w:szCs w:val="21"/>
              </w:rPr>
            </w:pPr>
          </w:p>
        </w:tc>
        <w:tc>
          <w:tcPr>
            <w:tcW w:w="813" w:type="pct"/>
            <w:vAlign w:val="center"/>
          </w:tcPr>
          <w:p w14:paraId="7E580C22">
            <w:pPr>
              <w:adjustRightInd w:val="0"/>
              <w:snapToGrid w:val="0"/>
              <w:spacing w:line="240" w:lineRule="auto"/>
              <w:jc w:val="center"/>
              <w:outlineLvl w:val="2"/>
              <w:rPr>
                <w:rFonts w:hint="eastAsia" w:cs="宋体"/>
                <w:szCs w:val="21"/>
              </w:rPr>
            </w:pPr>
          </w:p>
        </w:tc>
      </w:tr>
      <w:tr w14:paraId="2225F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4A532589">
            <w:pPr>
              <w:adjustRightInd w:val="0"/>
              <w:snapToGrid w:val="0"/>
              <w:spacing w:line="240" w:lineRule="auto"/>
              <w:jc w:val="center"/>
              <w:outlineLvl w:val="2"/>
              <w:rPr>
                <w:rFonts w:hint="eastAsia" w:cs="宋体"/>
                <w:szCs w:val="21"/>
              </w:rPr>
            </w:pPr>
          </w:p>
        </w:tc>
        <w:tc>
          <w:tcPr>
            <w:tcW w:w="1471" w:type="pct"/>
            <w:vAlign w:val="center"/>
          </w:tcPr>
          <w:p w14:paraId="72D3E21E">
            <w:pPr>
              <w:adjustRightInd w:val="0"/>
              <w:snapToGrid w:val="0"/>
              <w:spacing w:line="240" w:lineRule="auto"/>
              <w:jc w:val="center"/>
              <w:outlineLvl w:val="2"/>
              <w:rPr>
                <w:rFonts w:hint="eastAsia" w:cs="宋体"/>
                <w:szCs w:val="21"/>
              </w:rPr>
            </w:pPr>
          </w:p>
        </w:tc>
        <w:tc>
          <w:tcPr>
            <w:tcW w:w="1958" w:type="pct"/>
            <w:vAlign w:val="center"/>
          </w:tcPr>
          <w:p w14:paraId="45968193">
            <w:pPr>
              <w:adjustRightInd w:val="0"/>
              <w:snapToGrid w:val="0"/>
              <w:spacing w:line="240" w:lineRule="auto"/>
              <w:jc w:val="center"/>
              <w:outlineLvl w:val="2"/>
              <w:rPr>
                <w:rFonts w:hint="eastAsia" w:cs="宋体"/>
                <w:szCs w:val="21"/>
              </w:rPr>
            </w:pPr>
          </w:p>
        </w:tc>
        <w:tc>
          <w:tcPr>
            <w:tcW w:w="813" w:type="pct"/>
            <w:vAlign w:val="center"/>
          </w:tcPr>
          <w:p w14:paraId="39F5B4CD">
            <w:pPr>
              <w:adjustRightInd w:val="0"/>
              <w:snapToGrid w:val="0"/>
              <w:spacing w:line="240" w:lineRule="auto"/>
              <w:jc w:val="center"/>
              <w:outlineLvl w:val="2"/>
              <w:rPr>
                <w:rFonts w:hint="eastAsia" w:cs="宋体"/>
                <w:szCs w:val="21"/>
              </w:rPr>
            </w:pPr>
          </w:p>
        </w:tc>
      </w:tr>
      <w:tr w14:paraId="29646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24D49355">
            <w:pPr>
              <w:adjustRightInd w:val="0"/>
              <w:snapToGrid w:val="0"/>
              <w:spacing w:line="240" w:lineRule="auto"/>
              <w:jc w:val="center"/>
              <w:outlineLvl w:val="2"/>
              <w:rPr>
                <w:rFonts w:hint="eastAsia" w:cs="宋体"/>
                <w:szCs w:val="21"/>
              </w:rPr>
            </w:pPr>
          </w:p>
        </w:tc>
        <w:tc>
          <w:tcPr>
            <w:tcW w:w="1471" w:type="pct"/>
            <w:vAlign w:val="center"/>
          </w:tcPr>
          <w:p w14:paraId="0A24E944">
            <w:pPr>
              <w:adjustRightInd w:val="0"/>
              <w:snapToGrid w:val="0"/>
              <w:spacing w:line="240" w:lineRule="auto"/>
              <w:jc w:val="center"/>
              <w:outlineLvl w:val="2"/>
              <w:rPr>
                <w:rFonts w:hint="eastAsia" w:cs="宋体"/>
                <w:szCs w:val="21"/>
              </w:rPr>
            </w:pPr>
          </w:p>
        </w:tc>
        <w:tc>
          <w:tcPr>
            <w:tcW w:w="1958" w:type="pct"/>
            <w:vAlign w:val="center"/>
          </w:tcPr>
          <w:p w14:paraId="451590D2">
            <w:pPr>
              <w:adjustRightInd w:val="0"/>
              <w:snapToGrid w:val="0"/>
              <w:spacing w:line="240" w:lineRule="auto"/>
              <w:jc w:val="center"/>
              <w:outlineLvl w:val="2"/>
              <w:rPr>
                <w:rFonts w:hint="eastAsia" w:cs="宋体"/>
                <w:szCs w:val="21"/>
              </w:rPr>
            </w:pPr>
          </w:p>
        </w:tc>
        <w:tc>
          <w:tcPr>
            <w:tcW w:w="813" w:type="pct"/>
            <w:vAlign w:val="center"/>
          </w:tcPr>
          <w:p w14:paraId="6761AE31">
            <w:pPr>
              <w:adjustRightInd w:val="0"/>
              <w:snapToGrid w:val="0"/>
              <w:spacing w:line="240" w:lineRule="auto"/>
              <w:jc w:val="center"/>
              <w:outlineLvl w:val="2"/>
              <w:rPr>
                <w:rFonts w:hint="eastAsia" w:cs="宋体"/>
                <w:szCs w:val="21"/>
              </w:rPr>
            </w:pPr>
          </w:p>
        </w:tc>
      </w:tr>
      <w:tr w14:paraId="07488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C16CE2F">
            <w:pPr>
              <w:adjustRightInd w:val="0"/>
              <w:snapToGrid w:val="0"/>
              <w:spacing w:line="240" w:lineRule="auto"/>
              <w:jc w:val="center"/>
              <w:outlineLvl w:val="2"/>
              <w:rPr>
                <w:rFonts w:hint="eastAsia" w:cs="宋体"/>
                <w:szCs w:val="21"/>
              </w:rPr>
            </w:pPr>
          </w:p>
        </w:tc>
        <w:tc>
          <w:tcPr>
            <w:tcW w:w="1471" w:type="pct"/>
            <w:vAlign w:val="center"/>
          </w:tcPr>
          <w:p w14:paraId="61F09EE3">
            <w:pPr>
              <w:adjustRightInd w:val="0"/>
              <w:snapToGrid w:val="0"/>
              <w:spacing w:line="240" w:lineRule="auto"/>
              <w:jc w:val="center"/>
              <w:outlineLvl w:val="2"/>
              <w:rPr>
                <w:rFonts w:hint="eastAsia" w:cs="宋体"/>
                <w:szCs w:val="21"/>
              </w:rPr>
            </w:pPr>
          </w:p>
        </w:tc>
        <w:tc>
          <w:tcPr>
            <w:tcW w:w="1958" w:type="pct"/>
            <w:vAlign w:val="center"/>
          </w:tcPr>
          <w:p w14:paraId="670C650C">
            <w:pPr>
              <w:adjustRightInd w:val="0"/>
              <w:snapToGrid w:val="0"/>
              <w:spacing w:line="240" w:lineRule="auto"/>
              <w:jc w:val="center"/>
              <w:outlineLvl w:val="2"/>
              <w:rPr>
                <w:rFonts w:hint="eastAsia" w:cs="宋体"/>
                <w:szCs w:val="21"/>
              </w:rPr>
            </w:pPr>
          </w:p>
        </w:tc>
        <w:tc>
          <w:tcPr>
            <w:tcW w:w="813" w:type="pct"/>
            <w:vAlign w:val="center"/>
          </w:tcPr>
          <w:p w14:paraId="618D5D7E">
            <w:pPr>
              <w:adjustRightInd w:val="0"/>
              <w:snapToGrid w:val="0"/>
              <w:spacing w:line="240" w:lineRule="auto"/>
              <w:jc w:val="center"/>
              <w:outlineLvl w:val="2"/>
              <w:rPr>
                <w:rFonts w:hint="eastAsia" w:cs="宋体"/>
                <w:szCs w:val="21"/>
              </w:rPr>
            </w:pPr>
          </w:p>
        </w:tc>
      </w:tr>
      <w:tr w14:paraId="5DC82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45669BD">
            <w:pPr>
              <w:adjustRightInd w:val="0"/>
              <w:snapToGrid w:val="0"/>
              <w:spacing w:line="240" w:lineRule="auto"/>
              <w:jc w:val="center"/>
              <w:outlineLvl w:val="2"/>
              <w:rPr>
                <w:rFonts w:hint="eastAsia" w:cs="宋体"/>
                <w:szCs w:val="21"/>
              </w:rPr>
            </w:pPr>
          </w:p>
        </w:tc>
        <w:tc>
          <w:tcPr>
            <w:tcW w:w="1471" w:type="pct"/>
            <w:vAlign w:val="center"/>
          </w:tcPr>
          <w:p w14:paraId="022318A2">
            <w:pPr>
              <w:adjustRightInd w:val="0"/>
              <w:snapToGrid w:val="0"/>
              <w:spacing w:line="240" w:lineRule="auto"/>
              <w:jc w:val="center"/>
              <w:outlineLvl w:val="2"/>
              <w:rPr>
                <w:rFonts w:hint="eastAsia" w:cs="宋体"/>
                <w:szCs w:val="21"/>
              </w:rPr>
            </w:pPr>
          </w:p>
        </w:tc>
        <w:tc>
          <w:tcPr>
            <w:tcW w:w="1958" w:type="pct"/>
            <w:vAlign w:val="center"/>
          </w:tcPr>
          <w:p w14:paraId="1774AF55">
            <w:pPr>
              <w:adjustRightInd w:val="0"/>
              <w:snapToGrid w:val="0"/>
              <w:spacing w:line="240" w:lineRule="auto"/>
              <w:jc w:val="center"/>
              <w:outlineLvl w:val="2"/>
              <w:rPr>
                <w:rFonts w:hint="eastAsia" w:cs="宋体"/>
                <w:szCs w:val="21"/>
              </w:rPr>
            </w:pPr>
          </w:p>
        </w:tc>
        <w:tc>
          <w:tcPr>
            <w:tcW w:w="813" w:type="pct"/>
            <w:vAlign w:val="center"/>
          </w:tcPr>
          <w:p w14:paraId="7277175C">
            <w:pPr>
              <w:adjustRightInd w:val="0"/>
              <w:snapToGrid w:val="0"/>
              <w:spacing w:line="240" w:lineRule="auto"/>
              <w:jc w:val="center"/>
              <w:outlineLvl w:val="2"/>
              <w:rPr>
                <w:rFonts w:hint="eastAsia" w:cs="宋体"/>
                <w:szCs w:val="21"/>
              </w:rPr>
            </w:pPr>
          </w:p>
        </w:tc>
      </w:tr>
      <w:tr w14:paraId="7FB9F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6188476D">
            <w:pPr>
              <w:adjustRightInd w:val="0"/>
              <w:snapToGrid w:val="0"/>
              <w:spacing w:line="240" w:lineRule="auto"/>
              <w:jc w:val="center"/>
              <w:outlineLvl w:val="2"/>
              <w:rPr>
                <w:rFonts w:hint="eastAsia" w:cs="宋体"/>
                <w:szCs w:val="21"/>
              </w:rPr>
            </w:pPr>
          </w:p>
        </w:tc>
        <w:tc>
          <w:tcPr>
            <w:tcW w:w="1471" w:type="pct"/>
            <w:vAlign w:val="center"/>
          </w:tcPr>
          <w:p w14:paraId="442906F3">
            <w:pPr>
              <w:adjustRightInd w:val="0"/>
              <w:snapToGrid w:val="0"/>
              <w:spacing w:line="240" w:lineRule="auto"/>
              <w:jc w:val="center"/>
              <w:outlineLvl w:val="2"/>
              <w:rPr>
                <w:rFonts w:hint="eastAsia" w:cs="宋体"/>
                <w:szCs w:val="21"/>
              </w:rPr>
            </w:pPr>
          </w:p>
        </w:tc>
        <w:tc>
          <w:tcPr>
            <w:tcW w:w="1958" w:type="pct"/>
            <w:vAlign w:val="center"/>
          </w:tcPr>
          <w:p w14:paraId="74FC76C2">
            <w:pPr>
              <w:adjustRightInd w:val="0"/>
              <w:snapToGrid w:val="0"/>
              <w:spacing w:line="240" w:lineRule="auto"/>
              <w:jc w:val="center"/>
              <w:outlineLvl w:val="2"/>
              <w:rPr>
                <w:rFonts w:hint="eastAsia" w:cs="宋体"/>
                <w:szCs w:val="21"/>
              </w:rPr>
            </w:pPr>
          </w:p>
        </w:tc>
        <w:tc>
          <w:tcPr>
            <w:tcW w:w="813" w:type="pct"/>
            <w:vAlign w:val="center"/>
          </w:tcPr>
          <w:p w14:paraId="1464F28E">
            <w:pPr>
              <w:adjustRightInd w:val="0"/>
              <w:snapToGrid w:val="0"/>
              <w:spacing w:line="240" w:lineRule="auto"/>
              <w:jc w:val="center"/>
              <w:outlineLvl w:val="2"/>
              <w:rPr>
                <w:rFonts w:hint="eastAsia" w:cs="宋体"/>
                <w:szCs w:val="21"/>
              </w:rPr>
            </w:pPr>
          </w:p>
        </w:tc>
      </w:tr>
      <w:tr w14:paraId="6B470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B7852C3">
            <w:pPr>
              <w:adjustRightInd w:val="0"/>
              <w:snapToGrid w:val="0"/>
              <w:spacing w:line="240" w:lineRule="auto"/>
              <w:jc w:val="center"/>
              <w:outlineLvl w:val="2"/>
              <w:rPr>
                <w:rFonts w:hint="eastAsia" w:cs="宋体"/>
                <w:szCs w:val="21"/>
              </w:rPr>
            </w:pPr>
          </w:p>
        </w:tc>
        <w:tc>
          <w:tcPr>
            <w:tcW w:w="1471" w:type="pct"/>
            <w:vAlign w:val="center"/>
          </w:tcPr>
          <w:p w14:paraId="720BB437">
            <w:pPr>
              <w:adjustRightInd w:val="0"/>
              <w:snapToGrid w:val="0"/>
              <w:spacing w:line="240" w:lineRule="auto"/>
              <w:jc w:val="center"/>
              <w:outlineLvl w:val="2"/>
              <w:rPr>
                <w:rFonts w:hint="eastAsia" w:cs="宋体"/>
                <w:szCs w:val="21"/>
              </w:rPr>
            </w:pPr>
          </w:p>
        </w:tc>
        <w:tc>
          <w:tcPr>
            <w:tcW w:w="1958" w:type="pct"/>
            <w:vAlign w:val="center"/>
          </w:tcPr>
          <w:p w14:paraId="460D96B8">
            <w:pPr>
              <w:adjustRightInd w:val="0"/>
              <w:snapToGrid w:val="0"/>
              <w:spacing w:line="240" w:lineRule="auto"/>
              <w:jc w:val="center"/>
              <w:outlineLvl w:val="2"/>
              <w:rPr>
                <w:rFonts w:hint="eastAsia" w:cs="宋体"/>
                <w:szCs w:val="21"/>
              </w:rPr>
            </w:pPr>
          </w:p>
        </w:tc>
        <w:tc>
          <w:tcPr>
            <w:tcW w:w="813" w:type="pct"/>
            <w:vAlign w:val="center"/>
          </w:tcPr>
          <w:p w14:paraId="125BEAB0">
            <w:pPr>
              <w:adjustRightInd w:val="0"/>
              <w:snapToGrid w:val="0"/>
              <w:spacing w:line="240" w:lineRule="auto"/>
              <w:jc w:val="center"/>
              <w:outlineLvl w:val="2"/>
              <w:rPr>
                <w:rFonts w:hint="eastAsia" w:cs="宋体"/>
                <w:szCs w:val="21"/>
              </w:rPr>
            </w:pPr>
          </w:p>
        </w:tc>
      </w:tr>
      <w:tr w14:paraId="09B27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FD40347">
            <w:pPr>
              <w:adjustRightInd w:val="0"/>
              <w:snapToGrid w:val="0"/>
              <w:spacing w:line="240" w:lineRule="auto"/>
              <w:jc w:val="center"/>
              <w:outlineLvl w:val="2"/>
              <w:rPr>
                <w:rFonts w:hint="eastAsia" w:cs="宋体"/>
                <w:szCs w:val="21"/>
              </w:rPr>
            </w:pPr>
            <w:bookmarkStart w:id="259" w:name="_Toc13457"/>
            <w:r>
              <w:rPr>
                <w:rFonts w:hint="eastAsia" w:cs="宋体"/>
                <w:szCs w:val="21"/>
              </w:rPr>
              <w:t>.....</w:t>
            </w:r>
            <w:bookmarkEnd w:id="259"/>
          </w:p>
        </w:tc>
        <w:tc>
          <w:tcPr>
            <w:tcW w:w="1471" w:type="pct"/>
            <w:vAlign w:val="center"/>
          </w:tcPr>
          <w:p w14:paraId="238E8918">
            <w:pPr>
              <w:adjustRightInd w:val="0"/>
              <w:snapToGrid w:val="0"/>
              <w:spacing w:line="240" w:lineRule="auto"/>
              <w:jc w:val="center"/>
              <w:outlineLvl w:val="2"/>
              <w:rPr>
                <w:rFonts w:hint="eastAsia" w:cs="宋体"/>
                <w:szCs w:val="21"/>
              </w:rPr>
            </w:pPr>
          </w:p>
        </w:tc>
        <w:tc>
          <w:tcPr>
            <w:tcW w:w="1958" w:type="pct"/>
            <w:vAlign w:val="center"/>
          </w:tcPr>
          <w:p w14:paraId="2E2E3071">
            <w:pPr>
              <w:adjustRightInd w:val="0"/>
              <w:snapToGrid w:val="0"/>
              <w:spacing w:line="240" w:lineRule="auto"/>
              <w:jc w:val="center"/>
              <w:outlineLvl w:val="2"/>
              <w:rPr>
                <w:rFonts w:hint="eastAsia" w:cs="宋体"/>
                <w:szCs w:val="21"/>
              </w:rPr>
            </w:pPr>
          </w:p>
        </w:tc>
        <w:tc>
          <w:tcPr>
            <w:tcW w:w="813" w:type="pct"/>
            <w:vAlign w:val="center"/>
          </w:tcPr>
          <w:p w14:paraId="3D0526E8">
            <w:pPr>
              <w:adjustRightInd w:val="0"/>
              <w:snapToGrid w:val="0"/>
              <w:spacing w:line="240" w:lineRule="auto"/>
              <w:jc w:val="center"/>
              <w:outlineLvl w:val="2"/>
              <w:rPr>
                <w:rFonts w:hint="eastAsia" w:cs="宋体"/>
                <w:szCs w:val="21"/>
              </w:rPr>
            </w:pPr>
          </w:p>
        </w:tc>
      </w:tr>
    </w:tbl>
    <w:p w14:paraId="1E074622">
      <w:pPr>
        <w:adjustRightInd w:val="0"/>
        <w:snapToGrid w:val="0"/>
        <w:ind w:firstLine="210" w:firstLineChars="100"/>
        <w:rPr>
          <w:rFonts w:hint="eastAsia" w:cs="Arial"/>
          <w:b/>
          <w:bCs/>
          <w:kern w:val="0"/>
          <w:szCs w:val="21"/>
        </w:rPr>
      </w:pPr>
      <w:r>
        <w:rPr>
          <w:rFonts w:hint="eastAsia" w:cs="Arial"/>
          <w:b/>
          <w:bCs/>
          <w:kern w:val="0"/>
          <w:szCs w:val="21"/>
        </w:rPr>
        <w:t>注：1.本表后附（投标人如果是代理商或经销商，须提供医疗器械经营许可证/备案，所投产品制造商医疗器械生产许可证/备案证，</w:t>
      </w:r>
      <w:r>
        <w:rPr>
          <w:rFonts w:hint="eastAsia" w:cs="宋体"/>
          <w:b/>
          <w:bCs/>
          <w:kern w:val="0"/>
          <w:szCs w:val="21"/>
        </w:rPr>
        <w:t>投标人如果是制造商，须提供医疗器械生产许可证</w:t>
      </w:r>
      <w:r>
        <w:rPr>
          <w:rFonts w:hint="eastAsia" w:cs="Arial"/>
          <w:b/>
          <w:bCs/>
          <w:color w:val="000000"/>
          <w:kern w:val="0"/>
          <w:szCs w:val="21"/>
        </w:rPr>
        <w:t>/</w:t>
      </w:r>
      <w:r>
        <w:rPr>
          <w:rFonts w:hint="eastAsia" w:cs="微软雅黑"/>
          <w:b/>
          <w:bCs/>
          <w:color w:val="000000"/>
          <w:kern w:val="0"/>
          <w:szCs w:val="21"/>
        </w:rPr>
        <w:t>备</w:t>
      </w:r>
      <w:r>
        <w:rPr>
          <w:rFonts w:hint="eastAsia" w:cs="Malgun Gothic"/>
          <w:b/>
          <w:bCs/>
          <w:color w:val="000000"/>
          <w:kern w:val="0"/>
          <w:szCs w:val="21"/>
        </w:rPr>
        <w:t>案</w:t>
      </w:r>
      <w:r>
        <w:rPr>
          <w:rFonts w:hint="eastAsia" w:cs="微软雅黑"/>
          <w:b/>
          <w:bCs/>
          <w:color w:val="000000"/>
          <w:kern w:val="0"/>
          <w:szCs w:val="21"/>
        </w:rPr>
        <w:t>证</w:t>
      </w:r>
      <w:r>
        <w:rPr>
          <w:rFonts w:hint="eastAsia" w:cs="Arial"/>
          <w:b/>
          <w:bCs/>
          <w:kern w:val="0"/>
          <w:szCs w:val="21"/>
        </w:rPr>
        <w:t>。</w:t>
      </w:r>
    </w:p>
    <w:p w14:paraId="181A4764">
      <w:pPr>
        <w:adjustRightInd w:val="0"/>
        <w:snapToGrid w:val="0"/>
        <w:ind w:firstLine="630" w:firstLineChars="300"/>
        <w:rPr>
          <w:rFonts w:hint="eastAsia" w:cs="宋体"/>
          <w:b/>
          <w:bCs/>
          <w:szCs w:val="21"/>
        </w:rPr>
      </w:pPr>
      <w:r>
        <w:rPr>
          <w:rFonts w:hint="eastAsia" w:cs="Arial"/>
          <w:b/>
          <w:bCs/>
          <w:kern w:val="0"/>
          <w:szCs w:val="21"/>
        </w:rPr>
        <w:t>2.本表可扩增。</w:t>
      </w:r>
    </w:p>
    <w:p w14:paraId="4331944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需求及技术要求》采购清单逐一填报，不属于医疗器械的需在备注栏备注。</w:t>
      </w:r>
    </w:p>
    <w:p w14:paraId="7E16823B">
      <w:pPr>
        <w:widowControl/>
        <w:spacing w:line="240" w:lineRule="auto"/>
        <w:jc w:val="left"/>
        <w:rPr>
          <w:rFonts w:hint="eastAsia" w:cs="宋体"/>
          <w:b/>
          <w:bCs/>
          <w:sz w:val="28"/>
          <w:szCs w:val="28"/>
        </w:rPr>
      </w:pPr>
      <w:r>
        <w:rPr>
          <w:rFonts w:hint="eastAsia" w:cs="宋体"/>
          <w:b/>
          <w:bCs/>
          <w:sz w:val="28"/>
          <w:szCs w:val="28"/>
        </w:rPr>
        <w:br w:type="page"/>
      </w:r>
    </w:p>
    <w:p w14:paraId="60125689">
      <w:pPr>
        <w:jc w:val="center"/>
        <w:outlineLvl w:val="3"/>
        <w:rPr>
          <w:rFonts w:hint="eastAsia" w:cs="宋体"/>
          <w:b/>
          <w:bCs/>
          <w:sz w:val="28"/>
          <w:szCs w:val="28"/>
        </w:rPr>
      </w:pPr>
      <w:r>
        <w:rPr>
          <w:rFonts w:hint="eastAsia" w:cs="宋体"/>
          <w:b/>
          <w:bCs/>
          <w:sz w:val="28"/>
          <w:szCs w:val="28"/>
        </w:rPr>
        <w:t>表2：产品医疗器械注册证目录</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7"/>
        <w:gridCol w:w="1869"/>
        <w:gridCol w:w="1309"/>
        <w:gridCol w:w="1494"/>
        <w:gridCol w:w="1269"/>
        <w:gridCol w:w="1494"/>
        <w:gridCol w:w="1620"/>
      </w:tblGrid>
      <w:tr w14:paraId="20026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A8EB171">
            <w:pPr>
              <w:adjustRightInd w:val="0"/>
              <w:snapToGrid w:val="0"/>
              <w:spacing w:line="240" w:lineRule="auto"/>
              <w:jc w:val="center"/>
              <w:outlineLvl w:val="2"/>
              <w:rPr>
                <w:rFonts w:hint="eastAsia" w:cs="宋体"/>
                <w:b/>
                <w:bCs/>
                <w:szCs w:val="21"/>
              </w:rPr>
            </w:pPr>
            <w:bookmarkStart w:id="260" w:name="_Toc140478115"/>
            <w:bookmarkStart w:id="261" w:name="_Toc14661"/>
            <w:r>
              <w:rPr>
                <w:rFonts w:hint="eastAsia" w:cs="宋体"/>
                <w:b/>
                <w:bCs/>
                <w:szCs w:val="21"/>
              </w:rPr>
              <w:t>序号</w:t>
            </w:r>
            <w:bookmarkEnd w:id="260"/>
            <w:bookmarkEnd w:id="261"/>
          </w:p>
        </w:tc>
        <w:tc>
          <w:tcPr>
            <w:tcW w:w="938" w:type="pct"/>
            <w:vAlign w:val="center"/>
          </w:tcPr>
          <w:p w14:paraId="0F3A1691">
            <w:pPr>
              <w:adjustRightInd w:val="0"/>
              <w:snapToGrid w:val="0"/>
              <w:spacing w:line="240" w:lineRule="auto"/>
              <w:jc w:val="center"/>
              <w:outlineLvl w:val="2"/>
              <w:rPr>
                <w:rFonts w:hint="eastAsia" w:cs="宋体"/>
                <w:b/>
                <w:bCs/>
                <w:szCs w:val="21"/>
              </w:rPr>
            </w:pPr>
            <w:bookmarkStart w:id="262" w:name="_Toc140478116"/>
            <w:bookmarkStart w:id="263" w:name="_Toc27968"/>
            <w:r>
              <w:rPr>
                <w:rFonts w:hint="eastAsia" w:cs="宋体"/>
                <w:b/>
                <w:bCs/>
                <w:szCs w:val="21"/>
              </w:rPr>
              <w:t>产品名称</w:t>
            </w:r>
            <w:bookmarkEnd w:id="262"/>
            <w:bookmarkEnd w:id="263"/>
          </w:p>
        </w:tc>
        <w:tc>
          <w:tcPr>
            <w:tcW w:w="657" w:type="pct"/>
            <w:vAlign w:val="center"/>
          </w:tcPr>
          <w:p w14:paraId="42807C56">
            <w:pPr>
              <w:adjustRightInd w:val="0"/>
              <w:snapToGrid w:val="0"/>
              <w:spacing w:line="240" w:lineRule="auto"/>
              <w:jc w:val="center"/>
              <w:outlineLvl w:val="2"/>
              <w:rPr>
                <w:rFonts w:hint="eastAsia" w:cs="宋体"/>
                <w:b/>
                <w:bCs/>
                <w:szCs w:val="21"/>
              </w:rPr>
            </w:pPr>
            <w:bookmarkStart w:id="264" w:name="_Toc140478117"/>
            <w:bookmarkStart w:id="265" w:name="_Toc14709"/>
            <w:r>
              <w:rPr>
                <w:rFonts w:hint="eastAsia" w:cs="宋体"/>
                <w:b/>
                <w:bCs/>
                <w:szCs w:val="21"/>
              </w:rPr>
              <w:t>制造商全称</w:t>
            </w:r>
            <w:bookmarkEnd w:id="264"/>
            <w:bookmarkEnd w:id="265"/>
          </w:p>
        </w:tc>
        <w:tc>
          <w:tcPr>
            <w:tcW w:w="750" w:type="pct"/>
            <w:vAlign w:val="center"/>
          </w:tcPr>
          <w:p w14:paraId="562EC9E8">
            <w:pPr>
              <w:adjustRightInd w:val="0"/>
              <w:snapToGrid w:val="0"/>
              <w:spacing w:line="240" w:lineRule="auto"/>
              <w:jc w:val="center"/>
              <w:outlineLvl w:val="2"/>
              <w:rPr>
                <w:rFonts w:hint="eastAsia" w:cs="宋体"/>
                <w:b/>
                <w:bCs/>
                <w:szCs w:val="21"/>
              </w:rPr>
            </w:pPr>
            <w:bookmarkStart w:id="266" w:name="_Toc140478118"/>
            <w:bookmarkStart w:id="267" w:name="_Toc20760"/>
            <w:r>
              <w:rPr>
                <w:rFonts w:hint="eastAsia" w:cs="宋体"/>
                <w:b/>
                <w:bCs/>
                <w:szCs w:val="21"/>
              </w:rPr>
              <w:t>注册证号</w:t>
            </w:r>
            <w:bookmarkEnd w:id="266"/>
            <w:bookmarkEnd w:id="267"/>
          </w:p>
        </w:tc>
        <w:tc>
          <w:tcPr>
            <w:tcW w:w="637" w:type="pct"/>
            <w:vAlign w:val="center"/>
          </w:tcPr>
          <w:p w14:paraId="5C049AE0">
            <w:pPr>
              <w:adjustRightInd w:val="0"/>
              <w:snapToGrid w:val="0"/>
              <w:spacing w:line="240" w:lineRule="auto"/>
              <w:jc w:val="center"/>
              <w:outlineLvl w:val="2"/>
              <w:rPr>
                <w:rFonts w:hint="eastAsia" w:cs="宋体"/>
                <w:b/>
                <w:bCs/>
                <w:szCs w:val="21"/>
              </w:rPr>
            </w:pPr>
            <w:bookmarkStart w:id="268" w:name="_Toc140478119"/>
            <w:bookmarkStart w:id="269" w:name="_Toc14175"/>
            <w:r>
              <w:rPr>
                <w:rFonts w:hint="eastAsia" w:cs="宋体"/>
                <w:b/>
                <w:bCs/>
                <w:szCs w:val="21"/>
              </w:rPr>
              <w:t>型号</w:t>
            </w:r>
            <w:bookmarkEnd w:id="268"/>
            <w:bookmarkEnd w:id="269"/>
          </w:p>
        </w:tc>
        <w:tc>
          <w:tcPr>
            <w:tcW w:w="750" w:type="pct"/>
            <w:vAlign w:val="center"/>
          </w:tcPr>
          <w:p w14:paraId="37B67C29">
            <w:pPr>
              <w:adjustRightInd w:val="0"/>
              <w:snapToGrid w:val="0"/>
              <w:spacing w:line="240" w:lineRule="auto"/>
              <w:jc w:val="center"/>
              <w:outlineLvl w:val="2"/>
              <w:rPr>
                <w:rFonts w:hint="eastAsia" w:cs="宋体"/>
                <w:b/>
                <w:bCs/>
                <w:szCs w:val="21"/>
              </w:rPr>
            </w:pPr>
            <w:bookmarkStart w:id="270" w:name="_Toc22310"/>
            <w:r>
              <w:rPr>
                <w:rFonts w:hint="eastAsia" w:cs="宋体"/>
                <w:b/>
                <w:bCs/>
                <w:szCs w:val="21"/>
              </w:rPr>
              <w:t>注册证</w:t>
            </w:r>
            <w:bookmarkEnd w:id="270"/>
          </w:p>
          <w:p w14:paraId="6EC6033D">
            <w:pPr>
              <w:adjustRightInd w:val="0"/>
              <w:snapToGrid w:val="0"/>
              <w:spacing w:line="240" w:lineRule="auto"/>
              <w:jc w:val="center"/>
              <w:outlineLvl w:val="2"/>
              <w:rPr>
                <w:rFonts w:hint="eastAsia" w:cs="宋体"/>
                <w:b/>
                <w:bCs/>
                <w:szCs w:val="21"/>
              </w:rPr>
            </w:pPr>
            <w:bookmarkStart w:id="271" w:name="_Toc12648"/>
            <w:r>
              <w:rPr>
                <w:rFonts w:hint="eastAsia" w:cs="宋体"/>
                <w:b/>
                <w:bCs/>
                <w:szCs w:val="21"/>
              </w:rPr>
              <w:t>所在页码</w:t>
            </w:r>
            <w:bookmarkEnd w:id="271"/>
          </w:p>
        </w:tc>
        <w:tc>
          <w:tcPr>
            <w:tcW w:w="813" w:type="pct"/>
            <w:vAlign w:val="center"/>
          </w:tcPr>
          <w:p w14:paraId="3D772CE7">
            <w:pPr>
              <w:adjustRightInd w:val="0"/>
              <w:snapToGrid w:val="0"/>
              <w:spacing w:line="240" w:lineRule="auto"/>
              <w:jc w:val="center"/>
              <w:outlineLvl w:val="2"/>
              <w:rPr>
                <w:rFonts w:hint="eastAsia" w:cs="宋体"/>
                <w:b/>
                <w:bCs/>
                <w:szCs w:val="21"/>
              </w:rPr>
            </w:pPr>
            <w:bookmarkStart w:id="272" w:name="_Toc8590"/>
            <w:r>
              <w:rPr>
                <w:rFonts w:hint="eastAsia" w:cs="宋体"/>
                <w:b/>
                <w:bCs/>
                <w:szCs w:val="21"/>
              </w:rPr>
              <w:t>备注</w:t>
            </w:r>
            <w:bookmarkEnd w:id="272"/>
          </w:p>
        </w:tc>
      </w:tr>
      <w:tr w14:paraId="6C592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1798BCBD">
            <w:pPr>
              <w:adjustRightInd w:val="0"/>
              <w:snapToGrid w:val="0"/>
              <w:spacing w:line="240" w:lineRule="auto"/>
              <w:jc w:val="center"/>
              <w:outlineLvl w:val="2"/>
              <w:rPr>
                <w:rFonts w:hint="eastAsia" w:cs="宋体"/>
                <w:szCs w:val="21"/>
              </w:rPr>
            </w:pPr>
          </w:p>
        </w:tc>
        <w:tc>
          <w:tcPr>
            <w:tcW w:w="938" w:type="pct"/>
            <w:vAlign w:val="center"/>
          </w:tcPr>
          <w:p w14:paraId="598D6910">
            <w:pPr>
              <w:adjustRightInd w:val="0"/>
              <w:snapToGrid w:val="0"/>
              <w:spacing w:line="240" w:lineRule="auto"/>
              <w:jc w:val="center"/>
              <w:outlineLvl w:val="2"/>
              <w:rPr>
                <w:rFonts w:hint="eastAsia" w:cs="宋体"/>
                <w:szCs w:val="21"/>
              </w:rPr>
            </w:pPr>
          </w:p>
        </w:tc>
        <w:tc>
          <w:tcPr>
            <w:tcW w:w="657" w:type="pct"/>
            <w:vAlign w:val="center"/>
          </w:tcPr>
          <w:p w14:paraId="210472D1">
            <w:pPr>
              <w:adjustRightInd w:val="0"/>
              <w:snapToGrid w:val="0"/>
              <w:spacing w:line="240" w:lineRule="auto"/>
              <w:jc w:val="center"/>
              <w:outlineLvl w:val="2"/>
              <w:rPr>
                <w:rFonts w:hint="eastAsia" w:cs="宋体"/>
                <w:szCs w:val="21"/>
              </w:rPr>
            </w:pPr>
          </w:p>
        </w:tc>
        <w:tc>
          <w:tcPr>
            <w:tcW w:w="750" w:type="pct"/>
            <w:vAlign w:val="center"/>
          </w:tcPr>
          <w:p w14:paraId="42B573E6">
            <w:pPr>
              <w:adjustRightInd w:val="0"/>
              <w:snapToGrid w:val="0"/>
              <w:spacing w:line="240" w:lineRule="auto"/>
              <w:jc w:val="center"/>
              <w:outlineLvl w:val="2"/>
              <w:rPr>
                <w:rFonts w:hint="eastAsia" w:cs="宋体"/>
                <w:szCs w:val="21"/>
              </w:rPr>
            </w:pPr>
          </w:p>
        </w:tc>
        <w:tc>
          <w:tcPr>
            <w:tcW w:w="637" w:type="pct"/>
            <w:vAlign w:val="center"/>
          </w:tcPr>
          <w:p w14:paraId="462C0C55">
            <w:pPr>
              <w:adjustRightInd w:val="0"/>
              <w:snapToGrid w:val="0"/>
              <w:spacing w:line="240" w:lineRule="auto"/>
              <w:jc w:val="center"/>
              <w:outlineLvl w:val="2"/>
              <w:rPr>
                <w:rFonts w:hint="eastAsia" w:cs="宋体"/>
                <w:szCs w:val="21"/>
              </w:rPr>
            </w:pPr>
          </w:p>
        </w:tc>
        <w:tc>
          <w:tcPr>
            <w:tcW w:w="750" w:type="pct"/>
            <w:vAlign w:val="center"/>
          </w:tcPr>
          <w:p w14:paraId="22E1E130">
            <w:pPr>
              <w:adjustRightInd w:val="0"/>
              <w:snapToGrid w:val="0"/>
              <w:spacing w:line="240" w:lineRule="auto"/>
              <w:jc w:val="center"/>
              <w:outlineLvl w:val="2"/>
              <w:rPr>
                <w:rFonts w:hint="eastAsia" w:cs="宋体"/>
                <w:szCs w:val="21"/>
              </w:rPr>
            </w:pPr>
          </w:p>
        </w:tc>
        <w:tc>
          <w:tcPr>
            <w:tcW w:w="813" w:type="pct"/>
            <w:vAlign w:val="center"/>
          </w:tcPr>
          <w:p w14:paraId="4E88ACC7">
            <w:pPr>
              <w:adjustRightInd w:val="0"/>
              <w:snapToGrid w:val="0"/>
              <w:spacing w:line="240" w:lineRule="auto"/>
              <w:jc w:val="center"/>
              <w:outlineLvl w:val="2"/>
              <w:rPr>
                <w:rFonts w:hint="eastAsia" w:cs="宋体"/>
                <w:szCs w:val="21"/>
              </w:rPr>
            </w:pPr>
          </w:p>
        </w:tc>
      </w:tr>
      <w:tr w14:paraId="6B2EA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41D69BF">
            <w:pPr>
              <w:adjustRightInd w:val="0"/>
              <w:snapToGrid w:val="0"/>
              <w:spacing w:line="240" w:lineRule="auto"/>
              <w:jc w:val="center"/>
              <w:outlineLvl w:val="2"/>
              <w:rPr>
                <w:rFonts w:hint="eastAsia" w:cs="宋体"/>
                <w:szCs w:val="21"/>
              </w:rPr>
            </w:pPr>
          </w:p>
        </w:tc>
        <w:tc>
          <w:tcPr>
            <w:tcW w:w="938" w:type="pct"/>
            <w:vAlign w:val="center"/>
          </w:tcPr>
          <w:p w14:paraId="676EA2B8">
            <w:pPr>
              <w:adjustRightInd w:val="0"/>
              <w:snapToGrid w:val="0"/>
              <w:spacing w:line="240" w:lineRule="auto"/>
              <w:jc w:val="center"/>
              <w:outlineLvl w:val="2"/>
              <w:rPr>
                <w:rFonts w:hint="eastAsia" w:cs="宋体"/>
                <w:szCs w:val="21"/>
              </w:rPr>
            </w:pPr>
          </w:p>
        </w:tc>
        <w:tc>
          <w:tcPr>
            <w:tcW w:w="657" w:type="pct"/>
            <w:vAlign w:val="center"/>
          </w:tcPr>
          <w:p w14:paraId="1A6560FC">
            <w:pPr>
              <w:adjustRightInd w:val="0"/>
              <w:snapToGrid w:val="0"/>
              <w:spacing w:line="240" w:lineRule="auto"/>
              <w:jc w:val="center"/>
              <w:outlineLvl w:val="2"/>
              <w:rPr>
                <w:rFonts w:hint="eastAsia" w:cs="宋体"/>
                <w:szCs w:val="21"/>
              </w:rPr>
            </w:pPr>
          </w:p>
        </w:tc>
        <w:tc>
          <w:tcPr>
            <w:tcW w:w="750" w:type="pct"/>
            <w:vAlign w:val="center"/>
          </w:tcPr>
          <w:p w14:paraId="3E466BDA">
            <w:pPr>
              <w:adjustRightInd w:val="0"/>
              <w:snapToGrid w:val="0"/>
              <w:spacing w:line="240" w:lineRule="auto"/>
              <w:jc w:val="center"/>
              <w:outlineLvl w:val="2"/>
              <w:rPr>
                <w:rFonts w:hint="eastAsia" w:cs="宋体"/>
                <w:szCs w:val="21"/>
              </w:rPr>
            </w:pPr>
          </w:p>
        </w:tc>
        <w:tc>
          <w:tcPr>
            <w:tcW w:w="637" w:type="pct"/>
            <w:vAlign w:val="center"/>
          </w:tcPr>
          <w:p w14:paraId="2EA46EE6">
            <w:pPr>
              <w:adjustRightInd w:val="0"/>
              <w:snapToGrid w:val="0"/>
              <w:spacing w:line="240" w:lineRule="auto"/>
              <w:jc w:val="center"/>
              <w:outlineLvl w:val="2"/>
              <w:rPr>
                <w:rFonts w:hint="eastAsia" w:cs="宋体"/>
                <w:szCs w:val="21"/>
              </w:rPr>
            </w:pPr>
          </w:p>
        </w:tc>
        <w:tc>
          <w:tcPr>
            <w:tcW w:w="750" w:type="pct"/>
            <w:vAlign w:val="center"/>
          </w:tcPr>
          <w:p w14:paraId="753F4C30">
            <w:pPr>
              <w:adjustRightInd w:val="0"/>
              <w:snapToGrid w:val="0"/>
              <w:spacing w:line="240" w:lineRule="auto"/>
              <w:jc w:val="center"/>
              <w:outlineLvl w:val="2"/>
              <w:rPr>
                <w:rFonts w:hint="eastAsia" w:cs="宋体"/>
                <w:szCs w:val="21"/>
              </w:rPr>
            </w:pPr>
          </w:p>
        </w:tc>
        <w:tc>
          <w:tcPr>
            <w:tcW w:w="813" w:type="pct"/>
            <w:vAlign w:val="center"/>
          </w:tcPr>
          <w:p w14:paraId="185AB717">
            <w:pPr>
              <w:adjustRightInd w:val="0"/>
              <w:snapToGrid w:val="0"/>
              <w:spacing w:line="240" w:lineRule="auto"/>
              <w:jc w:val="center"/>
              <w:outlineLvl w:val="2"/>
              <w:rPr>
                <w:rFonts w:hint="eastAsia" w:cs="宋体"/>
                <w:szCs w:val="21"/>
              </w:rPr>
            </w:pPr>
          </w:p>
        </w:tc>
      </w:tr>
      <w:tr w14:paraId="57744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789554A">
            <w:pPr>
              <w:adjustRightInd w:val="0"/>
              <w:snapToGrid w:val="0"/>
              <w:spacing w:line="240" w:lineRule="auto"/>
              <w:jc w:val="center"/>
              <w:outlineLvl w:val="2"/>
              <w:rPr>
                <w:rFonts w:hint="eastAsia" w:cs="宋体"/>
                <w:szCs w:val="21"/>
              </w:rPr>
            </w:pPr>
          </w:p>
        </w:tc>
        <w:tc>
          <w:tcPr>
            <w:tcW w:w="938" w:type="pct"/>
            <w:vAlign w:val="center"/>
          </w:tcPr>
          <w:p w14:paraId="6A99E6B3">
            <w:pPr>
              <w:adjustRightInd w:val="0"/>
              <w:snapToGrid w:val="0"/>
              <w:spacing w:line="240" w:lineRule="auto"/>
              <w:jc w:val="center"/>
              <w:outlineLvl w:val="2"/>
              <w:rPr>
                <w:rFonts w:hint="eastAsia" w:cs="宋体"/>
                <w:szCs w:val="21"/>
              </w:rPr>
            </w:pPr>
          </w:p>
        </w:tc>
        <w:tc>
          <w:tcPr>
            <w:tcW w:w="657" w:type="pct"/>
            <w:vAlign w:val="center"/>
          </w:tcPr>
          <w:p w14:paraId="2D3453BE">
            <w:pPr>
              <w:adjustRightInd w:val="0"/>
              <w:snapToGrid w:val="0"/>
              <w:spacing w:line="240" w:lineRule="auto"/>
              <w:jc w:val="center"/>
              <w:outlineLvl w:val="2"/>
              <w:rPr>
                <w:rFonts w:hint="eastAsia" w:cs="宋体"/>
                <w:szCs w:val="21"/>
              </w:rPr>
            </w:pPr>
          </w:p>
        </w:tc>
        <w:tc>
          <w:tcPr>
            <w:tcW w:w="750" w:type="pct"/>
            <w:vAlign w:val="center"/>
          </w:tcPr>
          <w:p w14:paraId="4B7D7D62">
            <w:pPr>
              <w:adjustRightInd w:val="0"/>
              <w:snapToGrid w:val="0"/>
              <w:spacing w:line="240" w:lineRule="auto"/>
              <w:jc w:val="center"/>
              <w:outlineLvl w:val="2"/>
              <w:rPr>
                <w:rFonts w:hint="eastAsia" w:cs="宋体"/>
                <w:szCs w:val="21"/>
              </w:rPr>
            </w:pPr>
          </w:p>
        </w:tc>
        <w:tc>
          <w:tcPr>
            <w:tcW w:w="637" w:type="pct"/>
            <w:vAlign w:val="center"/>
          </w:tcPr>
          <w:p w14:paraId="283FFEE1">
            <w:pPr>
              <w:adjustRightInd w:val="0"/>
              <w:snapToGrid w:val="0"/>
              <w:spacing w:line="240" w:lineRule="auto"/>
              <w:jc w:val="center"/>
              <w:outlineLvl w:val="2"/>
              <w:rPr>
                <w:rFonts w:hint="eastAsia" w:cs="宋体"/>
                <w:szCs w:val="21"/>
              </w:rPr>
            </w:pPr>
          </w:p>
        </w:tc>
        <w:tc>
          <w:tcPr>
            <w:tcW w:w="750" w:type="pct"/>
            <w:vAlign w:val="center"/>
          </w:tcPr>
          <w:p w14:paraId="3A21D541">
            <w:pPr>
              <w:adjustRightInd w:val="0"/>
              <w:snapToGrid w:val="0"/>
              <w:spacing w:line="240" w:lineRule="auto"/>
              <w:jc w:val="center"/>
              <w:outlineLvl w:val="2"/>
              <w:rPr>
                <w:rFonts w:hint="eastAsia" w:cs="宋体"/>
                <w:szCs w:val="21"/>
              </w:rPr>
            </w:pPr>
          </w:p>
        </w:tc>
        <w:tc>
          <w:tcPr>
            <w:tcW w:w="813" w:type="pct"/>
            <w:vAlign w:val="center"/>
          </w:tcPr>
          <w:p w14:paraId="3EFEFE72">
            <w:pPr>
              <w:adjustRightInd w:val="0"/>
              <w:snapToGrid w:val="0"/>
              <w:spacing w:line="240" w:lineRule="auto"/>
              <w:jc w:val="center"/>
              <w:outlineLvl w:val="2"/>
              <w:rPr>
                <w:rFonts w:hint="eastAsia" w:cs="宋体"/>
                <w:szCs w:val="21"/>
              </w:rPr>
            </w:pPr>
          </w:p>
        </w:tc>
      </w:tr>
      <w:tr w14:paraId="55557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2005B35">
            <w:pPr>
              <w:adjustRightInd w:val="0"/>
              <w:snapToGrid w:val="0"/>
              <w:spacing w:line="240" w:lineRule="auto"/>
              <w:jc w:val="center"/>
              <w:outlineLvl w:val="2"/>
              <w:rPr>
                <w:rFonts w:hint="eastAsia" w:cs="宋体"/>
                <w:szCs w:val="21"/>
              </w:rPr>
            </w:pPr>
          </w:p>
        </w:tc>
        <w:tc>
          <w:tcPr>
            <w:tcW w:w="938" w:type="pct"/>
            <w:vAlign w:val="center"/>
          </w:tcPr>
          <w:p w14:paraId="02B7C617">
            <w:pPr>
              <w:adjustRightInd w:val="0"/>
              <w:snapToGrid w:val="0"/>
              <w:spacing w:line="240" w:lineRule="auto"/>
              <w:jc w:val="center"/>
              <w:outlineLvl w:val="2"/>
              <w:rPr>
                <w:rFonts w:hint="eastAsia" w:cs="宋体"/>
                <w:szCs w:val="21"/>
              </w:rPr>
            </w:pPr>
          </w:p>
        </w:tc>
        <w:tc>
          <w:tcPr>
            <w:tcW w:w="657" w:type="pct"/>
            <w:vAlign w:val="center"/>
          </w:tcPr>
          <w:p w14:paraId="5F371EEB">
            <w:pPr>
              <w:adjustRightInd w:val="0"/>
              <w:snapToGrid w:val="0"/>
              <w:spacing w:line="240" w:lineRule="auto"/>
              <w:jc w:val="center"/>
              <w:outlineLvl w:val="2"/>
              <w:rPr>
                <w:rFonts w:hint="eastAsia" w:cs="宋体"/>
                <w:szCs w:val="21"/>
              </w:rPr>
            </w:pPr>
          </w:p>
        </w:tc>
        <w:tc>
          <w:tcPr>
            <w:tcW w:w="750" w:type="pct"/>
            <w:vAlign w:val="center"/>
          </w:tcPr>
          <w:p w14:paraId="60AA10E9">
            <w:pPr>
              <w:adjustRightInd w:val="0"/>
              <w:snapToGrid w:val="0"/>
              <w:spacing w:line="240" w:lineRule="auto"/>
              <w:jc w:val="center"/>
              <w:outlineLvl w:val="2"/>
              <w:rPr>
                <w:rFonts w:hint="eastAsia" w:cs="宋体"/>
                <w:szCs w:val="21"/>
              </w:rPr>
            </w:pPr>
          </w:p>
        </w:tc>
        <w:tc>
          <w:tcPr>
            <w:tcW w:w="637" w:type="pct"/>
            <w:vAlign w:val="center"/>
          </w:tcPr>
          <w:p w14:paraId="7757AEEE">
            <w:pPr>
              <w:adjustRightInd w:val="0"/>
              <w:snapToGrid w:val="0"/>
              <w:spacing w:line="240" w:lineRule="auto"/>
              <w:jc w:val="center"/>
              <w:outlineLvl w:val="2"/>
              <w:rPr>
                <w:rFonts w:hint="eastAsia" w:cs="宋体"/>
                <w:szCs w:val="21"/>
              </w:rPr>
            </w:pPr>
          </w:p>
        </w:tc>
        <w:tc>
          <w:tcPr>
            <w:tcW w:w="750" w:type="pct"/>
            <w:vAlign w:val="center"/>
          </w:tcPr>
          <w:p w14:paraId="79DEDD10">
            <w:pPr>
              <w:adjustRightInd w:val="0"/>
              <w:snapToGrid w:val="0"/>
              <w:spacing w:line="240" w:lineRule="auto"/>
              <w:jc w:val="center"/>
              <w:outlineLvl w:val="2"/>
              <w:rPr>
                <w:rFonts w:hint="eastAsia" w:cs="宋体"/>
                <w:szCs w:val="21"/>
              </w:rPr>
            </w:pPr>
          </w:p>
        </w:tc>
        <w:tc>
          <w:tcPr>
            <w:tcW w:w="813" w:type="pct"/>
            <w:vAlign w:val="center"/>
          </w:tcPr>
          <w:p w14:paraId="75D3B1B6">
            <w:pPr>
              <w:adjustRightInd w:val="0"/>
              <w:snapToGrid w:val="0"/>
              <w:spacing w:line="240" w:lineRule="auto"/>
              <w:jc w:val="center"/>
              <w:outlineLvl w:val="2"/>
              <w:rPr>
                <w:rFonts w:hint="eastAsia" w:cs="宋体"/>
                <w:szCs w:val="21"/>
              </w:rPr>
            </w:pPr>
          </w:p>
        </w:tc>
      </w:tr>
      <w:tr w14:paraId="00E67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4B24AF06">
            <w:pPr>
              <w:adjustRightInd w:val="0"/>
              <w:snapToGrid w:val="0"/>
              <w:spacing w:line="240" w:lineRule="auto"/>
              <w:jc w:val="center"/>
              <w:outlineLvl w:val="2"/>
              <w:rPr>
                <w:rFonts w:hint="eastAsia" w:cs="宋体"/>
                <w:szCs w:val="21"/>
              </w:rPr>
            </w:pPr>
          </w:p>
        </w:tc>
        <w:tc>
          <w:tcPr>
            <w:tcW w:w="938" w:type="pct"/>
            <w:vAlign w:val="center"/>
          </w:tcPr>
          <w:p w14:paraId="595B57BD">
            <w:pPr>
              <w:adjustRightInd w:val="0"/>
              <w:snapToGrid w:val="0"/>
              <w:spacing w:line="240" w:lineRule="auto"/>
              <w:jc w:val="center"/>
              <w:outlineLvl w:val="2"/>
              <w:rPr>
                <w:rFonts w:hint="eastAsia" w:cs="宋体"/>
                <w:szCs w:val="21"/>
              </w:rPr>
            </w:pPr>
          </w:p>
        </w:tc>
        <w:tc>
          <w:tcPr>
            <w:tcW w:w="657" w:type="pct"/>
            <w:vAlign w:val="center"/>
          </w:tcPr>
          <w:p w14:paraId="2041D058">
            <w:pPr>
              <w:adjustRightInd w:val="0"/>
              <w:snapToGrid w:val="0"/>
              <w:spacing w:line="240" w:lineRule="auto"/>
              <w:jc w:val="center"/>
              <w:outlineLvl w:val="2"/>
              <w:rPr>
                <w:rFonts w:hint="eastAsia" w:cs="宋体"/>
                <w:szCs w:val="21"/>
              </w:rPr>
            </w:pPr>
          </w:p>
        </w:tc>
        <w:tc>
          <w:tcPr>
            <w:tcW w:w="750" w:type="pct"/>
            <w:vAlign w:val="center"/>
          </w:tcPr>
          <w:p w14:paraId="17E27BEA">
            <w:pPr>
              <w:adjustRightInd w:val="0"/>
              <w:snapToGrid w:val="0"/>
              <w:spacing w:line="240" w:lineRule="auto"/>
              <w:jc w:val="center"/>
              <w:outlineLvl w:val="2"/>
              <w:rPr>
                <w:rFonts w:hint="eastAsia" w:cs="宋体"/>
                <w:szCs w:val="21"/>
              </w:rPr>
            </w:pPr>
          </w:p>
        </w:tc>
        <w:tc>
          <w:tcPr>
            <w:tcW w:w="637" w:type="pct"/>
            <w:vAlign w:val="center"/>
          </w:tcPr>
          <w:p w14:paraId="66B87F78">
            <w:pPr>
              <w:adjustRightInd w:val="0"/>
              <w:snapToGrid w:val="0"/>
              <w:spacing w:line="240" w:lineRule="auto"/>
              <w:jc w:val="center"/>
              <w:outlineLvl w:val="2"/>
              <w:rPr>
                <w:rFonts w:hint="eastAsia" w:cs="宋体"/>
                <w:szCs w:val="21"/>
              </w:rPr>
            </w:pPr>
          </w:p>
        </w:tc>
        <w:tc>
          <w:tcPr>
            <w:tcW w:w="750" w:type="pct"/>
            <w:vAlign w:val="center"/>
          </w:tcPr>
          <w:p w14:paraId="4EFF1907">
            <w:pPr>
              <w:adjustRightInd w:val="0"/>
              <w:snapToGrid w:val="0"/>
              <w:spacing w:line="240" w:lineRule="auto"/>
              <w:jc w:val="center"/>
              <w:outlineLvl w:val="2"/>
              <w:rPr>
                <w:rFonts w:hint="eastAsia" w:cs="宋体"/>
                <w:szCs w:val="21"/>
              </w:rPr>
            </w:pPr>
          </w:p>
        </w:tc>
        <w:tc>
          <w:tcPr>
            <w:tcW w:w="813" w:type="pct"/>
            <w:vAlign w:val="center"/>
          </w:tcPr>
          <w:p w14:paraId="2B6FF3BE">
            <w:pPr>
              <w:adjustRightInd w:val="0"/>
              <w:snapToGrid w:val="0"/>
              <w:spacing w:line="240" w:lineRule="auto"/>
              <w:jc w:val="center"/>
              <w:outlineLvl w:val="2"/>
              <w:rPr>
                <w:rFonts w:hint="eastAsia" w:cs="宋体"/>
                <w:szCs w:val="21"/>
              </w:rPr>
            </w:pPr>
          </w:p>
        </w:tc>
      </w:tr>
      <w:tr w14:paraId="67DBC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56815F9">
            <w:pPr>
              <w:adjustRightInd w:val="0"/>
              <w:snapToGrid w:val="0"/>
              <w:spacing w:line="240" w:lineRule="auto"/>
              <w:jc w:val="center"/>
              <w:outlineLvl w:val="2"/>
              <w:rPr>
                <w:rFonts w:hint="eastAsia" w:cs="宋体"/>
                <w:szCs w:val="21"/>
              </w:rPr>
            </w:pPr>
          </w:p>
        </w:tc>
        <w:tc>
          <w:tcPr>
            <w:tcW w:w="938" w:type="pct"/>
            <w:vAlign w:val="center"/>
          </w:tcPr>
          <w:p w14:paraId="251FBFD6">
            <w:pPr>
              <w:adjustRightInd w:val="0"/>
              <w:snapToGrid w:val="0"/>
              <w:spacing w:line="240" w:lineRule="auto"/>
              <w:jc w:val="center"/>
              <w:outlineLvl w:val="2"/>
              <w:rPr>
                <w:rFonts w:hint="eastAsia" w:cs="宋体"/>
                <w:szCs w:val="21"/>
              </w:rPr>
            </w:pPr>
          </w:p>
        </w:tc>
        <w:tc>
          <w:tcPr>
            <w:tcW w:w="657" w:type="pct"/>
            <w:vAlign w:val="center"/>
          </w:tcPr>
          <w:p w14:paraId="4E0F3392">
            <w:pPr>
              <w:adjustRightInd w:val="0"/>
              <w:snapToGrid w:val="0"/>
              <w:spacing w:line="240" w:lineRule="auto"/>
              <w:jc w:val="center"/>
              <w:outlineLvl w:val="2"/>
              <w:rPr>
                <w:rFonts w:hint="eastAsia" w:cs="宋体"/>
                <w:szCs w:val="21"/>
              </w:rPr>
            </w:pPr>
          </w:p>
        </w:tc>
        <w:tc>
          <w:tcPr>
            <w:tcW w:w="750" w:type="pct"/>
            <w:vAlign w:val="center"/>
          </w:tcPr>
          <w:p w14:paraId="383A3A6C">
            <w:pPr>
              <w:adjustRightInd w:val="0"/>
              <w:snapToGrid w:val="0"/>
              <w:spacing w:line="240" w:lineRule="auto"/>
              <w:jc w:val="center"/>
              <w:outlineLvl w:val="2"/>
              <w:rPr>
                <w:rFonts w:hint="eastAsia" w:cs="宋体"/>
                <w:szCs w:val="21"/>
              </w:rPr>
            </w:pPr>
          </w:p>
        </w:tc>
        <w:tc>
          <w:tcPr>
            <w:tcW w:w="637" w:type="pct"/>
            <w:vAlign w:val="center"/>
          </w:tcPr>
          <w:p w14:paraId="2CE0233E">
            <w:pPr>
              <w:adjustRightInd w:val="0"/>
              <w:snapToGrid w:val="0"/>
              <w:spacing w:line="240" w:lineRule="auto"/>
              <w:jc w:val="center"/>
              <w:outlineLvl w:val="2"/>
              <w:rPr>
                <w:rFonts w:hint="eastAsia" w:cs="宋体"/>
                <w:szCs w:val="21"/>
              </w:rPr>
            </w:pPr>
          </w:p>
        </w:tc>
        <w:tc>
          <w:tcPr>
            <w:tcW w:w="750" w:type="pct"/>
            <w:vAlign w:val="center"/>
          </w:tcPr>
          <w:p w14:paraId="2DB4CB7B">
            <w:pPr>
              <w:adjustRightInd w:val="0"/>
              <w:snapToGrid w:val="0"/>
              <w:spacing w:line="240" w:lineRule="auto"/>
              <w:jc w:val="center"/>
              <w:outlineLvl w:val="2"/>
              <w:rPr>
                <w:rFonts w:hint="eastAsia" w:cs="宋体"/>
                <w:szCs w:val="21"/>
              </w:rPr>
            </w:pPr>
          </w:p>
        </w:tc>
        <w:tc>
          <w:tcPr>
            <w:tcW w:w="813" w:type="pct"/>
            <w:vAlign w:val="center"/>
          </w:tcPr>
          <w:p w14:paraId="0BEEEBE1">
            <w:pPr>
              <w:adjustRightInd w:val="0"/>
              <w:snapToGrid w:val="0"/>
              <w:spacing w:line="240" w:lineRule="auto"/>
              <w:jc w:val="center"/>
              <w:outlineLvl w:val="2"/>
              <w:rPr>
                <w:rFonts w:hint="eastAsia" w:cs="宋体"/>
                <w:szCs w:val="21"/>
              </w:rPr>
            </w:pPr>
          </w:p>
        </w:tc>
      </w:tr>
      <w:tr w14:paraId="54231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48AC16D">
            <w:pPr>
              <w:adjustRightInd w:val="0"/>
              <w:snapToGrid w:val="0"/>
              <w:spacing w:line="240" w:lineRule="auto"/>
              <w:jc w:val="center"/>
              <w:outlineLvl w:val="2"/>
              <w:rPr>
                <w:rFonts w:hint="eastAsia" w:cs="宋体"/>
                <w:szCs w:val="21"/>
              </w:rPr>
            </w:pPr>
          </w:p>
        </w:tc>
        <w:tc>
          <w:tcPr>
            <w:tcW w:w="938" w:type="pct"/>
            <w:vAlign w:val="center"/>
          </w:tcPr>
          <w:p w14:paraId="0A2B7666">
            <w:pPr>
              <w:adjustRightInd w:val="0"/>
              <w:snapToGrid w:val="0"/>
              <w:spacing w:line="240" w:lineRule="auto"/>
              <w:jc w:val="center"/>
              <w:outlineLvl w:val="2"/>
              <w:rPr>
                <w:rFonts w:hint="eastAsia" w:cs="宋体"/>
                <w:szCs w:val="21"/>
              </w:rPr>
            </w:pPr>
          </w:p>
        </w:tc>
        <w:tc>
          <w:tcPr>
            <w:tcW w:w="657" w:type="pct"/>
            <w:vAlign w:val="center"/>
          </w:tcPr>
          <w:p w14:paraId="4069EE03">
            <w:pPr>
              <w:adjustRightInd w:val="0"/>
              <w:snapToGrid w:val="0"/>
              <w:spacing w:line="240" w:lineRule="auto"/>
              <w:jc w:val="center"/>
              <w:outlineLvl w:val="2"/>
              <w:rPr>
                <w:rFonts w:hint="eastAsia" w:cs="宋体"/>
                <w:szCs w:val="21"/>
              </w:rPr>
            </w:pPr>
          </w:p>
        </w:tc>
        <w:tc>
          <w:tcPr>
            <w:tcW w:w="750" w:type="pct"/>
            <w:vAlign w:val="center"/>
          </w:tcPr>
          <w:p w14:paraId="3ADCC374">
            <w:pPr>
              <w:adjustRightInd w:val="0"/>
              <w:snapToGrid w:val="0"/>
              <w:spacing w:line="240" w:lineRule="auto"/>
              <w:jc w:val="center"/>
              <w:outlineLvl w:val="2"/>
              <w:rPr>
                <w:rFonts w:hint="eastAsia" w:cs="宋体"/>
                <w:szCs w:val="21"/>
              </w:rPr>
            </w:pPr>
          </w:p>
        </w:tc>
        <w:tc>
          <w:tcPr>
            <w:tcW w:w="637" w:type="pct"/>
            <w:vAlign w:val="center"/>
          </w:tcPr>
          <w:p w14:paraId="4243153A">
            <w:pPr>
              <w:adjustRightInd w:val="0"/>
              <w:snapToGrid w:val="0"/>
              <w:spacing w:line="240" w:lineRule="auto"/>
              <w:jc w:val="center"/>
              <w:outlineLvl w:val="2"/>
              <w:rPr>
                <w:rFonts w:hint="eastAsia" w:cs="宋体"/>
                <w:szCs w:val="21"/>
              </w:rPr>
            </w:pPr>
          </w:p>
        </w:tc>
        <w:tc>
          <w:tcPr>
            <w:tcW w:w="750" w:type="pct"/>
            <w:vAlign w:val="center"/>
          </w:tcPr>
          <w:p w14:paraId="229234FA">
            <w:pPr>
              <w:adjustRightInd w:val="0"/>
              <w:snapToGrid w:val="0"/>
              <w:spacing w:line="240" w:lineRule="auto"/>
              <w:jc w:val="center"/>
              <w:outlineLvl w:val="2"/>
              <w:rPr>
                <w:rFonts w:hint="eastAsia" w:cs="宋体"/>
                <w:szCs w:val="21"/>
              </w:rPr>
            </w:pPr>
          </w:p>
        </w:tc>
        <w:tc>
          <w:tcPr>
            <w:tcW w:w="813" w:type="pct"/>
            <w:vAlign w:val="center"/>
          </w:tcPr>
          <w:p w14:paraId="5E072BAB">
            <w:pPr>
              <w:adjustRightInd w:val="0"/>
              <w:snapToGrid w:val="0"/>
              <w:spacing w:line="240" w:lineRule="auto"/>
              <w:jc w:val="center"/>
              <w:outlineLvl w:val="2"/>
              <w:rPr>
                <w:rFonts w:hint="eastAsia" w:cs="宋体"/>
                <w:szCs w:val="21"/>
              </w:rPr>
            </w:pPr>
          </w:p>
        </w:tc>
      </w:tr>
      <w:tr w14:paraId="67C19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617307AF">
            <w:pPr>
              <w:adjustRightInd w:val="0"/>
              <w:snapToGrid w:val="0"/>
              <w:spacing w:line="240" w:lineRule="auto"/>
              <w:jc w:val="center"/>
              <w:outlineLvl w:val="2"/>
              <w:rPr>
                <w:rFonts w:hint="eastAsia" w:cs="宋体"/>
                <w:szCs w:val="21"/>
              </w:rPr>
            </w:pPr>
          </w:p>
        </w:tc>
        <w:tc>
          <w:tcPr>
            <w:tcW w:w="938" w:type="pct"/>
            <w:vAlign w:val="center"/>
          </w:tcPr>
          <w:p w14:paraId="14FAB292">
            <w:pPr>
              <w:adjustRightInd w:val="0"/>
              <w:snapToGrid w:val="0"/>
              <w:spacing w:line="240" w:lineRule="auto"/>
              <w:jc w:val="center"/>
              <w:outlineLvl w:val="2"/>
              <w:rPr>
                <w:rFonts w:hint="eastAsia" w:cs="宋体"/>
                <w:szCs w:val="21"/>
              </w:rPr>
            </w:pPr>
          </w:p>
        </w:tc>
        <w:tc>
          <w:tcPr>
            <w:tcW w:w="657" w:type="pct"/>
            <w:vAlign w:val="center"/>
          </w:tcPr>
          <w:p w14:paraId="70A15763">
            <w:pPr>
              <w:adjustRightInd w:val="0"/>
              <w:snapToGrid w:val="0"/>
              <w:spacing w:line="240" w:lineRule="auto"/>
              <w:jc w:val="center"/>
              <w:outlineLvl w:val="2"/>
              <w:rPr>
                <w:rFonts w:hint="eastAsia" w:cs="宋体"/>
                <w:szCs w:val="21"/>
              </w:rPr>
            </w:pPr>
          </w:p>
        </w:tc>
        <w:tc>
          <w:tcPr>
            <w:tcW w:w="750" w:type="pct"/>
            <w:vAlign w:val="center"/>
          </w:tcPr>
          <w:p w14:paraId="78A274B0">
            <w:pPr>
              <w:adjustRightInd w:val="0"/>
              <w:snapToGrid w:val="0"/>
              <w:spacing w:line="240" w:lineRule="auto"/>
              <w:jc w:val="center"/>
              <w:outlineLvl w:val="2"/>
              <w:rPr>
                <w:rFonts w:hint="eastAsia" w:cs="宋体"/>
                <w:szCs w:val="21"/>
              </w:rPr>
            </w:pPr>
          </w:p>
        </w:tc>
        <w:tc>
          <w:tcPr>
            <w:tcW w:w="637" w:type="pct"/>
            <w:vAlign w:val="center"/>
          </w:tcPr>
          <w:p w14:paraId="0B636A5E">
            <w:pPr>
              <w:adjustRightInd w:val="0"/>
              <w:snapToGrid w:val="0"/>
              <w:spacing w:line="240" w:lineRule="auto"/>
              <w:jc w:val="center"/>
              <w:outlineLvl w:val="2"/>
              <w:rPr>
                <w:rFonts w:hint="eastAsia" w:cs="宋体"/>
                <w:szCs w:val="21"/>
              </w:rPr>
            </w:pPr>
          </w:p>
        </w:tc>
        <w:tc>
          <w:tcPr>
            <w:tcW w:w="750" w:type="pct"/>
            <w:vAlign w:val="center"/>
          </w:tcPr>
          <w:p w14:paraId="7FF4574F">
            <w:pPr>
              <w:adjustRightInd w:val="0"/>
              <w:snapToGrid w:val="0"/>
              <w:spacing w:line="240" w:lineRule="auto"/>
              <w:jc w:val="center"/>
              <w:outlineLvl w:val="2"/>
              <w:rPr>
                <w:rFonts w:hint="eastAsia" w:cs="宋体"/>
                <w:szCs w:val="21"/>
              </w:rPr>
            </w:pPr>
          </w:p>
        </w:tc>
        <w:tc>
          <w:tcPr>
            <w:tcW w:w="813" w:type="pct"/>
            <w:vAlign w:val="center"/>
          </w:tcPr>
          <w:p w14:paraId="5BC6769F">
            <w:pPr>
              <w:adjustRightInd w:val="0"/>
              <w:snapToGrid w:val="0"/>
              <w:spacing w:line="240" w:lineRule="auto"/>
              <w:jc w:val="center"/>
              <w:outlineLvl w:val="2"/>
              <w:rPr>
                <w:rFonts w:hint="eastAsia" w:cs="宋体"/>
                <w:szCs w:val="21"/>
              </w:rPr>
            </w:pPr>
          </w:p>
        </w:tc>
      </w:tr>
      <w:tr w14:paraId="18CDF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086E551A">
            <w:pPr>
              <w:adjustRightInd w:val="0"/>
              <w:snapToGrid w:val="0"/>
              <w:spacing w:line="240" w:lineRule="auto"/>
              <w:jc w:val="center"/>
              <w:outlineLvl w:val="2"/>
              <w:rPr>
                <w:rFonts w:hint="eastAsia" w:cs="宋体"/>
                <w:szCs w:val="21"/>
              </w:rPr>
            </w:pPr>
          </w:p>
        </w:tc>
        <w:tc>
          <w:tcPr>
            <w:tcW w:w="938" w:type="pct"/>
            <w:vAlign w:val="center"/>
          </w:tcPr>
          <w:p w14:paraId="0BC37DAC">
            <w:pPr>
              <w:adjustRightInd w:val="0"/>
              <w:snapToGrid w:val="0"/>
              <w:spacing w:line="240" w:lineRule="auto"/>
              <w:jc w:val="center"/>
              <w:outlineLvl w:val="2"/>
              <w:rPr>
                <w:rFonts w:hint="eastAsia" w:cs="宋体"/>
                <w:szCs w:val="21"/>
              </w:rPr>
            </w:pPr>
          </w:p>
        </w:tc>
        <w:tc>
          <w:tcPr>
            <w:tcW w:w="657" w:type="pct"/>
            <w:vAlign w:val="center"/>
          </w:tcPr>
          <w:p w14:paraId="65B8DDF0">
            <w:pPr>
              <w:adjustRightInd w:val="0"/>
              <w:snapToGrid w:val="0"/>
              <w:spacing w:line="240" w:lineRule="auto"/>
              <w:jc w:val="center"/>
              <w:outlineLvl w:val="2"/>
              <w:rPr>
                <w:rFonts w:hint="eastAsia" w:cs="宋体"/>
                <w:szCs w:val="21"/>
              </w:rPr>
            </w:pPr>
          </w:p>
        </w:tc>
        <w:tc>
          <w:tcPr>
            <w:tcW w:w="750" w:type="pct"/>
            <w:vAlign w:val="center"/>
          </w:tcPr>
          <w:p w14:paraId="002731B5">
            <w:pPr>
              <w:adjustRightInd w:val="0"/>
              <w:snapToGrid w:val="0"/>
              <w:spacing w:line="240" w:lineRule="auto"/>
              <w:jc w:val="center"/>
              <w:outlineLvl w:val="2"/>
              <w:rPr>
                <w:rFonts w:hint="eastAsia" w:cs="宋体"/>
                <w:szCs w:val="21"/>
              </w:rPr>
            </w:pPr>
          </w:p>
        </w:tc>
        <w:tc>
          <w:tcPr>
            <w:tcW w:w="637" w:type="pct"/>
            <w:vAlign w:val="center"/>
          </w:tcPr>
          <w:p w14:paraId="7AAAA758">
            <w:pPr>
              <w:adjustRightInd w:val="0"/>
              <w:snapToGrid w:val="0"/>
              <w:spacing w:line="240" w:lineRule="auto"/>
              <w:jc w:val="center"/>
              <w:outlineLvl w:val="2"/>
              <w:rPr>
                <w:rFonts w:hint="eastAsia" w:cs="宋体"/>
                <w:szCs w:val="21"/>
              </w:rPr>
            </w:pPr>
          </w:p>
        </w:tc>
        <w:tc>
          <w:tcPr>
            <w:tcW w:w="750" w:type="pct"/>
            <w:vAlign w:val="center"/>
          </w:tcPr>
          <w:p w14:paraId="7FE2DCD1">
            <w:pPr>
              <w:adjustRightInd w:val="0"/>
              <w:snapToGrid w:val="0"/>
              <w:spacing w:line="240" w:lineRule="auto"/>
              <w:jc w:val="center"/>
              <w:outlineLvl w:val="2"/>
              <w:rPr>
                <w:rFonts w:hint="eastAsia" w:cs="宋体"/>
                <w:szCs w:val="21"/>
              </w:rPr>
            </w:pPr>
          </w:p>
        </w:tc>
        <w:tc>
          <w:tcPr>
            <w:tcW w:w="813" w:type="pct"/>
            <w:vAlign w:val="center"/>
          </w:tcPr>
          <w:p w14:paraId="3D3E4446">
            <w:pPr>
              <w:adjustRightInd w:val="0"/>
              <w:snapToGrid w:val="0"/>
              <w:spacing w:line="240" w:lineRule="auto"/>
              <w:jc w:val="center"/>
              <w:outlineLvl w:val="2"/>
              <w:rPr>
                <w:rFonts w:hint="eastAsia" w:cs="宋体"/>
                <w:szCs w:val="21"/>
              </w:rPr>
            </w:pPr>
          </w:p>
        </w:tc>
      </w:tr>
      <w:tr w14:paraId="3C55B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1C17CB1">
            <w:pPr>
              <w:adjustRightInd w:val="0"/>
              <w:snapToGrid w:val="0"/>
              <w:spacing w:line="240" w:lineRule="auto"/>
              <w:jc w:val="center"/>
              <w:outlineLvl w:val="2"/>
              <w:rPr>
                <w:rFonts w:hint="eastAsia" w:cs="宋体"/>
                <w:szCs w:val="21"/>
              </w:rPr>
            </w:pPr>
            <w:bookmarkStart w:id="273" w:name="_Toc4428"/>
            <w:r>
              <w:rPr>
                <w:rFonts w:hint="eastAsia" w:cs="宋体"/>
                <w:szCs w:val="21"/>
              </w:rPr>
              <w:t>.....</w:t>
            </w:r>
            <w:bookmarkEnd w:id="273"/>
          </w:p>
        </w:tc>
        <w:tc>
          <w:tcPr>
            <w:tcW w:w="938" w:type="pct"/>
            <w:vAlign w:val="center"/>
          </w:tcPr>
          <w:p w14:paraId="66D954C3">
            <w:pPr>
              <w:adjustRightInd w:val="0"/>
              <w:snapToGrid w:val="0"/>
              <w:spacing w:line="240" w:lineRule="auto"/>
              <w:jc w:val="center"/>
              <w:outlineLvl w:val="2"/>
              <w:rPr>
                <w:rFonts w:hint="eastAsia" w:cs="宋体"/>
                <w:szCs w:val="21"/>
              </w:rPr>
            </w:pPr>
          </w:p>
        </w:tc>
        <w:tc>
          <w:tcPr>
            <w:tcW w:w="657" w:type="pct"/>
            <w:vAlign w:val="center"/>
          </w:tcPr>
          <w:p w14:paraId="3A959B1A">
            <w:pPr>
              <w:adjustRightInd w:val="0"/>
              <w:snapToGrid w:val="0"/>
              <w:spacing w:line="240" w:lineRule="auto"/>
              <w:jc w:val="center"/>
              <w:outlineLvl w:val="2"/>
              <w:rPr>
                <w:rFonts w:hint="eastAsia" w:cs="宋体"/>
                <w:szCs w:val="21"/>
              </w:rPr>
            </w:pPr>
          </w:p>
        </w:tc>
        <w:tc>
          <w:tcPr>
            <w:tcW w:w="750" w:type="pct"/>
            <w:vAlign w:val="center"/>
          </w:tcPr>
          <w:p w14:paraId="186BFB41">
            <w:pPr>
              <w:adjustRightInd w:val="0"/>
              <w:snapToGrid w:val="0"/>
              <w:spacing w:line="240" w:lineRule="auto"/>
              <w:jc w:val="center"/>
              <w:outlineLvl w:val="2"/>
              <w:rPr>
                <w:rFonts w:hint="eastAsia" w:cs="宋体"/>
                <w:szCs w:val="21"/>
              </w:rPr>
            </w:pPr>
          </w:p>
        </w:tc>
        <w:tc>
          <w:tcPr>
            <w:tcW w:w="637" w:type="pct"/>
            <w:vAlign w:val="center"/>
          </w:tcPr>
          <w:p w14:paraId="0192B90B">
            <w:pPr>
              <w:adjustRightInd w:val="0"/>
              <w:snapToGrid w:val="0"/>
              <w:spacing w:line="240" w:lineRule="auto"/>
              <w:jc w:val="center"/>
              <w:outlineLvl w:val="2"/>
              <w:rPr>
                <w:rFonts w:hint="eastAsia" w:cs="宋体"/>
                <w:szCs w:val="21"/>
              </w:rPr>
            </w:pPr>
          </w:p>
        </w:tc>
        <w:tc>
          <w:tcPr>
            <w:tcW w:w="750" w:type="pct"/>
            <w:vAlign w:val="center"/>
          </w:tcPr>
          <w:p w14:paraId="74D198F5">
            <w:pPr>
              <w:adjustRightInd w:val="0"/>
              <w:snapToGrid w:val="0"/>
              <w:spacing w:line="240" w:lineRule="auto"/>
              <w:jc w:val="center"/>
              <w:outlineLvl w:val="2"/>
              <w:rPr>
                <w:rFonts w:hint="eastAsia" w:cs="宋体"/>
                <w:szCs w:val="21"/>
              </w:rPr>
            </w:pPr>
          </w:p>
        </w:tc>
        <w:tc>
          <w:tcPr>
            <w:tcW w:w="813" w:type="pct"/>
            <w:vAlign w:val="center"/>
          </w:tcPr>
          <w:p w14:paraId="27E5F787">
            <w:pPr>
              <w:adjustRightInd w:val="0"/>
              <w:snapToGrid w:val="0"/>
              <w:spacing w:line="240" w:lineRule="auto"/>
              <w:jc w:val="center"/>
              <w:outlineLvl w:val="2"/>
              <w:rPr>
                <w:rFonts w:hint="eastAsia" w:cs="宋体"/>
                <w:szCs w:val="21"/>
              </w:rPr>
            </w:pPr>
          </w:p>
        </w:tc>
      </w:tr>
    </w:tbl>
    <w:p w14:paraId="3EC5146F">
      <w:pPr>
        <w:adjustRightInd w:val="0"/>
        <w:snapToGrid w:val="0"/>
        <w:ind w:firstLine="210" w:firstLineChars="100"/>
        <w:rPr>
          <w:rFonts w:hint="eastAsia" w:cs="Arial"/>
          <w:b/>
          <w:bCs/>
          <w:kern w:val="0"/>
          <w:szCs w:val="21"/>
        </w:rPr>
      </w:pPr>
      <w:r>
        <w:rPr>
          <w:rFonts w:hint="eastAsia" w:cs="Arial"/>
          <w:b/>
          <w:bCs/>
          <w:kern w:val="0"/>
          <w:szCs w:val="21"/>
        </w:rPr>
        <w:t>注：1、本表后附产品的医疗器械注册证及附件。</w:t>
      </w:r>
    </w:p>
    <w:p w14:paraId="29ADC94E">
      <w:pPr>
        <w:adjustRightInd w:val="0"/>
        <w:snapToGrid w:val="0"/>
        <w:ind w:firstLine="630" w:firstLineChars="300"/>
        <w:rPr>
          <w:rFonts w:hint="eastAsia" w:cs="Arial"/>
          <w:b/>
          <w:bCs/>
          <w:kern w:val="0"/>
          <w:szCs w:val="21"/>
        </w:rPr>
      </w:pPr>
      <w:r>
        <w:rPr>
          <w:rFonts w:hint="eastAsia" w:cs="Arial"/>
          <w:b/>
          <w:bCs/>
          <w:kern w:val="0"/>
          <w:szCs w:val="21"/>
        </w:rPr>
        <w:t>2、本表可扩增。</w:t>
      </w:r>
    </w:p>
    <w:p w14:paraId="0B108D2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需求及技术要求》采购清单逐一填报，不在目录中的需在备注栏备注。</w:t>
      </w:r>
    </w:p>
    <w:p w14:paraId="057BBEEA">
      <w:pPr>
        <w:widowControl/>
        <w:spacing w:line="240" w:lineRule="auto"/>
        <w:jc w:val="left"/>
        <w:rPr>
          <w:rFonts w:hint="eastAsia"/>
          <w:b/>
          <w:bCs/>
          <w:sz w:val="28"/>
          <w:szCs w:val="36"/>
        </w:rPr>
      </w:pPr>
    </w:p>
    <w:p w14:paraId="368008F8">
      <w:pPr>
        <w:widowControl/>
        <w:spacing w:line="240" w:lineRule="auto"/>
        <w:jc w:val="left"/>
        <w:rPr>
          <w:rFonts w:hint="eastAsia"/>
          <w:b/>
          <w:bCs/>
          <w:sz w:val="28"/>
          <w:szCs w:val="36"/>
        </w:rPr>
      </w:pPr>
      <w:r>
        <w:rPr>
          <w:rFonts w:hint="eastAsia"/>
          <w:b/>
          <w:bCs/>
          <w:sz w:val="28"/>
          <w:szCs w:val="36"/>
        </w:rPr>
        <w:br w:type="page"/>
      </w:r>
    </w:p>
    <w:p w14:paraId="62F28E64">
      <w:pPr>
        <w:jc w:val="center"/>
        <w:outlineLvl w:val="2"/>
        <w:rPr>
          <w:rFonts w:hint="eastAsia"/>
          <w:b/>
          <w:bCs/>
          <w:sz w:val="28"/>
          <w:szCs w:val="36"/>
        </w:rPr>
      </w:pPr>
      <w:bookmarkStart w:id="274" w:name="_Toc2738"/>
      <w:r>
        <w:rPr>
          <w:rFonts w:hint="eastAsia"/>
          <w:b/>
          <w:bCs/>
          <w:sz w:val="28"/>
          <w:szCs w:val="36"/>
        </w:rPr>
        <w:t>（十四）其他资格证明文件</w:t>
      </w:r>
      <w:bookmarkEnd w:id="246"/>
      <w:bookmarkEnd w:id="247"/>
      <w:bookmarkEnd w:id="248"/>
      <w:bookmarkEnd w:id="249"/>
      <w:bookmarkEnd w:id="250"/>
      <w:bookmarkEnd w:id="251"/>
      <w:bookmarkEnd w:id="253"/>
      <w:bookmarkEnd w:id="254"/>
      <w:bookmarkEnd w:id="274"/>
    </w:p>
    <w:p w14:paraId="0E4D88A5">
      <w:pPr>
        <w:widowControl/>
        <w:ind w:firstLine="420" w:firstLineChars="200"/>
        <w:jc w:val="left"/>
        <w:rPr>
          <w:rFonts w:hint="eastAsia"/>
          <w:szCs w:val="21"/>
        </w:rPr>
      </w:pPr>
      <w:r>
        <w:rPr>
          <w:szCs w:val="21"/>
        </w:rPr>
        <w:t>招标文件第一章“投标人资格要求”中要求提供的其他资格证明文件，包含但不限于以下资料：</w:t>
      </w:r>
    </w:p>
    <w:p w14:paraId="4F7FCE26">
      <w:pPr>
        <w:wordWrap w:val="0"/>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75146816">
      <w:pPr>
        <w:adjustRightInd w:val="0"/>
        <w:snapToGrid w:val="0"/>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szCs w:val="21"/>
        </w:rPr>
        <w:t>为采购项目提供整体设计、规范编制或者项目管理、监理、检测等服务的投标人，不得再参加该采购项目的其他采购活动。</w:t>
      </w:r>
    </w:p>
    <w:p w14:paraId="2AE9FD7E">
      <w:pPr>
        <w:widowControl/>
        <w:adjustRightInd w:val="0"/>
        <w:snapToGrid w:val="0"/>
        <w:ind w:firstLine="420" w:firstLineChars="200"/>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非联合体投标承诺书；</w:t>
      </w:r>
    </w:p>
    <w:p w14:paraId="6DAE9B05">
      <w:pPr>
        <w:snapToGrid w:val="0"/>
        <w:ind w:firstLine="420" w:firstLineChars="200"/>
        <w:rPr>
          <w:rFonts w:hint="eastAsia"/>
          <w:szCs w:val="21"/>
        </w:rPr>
      </w:pPr>
      <w:r>
        <w:rPr>
          <w:rFonts w:hint="eastAsia" w:cs="宋体"/>
          <w:b/>
          <w:bCs/>
          <w:color w:val="000000" w:themeColor="text1"/>
          <w:szCs w:val="21"/>
          <w14:textFill>
            <w14:solidFill>
              <w14:schemeClr w14:val="tx1"/>
            </w14:solidFill>
          </w14:textFill>
        </w:rPr>
        <w:t>4、</w:t>
      </w:r>
      <w:r>
        <w:rPr>
          <w:rFonts w:hint="eastAsia" w:cs="宋体"/>
          <w:color w:val="000000" w:themeColor="text1"/>
          <w:szCs w:val="21"/>
          <w14:textFill>
            <w14:solidFill>
              <w14:schemeClr w14:val="tx1"/>
            </w14:solidFill>
          </w14:textFill>
        </w:rPr>
        <w:t>其它。</w:t>
      </w:r>
    </w:p>
    <w:p w14:paraId="5E7DFD42">
      <w:pPr>
        <w:widowControl/>
        <w:jc w:val="left"/>
        <w:rPr>
          <w:rFonts w:hint="eastAsia"/>
          <w:szCs w:val="21"/>
        </w:rPr>
      </w:pPr>
      <w:r>
        <w:rPr>
          <w:szCs w:val="21"/>
        </w:rPr>
        <w:br w:type="page"/>
      </w:r>
    </w:p>
    <w:bookmarkEnd w:id="137"/>
    <w:bookmarkEnd w:id="138"/>
    <w:bookmarkEnd w:id="139"/>
    <w:bookmarkEnd w:id="142"/>
    <w:bookmarkEnd w:id="143"/>
    <w:bookmarkEnd w:id="144"/>
    <w:bookmarkEnd w:id="145"/>
    <w:p w14:paraId="2269C34A">
      <w:pPr>
        <w:jc w:val="center"/>
        <w:outlineLvl w:val="1"/>
        <w:rPr>
          <w:rFonts w:hint="eastAsia" w:cs="宋体"/>
          <w:b/>
          <w:bCs/>
          <w:sz w:val="32"/>
          <w:szCs w:val="21"/>
        </w:rPr>
      </w:pPr>
      <w:bookmarkStart w:id="275" w:name="_Toc26901"/>
      <w:bookmarkStart w:id="276" w:name="_Toc22319"/>
      <w:bookmarkStart w:id="277" w:name="_Toc26281"/>
      <w:bookmarkStart w:id="278" w:name="_Toc496521008"/>
      <w:bookmarkStart w:id="279" w:name="_Toc17994"/>
      <w:bookmarkStart w:id="280" w:name="_Toc4728"/>
      <w:bookmarkStart w:id="281" w:name="_Toc327190555"/>
      <w:bookmarkStart w:id="282" w:name="_Toc496520998"/>
      <w:r>
        <w:rPr>
          <w:rFonts w:hint="eastAsia" w:cs="宋体"/>
          <w:b/>
          <w:bCs/>
          <w:sz w:val="32"/>
          <w:szCs w:val="21"/>
        </w:rPr>
        <w:t>三、商务部分</w:t>
      </w:r>
      <w:bookmarkEnd w:id="275"/>
    </w:p>
    <w:p w14:paraId="4E75C074">
      <w:pPr>
        <w:jc w:val="center"/>
        <w:outlineLvl w:val="2"/>
        <w:rPr>
          <w:rFonts w:hint="eastAsia"/>
          <w:b/>
          <w:bCs/>
          <w:sz w:val="28"/>
          <w:szCs w:val="28"/>
        </w:rPr>
      </w:pPr>
      <w:bookmarkStart w:id="283" w:name="_Toc125986488"/>
      <w:bookmarkStart w:id="284" w:name="_Toc166067781"/>
      <w:bookmarkStart w:id="285" w:name="_Toc493600031"/>
      <w:bookmarkStart w:id="286" w:name="_Toc139357079"/>
      <w:bookmarkStart w:id="287" w:name="_Toc216368781"/>
      <w:bookmarkStart w:id="288" w:name="_Toc496520999"/>
      <w:bookmarkStart w:id="289" w:name="_Toc125904352"/>
      <w:bookmarkStart w:id="290" w:name="_Toc216724754"/>
      <w:bookmarkStart w:id="291" w:name="_Toc170120954"/>
      <w:bookmarkStart w:id="292" w:name="_Toc487"/>
      <w:bookmarkStart w:id="293" w:name="_Toc1398"/>
      <w:bookmarkStart w:id="294" w:name="_Toc16604"/>
      <w:r>
        <w:rPr>
          <w:rFonts w:hint="eastAsia"/>
          <w:b/>
          <w:bCs/>
          <w:sz w:val="28"/>
          <w:szCs w:val="28"/>
        </w:rPr>
        <w:t>（一）</w:t>
      </w:r>
      <w:r>
        <w:rPr>
          <w:rFonts w:cs="Segoe UI Symbol"/>
          <w:b/>
          <w:sz w:val="28"/>
          <w:szCs w:val="28"/>
        </w:rPr>
        <w:t>★</w:t>
      </w:r>
      <w:r>
        <w:rPr>
          <w:rFonts w:hint="eastAsia" w:cs="Segoe UI Symbol"/>
          <w:b/>
          <w:sz w:val="28"/>
          <w:szCs w:val="28"/>
        </w:rPr>
        <w:t xml:space="preserve">5 标 段 </w:t>
      </w:r>
      <w:r>
        <w:rPr>
          <w:rFonts w:hint="eastAsia"/>
          <w:b/>
          <w:bCs/>
          <w:sz w:val="28"/>
          <w:szCs w:val="28"/>
        </w:rPr>
        <w:t>投 标 函</w:t>
      </w:r>
      <w:bookmarkEnd w:id="283"/>
      <w:bookmarkEnd w:id="284"/>
      <w:bookmarkEnd w:id="285"/>
      <w:bookmarkEnd w:id="286"/>
      <w:bookmarkEnd w:id="287"/>
      <w:bookmarkEnd w:id="288"/>
      <w:bookmarkEnd w:id="289"/>
      <w:bookmarkEnd w:id="290"/>
      <w:bookmarkEnd w:id="291"/>
      <w:bookmarkEnd w:id="292"/>
      <w:bookmarkEnd w:id="293"/>
      <w:bookmarkEnd w:id="294"/>
    </w:p>
    <w:p w14:paraId="1665026D">
      <w:pPr>
        <w:pStyle w:val="23"/>
        <w:rPr>
          <w:rFonts w:hint="eastAsia" w:cs="宋体"/>
          <w:szCs w:val="21"/>
        </w:rPr>
      </w:pPr>
      <w:r>
        <w:rPr>
          <w:rFonts w:hint="eastAsia" w:cs="宋体"/>
          <w:szCs w:val="21"/>
        </w:rPr>
        <w:t>致：</w:t>
      </w:r>
      <w:r>
        <w:rPr>
          <w:rFonts w:hint="eastAsia" w:cs="宋体"/>
          <w:szCs w:val="21"/>
          <w:u w:val="single"/>
        </w:rPr>
        <w:t xml:space="preserve">  （采购人名称）  </w:t>
      </w:r>
    </w:p>
    <w:p w14:paraId="3C1AD2BC">
      <w:pPr>
        <w:pStyle w:val="23"/>
        <w:ind w:firstLine="482"/>
        <w:rPr>
          <w:rFonts w:hint="eastAsia" w:cs="宋体"/>
          <w:szCs w:val="21"/>
        </w:rPr>
      </w:pPr>
      <w:r>
        <w:rPr>
          <w:rFonts w:hint="eastAsia" w:cs="宋体"/>
          <w:szCs w:val="21"/>
        </w:rPr>
        <w:t>我方仔细研究了</w:t>
      </w:r>
      <w:r>
        <w:rPr>
          <w:rFonts w:hint="eastAsia" w:cs="宋体"/>
          <w:szCs w:val="21"/>
          <w:u w:val="single"/>
        </w:rPr>
        <w:t xml:space="preserve">（标段名称）   </w:t>
      </w:r>
      <w:r>
        <w:rPr>
          <w:rFonts w:hint="eastAsia" w:cs="宋体"/>
          <w:szCs w:val="21"/>
        </w:rPr>
        <w:t>（标段编号：</w:t>
      </w:r>
      <w:r>
        <w:rPr>
          <w:rFonts w:hint="eastAsia" w:cs="宋体"/>
          <w:szCs w:val="21"/>
          <w:u w:val="single"/>
        </w:rPr>
        <w:t xml:space="preserve"> </w:t>
      </w:r>
      <w:r>
        <w:rPr>
          <w:rFonts w:cs="宋体"/>
          <w:szCs w:val="21"/>
          <w:u w:val="single"/>
        </w:rPr>
        <w:t xml:space="preserve">     </w:t>
      </w:r>
      <w:r>
        <w:rPr>
          <w:rFonts w:hint="eastAsia" w:cs="宋体"/>
          <w:szCs w:val="21"/>
        </w:rPr>
        <w:t>）项目招标文件的全部内容，正式授权下述签字人</w:t>
      </w:r>
      <w:r>
        <w:rPr>
          <w:rFonts w:hint="eastAsia" w:cs="宋体"/>
          <w:szCs w:val="21"/>
          <w:u w:val="single"/>
        </w:rPr>
        <w:t xml:space="preserve">   （姓名和职务）     </w:t>
      </w:r>
      <w:r>
        <w:rPr>
          <w:rFonts w:hint="eastAsia" w:cs="宋体"/>
          <w:szCs w:val="21"/>
        </w:rPr>
        <w:t>全权代表投标人</w:t>
      </w:r>
      <w:r>
        <w:rPr>
          <w:rFonts w:hint="eastAsia" w:cs="宋体"/>
          <w:szCs w:val="21"/>
          <w:u w:val="single"/>
        </w:rPr>
        <w:t xml:space="preserve">  （投标人全称）   </w:t>
      </w:r>
      <w:r>
        <w:rPr>
          <w:rFonts w:hint="eastAsia" w:cs="宋体"/>
          <w:szCs w:val="21"/>
        </w:rPr>
        <w:t>参加投标，并提交电子投标文件。</w:t>
      </w:r>
    </w:p>
    <w:p w14:paraId="6C13468B">
      <w:pPr>
        <w:pStyle w:val="23"/>
        <w:ind w:firstLine="420"/>
        <w:rPr>
          <w:rFonts w:hint="eastAsia" w:cs="宋体"/>
          <w:szCs w:val="21"/>
        </w:rPr>
      </w:pPr>
      <w:r>
        <w:rPr>
          <w:rFonts w:hint="eastAsia" w:cs="宋体"/>
          <w:szCs w:val="21"/>
        </w:rPr>
        <w:t>据此函，签字人兹宣布同意如下：</w:t>
      </w:r>
    </w:p>
    <w:p w14:paraId="3A8630F1">
      <w:pPr>
        <w:pStyle w:val="23"/>
        <w:ind w:firstLine="420" w:firstLineChars="200"/>
        <w:rPr>
          <w:rFonts w:hint="eastAsia" w:cs="宋体"/>
          <w:b/>
          <w:bCs/>
          <w:szCs w:val="21"/>
        </w:rPr>
      </w:pPr>
      <w:r>
        <w:rPr>
          <w:rFonts w:hint="eastAsia" w:cs="宋体"/>
          <w:szCs w:val="21"/>
        </w:rPr>
        <w:t>1、按招标文件</w:t>
      </w:r>
      <w:r>
        <w:rPr>
          <w:rFonts w:hint="eastAsia" w:cs="宋体"/>
          <w:bCs/>
          <w:szCs w:val="21"/>
        </w:rPr>
        <w:t>第五章《货物需求及技术要求》</w:t>
      </w:r>
      <w:r>
        <w:rPr>
          <w:rFonts w:hint="eastAsia" w:cs="宋体"/>
          <w:szCs w:val="21"/>
        </w:rPr>
        <w:t>，</w:t>
      </w:r>
      <w:r>
        <w:rPr>
          <w:rFonts w:hint="eastAsia" w:cs="宋体"/>
          <w:b/>
          <w:bCs/>
          <w:szCs w:val="21"/>
        </w:rPr>
        <w:t>投标总报价：</w:t>
      </w:r>
      <w:r>
        <w:rPr>
          <w:rFonts w:hint="eastAsia" w:cs="宋体"/>
          <w:b/>
          <w:bCs/>
          <w:szCs w:val="21"/>
          <w:u w:val="single"/>
        </w:rPr>
        <w:t xml:space="preserve">        </w:t>
      </w:r>
      <w:r>
        <w:rPr>
          <w:rFonts w:hint="eastAsia" w:cs="宋体"/>
          <w:b/>
          <w:bCs/>
          <w:szCs w:val="21"/>
        </w:rPr>
        <w:t>元，</w:t>
      </w:r>
      <w:r>
        <w:rPr>
          <w:b/>
          <w:bCs/>
        </w:rPr>
        <w:t>在</w:t>
      </w:r>
      <w:r>
        <w:rPr>
          <w:b/>
          <w:bCs/>
          <w:u w:val="single"/>
        </w:rPr>
        <w:t xml:space="preserve">  （交货期）   </w:t>
      </w:r>
      <w:r>
        <w:rPr>
          <w:b/>
          <w:bCs/>
        </w:rPr>
        <w:t>完成交货，质保期：</w:t>
      </w:r>
      <w:r>
        <w:rPr>
          <w:rFonts w:hint="eastAsia"/>
          <w:b/>
          <w:bCs/>
        </w:rPr>
        <w:t>自验收合格之日起计算</w:t>
      </w:r>
      <w:r>
        <w:rPr>
          <w:b/>
          <w:bCs/>
          <w:u w:val="single"/>
        </w:rPr>
        <w:t xml:space="preserve">      年</w:t>
      </w:r>
      <w:r>
        <w:rPr>
          <w:b/>
          <w:bCs/>
        </w:rPr>
        <w:t>。</w:t>
      </w:r>
      <w:r>
        <w:rPr>
          <w:rFonts w:hint="eastAsia"/>
          <w:b/>
          <w:bCs/>
        </w:rPr>
        <w:t>质量承诺：</w:t>
      </w:r>
      <w:r>
        <w:rPr>
          <w:b/>
          <w:bCs/>
          <w:u w:val="single"/>
        </w:rPr>
        <w:t xml:space="preserve">                                     </w:t>
      </w:r>
      <w:r>
        <w:rPr>
          <w:rFonts w:hint="eastAsia"/>
          <w:b/>
          <w:bCs/>
          <w:u w:val="single"/>
        </w:rPr>
        <w:t>。</w:t>
      </w:r>
    </w:p>
    <w:p w14:paraId="49105D80">
      <w:pPr>
        <w:pStyle w:val="23"/>
        <w:ind w:firstLine="420"/>
        <w:rPr>
          <w:rFonts w:hint="eastAsia" w:cs="宋体"/>
          <w:spacing w:val="-10"/>
          <w:szCs w:val="21"/>
        </w:rPr>
      </w:pPr>
      <w:r>
        <w:rPr>
          <w:rFonts w:hint="eastAsia" w:cs="宋体"/>
          <w:szCs w:val="21"/>
        </w:rPr>
        <w:t>2、</w:t>
      </w:r>
      <w:r>
        <w:rPr>
          <w:rFonts w:hint="eastAsia" w:cs="宋体"/>
          <w:spacing w:val="-10"/>
          <w:szCs w:val="21"/>
        </w:rPr>
        <w:t>我方已详细审查全部招标文件，包括</w:t>
      </w:r>
      <w:r>
        <w:rPr>
          <w:rFonts w:hint="eastAsia" w:cs="宋体"/>
          <w:spacing w:val="-10"/>
          <w:szCs w:val="21"/>
          <w:u w:val="single"/>
        </w:rPr>
        <w:t>（澄清文件）(如果有的话)</w:t>
      </w:r>
      <w:r>
        <w:rPr>
          <w:rFonts w:hint="eastAsia" w:cs="宋体"/>
          <w:spacing w:val="-10"/>
          <w:szCs w:val="21"/>
        </w:rPr>
        <w:t>。我方完全理解相关文件要求，并承担对这方面有不明及误解的后果。</w:t>
      </w:r>
    </w:p>
    <w:p w14:paraId="13DFCA13">
      <w:pPr>
        <w:pStyle w:val="23"/>
        <w:ind w:firstLine="420"/>
        <w:rPr>
          <w:rFonts w:hint="eastAsia" w:cs="宋体"/>
          <w:szCs w:val="21"/>
        </w:rPr>
      </w:pPr>
      <w:r>
        <w:rPr>
          <w:rFonts w:hint="eastAsia" w:cs="宋体"/>
          <w:szCs w:val="21"/>
        </w:rPr>
        <w:t>3、在投标人须知规定的开标日期起遵循本投标文件，并在投标人须知第17.1条规定的投标文件有效期满之前均具有约束力。</w:t>
      </w:r>
    </w:p>
    <w:p w14:paraId="0B57F4D3">
      <w:pPr>
        <w:pStyle w:val="23"/>
        <w:ind w:firstLine="420"/>
        <w:rPr>
          <w:rFonts w:hint="eastAsia" w:cs="宋体"/>
          <w:szCs w:val="21"/>
        </w:rPr>
      </w:pPr>
      <w:r>
        <w:rPr>
          <w:rFonts w:hint="eastAsia" w:cs="宋体"/>
          <w:szCs w:val="21"/>
        </w:rPr>
        <w:t>4、同意投标人须知中关于投标保证金不予退还的规定。</w:t>
      </w:r>
    </w:p>
    <w:p w14:paraId="485805CA">
      <w:pPr>
        <w:pStyle w:val="23"/>
        <w:ind w:firstLine="420"/>
        <w:rPr>
          <w:rFonts w:hint="eastAsia" w:cs="宋体"/>
          <w:szCs w:val="21"/>
        </w:rPr>
      </w:pPr>
      <w:r>
        <w:rPr>
          <w:rFonts w:hint="eastAsia" w:cs="宋体"/>
          <w:szCs w:val="21"/>
        </w:rPr>
        <w:t>5、同意应贵方要求提供与本投标有关的任何数据或资料，并保证数据和资料的完整性和真实性。</w:t>
      </w:r>
    </w:p>
    <w:p w14:paraId="73E2E6A1">
      <w:pPr>
        <w:pStyle w:val="23"/>
        <w:ind w:firstLine="420"/>
        <w:rPr>
          <w:rFonts w:hint="eastAsia" w:cs="宋体"/>
          <w:szCs w:val="21"/>
        </w:rPr>
      </w:pPr>
      <w:r>
        <w:rPr>
          <w:rFonts w:hint="eastAsia" w:cs="宋体"/>
          <w:szCs w:val="21"/>
        </w:rPr>
        <w:t>6、完全理解贵方不一定要接受最低报价的投标人为中标人的行为。</w:t>
      </w:r>
    </w:p>
    <w:p w14:paraId="62B69CEE">
      <w:pPr>
        <w:pStyle w:val="23"/>
        <w:ind w:firstLine="420"/>
        <w:rPr>
          <w:rFonts w:hint="eastAsia" w:cs="宋体"/>
          <w:szCs w:val="21"/>
        </w:rPr>
      </w:pPr>
      <w:r>
        <w:rPr>
          <w:rFonts w:hint="eastAsia" w:cs="宋体"/>
          <w:szCs w:val="21"/>
        </w:rPr>
        <w:t>7．如我方中标：我方承诺在收到中标通知书后，在规定的期限内与你方签订合同，并履行相应的合同责任和义务，并承担售后服务及保修责任。如因我方原因导致未能在规定期限内签订合同的，愿意接受一切不利于我方的后果。</w:t>
      </w:r>
    </w:p>
    <w:p w14:paraId="12AF4CC7">
      <w:pPr>
        <w:pStyle w:val="23"/>
        <w:ind w:firstLine="420"/>
        <w:rPr>
          <w:rFonts w:hint="eastAsia" w:cs="宋体"/>
          <w:szCs w:val="21"/>
        </w:rPr>
      </w:pPr>
      <w:r>
        <w:rPr>
          <w:rFonts w:hint="eastAsia" w:cs="宋体"/>
          <w:szCs w:val="21"/>
        </w:rPr>
        <w:t>8．我方在此声明，所递交的投标文件及有关资料内容完整、真实和准确。</w:t>
      </w:r>
    </w:p>
    <w:p w14:paraId="6A211A80">
      <w:pPr>
        <w:pStyle w:val="23"/>
        <w:ind w:firstLine="420"/>
        <w:rPr>
          <w:rFonts w:hint="eastAsia" w:cs="宋体"/>
          <w:szCs w:val="21"/>
        </w:rPr>
      </w:pPr>
      <w:r>
        <w:rPr>
          <w:rFonts w:hint="eastAsia" w:cs="宋体"/>
          <w:szCs w:val="21"/>
        </w:rPr>
        <w:t>9．（其他补充说明，若有）。</w:t>
      </w:r>
    </w:p>
    <w:p w14:paraId="130280C9">
      <w:pPr>
        <w:pStyle w:val="23"/>
        <w:ind w:firstLine="420"/>
        <w:rPr>
          <w:rFonts w:hint="eastAsia" w:cs="宋体"/>
          <w:szCs w:val="21"/>
        </w:rPr>
      </w:pPr>
      <w:r>
        <w:rPr>
          <w:rFonts w:hint="eastAsia" w:cs="宋体"/>
          <w:szCs w:val="21"/>
        </w:rPr>
        <w:t>与本投标有关的正式通讯地址为：</w:t>
      </w:r>
    </w:p>
    <w:p w14:paraId="62136227">
      <w:pPr>
        <w:pStyle w:val="23"/>
        <w:ind w:firstLine="420"/>
        <w:rPr>
          <w:rFonts w:hint="eastAsia" w:cs="宋体"/>
          <w:szCs w:val="21"/>
        </w:rPr>
      </w:pPr>
      <w:r>
        <w:rPr>
          <w:rFonts w:hint="eastAsia" w:cs="宋体"/>
          <w:szCs w:val="21"/>
        </w:rPr>
        <w:t xml:space="preserve">地址： </w:t>
      </w:r>
      <w:r>
        <w:rPr>
          <w:rFonts w:cs="宋体"/>
          <w:szCs w:val="21"/>
        </w:rPr>
        <w:t xml:space="preserve">         </w:t>
      </w:r>
      <w:r>
        <w:rPr>
          <w:rFonts w:hint="eastAsia" w:cs="宋体"/>
          <w:szCs w:val="21"/>
        </w:rPr>
        <w:t xml:space="preserve">邮政编码： </w:t>
      </w:r>
      <w:r>
        <w:rPr>
          <w:rFonts w:cs="宋体"/>
          <w:szCs w:val="21"/>
        </w:rPr>
        <w:t xml:space="preserve">      </w:t>
      </w:r>
      <w:r>
        <w:rPr>
          <w:rFonts w:hint="eastAsia" w:cs="宋体"/>
          <w:szCs w:val="21"/>
        </w:rPr>
        <w:t xml:space="preserve">电话： </w:t>
      </w:r>
      <w:r>
        <w:rPr>
          <w:rFonts w:cs="宋体"/>
          <w:szCs w:val="21"/>
        </w:rPr>
        <w:t xml:space="preserve">         </w:t>
      </w:r>
      <w:r>
        <w:rPr>
          <w:rFonts w:hint="eastAsia" w:cs="宋体"/>
          <w:szCs w:val="21"/>
        </w:rPr>
        <w:t>传真：</w:t>
      </w:r>
    </w:p>
    <w:p w14:paraId="1CA968C8">
      <w:pPr>
        <w:pStyle w:val="23"/>
        <w:ind w:firstLine="420"/>
        <w:rPr>
          <w:rFonts w:hint="eastAsia" w:cs="宋体"/>
          <w:szCs w:val="21"/>
        </w:rPr>
      </w:pPr>
      <w:r>
        <w:rPr>
          <w:rFonts w:hint="eastAsia" w:cs="宋体"/>
          <w:szCs w:val="21"/>
        </w:rPr>
        <w:t xml:space="preserve">开户名称： </w:t>
      </w:r>
      <w:r>
        <w:rPr>
          <w:rFonts w:cs="宋体"/>
          <w:szCs w:val="21"/>
        </w:rPr>
        <w:t xml:space="preserve">        </w:t>
      </w:r>
      <w:r>
        <w:rPr>
          <w:rFonts w:hint="eastAsia" w:cs="宋体"/>
          <w:szCs w:val="21"/>
        </w:rPr>
        <w:t xml:space="preserve">开户银行： </w:t>
      </w:r>
      <w:r>
        <w:rPr>
          <w:rFonts w:cs="宋体"/>
          <w:szCs w:val="21"/>
        </w:rPr>
        <w:t xml:space="preserve">     </w:t>
      </w:r>
      <w:r>
        <w:rPr>
          <w:rFonts w:hint="eastAsia" w:cs="宋体"/>
          <w:szCs w:val="21"/>
        </w:rPr>
        <w:t>账    号：</w:t>
      </w:r>
    </w:p>
    <w:p w14:paraId="2A2588BD">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FB8A75">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8FB9580">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bookmarkStart w:id="295" w:name="_Toc125986489"/>
      <w:bookmarkStart w:id="296" w:name="_Toc125904354"/>
      <w:bookmarkStart w:id="297" w:name="_Toc12111"/>
      <w:bookmarkStart w:id="298" w:name="_Toc9430"/>
      <w:bookmarkStart w:id="299" w:name="_Toc80973393"/>
      <w:bookmarkStart w:id="300" w:name="_Toc48831819"/>
      <w:bookmarkStart w:id="301" w:name="_Toc54716797"/>
    </w:p>
    <w:p w14:paraId="46A33806">
      <w:pPr>
        <w:jc w:val="center"/>
        <w:outlineLvl w:val="2"/>
        <w:rPr>
          <w:rFonts w:hint="eastAsia"/>
          <w:b/>
          <w:bCs/>
          <w:color w:val="000000" w:themeColor="text1"/>
          <w:sz w:val="28"/>
          <w:szCs w:val="36"/>
          <w14:textFill>
            <w14:solidFill>
              <w14:schemeClr w14:val="tx1"/>
            </w14:solidFill>
          </w14:textFill>
        </w:rPr>
      </w:pPr>
      <w:bookmarkStart w:id="302" w:name="_Toc216368782"/>
      <w:bookmarkStart w:id="303" w:name="_Toc216724755"/>
      <w:bookmarkStart w:id="304" w:name="_Toc10402"/>
      <w:r>
        <w:rPr>
          <w:rFonts w:hint="eastAsia"/>
          <w:b/>
          <w:bCs/>
          <w:color w:val="000000" w:themeColor="text1"/>
          <w:sz w:val="28"/>
          <w:szCs w:val="36"/>
          <w14:textFill>
            <w14:solidFill>
              <w14:schemeClr w14:val="tx1"/>
            </w14:solidFill>
          </w14:textFill>
        </w:rPr>
        <w:t>（二）</w:t>
      </w:r>
      <w:r>
        <w:rPr>
          <w:rFonts w:cs="Segoe UI Symbol"/>
          <w:b/>
          <w:sz w:val="30"/>
          <w:szCs w:val="30"/>
        </w:rPr>
        <w:t>★</w:t>
      </w:r>
      <w:r>
        <w:rPr>
          <w:rFonts w:hint="eastAsia"/>
          <w:b/>
          <w:bCs/>
          <w:color w:val="000000" w:themeColor="text1"/>
          <w:sz w:val="28"/>
          <w:szCs w:val="36"/>
          <w14:textFill>
            <w14:solidFill>
              <w14:schemeClr w14:val="tx1"/>
            </w14:solidFill>
          </w14:textFill>
        </w:rPr>
        <w:t>5标段投标函（附录）</w:t>
      </w:r>
      <w:bookmarkEnd w:id="302"/>
      <w:bookmarkEnd w:id="303"/>
      <w:bookmarkEnd w:id="304"/>
    </w:p>
    <w:p w14:paraId="7EA926E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标段名称：</w:t>
      </w:r>
    </w:p>
    <w:p w14:paraId="3A474FC1">
      <w:pPr>
        <w:pStyle w:val="23"/>
        <w:rPr>
          <w:rFonts w:hint="eastAsia" w:cs="宋体"/>
          <w:color w:val="000000" w:themeColor="text1"/>
          <w:szCs w:val="21"/>
          <w:u w:val="single"/>
          <w14:textFill>
            <w14:solidFill>
              <w14:schemeClr w14:val="tx1"/>
            </w14:solidFill>
          </w14:textFill>
        </w:rPr>
      </w:pPr>
      <w:r>
        <w:rPr>
          <w:rFonts w:hint="eastAsia" w:cs="宋体"/>
          <w:b/>
          <w:color w:val="000000" w:themeColor="text1"/>
          <w:szCs w:val="21"/>
          <w14:textFill>
            <w14:solidFill>
              <w14:schemeClr w14:val="tx1"/>
            </w14:solidFill>
          </w14:textFill>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41"/>
        <w:gridCol w:w="3128"/>
        <w:gridCol w:w="5593"/>
      </w:tblGrid>
      <w:tr w14:paraId="2178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Align w:val="center"/>
          </w:tcPr>
          <w:p w14:paraId="185B75D3">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标段号</w:t>
            </w:r>
          </w:p>
        </w:tc>
        <w:tc>
          <w:tcPr>
            <w:tcW w:w="1570" w:type="pct"/>
            <w:noWrap/>
            <w:vAlign w:val="center"/>
          </w:tcPr>
          <w:p w14:paraId="5CCB6A1D">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投标人名称</w:t>
            </w:r>
          </w:p>
        </w:tc>
        <w:tc>
          <w:tcPr>
            <w:tcW w:w="2807" w:type="pct"/>
            <w:noWrap/>
            <w:vAlign w:val="center"/>
          </w:tcPr>
          <w:p w14:paraId="02B2D3EC">
            <w:pPr>
              <w:pStyle w:val="23"/>
              <w:jc w:val="center"/>
              <w:rPr>
                <w:rFonts w:hint="eastAsia" w:cs="宋体"/>
                <w:b/>
                <w:color w:val="000000" w:themeColor="text1"/>
                <w:szCs w:val="21"/>
                <w14:textFill>
                  <w14:solidFill>
                    <w14:schemeClr w14:val="tx1"/>
                  </w14:solidFill>
                </w14:textFill>
              </w:rPr>
            </w:pPr>
          </w:p>
        </w:tc>
      </w:tr>
      <w:tr w14:paraId="60C0D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restart"/>
            <w:vAlign w:val="center"/>
          </w:tcPr>
          <w:p w14:paraId="06389B36">
            <w:pPr>
              <w:pStyle w:val="23"/>
              <w:jc w:val="center"/>
              <w:rPr>
                <w:rFonts w:hint="eastAsia"/>
                <w:b/>
                <w:bCs/>
                <w:szCs w:val="21"/>
              </w:rPr>
            </w:pPr>
            <w:r>
              <w:rPr>
                <w:rFonts w:hint="eastAsia"/>
                <w:b/>
                <w:bCs/>
                <w:szCs w:val="21"/>
              </w:rPr>
              <w:t>5标段</w:t>
            </w:r>
          </w:p>
        </w:tc>
        <w:tc>
          <w:tcPr>
            <w:tcW w:w="1570" w:type="pct"/>
            <w:noWrap/>
            <w:vAlign w:val="center"/>
          </w:tcPr>
          <w:p w14:paraId="30BB3039">
            <w:pPr>
              <w:pStyle w:val="23"/>
              <w:jc w:val="center"/>
              <w:rPr>
                <w:rFonts w:hint="eastAsia" w:cs="宋体"/>
                <w:color w:val="000000" w:themeColor="text1"/>
                <w:szCs w:val="21"/>
                <w14:textFill>
                  <w14:solidFill>
                    <w14:schemeClr w14:val="tx1"/>
                  </w14:solidFill>
                </w14:textFill>
              </w:rPr>
            </w:pPr>
            <w:r>
              <w:rPr>
                <w:b/>
                <w:bCs/>
                <w:szCs w:val="21"/>
              </w:rPr>
              <w:t>交货期</w:t>
            </w:r>
          </w:p>
        </w:tc>
        <w:tc>
          <w:tcPr>
            <w:tcW w:w="2807" w:type="pct"/>
            <w:noWrap/>
            <w:vAlign w:val="center"/>
          </w:tcPr>
          <w:p w14:paraId="1835BDD8">
            <w:pPr>
              <w:pStyle w:val="23"/>
              <w:jc w:val="center"/>
              <w:rPr>
                <w:rFonts w:hint="eastAsia" w:cs="宋体"/>
                <w:color w:val="000000" w:themeColor="text1"/>
                <w:szCs w:val="21"/>
                <w14:textFill>
                  <w14:solidFill>
                    <w14:schemeClr w14:val="tx1"/>
                  </w14:solidFill>
                </w14:textFill>
              </w:rPr>
            </w:pPr>
          </w:p>
        </w:tc>
      </w:tr>
      <w:tr w14:paraId="2BEC4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1421D0C3">
            <w:pPr>
              <w:pStyle w:val="23"/>
              <w:jc w:val="center"/>
              <w:rPr>
                <w:rFonts w:hint="eastAsia"/>
                <w:b/>
                <w:bCs/>
                <w:szCs w:val="21"/>
              </w:rPr>
            </w:pPr>
          </w:p>
        </w:tc>
        <w:tc>
          <w:tcPr>
            <w:tcW w:w="1570" w:type="pct"/>
            <w:noWrap/>
            <w:vAlign w:val="center"/>
          </w:tcPr>
          <w:p w14:paraId="612075EC">
            <w:pPr>
              <w:pStyle w:val="23"/>
              <w:jc w:val="center"/>
              <w:rPr>
                <w:rFonts w:hint="eastAsia" w:cs="宋体"/>
                <w:color w:val="000000" w:themeColor="text1"/>
                <w:szCs w:val="21"/>
                <w14:textFill>
                  <w14:solidFill>
                    <w14:schemeClr w14:val="tx1"/>
                  </w14:solidFill>
                </w14:textFill>
              </w:rPr>
            </w:pPr>
            <w:r>
              <w:rPr>
                <w:b/>
                <w:bCs/>
                <w:szCs w:val="21"/>
              </w:rPr>
              <w:t>交货地点</w:t>
            </w:r>
          </w:p>
        </w:tc>
        <w:tc>
          <w:tcPr>
            <w:tcW w:w="2807" w:type="pct"/>
            <w:noWrap/>
            <w:vAlign w:val="center"/>
          </w:tcPr>
          <w:p w14:paraId="3558D4E6">
            <w:pPr>
              <w:pStyle w:val="23"/>
              <w:jc w:val="center"/>
              <w:rPr>
                <w:rFonts w:hint="eastAsia" w:cs="宋体"/>
                <w:color w:val="000000" w:themeColor="text1"/>
                <w:szCs w:val="21"/>
                <w14:textFill>
                  <w14:solidFill>
                    <w14:schemeClr w14:val="tx1"/>
                  </w14:solidFill>
                </w14:textFill>
              </w:rPr>
            </w:pPr>
          </w:p>
        </w:tc>
      </w:tr>
      <w:tr w14:paraId="4D642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3E019827">
            <w:pPr>
              <w:pStyle w:val="23"/>
              <w:jc w:val="center"/>
              <w:rPr>
                <w:rFonts w:hint="eastAsia"/>
                <w:b/>
                <w:bCs/>
              </w:rPr>
            </w:pPr>
          </w:p>
        </w:tc>
        <w:tc>
          <w:tcPr>
            <w:tcW w:w="1570" w:type="pct"/>
            <w:noWrap/>
            <w:vAlign w:val="center"/>
          </w:tcPr>
          <w:p w14:paraId="216759F7">
            <w:pPr>
              <w:pStyle w:val="23"/>
              <w:jc w:val="center"/>
              <w:rPr>
                <w:rFonts w:hint="eastAsia" w:cs="宋体"/>
                <w:color w:val="000000" w:themeColor="text1"/>
                <w:szCs w:val="21"/>
                <w14:textFill>
                  <w14:solidFill>
                    <w14:schemeClr w14:val="tx1"/>
                  </w14:solidFill>
                </w14:textFill>
              </w:rPr>
            </w:pPr>
            <w:r>
              <w:rPr>
                <w:b/>
                <w:bCs/>
              </w:rPr>
              <w:t>交货方式</w:t>
            </w:r>
          </w:p>
        </w:tc>
        <w:tc>
          <w:tcPr>
            <w:tcW w:w="2807" w:type="pct"/>
            <w:noWrap/>
            <w:vAlign w:val="center"/>
          </w:tcPr>
          <w:p w14:paraId="14F31B1F">
            <w:pPr>
              <w:pStyle w:val="23"/>
              <w:jc w:val="center"/>
              <w:rPr>
                <w:rFonts w:hint="eastAsia" w:cs="宋体"/>
                <w:color w:val="000000" w:themeColor="text1"/>
                <w:szCs w:val="21"/>
                <w14:textFill>
                  <w14:solidFill>
                    <w14:schemeClr w14:val="tx1"/>
                  </w14:solidFill>
                </w14:textFill>
              </w:rPr>
            </w:pPr>
          </w:p>
        </w:tc>
      </w:tr>
      <w:tr w14:paraId="44D2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45FFCA36">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15F393BB">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质量要求</w:t>
            </w:r>
          </w:p>
        </w:tc>
        <w:tc>
          <w:tcPr>
            <w:tcW w:w="2807" w:type="pct"/>
            <w:noWrap/>
            <w:vAlign w:val="center"/>
          </w:tcPr>
          <w:p w14:paraId="3C7738FD">
            <w:pPr>
              <w:pStyle w:val="23"/>
              <w:jc w:val="center"/>
              <w:rPr>
                <w:rFonts w:hint="eastAsia" w:cs="宋体"/>
                <w:color w:val="000000" w:themeColor="text1"/>
                <w:szCs w:val="21"/>
                <w14:textFill>
                  <w14:solidFill>
                    <w14:schemeClr w14:val="tx1"/>
                  </w14:solidFill>
                </w14:textFill>
              </w:rPr>
            </w:pPr>
          </w:p>
        </w:tc>
      </w:tr>
      <w:tr w14:paraId="0353F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66BB4DF8">
            <w:pPr>
              <w:pStyle w:val="23"/>
              <w:jc w:val="center"/>
              <w:rPr>
                <w:rFonts w:hint="eastAsia"/>
                <w:b/>
                <w:bCs/>
                <w:color w:val="000000"/>
                <w:szCs w:val="21"/>
              </w:rPr>
            </w:pPr>
          </w:p>
        </w:tc>
        <w:tc>
          <w:tcPr>
            <w:tcW w:w="1570" w:type="pct"/>
            <w:noWrap/>
            <w:vAlign w:val="center"/>
          </w:tcPr>
          <w:p w14:paraId="47D93074">
            <w:pPr>
              <w:pStyle w:val="23"/>
              <w:jc w:val="center"/>
              <w:rPr>
                <w:rFonts w:hint="eastAsia" w:cs="宋体"/>
                <w:b/>
                <w:color w:val="000000" w:themeColor="text1"/>
                <w:szCs w:val="21"/>
                <w14:textFill>
                  <w14:solidFill>
                    <w14:schemeClr w14:val="tx1"/>
                  </w14:solidFill>
                </w14:textFill>
              </w:rPr>
            </w:pPr>
            <w:r>
              <w:rPr>
                <w:rFonts w:hint="eastAsia"/>
                <w:b/>
                <w:bCs/>
                <w:color w:val="000000"/>
                <w:szCs w:val="21"/>
              </w:rPr>
              <w:t>质保期</w:t>
            </w:r>
          </w:p>
        </w:tc>
        <w:tc>
          <w:tcPr>
            <w:tcW w:w="2807" w:type="pct"/>
            <w:noWrap/>
            <w:vAlign w:val="center"/>
          </w:tcPr>
          <w:p w14:paraId="7224A828">
            <w:pPr>
              <w:pStyle w:val="23"/>
              <w:jc w:val="center"/>
              <w:rPr>
                <w:rFonts w:hint="eastAsia" w:cs="宋体"/>
                <w:color w:val="000000" w:themeColor="text1"/>
                <w:szCs w:val="21"/>
                <w14:textFill>
                  <w14:solidFill>
                    <w14:schemeClr w14:val="tx1"/>
                  </w14:solidFill>
                </w14:textFill>
              </w:rPr>
            </w:pPr>
          </w:p>
        </w:tc>
      </w:tr>
      <w:tr w14:paraId="32924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7A61510B">
            <w:pPr>
              <w:pStyle w:val="23"/>
              <w:jc w:val="center"/>
              <w:rPr>
                <w:rFonts w:hint="eastAsia" w:cs="宋体"/>
                <w:b/>
                <w:szCs w:val="21"/>
              </w:rPr>
            </w:pPr>
          </w:p>
        </w:tc>
        <w:tc>
          <w:tcPr>
            <w:tcW w:w="1570" w:type="pct"/>
            <w:noWrap/>
            <w:vAlign w:val="center"/>
          </w:tcPr>
          <w:p w14:paraId="46D5CB99">
            <w:pPr>
              <w:pStyle w:val="23"/>
              <w:jc w:val="center"/>
              <w:rPr>
                <w:rFonts w:hint="eastAsia" w:cs="宋体"/>
                <w:b/>
                <w:color w:val="000000" w:themeColor="text1"/>
                <w:szCs w:val="21"/>
                <w14:textFill>
                  <w14:solidFill>
                    <w14:schemeClr w14:val="tx1"/>
                  </w14:solidFill>
                </w14:textFill>
              </w:rPr>
            </w:pPr>
            <w:r>
              <w:rPr>
                <w:rFonts w:hint="eastAsia" w:cs="宋体"/>
                <w:b/>
                <w:szCs w:val="21"/>
              </w:rPr>
              <w:t>投标保证金递交形式</w:t>
            </w:r>
          </w:p>
        </w:tc>
        <w:tc>
          <w:tcPr>
            <w:tcW w:w="2807" w:type="pct"/>
            <w:noWrap/>
            <w:vAlign w:val="center"/>
          </w:tcPr>
          <w:p w14:paraId="12F0950A">
            <w:pPr>
              <w:pStyle w:val="23"/>
              <w:jc w:val="center"/>
              <w:rPr>
                <w:rFonts w:hint="eastAsia" w:cs="宋体"/>
                <w:color w:val="000000" w:themeColor="text1"/>
                <w:szCs w:val="21"/>
                <w14:textFill>
                  <w14:solidFill>
                    <w14:schemeClr w14:val="tx1"/>
                  </w14:solidFill>
                </w14:textFill>
              </w:rPr>
            </w:pPr>
          </w:p>
        </w:tc>
      </w:tr>
      <w:tr w14:paraId="014F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5BD93560">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3194F4A6">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备注</w:t>
            </w:r>
          </w:p>
        </w:tc>
        <w:tc>
          <w:tcPr>
            <w:tcW w:w="2807" w:type="pct"/>
            <w:noWrap/>
            <w:vAlign w:val="center"/>
          </w:tcPr>
          <w:p w14:paraId="3A7A4FAF">
            <w:pPr>
              <w:pStyle w:val="23"/>
              <w:jc w:val="center"/>
              <w:rPr>
                <w:rFonts w:hint="eastAsia" w:cs="宋体"/>
                <w:color w:val="000000" w:themeColor="text1"/>
                <w:szCs w:val="21"/>
                <w14:textFill>
                  <w14:solidFill>
                    <w14:schemeClr w14:val="tx1"/>
                  </w14:solidFill>
                </w14:textFill>
              </w:rPr>
            </w:pPr>
          </w:p>
        </w:tc>
      </w:tr>
    </w:tbl>
    <w:p w14:paraId="6AEEF406">
      <w:pPr>
        <w:ind w:firstLine="2" w:firstLineChars="1"/>
        <w:rPr>
          <w:rFonts w:hint="eastAsia" w:cs="宋体"/>
          <w:color w:val="000000" w:themeColor="text1"/>
          <w:szCs w:val="21"/>
          <w14:textFill>
            <w14:solidFill>
              <w14:schemeClr w14:val="tx1"/>
            </w14:solidFill>
          </w14:textFill>
        </w:rPr>
      </w:pPr>
    </w:p>
    <w:p w14:paraId="6C14833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9F9BB4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C936459">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D7D68F9">
      <w:pPr>
        <w:pStyle w:val="23"/>
        <w:ind w:firstLine="803"/>
        <w:rPr>
          <w:rFonts w:hint="eastAsia" w:cs="宋体"/>
          <w:b/>
          <w:color w:val="000000" w:themeColor="text1"/>
          <w:szCs w:val="21"/>
          <w14:textFill>
            <w14:solidFill>
              <w14:schemeClr w14:val="tx1"/>
            </w14:solidFill>
          </w14:textFill>
        </w:rPr>
      </w:pPr>
    </w:p>
    <w:p w14:paraId="3F30EC9A">
      <w:pPr>
        <w:widowControl/>
        <w:spacing w:line="240" w:lineRule="auto"/>
        <w:jc w:val="left"/>
        <w:rPr>
          <w:rFonts w:hint="eastAsia"/>
          <w:b/>
          <w:spacing w:val="-8"/>
          <w:szCs w:val="20"/>
        </w:rPr>
      </w:pPr>
      <w:r>
        <w:rPr>
          <w:rFonts w:hint="eastAsia"/>
        </w:rPr>
        <w:br w:type="page"/>
      </w:r>
    </w:p>
    <w:p w14:paraId="52F1A91C">
      <w:pPr>
        <w:pStyle w:val="2"/>
        <w:rPr>
          <w:rFonts w:hint="eastAsia" w:ascii="宋体" w:hAnsi="宋体"/>
        </w:rPr>
        <w:sectPr>
          <w:headerReference r:id="rId9" w:type="first"/>
          <w:pgSz w:w="11906" w:h="16838"/>
          <w:pgMar w:top="1440" w:right="1080" w:bottom="1440" w:left="1080" w:header="680" w:footer="680" w:gutter="0"/>
          <w:pgNumType w:start="1"/>
          <w:cols w:space="720" w:num="1"/>
          <w:docGrid w:type="linesAndChars" w:linePitch="331" w:charSpace="0"/>
        </w:sectPr>
      </w:pPr>
    </w:p>
    <w:p w14:paraId="1BF176DC">
      <w:pPr>
        <w:jc w:val="center"/>
        <w:outlineLvl w:val="2"/>
        <w:rPr>
          <w:rFonts w:hint="eastAsia"/>
          <w:b/>
          <w:bCs/>
          <w:sz w:val="28"/>
          <w:szCs w:val="36"/>
        </w:rPr>
      </w:pPr>
      <w:bookmarkStart w:id="305" w:name="_Toc139357080"/>
      <w:bookmarkStart w:id="306" w:name="_Toc170120955"/>
      <w:bookmarkStart w:id="307" w:name="_Toc166067782"/>
      <w:bookmarkStart w:id="308" w:name="_Toc216368783"/>
      <w:bookmarkStart w:id="309" w:name="_Toc216724756"/>
      <w:bookmarkStart w:id="310" w:name="_Toc3117"/>
      <w:r>
        <w:rPr>
          <w:rFonts w:hint="eastAsia"/>
          <w:b/>
          <w:bCs/>
          <w:sz w:val="28"/>
          <w:szCs w:val="36"/>
        </w:rPr>
        <w:t>（二）</w:t>
      </w:r>
      <w:r>
        <w:rPr>
          <w:b/>
          <w:bCs/>
          <w:sz w:val="28"/>
          <w:szCs w:val="36"/>
        </w:rPr>
        <w:t>★</w:t>
      </w:r>
      <w:r>
        <w:rPr>
          <w:rFonts w:hint="eastAsia"/>
          <w:b/>
          <w:bCs/>
          <w:sz w:val="28"/>
          <w:szCs w:val="36"/>
        </w:rPr>
        <w:t>5标段</w:t>
      </w:r>
      <w:r>
        <w:rPr>
          <w:b/>
          <w:bCs/>
          <w:sz w:val="28"/>
          <w:szCs w:val="36"/>
        </w:rPr>
        <w:t>投标报价汇总表</w:t>
      </w:r>
      <w:bookmarkEnd w:id="305"/>
      <w:bookmarkEnd w:id="306"/>
      <w:bookmarkEnd w:id="307"/>
      <w:bookmarkEnd w:id="308"/>
      <w:bookmarkEnd w:id="309"/>
      <w:bookmarkEnd w:id="310"/>
    </w:p>
    <w:p w14:paraId="196987AD">
      <w:pPr>
        <w:rPr>
          <w:rFonts w:hint="eastAsia"/>
          <w:b/>
          <w:szCs w:val="21"/>
        </w:rPr>
      </w:pPr>
      <w:r>
        <w:rPr>
          <w:b/>
          <w:szCs w:val="21"/>
        </w:rPr>
        <w:t>标段名称：</w:t>
      </w:r>
    </w:p>
    <w:p w14:paraId="0086C2B5">
      <w:pPr>
        <w:rPr>
          <w:rFonts w:hint="eastAsia"/>
          <w:szCs w:val="21"/>
        </w:rPr>
      </w:pPr>
      <w:r>
        <w:rPr>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03"/>
        <w:gridCol w:w="558"/>
        <w:gridCol w:w="1715"/>
        <w:gridCol w:w="1015"/>
        <w:gridCol w:w="1015"/>
        <w:gridCol w:w="611"/>
        <w:gridCol w:w="869"/>
        <w:gridCol w:w="2472"/>
        <w:gridCol w:w="1270"/>
        <w:gridCol w:w="718"/>
        <w:gridCol w:w="675"/>
        <w:gridCol w:w="689"/>
        <w:gridCol w:w="1300"/>
        <w:gridCol w:w="404"/>
      </w:tblGrid>
      <w:tr w14:paraId="7C3E1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blHeader/>
        </w:trPr>
        <w:tc>
          <w:tcPr>
            <w:tcW w:w="251" w:type="pct"/>
            <w:vAlign w:val="center"/>
          </w:tcPr>
          <w:p w14:paraId="4CE83879">
            <w:pPr>
              <w:widowControl/>
              <w:spacing w:line="276" w:lineRule="auto"/>
              <w:jc w:val="center"/>
              <w:rPr>
                <w:rFonts w:hint="eastAsia"/>
                <w:b/>
                <w:bCs/>
                <w:szCs w:val="21"/>
              </w:rPr>
            </w:pPr>
            <w:r>
              <w:rPr>
                <w:rFonts w:hint="eastAsia"/>
                <w:b/>
                <w:bCs/>
                <w:szCs w:val="21"/>
              </w:rPr>
              <w:t>标段号</w:t>
            </w:r>
          </w:p>
        </w:tc>
        <w:tc>
          <w:tcPr>
            <w:tcW w:w="199" w:type="pct"/>
            <w:vAlign w:val="center"/>
          </w:tcPr>
          <w:p w14:paraId="14BD57F3">
            <w:pPr>
              <w:widowControl/>
              <w:spacing w:line="276" w:lineRule="auto"/>
              <w:jc w:val="center"/>
              <w:rPr>
                <w:rFonts w:hint="eastAsia"/>
                <w:b/>
                <w:bCs/>
                <w:szCs w:val="21"/>
              </w:rPr>
            </w:pPr>
            <w:r>
              <w:rPr>
                <w:rFonts w:hint="eastAsia"/>
                <w:b/>
                <w:bCs/>
                <w:szCs w:val="21"/>
              </w:rPr>
              <w:t>序号</w:t>
            </w:r>
          </w:p>
        </w:tc>
        <w:tc>
          <w:tcPr>
            <w:tcW w:w="612" w:type="pct"/>
            <w:vAlign w:val="center"/>
          </w:tcPr>
          <w:p w14:paraId="7B67CEEC">
            <w:pPr>
              <w:spacing w:line="276" w:lineRule="auto"/>
              <w:jc w:val="center"/>
              <w:rPr>
                <w:rFonts w:hint="eastAsia"/>
                <w:b/>
                <w:color w:val="000000"/>
                <w:szCs w:val="21"/>
              </w:rPr>
            </w:pPr>
            <w:r>
              <w:rPr>
                <w:rFonts w:hint="eastAsia"/>
                <w:b/>
                <w:bCs/>
                <w:szCs w:val="21"/>
              </w:rPr>
              <w:t>设备（货物）</w:t>
            </w:r>
            <w:r>
              <w:rPr>
                <w:b/>
                <w:bCs/>
                <w:szCs w:val="21"/>
              </w:rPr>
              <w:t>名称</w:t>
            </w:r>
          </w:p>
        </w:tc>
        <w:tc>
          <w:tcPr>
            <w:tcW w:w="362" w:type="pct"/>
            <w:vAlign w:val="center"/>
          </w:tcPr>
          <w:p w14:paraId="7E6EF651">
            <w:pPr>
              <w:widowControl/>
              <w:spacing w:line="276" w:lineRule="auto"/>
              <w:jc w:val="center"/>
              <w:rPr>
                <w:rFonts w:hint="eastAsia"/>
                <w:b/>
                <w:color w:val="000000"/>
                <w:szCs w:val="21"/>
              </w:rPr>
            </w:pPr>
            <w:r>
              <w:rPr>
                <w:rFonts w:hint="eastAsia"/>
                <w:b/>
                <w:color w:val="000000"/>
                <w:szCs w:val="21"/>
              </w:rPr>
              <w:t>医疗器械注册证号</w:t>
            </w:r>
          </w:p>
        </w:tc>
        <w:tc>
          <w:tcPr>
            <w:tcW w:w="362" w:type="pct"/>
            <w:vAlign w:val="center"/>
          </w:tcPr>
          <w:p w14:paraId="2D1236F3">
            <w:pPr>
              <w:widowControl/>
              <w:spacing w:line="276" w:lineRule="auto"/>
              <w:jc w:val="center"/>
              <w:rPr>
                <w:rFonts w:hint="eastAsia"/>
                <w:b/>
                <w:bCs/>
                <w:szCs w:val="21"/>
              </w:rPr>
            </w:pPr>
            <w:r>
              <w:rPr>
                <w:rFonts w:hint="eastAsia"/>
                <w:b/>
                <w:color w:val="000000"/>
                <w:szCs w:val="21"/>
              </w:rPr>
              <w:t>制造商名称</w:t>
            </w:r>
          </w:p>
        </w:tc>
        <w:tc>
          <w:tcPr>
            <w:tcW w:w="218" w:type="pct"/>
            <w:vAlign w:val="center"/>
          </w:tcPr>
          <w:p w14:paraId="2ED2D9CD">
            <w:pPr>
              <w:widowControl/>
              <w:spacing w:line="276" w:lineRule="auto"/>
              <w:jc w:val="center"/>
              <w:rPr>
                <w:rFonts w:hint="eastAsia"/>
                <w:b/>
                <w:bCs/>
                <w:szCs w:val="21"/>
              </w:rPr>
            </w:pPr>
            <w:r>
              <w:rPr>
                <w:rFonts w:hint="eastAsia"/>
                <w:b/>
                <w:color w:val="000000"/>
                <w:szCs w:val="21"/>
              </w:rPr>
              <w:t>品牌</w:t>
            </w:r>
          </w:p>
        </w:tc>
        <w:tc>
          <w:tcPr>
            <w:tcW w:w="310" w:type="pct"/>
            <w:vAlign w:val="center"/>
          </w:tcPr>
          <w:p w14:paraId="3DFBA8BF">
            <w:pPr>
              <w:widowControl/>
              <w:spacing w:line="276" w:lineRule="auto"/>
              <w:jc w:val="center"/>
              <w:rPr>
                <w:rFonts w:hint="eastAsia"/>
                <w:b/>
                <w:color w:val="000000"/>
                <w:szCs w:val="21"/>
              </w:rPr>
            </w:pPr>
            <w:r>
              <w:rPr>
                <w:rFonts w:hint="eastAsia"/>
                <w:b/>
                <w:color w:val="000000"/>
                <w:szCs w:val="21"/>
              </w:rPr>
              <w:t>型号和规格</w:t>
            </w:r>
          </w:p>
        </w:tc>
        <w:tc>
          <w:tcPr>
            <w:tcW w:w="882" w:type="pct"/>
            <w:vAlign w:val="center"/>
          </w:tcPr>
          <w:p w14:paraId="69FA58EC">
            <w:pPr>
              <w:widowControl/>
              <w:spacing w:line="276" w:lineRule="auto"/>
              <w:rPr>
                <w:rFonts w:hint="eastAsia"/>
                <w:b/>
                <w:bCs/>
                <w:szCs w:val="21"/>
              </w:rPr>
            </w:pPr>
            <w:r>
              <w:rPr>
                <w:rFonts w:hint="eastAsia"/>
                <w:b/>
                <w:color w:val="000000"/>
                <w:szCs w:val="21"/>
              </w:rPr>
              <w:t>制造商规模类型（小型企业、中型企业、大型企业）</w:t>
            </w:r>
          </w:p>
        </w:tc>
        <w:tc>
          <w:tcPr>
            <w:tcW w:w="453" w:type="pct"/>
            <w:vAlign w:val="center"/>
          </w:tcPr>
          <w:p w14:paraId="59964FAE">
            <w:pPr>
              <w:widowControl/>
              <w:spacing w:line="276" w:lineRule="auto"/>
              <w:jc w:val="center"/>
              <w:rPr>
                <w:rFonts w:hint="eastAsia"/>
                <w:b/>
                <w:bCs/>
                <w:szCs w:val="21"/>
              </w:rPr>
            </w:pPr>
            <w:r>
              <w:rPr>
                <w:rFonts w:hint="eastAsia"/>
                <w:b/>
                <w:bCs/>
                <w:szCs w:val="21"/>
              </w:rPr>
              <w:t>制造商授权</w:t>
            </w:r>
          </w:p>
        </w:tc>
        <w:tc>
          <w:tcPr>
            <w:tcW w:w="256" w:type="pct"/>
            <w:vAlign w:val="center"/>
          </w:tcPr>
          <w:p w14:paraId="19BA2C1C">
            <w:pPr>
              <w:widowControl/>
              <w:spacing w:line="276" w:lineRule="auto"/>
              <w:jc w:val="center"/>
              <w:rPr>
                <w:rFonts w:hint="eastAsia"/>
                <w:b/>
                <w:bCs/>
                <w:szCs w:val="21"/>
              </w:rPr>
            </w:pPr>
            <w:r>
              <w:rPr>
                <w:rFonts w:hint="eastAsia"/>
                <w:b/>
                <w:color w:val="000000"/>
                <w:szCs w:val="21"/>
              </w:rPr>
              <w:t>数量</w:t>
            </w:r>
          </w:p>
        </w:tc>
        <w:tc>
          <w:tcPr>
            <w:tcW w:w="241" w:type="pct"/>
            <w:vAlign w:val="center"/>
          </w:tcPr>
          <w:p w14:paraId="110C2989">
            <w:pPr>
              <w:widowControl/>
              <w:spacing w:line="276" w:lineRule="auto"/>
              <w:jc w:val="center"/>
              <w:rPr>
                <w:rFonts w:hint="eastAsia"/>
                <w:b/>
                <w:color w:val="000000"/>
                <w:szCs w:val="21"/>
              </w:rPr>
            </w:pPr>
            <w:r>
              <w:rPr>
                <w:rFonts w:hint="eastAsia"/>
                <w:b/>
                <w:color w:val="000000"/>
                <w:szCs w:val="21"/>
              </w:rPr>
              <w:t>单位</w:t>
            </w:r>
          </w:p>
        </w:tc>
        <w:tc>
          <w:tcPr>
            <w:tcW w:w="246" w:type="pct"/>
            <w:vAlign w:val="center"/>
          </w:tcPr>
          <w:p w14:paraId="744DB46D">
            <w:pPr>
              <w:widowControl/>
              <w:spacing w:line="276" w:lineRule="auto"/>
              <w:jc w:val="center"/>
              <w:rPr>
                <w:rFonts w:hint="eastAsia"/>
                <w:b/>
                <w:color w:val="000000"/>
                <w:szCs w:val="21"/>
              </w:rPr>
            </w:pPr>
            <w:r>
              <w:rPr>
                <w:rFonts w:hint="eastAsia"/>
                <w:b/>
                <w:color w:val="000000"/>
                <w:szCs w:val="21"/>
              </w:rPr>
              <w:t>单价</w:t>
            </w:r>
          </w:p>
          <w:p w14:paraId="163AE15A">
            <w:pPr>
              <w:widowControl/>
              <w:spacing w:line="276" w:lineRule="auto"/>
              <w:jc w:val="center"/>
              <w:rPr>
                <w:rFonts w:hint="eastAsia"/>
                <w:b/>
                <w:bCs/>
                <w:szCs w:val="21"/>
              </w:rPr>
            </w:pPr>
            <w:r>
              <w:rPr>
                <w:rFonts w:hint="eastAsia"/>
                <w:b/>
                <w:color w:val="000000"/>
                <w:szCs w:val="21"/>
              </w:rPr>
              <w:t>（元）</w:t>
            </w:r>
          </w:p>
        </w:tc>
        <w:tc>
          <w:tcPr>
            <w:tcW w:w="464" w:type="pct"/>
            <w:vAlign w:val="center"/>
          </w:tcPr>
          <w:p w14:paraId="6BE3EF7E">
            <w:pPr>
              <w:widowControl/>
              <w:spacing w:line="276" w:lineRule="auto"/>
              <w:jc w:val="center"/>
              <w:rPr>
                <w:rFonts w:hint="eastAsia"/>
                <w:b/>
                <w:bCs/>
                <w:szCs w:val="21"/>
              </w:rPr>
            </w:pPr>
            <w:r>
              <w:rPr>
                <w:rFonts w:hint="eastAsia"/>
                <w:b/>
                <w:color w:val="000000"/>
                <w:szCs w:val="21"/>
              </w:rPr>
              <w:t>合价（元）=数量*单价</w:t>
            </w:r>
          </w:p>
        </w:tc>
        <w:tc>
          <w:tcPr>
            <w:tcW w:w="144" w:type="pct"/>
            <w:vAlign w:val="center"/>
          </w:tcPr>
          <w:p w14:paraId="22679EA6">
            <w:pPr>
              <w:widowControl/>
              <w:spacing w:line="276" w:lineRule="auto"/>
              <w:jc w:val="center"/>
              <w:rPr>
                <w:rFonts w:hint="eastAsia"/>
                <w:b/>
                <w:bCs/>
                <w:szCs w:val="21"/>
              </w:rPr>
            </w:pPr>
            <w:r>
              <w:rPr>
                <w:b/>
                <w:bCs/>
                <w:szCs w:val="21"/>
              </w:rPr>
              <w:t>备注</w:t>
            </w:r>
          </w:p>
        </w:tc>
      </w:tr>
      <w:tr w14:paraId="6FEE1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restart"/>
            <w:vAlign w:val="center"/>
          </w:tcPr>
          <w:p w14:paraId="746FD39D">
            <w:pPr>
              <w:widowControl/>
              <w:spacing w:line="276" w:lineRule="auto"/>
              <w:jc w:val="center"/>
              <w:rPr>
                <w:rFonts w:hint="eastAsia"/>
                <w:b/>
                <w:bCs/>
                <w:szCs w:val="21"/>
              </w:rPr>
            </w:pPr>
            <w:r>
              <w:rPr>
                <w:rFonts w:hint="eastAsia"/>
                <w:b/>
                <w:bCs/>
                <w:szCs w:val="21"/>
              </w:rPr>
              <w:t>5标段</w:t>
            </w:r>
          </w:p>
        </w:tc>
        <w:tc>
          <w:tcPr>
            <w:tcW w:w="199" w:type="pct"/>
            <w:vAlign w:val="center"/>
          </w:tcPr>
          <w:p w14:paraId="70468E08">
            <w:pPr>
              <w:pStyle w:val="165"/>
              <w:spacing w:line="276" w:lineRule="auto"/>
              <w:ind w:firstLine="0" w:firstLineChars="0"/>
              <w:jc w:val="center"/>
              <w:rPr>
                <w:rFonts w:hint="eastAsia"/>
                <w:b/>
                <w:bCs/>
              </w:rPr>
            </w:pPr>
            <w:r>
              <w:rPr>
                <w:rFonts w:hint="eastAsia"/>
                <w:b/>
                <w:bCs/>
              </w:rPr>
              <w:t>1</w:t>
            </w:r>
          </w:p>
        </w:tc>
        <w:tc>
          <w:tcPr>
            <w:tcW w:w="612" w:type="pct"/>
            <w:vAlign w:val="center"/>
          </w:tcPr>
          <w:p w14:paraId="4C216010">
            <w:pPr>
              <w:spacing w:line="276" w:lineRule="auto"/>
              <w:jc w:val="center"/>
              <w:rPr>
                <w:rFonts w:hint="eastAsia"/>
                <w:szCs w:val="21"/>
              </w:rPr>
            </w:pPr>
          </w:p>
        </w:tc>
        <w:tc>
          <w:tcPr>
            <w:tcW w:w="362" w:type="pct"/>
            <w:vAlign w:val="center"/>
          </w:tcPr>
          <w:p w14:paraId="2D402315">
            <w:pPr>
              <w:widowControl/>
              <w:spacing w:line="276" w:lineRule="auto"/>
              <w:jc w:val="center"/>
              <w:rPr>
                <w:rFonts w:hint="eastAsia"/>
                <w:szCs w:val="21"/>
              </w:rPr>
            </w:pPr>
          </w:p>
        </w:tc>
        <w:tc>
          <w:tcPr>
            <w:tcW w:w="362" w:type="pct"/>
            <w:vAlign w:val="center"/>
          </w:tcPr>
          <w:p w14:paraId="4921411E">
            <w:pPr>
              <w:widowControl/>
              <w:spacing w:line="276" w:lineRule="auto"/>
              <w:jc w:val="center"/>
              <w:rPr>
                <w:rFonts w:hint="eastAsia"/>
                <w:szCs w:val="21"/>
              </w:rPr>
            </w:pPr>
          </w:p>
        </w:tc>
        <w:tc>
          <w:tcPr>
            <w:tcW w:w="218" w:type="pct"/>
            <w:vAlign w:val="center"/>
          </w:tcPr>
          <w:p w14:paraId="1BCBED93">
            <w:pPr>
              <w:widowControl/>
              <w:spacing w:line="276" w:lineRule="auto"/>
              <w:jc w:val="center"/>
              <w:rPr>
                <w:rFonts w:hint="eastAsia"/>
                <w:szCs w:val="21"/>
              </w:rPr>
            </w:pPr>
          </w:p>
        </w:tc>
        <w:tc>
          <w:tcPr>
            <w:tcW w:w="310" w:type="pct"/>
          </w:tcPr>
          <w:p w14:paraId="20F397BF">
            <w:pPr>
              <w:widowControl/>
              <w:spacing w:line="276" w:lineRule="auto"/>
              <w:jc w:val="center"/>
              <w:rPr>
                <w:rFonts w:hint="eastAsia"/>
                <w:szCs w:val="21"/>
              </w:rPr>
            </w:pPr>
          </w:p>
        </w:tc>
        <w:tc>
          <w:tcPr>
            <w:tcW w:w="882" w:type="pct"/>
          </w:tcPr>
          <w:p w14:paraId="7965DEE4">
            <w:pPr>
              <w:widowControl/>
              <w:spacing w:line="276" w:lineRule="auto"/>
              <w:jc w:val="center"/>
              <w:rPr>
                <w:rFonts w:hint="eastAsia"/>
                <w:szCs w:val="21"/>
              </w:rPr>
            </w:pPr>
          </w:p>
        </w:tc>
        <w:tc>
          <w:tcPr>
            <w:tcW w:w="453" w:type="pct"/>
            <w:vAlign w:val="center"/>
          </w:tcPr>
          <w:p w14:paraId="2082D38A">
            <w:pPr>
              <w:widowControl/>
              <w:spacing w:line="276" w:lineRule="auto"/>
              <w:jc w:val="center"/>
              <w:rPr>
                <w:rFonts w:hint="eastAsia"/>
                <w:szCs w:val="21"/>
              </w:rPr>
            </w:pPr>
          </w:p>
        </w:tc>
        <w:tc>
          <w:tcPr>
            <w:tcW w:w="256" w:type="pct"/>
            <w:vAlign w:val="center"/>
          </w:tcPr>
          <w:p w14:paraId="1F5995E4">
            <w:pPr>
              <w:widowControl/>
              <w:spacing w:line="276" w:lineRule="auto"/>
              <w:jc w:val="center"/>
              <w:rPr>
                <w:rFonts w:hint="eastAsia"/>
                <w:szCs w:val="21"/>
              </w:rPr>
            </w:pPr>
          </w:p>
        </w:tc>
        <w:tc>
          <w:tcPr>
            <w:tcW w:w="241" w:type="pct"/>
            <w:vAlign w:val="center"/>
          </w:tcPr>
          <w:p w14:paraId="616AC988">
            <w:pPr>
              <w:widowControl/>
              <w:spacing w:line="276" w:lineRule="auto"/>
              <w:jc w:val="center"/>
              <w:rPr>
                <w:rFonts w:hint="eastAsia"/>
                <w:szCs w:val="21"/>
              </w:rPr>
            </w:pPr>
          </w:p>
        </w:tc>
        <w:tc>
          <w:tcPr>
            <w:tcW w:w="246" w:type="pct"/>
            <w:vAlign w:val="center"/>
          </w:tcPr>
          <w:p w14:paraId="4AD809CB">
            <w:pPr>
              <w:widowControl/>
              <w:spacing w:line="276" w:lineRule="auto"/>
              <w:jc w:val="center"/>
              <w:rPr>
                <w:rFonts w:hint="eastAsia"/>
                <w:szCs w:val="21"/>
              </w:rPr>
            </w:pPr>
          </w:p>
        </w:tc>
        <w:tc>
          <w:tcPr>
            <w:tcW w:w="464" w:type="pct"/>
            <w:vAlign w:val="center"/>
          </w:tcPr>
          <w:p w14:paraId="17994C36">
            <w:pPr>
              <w:widowControl/>
              <w:spacing w:line="276" w:lineRule="auto"/>
              <w:jc w:val="center"/>
              <w:rPr>
                <w:rFonts w:hint="eastAsia"/>
                <w:szCs w:val="21"/>
              </w:rPr>
            </w:pPr>
          </w:p>
        </w:tc>
        <w:tc>
          <w:tcPr>
            <w:tcW w:w="144" w:type="pct"/>
          </w:tcPr>
          <w:p w14:paraId="6F0D6524">
            <w:pPr>
              <w:widowControl/>
              <w:spacing w:line="276" w:lineRule="auto"/>
              <w:jc w:val="center"/>
              <w:rPr>
                <w:rFonts w:hint="eastAsia"/>
                <w:szCs w:val="21"/>
              </w:rPr>
            </w:pPr>
          </w:p>
        </w:tc>
      </w:tr>
      <w:tr w14:paraId="450E6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19BF6C1D">
            <w:pPr>
              <w:widowControl/>
              <w:spacing w:line="276" w:lineRule="auto"/>
              <w:jc w:val="center"/>
              <w:rPr>
                <w:rFonts w:hint="eastAsia"/>
                <w:b/>
                <w:bCs/>
                <w:szCs w:val="21"/>
              </w:rPr>
            </w:pPr>
          </w:p>
        </w:tc>
        <w:tc>
          <w:tcPr>
            <w:tcW w:w="199" w:type="pct"/>
            <w:vAlign w:val="center"/>
          </w:tcPr>
          <w:p w14:paraId="5FA3453D">
            <w:pPr>
              <w:pStyle w:val="165"/>
              <w:spacing w:line="276" w:lineRule="auto"/>
              <w:ind w:firstLine="0" w:firstLineChars="0"/>
              <w:jc w:val="center"/>
              <w:rPr>
                <w:rFonts w:hint="eastAsia"/>
                <w:b/>
                <w:bCs/>
              </w:rPr>
            </w:pPr>
            <w:r>
              <w:rPr>
                <w:rFonts w:hint="eastAsia"/>
                <w:b/>
                <w:bCs/>
              </w:rPr>
              <w:t>2</w:t>
            </w:r>
          </w:p>
        </w:tc>
        <w:tc>
          <w:tcPr>
            <w:tcW w:w="612" w:type="pct"/>
            <w:vAlign w:val="center"/>
          </w:tcPr>
          <w:p w14:paraId="15A4118D">
            <w:pPr>
              <w:spacing w:line="276" w:lineRule="auto"/>
              <w:jc w:val="center"/>
              <w:rPr>
                <w:rFonts w:hint="eastAsia"/>
                <w:szCs w:val="21"/>
              </w:rPr>
            </w:pPr>
          </w:p>
        </w:tc>
        <w:tc>
          <w:tcPr>
            <w:tcW w:w="362" w:type="pct"/>
            <w:vAlign w:val="center"/>
          </w:tcPr>
          <w:p w14:paraId="04D8C984">
            <w:pPr>
              <w:widowControl/>
              <w:spacing w:line="276" w:lineRule="auto"/>
              <w:jc w:val="center"/>
              <w:rPr>
                <w:rFonts w:hint="eastAsia"/>
                <w:szCs w:val="21"/>
              </w:rPr>
            </w:pPr>
          </w:p>
        </w:tc>
        <w:tc>
          <w:tcPr>
            <w:tcW w:w="362" w:type="pct"/>
            <w:vAlign w:val="center"/>
          </w:tcPr>
          <w:p w14:paraId="52420046">
            <w:pPr>
              <w:widowControl/>
              <w:spacing w:line="276" w:lineRule="auto"/>
              <w:jc w:val="center"/>
              <w:rPr>
                <w:rFonts w:hint="eastAsia"/>
                <w:szCs w:val="21"/>
              </w:rPr>
            </w:pPr>
          </w:p>
        </w:tc>
        <w:tc>
          <w:tcPr>
            <w:tcW w:w="218" w:type="pct"/>
            <w:vAlign w:val="center"/>
          </w:tcPr>
          <w:p w14:paraId="49116428">
            <w:pPr>
              <w:widowControl/>
              <w:spacing w:line="276" w:lineRule="auto"/>
              <w:jc w:val="center"/>
              <w:rPr>
                <w:rFonts w:hint="eastAsia"/>
                <w:szCs w:val="21"/>
              </w:rPr>
            </w:pPr>
          </w:p>
        </w:tc>
        <w:tc>
          <w:tcPr>
            <w:tcW w:w="310" w:type="pct"/>
          </w:tcPr>
          <w:p w14:paraId="3B3C2D7F">
            <w:pPr>
              <w:widowControl/>
              <w:spacing w:line="276" w:lineRule="auto"/>
              <w:jc w:val="center"/>
              <w:rPr>
                <w:rFonts w:hint="eastAsia"/>
                <w:szCs w:val="21"/>
              </w:rPr>
            </w:pPr>
          </w:p>
        </w:tc>
        <w:tc>
          <w:tcPr>
            <w:tcW w:w="882" w:type="pct"/>
          </w:tcPr>
          <w:p w14:paraId="0EAA283F">
            <w:pPr>
              <w:widowControl/>
              <w:spacing w:line="276" w:lineRule="auto"/>
              <w:jc w:val="center"/>
              <w:rPr>
                <w:rFonts w:hint="eastAsia"/>
                <w:szCs w:val="21"/>
              </w:rPr>
            </w:pPr>
          </w:p>
        </w:tc>
        <w:tc>
          <w:tcPr>
            <w:tcW w:w="453" w:type="pct"/>
            <w:vAlign w:val="center"/>
          </w:tcPr>
          <w:p w14:paraId="38CA047F">
            <w:pPr>
              <w:widowControl/>
              <w:spacing w:line="276" w:lineRule="auto"/>
              <w:jc w:val="center"/>
              <w:rPr>
                <w:rFonts w:hint="eastAsia"/>
                <w:szCs w:val="21"/>
              </w:rPr>
            </w:pPr>
          </w:p>
        </w:tc>
        <w:tc>
          <w:tcPr>
            <w:tcW w:w="256" w:type="pct"/>
            <w:vAlign w:val="center"/>
          </w:tcPr>
          <w:p w14:paraId="6A36B88C">
            <w:pPr>
              <w:widowControl/>
              <w:spacing w:line="276" w:lineRule="auto"/>
              <w:jc w:val="center"/>
              <w:rPr>
                <w:rFonts w:hint="eastAsia" w:cs="宋体"/>
                <w:b/>
                <w:bCs/>
                <w:color w:val="000000"/>
                <w:kern w:val="0"/>
                <w:szCs w:val="21"/>
              </w:rPr>
            </w:pPr>
          </w:p>
        </w:tc>
        <w:tc>
          <w:tcPr>
            <w:tcW w:w="241" w:type="pct"/>
            <w:vAlign w:val="center"/>
          </w:tcPr>
          <w:p w14:paraId="59C586A7">
            <w:pPr>
              <w:widowControl/>
              <w:spacing w:line="276" w:lineRule="auto"/>
              <w:jc w:val="center"/>
              <w:rPr>
                <w:rFonts w:hint="eastAsia"/>
                <w:szCs w:val="21"/>
              </w:rPr>
            </w:pPr>
          </w:p>
        </w:tc>
        <w:tc>
          <w:tcPr>
            <w:tcW w:w="246" w:type="pct"/>
            <w:vAlign w:val="center"/>
          </w:tcPr>
          <w:p w14:paraId="5052CFD7">
            <w:pPr>
              <w:widowControl/>
              <w:spacing w:line="276" w:lineRule="auto"/>
              <w:jc w:val="center"/>
              <w:rPr>
                <w:rFonts w:hint="eastAsia"/>
                <w:szCs w:val="21"/>
              </w:rPr>
            </w:pPr>
          </w:p>
        </w:tc>
        <w:tc>
          <w:tcPr>
            <w:tcW w:w="464" w:type="pct"/>
            <w:vAlign w:val="center"/>
          </w:tcPr>
          <w:p w14:paraId="13FC440C">
            <w:pPr>
              <w:widowControl/>
              <w:spacing w:line="276" w:lineRule="auto"/>
              <w:jc w:val="center"/>
              <w:rPr>
                <w:rFonts w:hint="eastAsia"/>
                <w:szCs w:val="21"/>
              </w:rPr>
            </w:pPr>
          </w:p>
        </w:tc>
        <w:tc>
          <w:tcPr>
            <w:tcW w:w="144" w:type="pct"/>
          </w:tcPr>
          <w:p w14:paraId="4FCB4B23">
            <w:pPr>
              <w:widowControl/>
              <w:spacing w:line="276" w:lineRule="auto"/>
              <w:jc w:val="center"/>
              <w:rPr>
                <w:rFonts w:hint="eastAsia"/>
                <w:szCs w:val="21"/>
              </w:rPr>
            </w:pPr>
          </w:p>
        </w:tc>
      </w:tr>
      <w:tr w14:paraId="78F46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077C1B4F">
            <w:pPr>
              <w:widowControl/>
              <w:spacing w:line="276" w:lineRule="auto"/>
              <w:jc w:val="center"/>
              <w:rPr>
                <w:rFonts w:hint="eastAsia"/>
                <w:b/>
                <w:bCs/>
                <w:szCs w:val="21"/>
              </w:rPr>
            </w:pPr>
          </w:p>
        </w:tc>
        <w:tc>
          <w:tcPr>
            <w:tcW w:w="199" w:type="pct"/>
            <w:vAlign w:val="center"/>
          </w:tcPr>
          <w:p w14:paraId="3F305BB9">
            <w:pPr>
              <w:pStyle w:val="165"/>
              <w:spacing w:line="276" w:lineRule="auto"/>
              <w:ind w:firstLine="0" w:firstLineChars="0"/>
              <w:jc w:val="center"/>
              <w:rPr>
                <w:rFonts w:hint="eastAsia"/>
                <w:b/>
                <w:bCs/>
              </w:rPr>
            </w:pPr>
            <w:r>
              <w:rPr>
                <w:b/>
                <w:bCs/>
              </w:rPr>
              <w:t>…</w:t>
            </w:r>
          </w:p>
        </w:tc>
        <w:tc>
          <w:tcPr>
            <w:tcW w:w="612" w:type="pct"/>
            <w:vAlign w:val="center"/>
          </w:tcPr>
          <w:p w14:paraId="3D3BA09F">
            <w:pPr>
              <w:spacing w:line="276" w:lineRule="auto"/>
              <w:jc w:val="center"/>
              <w:rPr>
                <w:rFonts w:hint="eastAsia"/>
                <w:szCs w:val="21"/>
              </w:rPr>
            </w:pPr>
          </w:p>
        </w:tc>
        <w:tc>
          <w:tcPr>
            <w:tcW w:w="362" w:type="pct"/>
            <w:vAlign w:val="center"/>
          </w:tcPr>
          <w:p w14:paraId="5FE04161">
            <w:pPr>
              <w:widowControl/>
              <w:spacing w:line="276" w:lineRule="auto"/>
              <w:jc w:val="center"/>
              <w:rPr>
                <w:rFonts w:hint="eastAsia"/>
                <w:szCs w:val="21"/>
              </w:rPr>
            </w:pPr>
          </w:p>
        </w:tc>
        <w:tc>
          <w:tcPr>
            <w:tcW w:w="362" w:type="pct"/>
            <w:vAlign w:val="center"/>
          </w:tcPr>
          <w:p w14:paraId="338DDA7D">
            <w:pPr>
              <w:widowControl/>
              <w:spacing w:line="276" w:lineRule="auto"/>
              <w:jc w:val="center"/>
              <w:rPr>
                <w:rFonts w:hint="eastAsia"/>
                <w:szCs w:val="21"/>
              </w:rPr>
            </w:pPr>
          </w:p>
        </w:tc>
        <w:tc>
          <w:tcPr>
            <w:tcW w:w="218" w:type="pct"/>
            <w:vAlign w:val="center"/>
          </w:tcPr>
          <w:p w14:paraId="6403C85F">
            <w:pPr>
              <w:widowControl/>
              <w:spacing w:line="276" w:lineRule="auto"/>
              <w:jc w:val="center"/>
              <w:rPr>
                <w:rFonts w:hint="eastAsia"/>
                <w:szCs w:val="21"/>
              </w:rPr>
            </w:pPr>
          </w:p>
        </w:tc>
        <w:tc>
          <w:tcPr>
            <w:tcW w:w="310" w:type="pct"/>
          </w:tcPr>
          <w:p w14:paraId="2DEB15F2">
            <w:pPr>
              <w:widowControl/>
              <w:spacing w:line="276" w:lineRule="auto"/>
              <w:jc w:val="center"/>
              <w:rPr>
                <w:rFonts w:hint="eastAsia"/>
                <w:szCs w:val="21"/>
              </w:rPr>
            </w:pPr>
          </w:p>
        </w:tc>
        <w:tc>
          <w:tcPr>
            <w:tcW w:w="882" w:type="pct"/>
          </w:tcPr>
          <w:p w14:paraId="002AD1FC">
            <w:pPr>
              <w:widowControl/>
              <w:spacing w:line="276" w:lineRule="auto"/>
              <w:jc w:val="center"/>
              <w:rPr>
                <w:rFonts w:hint="eastAsia"/>
                <w:szCs w:val="21"/>
              </w:rPr>
            </w:pPr>
          </w:p>
        </w:tc>
        <w:tc>
          <w:tcPr>
            <w:tcW w:w="453" w:type="pct"/>
            <w:vAlign w:val="center"/>
          </w:tcPr>
          <w:p w14:paraId="2922D2E5">
            <w:pPr>
              <w:widowControl/>
              <w:spacing w:line="276" w:lineRule="auto"/>
              <w:jc w:val="center"/>
              <w:rPr>
                <w:rFonts w:hint="eastAsia"/>
                <w:szCs w:val="21"/>
              </w:rPr>
            </w:pPr>
          </w:p>
        </w:tc>
        <w:tc>
          <w:tcPr>
            <w:tcW w:w="256" w:type="pct"/>
            <w:vAlign w:val="center"/>
          </w:tcPr>
          <w:p w14:paraId="28D3B40B">
            <w:pPr>
              <w:widowControl/>
              <w:spacing w:line="276" w:lineRule="auto"/>
              <w:jc w:val="center"/>
              <w:rPr>
                <w:rFonts w:hint="eastAsia"/>
                <w:szCs w:val="21"/>
              </w:rPr>
            </w:pPr>
          </w:p>
        </w:tc>
        <w:tc>
          <w:tcPr>
            <w:tcW w:w="241" w:type="pct"/>
            <w:vAlign w:val="center"/>
          </w:tcPr>
          <w:p w14:paraId="710C4815">
            <w:pPr>
              <w:widowControl/>
              <w:spacing w:line="276" w:lineRule="auto"/>
              <w:jc w:val="center"/>
              <w:rPr>
                <w:rFonts w:hint="eastAsia"/>
                <w:szCs w:val="21"/>
              </w:rPr>
            </w:pPr>
          </w:p>
        </w:tc>
        <w:tc>
          <w:tcPr>
            <w:tcW w:w="246" w:type="pct"/>
            <w:vAlign w:val="center"/>
          </w:tcPr>
          <w:p w14:paraId="5CAEC8EF">
            <w:pPr>
              <w:widowControl/>
              <w:spacing w:line="276" w:lineRule="auto"/>
              <w:jc w:val="center"/>
              <w:rPr>
                <w:rFonts w:hint="eastAsia"/>
                <w:szCs w:val="21"/>
              </w:rPr>
            </w:pPr>
          </w:p>
        </w:tc>
        <w:tc>
          <w:tcPr>
            <w:tcW w:w="464" w:type="pct"/>
            <w:vAlign w:val="center"/>
          </w:tcPr>
          <w:p w14:paraId="385F68D8">
            <w:pPr>
              <w:widowControl/>
              <w:spacing w:line="276" w:lineRule="auto"/>
              <w:jc w:val="center"/>
              <w:rPr>
                <w:rFonts w:hint="eastAsia"/>
                <w:szCs w:val="21"/>
              </w:rPr>
            </w:pPr>
          </w:p>
        </w:tc>
        <w:tc>
          <w:tcPr>
            <w:tcW w:w="144" w:type="pct"/>
          </w:tcPr>
          <w:p w14:paraId="3F45EF26">
            <w:pPr>
              <w:widowControl/>
              <w:spacing w:line="276" w:lineRule="auto"/>
              <w:jc w:val="center"/>
              <w:rPr>
                <w:rFonts w:hint="eastAsia"/>
                <w:szCs w:val="21"/>
              </w:rPr>
            </w:pPr>
          </w:p>
        </w:tc>
      </w:tr>
      <w:tr w14:paraId="1A120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3905" w:type="pct"/>
            <w:gridSpan w:val="10"/>
            <w:vAlign w:val="center"/>
          </w:tcPr>
          <w:p w14:paraId="33C4B897">
            <w:pPr>
              <w:widowControl/>
              <w:spacing w:line="276" w:lineRule="auto"/>
              <w:jc w:val="center"/>
              <w:rPr>
                <w:rFonts w:hint="eastAsia"/>
                <w:szCs w:val="21"/>
              </w:rPr>
            </w:pPr>
            <w:r>
              <w:rPr>
                <w:b/>
                <w:bCs/>
                <w:szCs w:val="21"/>
              </w:rPr>
              <w:t>投标总报价（元）</w:t>
            </w:r>
          </w:p>
        </w:tc>
        <w:tc>
          <w:tcPr>
            <w:tcW w:w="1095" w:type="pct"/>
            <w:gridSpan w:val="4"/>
            <w:vAlign w:val="center"/>
          </w:tcPr>
          <w:p w14:paraId="67C20A4D">
            <w:pPr>
              <w:widowControl/>
              <w:spacing w:line="276" w:lineRule="auto"/>
              <w:jc w:val="center"/>
              <w:rPr>
                <w:rFonts w:hint="eastAsia"/>
                <w:szCs w:val="21"/>
              </w:rPr>
            </w:pPr>
          </w:p>
        </w:tc>
      </w:tr>
    </w:tbl>
    <w:p w14:paraId="44D14DA1">
      <w:pPr>
        <w:spacing w:line="276" w:lineRule="auto"/>
        <w:ind w:firstLine="420" w:firstLineChars="200"/>
        <w:rPr>
          <w:rFonts w:hint="eastAsia" w:cs="宋体"/>
          <w:b/>
          <w:bCs/>
          <w:szCs w:val="21"/>
        </w:rPr>
      </w:pPr>
      <w:r>
        <w:rPr>
          <w:b/>
          <w:bCs/>
          <w:szCs w:val="21"/>
        </w:rPr>
        <w:t>填表说明：</w:t>
      </w:r>
      <w:r>
        <w:rPr>
          <w:rFonts w:hint="eastAsia" w:cs="宋体"/>
          <w:b/>
          <w:bCs/>
          <w:szCs w:val="21"/>
        </w:rPr>
        <w:t>1、“</w:t>
      </w:r>
      <w:r>
        <w:rPr>
          <w:b/>
          <w:bCs/>
          <w:szCs w:val="21"/>
        </w:rPr>
        <w:t>投标总报价</w:t>
      </w:r>
      <w:r>
        <w:rPr>
          <w:rFonts w:hint="eastAsia" w:cs="宋体"/>
          <w:b/>
          <w:bCs/>
          <w:szCs w:val="21"/>
        </w:rPr>
        <w:t>”项价格应与“投标函”中投标总报价一致。</w:t>
      </w:r>
    </w:p>
    <w:p w14:paraId="2A0FEEE3">
      <w:pPr>
        <w:spacing w:line="276" w:lineRule="auto"/>
        <w:ind w:firstLine="420" w:firstLineChars="200"/>
        <w:rPr>
          <w:rFonts w:hint="eastAsia" w:cs="宋体"/>
          <w:b/>
          <w:bCs/>
          <w:szCs w:val="21"/>
        </w:rPr>
      </w:pPr>
      <w:r>
        <w:rPr>
          <w:rFonts w:hint="eastAsia" w:cs="宋体"/>
          <w:b/>
          <w:bCs/>
          <w:szCs w:val="21"/>
        </w:rPr>
        <w:t>2、招标范围中若包含安装调试工作，安装调试费价格已包含在投标报价中。</w:t>
      </w:r>
    </w:p>
    <w:p w14:paraId="3D6BDE1E">
      <w:pPr>
        <w:spacing w:line="276" w:lineRule="auto"/>
        <w:ind w:firstLine="420" w:firstLineChars="200"/>
        <w:rPr>
          <w:rFonts w:hint="eastAsia" w:cs="宋体"/>
          <w:b/>
          <w:bCs/>
          <w:szCs w:val="21"/>
        </w:rPr>
      </w:pPr>
      <w:r>
        <w:rPr>
          <w:rFonts w:hint="eastAsia" w:cs="宋体"/>
          <w:b/>
          <w:bCs/>
          <w:szCs w:val="21"/>
        </w:rPr>
        <w:t>3、质保期内备品备件价格已包含在投标报价中。</w:t>
      </w:r>
    </w:p>
    <w:p w14:paraId="78B93AC3">
      <w:pPr>
        <w:spacing w:line="276" w:lineRule="auto"/>
        <w:ind w:firstLine="420" w:firstLineChars="200"/>
        <w:rPr>
          <w:rFonts w:hint="eastAsia" w:cs="宋体"/>
          <w:b/>
          <w:bCs/>
          <w:szCs w:val="21"/>
        </w:rPr>
      </w:pPr>
      <w:r>
        <w:rPr>
          <w:rFonts w:hint="eastAsia" w:cs="宋体"/>
          <w:b/>
          <w:bCs/>
          <w:szCs w:val="21"/>
        </w:rPr>
        <w:t>4、若产品注册证名称与招标文件中设备名称不一致时，供应商需在此表进行备注。</w:t>
      </w:r>
    </w:p>
    <w:p w14:paraId="3D01E7C2">
      <w:pPr>
        <w:spacing w:line="276" w:lineRule="auto"/>
        <w:ind w:firstLine="420" w:firstLineChars="200"/>
        <w:rPr>
          <w:rFonts w:hint="eastAsia" w:cs="宋体"/>
          <w:b/>
          <w:bCs/>
          <w:color w:val="000000"/>
          <w:kern w:val="0"/>
          <w:szCs w:val="21"/>
        </w:rPr>
      </w:pPr>
      <w:r>
        <w:rPr>
          <w:rFonts w:hint="eastAsia" w:cs="宋体"/>
          <w:b/>
          <w:bCs/>
          <w:color w:val="000000"/>
          <w:kern w:val="0"/>
          <w:szCs w:val="21"/>
        </w:rPr>
        <w:t>5、在“制造商授权”列中填写授权主体的名称。若多级授权的，须填写从制造商到投标人的完整授权路径；招标文件不要求提供制造商授权的，不用填写该列。</w:t>
      </w:r>
    </w:p>
    <w:p w14:paraId="41C8FEF9">
      <w:pPr>
        <w:spacing w:line="276" w:lineRule="auto"/>
        <w:ind w:firstLine="420" w:firstLineChars="200"/>
        <w:rPr>
          <w:rFonts w:hint="eastAsia"/>
          <w:b/>
        </w:rPr>
      </w:pPr>
      <w:r>
        <w:rPr>
          <w:rFonts w:hint="eastAsia" w:cs="宋体"/>
          <w:b/>
          <w:bCs/>
          <w:color w:val="000000"/>
          <w:szCs w:val="21"/>
        </w:rPr>
        <w:t>6、在“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14:paraId="56EA7C49">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AED09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985030D">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CF20BA7">
      <w:pPr>
        <w:rPr>
          <w:rFonts w:hint="eastAsia"/>
        </w:rPr>
        <w:sectPr>
          <w:pgSz w:w="16838" w:h="11906" w:orient="landscape"/>
          <w:pgMar w:top="1080" w:right="1440" w:bottom="1080" w:left="1440" w:header="680" w:footer="680" w:gutter="0"/>
          <w:cols w:space="720" w:num="1"/>
          <w:docGrid w:type="linesAndChars" w:linePitch="331" w:charSpace="0"/>
        </w:sectPr>
      </w:pPr>
    </w:p>
    <w:p w14:paraId="4CB5F649">
      <w:pPr>
        <w:widowControl/>
        <w:spacing w:line="240" w:lineRule="auto"/>
        <w:jc w:val="center"/>
        <w:rPr>
          <w:rFonts w:hint="eastAsia" w:cs="宋体"/>
          <w:b/>
          <w:sz w:val="28"/>
          <w:szCs w:val="28"/>
        </w:rPr>
      </w:pPr>
      <w:bookmarkStart w:id="311" w:name="_Toc170120957"/>
      <w:bookmarkStart w:id="312" w:name="_Toc139357081"/>
      <w:bookmarkStart w:id="313" w:name="_Toc166067784"/>
      <w:r>
        <w:rPr>
          <w:rFonts w:hint="eastAsia" w:cs="宋体"/>
          <w:b/>
          <w:sz w:val="28"/>
          <w:szCs w:val="28"/>
        </w:rPr>
        <w:t>附件：备品备件报价表</w:t>
      </w:r>
    </w:p>
    <w:tbl>
      <w:tblPr>
        <w:tblStyle w:val="4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50"/>
        <w:gridCol w:w="3875"/>
        <w:gridCol w:w="2425"/>
        <w:gridCol w:w="2512"/>
      </w:tblGrid>
      <w:tr w14:paraId="45F13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577" w:type="pct"/>
            <w:vAlign w:val="center"/>
          </w:tcPr>
          <w:p w14:paraId="7BB62894">
            <w:pPr>
              <w:widowControl/>
              <w:spacing w:line="240" w:lineRule="auto"/>
              <w:jc w:val="center"/>
              <w:rPr>
                <w:rFonts w:hint="eastAsia" w:cs="宋体"/>
                <w:b/>
                <w:szCs w:val="21"/>
              </w:rPr>
            </w:pPr>
            <w:r>
              <w:rPr>
                <w:rFonts w:hint="eastAsia" w:cs="宋体"/>
                <w:b/>
                <w:szCs w:val="21"/>
              </w:rPr>
              <w:t>序号</w:t>
            </w:r>
          </w:p>
        </w:tc>
        <w:tc>
          <w:tcPr>
            <w:tcW w:w="1945" w:type="pct"/>
            <w:vAlign w:val="center"/>
          </w:tcPr>
          <w:p w14:paraId="163FC2B5">
            <w:pPr>
              <w:widowControl/>
              <w:spacing w:line="240" w:lineRule="auto"/>
              <w:jc w:val="center"/>
              <w:rPr>
                <w:rFonts w:hint="eastAsia" w:cs="宋体"/>
                <w:b/>
                <w:szCs w:val="21"/>
              </w:rPr>
            </w:pPr>
            <w:r>
              <w:rPr>
                <w:rFonts w:hint="eastAsia" w:cs="宋体"/>
                <w:b/>
                <w:szCs w:val="21"/>
              </w:rPr>
              <w:t>备品备件名称</w:t>
            </w:r>
          </w:p>
        </w:tc>
        <w:tc>
          <w:tcPr>
            <w:tcW w:w="1217" w:type="pct"/>
            <w:vAlign w:val="center"/>
          </w:tcPr>
          <w:p w14:paraId="271D66DB">
            <w:pPr>
              <w:widowControl/>
              <w:spacing w:line="240" w:lineRule="auto"/>
              <w:jc w:val="center"/>
              <w:rPr>
                <w:rFonts w:hint="eastAsia" w:cs="宋体"/>
                <w:b/>
                <w:szCs w:val="21"/>
              </w:rPr>
            </w:pPr>
            <w:r>
              <w:rPr>
                <w:rFonts w:hint="eastAsia" w:cs="宋体"/>
                <w:b/>
                <w:szCs w:val="21"/>
              </w:rPr>
              <w:t>单价（元）</w:t>
            </w:r>
          </w:p>
        </w:tc>
        <w:tc>
          <w:tcPr>
            <w:tcW w:w="1261" w:type="pct"/>
            <w:vAlign w:val="center"/>
          </w:tcPr>
          <w:p w14:paraId="2DFFB5E1">
            <w:pPr>
              <w:widowControl/>
              <w:spacing w:line="240" w:lineRule="auto"/>
              <w:jc w:val="center"/>
              <w:rPr>
                <w:rFonts w:hint="eastAsia" w:cs="宋体"/>
                <w:b/>
                <w:szCs w:val="21"/>
              </w:rPr>
            </w:pPr>
            <w:r>
              <w:rPr>
                <w:rFonts w:hint="eastAsia" w:cs="宋体"/>
                <w:b/>
                <w:szCs w:val="21"/>
              </w:rPr>
              <w:t>备注</w:t>
            </w:r>
          </w:p>
        </w:tc>
      </w:tr>
      <w:tr w14:paraId="719DC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1A9FB19">
            <w:pPr>
              <w:widowControl/>
              <w:spacing w:line="240" w:lineRule="auto"/>
              <w:jc w:val="center"/>
              <w:rPr>
                <w:rFonts w:hint="eastAsia" w:cs="宋体"/>
                <w:b/>
                <w:szCs w:val="21"/>
              </w:rPr>
            </w:pPr>
            <w:r>
              <w:rPr>
                <w:rFonts w:hint="eastAsia" w:cs="宋体"/>
                <w:b/>
                <w:szCs w:val="21"/>
              </w:rPr>
              <w:t>1</w:t>
            </w:r>
          </w:p>
        </w:tc>
        <w:tc>
          <w:tcPr>
            <w:tcW w:w="1945" w:type="pct"/>
            <w:vAlign w:val="center"/>
          </w:tcPr>
          <w:p w14:paraId="0112D111">
            <w:pPr>
              <w:widowControl/>
              <w:spacing w:line="240" w:lineRule="auto"/>
              <w:jc w:val="center"/>
              <w:rPr>
                <w:rFonts w:hint="eastAsia" w:cs="宋体"/>
                <w:b/>
                <w:sz w:val="28"/>
                <w:szCs w:val="28"/>
              </w:rPr>
            </w:pPr>
          </w:p>
        </w:tc>
        <w:tc>
          <w:tcPr>
            <w:tcW w:w="1217" w:type="pct"/>
            <w:vAlign w:val="center"/>
          </w:tcPr>
          <w:p w14:paraId="49EB2AA1">
            <w:pPr>
              <w:widowControl/>
              <w:spacing w:line="240" w:lineRule="auto"/>
              <w:jc w:val="center"/>
              <w:rPr>
                <w:rFonts w:hint="eastAsia" w:cs="宋体"/>
                <w:b/>
                <w:sz w:val="28"/>
                <w:szCs w:val="28"/>
              </w:rPr>
            </w:pPr>
          </w:p>
        </w:tc>
        <w:tc>
          <w:tcPr>
            <w:tcW w:w="1261" w:type="pct"/>
            <w:vAlign w:val="center"/>
          </w:tcPr>
          <w:p w14:paraId="5DCF37D5">
            <w:pPr>
              <w:widowControl/>
              <w:spacing w:line="240" w:lineRule="auto"/>
              <w:jc w:val="center"/>
              <w:rPr>
                <w:rFonts w:hint="eastAsia" w:cs="宋体"/>
                <w:b/>
                <w:sz w:val="28"/>
                <w:szCs w:val="28"/>
              </w:rPr>
            </w:pPr>
          </w:p>
        </w:tc>
      </w:tr>
      <w:tr w14:paraId="7091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CF7E99A">
            <w:pPr>
              <w:widowControl/>
              <w:spacing w:line="240" w:lineRule="auto"/>
              <w:jc w:val="center"/>
              <w:rPr>
                <w:rFonts w:hint="eastAsia" w:cs="宋体"/>
                <w:b/>
                <w:szCs w:val="21"/>
              </w:rPr>
            </w:pPr>
            <w:r>
              <w:rPr>
                <w:rFonts w:hint="eastAsia" w:cs="宋体"/>
                <w:b/>
                <w:szCs w:val="21"/>
              </w:rPr>
              <w:t>2</w:t>
            </w:r>
          </w:p>
        </w:tc>
        <w:tc>
          <w:tcPr>
            <w:tcW w:w="1945" w:type="pct"/>
            <w:vAlign w:val="center"/>
          </w:tcPr>
          <w:p w14:paraId="5DC9867F">
            <w:pPr>
              <w:widowControl/>
              <w:spacing w:line="240" w:lineRule="auto"/>
              <w:jc w:val="center"/>
              <w:rPr>
                <w:rFonts w:hint="eastAsia" w:cs="宋体"/>
                <w:b/>
                <w:sz w:val="28"/>
                <w:szCs w:val="28"/>
              </w:rPr>
            </w:pPr>
          </w:p>
        </w:tc>
        <w:tc>
          <w:tcPr>
            <w:tcW w:w="1217" w:type="pct"/>
            <w:vAlign w:val="center"/>
          </w:tcPr>
          <w:p w14:paraId="17398FE7">
            <w:pPr>
              <w:widowControl/>
              <w:spacing w:line="240" w:lineRule="auto"/>
              <w:jc w:val="center"/>
              <w:rPr>
                <w:rFonts w:hint="eastAsia" w:cs="宋体"/>
                <w:b/>
                <w:sz w:val="28"/>
                <w:szCs w:val="28"/>
              </w:rPr>
            </w:pPr>
          </w:p>
        </w:tc>
        <w:tc>
          <w:tcPr>
            <w:tcW w:w="1261" w:type="pct"/>
            <w:vAlign w:val="center"/>
          </w:tcPr>
          <w:p w14:paraId="16525BA0">
            <w:pPr>
              <w:widowControl/>
              <w:spacing w:line="240" w:lineRule="auto"/>
              <w:jc w:val="center"/>
              <w:rPr>
                <w:rFonts w:hint="eastAsia" w:cs="宋体"/>
                <w:b/>
                <w:sz w:val="28"/>
                <w:szCs w:val="28"/>
              </w:rPr>
            </w:pPr>
          </w:p>
        </w:tc>
      </w:tr>
      <w:tr w14:paraId="4453C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228A0B48">
            <w:pPr>
              <w:widowControl/>
              <w:spacing w:line="240" w:lineRule="auto"/>
              <w:jc w:val="center"/>
              <w:rPr>
                <w:rFonts w:hint="eastAsia" w:cs="宋体"/>
                <w:b/>
                <w:szCs w:val="21"/>
              </w:rPr>
            </w:pPr>
            <w:r>
              <w:rPr>
                <w:rFonts w:hint="eastAsia" w:cs="宋体"/>
                <w:b/>
                <w:szCs w:val="21"/>
              </w:rPr>
              <w:t>3</w:t>
            </w:r>
          </w:p>
        </w:tc>
        <w:tc>
          <w:tcPr>
            <w:tcW w:w="1945" w:type="pct"/>
            <w:vAlign w:val="center"/>
          </w:tcPr>
          <w:p w14:paraId="24DF9882">
            <w:pPr>
              <w:widowControl/>
              <w:spacing w:line="240" w:lineRule="auto"/>
              <w:jc w:val="center"/>
              <w:rPr>
                <w:rFonts w:hint="eastAsia" w:cs="宋体"/>
                <w:b/>
                <w:sz w:val="28"/>
                <w:szCs w:val="28"/>
              </w:rPr>
            </w:pPr>
          </w:p>
        </w:tc>
        <w:tc>
          <w:tcPr>
            <w:tcW w:w="1217" w:type="pct"/>
            <w:vAlign w:val="center"/>
          </w:tcPr>
          <w:p w14:paraId="30EA746A">
            <w:pPr>
              <w:widowControl/>
              <w:spacing w:line="240" w:lineRule="auto"/>
              <w:jc w:val="center"/>
              <w:rPr>
                <w:rFonts w:hint="eastAsia" w:cs="宋体"/>
                <w:b/>
                <w:sz w:val="28"/>
                <w:szCs w:val="28"/>
              </w:rPr>
            </w:pPr>
          </w:p>
        </w:tc>
        <w:tc>
          <w:tcPr>
            <w:tcW w:w="1261" w:type="pct"/>
            <w:vAlign w:val="center"/>
          </w:tcPr>
          <w:p w14:paraId="2D80E166">
            <w:pPr>
              <w:widowControl/>
              <w:spacing w:line="240" w:lineRule="auto"/>
              <w:jc w:val="center"/>
              <w:rPr>
                <w:rFonts w:hint="eastAsia" w:cs="宋体"/>
                <w:b/>
                <w:sz w:val="28"/>
                <w:szCs w:val="28"/>
              </w:rPr>
            </w:pPr>
          </w:p>
        </w:tc>
      </w:tr>
      <w:tr w14:paraId="0910C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577" w:type="pct"/>
            <w:vAlign w:val="center"/>
          </w:tcPr>
          <w:p w14:paraId="5CE73238">
            <w:pPr>
              <w:widowControl/>
              <w:spacing w:line="240" w:lineRule="auto"/>
              <w:jc w:val="center"/>
              <w:rPr>
                <w:rFonts w:hint="eastAsia" w:cs="宋体"/>
                <w:b/>
                <w:szCs w:val="21"/>
              </w:rPr>
            </w:pPr>
            <w:r>
              <w:rPr>
                <w:rFonts w:hint="eastAsia" w:cs="宋体"/>
                <w:b/>
                <w:szCs w:val="21"/>
              </w:rPr>
              <w:t>4</w:t>
            </w:r>
          </w:p>
        </w:tc>
        <w:tc>
          <w:tcPr>
            <w:tcW w:w="1945" w:type="pct"/>
            <w:vAlign w:val="center"/>
          </w:tcPr>
          <w:p w14:paraId="2C7E882E">
            <w:pPr>
              <w:widowControl/>
              <w:spacing w:line="240" w:lineRule="auto"/>
              <w:jc w:val="center"/>
              <w:rPr>
                <w:rFonts w:hint="eastAsia" w:cs="宋体"/>
                <w:b/>
                <w:sz w:val="28"/>
                <w:szCs w:val="28"/>
              </w:rPr>
            </w:pPr>
          </w:p>
        </w:tc>
        <w:tc>
          <w:tcPr>
            <w:tcW w:w="1217" w:type="pct"/>
            <w:vAlign w:val="center"/>
          </w:tcPr>
          <w:p w14:paraId="0D3B0D87">
            <w:pPr>
              <w:widowControl/>
              <w:spacing w:line="240" w:lineRule="auto"/>
              <w:jc w:val="center"/>
              <w:rPr>
                <w:rFonts w:hint="eastAsia" w:cs="宋体"/>
                <w:b/>
                <w:sz w:val="28"/>
                <w:szCs w:val="28"/>
              </w:rPr>
            </w:pPr>
          </w:p>
        </w:tc>
        <w:tc>
          <w:tcPr>
            <w:tcW w:w="1261" w:type="pct"/>
            <w:vAlign w:val="center"/>
          </w:tcPr>
          <w:p w14:paraId="2D82AC17">
            <w:pPr>
              <w:widowControl/>
              <w:spacing w:line="240" w:lineRule="auto"/>
              <w:jc w:val="center"/>
              <w:rPr>
                <w:rFonts w:hint="eastAsia" w:cs="宋体"/>
                <w:b/>
                <w:sz w:val="28"/>
                <w:szCs w:val="28"/>
              </w:rPr>
            </w:pPr>
          </w:p>
        </w:tc>
      </w:tr>
      <w:tr w14:paraId="1DBC3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1980A1">
            <w:pPr>
              <w:widowControl/>
              <w:spacing w:line="240" w:lineRule="auto"/>
              <w:jc w:val="center"/>
              <w:rPr>
                <w:rFonts w:hint="eastAsia" w:cs="宋体"/>
                <w:b/>
                <w:szCs w:val="21"/>
              </w:rPr>
            </w:pPr>
            <w:r>
              <w:rPr>
                <w:rFonts w:hint="eastAsia" w:cs="宋体"/>
                <w:b/>
                <w:szCs w:val="21"/>
              </w:rPr>
              <w:t>5</w:t>
            </w:r>
          </w:p>
        </w:tc>
        <w:tc>
          <w:tcPr>
            <w:tcW w:w="1945" w:type="pct"/>
            <w:vAlign w:val="center"/>
          </w:tcPr>
          <w:p w14:paraId="64688591">
            <w:pPr>
              <w:widowControl/>
              <w:spacing w:line="240" w:lineRule="auto"/>
              <w:jc w:val="center"/>
              <w:rPr>
                <w:rFonts w:hint="eastAsia" w:cs="宋体"/>
                <w:b/>
                <w:sz w:val="28"/>
                <w:szCs w:val="28"/>
              </w:rPr>
            </w:pPr>
          </w:p>
        </w:tc>
        <w:tc>
          <w:tcPr>
            <w:tcW w:w="1217" w:type="pct"/>
            <w:vAlign w:val="center"/>
          </w:tcPr>
          <w:p w14:paraId="18D8E6CB">
            <w:pPr>
              <w:widowControl/>
              <w:spacing w:line="240" w:lineRule="auto"/>
              <w:jc w:val="center"/>
              <w:rPr>
                <w:rFonts w:hint="eastAsia" w:cs="宋体"/>
                <w:b/>
                <w:sz w:val="28"/>
                <w:szCs w:val="28"/>
              </w:rPr>
            </w:pPr>
          </w:p>
        </w:tc>
        <w:tc>
          <w:tcPr>
            <w:tcW w:w="1261" w:type="pct"/>
            <w:vAlign w:val="center"/>
          </w:tcPr>
          <w:p w14:paraId="541AA86D">
            <w:pPr>
              <w:widowControl/>
              <w:spacing w:line="240" w:lineRule="auto"/>
              <w:jc w:val="center"/>
              <w:rPr>
                <w:rFonts w:hint="eastAsia" w:cs="宋体"/>
                <w:b/>
                <w:sz w:val="28"/>
                <w:szCs w:val="28"/>
              </w:rPr>
            </w:pPr>
          </w:p>
        </w:tc>
      </w:tr>
      <w:tr w14:paraId="349C1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9962AA0">
            <w:pPr>
              <w:widowControl/>
              <w:spacing w:line="240" w:lineRule="auto"/>
              <w:jc w:val="center"/>
              <w:rPr>
                <w:rFonts w:hint="eastAsia" w:cs="宋体"/>
                <w:b/>
                <w:szCs w:val="21"/>
              </w:rPr>
            </w:pPr>
            <w:r>
              <w:rPr>
                <w:rFonts w:hint="eastAsia" w:cs="宋体"/>
                <w:b/>
                <w:szCs w:val="21"/>
              </w:rPr>
              <w:t>6</w:t>
            </w:r>
          </w:p>
        </w:tc>
        <w:tc>
          <w:tcPr>
            <w:tcW w:w="1945" w:type="pct"/>
            <w:vAlign w:val="center"/>
          </w:tcPr>
          <w:p w14:paraId="70EE18BC">
            <w:pPr>
              <w:widowControl/>
              <w:spacing w:line="240" w:lineRule="auto"/>
              <w:jc w:val="center"/>
              <w:rPr>
                <w:rFonts w:hint="eastAsia" w:cs="宋体"/>
                <w:b/>
                <w:sz w:val="28"/>
                <w:szCs w:val="28"/>
              </w:rPr>
            </w:pPr>
          </w:p>
        </w:tc>
        <w:tc>
          <w:tcPr>
            <w:tcW w:w="1217" w:type="pct"/>
            <w:vAlign w:val="center"/>
          </w:tcPr>
          <w:p w14:paraId="7937D19D">
            <w:pPr>
              <w:widowControl/>
              <w:spacing w:line="240" w:lineRule="auto"/>
              <w:jc w:val="center"/>
              <w:rPr>
                <w:rFonts w:hint="eastAsia" w:cs="宋体"/>
                <w:b/>
                <w:sz w:val="28"/>
                <w:szCs w:val="28"/>
              </w:rPr>
            </w:pPr>
          </w:p>
        </w:tc>
        <w:tc>
          <w:tcPr>
            <w:tcW w:w="1261" w:type="pct"/>
            <w:vAlign w:val="center"/>
          </w:tcPr>
          <w:p w14:paraId="6D7174D6">
            <w:pPr>
              <w:widowControl/>
              <w:spacing w:line="240" w:lineRule="auto"/>
              <w:jc w:val="center"/>
              <w:rPr>
                <w:rFonts w:hint="eastAsia" w:cs="宋体"/>
                <w:b/>
                <w:sz w:val="28"/>
                <w:szCs w:val="28"/>
              </w:rPr>
            </w:pPr>
          </w:p>
        </w:tc>
      </w:tr>
      <w:tr w14:paraId="31B7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7308D6">
            <w:pPr>
              <w:widowControl/>
              <w:spacing w:line="240" w:lineRule="auto"/>
              <w:jc w:val="center"/>
              <w:rPr>
                <w:rFonts w:hint="eastAsia" w:cs="宋体"/>
                <w:b/>
                <w:szCs w:val="21"/>
              </w:rPr>
            </w:pPr>
            <w:r>
              <w:rPr>
                <w:rFonts w:hint="eastAsia" w:cs="宋体"/>
                <w:b/>
                <w:szCs w:val="21"/>
              </w:rPr>
              <w:t>7</w:t>
            </w:r>
          </w:p>
        </w:tc>
        <w:tc>
          <w:tcPr>
            <w:tcW w:w="1945" w:type="pct"/>
            <w:vAlign w:val="center"/>
          </w:tcPr>
          <w:p w14:paraId="4F26F42D">
            <w:pPr>
              <w:widowControl/>
              <w:spacing w:line="240" w:lineRule="auto"/>
              <w:jc w:val="center"/>
              <w:rPr>
                <w:rFonts w:hint="eastAsia" w:cs="宋体"/>
                <w:b/>
                <w:sz w:val="28"/>
                <w:szCs w:val="28"/>
              </w:rPr>
            </w:pPr>
          </w:p>
        </w:tc>
        <w:tc>
          <w:tcPr>
            <w:tcW w:w="1217" w:type="pct"/>
            <w:vAlign w:val="center"/>
          </w:tcPr>
          <w:p w14:paraId="2472348C">
            <w:pPr>
              <w:widowControl/>
              <w:spacing w:line="240" w:lineRule="auto"/>
              <w:jc w:val="center"/>
              <w:rPr>
                <w:rFonts w:hint="eastAsia" w:cs="宋体"/>
                <w:b/>
                <w:sz w:val="28"/>
                <w:szCs w:val="28"/>
              </w:rPr>
            </w:pPr>
          </w:p>
        </w:tc>
        <w:tc>
          <w:tcPr>
            <w:tcW w:w="1261" w:type="pct"/>
            <w:vAlign w:val="center"/>
          </w:tcPr>
          <w:p w14:paraId="4C569C4D">
            <w:pPr>
              <w:widowControl/>
              <w:spacing w:line="240" w:lineRule="auto"/>
              <w:jc w:val="center"/>
              <w:rPr>
                <w:rFonts w:hint="eastAsia" w:cs="宋体"/>
                <w:b/>
                <w:sz w:val="28"/>
                <w:szCs w:val="28"/>
              </w:rPr>
            </w:pPr>
          </w:p>
        </w:tc>
      </w:tr>
      <w:tr w14:paraId="77A30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695F3DB">
            <w:pPr>
              <w:widowControl/>
              <w:spacing w:line="240" w:lineRule="auto"/>
              <w:jc w:val="center"/>
              <w:rPr>
                <w:rFonts w:hint="eastAsia" w:cs="宋体"/>
                <w:b/>
                <w:szCs w:val="21"/>
              </w:rPr>
            </w:pPr>
            <w:r>
              <w:rPr>
                <w:rFonts w:hint="eastAsia" w:cs="宋体"/>
                <w:b/>
                <w:szCs w:val="21"/>
              </w:rPr>
              <w:t>8</w:t>
            </w:r>
          </w:p>
        </w:tc>
        <w:tc>
          <w:tcPr>
            <w:tcW w:w="1945" w:type="pct"/>
            <w:vAlign w:val="center"/>
          </w:tcPr>
          <w:p w14:paraId="51B8F23F">
            <w:pPr>
              <w:widowControl/>
              <w:spacing w:line="240" w:lineRule="auto"/>
              <w:jc w:val="center"/>
              <w:rPr>
                <w:rFonts w:hint="eastAsia" w:cs="宋体"/>
                <w:b/>
                <w:sz w:val="28"/>
                <w:szCs w:val="28"/>
              </w:rPr>
            </w:pPr>
          </w:p>
        </w:tc>
        <w:tc>
          <w:tcPr>
            <w:tcW w:w="1217" w:type="pct"/>
            <w:vAlign w:val="center"/>
          </w:tcPr>
          <w:p w14:paraId="3F3244FC">
            <w:pPr>
              <w:widowControl/>
              <w:spacing w:line="240" w:lineRule="auto"/>
              <w:jc w:val="center"/>
              <w:rPr>
                <w:rFonts w:hint="eastAsia" w:cs="宋体"/>
                <w:b/>
                <w:sz w:val="28"/>
                <w:szCs w:val="28"/>
              </w:rPr>
            </w:pPr>
          </w:p>
        </w:tc>
        <w:tc>
          <w:tcPr>
            <w:tcW w:w="1261" w:type="pct"/>
            <w:vAlign w:val="center"/>
          </w:tcPr>
          <w:p w14:paraId="068D592F">
            <w:pPr>
              <w:widowControl/>
              <w:spacing w:line="240" w:lineRule="auto"/>
              <w:jc w:val="center"/>
              <w:rPr>
                <w:rFonts w:hint="eastAsia" w:cs="宋体"/>
                <w:b/>
                <w:sz w:val="28"/>
                <w:szCs w:val="28"/>
              </w:rPr>
            </w:pPr>
          </w:p>
        </w:tc>
      </w:tr>
      <w:tr w14:paraId="51E9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4578F3C">
            <w:pPr>
              <w:widowControl/>
              <w:spacing w:line="240" w:lineRule="auto"/>
              <w:jc w:val="center"/>
              <w:rPr>
                <w:rFonts w:hint="eastAsia" w:cs="宋体"/>
                <w:b/>
                <w:szCs w:val="21"/>
              </w:rPr>
            </w:pPr>
            <w:r>
              <w:rPr>
                <w:rFonts w:hint="eastAsia" w:cs="宋体"/>
                <w:b/>
                <w:szCs w:val="21"/>
              </w:rPr>
              <w:t>9</w:t>
            </w:r>
          </w:p>
        </w:tc>
        <w:tc>
          <w:tcPr>
            <w:tcW w:w="1945" w:type="pct"/>
            <w:vAlign w:val="center"/>
          </w:tcPr>
          <w:p w14:paraId="6E1EBFB2">
            <w:pPr>
              <w:widowControl/>
              <w:spacing w:line="240" w:lineRule="auto"/>
              <w:jc w:val="center"/>
              <w:rPr>
                <w:rFonts w:hint="eastAsia" w:cs="宋体"/>
                <w:b/>
                <w:sz w:val="28"/>
                <w:szCs w:val="28"/>
              </w:rPr>
            </w:pPr>
          </w:p>
        </w:tc>
        <w:tc>
          <w:tcPr>
            <w:tcW w:w="1217" w:type="pct"/>
            <w:vAlign w:val="center"/>
          </w:tcPr>
          <w:p w14:paraId="2CACF3C5">
            <w:pPr>
              <w:widowControl/>
              <w:spacing w:line="240" w:lineRule="auto"/>
              <w:jc w:val="center"/>
              <w:rPr>
                <w:rFonts w:hint="eastAsia" w:cs="宋体"/>
                <w:b/>
                <w:sz w:val="28"/>
                <w:szCs w:val="28"/>
              </w:rPr>
            </w:pPr>
          </w:p>
        </w:tc>
        <w:tc>
          <w:tcPr>
            <w:tcW w:w="1261" w:type="pct"/>
            <w:vAlign w:val="center"/>
          </w:tcPr>
          <w:p w14:paraId="021099D2">
            <w:pPr>
              <w:widowControl/>
              <w:spacing w:line="240" w:lineRule="auto"/>
              <w:jc w:val="center"/>
              <w:rPr>
                <w:rFonts w:hint="eastAsia" w:cs="宋体"/>
                <w:b/>
                <w:sz w:val="28"/>
                <w:szCs w:val="28"/>
              </w:rPr>
            </w:pPr>
          </w:p>
        </w:tc>
      </w:tr>
      <w:tr w14:paraId="6995D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11247EE7">
            <w:pPr>
              <w:widowControl/>
              <w:spacing w:line="240" w:lineRule="auto"/>
              <w:jc w:val="center"/>
              <w:rPr>
                <w:rFonts w:hint="eastAsia" w:cs="宋体"/>
                <w:b/>
                <w:szCs w:val="21"/>
              </w:rPr>
            </w:pPr>
            <w:r>
              <w:rPr>
                <w:rFonts w:hint="eastAsia" w:cs="宋体"/>
                <w:b/>
                <w:szCs w:val="21"/>
              </w:rPr>
              <w:t>10</w:t>
            </w:r>
          </w:p>
        </w:tc>
        <w:tc>
          <w:tcPr>
            <w:tcW w:w="1945" w:type="pct"/>
            <w:vAlign w:val="center"/>
          </w:tcPr>
          <w:p w14:paraId="40253092">
            <w:pPr>
              <w:widowControl/>
              <w:spacing w:line="240" w:lineRule="auto"/>
              <w:jc w:val="center"/>
              <w:rPr>
                <w:rFonts w:hint="eastAsia" w:cs="宋体"/>
                <w:b/>
                <w:sz w:val="28"/>
                <w:szCs w:val="28"/>
              </w:rPr>
            </w:pPr>
          </w:p>
        </w:tc>
        <w:tc>
          <w:tcPr>
            <w:tcW w:w="1217" w:type="pct"/>
            <w:vAlign w:val="center"/>
          </w:tcPr>
          <w:p w14:paraId="6DC523E8">
            <w:pPr>
              <w:widowControl/>
              <w:spacing w:line="240" w:lineRule="auto"/>
              <w:jc w:val="center"/>
              <w:rPr>
                <w:rFonts w:hint="eastAsia" w:cs="宋体"/>
                <w:b/>
                <w:sz w:val="28"/>
                <w:szCs w:val="28"/>
              </w:rPr>
            </w:pPr>
          </w:p>
        </w:tc>
        <w:tc>
          <w:tcPr>
            <w:tcW w:w="1261" w:type="pct"/>
            <w:vAlign w:val="center"/>
          </w:tcPr>
          <w:p w14:paraId="3EFF7770">
            <w:pPr>
              <w:widowControl/>
              <w:spacing w:line="240" w:lineRule="auto"/>
              <w:jc w:val="center"/>
              <w:rPr>
                <w:rFonts w:hint="eastAsia" w:cs="宋体"/>
                <w:b/>
                <w:sz w:val="28"/>
                <w:szCs w:val="28"/>
              </w:rPr>
            </w:pPr>
          </w:p>
        </w:tc>
      </w:tr>
      <w:tr w14:paraId="30925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35439702">
            <w:pPr>
              <w:widowControl/>
              <w:spacing w:line="240" w:lineRule="auto"/>
              <w:jc w:val="center"/>
              <w:rPr>
                <w:rFonts w:hint="eastAsia" w:cs="宋体"/>
                <w:b/>
                <w:szCs w:val="21"/>
              </w:rPr>
            </w:pPr>
            <w:r>
              <w:rPr>
                <w:rFonts w:cs="宋体"/>
                <w:b/>
                <w:szCs w:val="21"/>
              </w:rPr>
              <w:t>…</w:t>
            </w:r>
          </w:p>
        </w:tc>
        <w:tc>
          <w:tcPr>
            <w:tcW w:w="1945" w:type="pct"/>
            <w:vAlign w:val="center"/>
          </w:tcPr>
          <w:p w14:paraId="7D0503F6">
            <w:pPr>
              <w:widowControl/>
              <w:spacing w:line="240" w:lineRule="auto"/>
              <w:jc w:val="center"/>
              <w:rPr>
                <w:rFonts w:hint="eastAsia" w:cs="宋体"/>
                <w:b/>
                <w:sz w:val="28"/>
                <w:szCs w:val="28"/>
              </w:rPr>
            </w:pPr>
          </w:p>
        </w:tc>
        <w:tc>
          <w:tcPr>
            <w:tcW w:w="1217" w:type="pct"/>
            <w:vAlign w:val="center"/>
          </w:tcPr>
          <w:p w14:paraId="4475E536">
            <w:pPr>
              <w:widowControl/>
              <w:spacing w:line="240" w:lineRule="auto"/>
              <w:jc w:val="center"/>
              <w:rPr>
                <w:rFonts w:hint="eastAsia" w:cs="宋体"/>
                <w:b/>
                <w:sz w:val="28"/>
                <w:szCs w:val="28"/>
              </w:rPr>
            </w:pPr>
          </w:p>
        </w:tc>
        <w:tc>
          <w:tcPr>
            <w:tcW w:w="1261" w:type="pct"/>
            <w:vAlign w:val="center"/>
          </w:tcPr>
          <w:p w14:paraId="79E7115F">
            <w:pPr>
              <w:widowControl/>
              <w:spacing w:line="240" w:lineRule="auto"/>
              <w:jc w:val="center"/>
              <w:rPr>
                <w:rFonts w:hint="eastAsia" w:cs="宋体"/>
                <w:b/>
                <w:sz w:val="28"/>
                <w:szCs w:val="28"/>
              </w:rPr>
            </w:pPr>
          </w:p>
        </w:tc>
      </w:tr>
    </w:tbl>
    <w:p w14:paraId="7853ACD0">
      <w:pPr>
        <w:widowControl/>
        <w:spacing w:line="240" w:lineRule="auto"/>
        <w:jc w:val="center"/>
        <w:rPr>
          <w:rFonts w:hint="eastAsia" w:cs="宋体"/>
          <w:b/>
          <w:sz w:val="28"/>
          <w:szCs w:val="28"/>
        </w:rPr>
      </w:pPr>
    </w:p>
    <w:p w14:paraId="3D19A165">
      <w:pPr>
        <w:widowControl/>
        <w:spacing w:line="240" w:lineRule="auto"/>
        <w:jc w:val="left"/>
        <w:rPr>
          <w:rFonts w:hint="eastAsia" w:cs="宋体"/>
          <w:b/>
          <w:sz w:val="28"/>
          <w:szCs w:val="28"/>
        </w:rPr>
      </w:pPr>
    </w:p>
    <w:p w14:paraId="1B518705">
      <w:pPr>
        <w:widowControl/>
        <w:spacing w:line="240" w:lineRule="auto"/>
        <w:jc w:val="left"/>
        <w:rPr>
          <w:rFonts w:hint="eastAsia" w:cs="宋体"/>
          <w:b/>
          <w:sz w:val="28"/>
          <w:szCs w:val="28"/>
        </w:rPr>
      </w:pPr>
      <w:r>
        <w:rPr>
          <w:rFonts w:hint="eastAsia" w:cs="宋体"/>
          <w:b/>
          <w:sz w:val="28"/>
          <w:szCs w:val="28"/>
        </w:rPr>
        <w:br w:type="page"/>
      </w:r>
    </w:p>
    <w:p w14:paraId="21B590CD">
      <w:pPr>
        <w:jc w:val="center"/>
        <w:outlineLvl w:val="2"/>
        <w:rPr>
          <w:rFonts w:hint="eastAsia"/>
          <w:b/>
          <w:bCs/>
          <w:sz w:val="28"/>
          <w:szCs w:val="36"/>
        </w:rPr>
      </w:pPr>
      <w:bookmarkStart w:id="314" w:name="_Toc216368784"/>
      <w:bookmarkStart w:id="315" w:name="_Toc216724757"/>
      <w:bookmarkStart w:id="316" w:name="_Toc6251"/>
      <w:r>
        <w:rPr>
          <w:rFonts w:hint="eastAsia" w:cs="宋体"/>
          <w:b/>
          <w:sz w:val="28"/>
          <w:szCs w:val="28"/>
        </w:rPr>
        <w:t>（三）</w:t>
      </w:r>
      <w:r>
        <w:rPr>
          <w:rFonts w:hint="eastAsia"/>
          <w:b/>
          <w:bCs/>
          <w:sz w:val="28"/>
          <w:szCs w:val="36"/>
        </w:rPr>
        <w:t>商务条款偏离表</w:t>
      </w:r>
      <w:bookmarkEnd w:id="295"/>
      <w:bookmarkEnd w:id="296"/>
      <w:bookmarkEnd w:id="297"/>
      <w:bookmarkEnd w:id="298"/>
      <w:bookmarkEnd w:id="299"/>
      <w:bookmarkEnd w:id="300"/>
      <w:bookmarkEnd w:id="301"/>
      <w:bookmarkEnd w:id="311"/>
      <w:bookmarkEnd w:id="312"/>
      <w:bookmarkEnd w:id="313"/>
      <w:bookmarkEnd w:id="314"/>
      <w:bookmarkEnd w:id="315"/>
      <w:bookmarkEnd w:id="316"/>
    </w:p>
    <w:p w14:paraId="4D80D4F9">
      <w:pPr>
        <w:pStyle w:val="23"/>
        <w:spacing w:line="400" w:lineRule="exact"/>
        <w:rPr>
          <w:rFonts w:hint="eastAsia" w:cs="宋体"/>
        </w:rPr>
      </w:pPr>
      <w:r>
        <w:rPr>
          <w:rFonts w:hint="eastAsia" w:cs="宋体"/>
        </w:rPr>
        <w:t>投标人须逐条对应投标文件中要求的商务条款条件，认真填写该表。</w:t>
      </w:r>
    </w:p>
    <w:p w14:paraId="62773FC1">
      <w:pPr>
        <w:pStyle w:val="23"/>
        <w:spacing w:line="400" w:lineRule="exact"/>
        <w:rPr>
          <w:rFonts w:hint="eastAsia" w:cs="宋体"/>
        </w:rPr>
      </w:pPr>
      <w:r>
        <w:rPr>
          <w:rFonts w:hint="eastAsia" w:cs="宋体"/>
        </w:rPr>
        <w:t>商务条款是指：</w:t>
      </w:r>
      <w:r>
        <w:rPr>
          <w:b/>
        </w:rPr>
        <w:t>招标文件中要求的交货期、交货方式、交货地点、</w:t>
      </w:r>
      <w:r>
        <w:rPr>
          <w:rFonts w:hint="eastAsia"/>
          <w:b/>
        </w:rPr>
        <w:t>质保期、</w:t>
      </w:r>
      <w:r>
        <w:rPr>
          <w:b/>
        </w:rPr>
        <w:t>质量要求、付款方式等要求。</w:t>
      </w:r>
    </w:p>
    <w:p w14:paraId="13D5AD27">
      <w:pPr>
        <w:ind w:right="-254" w:rightChars="-121"/>
        <w:rPr>
          <w:rFonts w:hint="eastAsia" w:cs="宋体"/>
          <w:b/>
          <w:bCs/>
        </w:rPr>
      </w:pPr>
      <w:r>
        <w:rPr>
          <w:rFonts w:hint="eastAsia" w:cs="宋体"/>
          <w:b/>
          <w:bCs/>
        </w:rPr>
        <w:t>标段名称：</w:t>
      </w:r>
      <w:r>
        <w:rPr>
          <w:rFonts w:hint="eastAsia" w:cs="宋体"/>
          <w:b/>
          <w:bCs/>
          <w:u w:val="single"/>
        </w:rPr>
        <w:t xml:space="preserve">                </w:t>
      </w:r>
      <w:r>
        <w:rPr>
          <w:rFonts w:hint="eastAsia" w:cs="宋体"/>
          <w:b/>
          <w:bCs/>
        </w:rPr>
        <w:t xml:space="preserve">  </w:t>
      </w:r>
      <w:r>
        <w:rPr>
          <w:rFonts w:cs="宋体"/>
          <w:b/>
          <w:bCs/>
        </w:rPr>
        <w:t xml:space="preserve"> </w:t>
      </w:r>
      <w:r>
        <w:rPr>
          <w:rFonts w:hint="eastAsia" w:cs="宋体"/>
          <w:b/>
          <w:bCs/>
        </w:rPr>
        <w:t>标段编号：</w:t>
      </w:r>
      <w:r>
        <w:rPr>
          <w:rFonts w:hint="eastAsia" w:cs="宋体"/>
          <w:b/>
          <w:bCs/>
          <w:u w:val="single"/>
        </w:rPr>
        <w:t xml:space="preserve">               </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85"/>
        <w:gridCol w:w="1450"/>
        <w:gridCol w:w="2174"/>
        <w:gridCol w:w="2379"/>
        <w:gridCol w:w="1118"/>
        <w:gridCol w:w="2056"/>
      </w:tblGrid>
      <w:tr w14:paraId="4B1E2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4" w:hRule="atLeast"/>
        </w:trPr>
        <w:tc>
          <w:tcPr>
            <w:tcW w:w="394" w:type="pct"/>
            <w:vAlign w:val="center"/>
          </w:tcPr>
          <w:p w14:paraId="07606313">
            <w:pPr>
              <w:pStyle w:val="23"/>
              <w:spacing w:line="276" w:lineRule="auto"/>
              <w:jc w:val="center"/>
              <w:rPr>
                <w:rFonts w:hint="eastAsia" w:cs="宋体"/>
                <w:b/>
              </w:rPr>
            </w:pPr>
            <w:r>
              <w:rPr>
                <w:rFonts w:hint="eastAsia" w:cs="宋体"/>
                <w:b/>
              </w:rPr>
              <w:t>序号</w:t>
            </w:r>
          </w:p>
        </w:tc>
        <w:tc>
          <w:tcPr>
            <w:tcW w:w="728" w:type="pct"/>
            <w:vAlign w:val="center"/>
          </w:tcPr>
          <w:p w14:paraId="17C58255">
            <w:pPr>
              <w:pStyle w:val="23"/>
              <w:spacing w:line="276" w:lineRule="auto"/>
              <w:jc w:val="center"/>
              <w:rPr>
                <w:rFonts w:hint="eastAsia" w:cs="宋体"/>
                <w:b/>
              </w:rPr>
            </w:pPr>
            <w:r>
              <w:rPr>
                <w:rFonts w:hint="eastAsia" w:cs="宋体"/>
                <w:b/>
              </w:rPr>
              <w:t>招标文件页码及条目号</w:t>
            </w:r>
          </w:p>
        </w:tc>
        <w:tc>
          <w:tcPr>
            <w:tcW w:w="1091" w:type="pct"/>
            <w:vAlign w:val="center"/>
          </w:tcPr>
          <w:p w14:paraId="0F25B3B9">
            <w:pPr>
              <w:pStyle w:val="23"/>
              <w:spacing w:line="276" w:lineRule="auto"/>
              <w:jc w:val="center"/>
              <w:rPr>
                <w:rFonts w:hint="eastAsia" w:cs="宋体"/>
                <w:b/>
              </w:rPr>
            </w:pPr>
            <w:r>
              <w:rPr>
                <w:rFonts w:hint="eastAsia" w:cs="宋体"/>
                <w:b/>
              </w:rPr>
              <w:t>招标文件的商务条款</w:t>
            </w:r>
          </w:p>
        </w:tc>
        <w:tc>
          <w:tcPr>
            <w:tcW w:w="1194" w:type="pct"/>
            <w:vAlign w:val="center"/>
          </w:tcPr>
          <w:p w14:paraId="346C8691">
            <w:pPr>
              <w:pStyle w:val="23"/>
              <w:spacing w:line="276" w:lineRule="auto"/>
              <w:jc w:val="center"/>
              <w:rPr>
                <w:rFonts w:hint="eastAsia" w:cs="宋体"/>
                <w:b/>
              </w:rPr>
            </w:pPr>
            <w:r>
              <w:rPr>
                <w:rFonts w:hint="eastAsia" w:cs="宋体"/>
                <w:b/>
              </w:rPr>
              <w:t>投标文件的商务条款</w:t>
            </w:r>
          </w:p>
        </w:tc>
        <w:tc>
          <w:tcPr>
            <w:tcW w:w="561" w:type="pct"/>
            <w:vAlign w:val="center"/>
          </w:tcPr>
          <w:p w14:paraId="427331A8">
            <w:pPr>
              <w:pStyle w:val="23"/>
              <w:spacing w:line="276" w:lineRule="auto"/>
              <w:jc w:val="center"/>
              <w:rPr>
                <w:rFonts w:hint="eastAsia" w:cs="宋体"/>
                <w:b/>
              </w:rPr>
            </w:pPr>
            <w:r>
              <w:rPr>
                <w:rFonts w:hint="eastAsia" w:cs="宋体"/>
                <w:b/>
              </w:rPr>
              <w:t>响应情况说明</w:t>
            </w:r>
          </w:p>
        </w:tc>
        <w:tc>
          <w:tcPr>
            <w:tcW w:w="1032" w:type="pct"/>
            <w:vAlign w:val="center"/>
          </w:tcPr>
          <w:p w14:paraId="5844D0B9">
            <w:pPr>
              <w:pStyle w:val="23"/>
              <w:spacing w:line="276" w:lineRule="auto"/>
              <w:jc w:val="center"/>
              <w:rPr>
                <w:rFonts w:hint="eastAsia" w:cs="宋体"/>
                <w:b/>
                <w:bCs/>
              </w:rPr>
            </w:pPr>
            <w:r>
              <w:rPr>
                <w:rFonts w:hint="eastAsia" w:cs="宋体"/>
                <w:b/>
                <w:bCs/>
              </w:rPr>
              <w:t>商务条件支持资料索引</w:t>
            </w:r>
          </w:p>
          <w:p w14:paraId="6308291D">
            <w:pPr>
              <w:pStyle w:val="23"/>
              <w:spacing w:line="276" w:lineRule="auto"/>
              <w:jc w:val="center"/>
              <w:rPr>
                <w:rFonts w:hint="eastAsia" w:cs="宋体"/>
                <w:b/>
              </w:rPr>
            </w:pPr>
            <w:r>
              <w:rPr>
                <w:rFonts w:hint="eastAsia" w:cs="宋体"/>
                <w:b/>
              </w:rPr>
              <w:t>（页码及条目号等）</w:t>
            </w:r>
          </w:p>
        </w:tc>
      </w:tr>
      <w:tr w14:paraId="6C4BA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5F536E70">
            <w:pPr>
              <w:pStyle w:val="23"/>
              <w:rPr>
                <w:rFonts w:hint="eastAsia" w:cs="宋体"/>
              </w:rPr>
            </w:pPr>
          </w:p>
        </w:tc>
        <w:tc>
          <w:tcPr>
            <w:tcW w:w="728" w:type="pct"/>
          </w:tcPr>
          <w:p w14:paraId="1EC0AB43">
            <w:pPr>
              <w:pStyle w:val="23"/>
              <w:rPr>
                <w:rFonts w:hint="eastAsia" w:cs="宋体"/>
              </w:rPr>
            </w:pPr>
          </w:p>
        </w:tc>
        <w:tc>
          <w:tcPr>
            <w:tcW w:w="1091" w:type="pct"/>
          </w:tcPr>
          <w:p w14:paraId="6076E462">
            <w:pPr>
              <w:pStyle w:val="23"/>
              <w:rPr>
                <w:rFonts w:hint="eastAsia" w:cs="宋体"/>
              </w:rPr>
            </w:pPr>
          </w:p>
        </w:tc>
        <w:tc>
          <w:tcPr>
            <w:tcW w:w="1194" w:type="pct"/>
          </w:tcPr>
          <w:p w14:paraId="4C246289">
            <w:pPr>
              <w:pStyle w:val="23"/>
              <w:rPr>
                <w:rFonts w:hint="eastAsia" w:cs="宋体"/>
              </w:rPr>
            </w:pPr>
          </w:p>
        </w:tc>
        <w:tc>
          <w:tcPr>
            <w:tcW w:w="561" w:type="pct"/>
          </w:tcPr>
          <w:p w14:paraId="2AE500EE">
            <w:pPr>
              <w:pStyle w:val="23"/>
              <w:rPr>
                <w:rFonts w:hint="eastAsia" w:cs="宋体"/>
              </w:rPr>
            </w:pPr>
          </w:p>
        </w:tc>
        <w:tc>
          <w:tcPr>
            <w:tcW w:w="1032" w:type="pct"/>
          </w:tcPr>
          <w:p w14:paraId="2E61782A">
            <w:pPr>
              <w:pStyle w:val="23"/>
              <w:rPr>
                <w:rFonts w:hint="eastAsia" w:cs="宋体"/>
              </w:rPr>
            </w:pPr>
          </w:p>
        </w:tc>
      </w:tr>
      <w:tr w14:paraId="0540E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2CF6440C">
            <w:pPr>
              <w:pStyle w:val="23"/>
              <w:rPr>
                <w:rFonts w:hint="eastAsia" w:cs="宋体"/>
              </w:rPr>
            </w:pPr>
          </w:p>
        </w:tc>
        <w:tc>
          <w:tcPr>
            <w:tcW w:w="728" w:type="pct"/>
          </w:tcPr>
          <w:p w14:paraId="7E9D3854">
            <w:pPr>
              <w:pStyle w:val="23"/>
              <w:rPr>
                <w:rFonts w:hint="eastAsia" w:cs="宋体"/>
              </w:rPr>
            </w:pPr>
          </w:p>
        </w:tc>
        <w:tc>
          <w:tcPr>
            <w:tcW w:w="1091" w:type="pct"/>
          </w:tcPr>
          <w:p w14:paraId="7086E2A7">
            <w:pPr>
              <w:pStyle w:val="23"/>
              <w:rPr>
                <w:rFonts w:hint="eastAsia" w:cs="宋体"/>
              </w:rPr>
            </w:pPr>
          </w:p>
        </w:tc>
        <w:tc>
          <w:tcPr>
            <w:tcW w:w="1194" w:type="pct"/>
          </w:tcPr>
          <w:p w14:paraId="01B20F7E">
            <w:pPr>
              <w:pStyle w:val="23"/>
              <w:rPr>
                <w:rFonts w:hint="eastAsia" w:cs="宋体"/>
              </w:rPr>
            </w:pPr>
          </w:p>
        </w:tc>
        <w:tc>
          <w:tcPr>
            <w:tcW w:w="561" w:type="pct"/>
          </w:tcPr>
          <w:p w14:paraId="2708FAC4">
            <w:pPr>
              <w:pStyle w:val="23"/>
              <w:rPr>
                <w:rFonts w:hint="eastAsia" w:cs="宋体"/>
              </w:rPr>
            </w:pPr>
          </w:p>
        </w:tc>
        <w:tc>
          <w:tcPr>
            <w:tcW w:w="1032" w:type="pct"/>
          </w:tcPr>
          <w:p w14:paraId="1E88E835">
            <w:pPr>
              <w:pStyle w:val="23"/>
              <w:rPr>
                <w:rFonts w:hint="eastAsia" w:cs="宋体"/>
              </w:rPr>
            </w:pPr>
          </w:p>
        </w:tc>
      </w:tr>
      <w:tr w14:paraId="326D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265678A7">
            <w:pPr>
              <w:pStyle w:val="23"/>
              <w:rPr>
                <w:rFonts w:hint="eastAsia" w:cs="宋体"/>
              </w:rPr>
            </w:pPr>
          </w:p>
        </w:tc>
        <w:tc>
          <w:tcPr>
            <w:tcW w:w="728" w:type="pct"/>
          </w:tcPr>
          <w:p w14:paraId="5E5F58F6">
            <w:pPr>
              <w:pStyle w:val="23"/>
              <w:rPr>
                <w:rFonts w:hint="eastAsia" w:cs="宋体"/>
              </w:rPr>
            </w:pPr>
          </w:p>
        </w:tc>
        <w:tc>
          <w:tcPr>
            <w:tcW w:w="1091" w:type="pct"/>
          </w:tcPr>
          <w:p w14:paraId="0AE4BB59">
            <w:pPr>
              <w:pStyle w:val="23"/>
              <w:rPr>
                <w:rFonts w:hint="eastAsia" w:cs="宋体"/>
              </w:rPr>
            </w:pPr>
          </w:p>
        </w:tc>
        <w:tc>
          <w:tcPr>
            <w:tcW w:w="1194" w:type="pct"/>
          </w:tcPr>
          <w:p w14:paraId="03F400FB">
            <w:pPr>
              <w:pStyle w:val="23"/>
              <w:rPr>
                <w:rFonts w:hint="eastAsia" w:cs="宋体"/>
              </w:rPr>
            </w:pPr>
          </w:p>
        </w:tc>
        <w:tc>
          <w:tcPr>
            <w:tcW w:w="561" w:type="pct"/>
          </w:tcPr>
          <w:p w14:paraId="42D640C6">
            <w:pPr>
              <w:pStyle w:val="23"/>
              <w:rPr>
                <w:rFonts w:hint="eastAsia" w:cs="宋体"/>
              </w:rPr>
            </w:pPr>
          </w:p>
        </w:tc>
        <w:tc>
          <w:tcPr>
            <w:tcW w:w="1032" w:type="pct"/>
          </w:tcPr>
          <w:p w14:paraId="307FD07C">
            <w:pPr>
              <w:pStyle w:val="23"/>
              <w:rPr>
                <w:rFonts w:hint="eastAsia" w:cs="宋体"/>
              </w:rPr>
            </w:pPr>
          </w:p>
        </w:tc>
      </w:tr>
      <w:tr w14:paraId="75A5B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3F796BEA">
            <w:pPr>
              <w:pStyle w:val="23"/>
              <w:rPr>
                <w:rFonts w:hint="eastAsia" w:cs="宋体"/>
              </w:rPr>
            </w:pPr>
          </w:p>
        </w:tc>
        <w:tc>
          <w:tcPr>
            <w:tcW w:w="728" w:type="pct"/>
          </w:tcPr>
          <w:p w14:paraId="302DCD72">
            <w:pPr>
              <w:pStyle w:val="23"/>
              <w:rPr>
                <w:rFonts w:hint="eastAsia" w:cs="宋体"/>
              </w:rPr>
            </w:pPr>
          </w:p>
        </w:tc>
        <w:tc>
          <w:tcPr>
            <w:tcW w:w="1091" w:type="pct"/>
          </w:tcPr>
          <w:p w14:paraId="682F554B">
            <w:pPr>
              <w:pStyle w:val="23"/>
              <w:rPr>
                <w:rFonts w:hint="eastAsia" w:cs="宋体"/>
              </w:rPr>
            </w:pPr>
          </w:p>
        </w:tc>
        <w:tc>
          <w:tcPr>
            <w:tcW w:w="1194" w:type="pct"/>
          </w:tcPr>
          <w:p w14:paraId="7AE81800">
            <w:pPr>
              <w:pStyle w:val="23"/>
              <w:rPr>
                <w:rFonts w:hint="eastAsia" w:cs="宋体"/>
              </w:rPr>
            </w:pPr>
          </w:p>
        </w:tc>
        <w:tc>
          <w:tcPr>
            <w:tcW w:w="561" w:type="pct"/>
          </w:tcPr>
          <w:p w14:paraId="34EDBE92">
            <w:pPr>
              <w:pStyle w:val="23"/>
              <w:rPr>
                <w:rFonts w:hint="eastAsia" w:cs="宋体"/>
              </w:rPr>
            </w:pPr>
          </w:p>
        </w:tc>
        <w:tc>
          <w:tcPr>
            <w:tcW w:w="1032" w:type="pct"/>
          </w:tcPr>
          <w:p w14:paraId="1FB4C992">
            <w:pPr>
              <w:pStyle w:val="23"/>
              <w:rPr>
                <w:rFonts w:hint="eastAsia" w:cs="宋体"/>
              </w:rPr>
            </w:pPr>
          </w:p>
        </w:tc>
      </w:tr>
      <w:tr w14:paraId="07D10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1ED15D9">
            <w:pPr>
              <w:pStyle w:val="23"/>
              <w:rPr>
                <w:rFonts w:hint="eastAsia" w:cs="宋体"/>
              </w:rPr>
            </w:pPr>
          </w:p>
        </w:tc>
        <w:tc>
          <w:tcPr>
            <w:tcW w:w="728" w:type="pct"/>
          </w:tcPr>
          <w:p w14:paraId="2F6C1F98">
            <w:pPr>
              <w:pStyle w:val="23"/>
              <w:rPr>
                <w:rFonts w:hint="eastAsia" w:cs="宋体"/>
              </w:rPr>
            </w:pPr>
          </w:p>
        </w:tc>
        <w:tc>
          <w:tcPr>
            <w:tcW w:w="1091" w:type="pct"/>
          </w:tcPr>
          <w:p w14:paraId="6204C423">
            <w:pPr>
              <w:pStyle w:val="23"/>
              <w:rPr>
                <w:rFonts w:hint="eastAsia" w:cs="宋体"/>
              </w:rPr>
            </w:pPr>
          </w:p>
        </w:tc>
        <w:tc>
          <w:tcPr>
            <w:tcW w:w="1194" w:type="pct"/>
          </w:tcPr>
          <w:p w14:paraId="6BE55C36">
            <w:pPr>
              <w:pStyle w:val="23"/>
              <w:rPr>
                <w:rFonts w:hint="eastAsia" w:cs="宋体"/>
              </w:rPr>
            </w:pPr>
          </w:p>
        </w:tc>
        <w:tc>
          <w:tcPr>
            <w:tcW w:w="561" w:type="pct"/>
          </w:tcPr>
          <w:p w14:paraId="590F7A3A">
            <w:pPr>
              <w:pStyle w:val="23"/>
              <w:rPr>
                <w:rFonts w:hint="eastAsia" w:cs="宋体"/>
              </w:rPr>
            </w:pPr>
          </w:p>
        </w:tc>
        <w:tc>
          <w:tcPr>
            <w:tcW w:w="1032" w:type="pct"/>
          </w:tcPr>
          <w:p w14:paraId="41D0F197">
            <w:pPr>
              <w:pStyle w:val="23"/>
              <w:rPr>
                <w:rFonts w:hint="eastAsia" w:cs="宋体"/>
              </w:rPr>
            </w:pPr>
          </w:p>
        </w:tc>
      </w:tr>
      <w:tr w14:paraId="317FD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8AB2EA3">
            <w:pPr>
              <w:pStyle w:val="23"/>
              <w:rPr>
                <w:rFonts w:hint="eastAsia" w:cs="宋体"/>
              </w:rPr>
            </w:pPr>
          </w:p>
        </w:tc>
        <w:tc>
          <w:tcPr>
            <w:tcW w:w="728" w:type="pct"/>
          </w:tcPr>
          <w:p w14:paraId="5A290C1D">
            <w:pPr>
              <w:pStyle w:val="23"/>
              <w:rPr>
                <w:rFonts w:hint="eastAsia" w:cs="宋体"/>
              </w:rPr>
            </w:pPr>
          </w:p>
        </w:tc>
        <w:tc>
          <w:tcPr>
            <w:tcW w:w="1091" w:type="pct"/>
          </w:tcPr>
          <w:p w14:paraId="73C299C3">
            <w:pPr>
              <w:pStyle w:val="23"/>
              <w:rPr>
                <w:rFonts w:hint="eastAsia" w:cs="宋体"/>
              </w:rPr>
            </w:pPr>
          </w:p>
        </w:tc>
        <w:tc>
          <w:tcPr>
            <w:tcW w:w="1194" w:type="pct"/>
          </w:tcPr>
          <w:p w14:paraId="0B91B6E5">
            <w:pPr>
              <w:pStyle w:val="23"/>
              <w:rPr>
                <w:rFonts w:hint="eastAsia" w:cs="宋体"/>
              </w:rPr>
            </w:pPr>
          </w:p>
        </w:tc>
        <w:tc>
          <w:tcPr>
            <w:tcW w:w="561" w:type="pct"/>
          </w:tcPr>
          <w:p w14:paraId="702215C7">
            <w:pPr>
              <w:pStyle w:val="23"/>
              <w:rPr>
                <w:rFonts w:hint="eastAsia" w:cs="宋体"/>
              </w:rPr>
            </w:pPr>
          </w:p>
        </w:tc>
        <w:tc>
          <w:tcPr>
            <w:tcW w:w="1032" w:type="pct"/>
          </w:tcPr>
          <w:p w14:paraId="66AA6209">
            <w:pPr>
              <w:pStyle w:val="23"/>
              <w:rPr>
                <w:rFonts w:hint="eastAsia" w:cs="宋体"/>
              </w:rPr>
            </w:pPr>
          </w:p>
        </w:tc>
      </w:tr>
      <w:tr w14:paraId="426F8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119E5DCF">
            <w:pPr>
              <w:pStyle w:val="23"/>
              <w:rPr>
                <w:rFonts w:hint="eastAsia" w:cs="宋体"/>
              </w:rPr>
            </w:pPr>
          </w:p>
        </w:tc>
        <w:tc>
          <w:tcPr>
            <w:tcW w:w="728" w:type="pct"/>
          </w:tcPr>
          <w:p w14:paraId="0381899F">
            <w:pPr>
              <w:pStyle w:val="23"/>
              <w:rPr>
                <w:rFonts w:hint="eastAsia" w:cs="宋体"/>
              </w:rPr>
            </w:pPr>
          </w:p>
        </w:tc>
        <w:tc>
          <w:tcPr>
            <w:tcW w:w="1091" w:type="pct"/>
          </w:tcPr>
          <w:p w14:paraId="1B894DD0">
            <w:pPr>
              <w:pStyle w:val="23"/>
              <w:rPr>
                <w:rFonts w:hint="eastAsia" w:cs="宋体"/>
              </w:rPr>
            </w:pPr>
          </w:p>
        </w:tc>
        <w:tc>
          <w:tcPr>
            <w:tcW w:w="1194" w:type="pct"/>
          </w:tcPr>
          <w:p w14:paraId="7D7AEF1D">
            <w:pPr>
              <w:pStyle w:val="23"/>
              <w:rPr>
                <w:rFonts w:hint="eastAsia" w:cs="宋体"/>
              </w:rPr>
            </w:pPr>
          </w:p>
        </w:tc>
        <w:tc>
          <w:tcPr>
            <w:tcW w:w="561" w:type="pct"/>
          </w:tcPr>
          <w:p w14:paraId="70342178">
            <w:pPr>
              <w:pStyle w:val="23"/>
              <w:rPr>
                <w:rFonts w:hint="eastAsia" w:cs="宋体"/>
              </w:rPr>
            </w:pPr>
          </w:p>
        </w:tc>
        <w:tc>
          <w:tcPr>
            <w:tcW w:w="1032" w:type="pct"/>
          </w:tcPr>
          <w:p w14:paraId="1AF4F534">
            <w:pPr>
              <w:pStyle w:val="23"/>
              <w:rPr>
                <w:rFonts w:hint="eastAsia" w:cs="宋体"/>
              </w:rPr>
            </w:pPr>
          </w:p>
        </w:tc>
      </w:tr>
      <w:tr w14:paraId="0097F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4ADD862A">
            <w:pPr>
              <w:pStyle w:val="23"/>
              <w:rPr>
                <w:rFonts w:hint="eastAsia" w:cs="宋体"/>
              </w:rPr>
            </w:pPr>
          </w:p>
        </w:tc>
        <w:tc>
          <w:tcPr>
            <w:tcW w:w="728" w:type="pct"/>
          </w:tcPr>
          <w:p w14:paraId="2F70D7BE">
            <w:pPr>
              <w:pStyle w:val="23"/>
              <w:rPr>
                <w:rFonts w:hint="eastAsia" w:cs="宋体"/>
              </w:rPr>
            </w:pPr>
          </w:p>
        </w:tc>
        <w:tc>
          <w:tcPr>
            <w:tcW w:w="1091" w:type="pct"/>
          </w:tcPr>
          <w:p w14:paraId="17116FBD">
            <w:pPr>
              <w:pStyle w:val="23"/>
              <w:rPr>
                <w:rFonts w:hint="eastAsia" w:cs="宋体"/>
              </w:rPr>
            </w:pPr>
          </w:p>
        </w:tc>
        <w:tc>
          <w:tcPr>
            <w:tcW w:w="1194" w:type="pct"/>
          </w:tcPr>
          <w:p w14:paraId="12F865BA">
            <w:pPr>
              <w:pStyle w:val="23"/>
              <w:rPr>
                <w:rFonts w:hint="eastAsia" w:cs="宋体"/>
              </w:rPr>
            </w:pPr>
          </w:p>
        </w:tc>
        <w:tc>
          <w:tcPr>
            <w:tcW w:w="561" w:type="pct"/>
          </w:tcPr>
          <w:p w14:paraId="5E634FA9">
            <w:pPr>
              <w:pStyle w:val="23"/>
              <w:rPr>
                <w:rFonts w:hint="eastAsia" w:cs="宋体"/>
              </w:rPr>
            </w:pPr>
          </w:p>
        </w:tc>
        <w:tc>
          <w:tcPr>
            <w:tcW w:w="1032" w:type="pct"/>
          </w:tcPr>
          <w:p w14:paraId="22F3DDFD">
            <w:pPr>
              <w:pStyle w:val="23"/>
              <w:rPr>
                <w:rFonts w:hint="eastAsia" w:cs="宋体"/>
              </w:rPr>
            </w:pPr>
          </w:p>
        </w:tc>
      </w:tr>
      <w:tr w14:paraId="02B73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605F7F43">
            <w:pPr>
              <w:pStyle w:val="23"/>
              <w:rPr>
                <w:rFonts w:hint="eastAsia" w:cs="宋体"/>
              </w:rPr>
            </w:pPr>
          </w:p>
        </w:tc>
        <w:tc>
          <w:tcPr>
            <w:tcW w:w="728" w:type="pct"/>
          </w:tcPr>
          <w:p w14:paraId="4AA216B1">
            <w:pPr>
              <w:pStyle w:val="23"/>
              <w:rPr>
                <w:rFonts w:hint="eastAsia" w:cs="宋体"/>
              </w:rPr>
            </w:pPr>
          </w:p>
        </w:tc>
        <w:tc>
          <w:tcPr>
            <w:tcW w:w="1091" w:type="pct"/>
          </w:tcPr>
          <w:p w14:paraId="474D5214">
            <w:pPr>
              <w:pStyle w:val="23"/>
              <w:rPr>
                <w:rFonts w:hint="eastAsia" w:cs="宋体"/>
              </w:rPr>
            </w:pPr>
          </w:p>
        </w:tc>
        <w:tc>
          <w:tcPr>
            <w:tcW w:w="1194" w:type="pct"/>
          </w:tcPr>
          <w:p w14:paraId="7C529191">
            <w:pPr>
              <w:pStyle w:val="23"/>
              <w:rPr>
                <w:rFonts w:hint="eastAsia" w:cs="宋体"/>
              </w:rPr>
            </w:pPr>
          </w:p>
        </w:tc>
        <w:tc>
          <w:tcPr>
            <w:tcW w:w="561" w:type="pct"/>
          </w:tcPr>
          <w:p w14:paraId="06A772BF">
            <w:pPr>
              <w:pStyle w:val="23"/>
              <w:rPr>
                <w:rFonts w:hint="eastAsia" w:cs="宋体"/>
              </w:rPr>
            </w:pPr>
          </w:p>
        </w:tc>
        <w:tc>
          <w:tcPr>
            <w:tcW w:w="1032" w:type="pct"/>
          </w:tcPr>
          <w:p w14:paraId="60E9C1A8">
            <w:pPr>
              <w:pStyle w:val="23"/>
              <w:rPr>
                <w:rFonts w:hint="eastAsia" w:cs="宋体"/>
              </w:rPr>
            </w:pPr>
          </w:p>
        </w:tc>
      </w:tr>
      <w:tr w14:paraId="0E55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49467865">
            <w:pPr>
              <w:pStyle w:val="23"/>
              <w:rPr>
                <w:rFonts w:hint="eastAsia" w:cs="宋体"/>
              </w:rPr>
            </w:pPr>
          </w:p>
        </w:tc>
        <w:tc>
          <w:tcPr>
            <w:tcW w:w="728" w:type="pct"/>
          </w:tcPr>
          <w:p w14:paraId="2F85A0E6">
            <w:pPr>
              <w:pStyle w:val="23"/>
              <w:rPr>
                <w:rFonts w:hint="eastAsia" w:cs="宋体"/>
              </w:rPr>
            </w:pPr>
          </w:p>
        </w:tc>
        <w:tc>
          <w:tcPr>
            <w:tcW w:w="1091" w:type="pct"/>
          </w:tcPr>
          <w:p w14:paraId="347A58BE">
            <w:pPr>
              <w:pStyle w:val="23"/>
              <w:rPr>
                <w:rFonts w:hint="eastAsia" w:cs="宋体"/>
              </w:rPr>
            </w:pPr>
          </w:p>
        </w:tc>
        <w:tc>
          <w:tcPr>
            <w:tcW w:w="1194" w:type="pct"/>
          </w:tcPr>
          <w:p w14:paraId="54AB4BE9">
            <w:pPr>
              <w:pStyle w:val="23"/>
              <w:rPr>
                <w:rFonts w:hint="eastAsia" w:cs="宋体"/>
              </w:rPr>
            </w:pPr>
          </w:p>
        </w:tc>
        <w:tc>
          <w:tcPr>
            <w:tcW w:w="561" w:type="pct"/>
          </w:tcPr>
          <w:p w14:paraId="4A8C1025">
            <w:pPr>
              <w:pStyle w:val="23"/>
              <w:rPr>
                <w:rFonts w:hint="eastAsia" w:cs="宋体"/>
              </w:rPr>
            </w:pPr>
          </w:p>
        </w:tc>
        <w:tc>
          <w:tcPr>
            <w:tcW w:w="1032" w:type="pct"/>
          </w:tcPr>
          <w:p w14:paraId="7A5447DC">
            <w:pPr>
              <w:pStyle w:val="23"/>
              <w:rPr>
                <w:rFonts w:hint="eastAsia" w:cs="宋体"/>
              </w:rPr>
            </w:pPr>
          </w:p>
        </w:tc>
      </w:tr>
    </w:tbl>
    <w:p w14:paraId="0A371F71">
      <w:pPr>
        <w:pStyle w:val="23"/>
        <w:rPr>
          <w:rFonts w:hint="eastAsia" w:cs="宋体"/>
        </w:rPr>
      </w:pPr>
      <w:r>
        <w:rPr>
          <w:rFonts w:hint="eastAsia" w:cs="宋体"/>
        </w:rPr>
        <w:t xml:space="preserve">注：1、“偏离”系指“正偏离”、“负偏离”或“无偏离”。 </w:t>
      </w:r>
    </w:p>
    <w:p w14:paraId="7FBDF808">
      <w:pPr>
        <w:ind w:firstLine="420" w:firstLineChars="200"/>
        <w:rPr>
          <w:rFonts w:hint="eastAsia" w:cs="宋体"/>
          <w:bCs/>
        </w:rPr>
      </w:pPr>
      <w:r>
        <w:rPr>
          <w:rFonts w:hint="eastAsia" w:cs="宋体"/>
          <w:b/>
          <w:szCs w:val="21"/>
        </w:rPr>
        <w:t>2、如无偏差，投标人可不需要填表，但应声明：</w:t>
      </w:r>
      <w:r>
        <w:rPr>
          <w:rFonts w:hint="eastAsia" w:cs="宋体"/>
          <w:bCs/>
          <w:szCs w:val="21"/>
        </w:rPr>
        <w:t>“</w:t>
      </w:r>
      <w:r>
        <w:rPr>
          <w:rFonts w:hint="eastAsia" w:cs="宋体"/>
          <w:b/>
          <w:szCs w:val="21"/>
        </w:rPr>
        <w:t>本投标文件完全响应招标文件所有商务条款的要求，无偏离。</w:t>
      </w:r>
      <w:r>
        <w:rPr>
          <w:rFonts w:hint="eastAsia" w:cs="宋体"/>
          <w:bCs/>
          <w:sz w:val="24"/>
        </w:rPr>
        <w:t>”</w:t>
      </w:r>
    </w:p>
    <w:p w14:paraId="1D0B99F1">
      <w:pPr>
        <w:spacing w:line="480" w:lineRule="auto"/>
        <w:jc w:val="left"/>
        <w:rPr>
          <w:rFonts w:hint="eastAsia"/>
          <w:b/>
          <w:bCs/>
          <w:szCs w:val="21"/>
        </w:rPr>
      </w:pPr>
    </w:p>
    <w:p w14:paraId="611D7130">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18C38F2">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3B717514">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AA55FF4">
      <w:pPr>
        <w:rPr>
          <w:rFonts w:hint="eastAsia" w:cs="宋体"/>
          <w:b/>
          <w:sz w:val="28"/>
          <w:szCs w:val="28"/>
        </w:rPr>
      </w:pPr>
      <w:r>
        <w:rPr>
          <w:rFonts w:hint="eastAsia" w:cs="宋体"/>
          <w:b/>
          <w:sz w:val="28"/>
          <w:szCs w:val="28"/>
        </w:rPr>
        <w:br w:type="page"/>
      </w:r>
    </w:p>
    <w:p w14:paraId="055EC566">
      <w:pPr>
        <w:jc w:val="center"/>
        <w:outlineLvl w:val="2"/>
        <w:rPr>
          <w:rFonts w:hint="eastAsia"/>
          <w:b/>
          <w:bCs/>
          <w:sz w:val="28"/>
          <w:szCs w:val="36"/>
        </w:rPr>
      </w:pPr>
      <w:bookmarkStart w:id="317" w:name="_Toc23210"/>
      <w:bookmarkStart w:id="318" w:name="_Toc166067785"/>
      <w:bookmarkStart w:id="319" w:name="_Toc54716798"/>
      <w:bookmarkStart w:id="320" w:name="_Toc125986490"/>
      <w:bookmarkStart w:id="321" w:name="_Toc216368785"/>
      <w:bookmarkStart w:id="322" w:name="_Toc125904355"/>
      <w:bookmarkStart w:id="323" w:name="_Toc48831820"/>
      <w:bookmarkStart w:id="324" w:name="_Toc170120958"/>
      <w:bookmarkStart w:id="325" w:name="_Toc139357082"/>
      <w:bookmarkStart w:id="326" w:name="_Toc80973394"/>
      <w:bookmarkStart w:id="327" w:name="_Toc17280226"/>
      <w:bookmarkStart w:id="328" w:name="_Toc216724758"/>
      <w:bookmarkStart w:id="329" w:name="_Toc21799"/>
      <w:bookmarkStart w:id="330" w:name="_Toc30917"/>
      <w:bookmarkStart w:id="331" w:name="_Toc522782869"/>
      <w:r>
        <w:rPr>
          <w:rFonts w:hint="eastAsia" w:cs="宋体"/>
          <w:b/>
          <w:sz w:val="28"/>
          <w:szCs w:val="28"/>
        </w:rPr>
        <w:t>（四）</w:t>
      </w:r>
      <w:r>
        <w:rPr>
          <w:rFonts w:hint="eastAsia"/>
          <w:b/>
          <w:bCs/>
          <w:sz w:val="28"/>
          <w:szCs w:val="36"/>
        </w:rPr>
        <w:t>投标人在投标文件中未提供虚假材料的承诺</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FC77E8C">
      <w:pPr>
        <w:rPr>
          <w:rFonts w:hint="eastAsia" w:cs="宋体"/>
          <w:szCs w:val="21"/>
        </w:rPr>
      </w:pPr>
      <w:r>
        <w:rPr>
          <w:rFonts w:hint="eastAsia" w:cs="宋体"/>
          <w:szCs w:val="21"/>
        </w:rPr>
        <w:t>致：</w:t>
      </w:r>
      <w:r>
        <w:rPr>
          <w:rFonts w:hint="eastAsia" w:cs="宋体"/>
          <w:szCs w:val="21"/>
          <w:u w:val="single"/>
        </w:rPr>
        <w:t>（采购人名称）</w:t>
      </w:r>
    </w:p>
    <w:p w14:paraId="434E85F2">
      <w:pPr>
        <w:ind w:firstLine="420" w:firstLineChars="200"/>
        <w:rPr>
          <w:rFonts w:hint="eastAsia" w:cs="宋体"/>
          <w:szCs w:val="21"/>
        </w:rPr>
      </w:pPr>
      <w:r>
        <w:rPr>
          <w:rFonts w:hint="eastAsia" w:cs="宋体"/>
          <w:szCs w:val="21"/>
          <w:u w:val="single"/>
        </w:rPr>
        <w:t xml:space="preserve">   （投标人名称）   </w:t>
      </w:r>
      <w:r>
        <w:rPr>
          <w:rFonts w:hint="eastAsia" w:cs="宋体"/>
          <w:szCs w:val="21"/>
        </w:rPr>
        <w:t>现对我公司参与的</w:t>
      </w:r>
      <w:r>
        <w:rPr>
          <w:rFonts w:hint="eastAsia" w:cs="宋体"/>
          <w:b/>
          <w:szCs w:val="21"/>
          <w:u w:val="single"/>
        </w:rPr>
        <w:t xml:space="preserve">            </w:t>
      </w:r>
      <w:r>
        <w:rPr>
          <w:rFonts w:hint="eastAsia" w:cs="宋体"/>
          <w:szCs w:val="21"/>
          <w:u w:val="single"/>
        </w:rPr>
        <w:t>（标段名称）</w:t>
      </w:r>
      <w:r>
        <w:rPr>
          <w:rFonts w:hint="eastAsia" w:cs="宋体"/>
          <w:b/>
          <w:szCs w:val="21"/>
          <w:u w:val="single"/>
        </w:rPr>
        <w:t xml:space="preserve">        </w:t>
      </w:r>
      <w:r>
        <w:rPr>
          <w:rFonts w:hint="eastAsia" w:cs="宋体"/>
          <w:szCs w:val="21"/>
        </w:rPr>
        <w:t>（标段编号：</w:t>
      </w:r>
      <w:r>
        <w:rPr>
          <w:rFonts w:hint="eastAsia" w:cs="宋体"/>
          <w:b/>
          <w:szCs w:val="21"/>
          <w:u w:val="single"/>
        </w:rPr>
        <w:t xml:space="preserve">          </w:t>
      </w:r>
      <w:r>
        <w:rPr>
          <w:rFonts w:hint="eastAsia" w:cs="宋体"/>
          <w:szCs w:val="21"/>
        </w:rPr>
        <w:t xml:space="preserve"> ）投标中，所提供的所有投标文件材料的真实性郑重声明如下：</w:t>
      </w:r>
    </w:p>
    <w:p w14:paraId="36755A86">
      <w:pPr>
        <w:ind w:firstLine="420" w:firstLineChars="200"/>
        <w:rPr>
          <w:rFonts w:hint="eastAsia" w:cs="宋体"/>
          <w:szCs w:val="21"/>
        </w:rPr>
      </w:pPr>
      <w:r>
        <w:rPr>
          <w:rFonts w:hint="eastAsia" w:cs="宋体"/>
          <w:szCs w:val="21"/>
        </w:rPr>
        <w:t>1、我公司参与本项目投标文件所提供的各项材料，包括但不限于企业基本信息材料、资质与资格材料、</w:t>
      </w:r>
      <w:r>
        <w:rPr>
          <w:rFonts w:hint="eastAsia" w:cs="宋体"/>
        </w:rPr>
        <w:t>《中小企业声明函》（若有）、残疾人</w:t>
      </w:r>
      <w:r>
        <w:rPr>
          <w:rFonts w:hint="eastAsia" w:cs="宋体"/>
          <w:szCs w:val="28"/>
        </w:rPr>
        <w:t>福利性单位声明函（若有）、</w:t>
      </w:r>
      <w:r>
        <w:rPr>
          <w:rFonts w:hint="eastAsia" w:cs="宋体"/>
        </w:rPr>
        <w:t>监狱企业的证明文件（若有）、</w:t>
      </w:r>
      <w:r>
        <w:rPr>
          <w:rFonts w:hint="eastAsia" w:cs="宋体"/>
          <w:szCs w:val="21"/>
        </w:rPr>
        <w:t>技术参数材料等均是真实的。</w:t>
      </w:r>
    </w:p>
    <w:p w14:paraId="4F1E96B4">
      <w:pPr>
        <w:ind w:firstLine="420" w:firstLineChars="200"/>
        <w:rPr>
          <w:rFonts w:hint="eastAsia" w:cs="宋体"/>
          <w:szCs w:val="21"/>
        </w:rPr>
      </w:pPr>
      <w:r>
        <w:rPr>
          <w:rFonts w:hint="eastAsia" w:cs="宋体"/>
          <w:szCs w:val="21"/>
        </w:rPr>
        <w:t>2、我方投标文件中提供的相关材料满足采购人依照本投标文件有关规定进行核查的要求。若根据我方提供的材料无法进行核查或者核查结果证明我方提供的材料不实，我方愿意承担相应的后果。</w:t>
      </w:r>
    </w:p>
    <w:p w14:paraId="638850EE">
      <w:pPr>
        <w:ind w:firstLine="480"/>
        <w:rPr>
          <w:rFonts w:hint="eastAsia" w:cs="宋体"/>
          <w:b/>
          <w:szCs w:val="21"/>
        </w:rPr>
      </w:pPr>
      <w:r>
        <w:rPr>
          <w:rFonts w:hint="eastAsia" w:cs="宋体"/>
          <w:b/>
          <w:szCs w:val="21"/>
        </w:rPr>
        <w:t>我方郑重承诺：如提供虚假、不真实资料，我方将接受相关处罚，并对因此而造成的损失承担法律责任。</w:t>
      </w:r>
    </w:p>
    <w:p w14:paraId="7F95969F">
      <w:pPr>
        <w:pStyle w:val="167"/>
        <w:ind w:firstLine="420"/>
        <w:rPr>
          <w:rFonts w:hint="eastAsia"/>
          <w:lang w:eastAsia="zh-CN"/>
        </w:rPr>
      </w:pPr>
    </w:p>
    <w:p w14:paraId="28C03BA3">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71BCA903">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DACDF42">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1BFDDAE5">
      <w:pPr>
        <w:pStyle w:val="19"/>
        <w:rPr>
          <w:rFonts w:hint="eastAsia"/>
        </w:rPr>
      </w:pPr>
    </w:p>
    <w:p w14:paraId="74C336AA">
      <w:pPr>
        <w:widowControl/>
        <w:spacing w:line="240" w:lineRule="auto"/>
        <w:jc w:val="left"/>
        <w:rPr>
          <w:rFonts w:hint="eastAsia"/>
          <w:b/>
          <w:spacing w:val="6"/>
          <w:sz w:val="28"/>
          <w:szCs w:val="21"/>
        </w:rPr>
      </w:pPr>
      <w:r>
        <w:rPr>
          <w:b/>
          <w:spacing w:val="6"/>
          <w:sz w:val="28"/>
          <w:szCs w:val="21"/>
        </w:rPr>
        <w:br w:type="page"/>
      </w:r>
    </w:p>
    <w:p w14:paraId="6F0F9876">
      <w:pPr>
        <w:jc w:val="center"/>
        <w:outlineLvl w:val="2"/>
        <w:rPr>
          <w:rFonts w:hint="eastAsia"/>
          <w:b/>
          <w:bCs/>
          <w:sz w:val="28"/>
          <w:szCs w:val="36"/>
        </w:rPr>
      </w:pPr>
      <w:bookmarkStart w:id="332" w:name="_Toc125986485"/>
      <w:bookmarkStart w:id="333" w:name="_Toc139357085"/>
      <w:bookmarkStart w:id="334" w:name="_Toc125904348"/>
      <w:bookmarkStart w:id="335" w:name="_Toc166067788"/>
      <w:bookmarkStart w:id="336" w:name="_Toc170120961"/>
      <w:bookmarkStart w:id="337" w:name="_Toc216368787"/>
      <w:bookmarkStart w:id="338" w:name="_Toc216724760"/>
      <w:bookmarkStart w:id="339" w:name="_Toc2922"/>
      <w:bookmarkStart w:id="340" w:name="_Toc125986492"/>
      <w:bookmarkStart w:id="341" w:name="_Toc24222"/>
      <w:bookmarkStart w:id="342" w:name="_Toc125904357"/>
      <w:bookmarkStart w:id="343" w:name="_Toc30870"/>
      <w:bookmarkStart w:id="344" w:name="_Toc15588"/>
      <w:bookmarkStart w:id="345" w:name="_Toc71814245"/>
      <w:bookmarkStart w:id="346" w:name="_Toc20188"/>
      <w:bookmarkStart w:id="347" w:name="_Toc80973386"/>
      <w:bookmarkStart w:id="348" w:name="_Toc73464055"/>
      <w:bookmarkStart w:id="349" w:name="_Toc348010011"/>
      <w:r>
        <w:rPr>
          <w:rFonts w:hint="eastAsia"/>
          <w:b/>
          <w:bCs/>
          <w:sz w:val="28"/>
          <w:szCs w:val="36"/>
        </w:rPr>
        <w:t>（五）</w:t>
      </w:r>
      <w:bookmarkEnd w:id="332"/>
      <w:bookmarkEnd w:id="333"/>
      <w:bookmarkEnd w:id="334"/>
      <w:bookmarkEnd w:id="335"/>
      <w:bookmarkEnd w:id="336"/>
      <w:r>
        <w:rPr>
          <w:rFonts w:hint="eastAsia"/>
          <w:b/>
          <w:bCs/>
          <w:sz w:val="28"/>
          <w:szCs w:val="36"/>
        </w:rPr>
        <w:t>供货方案</w:t>
      </w:r>
      <w:bookmarkEnd w:id="337"/>
      <w:bookmarkEnd w:id="338"/>
      <w:bookmarkEnd w:id="339"/>
    </w:p>
    <w:p w14:paraId="4458E39F">
      <w:pPr>
        <w:pStyle w:val="23"/>
        <w:jc w:val="center"/>
        <w:rPr>
          <w:rFonts w:hint="eastAsia" w:cs="宋体"/>
        </w:rPr>
      </w:pPr>
      <w:r>
        <w:rPr>
          <w:rFonts w:hint="eastAsia" w:cs="宋体"/>
        </w:rPr>
        <w:t>（格式内容自拟）</w:t>
      </w:r>
    </w:p>
    <w:p w14:paraId="2121353D">
      <w:pPr>
        <w:rPr>
          <w:rFonts w:hint="eastAsia"/>
        </w:rPr>
      </w:pPr>
    </w:p>
    <w:p w14:paraId="12041CE9">
      <w:pPr>
        <w:rPr>
          <w:rFonts w:hint="eastAsia"/>
        </w:rPr>
      </w:pPr>
    </w:p>
    <w:p w14:paraId="42D5CF84">
      <w:pPr>
        <w:jc w:val="center"/>
        <w:outlineLvl w:val="2"/>
        <w:rPr>
          <w:rFonts w:hint="eastAsia"/>
          <w:b/>
          <w:bCs/>
          <w:sz w:val="28"/>
          <w:szCs w:val="36"/>
        </w:rPr>
      </w:pPr>
      <w:bookmarkStart w:id="350" w:name="_Toc139357086"/>
      <w:bookmarkStart w:id="351" w:name="_Toc170120962"/>
      <w:bookmarkStart w:id="352" w:name="_Toc166067789"/>
      <w:bookmarkStart w:id="353" w:name="_Toc216368788"/>
      <w:bookmarkStart w:id="354" w:name="_Toc216724761"/>
      <w:bookmarkStart w:id="355" w:name="_Toc12175"/>
      <w:r>
        <w:rPr>
          <w:rFonts w:hint="eastAsia"/>
          <w:b/>
          <w:bCs/>
          <w:sz w:val="28"/>
          <w:szCs w:val="36"/>
        </w:rPr>
        <w:t>（六）售后服务</w:t>
      </w:r>
      <w:bookmarkEnd w:id="350"/>
      <w:bookmarkEnd w:id="351"/>
      <w:bookmarkEnd w:id="352"/>
      <w:r>
        <w:rPr>
          <w:rFonts w:hint="eastAsia"/>
          <w:b/>
          <w:bCs/>
          <w:sz w:val="28"/>
          <w:szCs w:val="36"/>
        </w:rPr>
        <w:t>方案</w:t>
      </w:r>
      <w:bookmarkEnd w:id="353"/>
      <w:bookmarkEnd w:id="354"/>
      <w:bookmarkEnd w:id="355"/>
    </w:p>
    <w:p w14:paraId="1F86CFA0">
      <w:pPr>
        <w:pStyle w:val="23"/>
        <w:jc w:val="center"/>
        <w:rPr>
          <w:rFonts w:hint="eastAsia" w:cs="宋体"/>
        </w:rPr>
      </w:pPr>
      <w:r>
        <w:rPr>
          <w:rFonts w:hint="eastAsia" w:cs="宋体"/>
        </w:rPr>
        <w:t>（格式内容自拟）</w:t>
      </w:r>
    </w:p>
    <w:p w14:paraId="11D7EA58">
      <w:pPr>
        <w:pStyle w:val="23"/>
        <w:jc w:val="center"/>
        <w:rPr>
          <w:rFonts w:hint="eastAsia" w:cs="宋体"/>
        </w:rPr>
      </w:pPr>
      <w:r>
        <w:rPr>
          <w:rFonts w:hint="eastAsia" w:cs="宋体"/>
        </w:rPr>
        <w:t xml:space="preserve"> </w:t>
      </w:r>
    </w:p>
    <w:p w14:paraId="2345F4CF">
      <w:pPr>
        <w:rPr>
          <w:rFonts w:hint="eastAsia"/>
        </w:rPr>
      </w:pPr>
    </w:p>
    <w:p w14:paraId="4DCD5D93">
      <w:pPr>
        <w:jc w:val="center"/>
        <w:outlineLvl w:val="2"/>
        <w:rPr>
          <w:rFonts w:hint="eastAsia"/>
          <w:b/>
          <w:bCs/>
          <w:sz w:val="28"/>
          <w:szCs w:val="36"/>
        </w:rPr>
      </w:pPr>
      <w:bookmarkStart w:id="356" w:name="_Toc216368789"/>
      <w:bookmarkStart w:id="357" w:name="_Toc170120963"/>
      <w:bookmarkStart w:id="358" w:name="_Toc166067790"/>
      <w:bookmarkStart w:id="359" w:name="_Toc216724762"/>
      <w:bookmarkStart w:id="360" w:name="_Toc139357087"/>
      <w:bookmarkStart w:id="361" w:name="_Toc2388"/>
      <w:r>
        <w:rPr>
          <w:rFonts w:hint="eastAsia"/>
          <w:b/>
          <w:bCs/>
          <w:sz w:val="28"/>
          <w:szCs w:val="36"/>
        </w:rPr>
        <w:t>（七）人员培训方案</w:t>
      </w:r>
      <w:bookmarkEnd w:id="356"/>
      <w:bookmarkEnd w:id="357"/>
      <w:bookmarkEnd w:id="358"/>
      <w:bookmarkEnd w:id="359"/>
      <w:bookmarkEnd w:id="360"/>
      <w:bookmarkEnd w:id="361"/>
    </w:p>
    <w:p w14:paraId="5A8BA8F7">
      <w:pPr>
        <w:pStyle w:val="23"/>
        <w:jc w:val="center"/>
        <w:rPr>
          <w:rFonts w:hint="eastAsia" w:cs="宋体"/>
        </w:rPr>
      </w:pPr>
      <w:r>
        <w:rPr>
          <w:rFonts w:hint="eastAsia" w:cs="宋体"/>
        </w:rPr>
        <w:t>（格式内容自拟）</w:t>
      </w:r>
    </w:p>
    <w:p w14:paraId="3ADE0065">
      <w:pPr>
        <w:rPr>
          <w:rFonts w:hint="eastAsia"/>
        </w:rPr>
      </w:pPr>
    </w:p>
    <w:p w14:paraId="71C1F569">
      <w:pPr>
        <w:rPr>
          <w:rFonts w:hint="eastAsia"/>
          <w:b/>
          <w:bCs/>
          <w:sz w:val="28"/>
          <w:szCs w:val="36"/>
        </w:rPr>
      </w:pPr>
    </w:p>
    <w:p w14:paraId="38F0AB5D">
      <w:pPr>
        <w:jc w:val="center"/>
        <w:outlineLvl w:val="2"/>
        <w:rPr>
          <w:rFonts w:hint="eastAsia"/>
          <w:b/>
          <w:bCs/>
          <w:sz w:val="28"/>
          <w:szCs w:val="36"/>
        </w:rPr>
      </w:pPr>
      <w:bookmarkStart w:id="362" w:name="_Toc216368790"/>
      <w:bookmarkStart w:id="363" w:name="_Toc216724763"/>
      <w:bookmarkStart w:id="364" w:name="_Toc23065"/>
      <w:r>
        <w:rPr>
          <w:rFonts w:hint="eastAsia"/>
          <w:b/>
          <w:bCs/>
          <w:sz w:val="28"/>
          <w:szCs w:val="36"/>
        </w:rPr>
        <w:t>（八）质量保证及承诺</w:t>
      </w:r>
      <w:bookmarkEnd w:id="362"/>
      <w:bookmarkEnd w:id="363"/>
      <w:bookmarkEnd w:id="364"/>
    </w:p>
    <w:p w14:paraId="03EAF01F">
      <w:pPr>
        <w:pStyle w:val="23"/>
        <w:jc w:val="center"/>
        <w:rPr>
          <w:rFonts w:hint="eastAsia" w:cs="宋体"/>
        </w:rPr>
      </w:pPr>
      <w:r>
        <w:rPr>
          <w:rFonts w:hint="eastAsia" w:cs="宋体"/>
        </w:rPr>
        <w:t>（格式内容自拟）</w:t>
      </w:r>
    </w:p>
    <w:p w14:paraId="573A6A49">
      <w:pPr>
        <w:rPr>
          <w:rFonts w:hint="eastAsia"/>
          <w:b/>
          <w:bCs/>
          <w:sz w:val="28"/>
          <w:szCs w:val="36"/>
        </w:rPr>
      </w:pPr>
      <w:r>
        <w:rPr>
          <w:rFonts w:hint="eastAsia"/>
          <w:b/>
          <w:bCs/>
          <w:sz w:val="28"/>
          <w:szCs w:val="36"/>
        </w:rPr>
        <w:br w:type="page"/>
      </w:r>
    </w:p>
    <w:bookmarkEnd w:id="340"/>
    <w:bookmarkEnd w:id="341"/>
    <w:bookmarkEnd w:id="342"/>
    <w:bookmarkEnd w:id="343"/>
    <w:p w14:paraId="770C56B2">
      <w:pPr>
        <w:jc w:val="center"/>
        <w:outlineLvl w:val="2"/>
        <w:rPr>
          <w:rFonts w:hint="eastAsia"/>
          <w:b/>
          <w:bCs/>
          <w:sz w:val="28"/>
          <w:szCs w:val="36"/>
        </w:rPr>
      </w:pPr>
      <w:bookmarkStart w:id="365" w:name="_Toc31617"/>
      <w:bookmarkStart w:id="366" w:name="_Toc125904358"/>
      <w:bookmarkStart w:id="367" w:name="_Toc170120965"/>
      <w:bookmarkStart w:id="368" w:name="_Toc166067792"/>
      <w:bookmarkStart w:id="369" w:name="_Toc125986493"/>
      <w:bookmarkStart w:id="370" w:name="_Toc216368791"/>
      <w:bookmarkStart w:id="371" w:name="_Toc139357089"/>
      <w:bookmarkStart w:id="372" w:name="_Toc216724764"/>
      <w:r>
        <w:rPr>
          <w:rFonts w:hint="eastAsia"/>
          <w:b/>
          <w:bCs/>
          <w:sz w:val="28"/>
          <w:szCs w:val="36"/>
        </w:rPr>
        <w:t>（九）</w:t>
      </w:r>
      <w:r>
        <w:rPr>
          <w:b/>
          <w:bCs/>
          <w:sz w:val="28"/>
          <w:szCs w:val="36"/>
        </w:rPr>
        <w:t>关于符合本国产品标准的声明函</w:t>
      </w:r>
      <w:bookmarkEnd w:id="365"/>
    </w:p>
    <w:p w14:paraId="2F66E540">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本公司（单位）郑重声明，根据《国务院办公厅关于在政府采购中实施本国产品标准及相关政策的通知》（国办发〔2025〕34号）的规定，</w:t>
      </w:r>
      <w:r>
        <w:rPr>
          <w:rFonts w:cs="宋体"/>
          <w:b/>
          <w:color w:val="000000"/>
          <w:kern w:val="0"/>
          <w:szCs w:val="21"/>
          <w:u w:val="single"/>
          <w:shd w:val="clear" w:color="auto" w:fill="FFFFFF"/>
        </w:rPr>
        <w:t>本公司（单位）</w:t>
      </w:r>
      <w:r>
        <w:rPr>
          <w:rFonts w:cs="宋体"/>
          <w:b/>
          <w:color w:val="000000"/>
          <w:kern w:val="0"/>
          <w:szCs w:val="21"/>
          <w:shd w:val="clear" w:color="auto" w:fill="FFFFFF"/>
        </w:rPr>
        <w:t>提供的以下产品属于本国产品</w:t>
      </w:r>
      <w:r>
        <w:rPr>
          <w:rFonts w:cs="宋体"/>
          <w:color w:val="000000"/>
          <w:kern w:val="0"/>
          <w:szCs w:val="21"/>
          <w:shd w:val="clear" w:color="auto" w:fill="FFFFFF"/>
        </w:rPr>
        <w:t>。具体情况如下：</w:t>
      </w:r>
    </w:p>
    <w:p w14:paraId="19758206">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1.（</w:t>
      </w:r>
      <w:r>
        <w:rPr>
          <w:rFonts w:cs="宋体"/>
          <w:color w:val="000000"/>
          <w:kern w:val="0"/>
          <w:szCs w:val="21"/>
          <w:u w:val="single"/>
          <w:shd w:val="clear" w:color="auto" w:fill="FFFFFF"/>
        </w:rPr>
        <w:t>产品名称1</w:t>
      </w:r>
      <w:r>
        <w:rPr>
          <w:rFonts w:cs="宋体"/>
          <w:color w:val="000000"/>
          <w:kern w:val="0"/>
          <w:szCs w:val="21"/>
          <w:shd w:val="clear" w:color="auto" w:fill="FFFFFF"/>
        </w:rPr>
        <w:t>）1，生产厂为（</w:t>
      </w:r>
      <w:r>
        <w:rPr>
          <w:rFonts w:cs="宋体"/>
          <w:color w:val="000000"/>
          <w:kern w:val="0"/>
          <w:szCs w:val="21"/>
          <w:u w:val="single"/>
          <w:shd w:val="clear" w:color="auto" w:fill="FFFFFF"/>
        </w:rPr>
        <w:t>厂名</w:t>
      </w:r>
      <w:r>
        <w:rPr>
          <w:rFonts w:cs="宋体"/>
          <w:color w:val="000000"/>
          <w:kern w:val="0"/>
          <w:szCs w:val="21"/>
          <w:shd w:val="clear" w:color="auto" w:fill="FFFFFF"/>
        </w:rPr>
        <w:t>）2，厂址为（</w:t>
      </w:r>
      <w:r>
        <w:rPr>
          <w:rFonts w:cs="宋体"/>
          <w:color w:val="000000"/>
          <w:kern w:val="0"/>
          <w:szCs w:val="21"/>
          <w:u w:val="single"/>
          <w:shd w:val="clear" w:color="auto" w:fill="FFFFFF"/>
        </w:rPr>
        <w:t>生产厂址</w:t>
      </w:r>
      <w:r>
        <w:rPr>
          <w:rFonts w:cs="宋体"/>
          <w:color w:val="000000"/>
          <w:kern w:val="0"/>
          <w:szCs w:val="21"/>
          <w:shd w:val="clear" w:color="auto" w:fill="FFFFFF"/>
        </w:rPr>
        <w:t>）。（</w:t>
      </w:r>
      <w:r>
        <w:rPr>
          <w:rFonts w:cs="宋体"/>
          <w:color w:val="000000"/>
          <w:kern w:val="0"/>
          <w:szCs w:val="21"/>
          <w:u w:val="single"/>
          <w:shd w:val="clear" w:color="auto" w:fill="FFFFFF"/>
        </w:rPr>
        <w:t>产品名称1</w:t>
      </w:r>
      <w:r>
        <w:rPr>
          <w:rFonts w:cs="宋体"/>
          <w:color w:val="000000"/>
          <w:kern w:val="0"/>
          <w:szCs w:val="21"/>
          <w:shd w:val="clear" w:color="auto" w:fill="FFFFFF"/>
        </w:rPr>
        <w:t>）的中国境内生产的组件成本占比≥（</w:t>
      </w:r>
      <w:r>
        <w:rPr>
          <w:rFonts w:cs="宋体"/>
          <w:color w:val="000000"/>
          <w:kern w:val="0"/>
          <w:szCs w:val="21"/>
          <w:u w:val="single"/>
          <w:shd w:val="clear" w:color="auto" w:fill="FFFFFF"/>
        </w:rPr>
        <w:t>规定比例</w:t>
      </w:r>
      <w:r>
        <w:rPr>
          <w:rFonts w:cs="宋体"/>
          <w:color w:val="000000"/>
          <w:kern w:val="0"/>
          <w:szCs w:val="21"/>
          <w:shd w:val="clear" w:color="auto" w:fill="FFFFFF"/>
        </w:rPr>
        <w:t>）3。（</w:t>
      </w:r>
      <w:r>
        <w:rPr>
          <w:rFonts w:cs="宋体"/>
          <w:color w:val="000000"/>
          <w:kern w:val="0"/>
          <w:szCs w:val="21"/>
          <w:u w:val="single"/>
          <w:shd w:val="clear" w:color="auto" w:fill="FFFFFF"/>
        </w:rPr>
        <w:t>产品名称1</w:t>
      </w:r>
      <w:r>
        <w:rPr>
          <w:rFonts w:cs="宋体"/>
          <w:color w:val="000000"/>
          <w:kern w:val="0"/>
          <w:szCs w:val="21"/>
          <w:shd w:val="clear" w:color="auto" w:fill="FFFFFF"/>
        </w:rPr>
        <w:t>）的（</w:t>
      </w:r>
      <w:r>
        <w:rPr>
          <w:rFonts w:cs="宋体"/>
          <w:color w:val="000000"/>
          <w:kern w:val="0"/>
          <w:szCs w:val="21"/>
          <w:u w:val="single"/>
          <w:shd w:val="clear" w:color="auto" w:fill="FFFFFF"/>
        </w:rPr>
        <w:t>关键组件</w:t>
      </w:r>
      <w:r>
        <w:rPr>
          <w:rFonts w:cs="宋体"/>
          <w:color w:val="000000"/>
          <w:kern w:val="0"/>
          <w:szCs w:val="21"/>
          <w:shd w:val="clear" w:color="auto" w:fill="FFFFFF"/>
        </w:rPr>
        <w:t>）4在中国境内生产。（产品名称1）的（</w:t>
      </w:r>
      <w:r>
        <w:rPr>
          <w:rFonts w:cs="宋体"/>
          <w:color w:val="000000"/>
          <w:kern w:val="0"/>
          <w:szCs w:val="21"/>
          <w:u w:val="single"/>
          <w:shd w:val="clear" w:color="auto" w:fill="FFFFFF"/>
        </w:rPr>
        <w:t>关键工序</w:t>
      </w:r>
      <w:r>
        <w:rPr>
          <w:rFonts w:cs="宋体"/>
          <w:color w:val="000000"/>
          <w:kern w:val="0"/>
          <w:szCs w:val="21"/>
          <w:shd w:val="clear" w:color="auto" w:fill="FFFFFF"/>
        </w:rPr>
        <w:t>）5在中国境内完成。</w:t>
      </w:r>
    </w:p>
    <w:p w14:paraId="4C09D561">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2.（产品名称2），生产厂为（厂名），厂址为（生产厂址）。（产品名称2）的中国境内生产的组件成本占比≥（规定比例）。（产品名称2）的（关键组件）在中国境内生产。（产品名称2）的（关键工序）在中国境内完成。</w:t>
      </w:r>
    </w:p>
    <w:p w14:paraId="304BC2BB">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w:t>
      </w:r>
    </w:p>
    <w:p w14:paraId="657A4743">
      <w:pPr>
        <w:widowControl/>
        <w:shd w:val="clear" w:color="auto" w:fill="FFFFFF"/>
        <w:ind w:firstLine="420" w:firstLineChars="200"/>
        <w:textAlignment w:val="baseline"/>
        <w:rPr>
          <w:rFonts w:hint="eastAsia" w:cs="宋体"/>
          <w:color w:val="000000"/>
          <w:kern w:val="0"/>
          <w:szCs w:val="21"/>
        </w:rPr>
      </w:pPr>
      <w:r>
        <w:rPr>
          <w:rFonts w:cs="宋体"/>
          <w:b/>
          <w:bCs/>
          <w:color w:val="000000"/>
          <w:kern w:val="0"/>
          <w:szCs w:val="21"/>
          <w:u w:val="single"/>
          <w:shd w:val="clear" w:color="auto" w:fill="FFFFFF"/>
        </w:rPr>
        <w:t>本公司（单位）</w:t>
      </w:r>
      <w:r>
        <w:rPr>
          <w:rFonts w:cs="宋体"/>
          <w:color w:val="000000"/>
          <w:kern w:val="0"/>
          <w:szCs w:val="21"/>
          <w:shd w:val="clear" w:color="auto" w:fill="FFFFFF"/>
        </w:rPr>
        <w:t>对上述声明内容的真实性负责。如有虚假，愿承担相应法律责任。</w:t>
      </w:r>
    </w:p>
    <w:p w14:paraId="1F0CD28C">
      <w:pPr>
        <w:widowControl/>
        <w:shd w:val="clear" w:color="auto" w:fill="FFFFFF"/>
        <w:spacing w:before="20" w:after="20" w:line="560" w:lineRule="atLeast"/>
        <w:jc w:val="left"/>
        <w:textAlignment w:val="baseline"/>
        <w:rPr>
          <w:rFonts w:hint="eastAsia" w:cs="宋体"/>
          <w:color w:val="000000"/>
          <w:kern w:val="0"/>
          <w:szCs w:val="21"/>
        </w:rPr>
      </w:pPr>
    </w:p>
    <w:p w14:paraId="49F60C57">
      <w:pPr>
        <w:spacing w:line="500" w:lineRule="exact"/>
        <w:ind w:firstLine="210" w:firstLineChars="100"/>
        <w:jc w:val="left"/>
        <w:rPr>
          <w:rFonts w:hint="eastAsia" w:cs="宋体"/>
          <w:b/>
          <w:bCs/>
          <w:color w:val="000000"/>
          <w:szCs w:val="21"/>
          <w:shd w:val="clear" w:color="auto" w:fill="FFFFFF"/>
        </w:rPr>
      </w:pPr>
      <w:r>
        <w:rPr>
          <w:rFonts w:cs="宋体"/>
          <w:b/>
          <w:bCs/>
          <w:color w:val="000000"/>
          <w:szCs w:val="21"/>
          <w:shd w:val="clear" w:color="auto" w:fill="FFFFFF"/>
        </w:rPr>
        <w:t>公司（单位）名称（盖章）：</w:t>
      </w:r>
    </w:p>
    <w:p w14:paraId="7F444A61">
      <w:pPr>
        <w:spacing w:line="500" w:lineRule="exact"/>
        <w:ind w:firstLine="210" w:firstLineChars="100"/>
        <w:jc w:val="left"/>
        <w:rPr>
          <w:rFonts w:hint="eastAsia"/>
          <w:b/>
          <w:bCs/>
          <w:szCs w:val="21"/>
        </w:rPr>
      </w:pPr>
      <w:r>
        <w:rPr>
          <w:b/>
          <w:bCs/>
          <w:szCs w:val="21"/>
        </w:rPr>
        <w:t xml:space="preserve">日期：        年     月     日 </w:t>
      </w:r>
    </w:p>
    <w:p w14:paraId="79E67733">
      <w:pPr>
        <w:widowControl/>
        <w:shd w:val="clear" w:color="auto" w:fill="FFFFFF"/>
        <w:spacing w:before="20" w:after="20" w:line="240" w:lineRule="auto"/>
        <w:ind w:firstLine="420"/>
        <w:jc w:val="left"/>
        <w:textAlignment w:val="baseline"/>
        <w:rPr>
          <w:rFonts w:hint="eastAsia" w:cs="宋体"/>
          <w:color w:val="000000"/>
          <w:kern w:val="0"/>
          <w:szCs w:val="21"/>
          <w:shd w:val="clear" w:color="auto" w:fill="FFFFFF"/>
        </w:rPr>
      </w:pPr>
    </w:p>
    <w:p w14:paraId="1977EB6C">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1.产品如有型号，请在“产品名称”栏一并填写。</w:t>
      </w:r>
    </w:p>
    <w:p w14:paraId="288F4682">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2.生产厂名与厂址应与生产厂营业执照载明的相关信息保持一致。</w:t>
      </w:r>
    </w:p>
    <w:p w14:paraId="1B90AC84">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3.该产品的中国境内生产的组件成本占比相关要求实施前，“规定比例”栏可不填，下同。</w:t>
      </w:r>
    </w:p>
    <w:p w14:paraId="1836FBC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4.该产品的关键组件要求实施前，“关键组件”栏可不填，下同。</w:t>
      </w:r>
    </w:p>
    <w:p w14:paraId="1065C12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5.该产品的关键工序要求实施前，“关键工序”栏可不填，下同。</w:t>
      </w:r>
    </w:p>
    <w:p w14:paraId="2AAF05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6.当采购项目或者采购包中含有多种产品，应当逐项填写。</w:t>
      </w:r>
    </w:p>
    <w:p w14:paraId="17822C8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7.服务采购项目中涉及的货物，也应按本函格式，逐项填写。</w:t>
      </w:r>
    </w:p>
    <w:p w14:paraId="77F25C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8.招标代理机构将随中标、成交结果同时公告中标、成交供应商提供的《声明函》或有关证明文件，请各投标人如实进行声明。</w:t>
      </w:r>
    </w:p>
    <w:p w14:paraId="27E2F66A">
      <w:pPr>
        <w:widowControl/>
        <w:shd w:val="clear" w:color="auto" w:fill="FFFFFF"/>
        <w:spacing w:before="20" w:after="20"/>
        <w:ind w:firstLine="420" w:firstLineChars="200"/>
        <w:textAlignment w:val="baseline"/>
        <w:rPr>
          <w:rFonts w:hint="eastAsia" w:cs="宋体"/>
          <w:color w:val="000000"/>
          <w:kern w:val="0"/>
          <w:szCs w:val="21"/>
          <w:shd w:val="clear" w:color="auto" w:fill="FFFFFF"/>
        </w:rPr>
      </w:pPr>
      <w:r>
        <w:rPr>
          <w:rFonts w:cs="宋体"/>
          <w:color w:val="000000"/>
          <w:kern w:val="0"/>
          <w:szCs w:val="21"/>
          <w:shd w:val="clear" w:color="auto" w:fill="FFFFFF"/>
        </w:rPr>
        <w:t>9.供应商提供虚假《声明函》、虚假证明文件谋取中标、成交的，依照《中华人民共和国政府采购法》等法律法规规定追究相应责任。</w:t>
      </w:r>
    </w:p>
    <w:p w14:paraId="49141AF2">
      <w:pPr>
        <w:ind w:firstLine="420" w:firstLineChars="200"/>
        <w:rPr>
          <w:rFonts w:hint="eastAsia" w:cs="宋体"/>
          <w:b/>
          <w:sz w:val="28"/>
          <w:szCs w:val="28"/>
        </w:rPr>
      </w:pPr>
      <w:r>
        <w:rPr>
          <w:rFonts w:cs="宋体"/>
          <w:color w:val="000000"/>
          <w:szCs w:val="21"/>
          <w:shd w:val="clear" w:color="auto" w:fill="FFFFFF"/>
        </w:rPr>
        <w:t>10.若供应商认为提供的货物不符合本国产品标准，可以不填写声明函，不享受价格折扣政策。</w:t>
      </w:r>
      <w:r>
        <w:rPr>
          <w:b/>
          <w:szCs w:val="21"/>
        </w:rPr>
        <w:br w:type="page"/>
      </w:r>
    </w:p>
    <w:p w14:paraId="65AB40E0">
      <w:pPr>
        <w:jc w:val="center"/>
        <w:outlineLvl w:val="2"/>
        <w:rPr>
          <w:rFonts w:hint="eastAsia"/>
          <w:b/>
          <w:bCs/>
          <w:sz w:val="28"/>
          <w:szCs w:val="36"/>
        </w:rPr>
      </w:pPr>
      <w:bookmarkStart w:id="373" w:name="_Toc4688"/>
      <w:r>
        <w:rPr>
          <w:rFonts w:hint="eastAsia"/>
          <w:b/>
          <w:bCs/>
          <w:sz w:val="28"/>
          <w:szCs w:val="36"/>
        </w:rPr>
        <w:t>（十）</w:t>
      </w:r>
      <w:r>
        <w:rPr>
          <w:b/>
          <w:bCs/>
          <w:sz w:val="28"/>
          <w:szCs w:val="36"/>
        </w:rPr>
        <w:t>本国产品支持政策价格评审优惠声明函</w:t>
      </w:r>
      <w:bookmarkEnd w:id="373"/>
    </w:p>
    <w:p w14:paraId="64FE5B4F">
      <w:pPr>
        <w:widowControl/>
        <w:shd w:val="clear" w:color="auto" w:fill="FFFFFF"/>
        <w:spacing w:before="20" w:after="20"/>
        <w:ind w:firstLine="420"/>
        <w:jc w:val="left"/>
        <w:textAlignment w:val="baseline"/>
        <w:rPr>
          <w:rFonts w:hint="eastAsia" w:cs="宋体"/>
          <w:b/>
          <w:bCs/>
          <w:color w:val="000000"/>
          <w:kern w:val="0"/>
          <w:szCs w:val="21"/>
          <w:u w:val="double"/>
          <w:shd w:val="clear" w:color="auto" w:fill="FFFFFF"/>
        </w:rPr>
      </w:pPr>
      <w:r>
        <w:rPr>
          <w:rFonts w:cs="宋体"/>
          <w:b/>
          <w:bCs/>
          <w:color w:val="000000"/>
          <w:kern w:val="0"/>
          <w:szCs w:val="21"/>
          <w:u w:val="double"/>
          <w:shd w:val="clear" w:color="auto" w:fill="FFFFFF"/>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1917CC0C">
      <w:pPr>
        <w:widowControl/>
        <w:shd w:val="clear" w:color="auto" w:fill="FFFFFF"/>
        <w:ind w:firstLine="420" w:firstLineChars="200"/>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本公司（单位）郑重声明：符合本国产品标准的产品成本之和占该我公司提供的全部产品成本之和的比例达到80%，具体内容如下：</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52"/>
        <w:gridCol w:w="6710"/>
      </w:tblGrid>
      <w:tr w14:paraId="27A64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632" w:type="pct"/>
            <w:vAlign w:val="center"/>
          </w:tcPr>
          <w:p w14:paraId="40FB9EFB">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项目名称</w:t>
            </w:r>
          </w:p>
        </w:tc>
        <w:tc>
          <w:tcPr>
            <w:tcW w:w="3368" w:type="pct"/>
            <w:vAlign w:val="center"/>
          </w:tcPr>
          <w:p w14:paraId="100EECFC">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符合本国产品标准的产品成本之和占全部产品成本之和的比例（%）</w:t>
            </w:r>
          </w:p>
        </w:tc>
      </w:tr>
      <w:tr w14:paraId="6EF75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tcPr>
          <w:p w14:paraId="30BD9F4C">
            <w:pPr>
              <w:widowControl/>
              <w:spacing w:line="276" w:lineRule="auto"/>
              <w:jc w:val="center"/>
              <w:textAlignment w:val="baseline"/>
              <w:rPr>
                <w:rFonts w:hint="eastAsia" w:cs="宋体"/>
                <w:color w:val="000000"/>
                <w:kern w:val="0"/>
                <w:sz w:val="18"/>
                <w:szCs w:val="18"/>
                <w:shd w:val="clear" w:color="auto" w:fill="FFFFFF"/>
              </w:rPr>
            </w:pPr>
          </w:p>
        </w:tc>
        <w:tc>
          <w:tcPr>
            <w:tcW w:w="3368" w:type="pct"/>
          </w:tcPr>
          <w:p w14:paraId="7594F7E7">
            <w:pPr>
              <w:widowControl/>
              <w:spacing w:line="276" w:lineRule="auto"/>
              <w:jc w:val="center"/>
              <w:textAlignment w:val="baseline"/>
              <w:rPr>
                <w:rFonts w:hint="eastAsia" w:cs="宋体"/>
                <w:color w:val="000000"/>
                <w:kern w:val="0"/>
                <w:sz w:val="18"/>
                <w:szCs w:val="18"/>
                <w:shd w:val="clear" w:color="auto" w:fill="FFFFFF"/>
              </w:rPr>
            </w:pPr>
          </w:p>
        </w:tc>
      </w:tr>
    </w:tbl>
    <w:p w14:paraId="2298A6A2">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本公司（单位）对上述声明内容的真实性负责。如有虚假，愿承担相应法律责任。</w:t>
      </w:r>
    </w:p>
    <w:p w14:paraId="553D5ECE">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p>
    <w:p w14:paraId="29B9865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4D63F10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E236F12">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4B8B4212">
      <w:pPr>
        <w:spacing w:line="500" w:lineRule="exact"/>
        <w:ind w:firstLine="420" w:firstLineChars="200"/>
        <w:jc w:val="left"/>
        <w:rPr>
          <w:rFonts w:hint="eastAsia"/>
          <w:szCs w:val="21"/>
        </w:rPr>
      </w:pPr>
    </w:p>
    <w:p w14:paraId="7D6441DE">
      <w:pPr>
        <w:widowControl/>
        <w:spacing w:line="240" w:lineRule="auto"/>
        <w:jc w:val="left"/>
        <w:rPr>
          <w:rFonts w:hint="eastAsia" w:cs="宋体"/>
          <w:b/>
          <w:bCs/>
          <w:color w:val="000000"/>
          <w:kern w:val="0"/>
          <w:szCs w:val="21"/>
          <w:shd w:val="clear" w:color="auto" w:fill="FFFFFF"/>
        </w:rPr>
      </w:pPr>
      <w:r>
        <w:rPr>
          <w:rFonts w:hint="eastAsia" w:cs="宋体"/>
          <w:b/>
          <w:bCs/>
          <w:color w:val="000000"/>
          <w:kern w:val="0"/>
          <w:szCs w:val="21"/>
          <w:shd w:val="clear" w:color="auto" w:fill="FFFFFF"/>
        </w:rPr>
        <w:br w:type="page"/>
      </w:r>
    </w:p>
    <w:p w14:paraId="2185D899">
      <w:pPr>
        <w:jc w:val="center"/>
        <w:outlineLvl w:val="2"/>
        <w:rPr>
          <w:rFonts w:hint="eastAsia"/>
          <w:b/>
          <w:bCs/>
          <w:sz w:val="28"/>
          <w:szCs w:val="36"/>
        </w:rPr>
      </w:pPr>
      <w:bookmarkStart w:id="374" w:name="_Toc31290"/>
      <w:r>
        <w:rPr>
          <w:rFonts w:hint="eastAsia" w:cs="宋体"/>
          <w:b/>
          <w:sz w:val="28"/>
          <w:szCs w:val="28"/>
        </w:rPr>
        <w:t>（十一）</w:t>
      </w:r>
      <w:r>
        <w:rPr>
          <w:rFonts w:hint="eastAsia"/>
          <w:b/>
          <w:bCs/>
          <w:sz w:val="28"/>
          <w:szCs w:val="36"/>
        </w:rPr>
        <w:t>中小型企业声明函（货物）</w:t>
      </w:r>
      <w:bookmarkEnd w:id="344"/>
      <w:bookmarkEnd w:id="345"/>
      <w:bookmarkEnd w:id="346"/>
      <w:bookmarkEnd w:id="347"/>
      <w:bookmarkEnd w:id="348"/>
      <w:bookmarkEnd w:id="366"/>
      <w:r>
        <w:rPr>
          <w:rFonts w:hint="eastAsia"/>
          <w:b/>
          <w:bCs/>
          <w:sz w:val="28"/>
          <w:szCs w:val="36"/>
        </w:rPr>
        <w:t>（如有，按需提供）</w:t>
      </w:r>
      <w:bookmarkEnd w:id="367"/>
      <w:bookmarkEnd w:id="368"/>
      <w:bookmarkEnd w:id="369"/>
      <w:bookmarkEnd w:id="370"/>
      <w:bookmarkEnd w:id="371"/>
      <w:bookmarkEnd w:id="372"/>
      <w:bookmarkEnd w:id="374"/>
    </w:p>
    <w:p w14:paraId="26D31922">
      <w:pPr>
        <w:jc w:val="center"/>
        <w:rPr>
          <w:rFonts w:hint="eastAsia" w:cs="宋体"/>
          <w:b/>
          <w:bCs/>
          <w:szCs w:val="21"/>
        </w:rPr>
      </w:pPr>
    </w:p>
    <w:bookmarkEnd w:id="349"/>
    <w:p w14:paraId="0B7805FF">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本公司（联合体）郑重声明，根据《政府采购促进中小企业发展管理办法》（财库﹝2020﹞46号）的规定，本公司（联合体）参加</w:t>
      </w:r>
      <w:r>
        <w:rPr>
          <w:rFonts w:hint="eastAsia" w:cs="宋体"/>
          <w:b/>
          <w:bCs/>
          <w:color w:val="000000" w:themeColor="text1"/>
          <w:spacing w:val="6"/>
          <w:szCs w:val="21"/>
          <w:u w:val="single"/>
          <w14:textFill>
            <w14:solidFill>
              <w14:schemeClr w14:val="tx1"/>
            </w14:solidFill>
          </w14:textFill>
        </w:rPr>
        <w:t>洱源县人民医院</w:t>
      </w:r>
      <w:r>
        <w:rPr>
          <w:rFonts w:hint="eastAsia" w:cs="宋体"/>
          <w:color w:val="000000" w:themeColor="text1"/>
          <w:spacing w:val="6"/>
          <w:szCs w:val="21"/>
          <w14:textFill>
            <w14:solidFill>
              <w14:schemeClr w14:val="tx1"/>
            </w14:solidFill>
          </w14:textFill>
        </w:rPr>
        <w:t>的</w:t>
      </w:r>
      <w:r>
        <w:rPr>
          <w:rFonts w:hint="eastAsia" w:cs="宋体"/>
          <w:b/>
          <w:bCs/>
          <w:color w:val="000000" w:themeColor="text1"/>
          <w:spacing w:val="6"/>
          <w:szCs w:val="21"/>
          <w:u w:val="single"/>
          <w14:textFill>
            <w14:solidFill>
              <w14:schemeClr w14:val="tx1"/>
            </w14:solidFill>
          </w14:textFill>
        </w:rPr>
        <w:t xml:space="preserve">洱源县人民医院体检中心设备与医疗服务保障能力提升项目设备采购-5标段 </w:t>
      </w:r>
      <w:r>
        <w:rPr>
          <w:rFonts w:hint="eastAsia" w:cs="宋体"/>
          <w:color w:val="000000" w:themeColor="text1"/>
          <w:spacing w:val="6"/>
          <w:szCs w:val="21"/>
          <w14:textFill>
            <w14:solidFill>
              <w14:schemeClr w14:val="tx1"/>
            </w14:solidFill>
          </w14:textFill>
        </w:rPr>
        <w:t>采购活动，提供的货物全部由符合政策要求的中小企业制造。相关企业 （含联合体中的中小企业、签订分包意向协议的中小企业）的具体情况如下：</w:t>
      </w:r>
    </w:p>
    <w:p w14:paraId="168AB68B">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1.</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14:textFill>
            <w14:solidFill>
              <w14:schemeClr w14:val="tx1"/>
            </w14:solidFill>
          </w14:textFill>
        </w:rPr>
        <w:t>，属于</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14:textFill>
            <w14:solidFill>
              <w14:schemeClr w14:val="tx1"/>
            </w14:solidFill>
          </w14:textFill>
        </w:rPr>
        <w:t>行业；制造商为</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 xml:space="preserve"> </w:t>
      </w:r>
      <w:r>
        <w:rPr>
          <w:rFonts w:cs="宋体"/>
          <w:b/>
          <w:bCs/>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（企业名称）</w:t>
      </w:r>
      <w:r>
        <w:rPr>
          <w:rFonts w:hint="eastAsia" w:cs="宋体"/>
          <w:color w:val="000000" w:themeColor="text1"/>
          <w:spacing w:val="6"/>
          <w:szCs w:val="21"/>
          <w14:textFill>
            <w14:solidFill>
              <w14:schemeClr w14:val="tx1"/>
            </w14:solidFill>
          </w14:textFill>
        </w:rPr>
        <w:t>，从业人员</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人，营业收入为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万元，资产总额为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万元，属于</w:t>
      </w:r>
      <w:r>
        <w:rPr>
          <w:rFonts w:hint="eastAsia" w:cs="宋体"/>
          <w:color w:val="000000" w:themeColor="text1"/>
          <w:spacing w:val="6"/>
          <w:szCs w:val="21"/>
          <w:u w:val="single"/>
          <w14:textFill>
            <w14:solidFill>
              <w14:schemeClr w14:val="tx1"/>
            </w14:solidFill>
          </w14:textFill>
        </w:rPr>
        <w:t xml:space="preserve">  （中型企业、小型企业、微型企业）</w:t>
      </w:r>
      <w:r>
        <w:rPr>
          <w:rFonts w:hint="eastAsia" w:cs="宋体"/>
          <w:color w:val="000000" w:themeColor="text1"/>
          <w:spacing w:val="6"/>
          <w:szCs w:val="21"/>
          <w14:textFill>
            <w14:solidFill>
              <w14:schemeClr w14:val="tx1"/>
            </w14:solidFill>
          </w14:textFill>
        </w:rPr>
        <w:t>；</w:t>
      </w:r>
    </w:p>
    <w:p w14:paraId="6289C118">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2.</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u w:val="single"/>
          <w14:textFill>
            <w14:solidFill>
              <w14:schemeClr w14:val="tx1"/>
            </w14:solidFill>
          </w14:textFill>
        </w:rPr>
        <w:t xml:space="preserve">，属于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u w:val="single"/>
          <w14:textFill>
            <w14:solidFill>
              <w14:schemeClr w14:val="tx1"/>
            </w14:solidFill>
          </w14:textFill>
        </w:rPr>
        <w:t xml:space="preserve">行业；制造商为  </w:t>
      </w:r>
      <w:r>
        <w:rPr>
          <w:rFonts w:hint="eastAsia" w:cs="宋体"/>
          <w:b/>
          <w:bCs/>
          <w:color w:val="000000" w:themeColor="text1"/>
          <w:spacing w:val="6"/>
          <w:szCs w:val="21"/>
          <w:u w:val="single"/>
          <w14:textFill>
            <w14:solidFill>
              <w14:schemeClr w14:val="tx1"/>
            </w14:solidFill>
          </w14:textFill>
        </w:rPr>
        <w:t xml:space="preserve"> （企业名称）</w:t>
      </w:r>
      <w:r>
        <w:rPr>
          <w:rFonts w:hint="eastAsia" w:cs="宋体"/>
          <w:color w:val="000000" w:themeColor="text1"/>
          <w:spacing w:val="6"/>
          <w:szCs w:val="21"/>
          <w:u w:val="single"/>
          <w14:textFill>
            <w14:solidFill>
              <w14:schemeClr w14:val="tx1"/>
            </w14:solidFill>
          </w14:textFill>
        </w:rPr>
        <w:t>，从业人员    人，营业收入为     万元，资产总额为      万元，属于  （中型企业、小型企业、微型企业）</w:t>
      </w:r>
      <w:r>
        <w:rPr>
          <w:rFonts w:hint="eastAsia" w:cs="宋体"/>
          <w:color w:val="000000" w:themeColor="text1"/>
          <w:spacing w:val="6"/>
          <w:szCs w:val="21"/>
          <w14:textFill>
            <w14:solidFill>
              <w14:schemeClr w14:val="tx1"/>
            </w14:solidFill>
          </w14:textFill>
        </w:rPr>
        <w:t>；</w:t>
      </w:r>
    </w:p>
    <w:p w14:paraId="59C1A450">
      <w:pPr>
        <w:pStyle w:val="2"/>
        <w:ind w:firstLine="388" w:firstLineChars="200"/>
        <w:rPr>
          <w:rFonts w:hint="eastAsia" w:ascii="宋体" w:hAnsi="宋体" w:cs="宋体"/>
          <w:b w:val="0"/>
          <w:bCs/>
          <w:szCs w:val="21"/>
        </w:rPr>
      </w:pPr>
      <w:r>
        <w:rPr>
          <w:rFonts w:ascii="宋体" w:hAnsi="宋体" w:cs="宋体"/>
          <w:b w:val="0"/>
          <w:bCs/>
          <w:szCs w:val="21"/>
        </w:rPr>
        <w:t>……</w:t>
      </w:r>
    </w:p>
    <w:p w14:paraId="3F1ADF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31517009">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4C96ECB">
      <w:pPr>
        <w:rPr>
          <w:rFonts w:hint="eastAsia"/>
        </w:rPr>
      </w:pPr>
    </w:p>
    <w:p w14:paraId="5FFC324A">
      <w:pPr>
        <w:pStyle w:val="2"/>
        <w:ind w:firstLine="388" w:firstLineChars="200"/>
        <w:rPr>
          <w:rFonts w:hint="eastAsia" w:ascii="宋体" w:hAnsi="宋体" w:cs="宋体"/>
          <w:szCs w:val="21"/>
          <w:u w:val="single"/>
        </w:rPr>
      </w:pPr>
    </w:p>
    <w:p w14:paraId="69222FC6">
      <w:pPr>
        <w:pStyle w:val="2"/>
        <w:ind w:firstLine="388" w:firstLineChars="200"/>
        <w:rPr>
          <w:rFonts w:hint="eastAsia" w:ascii="宋体" w:hAnsi="宋体" w:cs="宋体"/>
          <w:szCs w:val="21"/>
          <w:u w:val="single"/>
        </w:rPr>
      </w:pPr>
      <w:r>
        <w:rPr>
          <w:rFonts w:ascii="宋体" w:hAnsi="宋体" w:cs="宋体"/>
          <w:szCs w:val="21"/>
          <w:u w:val="single"/>
        </w:rPr>
        <w:t>1.从业人员、营业收入、资产总额填报上一年度数据，无上一年度数据的新成立企业可不填报。</w:t>
      </w:r>
    </w:p>
    <w:p w14:paraId="5F8FB889">
      <w:pPr>
        <w:pStyle w:val="2"/>
        <w:ind w:firstLine="388" w:firstLineChars="200"/>
        <w:rPr>
          <w:rFonts w:hint="eastAsia" w:ascii="宋体" w:hAnsi="宋体" w:cs="宋体"/>
          <w:szCs w:val="21"/>
          <w:u w:val="single"/>
        </w:rPr>
      </w:pPr>
      <w:r>
        <w:rPr>
          <w:rFonts w:ascii="宋体" w:hAnsi="宋体" w:cs="宋体"/>
          <w:szCs w:val="21"/>
          <w:u w:val="single"/>
        </w:rPr>
        <w:t>2.根据《工业和信息化部、国家统计局、国家发展和改革委员会、财政部关于印发中小企业划型标准规定的通知》，本项目属于</w:t>
      </w:r>
      <w:r>
        <w:rPr>
          <w:rFonts w:hint="eastAsia" w:ascii="宋体" w:hAnsi="宋体" w:cs="宋体"/>
          <w:szCs w:val="21"/>
          <w:u w:val="single"/>
        </w:rPr>
        <w:t>工业。</w:t>
      </w:r>
    </w:p>
    <w:p w14:paraId="27A75868">
      <w:pPr>
        <w:pStyle w:val="2"/>
        <w:ind w:firstLine="388" w:firstLineChars="200"/>
        <w:rPr>
          <w:rFonts w:hint="eastAsia" w:ascii="宋体" w:hAnsi="宋体" w:cs="宋体"/>
          <w:b w:val="0"/>
          <w:bCs/>
          <w:szCs w:val="21"/>
          <w:u w:val="single"/>
        </w:rPr>
      </w:pPr>
      <w:r>
        <w:rPr>
          <w:rFonts w:hint="eastAsia" w:ascii="宋体" w:hAnsi="宋体" w:cs="宋体"/>
          <w:b w:val="0"/>
          <w:bCs/>
          <w:szCs w:val="21"/>
          <w:u w:val="single"/>
        </w:rPr>
        <w:t>从业人员</w:t>
      </w:r>
      <w:r>
        <w:rPr>
          <w:rFonts w:ascii="宋体" w:hAnsi="宋体" w:cs="宋体"/>
          <w:b w:val="0"/>
          <w:bCs/>
          <w:szCs w:val="21"/>
          <w:u w:val="single"/>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F75231">
      <w:pPr>
        <w:ind w:firstLine="420" w:firstLineChars="200"/>
        <w:rPr>
          <w:rFonts w:hint="eastAsia" w:cs="宋体"/>
          <w:b/>
          <w:szCs w:val="21"/>
        </w:rPr>
      </w:pPr>
      <w:r>
        <w:rPr>
          <w:rFonts w:hint="eastAsia" w:cs="宋体"/>
          <w:b/>
          <w:bCs/>
          <w:kern w:val="0"/>
          <w:szCs w:val="21"/>
          <w:lang w:bidi="ar"/>
        </w:rPr>
        <w:t>3.投标人填表时应择一明确自己属于中型企业或小型企业或微型企业</w:t>
      </w:r>
      <w:r>
        <w:rPr>
          <w:rFonts w:hint="eastAsia" w:cs="宋体"/>
          <w:b/>
          <w:szCs w:val="21"/>
        </w:rPr>
        <w:t>，并由投标人出具、加盖投标人电子公章。</w:t>
      </w:r>
    </w:p>
    <w:p w14:paraId="0018F56D">
      <w:pPr>
        <w:ind w:firstLine="420" w:firstLineChars="200"/>
        <w:rPr>
          <w:rFonts w:hint="eastAsia" w:cs="宋体"/>
          <w:b/>
          <w:szCs w:val="21"/>
        </w:rPr>
      </w:pPr>
      <w:r>
        <w:rPr>
          <w:rFonts w:hint="eastAsia" w:cs="宋体"/>
          <w:b/>
          <w:szCs w:val="21"/>
        </w:rPr>
        <w:t>4.投标人须根据自身情况如实出具声明函。享受本招标文件规定的中小企业扶持政策的，将随中标结果公告公开中标单位的《中小企业声明函》。</w:t>
      </w:r>
    </w:p>
    <w:p w14:paraId="588BFEFC">
      <w:pPr>
        <w:ind w:firstLine="388" w:firstLineChars="200"/>
        <w:rPr>
          <w:rFonts w:hint="eastAsia" w:cs="宋体"/>
          <w:b/>
          <w:spacing w:val="-8"/>
          <w:szCs w:val="21"/>
        </w:rPr>
      </w:pPr>
      <w:r>
        <w:rPr>
          <w:rFonts w:hint="eastAsia" w:cs="宋体"/>
          <w:b/>
          <w:spacing w:val="-8"/>
          <w:szCs w:val="21"/>
        </w:rPr>
        <w:t>5.所声明的从业人员人数、营业收入金额或资产总额不实的，依照《中华人民共和国政府采购法》等国家有关规定追究相应责任。</w:t>
      </w:r>
    </w:p>
    <w:p w14:paraId="0DC1DFB8">
      <w:pPr>
        <w:ind w:firstLine="420" w:firstLineChars="200"/>
        <w:rPr>
          <w:rFonts w:hint="eastAsia" w:cs="宋体"/>
          <w:b/>
          <w:szCs w:val="21"/>
        </w:rPr>
      </w:pPr>
      <w:r>
        <w:rPr>
          <w:rFonts w:hint="eastAsia" w:cs="宋体"/>
          <w:b/>
          <w:szCs w:val="21"/>
        </w:rPr>
        <w:t>6.投标人须按招标文件规定的所属行业，核对《关于印发中小企业划型标准规定的通知》（工信部联企业〔2011〕300号）规定的中小企业划型标准，如实出具声明函。中小企业划型填写错误或所属行业填写错误的，评标委员会将不予进行价格扣除。</w:t>
      </w:r>
    </w:p>
    <w:p w14:paraId="61B0529C">
      <w:pPr>
        <w:ind w:firstLine="420" w:firstLineChars="200"/>
        <w:rPr>
          <w:rFonts w:hint="eastAsia" w:cs="宋体"/>
          <w:spacing w:val="6"/>
          <w:sz w:val="20"/>
          <w:szCs w:val="20"/>
        </w:rPr>
      </w:pPr>
      <w:r>
        <w:rPr>
          <w:rFonts w:cs="宋体"/>
          <w:szCs w:val="21"/>
        </w:rPr>
        <w:br w:type="page"/>
      </w:r>
    </w:p>
    <w:p w14:paraId="445E106D">
      <w:pPr>
        <w:pStyle w:val="2"/>
        <w:rPr>
          <w:rFonts w:hint="eastAsia" w:ascii="宋体" w:hAnsi="宋体" w:cs="宋体"/>
          <w:bCs/>
          <w:spacing w:val="0"/>
          <w:szCs w:val="21"/>
        </w:rPr>
      </w:pPr>
      <w:r>
        <w:rPr>
          <w:rFonts w:hint="eastAsia" w:ascii="宋体" w:hAnsi="宋体" w:cs="宋体"/>
          <w:bCs/>
          <w:spacing w:val="0"/>
          <w:szCs w:val="21"/>
        </w:rPr>
        <w:t>附件：</w:t>
      </w:r>
    </w:p>
    <w:p w14:paraId="67A8F2B2">
      <w:pPr>
        <w:pStyle w:val="2"/>
        <w:ind w:firstLine="630" w:firstLineChars="300"/>
        <w:rPr>
          <w:rFonts w:hint="eastAsia" w:ascii="宋体" w:hAnsi="宋体" w:cs="宋体"/>
          <w:bCs/>
          <w:spacing w:val="0"/>
          <w:szCs w:val="21"/>
        </w:rPr>
      </w:pPr>
      <w:r>
        <w:rPr>
          <w:rFonts w:hint="eastAsia" w:ascii="宋体" w:hAnsi="宋体" w:cs="宋体"/>
          <w:bCs/>
          <w:spacing w:val="0"/>
          <w:szCs w:val="21"/>
        </w:rPr>
        <w:t>《关于印发中小企业划型标准规定的通知》（工信部联企业〔2011〕300号）中小企业划型标准规定节选：</w:t>
      </w:r>
    </w:p>
    <w:p w14:paraId="57739358">
      <w:pPr>
        <w:pStyle w:val="23"/>
        <w:spacing w:line="500" w:lineRule="exact"/>
        <w:ind w:firstLine="210" w:firstLineChars="100"/>
        <w:jc w:val="left"/>
        <w:rPr>
          <w:rFonts w:hint="eastAsia" w:cs="宋体"/>
          <w:szCs w:val="21"/>
        </w:rPr>
      </w:pPr>
      <w:r>
        <w:rPr>
          <w:rFonts w:hint="eastAsia" w:cs="宋体"/>
          <w:szCs w:val="21"/>
        </w:rPr>
        <w:t>四、各行业划型标准为：</w:t>
      </w:r>
    </w:p>
    <w:p w14:paraId="07E87A67">
      <w:pPr>
        <w:pStyle w:val="23"/>
        <w:spacing w:line="500" w:lineRule="exact"/>
        <w:ind w:firstLine="210" w:firstLineChars="100"/>
        <w:jc w:val="left"/>
        <w:rPr>
          <w:rFonts w:hint="eastAsia" w:cs="宋体"/>
          <w:szCs w:val="21"/>
        </w:rPr>
      </w:pPr>
      <w:r>
        <w:rPr>
          <w:rFonts w:hint="eastAsia" w:cs="宋体"/>
          <w:szCs w:val="21"/>
        </w:rPr>
        <w:t>　　（一）农、林、牧、渔业。营业收入20000万元以下的为中小微型企业。其中，营业收入500万元及以上的为中型企业，营业收入50万元及以上的为小型企业，营业收入50万元以下的为微型企业。</w:t>
      </w:r>
    </w:p>
    <w:p w14:paraId="7CAC7650">
      <w:pPr>
        <w:pStyle w:val="23"/>
        <w:spacing w:line="500" w:lineRule="exact"/>
        <w:ind w:firstLine="210" w:firstLineChars="100"/>
        <w:jc w:val="left"/>
        <w:rPr>
          <w:rFonts w:hint="eastAsia" w:cs="宋体"/>
          <w:szCs w:val="21"/>
        </w:rPr>
      </w:pPr>
      <w:r>
        <w:rPr>
          <w:rFonts w:hint="eastAsia" w:cs="宋体"/>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F43E467">
      <w:pPr>
        <w:pStyle w:val="23"/>
        <w:spacing w:line="500" w:lineRule="exact"/>
        <w:ind w:firstLine="210" w:firstLineChars="100"/>
        <w:jc w:val="left"/>
        <w:rPr>
          <w:rFonts w:hint="eastAsia" w:cs="宋体"/>
          <w:szCs w:val="21"/>
        </w:rPr>
      </w:pPr>
      <w:r>
        <w:rPr>
          <w:rFonts w:hint="eastAsia" w:cs="宋体"/>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A9E41AB">
      <w:pPr>
        <w:pStyle w:val="23"/>
        <w:spacing w:line="500" w:lineRule="exact"/>
        <w:ind w:firstLine="210" w:firstLineChars="100"/>
        <w:jc w:val="left"/>
        <w:rPr>
          <w:rFonts w:hint="eastAsia" w:cs="宋体"/>
          <w:szCs w:val="21"/>
        </w:rPr>
      </w:pPr>
      <w:r>
        <w:rPr>
          <w:rFonts w:hint="eastAsia" w:cs="宋体"/>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44A3FDF">
      <w:pPr>
        <w:pStyle w:val="23"/>
        <w:spacing w:line="500" w:lineRule="exact"/>
        <w:ind w:firstLine="210" w:firstLineChars="100"/>
        <w:jc w:val="left"/>
        <w:rPr>
          <w:rFonts w:hint="eastAsia" w:cs="宋体"/>
          <w:szCs w:val="21"/>
        </w:rPr>
      </w:pPr>
      <w:r>
        <w:rPr>
          <w:rFonts w:hint="eastAsia" w:cs="宋体"/>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F81266D">
      <w:pPr>
        <w:pStyle w:val="23"/>
        <w:spacing w:line="500" w:lineRule="exact"/>
        <w:ind w:firstLine="210" w:firstLineChars="100"/>
        <w:jc w:val="left"/>
        <w:rPr>
          <w:rFonts w:hint="eastAsia" w:cs="宋体"/>
          <w:szCs w:val="21"/>
        </w:rPr>
      </w:pPr>
      <w:r>
        <w:rPr>
          <w:rFonts w:hint="eastAsia" w:cs="宋体"/>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AC0A53">
      <w:pPr>
        <w:pStyle w:val="23"/>
        <w:spacing w:line="500" w:lineRule="exact"/>
        <w:ind w:firstLine="210" w:firstLineChars="100"/>
        <w:jc w:val="left"/>
        <w:rPr>
          <w:rFonts w:hint="eastAsia" w:cs="宋体"/>
          <w:szCs w:val="21"/>
        </w:rPr>
      </w:pPr>
      <w:r>
        <w:rPr>
          <w:rFonts w:hint="eastAsia" w:cs="宋体"/>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B14ED1D">
      <w:pPr>
        <w:pStyle w:val="23"/>
        <w:spacing w:line="500" w:lineRule="exact"/>
        <w:ind w:firstLine="210" w:firstLineChars="100"/>
        <w:jc w:val="left"/>
        <w:rPr>
          <w:rFonts w:hint="eastAsia" w:cs="宋体"/>
          <w:szCs w:val="21"/>
        </w:rPr>
      </w:pPr>
      <w:r>
        <w:rPr>
          <w:rFonts w:hint="eastAsia" w:cs="宋体"/>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CD95F01">
      <w:pPr>
        <w:pStyle w:val="23"/>
        <w:spacing w:line="500" w:lineRule="exact"/>
        <w:ind w:firstLine="210" w:firstLineChars="100"/>
        <w:jc w:val="left"/>
        <w:rPr>
          <w:rFonts w:hint="eastAsia" w:cs="宋体"/>
          <w:szCs w:val="21"/>
        </w:rPr>
      </w:pPr>
      <w:r>
        <w:rPr>
          <w:rFonts w:hint="eastAsia" w:cs="宋体"/>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A1E91AA">
      <w:pPr>
        <w:pStyle w:val="23"/>
        <w:spacing w:line="500" w:lineRule="exact"/>
        <w:ind w:firstLine="210" w:firstLineChars="100"/>
        <w:jc w:val="left"/>
        <w:rPr>
          <w:rFonts w:hint="eastAsia" w:cs="宋体"/>
          <w:szCs w:val="21"/>
        </w:rPr>
      </w:pPr>
      <w:r>
        <w:rPr>
          <w:rFonts w:hint="eastAsia" w:cs="宋体"/>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C6FA9B">
      <w:pPr>
        <w:pStyle w:val="23"/>
        <w:spacing w:line="500" w:lineRule="exact"/>
        <w:ind w:firstLine="210" w:firstLineChars="100"/>
        <w:jc w:val="left"/>
        <w:rPr>
          <w:rFonts w:hint="eastAsia" w:cs="宋体"/>
          <w:szCs w:val="21"/>
        </w:rPr>
      </w:pPr>
      <w:r>
        <w:rPr>
          <w:rFonts w:hint="eastAsia" w:cs="宋体"/>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988C99A">
      <w:pPr>
        <w:pStyle w:val="23"/>
        <w:spacing w:line="500" w:lineRule="exact"/>
        <w:ind w:firstLine="210" w:firstLineChars="100"/>
        <w:jc w:val="left"/>
        <w:rPr>
          <w:rFonts w:hint="eastAsia" w:cs="宋体"/>
          <w:szCs w:val="21"/>
        </w:rPr>
      </w:pPr>
      <w:r>
        <w:rPr>
          <w:rFonts w:hint="eastAsia" w:cs="宋体"/>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FAAE2C0">
      <w:pPr>
        <w:pStyle w:val="23"/>
        <w:spacing w:line="500" w:lineRule="exact"/>
        <w:ind w:firstLine="210" w:firstLineChars="100"/>
        <w:jc w:val="left"/>
        <w:rPr>
          <w:rFonts w:hint="eastAsia" w:cs="宋体"/>
          <w:szCs w:val="21"/>
        </w:rPr>
      </w:pPr>
      <w:r>
        <w:rPr>
          <w:rFonts w:hint="eastAsia" w:cs="宋体"/>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9C9B65E">
      <w:pPr>
        <w:pStyle w:val="23"/>
        <w:spacing w:line="500" w:lineRule="exact"/>
        <w:ind w:firstLine="210" w:firstLineChars="100"/>
        <w:jc w:val="left"/>
        <w:rPr>
          <w:rFonts w:hint="eastAsia" w:cs="宋体"/>
          <w:szCs w:val="21"/>
        </w:rPr>
      </w:pPr>
      <w:r>
        <w:rPr>
          <w:rFonts w:hint="eastAsia" w:cs="宋体"/>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A660D16">
      <w:pPr>
        <w:pStyle w:val="23"/>
        <w:spacing w:line="500" w:lineRule="exact"/>
        <w:ind w:firstLine="210" w:firstLineChars="100"/>
        <w:jc w:val="left"/>
        <w:rPr>
          <w:rFonts w:hint="eastAsia" w:cs="宋体"/>
          <w:szCs w:val="21"/>
        </w:rPr>
      </w:pPr>
      <w:r>
        <w:rPr>
          <w:rFonts w:hint="eastAsia" w:cs="宋体"/>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810F623">
      <w:pPr>
        <w:pStyle w:val="23"/>
        <w:spacing w:line="500" w:lineRule="exact"/>
        <w:ind w:firstLine="210" w:firstLineChars="100"/>
        <w:jc w:val="left"/>
        <w:rPr>
          <w:rFonts w:hint="eastAsia" w:cs="宋体"/>
          <w:szCs w:val="21"/>
        </w:rPr>
      </w:pPr>
      <w:r>
        <w:rPr>
          <w:rFonts w:hint="eastAsia" w:cs="宋体"/>
          <w:szCs w:val="21"/>
        </w:rPr>
        <w:t>　　（十六）其他未列明行业。从业人员300人以下的为中小微型企业。其中，从业人员100人及以上的为中型企业；从业人员10人及以上的为小型企业；从业人员10人以下的为微型企业。</w:t>
      </w:r>
    </w:p>
    <w:p w14:paraId="5DBF5AD4">
      <w:pPr>
        <w:rPr>
          <w:rFonts w:hint="eastAsia"/>
        </w:rPr>
      </w:pPr>
    </w:p>
    <w:p w14:paraId="110C671D">
      <w:pPr>
        <w:widowControl/>
        <w:spacing w:line="240" w:lineRule="auto"/>
        <w:jc w:val="left"/>
        <w:rPr>
          <w:rFonts w:hint="eastAsia"/>
        </w:rPr>
      </w:pPr>
      <w:r>
        <w:rPr>
          <w:rFonts w:hint="eastAsia"/>
        </w:rPr>
        <w:br w:type="page"/>
      </w:r>
    </w:p>
    <w:p w14:paraId="23DC6CD3">
      <w:pPr>
        <w:jc w:val="center"/>
        <w:rPr>
          <w:rFonts w:hint="eastAsia" w:cs="宋体"/>
          <w:b/>
          <w:bCs/>
          <w:color w:val="000000"/>
          <w:kern w:val="0"/>
          <w:szCs w:val="21"/>
        </w:rPr>
      </w:pPr>
      <w:r>
        <w:rPr>
          <w:rFonts w:hint="eastAsia" w:cs="宋体"/>
          <w:b/>
          <w:bCs/>
          <w:color w:val="000000"/>
          <w:kern w:val="0"/>
          <w:sz w:val="24"/>
        </w:rPr>
        <w:t>统计上大中小微型企业划分办法（2017）</w:t>
      </w:r>
    </w:p>
    <w:p w14:paraId="5A479159">
      <w:pPr>
        <w:widowControl/>
        <w:shd w:val="clear" w:color="auto" w:fill="FFFFFF"/>
        <w:ind w:firstLine="480"/>
        <w:rPr>
          <w:rFonts w:hint="eastAsia" w:cs="Calibri"/>
          <w:color w:val="333333"/>
          <w:kern w:val="0"/>
          <w:sz w:val="15"/>
          <w:szCs w:val="15"/>
        </w:rPr>
      </w:pPr>
      <w:r>
        <w:rPr>
          <w:rFonts w:hint="eastAsia" w:cs="Calibri"/>
          <w:color w:val="333333"/>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69FF41A">
      <w:pPr>
        <w:widowControl/>
        <w:shd w:val="clear" w:color="auto" w:fill="FFFFFF"/>
        <w:rPr>
          <w:rFonts w:hint="eastAsia" w:cs="宋体"/>
          <w:color w:val="333333"/>
          <w:kern w:val="0"/>
          <w:sz w:val="18"/>
          <w:szCs w:val="18"/>
        </w:rPr>
      </w:pPr>
      <w:r>
        <w:rPr>
          <w:rFonts w:hint="eastAsia" w:cs="宋体"/>
          <w:color w:val="333333"/>
          <w:kern w:val="0"/>
          <w:szCs w:val="21"/>
        </w:rPr>
        <w:t>二、本办法适用对象为在中华人民共和国境内依法设立的各种组织形式的法人企业或单位。个体工商户参照本办法进行划分。</w:t>
      </w:r>
    </w:p>
    <w:p w14:paraId="41644B15">
      <w:pPr>
        <w:widowControl/>
        <w:shd w:val="clear" w:color="auto" w:fill="FFFFFF"/>
        <w:ind w:firstLine="480"/>
        <w:rPr>
          <w:rFonts w:hint="eastAsia" w:cs="宋体"/>
          <w:color w:val="333333"/>
          <w:kern w:val="0"/>
          <w:sz w:val="18"/>
          <w:szCs w:val="18"/>
        </w:rPr>
      </w:pPr>
      <w:r>
        <w:rPr>
          <w:rFonts w:hint="eastAsia" w:cs="宋体"/>
          <w:color w:val="333333"/>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FA142F7">
      <w:pPr>
        <w:widowControl/>
        <w:shd w:val="clear" w:color="auto" w:fill="FFFFFF"/>
        <w:ind w:firstLine="480"/>
        <w:rPr>
          <w:rFonts w:hint="eastAsia" w:cs="宋体"/>
          <w:color w:val="333333"/>
          <w:kern w:val="0"/>
          <w:sz w:val="18"/>
          <w:szCs w:val="18"/>
        </w:rPr>
      </w:pPr>
      <w:r>
        <w:rPr>
          <w:rFonts w:hint="eastAsia" w:cs="宋体"/>
          <w:color w:val="333333"/>
          <w:kern w:val="0"/>
          <w:szCs w:val="21"/>
        </w:rPr>
        <w:t>四、本办法按照行业门类、大类、中类和组合类别，依据从业人员、营业收入、资产总额等指标或替代指标，将我国的企业划分为大型、中型、小型、微型等四种类型。具体划分标准见附表。</w:t>
      </w:r>
    </w:p>
    <w:p w14:paraId="2892CB82">
      <w:pPr>
        <w:widowControl/>
        <w:shd w:val="clear" w:color="auto" w:fill="FFFFFF"/>
        <w:ind w:firstLine="480"/>
        <w:rPr>
          <w:rFonts w:hint="eastAsia" w:cs="宋体"/>
          <w:color w:val="333333"/>
          <w:kern w:val="0"/>
          <w:sz w:val="18"/>
          <w:szCs w:val="18"/>
        </w:rPr>
      </w:pPr>
      <w:r>
        <w:rPr>
          <w:rFonts w:hint="eastAsia" w:cs="宋体"/>
          <w:color w:val="333333"/>
          <w:kern w:val="0"/>
          <w:szCs w:val="21"/>
        </w:rPr>
        <w:t>五、企业划分由政府综合统计部门根据统计年报每年确定一次，定报统计原则上不进行调整。</w:t>
      </w:r>
    </w:p>
    <w:p w14:paraId="22960289">
      <w:pPr>
        <w:widowControl/>
        <w:shd w:val="clear" w:color="auto" w:fill="FFFFFF"/>
        <w:ind w:firstLine="480"/>
        <w:rPr>
          <w:rFonts w:hint="eastAsia" w:cs="宋体"/>
          <w:color w:val="333333"/>
          <w:kern w:val="0"/>
          <w:sz w:val="18"/>
          <w:szCs w:val="18"/>
        </w:rPr>
      </w:pPr>
      <w:r>
        <w:rPr>
          <w:rFonts w:hint="eastAsia" w:cs="宋体"/>
          <w:color w:val="333333"/>
          <w:kern w:val="0"/>
          <w:szCs w:val="21"/>
        </w:rPr>
        <w:t>六、本办法自印发之日起执行，国家统计局2011年印发的《统计上大中小微型企业划分办法》（国统字〔2011〕75号）同时废止。</w:t>
      </w:r>
    </w:p>
    <w:p w14:paraId="6FEC001B">
      <w:pPr>
        <w:widowControl/>
        <w:rPr>
          <w:rFonts w:hint="eastAsia" w:cs="宋体"/>
          <w:b/>
          <w:bCs/>
          <w:color w:val="000000"/>
          <w:kern w:val="0"/>
          <w:szCs w:val="21"/>
        </w:rPr>
      </w:pPr>
    </w:p>
    <w:p w14:paraId="4BCD10CE">
      <w:pPr>
        <w:widowControl/>
        <w:jc w:val="left"/>
        <w:rPr>
          <w:rFonts w:hint="eastAsia" w:cs="宋体"/>
          <w:b/>
          <w:bCs/>
          <w:color w:val="000000"/>
          <w:kern w:val="0"/>
          <w:szCs w:val="21"/>
        </w:rPr>
      </w:pPr>
      <w:r>
        <w:rPr>
          <w:rFonts w:hint="eastAsia" w:cs="宋体"/>
          <w:b/>
          <w:bCs/>
          <w:color w:val="000000"/>
          <w:kern w:val="0"/>
          <w:szCs w:val="21"/>
        </w:rPr>
        <w:br w:type="page"/>
      </w:r>
      <w:r>
        <w:rPr>
          <w:rFonts w:hint="eastAsia"/>
          <w:b/>
          <w:bCs/>
          <w:color w:val="333333"/>
          <w:sz w:val="28"/>
          <w:szCs w:val="28"/>
          <w:shd w:val="clear" w:color="auto" w:fill="FFFFFF"/>
        </w:rPr>
        <w:t>附表：</w:t>
      </w:r>
    </w:p>
    <w:p w14:paraId="150A9890">
      <w:pPr>
        <w:widowControl/>
        <w:jc w:val="center"/>
        <w:rPr>
          <w:rFonts w:hint="eastAsia" w:cs="宋体"/>
          <w:b/>
          <w:bCs/>
          <w:color w:val="000000"/>
          <w:kern w:val="0"/>
          <w:sz w:val="24"/>
        </w:rPr>
      </w:pPr>
      <w:r>
        <w:rPr>
          <w:rFonts w:hint="eastAsia" w:cs="宋体"/>
          <w:b/>
          <w:bCs/>
          <w:color w:val="000000"/>
          <w:kern w:val="0"/>
          <w:sz w:val="24"/>
        </w:rPr>
        <w:t>统计上大中小微型企业划分标准</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1"/>
        <w:gridCol w:w="1444"/>
        <w:gridCol w:w="749"/>
        <w:gridCol w:w="1187"/>
        <w:gridCol w:w="1795"/>
        <w:gridCol w:w="1507"/>
        <w:gridCol w:w="1049"/>
      </w:tblGrid>
      <w:tr w14:paraId="345C4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120" w:type="pct"/>
            <w:vAlign w:val="center"/>
          </w:tcPr>
          <w:p w14:paraId="528B8B1A">
            <w:pPr>
              <w:widowControl/>
              <w:spacing w:line="240" w:lineRule="exact"/>
              <w:jc w:val="center"/>
              <w:rPr>
                <w:rFonts w:hint="eastAsia" w:cs="宋体"/>
                <w:b/>
                <w:bCs/>
                <w:color w:val="000000"/>
                <w:kern w:val="0"/>
                <w:szCs w:val="21"/>
              </w:rPr>
            </w:pPr>
            <w:r>
              <w:rPr>
                <w:rFonts w:hint="eastAsia" w:cs="宋体"/>
                <w:b/>
                <w:bCs/>
                <w:color w:val="000000"/>
                <w:kern w:val="0"/>
                <w:szCs w:val="21"/>
              </w:rPr>
              <w:t>行业名称</w:t>
            </w:r>
          </w:p>
        </w:tc>
        <w:tc>
          <w:tcPr>
            <w:tcW w:w="725" w:type="pct"/>
            <w:vAlign w:val="center"/>
          </w:tcPr>
          <w:p w14:paraId="4E644687">
            <w:pPr>
              <w:widowControl/>
              <w:spacing w:line="240" w:lineRule="auto"/>
              <w:jc w:val="center"/>
              <w:rPr>
                <w:rFonts w:hint="eastAsia" w:cs="宋体"/>
                <w:b/>
                <w:bCs/>
                <w:color w:val="000000"/>
                <w:kern w:val="0"/>
                <w:szCs w:val="21"/>
              </w:rPr>
            </w:pPr>
            <w:r>
              <w:rPr>
                <w:rFonts w:hint="eastAsia" w:cs="宋体"/>
                <w:b/>
                <w:bCs/>
                <w:color w:val="000000"/>
                <w:kern w:val="0"/>
                <w:szCs w:val="21"/>
              </w:rPr>
              <w:t>指标名称</w:t>
            </w:r>
          </w:p>
        </w:tc>
        <w:tc>
          <w:tcPr>
            <w:tcW w:w="376" w:type="pct"/>
            <w:vAlign w:val="center"/>
          </w:tcPr>
          <w:p w14:paraId="77F279F6">
            <w:pPr>
              <w:widowControl/>
              <w:spacing w:line="240" w:lineRule="auto"/>
              <w:jc w:val="center"/>
              <w:rPr>
                <w:rFonts w:hint="eastAsia" w:cs="宋体"/>
                <w:b/>
                <w:bCs/>
                <w:color w:val="000000"/>
                <w:kern w:val="0"/>
                <w:szCs w:val="21"/>
              </w:rPr>
            </w:pPr>
            <w:r>
              <w:rPr>
                <w:rFonts w:hint="eastAsia" w:cs="宋体"/>
                <w:b/>
                <w:bCs/>
                <w:color w:val="000000"/>
                <w:kern w:val="0"/>
                <w:szCs w:val="21"/>
              </w:rPr>
              <w:t>计量单位</w:t>
            </w:r>
          </w:p>
        </w:tc>
        <w:tc>
          <w:tcPr>
            <w:tcW w:w="596" w:type="pct"/>
            <w:vAlign w:val="center"/>
          </w:tcPr>
          <w:p w14:paraId="2C3DD92A">
            <w:pPr>
              <w:widowControl/>
              <w:spacing w:line="240" w:lineRule="auto"/>
              <w:jc w:val="center"/>
              <w:rPr>
                <w:rFonts w:hint="eastAsia" w:cs="宋体"/>
                <w:b/>
                <w:bCs/>
                <w:color w:val="000000"/>
                <w:kern w:val="0"/>
                <w:szCs w:val="21"/>
              </w:rPr>
            </w:pPr>
            <w:r>
              <w:rPr>
                <w:rFonts w:hint="eastAsia" w:cs="宋体"/>
                <w:b/>
                <w:bCs/>
                <w:color w:val="000000"/>
                <w:kern w:val="0"/>
                <w:szCs w:val="21"/>
              </w:rPr>
              <w:t>大型</w:t>
            </w:r>
          </w:p>
        </w:tc>
        <w:tc>
          <w:tcPr>
            <w:tcW w:w="901" w:type="pct"/>
            <w:vAlign w:val="center"/>
          </w:tcPr>
          <w:p w14:paraId="5BC0F167">
            <w:pPr>
              <w:widowControl/>
              <w:spacing w:line="240" w:lineRule="auto"/>
              <w:jc w:val="center"/>
              <w:rPr>
                <w:rFonts w:hint="eastAsia" w:cs="宋体"/>
                <w:b/>
                <w:bCs/>
                <w:color w:val="000000"/>
                <w:kern w:val="0"/>
                <w:szCs w:val="21"/>
              </w:rPr>
            </w:pPr>
            <w:r>
              <w:rPr>
                <w:rFonts w:hint="eastAsia" w:cs="宋体"/>
                <w:b/>
                <w:bCs/>
                <w:color w:val="000000"/>
                <w:kern w:val="0"/>
                <w:szCs w:val="21"/>
              </w:rPr>
              <w:t>中型</w:t>
            </w:r>
          </w:p>
        </w:tc>
        <w:tc>
          <w:tcPr>
            <w:tcW w:w="756" w:type="pct"/>
            <w:vAlign w:val="center"/>
          </w:tcPr>
          <w:p w14:paraId="13F9F1C2">
            <w:pPr>
              <w:widowControl/>
              <w:spacing w:line="240" w:lineRule="auto"/>
              <w:jc w:val="center"/>
              <w:rPr>
                <w:rFonts w:hint="eastAsia" w:cs="宋体"/>
                <w:b/>
                <w:bCs/>
                <w:color w:val="000000"/>
                <w:kern w:val="0"/>
                <w:szCs w:val="21"/>
              </w:rPr>
            </w:pPr>
            <w:r>
              <w:rPr>
                <w:rFonts w:hint="eastAsia" w:cs="宋体"/>
                <w:b/>
                <w:bCs/>
                <w:color w:val="000000"/>
                <w:kern w:val="0"/>
                <w:szCs w:val="21"/>
              </w:rPr>
              <w:t>小型</w:t>
            </w:r>
          </w:p>
        </w:tc>
        <w:tc>
          <w:tcPr>
            <w:tcW w:w="526" w:type="pct"/>
            <w:vAlign w:val="center"/>
          </w:tcPr>
          <w:p w14:paraId="76BC642F">
            <w:pPr>
              <w:widowControl/>
              <w:spacing w:line="240" w:lineRule="auto"/>
              <w:jc w:val="center"/>
              <w:rPr>
                <w:rFonts w:hint="eastAsia" w:cs="宋体"/>
                <w:b/>
                <w:bCs/>
                <w:color w:val="000000"/>
                <w:kern w:val="0"/>
                <w:szCs w:val="21"/>
              </w:rPr>
            </w:pPr>
            <w:r>
              <w:rPr>
                <w:rFonts w:hint="eastAsia" w:cs="宋体"/>
                <w:b/>
                <w:bCs/>
                <w:color w:val="000000"/>
                <w:kern w:val="0"/>
                <w:szCs w:val="21"/>
              </w:rPr>
              <w:t>微型</w:t>
            </w:r>
          </w:p>
        </w:tc>
      </w:tr>
      <w:tr w14:paraId="0ABA6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543EF54E">
            <w:pPr>
              <w:widowControl/>
              <w:spacing w:line="240" w:lineRule="exact"/>
              <w:jc w:val="left"/>
              <w:rPr>
                <w:rFonts w:hint="eastAsia" w:cs="宋体"/>
                <w:color w:val="000000"/>
                <w:kern w:val="0"/>
                <w:szCs w:val="21"/>
              </w:rPr>
            </w:pPr>
            <w:r>
              <w:rPr>
                <w:rFonts w:hint="eastAsia" w:cs="宋体"/>
                <w:color w:val="000000"/>
                <w:kern w:val="0"/>
                <w:szCs w:val="21"/>
              </w:rPr>
              <w:t>农、林、牧、渔业</w:t>
            </w:r>
          </w:p>
        </w:tc>
        <w:tc>
          <w:tcPr>
            <w:tcW w:w="725" w:type="pct"/>
            <w:vAlign w:val="center"/>
          </w:tcPr>
          <w:p w14:paraId="0E558901">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275B2C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8580D6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65060599">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3311BABD">
            <w:pPr>
              <w:widowControl/>
              <w:spacing w:line="240" w:lineRule="auto"/>
              <w:jc w:val="center"/>
              <w:rPr>
                <w:rFonts w:hint="eastAsia" w:cs="宋体"/>
                <w:color w:val="000000"/>
                <w:kern w:val="0"/>
                <w:szCs w:val="21"/>
              </w:rPr>
            </w:pPr>
            <w:r>
              <w:rPr>
                <w:rFonts w:hint="eastAsia" w:cs="宋体"/>
                <w:color w:val="000000"/>
                <w:kern w:val="0"/>
                <w:szCs w:val="21"/>
              </w:rPr>
              <w:t>50≤Y＜500</w:t>
            </w:r>
          </w:p>
        </w:tc>
        <w:tc>
          <w:tcPr>
            <w:tcW w:w="526" w:type="pct"/>
            <w:vAlign w:val="center"/>
          </w:tcPr>
          <w:p w14:paraId="4A35BDAD">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58868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C251294">
            <w:pPr>
              <w:widowControl/>
              <w:spacing w:line="240" w:lineRule="exact"/>
              <w:jc w:val="left"/>
              <w:rPr>
                <w:rFonts w:hint="eastAsia" w:cs="宋体"/>
                <w:color w:val="000000"/>
                <w:kern w:val="0"/>
                <w:szCs w:val="21"/>
              </w:rPr>
            </w:pPr>
            <w:r>
              <w:rPr>
                <w:rFonts w:hint="eastAsia" w:cs="宋体"/>
                <w:color w:val="000000"/>
                <w:kern w:val="0"/>
                <w:szCs w:val="21"/>
              </w:rPr>
              <w:t>工业 *</w:t>
            </w:r>
          </w:p>
        </w:tc>
        <w:tc>
          <w:tcPr>
            <w:tcW w:w="725" w:type="pct"/>
            <w:vAlign w:val="center"/>
          </w:tcPr>
          <w:p w14:paraId="254681DF">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CF114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79E7188">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4476610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0C75DFC1">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115B3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B4E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D4D1A45">
            <w:pPr>
              <w:widowControl/>
              <w:spacing w:line="240" w:lineRule="auto"/>
              <w:jc w:val="left"/>
              <w:rPr>
                <w:rFonts w:hint="eastAsia" w:cs="宋体"/>
                <w:color w:val="000000"/>
                <w:kern w:val="0"/>
                <w:szCs w:val="21"/>
              </w:rPr>
            </w:pPr>
          </w:p>
        </w:tc>
        <w:tc>
          <w:tcPr>
            <w:tcW w:w="725" w:type="pct"/>
            <w:vAlign w:val="center"/>
          </w:tcPr>
          <w:p w14:paraId="51F59D5C">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6A2B98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BB4211F">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08677B21">
            <w:pPr>
              <w:widowControl/>
              <w:spacing w:line="240" w:lineRule="auto"/>
              <w:jc w:val="center"/>
              <w:rPr>
                <w:rFonts w:hint="eastAsia" w:cs="宋体"/>
                <w:color w:val="000000"/>
                <w:kern w:val="0"/>
                <w:szCs w:val="21"/>
              </w:rPr>
            </w:pPr>
            <w:r>
              <w:rPr>
                <w:rFonts w:hint="eastAsia" w:cs="宋体"/>
                <w:color w:val="000000"/>
                <w:kern w:val="0"/>
                <w:szCs w:val="21"/>
              </w:rPr>
              <w:t>2000≤Y＜40000</w:t>
            </w:r>
          </w:p>
        </w:tc>
        <w:tc>
          <w:tcPr>
            <w:tcW w:w="756" w:type="pct"/>
            <w:vAlign w:val="center"/>
          </w:tcPr>
          <w:p w14:paraId="04EB64CD">
            <w:pPr>
              <w:widowControl/>
              <w:spacing w:line="240" w:lineRule="auto"/>
              <w:jc w:val="center"/>
              <w:rPr>
                <w:rFonts w:hint="eastAsia" w:cs="宋体"/>
                <w:color w:val="000000"/>
                <w:kern w:val="0"/>
                <w:szCs w:val="21"/>
              </w:rPr>
            </w:pPr>
            <w:r>
              <w:rPr>
                <w:rFonts w:hint="eastAsia" w:cs="宋体"/>
                <w:color w:val="000000"/>
                <w:kern w:val="0"/>
                <w:szCs w:val="21"/>
              </w:rPr>
              <w:t>300≤Y＜2000</w:t>
            </w:r>
          </w:p>
        </w:tc>
        <w:tc>
          <w:tcPr>
            <w:tcW w:w="526" w:type="pct"/>
            <w:vAlign w:val="center"/>
          </w:tcPr>
          <w:p w14:paraId="5586CEB5">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5BB7A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9D42621">
            <w:pPr>
              <w:widowControl/>
              <w:spacing w:line="240" w:lineRule="exact"/>
              <w:jc w:val="left"/>
              <w:rPr>
                <w:rFonts w:hint="eastAsia" w:cs="宋体"/>
                <w:color w:val="000000"/>
                <w:kern w:val="0"/>
                <w:szCs w:val="21"/>
              </w:rPr>
            </w:pPr>
            <w:r>
              <w:rPr>
                <w:rFonts w:hint="eastAsia" w:cs="宋体"/>
                <w:color w:val="000000"/>
                <w:kern w:val="0"/>
                <w:szCs w:val="21"/>
              </w:rPr>
              <w:t>建筑业</w:t>
            </w:r>
          </w:p>
        </w:tc>
        <w:tc>
          <w:tcPr>
            <w:tcW w:w="725" w:type="pct"/>
            <w:vAlign w:val="center"/>
          </w:tcPr>
          <w:p w14:paraId="6AC78B4A">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43784C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0ED9989">
            <w:pPr>
              <w:widowControl/>
              <w:spacing w:line="240" w:lineRule="auto"/>
              <w:jc w:val="center"/>
              <w:rPr>
                <w:rFonts w:hint="eastAsia" w:cs="宋体"/>
                <w:color w:val="000000"/>
                <w:kern w:val="0"/>
                <w:szCs w:val="21"/>
              </w:rPr>
            </w:pPr>
            <w:r>
              <w:rPr>
                <w:rFonts w:hint="eastAsia" w:cs="宋体"/>
                <w:color w:val="000000"/>
                <w:kern w:val="0"/>
                <w:szCs w:val="21"/>
              </w:rPr>
              <w:t>Y≥80000</w:t>
            </w:r>
          </w:p>
        </w:tc>
        <w:tc>
          <w:tcPr>
            <w:tcW w:w="901" w:type="pct"/>
            <w:vAlign w:val="center"/>
          </w:tcPr>
          <w:p w14:paraId="16281568">
            <w:pPr>
              <w:widowControl/>
              <w:spacing w:line="240" w:lineRule="auto"/>
              <w:jc w:val="center"/>
              <w:rPr>
                <w:rFonts w:hint="eastAsia" w:cs="宋体"/>
                <w:color w:val="000000"/>
                <w:kern w:val="0"/>
                <w:szCs w:val="21"/>
              </w:rPr>
            </w:pPr>
            <w:r>
              <w:rPr>
                <w:rFonts w:hint="eastAsia" w:cs="宋体"/>
                <w:color w:val="000000"/>
                <w:kern w:val="0"/>
                <w:szCs w:val="21"/>
              </w:rPr>
              <w:t>6000≤Y＜80000</w:t>
            </w:r>
          </w:p>
        </w:tc>
        <w:tc>
          <w:tcPr>
            <w:tcW w:w="756" w:type="pct"/>
            <w:vAlign w:val="center"/>
          </w:tcPr>
          <w:p w14:paraId="1AC9FB32">
            <w:pPr>
              <w:widowControl/>
              <w:spacing w:line="240" w:lineRule="auto"/>
              <w:jc w:val="center"/>
              <w:rPr>
                <w:rFonts w:hint="eastAsia" w:cs="宋体"/>
                <w:color w:val="000000"/>
                <w:kern w:val="0"/>
                <w:szCs w:val="21"/>
              </w:rPr>
            </w:pPr>
            <w:r>
              <w:rPr>
                <w:rFonts w:hint="eastAsia" w:cs="宋体"/>
                <w:color w:val="000000"/>
                <w:kern w:val="0"/>
                <w:szCs w:val="21"/>
              </w:rPr>
              <w:t>300≤Y＜6000</w:t>
            </w:r>
          </w:p>
        </w:tc>
        <w:tc>
          <w:tcPr>
            <w:tcW w:w="526" w:type="pct"/>
            <w:vAlign w:val="center"/>
          </w:tcPr>
          <w:p w14:paraId="51B65A6C">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6355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0E72CB7">
            <w:pPr>
              <w:widowControl/>
              <w:spacing w:line="240" w:lineRule="auto"/>
              <w:jc w:val="left"/>
              <w:rPr>
                <w:rFonts w:hint="eastAsia" w:cs="宋体"/>
                <w:color w:val="000000"/>
                <w:kern w:val="0"/>
                <w:szCs w:val="21"/>
              </w:rPr>
            </w:pPr>
          </w:p>
        </w:tc>
        <w:tc>
          <w:tcPr>
            <w:tcW w:w="725" w:type="pct"/>
            <w:vAlign w:val="center"/>
          </w:tcPr>
          <w:p w14:paraId="2FAB3DFA">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57755CF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C7C2B99">
            <w:pPr>
              <w:widowControl/>
              <w:spacing w:line="240" w:lineRule="auto"/>
              <w:jc w:val="center"/>
              <w:rPr>
                <w:rFonts w:hint="eastAsia" w:cs="宋体"/>
                <w:color w:val="000000"/>
                <w:kern w:val="0"/>
                <w:szCs w:val="21"/>
              </w:rPr>
            </w:pPr>
            <w:r>
              <w:rPr>
                <w:rFonts w:hint="eastAsia" w:cs="宋体"/>
                <w:color w:val="000000"/>
                <w:kern w:val="0"/>
                <w:szCs w:val="21"/>
              </w:rPr>
              <w:t>Z≥80000</w:t>
            </w:r>
          </w:p>
        </w:tc>
        <w:tc>
          <w:tcPr>
            <w:tcW w:w="901" w:type="pct"/>
            <w:vAlign w:val="center"/>
          </w:tcPr>
          <w:p w14:paraId="52A16B71">
            <w:pPr>
              <w:widowControl/>
              <w:spacing w:line="240" w:lineRule="auto"/>
              <w:jc w:val="center"/>
              <w:rPr>
                <w:rFonts w:hint="eastAsia" w:cs="宋体"/>
                <w:color w:val="000000"/>
                <w:kern w:val="0"/>
                <w:szCs w:val="21"/>
              </w:rPr>
            </w:pPr>
            <w:r>
              <w:rPr>
                <w:rFonts w:hint="eastAsia" w:cs="宋体"/>
                <w:color w:val="000000"/>
                <w:kern w:val="0"/>
                <w:szCs w:val="21"/>
              </w:rPr>
              <w:t>5000≤Z＜80000</w:t>
            </w:r>
          </w:p>
        </w:tc>
        <w:tc>
          <w:tcPr>
            <w:tcW w:w="756" w:type="pct"/>
            <w:vAlign w:val="center"/>
          </w:tcPr>
          <w:p w14:paraId="15A3A63F">
            <w:pPr>
              <w:widowControl/>
              <w:spacing w:line="240" w:lineRule="auto"/>
              <w:jc w:val="center"/>
              <w:rPr>
                <w:rFonts w:hint="eastAsia" w:cs="宋体"/>
                <w:color w:val="000000"/>
                <w:kern w:val="0"/>
                <w:szCs w:val="21"/>
              </w:rPr>
            </w:pPr>
            <w:r>
              <w:rPr>
                <w:rFonts w:hint="eastAsia" w:cs="宋体"/>
                <w:color w:val="000000"/>
                <w:kern w:val="0"/>
                <w:szCs w:val="21"/>
              </w:rPr>
              <w:t>300≤Z＜5000</w:t>
            </w:r>
          </w:p>
        </w:tc>
        <w:tc>
          <w:tcPr>
            <w:tcW w:w="526" w:type="pct"/>
            <w:vAlign w:val="center"/>
          </w:tcPr>
          <w:p w14:paraId="422D6A58">
            <w:pPr>
              <w:widowControl/>
              <w:spacing w:line="240" w:lineRule="auto"/>
              <w:jc w:val="center"/>
              <w:rPr>
                <w:rFonts w:hint="eastAsia" w:cs="宋体"/>
                <w:color w:val="000000"/>
                <w:kern w:val="0"/>
                <w:szCs w:val="21"/>
              </w:rPr>
            </w:pPr>
            <w:r>
              <w:rPr>
                <w:rFonts w:hint="eastAsia" w:cs="宋体"/>
                <w:color w:val="000000"/>
                <w:kern w:val="0"/>
                <w:szCs w:val="21"/>
              </w:rPr>
              <w:t>Z＜300</w:t>
            </w:r>
          </w:p>
        </w:tc>
      </w:tr>
      <w:tr w14:paraId="6216E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65E6BE97">
            <w:pPr>
              <w:widowControl/>
              <w:spacing w:line="240" w:lineRule="exact"/>
              <w:jc w:val="left"/>
              <w:rPr>
                <w:rFonts w:hint="eastAsia" w:cs="宋体"/>
                <w:color w:val="000000"/>
                <w:kern w:val="0"/>
                <w:szCs w:val="21"/>
              </w:rPr>
            </w:pPr>
            <w:r>
              <w:rPr>
                <w:rFonts w:hint="eastAsia" w:cs="宋体"/>
                <w:color w:val="000000"/>
                <w:kern w:val="0"/>
                <w:szCs w:val="21"/>
              </w:rPr>
              <w:t>批发业</w:t>
            </w:r>
          </w:p>
        </w:tc>
        <w:tc>
          <w:tcPr>
            <w:tcW w:w="725" w:type="pct"/>
            <w:vAlign w:val="center"/>
          </w:tcPr>
          <w:p w14:paraId="602A99B8">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5D5813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16E32A1E">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23D372CD">
            <w:pPr>
              <w:widowControl/>
              <w:spacing w:line="240" w:lineRule="auto"/>
              <w:jc w:val="center"/>
              <w:rPr>
                <w:rFonts w:hint="eastAsia" w:cs="宋体"/>
                <w:color w:val="000000"/>
                <w:kern w:val="0"/>
                <w:szCs w:val="21"/>
              </w:rPr>
            </w:pPr>
            <w:r>
              <w:rPr>
                <w:rFonts w:hint="eastAsia" w:cs="宋体"/>
                <w:color w:val="000000"/>
                <w:kern w:val="0"/>
                <w:szCs w:val="21"/>
              </w:rPr>
              <w:t>20≤X＜200</w:t>
            </w:r>
          </w:p>
        </w:tc>
        <w:tc>
          <w:tcPr>
            <w:tcW w:w="756" w:type="pct"/>
            <w:vAlign w:val="center"/>
          </w:tcPr>
          <w:p w14:paraId="01E7FB44">
            <w:pPr>
              <w:widowControl/>
              <w:spacing w:line="240" w:lineRule="auto"/>
              <w:jc w:val="center"/>
              <w:rPr>
                <w:rFonts w:hint="eastAsia" w:cs="宋体"/>
                <w:color w:val="000000"/>
                <w:kern w:val="0"/>
                <w:szCs w:val="21"/>
              </w:rPr>
            </w:pPr>
            <w:r>
              <w:rPr>
                <w:rFonts w:hint="eastAsia" w:cs="宋体"/>
                <w:color w:val="000000"/>
                <w:kern w:val="0"/>
                <w:szCs w:val="21"/>
              </w:rPr>
              <w:t>5≤X＜20</w:t>
            </w:r>
          </w:p>
        </w:tc>
        <w:tc>
          <w:tcPr>
            <w:tcW w:w="526" w:type="pct"/>
            <w:vAlign w:val="center"/>
          </w:tcPr>
          <w:p w14:paraId="3B9F1C8C">
            <w:pPr>
              <w:widowControl/>
              <w:spacing w:line="240" w:lineRule="auto"/>
              <w:jc w:val="center"/>
              <w:rPr>
                <w:rFonts w:hint="eastAsia" w:cs="宋体"/>
                <w:color w:val="000000"/>
                <w:kern w:val="0"/>
                <w:szCs w:val="21"/>
              </w:rPr>
            </w:pPr>
            <w:r>
              <w:rPr>
                <w:rFonts w:hint="eastAsia" w:cs="宋体"/>
                <w:color w:val="000000"/>
                <w:kern w:val="0"/>
                <w:szCs w:val="21"/>
              </w:rPr>
              <w:t>X＜5</w:t>
            </w:r>
          </w:p>
        </w:tc>
      </w:tr>
      <w:tr w14:paraId="37C73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24975D54">
            <w:pPr>
              <w:widowControl/>
              <w:spacing w:line="240" w:lineRule="auto"/>
              <w:jc w:val="left"/>
              <w:rPr>
                <w:rFonts w:hint="eastAsia" w:cs="宋体"/>
                <w:color w:val="000000"/>
                <w:kern w:val="0"/>
                <w:szCs w:val="21"/>
              </w:rPr>
            </w:pPr>
          </w:p>
        </w:tc>
        <w:tc>
          <w:tcPr>
            <w:tcW w:w="725" w:type="pct"/>
            <w:vAlign w:val="center"/>
          </w:tcPr>
          <w:p w14:paraId="5DE42D24">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5A49ED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76D5825">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68DB6153">
            <w:pPr>
              <w:widowControl/>
              <w:spacing w:line="240" w:lineRule="auto"/>
              <w:jc w:val="center"/>
              <w:rPr>
                <w:rFonts w:hint="eastAsia" w:cs="宋体"/>
                <w:color w:val="000000"/>
                <w:kern w:val="0"/>
                <w:szCs w:val="21"/>
              </w:rPr>
            </w:pPr>
            <w:r>
              <w:rPr>
                <w:rFonts w:hint="eastAsia" w:cs="宋体"/>
                <w:color w:val="000000"/>
                <w:kern w:val="0"/>
                <w:szCs w:val="21"/>
              </w:rPr>
              <w:t>5000≤Y＜40000</w:t>
            </w:r>
          </w:p>
        </w:tc>
        <w:tc>
          <w:tcPr>
            <w:tcW w:w="756" w:type="pct"/>
            <w:vAlign w:val="center"/>
          </w:tcPr>
          <w:p w14:paraId="43319DD8">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1000≤Y＜5000</w:t>
            </w:r>
          </w:p>
        </w:tc>
        <w:tc>
          <w:tcPr>
            <w:tcW w:w="526" w:type="pct"/>
            <w:vAlign w:val="center"/>
          </w:tcPr>
          <w:p w14:paraId="61814880">
            <w:pPr>
              <w:widowControl/>
              <w:spacing w:line="240" w:lineRule="auto"/>
              <w:jc w:val="center"/>
              <w:rPr>
                <w:rFonts w:hint="eastAsia" w:cs="宋体"/>
                <w:color w:val="000000"/>
                <w:kern w:val="0"/>
                <w:szCs w:val="21"/>
              </w:rPr>
            </w:pPr>
            <w:r>
              <w:rPr>
                <w:rFonts w:hint="eastAsia" w:cs="宋体"/>
                <w:color w:val="000000"/>
                <w:kern w:val="0"/>
                <w:szCs w:val="21"/>
              </w:rPr>
              <w:t>Y＜1000</w:t>
            </w:r>
          </w:p>
        </w:tc>
      </w:tr>
      <w:tr w14:paraId="6600F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70E0DC67">
            <w:pPr>
              <w:widowControl/>
              <w:spacing w:line="240" w:lineRule="exact"/>
              <w:jc w:val="left"/>
              <w:rPr>
                <w:rFonts w:hint="eastAsia" w:cs="宋体"/>
                <w:color w:val="000000"/>
                <w:kern w:val="0"/>
                <w:szCs w:val="21"/>
              </w:rPr>
            </w:pPr>
            <w:r>
              <w:rPr>
                <w:rFonts w:hint="eastAsia" w:cs="宋体"/>
                <w:color w:val="000000"/>
                <w:kern w:val="0"/>
                <w:szCs w:val="21"/>
              </w:rPr>
              <w:t>零售业</w:t>
            </w:r>
          </w:p>
        </w:tc>
        <w:tc>
          <w:tcPr>
            <w:tcW w:w="725" w:type="pct"/>
            <w:vAlign w:val="center"/>
          </w:tcPr>
          <w:p w14:paraId="7D744D9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D22C9D">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2706863D">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05887BC">
            <w:pPr>
              <w:widowControl/>
              <w:spacing w:line="240" w:lineRule="auto"/>
              <w:jc w:val="center"/>
              <w:rPr>
                <w:rFonts w:hint="eastAsia" w:cs="宋体"/>
                <w:color w:val="000000"/>
                <w:kern w:val="0"/>
                <w:szCs w:val="21"/>
              </w:rPr>
            </w:pPr>
            <w:r>
              <w:rPr>
                <w:rFonts w:hint="eastAsia" w:cs="宋体"/>
                <w:color w:val="000000"/>
                <w:kern w:val="0"/>
                <w:szCs w:val="21"/>
              </w:rPr>
              <w:t>50≤X＜300</w:t>
            </w:r>
          </w:p>
        </w:tc>
        <w:tc>
          <w:tcPr>
            <w:tcW w:w="756" w:type="pct"/>
            <w:vAlign w:val="center"/>
          </w:tcPr>
          <w:p w14:paraId="1F5C0C45">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10≤X＜50 </w:t>
            </w:r>
          </w:p>
        </w:tc>
        <w:tc>
          <w:tcPr>
            <w:tcW w:w="526" w:type="pct"/>
            <w:vAlign w:val="center"/>
          </w:tcPr>
          <w:p w14:paraId="294F65CB">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5B6EB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DD58C1A">
            <w:pPr>
              <w:widowControl/>
              <w:spacing w:line="240" w:lineRule="auto"/>
              <w:jc w:val="left"/>
              <w:rPr>
                <w:rFonts w:hint="eastAsia" w:cs="宋体"/>
                <w:color w:val="000000"/>
                <w:kern w:val="0"/>
                <w:szCs w:val="21"/>
              </w:rPr>
            </w:pPr>
          </w:p>
        </w:tc>
        <w:tc>
          <w:tcPr>
            <w:tcW w:w="725" w:type="pct"/>
            <w:vAlign w:val="center"/>
          </w:tcPr>
          <w:p w14:paraId="146CB24A">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900897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4A75AA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734C7A46">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57FBBA93">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100≤Y＜500 </w:t>
            </w:r>
          </w:p>
        </w:tc>
        <w:tc>
          <w:tcPr>
            <w:tcW w:w="526" w:type="pct"/>
            <w:vAlign w:val="center"/>
          </w:tcPr>
          <w:p w14:paraId="6F319003">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F99A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09DA4B8">
            <w:pPr>
              <w:widowControl/>
              <w:spacing w:line="240" w:lineRule="exact"/>
              <w:jc w:val="left"/>
              <w:rPr>
                <w:rFonts w:hint="eastAsia" w:cs="宋体"/>
                <w:color w:val="000000"/>
                <w:kern w:val="0"/>
                <w:szCs w:val="21"/>
              </w:rPr>
            </w:pPr>
            <w:r>
              <w:rPr>
                <w:rFonts w:hint="eastAsia" w:cs="宋体"/>
                <w:color w:val="000000"/>
                <w:kern w:val="0"/>
                <w:szCs w:val="21"/>
              </w:rPr>
              <w:t>交通运输业 *</w:t>
            </w:r>
          </w:p>
        </w:tc>
        <w:tc>
          <w:tcPr>
            <w:tcW w:w="725" w:type="pct"/>
            <w:vAlign w:val="center"/>
          </w:tcPr>
          <w:p w14:paraId="7AC4F96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A137CA">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E629F5">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28E4734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F27F589">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1B037B30">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041F1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3E5D17E">
            <w:pPr>
              <w:widowControl/>
              <w:spacing w:line="240" w:lineRule="auto"/>
              <w:jc w:val="left"/>
              <w:rPr>
                <w:rFonts w:hint="eastAsia" w:cs="宋体"/>
                <w:color w:val="000000"/>
                <w:kern w:val="0"/>
                <w:szCs w:val="21"/>
              </w:rPr>
            </w:pPr>
          </w:p>
        </w:tc>
        <w:tc>
          <w:tcPr>
            <w:tcW w:w="725" w:type="pct"/>
            <w:vAlign w:val="center"/>
          </w:tcPr>
          <w:p w14:paraId="52A2CB3B">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4A5B650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F3FD280">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3E7B563C">
            <w:pPr>
              <w:widowControl/>
              <w:spacing w:line="240" w:lineRule="auto"/>
              <w:jc w:val="center"/>
              <w:rPr>
                <w:rFonts w:hint="eastAsia" w:cs="宋体"/>
                <w:color w:val="000000"/>
                <w:kern w:val="0"/>
                <w:szCs w:val="21"/>
              </w:rPr>
            </w:pPr>
            <w:r>
              <w:rPr>
                <w:rFonts w:hint="eastAsia" w:cs="宋体"/>
                <w:color w:val="000000"/>
                <w:kern w:val="0"/>
                <w:szCs w:val="21"/>
              </w:rPr>
              <w:t>3000≤Y＜30000</w:t>
            </w:r>
          </w:p>
        </w:tc>
        <w:tc>
          <w:tcPr>
            <w:tcW w:w="756" w:type="pct"/>
            <w:vAlign w:val="center"/>
          </w:tcPr>
          <w:p w14:paraId="1CA81E8E">
            <w:pPr>
              <w:widowControl/>
              <w:spacing w:line="240" w:lineRule="auto"/>
              <w:jc w:val="center"/>
              <w:rPr>
                <w:rFonts w:hint="eastAsia" w:cs="宋体"/>
                <w:color w:val="000000"/>
                <w:kern w:val="0"/>
                <w:szCs w:val="21"/>
              </w:rPr>
            </w:pPr>
            <w:r>
              <w:rPr>
                <w:rFonts w:hint="eastAsia" w:cs="宋体"/>
                <w:color w:val="000000"/>
                <w:kern w:val="0"/>
                <w:szCs w:val="21"/>
              </w:rPr>
              <w:t>200≤Y＜3000</w:t>
            </w:r>
          </w:p>
        </w:tc>
        <w:tc>
          <w:tcPr>
            <w:tcW w:w="526" w:type="pct"/>
            <w:vAlign w:val="center"/>
          </w:tcPr>
          <w:p w14:paraId="78A8F07E">
            <w:pPr>
              <w:widowControl/>
              <w:spacing w:line="240" w:lineRule="auto"/>
              <w:jc w:val="center"/>
              <w:rPr>
                <w:rFonts w:hint="eastAsia" w:cs="宋体"/>
                <w:color w:val="000000"/>
                <w:kern w:val="0"/>
                <w:szCs w:val="21"/>
              </w:rPr>
            </w:pPr>
            <w:r>
              <w:rPr>
                <w:rFonts w:hint="eastAsia" w:cs="宋体"/>
                <w:color w:val="000000"/>
                <w:kern w:val="0"/>
                <w:szCs w:val="21"/>
              </w:rPr>
              <w:t>Y＜200</w:t>
            </w:r>
          </w:p>
        </w:tc>
      </w:tr>
      <w:tr w14:paraId="40C44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82F47EA">
            <w:pPr>
              <w:widowControl/>
              <w:spacing w:line="240" w:lineRule="exact"/>
              <w:jc w:val="left"/>
              <w:rPr>
                <w:rFonts w:hint="eastAsia" w:cs="宋体"/>
                <w:color w:val="000000"/>
                <w:kern w:val="0"/>
                <w:szCs w:val="21"/>
              </w:rPr>
            </w:pPr>
            <w:r>
              <w:rPr>
                <w:rFonts w:hint="eastAsia" w:cs="宋体"/>
                <w:color w:val="000000"/>
                <w:kern w:val="0"/>
                <w:szCs w:val="21"/>
              </w:rPr>
              <w:t>仓储业*</w:t>
            </w:r>
          </w:p>
        </w:tc>
        <w:tc>
          <w:tcPr>
            <w:tcW w:w="725" w:type="pct"/>
            <w:vAlign w:val="center"/>
          </w:tcPr>
          <w:p w14:paraId="08E6AAB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2ECAC7">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225E78B">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6330A2A0">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100≤X＜200</w:t>
            </w:r>
          </w:p>
        </w:tc>
        <w:tc>
          <w:tcPr>
            <w:tcW w:w="756" w:type="pct"/>
            <w:vAlign w:val="center"/>
          </w:tcPr>
          <w:p w14:paraId="5BDBB9E0">
            <w:pPr>
              <w:widowControl/>
              <w:spacing w:line="240" w:lineRule="auto"/>
              <w:jc w:val="center"/>
              <w:rPr>
                <w:rFonts w:hint="eastAsia" w:cs="宋体"/>
                <w:color w:val="000000"/>
                <w:kern w:val="0"/>
                <w:szCs w:val="21"/>
              </w:rPr>
            </w:pPr>
            <w:r>
              <w:rPr>
                <w:rFonts w:hint="eastAsia" w:cs="宋体"/>
                <w:color w:val="000000"/>
                <w:kern w:val="0"/>
                <w:szCs w:val="21"/>
              </w:rPr>
              <w:t>20≤X＜100</w:t>
            </w:r>
          </w:p>
        </w:tc>
        <w:tc>
          <w:tcPr>
            <w:tcW w:w="526" w:type="pct"/>
            <w:vAlign w:val="center"/>
          </w:tcPr>
          <w:p w14:paraId="1776B9D8">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38EF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45B69AA">
            <w:pPr>
              <w:widowControl/>
              <w:spacing w:line="240" w:lineRule="auto"/>
              <w:jc w:val="left"/>
              <w:rPr>
                <w:rFonts w:hint="eastAsia" w:cs="宋体"/>
                <w:color w:val="000000"/>
                <w:kern w:val="0"/>
                <w:szCs w:val="21"/>
              </w:rPr>
            </w:pPr>
          </w:p>
        </w:tc>
        <w:tc>
          <w:tcPr>
            <w:tcW w:w="725" w:type="pct"/>
            <w:vAlign w:val="center"/>
          </w:tcPr>
          <w:p w14:paraId="01F17A06">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7E2F4C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8D60DED">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56E12971">
            <w:pPr>
              <w:widowControl/>
              <w:spacing w:line="240" w:lineRule="auto"/>
              <w:jc w:val="center"/>
              <w:rPr>
                <w:rFonts w:hint="eastAsia" w:cs="宋体"/>
                <w:color w:val="000000"/>
                <w:kern w:val="0"/>
                <w:szCs w:val="21"/>
              </w:rPr>
            </w:pPr>
            <w:r>
              <w:rPr>
                <w:rFonts w:hint="eastAsia" w:cs="宋体"/>
                <w:color w:val="000000"/>
                <w:kern w:val="0"/>
                <w:szCs w:val="21"/>
              </w:rPr>
              <w:t>1000≤Y＜30000</w:t>
            </w:r>
          </w:p>
        </w:tc>
        <w:tc>
          <w:tcPr>
            <w:tcW w:w="756" w:type="pct"/>
            <w:vAlign w:val="center"/>
          </w:tcPr>
          <w:p w14:paraId="16FFC6EB">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D7EEA4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2F9FA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98264DA">
            <w:pPr>
              <w:widowControl/>
              <w:spacing w:line="240" w:lineRule="exact"/>
              <w:jc w:val="left"/>
              <w:rPr>
                <w:rFonts w:hint="eastAsia" w:cs="宋体"/>
                <w:color w:val="000000"/>
                <w:kern w:val="0"/>
                <w:szCs w:val="21"/>
              </w:rPr>
            </w:pPr>
            <w:r>
              <w:rPr>
                <w:rFonts w:hint="eastAsia" w:cs="宋体"/>
                <w:color w:val="000000"/>
                <w:kern w:val="0"/>
                <w:szCs w:val="21"/>
              </w:rPr>
              <w:t>邮政业</w:t>
            </w:r>
          </w:p>
        </w:tc>
        <w:tc>
          <w:tcPr>
            <w:tcW w:w="725" w:type="pct"/>
            <w:vAlign w:val="center"/>
          </w:tcPr>
          <w:p w14:paraId="7A63DEF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6D15B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7E74761">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EAA20AB">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2FB3FE17">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72774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991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1BD761FA">
            <w:pPr>
              <w:widowControl/>
              <w:spacing w:line="240" w:lineRule="auto"/>
              <w:jc w:val="left"/>
              <w:rPr>
                <w:rFonts w:hint="eastAsia" w:cs="宋体"/>
                <w:color w:val="000000"/>
                <w:kern w:val="0"/>
                <w:szCs w:val="21"/>
              </w:rPr>
            </w:pPr>
          </w:p>
        </w:tc>
        <w:tc>
          <w:tcPr>
            <w:tcW w:w="725" w:type="pct"/>
            <w:vAlign w:val="center"/>
          </w:tcPr>
          <w:p w14:paraId="30D68545">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30C36C8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542837CF">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25F1F131">
            <w:pPr>
              <w:widowControl/>
              <w:spacing w:line="240" w:lineRule="auto"/>
              <w:jc w:val="center"/>
              <w:rPr>
                <w:rFonts w:hint="eastAsia" w:cs="宋体"/>
                <w:color w:val="000000"/>
                <w:kern w:val="0"/>
                <w:szCs w:val="21"/>
              </w:rPr>
            </w:pPr>
            <w:r>
              <w:rPr>
                <w:rFonts w:hint="eastAsia" w:cs="宋体"/>
                <w:color w:val="000000"/>
                <w:kern w:val="0"/>
                <w:szCs w:val="21"/>
              </w:rPr>
              <w:t>2000≤Y＜30000</w:t>
            </w:r>
          </w:p>
        </w:tc>
        <w:tc>
          <w:tcPr>
            <w:tcW w:w="756" w:type="pct"/>
            <w:vAlign w:val="center"/>
          </w:tcPr>
          <w:p w14:paraId="4DBEBB58">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2925F0F1">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F61D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FE54BE2">
            <w:pPr>
              <w:widowControl/>
              <w:spacing w:line="240" w:lineRule="exact"/>
              <w:jc w:val="left"/>
              <w:rPr>
                <w:rFonts w:hint="eastAsia" w:cs="宋体"/>
                <w:color w:val="000000"/>
                <w:kern w:val="0"/>
                <w:szCs w:val="21"/>
              </w:rPr>
            </w:pPr>
            <w:r>
              <w:rPr>
                <w:rFonts w:hint="eastAsia" w:cs="宋体"/>
                <w:color w:val="000000"/>
                <w:kern w:val="0"/>
                <w:szCs w:val="21"/>
              </w:rPr>
              <w:t>住宿业</w:t>
            </w:r>
          </w:p>
        </w:tc>
        <w:tc>
          <w:tcPr>
            <w:tcW w:w="725" w:type="pct"/>
            <w:vAlign w:val="center"/>
          </w:tcPr>
          <w:p w14:paraId="3A9CEA5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30D762F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1FBDF77">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6B8B43E">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36E78A7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BB7A5D5">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2A04A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683B532B">
            <w:pPr>
              <w:widowControl/>
              <w:spacing w:line="240" w:lineRule="auto"/>
              <w:jc w:val="left"/>
              <w:rPr>
                <w:rFonts w:hint="eastAsia" w:cs="宋体"/>
                <w:color w:val="000000"/>
                <w:kern w:val="0"/>
                <w:szCs w:val="21"/>
              </w:rPr>
            </w:pPr>
          </w:p>
        </w:tc>
        <w:tc>
          <w:tcPr>
            <w:tcW w:w="725" w:type="pct"/>
            <w:vAlign w:val="center"/>
          </w:tcPr>
          <w:p w14:paraId="46F27BE7">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F881A3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363A7C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1272175">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753B3B86">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7C678274">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AF32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0FDD177A">
            <w:pPr>
              <w:widowControl/>
              <w:spacing w:line="240" w:lineRule="exact"/>
              <w:jc w:val="left"/>
              <w:rPr>
                <w:rFonts w:hint="eastAsia" w:cs="宋体"/>
                <w:color w:val="000000"/>
                <w:kern w:val="0"/>
                <w:szCs w:val="21"/>
              </w:rPr>
            </w:pPr>
            <w:r>
              <w:rPr>
                <w:rFonts w:hint="eastAsia" w:cs="宋体"/>
                <w:color w:val="000000"/>
                <w:kern w:val="0"/>
                <w:szCs w:val="21"/>
              </w:rPr>
              <w:t>餐饮业</w:t>
            </w:r>
          </w:p>
        </w:tc>
        <w:tc>
          <w:tcPr>
            <w:tcW w:w="725" w:type="pct"/>
            <w:vAlign w:val="center"/>
          </w:tcPr>
          <w:p w14:paraId="2FDA4B0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7D5615">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375C5E36">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6D971DBF">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95D2A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62D17B3">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47BD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D9206FF">
            <w:pPr>
              <w:widowControl/>
              <w:spacing w:line="240" w:lineRule="auto"/>
              <w:jc w:val="left"/>
              <w:rPr>
                <w:rFonts w:hint="eastAsia" w:cs="宋体"/>
                <w:color w:val="000000"/>
                <w:kern w:val="0"/>
                <w:szCs w:val="21"/>
              </w:rPr>
            </w:pPr>
          </w:p>
        </w:tc>
        <w:tc>
          <w:tcPr>
            <w:tcW w:w="725" w:type="pct"/>
            <w:vAlign w:val="center"/>
          </w:tcPr>
          <w:p w14:paraId="36232CF2">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7E7FFE4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F49E24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079749D">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6E7B69D3">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0F97A5B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45AE1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C6B9AA5">
            <w:pPr>
              <w:widowControl/>
              <w:spacing w:line="240" w:lineRule="exact"/>
              <w:jc w:val="left"/>
              <w:rPr>
                <w:rFonts w:hint="eastAsia" w:cs="宋体"/>
                <w:color w:val="000000"/>
                <w:kern w:val="0"/>
                <w:szCs w:val="21"/>
              </w:rPr>
            </w:pPr>
            <w:r>
              <w:rPr>
                <w:rFonts w:hint="eastAsia" w:cs="宋体"/>
                <w:color w:val="000000"/>
                <w:kern w:val="0"/>
                <w:szCs w:val="21"/>
              </w:rPr>
              <w:t>信息传输业 *</w:t>
            </w:r>
          </w:p>
        </w:tc>
        <w:tc>
          <w:tcPr>
            <w:tcW w:w="725" w:type="pct"/>
            <w:vAlign w:val="center"/>
          </w:tcPr>
          <w:p w14:paraId="27189F42">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6A26F5B">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96E1BB">
            <w:pPr>
              <w:widowControl/>
              <w:spacing w:line="240" w:lineRule="auto"/>
              <w:jc w:val="center"/>
              <w:rPr>
                <w:rFonts w:hint="eastAsia" w:cs="宋体"/>
                <w:color w:val="000000"/>
                <w:kern w:val="0"/>
                <w:szCs w:val="21"/>
              </w:rPr>
            </w:pPr>
            <w:r>
              <w:rPr>
                <w:rFonts w:hint="eastAsia" w:cs="宋体"/>
                <w:color w:val="000000"/>
                <w:kern w:val="0"/>
                <w:szCs w:val="21"/>
              </w:rPr>
              <w:t>X≥2000</w:t>
            </w:r>
          </w:p>
        </w:tc>
        <w:tc>
          <w:tcPr>
            <w:tcW w:w="901" w:type="pct"/>
            <w:vAlign w:val="center"/>
          </w:tcPr>
          <w:p w14:paraId="475E9D86">
            <w:pPr>
              <w:widowControl/>
              <w:spacing w:line="240" w:lineRule="auto"/>
              <w:jc w:val="center"/>
              <w:rPr>
                <w:rFonts w:hint="eastAsia" w:cs="宋体"/>
                <w:color w:val="000000"/>
                <w:kern w:val="0"/>
                <w:szCs w:val="21"/>
              </w:rPr>
            </w:pPr>
            <w:r>
              <w:rPr>
                <w:rFonts w:hint="eastAsia" w:cs="宋体"/>
                <w:color w:val="000000"/>
                <w:kern w:val="0"/>
                <w:szCs w:val="21"/>
              </w:rPr>
              <w:t>100≤X＜2000</w:t>
            </w:r>
          </w:p>
        </w:tc>
        <w:tc>
          <w:tcPr>
            <w:tcW w:w="756" w:type="pct"/>
            <w:vAlign w:val="center"/>
          </w:tcPr>
          <w:p w14:paraId="13CDE8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D55F53D">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6097E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3AE6009">
            <w:pPr>
              <w:widowControl/>
              <w:spacing w:line="240" w:lineRule="auto"/>
              <w:jc w:val="left"/>
              <w:rPr>
                <w:rFonts w:hint="eastAsia" w:cs="宋体"/>
                <w:color w:val="000000"/>
                <w:kern w:val="0"/>
                <w:szCs w:val="21"/>
              </w:rPr>
            </w:pPr>
          </w:p>
        </w:tc>
        <w:tc>
          <w:tcPr>
            <w:tcW w:w="725" w:type="pct"/>
            <w:vAlign w:val="center"/>
          </w:tcPr>
          <w:p w14:paraId="13A71D60">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D1EB921">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EB0E4E0">
            <w:pPr>
              <w:widowControl/>
              <w:spacing w:line="240" w:lineRule="auto"/>
              <w:jc w:val="center"/>
              <w:rPr>
                <w:rFonts w:hint="eastAsia" w:cs="宋体"/>
                <w:color w:val="000000"/>
                <w:kern w:val="0"/>
                <w:szCs w:val="21"/>
              </w:rPr>
            </w:pPr>
            <w:r>
              <w:rPr>
                <w:rFonts w:hint="eastAsia" w:cs="宋体"/>
                <w:color w:val="000000"/>
                <w:kern w:val="0"/>
                <w:szCs w:val="21"/>
              </w:rPr>
              <w:t>Y≥100000</w:t>
            </w:r>
          </w:p>
        </w:tc>
        <w:tc>
          <w:tcPr>
            <w:tcW w:w="901" w:type="pct"/>
            <w:vAlign w:val="center"/>
          </w:tcPr>
          <w:p w14:paraId="134966EE">
            <w:pPr>
              <w:widowControl/>
              <w:spacing w:line="240" w:lineRule="auto"/>
              <w:jc w:val="center"/>
              <w:rPr>
                <w:rFonts w:hint="eastAsia" w:cs="宋体"/>
                <w:color w:val="000000"/>
                <w:kern w:val="0"/>
                <w:szCs w:val="21"/>
              </w:rPr>
            </w:pPr>
            <w:r>
              <w:rPr>
                <w:rFonts w:hint="eastAsia" w:cs="宋体"/>
                <w:color w:val="000000"/>
                <w:kern w:val="0"/>
                <w:szCs w:val="21"/>
              </w:rPr>
              <w:t xml:space="preserve"> 1000≤Y＜100000</w:t>
            </w:r>
          </w:p>
        </w:tc>
        <w:tc>
          <w:tcPr>
            <w:tcW w:w="756" w:type="pct"/>
            <w:vAlign w:val="center"/>
          </w:tcPr>
          <w:p w14:paraId="01FE6E30">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18D5E3FB">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0C32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E3A5460">
            <w:pPr>
              <w:widowControl/>
              <w:spacing w:line="240" w:lineRule="exact"/>
              <w:jc w:val="left"/>
              <w:rPr>
                <w:rFonts w:hint="eastAsia" w:cs="宋体"/>
                <w:color w:val="000000"/>
                <w:spacing w:val="-12"/>
                <w:kern w:val="0"/>
                <w:szCs w:val="21"/>
              </w:rPr>
            </w:pPr>
            <w:r>
              <w:rPr>
                <w:rFonts w:hint="eastAsia" w:cs="宋体"/>
                <w:color w:val="000000"/>
                <w:spacing w:val="-12"/>
                <w:kern w:val="0"/>
                <w:szCs w:val="21"/>
              </w:rPr>
              <w:t>软件和信息技术服</w:t>
            </w:r>
            <w:r>
              <w:rPr>
                <w:rFonts w:hint="eastAsia" w:cs="宋体"/>
                <w:color w:val="000000"/>
                <w:kern w:val="0"/>
                <w:szCs w:val="21"/>
              </w:rPr>
              <w:t>务业</w:t>
            </w:r>
          </w:p>
        </w:tc>
        <w:tc>
          <w:tcPr>
            <w:tcW w:w="725" w:type="pct"/>
            <w:vAlign w:val="center"/>
          </w:tcPr>
          <w:p w14:paraId="5EC3B30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B6F5D2">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A014591">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2DD6A212">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1E145094">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C63EE8C">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1C7DE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AC2D87E">
            <w:pPr>
              <w:widowControl/>
              <w:spacing w:line="240" w:lineRule="auto"/>
              <w:jc w:val="left"/>
              <w:rPr>
                <w:rFonts w:hint="eastAsia" w:cs="宋体"/>
                <w:color w:val="000000"/>
                <w:spacing w:val="-12"/>
                <w:kern w:val="0"/>
                <w:szCs w:val="21"/>
              </w:rPr>
            </w:pPr>
          </w:p>
        </w:tc>
        <w:tc>
          <w:tcPr>
            <w:tcW w:w="725" w:type="pct"/>
            <w:vAlign w:val="center"/>
          </w:tcPr>
          <w:p w14:paraId="6FF81A95">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C20CAE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114D4AA">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072F41F2">
            <w:pPr>
              <w:widowControl/>
              <w:spacing w:line="240" w:lineRule="auto"/>
              <w:jc w:val="center"/>
              <w:rPr>
                <w:rFonts w:hint="eastAsia" w:cs="宋体"/>
                <w:color w:val="000000"/>
                <w:kern w:val="0"/>
                <w:szCs w:val="21"/>
              </w:rPr>
            </w:pPr>
            <w:r>
              <w:rPr>
                <w:rFonts w:hint="eastAsia" w:cs="宋体"/>
                <w:color w:val="000000"/>
                <w:kern w:val="0"/>
                <w:szCs w:val="21"/>
              </w:rPr>
              <w:t>1000≤Y＜10000</w:t>
            </w:r>
          </w:p>
        </w:tc>
        <w:tc>
          <w:tcPr>
            <w:tcW w:w="756" w:type="pct"/>
            <w:vAlign w:val="center"/>
          </w:tcPr>
          <w:p w14:paraId="3B019FA1">
            <w:pPr>
              <w:widowControl/>
              <w:spacing w:line="240" w:lineRule="auto"/>
              <w:jc w:val="center"/>
              <w:rPr>
                <w:rFonts w:hint="eastAsia" w:cs="宋体"/>
                <w:color w:val="000000"/>
                <w:kern w:val="0"/>
                <w:szCs w:val="21"/>
              </w:rPr>
            </w:pPr>
            <w:r>
              <w:rPr>
                <w:rFonts w:hint="eastAsia" w:cs="宋体"/>
                <w:color w:val="000000"/>
                <w:kern w:val="0"/>
                <w:szCs w:val="21"/>
              </w:rPr>
              <w:t>50≤Y＜1000</w:t>
            </w:r>
          </w:p>
        </w:tc>
        <w:tc>
          <w:tcPr>
            <w:tcW w:w="526" w:type="pct"/>
            <w:vAlign w:val="center"/>
          </w:tcPr>
          <w:p w14:paraId="4855BE9A">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1F9A3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6463FF8">
            <w:pPr>
              <w:widowControl/>
              <w:spacing w:line="240" w:lineRule="exact"/>
              <w:jc w:val="left"/>
              <w:rPr>
                <w:rFonts w:hint="eastAsia" w:cs="宋体"/>
                <w:color w:val="000000"/>
                <w:kern w:val="0"/>
                <w:szCs w:val="21"/>
              </w:rPr>
            </w:pPr>
            <w:r>
              <w:rPr>
                <w:rFonts w:hint="eastAsia" w:cs="宋体"/>
                <w:color w:val="000000"/>
                <w:kern w:val="0"/>
                <w:szCs w:val="21"/>
              </w:rPr>
              <w:t>房地产开发经营</w:t>
            </w:r>
          </w:p>
        </w:tc>
        <w:tc>
          <w:tcPr>
            <w:tcW w:w="725" w:type="pct"/>
            <w:vAlign w:val="center"/>
          </w:tcPr>
          <w:p w14:paraId="7010E1AF">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AEF98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85D2F">
            <w:pPr>
              <w:widowControl/>
              <w:spacing w:line="240" w:lineRule="auto"/>
              <w:jc w:val="center"/>
              <w:rPr>
                <w:rFonts w:hint="eastAsia" w:cs="宋体"/>
                <w:color w:val="000000"/>
                <w:kern w:val="0"/>
                <w:szCs w:val="21"/>
              </w:rPr>
            </w:pPr>
            <w:r>
              <w:rPr>
                <w:rFonts w:hint="eastAsia" w:cs="宋体"/>
                <w:color w:val="000000"/>
                <w:kern w:val="0"/>
                <w:szCs w:val="21"/>
              </w:rPr>
              <w:t>Y≥200000</w:t>
            </w:r>
          </w:p>
        </w:tc>
        <w:tc>
          <w:tcPr>
            <w:tcW w:w="901" w:type="pct"/>
            <w:vAlign w:val="center"/>
          </w:tcPr>
          <w:p w14:paraId="5F0B8813">
            <w:pPr>
              <w:widowControl/>
              <w:spacing w:line="240" w:lineRule="auto"/>
              <w:jc w:val="center"/>
              <w:rPr>
                <w:rFonts w:hint="eastAsia" w:cs="宋体"/>
                <w:color w:val="000000"/>
                <w:kern w:val="0"/>
                <w:szCs w:val="21"/>
              </w:rPr>
            </w:pPr>
            <w:r>
              <w:rPr>
                <w:rFonts w:hint="eastAsia" w:cs="宋体"/>
                <w:color w:val="000000"/>
                <w:kern w:val="0"/>
                <w:szCs w:val="21"/>
              </w:rPr>
              <w:t xml:space="preserve"> 1000≤Y＜200000</w:t>
            </w:r>
          </w:p>
        </w:tc>
        <w:tc>
          <w:tcPr>
            <w:tcW w:w="756" w:type="pct"/>
            <w:vAlign w:val="center"/>
          </w:tcPr>
          <w:p w14:paraId="58701CFD">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014F8D0">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1F3B4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ACD9764">
            <w:pPr>
              <w:widowControl/>
              <w:spacing w:line="240" w:lineRule="auto"/>
              <w:jc w:val="left"/>
              <w:rPr>
                <w:rFonts w:hint="eastAsia" w:cs="宋体"/>
                <w:color w:val="000000"/>
                <w:kern w:val="0"/>
                <w:szCs w:val="21"/>
              </w:rPr>
            </w:pPr>
          </w:p>
        </w:tc>
        <w:tc>
          <w:tcPr>
            <w:tcW w:w="725" w:type="pct"/>
            <w:vAlign w:val="center"/>
          </w:tcPr>
          <w:p w14:paraId="3C35D2E3">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77E8162B">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7694F">
            <w:pPr>
              <w:widowControl/>
              <w:spacing w:line="240" w:lineRule="auto"/>
              <w:jc w:val="center"/>
              <w:rPr>
                <w:rFonts w:hint="eastAsia" w:cs="宋体"/>
                <w:color w:val="000000"/>
                <w:kern w:val="0"/>
                <w:szCs w:val="21"/>
              </w:rPr>
            </w:pPr>
            <w:r>
              <w:rPr>
                <w:rFonts w:hint="eastAsia" w:cs="宋体"/>
                <w:color w:val="000000"/>
                <w:kern w:val="0"/>
                <w:szCs w:val="21"/>
              </w:rPr>
              <w:t>Z≥10000</w:t>
            </w:r>
          </w:p>
        </w:tc>
        <w:tc>
          <w:tcPr>
            <w:tcW w:w="901" w:type="pct"/>
            <w:vAlign w:val="center"/>
          </w:tcPr>
          <w:p w14:paraId="3A7FAE94">
            <w:pPr>
              <w:widowControl/>
              <w:spacing w:line="240" w:lineRule="auto"/>
              <w:jc w:val="center"/>
              <w:rPr>
                <w:rFonts w:hint="eastAsia" w:cs="宋体"/>
                <w:color w:val="000000"/>
                <w:kern w:val="0"/>
                <w:szCs w:val="21"/>
              </w:rPr>
            </w:pPr>
            <w:r>
              <w:rPr>
                <w:rFonts w:hint="eastAsia" w:cs="宋体"/>
                <w:color w:val="000000"/>
                <w:kern w:val="0"/>
                <w:szCs w:val="21"/>
              </w:rPr>
              <w:t>5000≤Z＜10000</w:t>
            </w:r>
          </w:p>
        </w:tc>
        <w:tc>
          <w:tcPr>
            <w:tcW w:w="756" w:type="pct"/>
            <w:vAlign w:val="center"/>
          </w:tcPr>
          <w:p w14:paraId="4F59240E">
            <w:pPr>
              <w:widowControl/>
              <w:spacing w:line="240" w:lineRule="auto"/>
              <w:jc w:val="center"/>
              <w:rPr>
                <w:rFonts w:hint="eastAsia" w:cs="宋体"/>
                <w:color w:val="000000"/>
                <w:kern w:val="0"/>
                <w:szCs w:val="21"/>
              </w:rPr>
            </w:pPr>
            <w:r>
              <w:rPr>
                <w:rFonts w:hint="eastAsia" w:cs="宋体"/>
                <w:color w:val="000000"/>
                <w:kern w:val="0"/>
                <w:szCs w:val="21"/>
              </w:rPr>
              <w:t>2000≤Z＜5000</w:t>
            </w:r>
          </w:p>
        </w:tc>
        <w:tc>
          <w:tcPr>
            <w:tcW w:w="526" w:type="pct"/>
            <w:vAlign w:val="center"/>
          </w:tcPr>
          <w:p w14:paraId="29C90115">
            <w:pPr>
              <w:widowControl/>
              <w:spacing w:line="240" w:lineRule="auto"/>
              <w:jc w:val="center"/>
              <w:rPr>
                <w:rFonts w:hint="eastAsia" w:cs="宋体"/>
                <w:color w:val="000000"/>
                <w:kern w:val="0"/>
                <w:szCs w:val="21"/>
              </w:rPr>
            </w:pPr>
            <w:r>
              <w:rPr>
                <w:rFonts w:hint="eastAsia" w:cs="宋体"/>
                <w:color w:val="000000"/>
                <w:kern w:val="0"/>
                <w:szCs w:val="21"/>
              </w:rPr>
              <w:t>Z＜2000</w:t>
            </w:r>
          </w:p>
        </w:tc>
      </w:tr>
      <w:tr w14:paraId="49135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126B27C">
            <w:pPr>
              <w:widowControl/>
              <w:spacing w:line="240" w:lineRule="exact"/>
              <w:jc w:val="left"/>
              <w:rPr>
                <w:rFonts w:hint="eastAsia" w:cs="宋体"/>
                <w:color w:val="000000"/>
                <w:kern w:val="0"/>
                <w:szCs w:val="21"/>
              </w:rPr>
            </w:pPr>
            <w:r>
              <w:rPr>
                <w:rFonts w:hint="eastAsia" w:cs="宋体"/>
                <w:color w:val="000000"/>
                <w:kern w:val="0"/>
                <w:szCs w:val="21"/>
              </w:rPr>
              <w:t>物业管理</w:t>
            </w:r>
          </w:p>
        </w:tc>
        <w:tc>
          <w:tcPr>
            <w:tcW w:w="725" w:type="pct"/>
            <w:vAlign w:val="center"/>
          </w:tcPr>
          <w:p w14:paraId="049A166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265AB268">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007B07B7">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AE3B959">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D4A31D8">
            <w:pPr>
              <w:widowControl/>
              <w:spacing w:line="240" w:lineRule="auto"/>
              <w:jc w:val="center"/>
              <w:rPr>
                <w:rFonts w:hint="eastAsia" w:cs="宋体"/>
                <w:color w:val="000000"/>
                <w:kern w:val="0"/>
                <w:szCs w:val="21"/>
              </w:rPr>
            </w:pPr>
            <w:r>
              <w:rPr>
                <w:rFonts w:hint="eastAsia" w:cs="宋体"/>
                <w:color w:val="000000"/>
                <w:kern w:val="0"/>
                <w:szCs w:val="21"/>
              </w:rPr>
              <w:t xml:space="preserve">100≤X＜300 </w:t>
            </w:r>
          </w:p>
        </w:tc>
        <w:tc>
          <w:tcPr>
            <w:tcW w:w="526" w:type="pct"/>
            <w:vAlign w:val="center"/>
          </w:tcPr>
          <w:p w14:paraId="02671EC0">
            <w:pPr>
              <w:widowControl/>
              <w:spacing w:line="240" w:lineRule="auto"/>
              <w:jc w:val="center"/>
              <w:rPr>
                <w:rFonts w:hint="eastAsia" w:cs="宋体"/>
                <w:color w:val="000000"/>
                <w:kern w:val="0"/>
                <w:szCs w:val="21"/>
              </w:rPr>
            </w:pPr>
            <w:r>
              <w:rPr>
                <w:rFonts w:hint="eastAsia" w:cs="宋体"/>
                <w:color w:val="000000"/>
                <w:kern w:val="0"/>
                <w:szCs w:val="21"/>
              </w:rPr>
              <w:t>X＜100</w:t>
            </w:r>
          </w:p>
        </w:tc>
      </w:tr>
      <w:tr w14:paraId="46466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6F6E8B9">
            <w:pPr>
              <w:widowControl/>
              <w:spacing w:line="240" w:lineRule="auto"/>
              <w:jc w:val="left"/>
              <w:rPr>
                <w:rFonts w:hint="eastAsia" w:cs="宋体"/>
                <w:color w:val="000000"/>
                <w:kern w:val="0"/>
                <w:szCs w:val="21"/>
              </w:rPr>
            </w:pPr>
          </w:p>
        </w:tc>
        <w:tc>
          <w:tcPr>
            <w:tcW w:w="725" w:type="pct"/>
            <w:vAlign w:val="center"/>
          </w:tcPr>
          <w:p w14:paraId="494AB6EE">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58AB5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EB305FF">
            <w:pPr>
              <w:widowControl/>
              <w:spacing w:line="240" w:lineRule="auto"/>
              <w:jc w:val="center"/>
              <w:rPr>
                <w:rFonts w:hint="eastAsia" w:cs="宋体"/>
                <w:color w:val="000000"/>
                <w:kern w:val="0"/>
                <w:szCs w:val="21"/>
              </w:rPr>
            </w:pPr>
            <w:r>
              <w:rPr>
                <w:rFonts w:hint="eastAsia" w:cs="宋体"/>
                <w:color w:val="000000"/>
                <w:kern w:val="0"/>
                <w:szCs w:val="21"/>
              </w:rPr>
              <w:t>Y≥5000</w:t>
            </w:r>
          </w:p>
        </w:tc>
        <w:tc>
          <w:tcPr>
            <w:tcW w:w="901" w:type="pct"/>
            <w:vAlign w:val="center"/>
          </w:tcPr>
          <w:p w14:paraId="24F9E11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1000≤Y＜5000 </w:t>
            </w:r>
          </w:p>
        </w:tc>
        <w:tc>
          <w:tcPr>
            <w:tcW w:w="756" w:type="pct"/>
            <w:vAlign w:val="center"/>
          </w:tcPr>
          <w:p w14:paraId="213D77A4">
            <w:pPr>
              <w:widowControl/>
              <w:spacing w:line="240" w:lineRule="auto"/>
              <w:jc w:val="center"/>
              <w:rPr>
                <w:rFonts w:hint="eastAsia" w:cs="宋体"/>
                <w:color w:val="000000"/>
                <w:kern w:val="0"/>
                <w:szCs w:val="21"/>
              </w:rPr>
            </w:pPr>
            <w:r>
              <w:rPr>
                <w:rFonts w:hint="eastAsia" w:cs="宋体"/>
                <w:color w:val="000000"/>
                <w:kern w:val="0"/>
                <w:szCs w:val="21"/>
              </w:rPr>
              <w:t>500≤Y＜1000</w:t>
            </w:r>
          </w:p>
        </w:tc>
        <w:tc>
          <w:tcPr>
            <w:tcW w:w="526" w:type="pct"/>
            <w:vAlign w:val="center"/>
          </w:tcPr>
          <w:p w14:paraId="4E239636">
            <w:pPr>
              <w:widowControl/>
              <w:spacing w:line="240" w:lineRule="auto"/>
              <w:jc w:val="center"/>
              <w:rPr>
                <w:rFonts w:hint="eastAsia" w:cs="宋体"/>
                <w:color w:val="000000"/>
                <w:kern w:val="0"/>
                <w:szCs w:val="21"/>
              </w:rPr>
            </w:pPr>
            <w:r>
              <w:rPr>
                <w:rFonts w:hint="eastAsia" w:cs="宋体"/>
                <w:color w:val="000000"/>
                <w:kern w:val="0"/>
                <w:szCs w:val="21"/>
              </w:rPr>
              <w:t>Y＜500</w:t>
            </w:r>
          </w:p>
        </w:tc>
      </w:tr>
      <w:tr w14:paraId="57BD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5294475">
            <w:pPr>
              <w:widowControl/>
              <w:spacing w:line="240" w:lineRule="exact"/>
              <w:jc w:val="left"/>
              <w:rPr>
                <w:rFonts w:hint="eastAsia" w:cs="宋体"/>
                <w:color w:val="000000"/>
                <w:kern w:val="0"/>
                <w:szCs w:val="21"/>
              </w:rPr>
            </w:pPr>
            <w:r>
              <w:rPr>
                <w:rFonts w:hint="eastAsia" w:cs="宋体"/>
                <w:color w:val="000000"/>
                <w:kern w:val="0"/>
                <w:szCs w:val="21"/>
              </w:rPr>
              <w:t>租赁和商务服务业</w:t>
            </w:r>
          </w:p>
        </w:tc>
        <w:tc>
          <w:tcPr>
            <w:tcW w:w="725" w:type="pct"/>
            <w:vAlign w:val="center"/>
          </w:tcPr>
          <w:p w14:paraId="6B33FC6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44676C6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EB5F1CC">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350A052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C74DEDE">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A96D6D9">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306D0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8EB733C">
            <w:pPr>
              <w:widowControl/>
              <w:spacing w:line="240" w:lineRule="auto"/>
              <w:jc w:val="left"/>
              <w:rPr>
                <w:rFonts w:hint="eastAsia" w:cs="宋体"/>
                <w:color w:val="000000"/>
                <w:kern w:val="0"/>
                <w:szCs w:val="21"/>
              </w:rPr>
            </w:pPr>
          </w:p>
        </w:tc>
        <w:tc>
          <w:tcPr>
            <w:tcW w:w="725" w:type="pct"/>
            <w:vAlign w:val="center"/>
          </w:tcPr>
          <w:p w14:paraId="4BB07BB8">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4C872127">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70FB0CD">
            <w:pPr>
              <w:widowControl/>
              <w:spacing w:line="240" w:lineRule="auto"/>
              <w:jc w:val="center"/>
              <w:rPr>
                <w:rFonts w:hint="eastAsia" w:cs="宋体"/>
                <w:color w:val="000000"/>
                <w:kern w:val="0"/>
                <w:szCs w:val="21"/>
              </w:rPr>
            </w:pPr>
            <w:r>
              <w:rPr>
                <w:rFonts w:hint="eastAsia" w:cs="宋体"/>
                <w:color w:val="000000"/>
                <w:kern w:val="0"/>
                <w:szCs w:val="21"/>
              </w:rPr>
              <w:t>Z≥120000</w:t>
            </w:r>
          </w:p>
        </w:tc>
        <w:tc>
          <w:tcPr>
            <w:tcW w:w="901" w:type="pct"/>
            <w:vAlign w:val="center"/>
          </w:tcPr>
          <w:p w14:paraId="2FFEAE4C">
            <w:pPr>
              <w:widowControl/>
              <w:spacing w:line="240" w:lineRule="auto"/>
              <w:jc w:val="center"/>
              <w:rPr>
                <w:rFonts w:hint="eastAsia" w:cs="宋体"/>
                <w:color w:val="000000"/>
                <w:kern w:val="0"/>
                <w:szCs w:val="21"/>
              </w:rPr>
            </w:pPr>
            <w:r>
              <w:rPr>
                <w:rFonts w:hint="eastAsia" w:cs="宋体"/>
                <w:color w:val="000000"/>
                <w:kern w:val="0"/>
                <w:szCs w:val="21"/>
              </w:rPr>
              <w:t xml:space="preserve"> 8000≤Z＜120000</w:t>
            </w:r>
          </w:p>
        </w:tc>
        <w:tc>
          <w:tcPr>
            <w:tcW w:w="756" w:type="pct"/>
            <w:vAlign w:val="center"/>
          </w:tcPr>
          <w:p w14:paraId="58715CF8">
            <w:pPr>
              <w:widowControl/>
              <w:spacing w:line="240" w:lineRule="auto"/>
              <w:jc w:val="center"/>
              <w:rPr>
                <w:rFonts w:hint="eastAsia" w:cs="宋体"/>
                <w:color w:val="000000"/>
                <w:kern w:val="0"/>
                <w:szCs w:val="21"/>
              </w:rPr>
            </w:pPr>
            <w:r>
              <w:rPr>
                <w:rFonts w:hint="eastAsia" w:cs="宋体"/>
                <w:color w:val="000000"/>
                <w:kern w:val="0"/>
                <w:szCs w:val="21"/>
              </w:rPr>
              <w:t>100≤Z＜8000</w:t>
            </w:r>
          </w:p>
        </w:tc>
        <w:tc>
          <w:tcPr>
            <w:tcW w:w="526" w:type="pct"/>
            <w:vAlign w:val="center"/>
          </w:tcPr>
          <w:p w14:paraId="10087B40">
            <w:pPr>
              <w:widowControl/>
              <w:spacing w:line="240" w:lineRule="auto"/>
              <w:jc w:val="center"/>
              <w:rPr>
                <w:rFonts w:hint="eastAsia" w:cs="宋体"/>
                <w:color w:val="000000"/>
                <w:kern w:val="0"/>
                <w:szCs w:val="21"/>
              </w:rPr>
            </w:pPr>
            <w:r>
              <w:rPr>
                <w:rFonts w:hint="eastAsia" w:cs="宋体"/>
                <w:color w:val="000000"/>
                <w:kern w:val="0"/>
                <w:szCs w:val="21"/>
              </w:rPr>
              <w:t>Z＜100</w:t>
            </w:r>
          </w:p>
        </w:tc>
      </w:tr>
      <w:tr w14:paraId="24DD8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60F15804">
            <w:pPr>
              <w:widowControl/>
              <w:spacing w:line="240" w:lineRule="exact"/>
              <w:jc w:val="left"/>
              <w:rPr>
                <w:rFonts w:hint="eastAsia" w:cs="宋体"/>
                <w:color w:val="000000"/>
                <w:kern w:val="0"/>
                <w:szCs w:val="21"/>
              </w:rPr>
            </w:pPr>
            <w:r>
              <w:rPr>
                <w:rFonts w:hint="eastAsia" w:cs="宋体"/>
                <w:color w:val="000000"/>
                <w:kern w:val="0"/>
                <w:szCs w:val="21"/>
              </w:rPr>
              <w:t>其他未列明行业*</w:t>
            </w:r>
          </w:p>
        </w:tc>
        <w:tc>
          <w:tcPr>
            <w:tcW w:w="725" w:type="pct"/>
            <w:vAlign w:val="center"/>
          </w:tcPr>
          <w:p w14:paraId="25CA71E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27FE28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F229023">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C007DE8">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49EB1C6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BAD5D34">
            <w:pPr>
              <w:widowControl/>
              <w:spacing w:line="240" w:lineRule="auto"/>
              <w:jc w:val="center"/>
              <w:rPr>
                <w:rFonts w:hint="eastAsia" w:cs="宋体"/>
                <w:color w:val="000000"/>
                <w:kern w:val="0"/>
                <w:szCs w:val="21"/>
              </w:rPr>
            </w:pPr>
            <w:r>
              <w:rPr>
                <w:rFonts w:hint="eastAsia" w:cs="宋体"/>
                <w:color w:val="000000"/>
                <w:kern w:val="0"/>
                <w:szCs w:val="21"/>
              </w:rPr>
              <w:t>X＜10</w:t>
            </w:r>
          </w:p>
        </w:tc>
      </w:tr>
    </w:tbl>
    <w:p w14:paraId="608A90CA">
      <w:pPr>
        <w:rPr>
          <w:rFonts w:hint="eastAsia" w:cs="宋体"/>
          <w:b/>
          <w:bCs/>
          <w:color w:val="000000"/>
          <w:kern w:val="0"/>
          <w:szCs w:val="21"/>
        </w:rPr>
      </w:pPr>
      <w:r>
        <w:rPr>
          <w:rFonts w:hint="eastAsia" w:cs="宋体"/>
          <w:b/>
          <w:bCs/>
          <w:color w:val="000000"/>
          <w:kern w:val="0"/>
          <w:szCs w:val="21"/>
        </w:rPr>
        <w:t>说明：</w:t>
      </w:r>
    </w:p>
    <w:p w14:paraId="3EE184CD">
      <w:pPr>
        <w:rPr>
          <w:rFonts w:hint="eastAsia" w:cs="宋体"/>
          <w:color w:val="000000"/>
          <w:kern w:val="0"/>
          <w:szCs w:val="21"/>
        </w:rPr>
      </w:pPr>
      <w:r>
        <w:rPr>
          <w:rFonts w:hint="eastAsia" w:cs="宋体"/>
          <w:color w:val="000000"/>
          <w:kern w:val="0"/>
          <w:szCs w:val="21"/>
        </w:rPr>
        <w:t>　　1.大型、中型和小型企业须同时满足所列指标的下限，否则下划一档；微型企业只须满足所列指标中的一项即可。</w:t>
      </w:r>
    </w:p>
    <w:p w14:paraId="6CB08A21">
      <w:pPr>
        <w:rPr>
          <w:rFonts w:hint="eastAsia" w:cs="宋体"/>
          <w:color w:val="000000"/>
          <w:kern w:val="0"/>
          <w:szCs w:val="21"/>
        </w:rPr>
      </w:pPr>
      <w:r>
        <w:rPr>
          <w:rFonts w:hint="eastAsia" w:cs="宋体"/>
          <w:color w:val="000000"/>
          <w:kern w:val="0"/>
          <w:szCs w:val="21"/>
        </w:rPr>
        <w:t>　　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BB01623">
      <w:pPr>
        <w:rPr>
          <w:rFonts w:hint="eastAsia" w:cs="宋体"/>
          <w:kern w:val="0"/>
          <w:sz w:val="24"/>
          <w:szCs w:val="21"/>
        </w:rPr>
      </w:pPr>
      <w:r>
        <w:rPr>
          <w:rFonts w:hint="eastAsia" w:cs="宋体"/>
          <w:color w:val="000000"/>
          <w:kern w:val="0"/>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D4E2A30">
      <w:pPr>
        <w:widowControl/>
        <w:jc w:val="left"/>
        <w:rPr>
          <w:rFonts w:hint="eastAsia"/>
          <w:b/>
          <w:spacing w:val="-8"/>
          <w:sz w:val="44"/>
          <w:szCs w:val="20"/>
        </w:rPr>
      </w:pPr>
      <w:r>
        <w:br w:type="page"/>
      </w:r>
    </w:p>
    <w:p w14:paraId="7AB5355F">
      <w:pPr>
        <w:jc w:val="center"/>
        <w:outlineLvl w:val="2"/>
        <w:rPr>
          <w:rFonts w:hint="eastAsia"/>
          <w:b/>
          <w:bCs/>
          <w:sz w:val="28"/>
          <w:szCs w:val="36"/>
        </w:rPr>
      </w:pPr>
      <w:bookmarkStart w:id="375" w:name="_Toc125986494"/>
      <w:bookmarkStart w:id="376" w:name="_Toc166067793"/>
      <w:bookmarkStart w:id="377" w:name="_Toc216368792"/>
      <w:bookmarkStart w:id="378" w:name="_Toc170120966"/>
      <w:bookmarkStart w:id="379" w:name="_Toc80973387"/>
      <w:bookmarkStart w:id="380" w:name="_Toc139357090"/>
      <w:bookmarkStart w:id="381" w:name="_Toc12807"/>
      <w:bookmarkStart w:id="382" w:name="_Toc125904359"/>
      <w:bookmarkStart w:id="383" w:name="_Toc9252"/>
      <w:bookmarkStart w:id="384" w:name="_Toc216724765"/>
      <w:bookmarkStart w:id="385" w:name="_Toc9515"/>
      <w:bookmarkStart w:id="386" w:name="_Hlk512677445"/>
      <w:bookmarkStart w:id="387" w:name="_Hlk512677434"/>
      <w:r>
        <w:rPr>
          <w:rFonts w:hint="eastAsia"/>
          <w:b/>
          <w:bCs/>
          <w:sz w:val="28"/>
          <w:szCs w:val="36"/>
        </w:rPr>
        <w:t>（十二）残疾人福利性单位声明函（如有，按需提供）</w:t>
      </w:r>
      <w:bookmarkEnd w:id="375"/>
      <w:bookmarkEnd w:id="376"/>
      <w:bookmarkEnd w:id="377"/>
      <w:bookmarkEnd w:id="378"/>
      <w:bookmarkEnd w:id="379"/>
      <w:bookmarkEnd w:id="380"/>
      <w:bookmarkEnd w:id="381"/>
      <w:bookmarkEnd w:id="382"/>
      <w:bookmarkEnd w:id="383"/>
      <w:bookmarkEnd w:id="384"/>
      <w:bookmarkEnd w:id="385"/>
    </w:p>
    <w:p w14:paraId="14CD77B9">
      <w:pPr>
        <w:ind w:firstLine="420" w:firstLineChars="200"/>
        <w:rPr>
          <w:rFonts w:hint="eastAsia" w:cs="宋体"/>
          <w:szCs w:val="21"/>
        </w:rPr>
      </w:pPr>
    </w:p>
    <w:p w14:paraId="2976B193">
      <w:pPr>
        <w:ind w:firstLine="420" w:firstLineChars="200"/>
        <w:rPr>
          <w:rFonts w:hint="eastAsia" w:cs="宋体"/>
          <w:szCs w:val="21"/>
        </w:rPr>
      </w:pPr>
      <w:r>
        <w:rPr>
          <w:rFonts w:hint="eastAsia"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987252D">
      <w:pPr>
        <w:ind w:firstLine="420" w:firstLineChars="200"/>
        <w:rPr>
          <w:rFonts w:hint="eastAsia" w:cs="宋体"/>
          <w:szCs w:val="21"/>
        </w:rPr>
      </w:pPr>
      <w:r>
        <w:rPr>
          <w:rFonts w:hint="eastAsia" w:cs="宋体"/>
          <w:szCs w:val="21"/>
        </w:rPr>
        <w:t>本单位对上述声明的真实性负责。如有虚假，将依法承担相应责任。</w:t>
      </w:r>
    </w:p>
    <w:p w14:paraId="60AA01D8">
      <w:pPr>
        <w:ind w:firstLine="420" w:firstLineChars="200"/>
        <w:rPr>
          <w:rFonts w:hint="eastAsia" w:cs="宋体"/>
          <w:szCs w:val="21"/>
        </w:rPr>
      </w:pPr>
    </w:p>
    <w:bookmarkEnd w:id="386"/>
    <w:bookmarkEnd w:id="387"/>
    <w:p w14:paraId="751594C8">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7F9AA4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00635BE">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9488C99">
      <w:pPr>
        <w:jc w:val="left"/>
        <w:rPr>
          <w:rFonts w:hint="eastAsia" w:cs="宋体"/>
          <w:szCs w:val="21"/>
        </w:rPr>
      </w:pPr>
    </w:p>
    <w:p w14:paraId="5F468380">
      <w:pPr>
        <w:ind w:firstLine="420" w:firstLineChars="200"/>
        <w:jc w:val="left"/>
        <w:rPr>
          <w:rFonts w:hint="eastAsia" w:cs="宋体"/>
          <w:szCs w:val="21"/>
        </w:rPr>
      </w:pPr>
      <w:r>
        <w:rPr>
          <w:rFonts w:hint="eastAsia" w:cs="宋体"/>
          <w:b/>
          <w:szCs w:val="21"/>
        </w:rPr>
        <w:t>注：中标人为残疾人福利性单位的，其《残疾人福利性单位声明函》将随中标结果同时公告，接受社会监督。投标人提供的《残疾人福利性单位声明函》与事实不符的，依照《政府采购法》第七十七条第一款的规定追究法律责任。</w:t>
      </w:r>
    </w:p>
    <w:p w14:paraId="2F2FAF00">
      <w:pPr>
        <w:widowControl/>
        <w:jc w:val="left"/>
        <w:rPr>
          <w:rFonts w:hint="eastAsia" w:cs="宋体"/>
          <w:b/>
          <w:sz w:val="28"/>
          <w:szCs w:val="28"/>
          <w:lang w:val="zh-CN"/>
        </w:rPr>
      </w:pPr>
      <w:r>
        <w:rPr>
          <w:rFonts w:hint="eastAsia" w:cs="宋体"/>
          <w:b/>
          <w:sz w:val="28"/>
          <w:szCs w:val="28"/>
        </w:rPr>
        <w:br w:type="page"/>
      </w:r>
    </w:p>
    <w:p w14:paraId="5359633F">
      <w:pPr>
        <w:jc w:val="center"/>
        <w:outlineLvl w:val="2"/>
        <w:rPr>
          <w:rFonts w:hint="eastAsia"/>
          <w:b/>
          <w:bCs/>
          <w:sz w:val="28"/>
          <w:szCs w:val="36"/>
        </w:rPr>
      </w:pPr>
      <w:bookmarkStart w:id="388" w:name="_Toc523832877"/>
      <w:bookmarkStart w:id="389" w:name="_Toc13361"/>
      <w:bookmarkStart w:id="390" w:name="_Toc216368793"/>
      <w:bookmarkStart w:id="391" w:name="_Toc80973388"/>
      <w:bookmarkStart w:id="392" w:name="_Toc20994"/>
      <w:bookmarkStart w:id="393" w:name="_Toc125986495"/>
      <w:bookmarkStart w:id="394" w:name="_Toc166067794"/>
      <w:bookmarkStart w:id="395" w:name="_Toc170120967"/>
      <w:bookmarkStart w:id="396" w:name="_Toc216724766"/>
      <w:bookmarkStart w:id="397" w:name="_Toc125904360"/>
      <w:bookmarkStart w:id="398" w:name="_Toc139357091"/>
      <w:bookmarkStart w:id="399" w:name="_Toc1343"/>
      <w:bookmarkStart w:id="400" w:name="_Hlk51937745"/>
      <w:r>
        <w:rPr>
          <w:rFonts w:hint="eastAsia"/>
          <w:b/>
          <w:bCs/>
          <w:sz w:val="28"/>
          <w:szCs w:val="36"/>
        </w:rPr>
        <w:t>（十三）监狱企业证明文件</w:t>
      </w:r>
      <w:bookmarkEnd w:id="388"/>
      <w:r>
        <w:rPr>
          <w:rFonts w:hint="eastAsia"/>
          <w:b/>
          <w:bCs/>
          <w:sz w:val="28"/>
          <w:szCs w:val="36"/>
        </w:rPr>
        <w:t>（如有，按需提供）</w:t>
      </w:r>
      <w:bookmarkEnd w:id="389"/>
      <w:bookmarkEnd w:id="390"/>
      <w:bookmarkEnd w:id="391"/>
      <w:bookmarkEnd w:id="392"/>
      <w:bookmarkEnd w:id="393"/>
      <w:bookmarkEnd w:id="394"/>
      <w:bookmarkEnd w:id="395"/>
      <w:bookmarkEnd w:id="396"/>
      <w:bookmarkEnd w:id="397"/>
      <w:bookmarkEnd w:id="398"/>
      <w:bookmarkEnd w:id="399"/>
    </w:p>
    <w:p w14:paraId="27415655">
      <w:pPr>
        <w:rPr>
          <w:rFonts w:hint="eastAsia" w:cs="宋体"/>
        </w:rPr>
      </w:pPr>
    </w:p>
    <w:p w14:paraId="1099CAAE">
      <w:pPr>
        <w:ind w:firstLine="420" w:firstLineChars="200"/>
        <w:jc w:val="left"/>
        <w:rPr>
          <w:rFonts w:hint="eastAsia" w:cs="宋体"/>
          <w:szCs w:val="21"/>
        </w:rPr>
      </w:pPr>
      <w:r>
        <w:rPr>
          <w:rFonts w:hint="eastAsia" w:cs="宋体"/>
          <w:szCs w:val="21"/>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0139D8">
      <w:pPr>
        <w:ind w:firstLine="315" w:firstLineChars="150"/>
        <w:jc w:val="left"/>
        <w:rPr>
          <w:rFonts w:hint="eastAsia" w:cs="宋体"/>
          <w:szCs w:val="21"/>
        </w:rPr>
      </w:pPr>
      <w:r>
        <w:rPr>
          <w:rFonts w:hint="eastAsia" w:cs="宋体"/>
          <w:szCs w:val="21"/>
        </w:rPr>
        <w:t>监狱企业参加政府采购活动时，应当提供由省级以上监狱管理局、戒毒管理局（含新疆生产建设兵团）出具的属于监狱企业的证明文件。</w:t>
      </w:r>
      <w:bookmarkEnd w:id="400"/>
    </w:p>
    <w:p w14:paraId="0514FBFF">
      <w:pPr>
        <w:rPr>
          <w:rFonts w:hint="eastAsia"/>
        </w:rPr>
      </w:pPr>
    </w:p>
    <w:p w14:paraId="111428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D532557">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CC67C8">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1B609B9">
      <w:pPr>
        <w:ind w:firstLine="315" w:firstLineChars="150"/>
        <w:jc w:val="left"/>
        <w:rPr>
          <w:rFonts w:hint="eastAsia" w:cs="宋体"/>
          <w:szCs w:val="21"/>
        </w:rPr>
      </w:pPr>
    </w:p>
    <w:p w14:paraId="3F9FBC2C">
      <w:pPr>
        <w:ind w:firstLine="315" w:firstLineChars="150"/>
        <w:jc w:val="left"/>
        <w:rPr>
          <w:rFonts w:hint="eastAsia" w:cs="宋体"/>
          <w:szCs w:val="21"/>
        </w:rPr>
      </w:pPr>
    </w:p>
    <w:p w14:paraId="6E02C624">
      <w:pPr>
        <w:widowControl/>
        <w:jc w:val="left"/>
        <w:rPr>
          <w:rFonts w:hint="eastAsia" w:cs="宋体"/>
          <w:kern w:val="0"/>
          <w:sz w:val="24"/>
          <w:szCs w:val="20"/>
        </w:rPr>
      </w:pPr>
      <w:r>
        <w:rPr>
          <w:rFonts w:hint="eastAsia" w:cs="宋体"/>
          <w:szCs w:val="21"/>
        </w:rPr>
        <w:br w:type="page"/>
      </w:r>
    </w:p>
    <w:bookmarkEnd w:id="331"/>
    <w:p w14:paraId="7B7841F8">
      <w:pPr>
        <w:numPr>
          <w:ilvl w:val="2"/>
          <w:numId w:val="0"/>
        </w:numPr>
        <w:tabs>
          <w:tab w:val="left" w:pos="900"/>
        </w:tabs>
        <w:adjustRightInd w:val="0"/>
        <w:jc w:val="center"/>
        <w:textAlignment w:val="baseline"/>
        <w:outlineLvl w:val="2"/>
        <w:rPr>
          <w:rFonts w:hint="eastAsia" w:cs="宋体"/>
          <w:b/>
          <w:kern w:val="0"/>
          <w:sz w:val="32"/>
          <w:szCs w:val="21"/>
        </w:rPr>
      </w:pPr>
      <w:bookmarkStart w:id="401" w:name="_Toc216724767"/>
      <w:bookmarkStart w:id="402" w:name="_Toc216368794"/>
      <w:bookmarkStart w:id="403" w:name="_Toc170120968"/>
      <w:bookmarkStart w:id="404" w:name="_Toc26492"/>
      <w:bookmarkStart w:id="405" w:name="_Toc166067795"/>
      <w:bookmarkStart w:id="406" w:name="_Toc2173"/>
      <w:bookmarkStart w:id="407" w:name="_Toc139357092"/>
      <w:bookmarkStart w:id="408" w:name="_Toc125986496"/>
      <w:bookmarkStart w:id="409" w:name="_Toc125904361"/>
      <w:bookmarkStart w:id="410" w:name="_Toc38383425"/>
      <w:bookmarkStart w:id="411" w:name="_Toc38894482"/>
      <w:bookmarkStart w:id="412" w:name="_Toc22122"/>
      <w:r>
        <w:rPr>
          <w:rFonts w:hint="eastAsia" w:cs="宋体"/>
          <w:b/>
          <w:kern w:val="0"/>
          <w:sz w:val="32"/>
          <w:szCs w:val="21"/>
        </w:rPr>
        <w:t>（十四）节能产品/环境标志产品承诺书</w:t>
      </w:r>
      <w:bookmarkEnd w:id="401"/>
      <w:bookmarkEnd w:id="402"/>
      <w:bookmarkEnd w:id="403"/>
      <w:bookmarkEnd w:id="404"/>
    </w:p>
    <w:p w14:paraId="4F87C0B4">
      <w:pPr>
        <w:spacing w:line="588" w:lineRule="exact"/>
        <w:ind w:firstLine="444"/>
        <w:jc w:val="center"/>
        <w:rPr>
          <w:rFonts w:hint="eastAsia"/>
          <w:b/>
          <w:bCs/>
          <w:spacing w:val="6"/>
          <w:szCs w:val="30"/>
        </w:rPr>
      </w:pPr>
      <w:r>
        <w:rPr>
          <w:b/>
          <w:bCs/>
          <w:spacing w:val="6"/>
          <w:szCs w:val="30"/>
        </w:rPr>
        <w:t>（如有，根据投标人自身情况如实提供）</w:t>
      </w:r>
    </w:p>
    <w:p w14:paraId="25F88BBD">
      <w:pPr>
        <w:rPr>
          <w:rFonts w:hint="eastAsia"/>
          <w:b/>
          <w:sz w:val="28"/>
          <w:szCs w:val="28"/>
        </w:rPr>
      </w:pPr>
    </w:p>
    <w:p w14:paraId="4B159D0A">
      <w:pPr>
        <w:rPr>
          <w:rFonts w:hint="eastAsia" w:cs="宋体"/>
          <w:b/>
          <w:bCs/>
          <w:szCs w:val="21"/>
        </w:rPr>
      </w:pPr>
      <w:r>
        <w:rPr>
          <w:rFonts w:hint="eastAsia" w:cs="宋体"/>
          <w:b/>
          <w:bCs/>
          <w:szCs w:val="21"/>
        </w:rPr>
        <w:t>致</w:t>
      </w:r>
      <w:r>
        <w:rPr>
          <w:rFonts w:hint="eastAsia" w:cs="宋体"/>
          <w:b/>
          <w:bCs/>
          <w:szCs w:val="21"/>
          <w:u w:val="single"/>
        </w:rPr>
        <w:t>（采购人名称）</w:t>
      </w:r>
      <w:r>
        <w:rPr>
          <w:rFonts w:hint="eastAsia" w:cs="宋体"/>
          <w:b/>
          <w:bCs/>
          <w:szCs w:val="21"/>
        </w:rPr>
        <w:t>：</w:t>
      </w:r>
    </w:p>
    <w:p w14:paraId="17365822">
      <w:pPr>
        <w:ind w:firstLine="420"/>
        <w:rPr>
          <w:rFonts w:hint="eastAsia" w:cs="宋体"/>
          <w:szCs w:val="21"/>
        </w:rPr>
      </w:pPr>
      <w:r>
        <w:rPr>
          <w:rFonts w:hint="eastAsia" w:cs="宋体"/>
          <w:szCs w:val="21"/>
        </w:rPr>
        <w:t>本单位承诺，根据《财政部发展改革委生态环境部市场监管总局关于调整优化节能产品、环境标志产品政府采购执行机制的通知》（财库〔2019〕9号）的规定，本单位提供的</w:t>
      </w:r>
      <w:r>
        <w:rPr>
          <w:rFonts w:hint="eastAsia" w:cs="宋体"/>
          <w:b/>
          <w:bCs/>
          <w:szCs w:val="21"/>
          <w:u w:val="single"/>
        </w:rPr>
        <w:t>（产品名称）</w:t>
      </w:r>
      <w:r>
        <w:rPr>
          <w:rFonts w:hint="eastAsia" w:cs="宋体"/>
          <w:szCs w:val="21"/>
        </w:rPr>
        <w:t>为取得国家确定的认证机构出具的、处于有效期之内的节能产品/环境标志产品认证证书的节能产品/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证书编号为：</w:t>
      </w:r>
      <w:r>
        <w:rPr>
          <w:rFonts w:hint="eastAsia" w:cs="宋体"/>
          <w:b/>
          <w:bCs/>
          <w:szCs w:val="21"/>
          <w:u w:val="single"/>
        </w:rPr>
        <w:t>（产品证书编号）</w:t>
      </w:r>
      <w:r>
        <w:rPr>
          <w:rFonts w:hint="eastAsia" w:cs="宋体"/>
          <w:b/>
          <w:bCs/>
          <w:szCs w:val="21"/>
        </w:rPr>
        <w:t>。</w:t>
      </w:r>
    </w:p>
    <w:p w14:paraId="1ADFDF7A">
      <w:pPr>
        <w:widowControl/>
        <w:ind w:firstLine="420" w:firstLineChars="200"/>
        <w:jc w:val="left"/>
        <w:rPr>
          <w:rFonts w:hint="eastAsia" w:cs="宋体"/>
          <w:szCs w:val="21"/>
        </w:rPr>
      </w:pPr>
      <w:r>
        <w:rPr>
          <w:rFonts w:hint="eastAsia" w:cs="宋体"/>
          <w:szCs w:val="21"/>
        </w:rPr>
        <w:t>本单位对上述承诺的真实性负责。如有虚假，将依法承担相应责任。</w:t>
      </w:r>
    </w:p>
    <w:p w14:paraId="198D1DF8">
      <w:pPr>
        <w:widowControl/>
        <w:spacing w:line="240" w:lineRule="auto"/>
        <w:jc w:val="left"/>
        <w:rPr>
          <w:rFonts w:hint="eastAsia" w:cs="宋体"/>
          <w:szCs w:val="21"/>
        </w:rPr>
      </w:pPr>
    </w:p>
    <w:p w14:paraId="55C373FB">
      <w:pPr>
        <w:widowControl/>
        <w:spacing w:line="240" w:lineRule="auto"/>
        <w:jc w:val="left"/>
        <w:rPr>
          <w:rFonts w:hint="eastAsia" w:cs="宋体"/>
          <w:szCs w:val="21"/>
        </w:rPr>
      </w:pPr>
    </w:p>
    <w:p w14:paraId="4645499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B23E9EF">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BD260BF">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30D66105">
      <w:pPr>
        <w:widowControl/>
        <w:spacing w:line="240" w:lineRule="auto"/>
        <w:jc w:val="left"/>
        <w:rPr>
          <w:rFonts w:hint="eastAsia"/>
          <w:b/>
          <w:bCs/>
          <w:sz w:val="28"/>
          <w:szCs w:val="36"/>
        </w:rPr>
      </w:pPr>
    </w:p>
    <w:p w14:paraId="2B54CA4B">
      <w:pPr>
        <w:widowControl/>
        <w:spacing w:line="240" w:lineRule="auto"/>
        <w:jc w:val="left"/>
        <w:rPr>
          <w:rFonts w:hint="eastAsia"/>
          <w:b/>
          <w:bCs/>
          <w:sz w:val="28"/>
          <w:szCs w:val="36"/>
        </w:rPr>
      </w:pPr>
      <w:r>
        <w:rPr>
          <w:b/>
          <w:bCs/>
          <w:sz w:val="28"/>
          <w:szCs w:val="36"/>
        </w:rPr>
        <w:br w:type="page"/>
      </w:r>
    </w:p>
    <w:p w14:paraId="6EE1720A">
      <w:pPr>
        <w:jc w:val="center"/>
        <w:outlineLvl w:val="2"/>
        <w:rPr>
          <w:rFonts w:hint="eastAsia"/>
          <w:b/>
          <w:bCs/>
          <w:sz w:val="28"/>
          <w:szCs w:val="36"/>
        </w:rPr>
      </w:pPr>
      <w:bookmarkStart w:id="413" w:name="_Toc216368795"/>
      <w:bookmarkStart w:id="414" w:name="_Toc216724768"/>
      <w:bookmarkStart w:id="415" w:name="_Toc170120970"/>
      <w:bookmarkStart w:id="416" w:name="_Toc2506"/>
      <w:r>
        <w:rPr>
          <w:rFonts w:hint="eastAsia"/>
          <w:b/>
          <w:bCs/>
          <w:sz w:val="28"/>
          <w:szCs w:val="36"/>
        </w:rPr>
        <w:t>（十五）构成投标文件商务部分的其他资料</w:t>
      </w:r>
      <w:bookmarkEnd w:id="405"/>
      <w:bookmarkEnd w:id="406"/>
      <w:bookmarkEnd w:id="407"/>
      <w:bookmarkEnd w:id="408"/>
      <w:bookmarkEnd w:id="409"/>
      <w:bookmarkEnd w:id="413"/>
      <w:bookmarkEnd w:id="414"/>
      <w:bookmarkEnd w:id="415"/>
      <w:bookmarkEnd w:id="416"/>
    </w:p>
    <w:bookmarkEnd w:id="410"/>
    <w:bookmarkEnd w:id="411"/>
    <w:bookmarkEnd w:id="412"/>
    <w:p w14:paraId="59E0DED2">
      <w:pPr>
        <w:jc w:val="center"/>
        <w:rPr>
          <w:rFonts w:hint="eastAsia" w:cs="宋体"/>
          <w:bCs/>
        </w:rPr>
      </w:pPr>
      <w:r>
        <w:rPr>
          <w:rFonts w:hint="eastAsia" w:cs="宋体"/>
          <w:bCs/>
        </w:rPr>
        <w:t>（若有，内容格式自拟）</w:t>
      </w:r>
    </w:p>
    <w:p w14:paraId="22D0FB6D">
      <w:pPr>
        <w:rPr>
          <w:rFonts w:hint="eastAsia" w:cs="宋体"/>
          <w:b/>
          <w:sz w:val="28"/>
          <w:szCs w:val="28"/>
        </w:rPr>
      </w:pPr>
    </w:p>
    <w:p w14:paraId="464A55F8">
      <w:pPr>
        <w:rPr>
          <w:rFonts w:hint="eastAsia" w:cs="宋体"/>
          <w:b/>
          <w:sz w:val="28"/>
          <w:szCs w:val="28"/>
        </w:rPr>
      </w:pPr>
    </w:p>
    <w:p w14:paraId="2CD0EEFA">
      <w:pPr>
        <w:rPr>
          <w:rFonts w:hint="eastAsia" w:cs="宋体"/>
          <w:b/>
          <w:sz w:val="28"/>
          <w:szCs w:val="28"/>
        </w:rPr>
      </w:pPr>
      <w:r>
        <w:rPr>
          <w:rFonts w:hint="eastAsia" w:cs="宋体"/>
          <w:b/>
          <w:sz w:val="28"/>
          <w:szCs w:val="28"/>
        </w:rPr>
        <w:br w:type="page"/>
      </w:r>
    </w:p>
    <w:p w14:paraId="666CA52A">
      <w:pPr>
        <w:jc w:val="center"/>
        <w:outlineLvl w:val="1"/>
        <w:rPr>
          <w:rFonts w:hint="eastAsia" w:cs="宋体"/>
          <w:b/>
          <w:bCs/>
          <w:sz w:val="32"/>
          <w:szCs w:val="21"/>
        </w:rPr>
      </w:pPr>
      <w:bookmarkStart w:id="417" w:name="_Toc5764"/>
      <w:r>
        <w:rPr>
          <w:rFonts w:hint="eastAsia" w:cs="宋体"/>
          <w:b/>
          <w:bCs/>
          <w:sz w:val="32"/>
          <w:szCs w:val="21"/>
        </w:rPr>
        <w:t>四、技术部分</w:t>
      </w:r>
      <w:bookmarkEnd w:id="276"/>
      <w:bookmarkEnd w:id="277"/>
      <w:bookmarkEnd w:id="278"/>
      <w:bookmarkEnd w:id="417"/>
    </w:p>
    <w:p w14:paraId="71092CDF">
      <w:pPr>
        <w:jc w:val="center"/>
        <w:outlineLvl w:val="2"/>
        <w:rPr>
          <w:rFonts w:hint="eastAsia"/>
          <w:b/>
          <w:bCs/>
          <w:sz w:val="28"/>
          <w:szCs w:val="36"/>
        </w:rPr>
      </w:pPr>
      <w:bookmarkStart w:id="418" w:name="_Toc216724770"/>
      <w:bookmarkStart w:id="419" w:name="_Toc216368797"/>
      <w:bookmarkStart w:id="420" w:name="_Toc170120972"/>
      <w:bookmarkStart w:id="421" w:name="_Toc139357074"/>
      <w:bookmarkStart w:id="422" w:name="_Toc166067797"/>
      <w:bookmarkStart w:id="423" w:name="_Toc26967"/>
      <w:bookmarkStart w:id="424" w:name="_Toc9543"/>
      <w:bookmarkStart w:id="425" w:name="_Toc125986483"/>
      <w:bookmarkStart w:id="426" w:name="_Toc125904346"/>
      <w:r>
        <w:rPr>
          <w:rFonts w:hint="eastAsia"/>
          <w:b/>
          <w:bCs/>
          <w:sz w:val="28"/>
          <w:szCs w:val="36"/>
        </w:rPr>
        <w:t>（一）</w:t>
      </w:r>
      <w:r>
        <w:rPr>
          <w:b/>
          <w:bCs/>
          <w:sz w:val="28"/>
          <w:szCs w:val="36"/>
        </w:rPr>
        <w:t>技术规格偏离表</w:t>
      </w:r>
      <w:bookmarkEnd w:id="418"/>
      <w:bookmarkEnd w:id="419"/>
      <w:bookmarkEnd w:id="420"/>
      <w:bookmarkEnd w:id="421"/>
      <w:bookmarkEnd w:id="422"/>
      <w:bookmarkEnd w:id="423"/>
    </w:p>
    <w:p w14:paraId="080B6771">
      <w:pPr>
        <w:ind w:firstLine="420"/>
        <w:rPr>
          <w:rFonts w:hint="eastAsia"/>
        </w:rPr>
      </w:pPr>
      <w:r>
        <w:t>投标人应按所投产品的实际技术参数，对应招标文件的</w:t>
      </w:r>
      <w:r>
        <w:rPr>
          <w:b/>
          <w:bCs/>
        </w:rPr>
        <w:t>第五章“</w:t>
      </w:r>
      <w:r>
        <w:rPr>
          <w:rFonts w:hint="eastAsia"/>
          <w:b/>
          <w:bCs/>
          <w:szCs w:val="21"/>
        </w:rPr>
        <w:t>货物需求及技术要求</w:t>
      </w:r>
      <w:r>
        <w:rPr>
          <w:b/>
          <w:bCs/>
        </w:rPr>
        <w:t>”</w:t>
      </w:r>
      <w:r>
        <w:t>中要求的技术规范如实、完整、准确的填写该表，</w:t>
      </w:r>
      <w:r>
        <w:rPr>
          <w:b/>
        </w:rPr>
        <w:t>该表不能作为所投产品的技术支持资料。</w:t>
      </w:r>
    </w:p>
    <w:p w14:paraId="0453C676">
      <w:pPr>
        <w:ind w:firstLine="420"/>
        <w:rPr>
          <w:rFonts w:hint="eastAsia"/>
          <w:b/>
        </w:rPr>
      </w:pPr>
      <w:r>
        <w:rPr>
          <w:b/>
        </w:rPr>
        <w:t xml:space="preserve">标段名称：                  </w:t>
      </w:r>
    </w:p>
    <w:p w14:paraId="388C1A6A">
      <w:pPr>
        <w:ind w:firstLine="420"/>
        <w:rPr>
          <w:rFonts w:hint="eastAsia"/>
          <w:b/>
          <w:u w:val="single"/>
        </w:rPr>
      </w:pPr>
      <w:r>
        <w:rPr>
          <w:b/>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07"/>
        <w:gridCol w:w="1379"/>
        <w:gridCol w:w="1909"/>
        <w:gridCol w:w="2174"/>
        <w:gridCol w:w="1397"/>
        <w:gridCol w:w="2496"/>
      </w:tblGrid>
      <w:tr w14:paraId="108F4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71DE2F78">
            <w:pPr>
              <w:spacing w:line="240" w:lineRule="auto"/>
              <w:jc w:val="center"/>
              <w:rPr>
                <w:rFonts w:hint="eastAsia"/>
                <w:b/>
                <w:szCs w:val="21"/>
              </w:rPr>
            </w:pPr>
            <w:r>
              <w:rPr>
                <w:b/>
                <w:szCs w:val="21"/>
              </w:rPr>
              <w:t>序号</w:t>
            </w:r>
          </w:p>
        </w:tc>
        <w:tc>
          <w:tcPr>
            <w:tcW w:w="692" w:type="pct"/>
            <w:vAlign w:val="center"/>
          </w:tcPr>
          <w:p w14:paraId="73CFFC10">
            <w:pPr>
              <w:spacing w:line="240" w:lineRule="auto"/>
              <w:jc w:val="center"/>
              <w:rPr>
                <w:rFonts w:hint="eastAsia"/>
                <w:b/>
                <w:szCs w:val="21"/>
              </w:rPr>
            </w:pPr>
            <w:r>
              <w:rPr>
                <w:b/>
                <w:szCs w:val="21"/>
              </w:rPr>
              <w:t>货物名称</w:t>
            </w:r>
          </w:p>
        </w:tc>
        <w:tc>
          <w:tcPr>
            <w:tcW w:w="958" w:type="pct"/>
            <w:vAlign w:val="center"/>
          </w:tcPr>
          <w:p w14:paraId="0D05DA31">
            <w:pPr>
              <w:spacing w:line="240" w:lineRule="auto"/>
              <w:jc w:val="center"/>
              <w:rPr>
                <w:rFonts w:hint="eastAsia"/>
                <w:b/>
                <w:szCs w:val="21"/>
              </w:rPr>
            </w:pPr>
            <w:r>
              <w:rPr>
                <w:b/>
                <w:szCs w:val="21"/>
              </w:rPr>
              <w:t>招标文件技术规范、要求</w:t>
            </w:r>
          </w:p>
        </w:tc>
        <w:tc>
          <w:tcPr>
            <w:tcW w:w="1091" w:type="pct"/>
            <w:vAlign w:val="center"/>
          </w:tcPr>
          <w:p w14:paraId="34903E54">
            <w:pPr>
              <w:spacing w:line="240" w:lineRule="auto"/>
              <w:jc w:val="center"/>
              <w:rPr>
                <w:rFonts w:hint="eastAsia"/>
                <w:b/>
                <w:szCs w:val="21"/>
              </w:rPr>
            </w:pPr>
            <w:r>
              <w:rPr>
                <w:b/>
                <w:szCs w:val="21"/>
              </w:rPr>
              <w:t>投标品牌、型号、技术参数及配置</w:t>
            </w:r>
          </w:p>
        </w:tc>
        <w:tc>
          <w:tcPr>
            <w:tcW w:w="701" w:type="pct"/>
            <w:vAlign w:val="center"/>
          </w:tcPr>
          <w:p w14:paraId="1CB3DCA8">
            <w:pPr>
              <w:spacing w:line="240" w:lineRule="auto"/>
              <w:jc w:val="center"/>
              <w:rPr>
                <w:rFonts w:hint="eastAsia"/>
                <w:b/>
                <w:szCs w:val="21"/>
              </w:rPr>
            </w:pPr>
            <w:r>
              <w:rPr>
                <w:b/>
                <w:szCs w:val="21"/>
              </w:rPr>
              <w:t>偏离</w:t>
            </w:r>
          </w:p>
        </w:tc>
        <w:tc>
          <w:tcPr>
            <w:tcW w:w="1253" w:type="pct"/>
            <w:vAlign w:val="center"/>
          </w:tcPr>
          <w:p w14:paraId="3B24DF17">
            <w:pPr>
              <w:spacing w:line="240" w:lineRule="auto"/>
              <w:jc w:val="center"/>
              <w:rPr>
                <w:rFonts w:hint="eastAsia"/>
                <w:b/>
                <w:szCs w:val="21"/>
              </w:rPr>
            </w:pPr>
            <w:r>
              <w:rPr>
                <w:b/>
                <w:szCs w:val="21"/>
              </w:rPr>
              <w:t>技术支持资料索引（页码及条目号等）</w:t>
            </w:r>
          </w:p>
        </w:tc>
      </w:tr>
      <w:tr w14:paraId="1DEDB0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3E9ADD4">
            <w:pPr>
              <w:spacing w:line="240" w:lineRule="auto"/>
              <w:jc w:val="center"/>
              <w:rPr>
                <w:rFonts w:hint="eastAsia"/>
                <w:szCs w:val="21"/>
              </w:rPr>
            </w:pPr>
          </w:p>
        </w:tc>
        <w:tc>
          <w:tcPr>
            <w:tcW w:w="692" w:type="pct"/>
            <w:vAlign w:val="center"/>
          </w:tcPr>
          <w:p w14:paraId="16BE7C6E">
            <w:pPr>
              <w:spacing w:line="240" w:lineRule="auto"/>
              <w:jc w:val="center"/>
              <w:rPr>
                <w:rFonts w:hint="eastAsia"/>
                <w:szCs w:val="21"/>
              </w:rPr>
            </w:pPr>
          </w:p>
        </w:tc>
        <w:tc>
          <w:tcPr>
            <w:tcW w:w="958" w:type="pct"/>
            <w:vAlign w:val="center"/>
          </w:tcPr>
          <w:p w14:paraId="24B83658">
            <w:pPr>
              <w:spacing w:line="240" w:lineRule="auto"/>
              <w:jc w:val="center"/>
              <w:rPr>
                <w:rFonts w:hint="eastAsia"/>
                <w:szCs w:val="21"/>
              </w:rPr>
            </w:pPr>
          </w:p>
        </w:tc>
        <w:tc>
          <w:tcPr>
            <w:tcW w:w="1091" w:type="pct"/>
            <w:vAlign w:val="center"/>
          </w:tcPr>
          <w:p w14:paraId="4A099227">
            <w:pPr>
              <w:spacing w:line="240" w:lineRule="auto"/>
              <w:jc w:val="center"/>
              <w:rPr>
                <w:rFonts w:hint="eastAsia"/>
                <w:szCs w:val="21"/>
              </w:rPr>
            </w:pPr>
          </w:p>
        </w:tc>
        <w:tc>
          <w:tcPr>
            <w:tcW w:w="701" w:type="pct"/>
          </w:tcPr>
          <w:p w14:paraId="6C38C73E">
            <w:pPr>
              <w:spacing w:line="240" w:lineRule="auto"/>
              <w:jc w:val="center"/>
              <w:rPr>
                <w:rFonts w:hint="eastAsia"/>
                <w:szCs w:val="21"/>
              </w:rPr>
            </w:pPr>
          </w:p>
        </w:tc>
        <w:tc>
          <w:tcPr>
            <w:tcW w:w="1253" w:type="pct"/>
            <w:vAlign w:val="center"/>
          </w:tcPr>
          <w:p w14:paraId="59409700">
            <w:pPr>
              <w:spacing w:line="240" w:lineRule="auto"/>
              <w:jc w:val="center"/>
              <w:rPr>
                <w:rFonts w:hint="eastAsia"/>
                <w:szCs w:val="21"/>
              </w:rPr>
            </w:pPr>
          </w:p>
        </w:tc>
      </w:tr>
      <w:tr w14:paraId="2E19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4287760E">
            <w:pPr>
              <w:spacing w:line="240" w:lineRule="auto"/>
              <w:jc w:val="center"/>
              <w:rPr>
                <w:rFonts w:hint="eastAsia"/>
                <w:szCs w:val="21"/>
              </w:rPr>
            </w:pPr>
          </w:p>
        </w:tc>
        <w:tc>
          <w:tcPr>
            <w:tcW w:w="692" w:type="pct"/>
            <w:vAlign w:val="center"/>
          </w:tcPr>
          <w:p w14:paraId="61C8CBAE">
            <w:pPr>
              <w:spacing w:line="240" w:lineRule="auto"/>
              <w:jc w:val="center"/>
              <w:rPr>
                <w:rFonts w:hint="eastAsia"/>
                <w:szCs w:val="21"/>
              </w:rPr>
            </w:pPr>
          </w:p>
        </w:tc>
        <w:tc>
          <w:tcPr>
            <w:tcW w:w="958" w:type="pct"/>
            <w:vAlign w:val="center"/>
          </w:tcPr>
          <w:p w14:paraId="6F3AAED2">
            <w:pPr>
              <w:spacing w:line="240" w:lineRule="auto"/>
              <w:jc w:val="center"/>
              <w:rPr>
                <w:rFonts w:hint="eastAsia"/>
                <w:szCs w:val="21"/>
              </w:rPr>
            </w:pPr>
          </w:p>
        </w:tc>
        <w:tc>
          <w:tcPr>
            <w:tcW w:w="1091" w:type="pct"/>
            <w:vAlign w:val="center"/>
          </w:tcPr>
          <w:p w14:paraId="39519B9C">
            <w:pPr>
              <w:spacing w:line="240" w:lineRule="auto"/>
              <w:jc w:val="center"/>
              <w:rPr>
                <w:rFonts w:hint="eastAsia"/>
                <w:szCs w:val="21"/>
              </w:rPr>
            </w:pPr>
          </w:p>
        </w:tc>
        <w:tc>
          <w:tcPr>
            <w:tcW w:w="701" w:type="pct"/>
            <w:vAlign w:val="center"/>
          </w:tcPr>
          <w:p w14:paraId="0ACB8A1D">
            <w:pPr>
              <w:spacing w:line="240" w:lineRule="auto"/>
              <w:jc w:val="center"/>
              <w:rPr>
                <w:rFonts w:hint="eastAsia"/>
                <w:szCs w:val="21"/>
              </w:rPr>
            </w:pPr>
          </w:p>
        </w:tc>
        <w:tc>
          <w:tcPr>
            <w:tcW w:w="1253" w:type="pct"/>
            <w:vAlign w:val="center"/>
          </w:tcPr>
          <w:p w14:paraId="3D7E373A">
            <w:pPr>
              <w:spacing w:line="240" w:lineRule="auto"/>
              <w:jc w:val="center"/>
              <w:rPr>
                <w:rFonts w:hint="eastAsia"/>
                <w:szCs w:val="21"/>
              </w:rPr>
            </w:pPr>
          </w:p>
        </w:tc>
      </w:tr>
      <w:tr w14:paraId="21E5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4F0C4C8">
            <w:pPr>
              <w:spacing w:line="240" w:lineRule="auto"/>
              <w:jc w:val="center"/>
              <w:rPr>
                <w:rFonts w:hint="eastAsia"/>
                <w:szCs w:val="21"/>
              </w:rPr>
            </w:pPr>
          </w:p>
        </w:tc>
        <w:tc>
          <w:tcPr>
            <w:tcW w:w="692" w:type="pct"/>
            <w:vAlign w:val="center"/>
          </w:tcPr>
          <w:p w14:paraId="43BA0299">
            <w:pPr>
              <w:spacing w:line="240" w:lineRule="auto"/>
              <w:jc w:val="center"/>
              <w:rPr>
                <w:rFonts w:hint="eastAsia"/>
                <w:szCs w:val="21"/>
              </w:rPr>
            </w:pPr>
          </w:p>
        </w:tc>
        <w:tc>
          <w:tcPr>
            <w:tcW w:w="958" w:type="pct"/>
            <w:vAlign w:val="center"/>
          </w:tcPr>
          <w:p w14:paraId="52028E88">
            <w:pPr>
              <w:spacing w:line="240" w:lineRule="auto"/>
              <w:jc w:val="center"/>
              <w:rPr>
                <w:rFonts w:hint="eastAsia"/>
                <w:szCs w:val="21"/>
              </w:rPr>
            </w:pPr>
          </w:p>
        </w:tc>
        <w:tc>
          <w:tcPr>
            <w:tcW w:w="1091" w:type="pct"/>
            <w:vAlign w:val="center"/>
          </w:tcPr>
          <w:p w14:paraId="4722E746">
            <w:pPr>
              <w:spacing w:line="240" w:lineRule="auto"/>
              <w:jc w:val="center"/>
              <w:rPr>
                <w:rFonts w:hint="eastAsia"/>
                <w:szCs w:val="21"/>
              </w:rPr>
            </w:pPr>
          </w:p>
        </w:tc>
        <w:tc>
          <w:tcPr>
            <w:tcW w:w="701" w:type="pct"/>
            <w:vAlign w:val="center"/>
          </w:tcPr>
          <w:p w14:paraId="210F498A">
            <w:pPr>
              <w:spacing w:line="240" w:lineRule="auto"/>
              <w:jc w:val="center"/>
              <w:rPr>
                <w:rFonts w:hint="eastAsia"/>
                <w:szCs w:val="21"/>
              </w:rPr>
            </w:pPr>
          </w:p>
        </w:tc>
        <w:tc>
          <w:tcPr>
            <w:tcW w:w="1253" w:type="pct"/>
            <w:vAlign w:val="center"/>
          </w:tcPr>
          <w:p w14:paraId="6284F631">
            <w:pPr>
              <w:spacing w:line="240" w:lineRule="auto"/>
              <w:jc w:val="center"/>
              <w:rPr>
                <w:rFonts w:hint="eastAsia"/>
                <w:szCs w:val="21"/>
              </w:rPr>
            </w:pPr>
          </w:p>
        </w:tc>
      </w:tr>
      <w:tr w14:paraId="566E5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0208D29F">
            <w:pPr>
              <w:spacing w:line="240" w:lineRule="auto"/>
              <w:jc w:val="center"/>
              <w:rPr>
                <w:rFonts w:hint="eastAsia"/>
                <w:szCs w:val="21"/>
              </w:rPr>
            </w:pPr>
          </w:p>
        </w:tc>
        <w:tc>
          <w:tcPr>
            <w:tcW w:w="692" w:type="pct"/>
            <w:vAlign w:val="center"/>
          </w:tcPr>
          <w:p w14:paraId="2784C6D3">
            <w:pPr>
              <w:spacing w:line="240" w:lineRule="auto"/>
              <w:jc w:val="center"/>
              <w:rPr>
                <w:rFonts w:hint="eastAsia"/>
                <w:szCs w:val="21"/>
              </w:rPr>
            </w:pPr>
          </w:p>
        </w:tc>
        <w:tc>
          <w:tcPr>
            <w:tcW w:w="958" w:type="pct"/>
            <w:vAlign w:val="center"/>
          </w:tcPr>
          <w:p w14:paraId="2BCC54D0">
            <w:pPr>
              <w:spacing w:line="240" w:lineRule="auto"/>
              <w:jc w:val="center"/>
              <w:rPr>
                <w:rFonts w:hint="eastAsia"/>
                <w:szCs w:val="21"/>
              </w:rPr>
            </w:pPr>
          </w:p>
        </w:tc>
        <w:tc>
          <w:tcPr>
            <w:tcW w:w="1091" w:type="pct"/>
            <w:vAlign w:val="center"/>
          </w:tcPr>
          <w:p w14:paraId="58DE76F8">
            <w:pPr>
              <w:spacing w:line="240" w:lineRule="auto"/>
              <w:jc w:val="center"/>
              <w:rPr>
                <w:rFonts w:hint="eastAsia"/>
                <w:szCs w:val="21"/>
              </w:rPr>
            </w:pPr>
          </w:p>
        </w:tc>
        <w:tc>
          <w:tcPr>
            <w:tcW w:w="701" w:type="pct"/>
            <w:vAlign w:val="center"/>
          </w:tcPr>
          <w:p w14:paraId="6986E5E7">
            <w:pPr>
              <w:spacing w:line="240" w:lineRule="auto"/>
              <w:jc w:val="center"/>
              <w:rPr>
                <w:rFonts w:hint="eastAsia"/>
                <w:szCs w:val="21"/>
              </w:rPr>
            </w:pPr>
          </w:p>
        </w:tc>
        <w:tc>
          <w:tcPr>
            <w:tcW w:w="1253" w:type="pct"/>
            <w:vAlign w:val="center"/>
          </w:tcPr>
          <w:p w14:paraId="772EB8A4">
            <w:pPr>
              <w:spacing w:line="240" w:lineRule="auto"/>
              <w:jc w:val="center"/>
              <w:rPr>
                <w:rFonts w:hint="eastAsia"/>
                <w:szCs w:val="21"/>
              </w:rPr>
            </w:pPr>
          </w:p>
        </w:tc>
      </w:tr>
      <w:tr w14:paraId="0D506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11BF82A">
            <w:pPr>
              <w:spacing w:line="240" w:lineRule="auto"/>
              <w:jc w:val="center"/>
              <w:rPr>
                <w:rFonts w:hint="eastAsia"/>
                <w:szCs w:val="21"/>
              </w:rPr>
            </w:pPr>
          </w:p>
        </w:tc>
        <w:tc>
          <w:tcPr>
            <w:tcW w:w="692" w:type="pct"/>
            <w:vAlign w:val="center"/>
          </w:tcPr>
          <w:p w14:paraId="090C421F">
            <w:pPr>
              <w:spacing w:line="240" w:lineRule="auto"/>
              <w:jc w:val="center"/>
              <w:rPr>
                <w:rFonts w:hint="eastAsia"/>
                <w:szCs w:val="21"/>
              </w:rPr>
            </w:pPr>
          </w:p>
        </w:tc>
        <w:tc>
          <w:tcPr>
            <w:tcW w:w="958" w:type="pct"/>
            <w:vAlign w:val="center"/>
          </w:tcPr>
          <w:p w14:paraId="36515117">
            <w:pPr>
              <w:spacing w:line="240" w:lineRule="auto"/>
              <w:jc w:val="center"/>
              <w:rPr>
                <w:rFonts w:hint="eastAsia"/>
                <w:szCs w:val="21"/>
              </w:rPr>
            </w:pPr>
          </w:p>
        </w:tc>
        <w:tc>
          <w:tcPr>
            <w:tcW w:w="1091" w:type="pct"/>
            <w:vAlign w:val="center"/>
          </w:tcPr>
          <w:p w14:paraId="68A0B12D">
            <w:pPr>
              <w:spacing w:line="240" w:lineRule="auto"/>
              <w:jc w:val="center"/>
              <w:rPr>
                <w:rFonts w:hint="eastAsia"/>
                <w:szCs w:val="21"/>
              </w:rPr>
            </w:pPr>
          </w:p>
        </w:tc>
        <w:tc>
          <w:tcPr>
            <w:tcW w:w="701" w:type="pct"/>
            <w:vAlign w:val="center"/>
          </w:tcPr>
          <w:p w14:paraId="77B9F2AC">
            <w:pPr>
              <w:spacing w:line="240" w:lineRule="auto"/>
              <w:jc w:val="center"/>
              <w:rPr>
                <w:rFonts w:hint="eastAsia"/>
                <w:szCs w:val="21"/>
              </w:rPr>
            </w:pPr>
          </w:p>
        </w:tc>
        <w:tc>
          <w:tcPr>
            <w:tcW w:w="1253" w:type="pct"/>
            <w:vAlign w:val="center"/>
          </w:tcPr>
          <w:p w14:paraId="339F9CD5">
            <w:pPr>
              <w:spacing w:line="240" w:lineRule="auto"/>
              <w:jc w:val="center"/>
              <w:rPr>
                <w:rFonts w:hint="eastAsia"/>
                <w:szCs w:val="21"/>
              </w:rPr>
            </w:pPr>
          </w:p>
        </w:tc>
      </w:tr>
      <w:tr w14:paraId="3DB2D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01A59C6">
            <w:pPr>
              <w:spacing w:line="240" w:lineRule="auto"/>
              <w:jc w:val="center"/>
              <w:rPr>
                <w:rFonts w:hint="eastAsia"/>
                <w:szCs w:val="21"/>
              </w:rPr>
            </w:pPr>
          </w:p>
        </w:tc>
        <w:tc>
          <w:tcPr>
            <w:tcW w:w="692" w:type="pct"/>
            <w:vAlign w:val="center"/>
          </w:tcPr>
          <w:p w14:paraId="6DF2FD15">
            <w:pPr>
              <w:spacing w:line="240" w:lineRule="auto"/>
              <w:jc w:val="center"/>
              <w:rPr>
                <w:rFonts w:hint="eastAsia"/>
                <w:szCs w:val="21"/>
              </w:rPr>
            </w:pPr>
          </w:p>
        </w:tc>
        <w:tc>
          <w:tcPr>
            <w:tcW w:w="958" w:type="pct"/>
            <w:vAlign w:val="center"/>
          </w:tcPr>
          <w:p w14:paraId="1DE40E02">
            <w:pPr>
              <w:spacing w:line="240" w:lineRule="auto"/>
              <w:jc w:val="center"/>
              <w:rPr>
                <w:rFonts w:hint="eastAsia"/>
                <w:szCs w:val="21"/>
              </w:rPr>
            </w:pPr>
          </w:p>
        </w:tc>
        <w:tc>
          <w:tcPr>
            <w:tcW w:w="1091" w:type="pct"/>
            <w:vAlign w:val="center"/>
          </w:tcPr>
          <w:p w14:paraId="50FA3479">
            <w:pPr>
              <w:spacing w:line="240" w:lineRule="auto"/>
              <w:jc w:val="center"/>
              <w:rPr>
                <w:rFonts w:hint="eastAsia"/>
                <w:szCs w:val="21"/>
              </w:rPr>
            </w:pPr>
          </w:p>
        </w:tc>
        <w:tc>
          <w:tcPr>
            <w:tcW w:w="701" w:type="pct"/>
            <w:vAlign w:val="center"/>
          </w:tcPr>
          <w:p w14:paraId="29BBE651">
            <w:pPr>
              <w:spacing w:line="240" w:lineRule="auto"/>
              <w:jc w:val="center"/>
              <w:rPr>
                <w:rFonts w:hint="eastAsia"/>
                <w:szCs w:val="21"/>
              </w:rPr>
            </w:pPr>
          </w:p>
        </w:tc>
        <w:tc>
          <w:tcPr>
            <w:tcW w:w="1253" w:type="pct"/>
            <w:vAlign w:val="center"/>
          </w:tcPr>
          <w:p w14:paraId="287F7B88">
            <w:pPr>
              <w:spacing w:line="240" w:lineRule="auto"/>
              <w:jc w:val="center"/>
              <w:rPr>
                <w:rFonts w:hint="eastAsia"/>
                <w:szCs w:val="21"/>
              </w:rPr>
            </w:pPr>
          </w:p>
        </w:tc>
      </w:tr>
      <w:tr w14:paraId="2E323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11C33C3A">
            <w:pPr>
              <w:spacing w:line="240" w:lineRule="auto"/>
              <w:jc w:val="center"/>
              <w:rPr>
                <w:rFonts w:hint="eastAsia"/>
                <w:szCs w:val="21"/>
              </w:rPr>
            </w:pPr>
          </w:p>
        </w:tc>
        <w:tc>
          <w:tcPr>
            <w:tcW w:w="692" w:type="pct"/>
            <w:vAlign w:val="center"/>
          </w:tcPr>
          <w:p w14:paraId="09EA495A">
            <w:pPr>
              <w:spacing w:line="240" w:lineRule="auto"/>
              <w:jc w:val="center"/>
              <w:rPr>
                <w:rFonts w:hint="eastAsia"/>
                <w:szCs w:val="21"/>
              </w:rPr>
            </w:pPr>
          </w:p>
        </w:tc>
        <w:tc>
          <w:tcPr>
            <w:tcW w:w="958" w:type="pct"/>
            <w:vAlign w:val="center"/>
          </w:tcPr>
          <w:p w14:paraId="7C0CB1B9">
            <w:pPr>
              <w:spacing w:line="240" w:lineRule="auto"/>
              <w:jc w:val="center"/>
              <w:rPr>
                <w:rFonts w:hint="eastAsia"/>
                <w:szCs w:val="21"/>
              </w:rPr>
            </w:pPr>
          </w:p>
        </w:tc>
        <w:tc>
          <w:tcPr>
            <w:tcW w:w="1091" w:type="pct"/>
            <w:vAlign w:val="center"/>
          </w:tcPr>
          <w:p w14:paraId="0E0AF09C">
            <w:pPr>
              <w:spacing w:line="240" w:lineRule="auto"/>
              <w:jc w:val="center"/>
              <w:rPr>
                <w:rFonts w:hint="eastAsia"/>
                <w:szCs w:val="21"/>
              </w:rPr>
            </w:pPr>
          </w:p>
        </w:tc>
        <w:tc>
          <w:tcPr>
            <w:tcW w:w="701" w:type="pct"/>
            <w:vAlign w:val="center"/>
          </w:tcPr>
          <w:p w14:paraId="54BD4173">
            <w:pPr>
              <w:spacing w:line="240" w:lineRule="auto"/>
              <w:jc w:val="center"/>
              <w:rPr>
                <w:rFonts w:hint="eastAsia"/>
                <w:szCs w:val="21"/>
              </w:rPr>
            </w:pPr>
          </w:p>
        </w:tc>
        <w:tc>
          <w:tcPr>
            <w:tcW w:w="1253" w:type="pct"/>
            <w:vAlign w:val="center"/>
          </w:tcPr>
          <w:p w14:paraId="7B84BC21">
            <w:pPr>
              <w:spacing w:line="240" w:lineRule="auto"/>
              <w:jc w:val="center"/>
              <w:rPr>
                <w:rFonts w:hint="eastAsia"/>
                <w:szCs w:val="21"/>
              </w:rPr>
            </w:pPr>
          </w:p>
        </w:tc>
      </w:tr>
      <w:tr w14:paraId="5F4D2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57B3F91E">
            <w:pPr>
              <w:spacing w:line="240" w:lineRule="auto"/>
              <w:jc w:val="center"/>
              <w:rPr>
                <w:rFonts w:hint="eastAsia"/>
                <w:szCs w:val="21"/>
              </w:rPr>
            </w:pPr>
          </w:p>
        </w:tc>
        <w:tc>
          <w:tcPr>
            <w:tcW w:w="692" w:type="pct"/>
            <w:vAlign w:val="center"/>
          </w:tcPr>
          <w:p w14:paraId="2E68D24F">
            <w:pPr>
              <w:spacing w:line="240" w:lineRule="auto"/>
              <w:jc w:val="center"/>
              <w:rPr>
                <w:rFonts w:hint="eastAsia"/>
                <w:szCs w:val="21"/>
              </w:rPr>
            </w:pPr>
          </w:p>
        </w:tc>
        <w:tc>
          <w:tcPr>
            <w:tcW w:w="958" w:type="pct"/>
            <w:vAlign w:val="center"/>
          </w:tcPr>
          <w:p w14:paraId="0658F572">
            <w:pPr>
              <w:spacing w:line="240" w:lineRule="auto"/>
              <w:jc w:val="center"/>
              <w:rPr>
                <w:rFonts w:hint="eastAsia"/>
                <w:szCs w:val="21"/>
              </w:rPr>
            </w:pPr>
          </w:p>
        </w:tc>
        <w:tc>
          <w:tcPr>
            <w:tcW w:w="1091" w:type="pct"/>
            <w:vAlign w:val="center"/>
          </w:tcPr>
          <w:p w14:paraId="1DCCDA9A">
            <w:pPr>
              <w:spacing w:line="240" w:lineRule="auto"/>
              <w:jc w:val="center"/>
              <w:rPr>
                <w:rFonts w:hint="eastAsia"/>
                <w:szCs w:val="21"/>
              </w:rPr>
            </w:pPr>
          </w:p>
        </w:tc>
        <w:tc>
          <w:tcPr>
            <w:tcW w:w="701" w:type="pct"/>
            <w:vAlign w:val="center"/>
          </w:tcPr>
          <w:p w14:paraId="56EB04A9">
            <w:pPr>
              <w:spacing w:line="240" w:lineRule="auto"/>
              <w:jc w:val="center"/>
              <w:rPr>
                <w:rFonts w:hint="eastAsia"/>
                <w:szCs w:val="21"/>
              </w:rPr>
            </w:pPr>
          </w:p>
        </w:tc>
        <w:tc>
          <w:tcPr>
            <w:tcW w:w="1253" w:type="pct"/>
            <w:vAlign w:val="center"/>
          </w:tcPr>
          <w:p w14:paraId="111EA283">
            <w:pPr>
              <w:spacing w:line="240" w:lineRule="auto"/>
              <w:jc w:val="center"/>
              <w:rPr>
                <w:rFonts w:hint="eastAsia"/>
                <w:szCs w:val="21"/>
              </w:rPr>
            </w:pPr>
          </w:p>
        </w:tc>
      </w:tr>
      <w:tr w14:paraId="7A600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E5B7920">
            <w:pPr>
              <w:spacing w:line="240" w:lineRule="auto"/>
              <w:jc w:val="center"/>
              <w:rPr>
                <w:rFonts w:hint="eastAsia"/>
                <w:szCs w:val="21"/>
              </w:rPr>
            </w:pPr>
          </w:p>
        </w:tc>
        <w:tc>
          <w:tcPr>
            <w:tcW w:w="692" w:type="pct"/>
            <w:vAlign w:val="center"/>
          </w:tcPr>
          <w:p w14:paraId="06429539">
            <w:pPr>
              <w:spacing w:line="240" w:lineRule="auto"/>
              <w:jc w:val="center"/>
              <w:rPr>
                <w:rFonts w:hint="eastAsia"/>
                <w:szCs w:val="21"/>
              </w:rPr>
            </w:pPr>
          </w:p>
        </w:tc>
        <w:tc>
          <w:tcPr>
            <w:tcW w:w="958" w:type="pct"/>
            <w:vAlign w:val="center"/>
          </w:tcPr>
          <w:p w14:paraId="436361F5">
            <w:pPr>
              <w:spacing w:line="240" w:lineRule="auto"/>
              <w:jc w:val="center"/>
              <w:rPr>
                <w:rFonts w:hint="eastAsia"/>
                <w:szCs w:val="21"/>
              </w:rPr>
            </w:pPr>
          </w:p>
        </w:tc>
        <w:tc>
          <w:tcPr>
            <w:tcW w:w="1091" w:type="pct"/>
            <w:vAlign w:val="center"/>
          </w:tcPr>
          <w:p w14:paraId="56B1BAF6">
            <w:pPr>
              <w:spacing w:line="240" w:lineRule="auto"/>
              <w:jc w:val="center"/>
              <w:rPr>
                <w:rFonts w:hint="eastAsia"/>
                <w:szCs w:val="21"/>
              </w:rPr>
            </w:pPr>
          </w:p>
        </w:tc>
        <w:tc>
          <w:tcPr>
            <w:tcW w:w="701" w:type="pct"/>
            <w:vAlign w:val="center"/>
          </w:tcPr>
          <w:p w14:paraId="7B5E49BA">
            <w:pPr>
              <w:spacing w:line="240" w:lineRule="auto"/>
              <w:jc w:val="center"/>
              <w:rPr>
                <w:rFonts w:hint="eastAsia"/>
                <w:szCs w:val="21"/>
              </w:rPr>
            </w:pPr>
          </w:p>
        </w:tc>
        <w:tc>
          <w:tcPr>
            <w:tcW w:w="1253" w:type="pct"/>
            <w:vAlign w:val="center"/>
          </w:tcPr>
          <w:p w14:paraId="6B3F6705">
            <w:pPr>
              <w:spacing w:line="240" w:lineRule="auto"/>
              <w:jc w:val="center"/>
              <w:rPr>
                <w:rFonts w:hint="eastAsia"/>
                <w:szCs w:val="21"/>
              </w:rPr>
            </w:pPr>
          </w:p>
        </w:tc>
      </w:tr>
    </w:tbl>
    <w:p w14:paraId="51FE2300">
      <w:pPr>
        <w:ind w:firstLine="420" w:firstLineChars="200"/>
        <w:rPr>
          <w:rFonts w:hint="eastAsia"/>
          <w:b/>
          <w:szCs w:val="21"/>
        </w:rPr>
      </w:pPr>
      <w:r>
        <w:rPr>
          <w:b/>
          <w:szCs w:val="21"/>
        </w:rPr>
        <w:t>表格填写说明：</w:t>
      </w:r>
    </w:p>
    <w:p w14:paraId="1D919364">
      <w:pPr>
        <w:ind w:firstLine="420" w:firstLineChars="200"/>
        <w:rPr>
          <w:rFonts w:hint="eastAsia"/>
          <w:szCs w:val="21"/>
        </w:rPr>
      </w:pPr>
      <w:r>
        <w:rPr>
          <w:b/>
          <w:bCs/>
          <w:szCs w:val="21"/>
        </w:rPr>
        <w:t>1、</w:t>
      </w:r>
      <w:r>
        <w:rPr>
          <w:szCs w:val="21"/>
        </w:rPr>
        <w:t>表格中“货物名称”及“招标文件技术规范、要求”可按“货物需求一览表”内容复制。</w:t>
      </w:r>
    </w:p>
    <w:p w14:paraId="74D01561">
      <w:pPr>
        <w:ind w:firstLine="420" w:firstLineChars="200"/>
        <w:rPr>
          <w:rFonts w:hint="eastAsia"/>
          <w:b/>
          <w:bCs/>
          <w:szCs w:val="21"/>
        </w:rPr>
      </w:pPr>
      <w:r>
        <w:rPr>
          <w:b/>
          <w:bCs/>
          <w:szCs w:val="21"/>
        </w:rPr>
        <w:t>2、表格中“投标品牌、型号、技术参数及配置”请投标人根据实际投标情况如实、完整、准确地填写，请勿复制、粘贴招标要求。投标人如果复制粘贴招标文件技术规范、要求而未提供技术支持资料或说明的，视为不响应该条技术参数要求。</w:t>
      </w:r>
    </w:p>
    <w:p w14:paraId="6DD110F6">
      <w:pPr>
        <w:ind w:firstLine="420" w:firstLineChars="200"/>
        <w:rPr>
          <w:rFonts w:hint="eastAsia" w:cs="宋体"/>
          <w:szCs w:val="21"/>
        </w:rPr>
      </w:pPr>
      <w:r>
        <w:rPr>
          <w:b/>
          <w:bCs/>
          <w:szCs w:val="21"/>
        </w:rPr>
        <w:t>3、</w:t>
      </w:r>
      <w:r>
        <w:rPr>
          <w:rFonts w:hint="eastAsia" w:cs="宋体"/>
          <w:szCs w:val="21"/>
        </w:rPr>
        <w:t>表格中“偏离”一列，投标人只能如实填写“正偏离”、“负偏离”或“无偏离”。凡投标内容高于招标文件要求的，按“正偏离”填写；低于招标文件要求的，按“负偏离”填写；满足招标文件要求的，按“无偏离”填写。并在“</w:t>
      </w:r>
      <w:r>
        <w:rPr>
          <w:rFonts w:hint="eastAsia" w:cs="宋体"/>
          <w:b/>
          <w:szCs w:val="21"/>
        </w:rPr>
        <w:t>投标品牌、型号、技术参数及配置”一列中</w:t>
      </w:r>
      <w:r>
        <w:rPr>
          <w:rFonts w:hint="eastAsia" w:cs="宋体"/>
          <w:szCs w:val="21"/>
        </w:rPr>
        <w:t>写明技术参数。</w:t>
      </w:r>
    </w:p>
    <w:p w14:paraId="0884AEC6">
      <w:pPr>
        <w:ind w:firstLine="420" w:firstLineChars="200"/>
        <w:rPr>
          <w:rFonts w:hint="eastAsia" w:cs="宋体"/>
          <w:szCs w:val="21"/>
        </w:rPr>
      </w:pPr>
      <w:r>
        <w:rPr>
          <w:rFonts w:hint="eastAsia"/>
          <w:b/>
          <w:bCs/>
        </w:rPr>
        <w:t>4、</w:t>
      </w:r>
      <w:r>
        <w:rPr>
          <w:rFonts w:hint="eastAsia" w:cs="宋体"/>
          <w:szCs w:val="21"/>
        </w:rPr>
        <w:t>序号应对应该产品在第五章《货物需求及技术要求》中的序号。</w:t>
      </w:r>
    </w:p>
    <w:p w14:paraId="5D54935A">
      <w:pPr>
        <w:ind w:firstLine="420" w:firstLineChars="200"/>
        <w:rPr>
          <w:rFonts w:hint="eastAsia" w:cs="宋体"/>
          <w:b/>
          <w:szCs w:val="21"/>
        </w:rPr>
      </w:pPr>
      <w:r>
        <w:rPr>
          <w:rFonts w:hint="eastAsia"/>
          <w:b/>
          <w:bCs/>
          <w:szCs w:val="21"/>
        </w:rPr>
        <w:t>5</w:t>
      </w:r>
      <w:r>
        <w:rPr>
          <w:b/>
          <w:bCs/>
          <w:szCs w:val="21"/>
        </w:rPr>
        <w:t>、</w:t>
      </w:r>
      <w:r>
        <w:rPr>
          <w:bCs/>
          <w:szCs w:val="21"/>
        </w:rPr>
        <w:t>投标人须对招标文件第五章</w:t>
      </w:r>
      <w:r>
        <w:rPr>
          <w:rFonts w:hint="eastAsia"/>
          <w:bCs/>
          <w:szCs w:val="21"/>
        </w:rPr>
        <w:t>货物需求及技术要求</w:t>
      </w:r>
      <w:r>
        <w:rPr>
          <w:bCs/>
          <w:szCs w:val="21"/>
        </w:rPr>
        <w:t>中的技术参数要求作出全面、真实的反映，投标人除如实填写技术规格偏离表外，</w:t>
      </w:r>
      <w:r>
        <w:rPr>
          <w:b/>
          <w:bCs/>
          <w:szCs w:val="21"/>
        </w:rPr>
        <w:t>投标文件中必须提供最新技术支持资料支持参数技术规格偏离表应答</w:t>
      </w:r>
      <w:r>
        <w:rPr>
          <w:rFonts w:hint="eastAsia"/>
          <w:b/>
          <w:bCs/>
          <w:szCs w:val="21"/>
        </w:rPr>
        <w:t>。</w:t>
      </w:r>
      <w:r>
        <w:rPr>
          <w:rFonts w:hint="eastAsia" w:cs="宋体"/>
          <w:b/>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w:t>
      </w:r>
    </w:p>
    <w:p w14:paraId="653189B7">
      <w:pPr>
        <w:ind w:firstLine="420" w:firstLineChars="200"/>
        <w:rPr>
          <w:rFonts w:hint="eastAsia"/>
          <w:bCs/>
          <w:szCs w:val="21"/>
        </w:rPr>
      </w:pPr>
      <w:r>
        <w:rPr>
          <w:rFonts w:hint="eastAsia" w:cs="宋体"/>
          <w:b/>
          <w:szCs w:val="21"/>
        </w:rPr>
        <w:t>6、若投标文件中的技术支持资料与技术规格偏离表应答不符，或投标人未提供技术支持资料且投标人又未在投标文件中作出说明和解释的，视为不响应该条技术参数要求。</w:t>
      </w:r>
    </w:p>
    <w:p w14:paraId="60FE6411">
      <w:pPr>
        <w:ind w:firstLine="420" w:firstLineChars="200"/>
        <w:rPr>
          <w:rFonts w:hint="eastAsia"/>
          <w:b/>
          <w:szCs w:val="21"/>
        </w:rPr>
      </w:pPr>
      <w:r>
        <w:rPr>
          <w:rFonts w:hint="eastAsia"/>
          <w:b/>
          <w:szCs w:val="21"/>
        </w:rPr>
        <w:t>7</w:t>
      </w:r>
      <w:r>
        <w:rPr>
          <w:b/>
          <w:szCs w:val="21"/>
        </w:rPr>
        <w:t>、投标人应将支持该项技术要求响应的技术支持资料在投标文件中的索引（指技术支持资料所在投标文件中的页码及条目号等）标注在“技术支持资料索引”一栏中，未进行标注或标注不准确造成的不利后果，由投标人承担。</w:t>
      </w:r>
    </w:p>
    <w:p w14:paraId="309433C8">
      <w:pPr>
        <w:ind w:firstLine="420" w:firstLineChars="200"/>
        <w:rPr>
          <w:rFonts w:hint="eastAsia"/>
          <w:b/>
          <w:szCs w:val="21"/>
        </w:rPr>
      </w:pPr>
      <w:r>
        <w:rPr>
          <w:rFonts w:hint="eastAsia"/>
          <w:b/>
          <w:bCs/>
        </w:rPr>
        <w:t>8、</w:t>
      </w:r>
      <w:r>
        <w:rPr>
          <w:rFonts w:hint="eastAsia" w:cs="宋体"/>
          <w:b/>
          <w:szCs w:val="21"/>
        </w:rPr>
        <w:t>若产品注册证名称与招标文件中设备名称不一致时，供应商需在参数响应时备注清楚。</w:t>
      </w:r>
    </w:p>
    <w:p w14:paraId="32C01C96">
      <w:pPr>
        <w:spacing w:line="480" w:lineRule="auto"/>
        <w:ind w:firstLine="420" w:firstLineChars="200"/>
        <w:jc w:val="left"/>
        <w:rPr>
          <w:rFonts w:hint="eastAsia"/>
          <w:b/>
          <w:bCs/>
          <w:szCs w:val="21"/>
        </w:rPr>
      </w:pPr>
    </w:p>
    <w:p w14:paraId="0F158701">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7E8E30A">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4C5AE0E1">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572074E">
      <w:pPr>
        <w:rPr>
          <w:rFonts w:hint="eastAsia"/>
        </w:rPr>
      </w:pPr>
      <w:r>
        <w:br w:type="page"/>
      </w:r>
    </w:p>
    <w:p w14:paraId="128F26F0">
      <w:pPr>
        <w:jc w:val="center"/>
        <w:outlineLvl w:val="2"/>
        <w:rPr>
          <w:rFonts w:hint="eastAsia"/>
          <w:b/>
          <w:bCs/>
          <w:sz w:val="28"/>
          <w:szCs w:val="36"/>
        </w:rPr>
      </w:pPr>
      <w:bookmarkStart w:id="427" w:name="_Toc216724771"/>
      <w:bookmarkStart w:id="428" w:name="_Toc139357075"/>
      <w:bookmarkStart w:id="429" w:name="_Toc166067798"/>
      <w:bookmarkStart w:id="430" w:name="_Toc170120973"/>
      <w:bookmarkStart w:id="431" w:name="_Toc493600043"/>
      <w:bookmarkStart w:id="432" w:name="_Toc523832886"/>
      <w:bookmarkStart w:id="433" w:name="_Toc216368798"/>
      <w:bookmarkStart w:id="434" w:name="_Toc18950"/>
      <w:bookmarkStart w:id="435" w:name="_Toc523832885"/>
      <w:bookmarkStart w:id="436" w:name="_Toc493600042"/>
      <w:r>
        <w:rPr>
          <w:rFonts w:hint="eastAsia"/>
          <w:b/>
          <w:bCs/>
          <w:sz w:val="28"/>
          <w:szCs w:val="36"/>
        </w:rPr>
        <w:t>（二）</w:t>
      </w:r>
      <w:r>
        <w:rPr>
          <w:b/>
          <w:bCs/>
          <w:sz w:val="28"/>
          <w:szCs w:val="36"/>
        </w:rPr>
        <w:t>技术支持资料</w:t>
      </w:r>
      <w:bookmarkEnd w:id="427"/>
      <w:bookmarkEnd w:id="428"/>
      <w:bookmarkEnd w:id="429"/>
      <w:bookmarkEnd w:id="430"/>
      <w:bookmarkEnd w:id="431"/>
      <w:bookmarkEnd w:id="432"/>
      <w:bookmarkEnd w:id="433"/>
      <w:bookmarkEnd w:id="434"/>
    </w:p>
    <w:p w14:paraId="18D5725F">
      <w:pPr>
        <w:ind w:firstLine="420" w:firstLineChars="200"/>
        <w:rPr>
          <w:rFonts w:hint="eastAsia" w:cs="宋体"/>
          <w:szCs w:val="21"/>
        </w:rPr>
      </w:pPr>
      <w:r>
        <w:rPr>
          <w:rFonts w:hint="eastAsia" w:cs="宋体"/>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投标人根据自身实际情况和产品特点自行提供，以证明其产品具体配置情况及技术指标响应的真实性。未提供上述资料导致评委无法进行技术评审的，后果由投标人自行承担。</w:t>
      </w:r>
    </w:p>
    <w:p w14:paraId="4F916E4B">
      <w:pPr>
        <w:ind w:firstLine="420"/>
        <w:rPr>
          <w:rFonts w:hint="eastAsia"/>
          <w:b/>
        </w:rPr>
      </w:pPr>
      <w:r>
        <w:rPr>
          <w:rFonts w:hint="eastAsia"/>
          <w:b/>
          <w:bCs/>
        </w:rPr>
        <w:t>注：</w:t>
      </w:r>
      <w:r>
        <w:rPr>
          <w:b/>
        </w:rPr>
        <w:t>未提供上述资料导致评委无法进行技术评审的，不利后果由投标人自行承担。</w:t>
      </w:r>
    </w:p>
    <w:p w14:paraId="19410D8A">
      <w:pPr>
        <w:pStyle w:val="2"/>
        <w:rPr>
          <w:rFonts w:hint="eastAsia" w:ascii="宋体" w:hAnsi="宋体"/>
        </w:rPr>
      </w:pPr>
      <w:r>
        <w:rPr>
          <w:rFonts w:ascii="宋体" w:hAnsi="宋体"/>
        </w:rPr>
        <w:br w:type="page"/>
      </w:r>
    </w:p>
    <w:p w14:paraId="6FB115E3">
      <w:pPr>
        <w:jc w:val="center"/>
        <w:outlineLvl w:val="2"/>
        <w:rPr>
          <w:rFonts w:hint="eastAsia"/>
          <w:b/>
          <w:bCs/>
          <w:sz w:val="28"/>
          <w:szCs w:val="36"/>
        </w:rPr>
      </w:pPr>
      <w:bookmarkStart w:id="437" w:name="_Toc216368799"/>
      <w:bookmarkStart w:id="438" w:name="_Toc170120974"/>
      <w:bookmarkStart w:id="439" w:name="_Toc166067799"/>
      <w:bookmarkStart w:id="440" w:name="_Toc139357076"/>
      <w:bookmarkStart w:id="441" w:name="_Toc216724772"/>
      <w:bookmarkStart w:id="442" w:name="_Toc4087"/>
      <w:r>
        <w:rPr>
          <w:rFonts w:hint="eastAsia"/>
          <w:b/>
          <w:bCs/>
          <w:sz w:val="28"/>
          <w:szCs w:val="36"/>
        </w:rPr>
        <w:t>（三）</w:t>
      </w:r>
      <w:r>
        <w:rPr>
          <w:b/>
          <w:bCs/>
          <w:sz w:val="28"/>
          <w:szCs w:val="36"/>
        </w:rPr>
        <w:t>技术文件</w:t>
      </w:r>
      <w:bookmarkEnd w:id="435"/>
      <w:bookmarkEnd w:id="436"/>
      <w:bookmarkEnd w:id="437"/>
      <w:bookmarkEnd w:id="438"/>
      <w:bookmarkEnd w:id="439"/>
      <w:bookmarkEnd w:id="440"/>
      <w:bookmarkEnd w:id="441"/>
      <w:bookmarkEnd w:id="442"/>
    </w:p>
    <w:p w14:paraId="77A18C7D">
      <w:pPr>
        <w:ind w:firstLine="420"/>
        <w:rPr>
          <w:rFonts w:hint="eastAsia"/>
        </w:rPr>
      </w:pPr>
      <w:r>
        <w:t>应包括（但不限于）以下内容：</w:t>
      </w:r>
    </w:p>
    <w:p w14:paraId="0B978E53">
      <w:pPr>
        <w:ind w:firstLine="420"/>
        <w:rPr>
          <w:rFonts w:hint="eastAsia"/>
        </w:rPr>
      </w:pPr>
      <w:r>
        <w:t>1.投标人基本情况（投标人的组织机构、制造商的生产能力、主要加工机具装备等）概述；</w:t>
      </w:r>
    </w:p>
    <w:p w14:paraId="503BC3D1">
      <w:pPr>
        <w:ind w:firstLine="420"/>
        <w:rPr>
          <w:rFonts w:hint="eastAsia"/>
        </w:rPr>
      </w:pPr>
      <w:r>
        <w:t>2.货物技术指标、参数及性能的详细说明；原材料选择、设计（使用）寿命；外购/外协件制造厂、产地；</w:t>
      </w:r>
    </w:p>
    <w:p w14:paraId="1FD41593">
      <w:pPr>
        <w:ind w:firstLine="420"/>
        <w:rPr>
          <w:rFonts w:hint="eastAsia"/>
        </w:rPr>
      </w:pPr>
      <w:r>
        <w:t>3.货物设计、制造、检验（测）、试验、验收、包装、运输、储存及试车等拟采用的标准、规范和方式；</w:t>
      </w:r>
    </w:p>
    <w:p w14:paraId="264C6A6B">
      <w:pPr>
        <w:ind w:firstLine="420"/>
        <w:rPr>
          <w:rFonts w:hint="eastAsia"/>
        </w:rPr>
      </w:pPr>
      <w:r>
        <w:t>4.人员培训、技术服务计划及说明；货物安装、调试、试运行实施方案及进度计划；</w:t>
      </w:r>
    </w:p>
    <w:p w14:paraId="5C9B3F52">
      <w:pPr>
        <w:ind w:firstLine="420"/>
        <w:rPr>
          <w:rFonts w:hint="eastAsia"/>
        </w:rPr>
      </w:pPr>
      <w:r>
        <w:t>5.投标人提出的合理化建议（如技术方案的调整、设备配置及功能等）；</w:t>
      </w:r>
    </w:p>
    <w:p w14:paraId="4AD90C53">
      <w:pPr>
        <w:widowControl/>
        <w:spacing w:line="240" w:lineRule="auto"/>
        <w:jc w:val="left"/>
        <w:rPr>
          <w:rFonts w:hint="eastAsia"/>
          <w:b/>
          <w:spacing w:val="-8"/>
          <w:sz w:val="44"/>
          <w:szCs w:val="20"/>
        </w:rPr>
      </w:pPr>
      <w:r>
        <w:br w:type="page"/>
      </w:r>
    </w:p>
    <w:bookmarkEnd w:id="424"/>
    <w:bookmarkEnd w:id="425"/>
    <w:bookmarkEnd w:id="426"/>
    <w:p w14:paraId="03BA9656">
      <w:pPr>
        <w:jc w:val="center"/>
        <w:outlineLvl w:val="2"/>
        <w:rPr>
          <w:rFonts w:hint="eastAsia"/>
          <w:b/>
          <w:bCs/>
          <w:sz w:val="28"/>
          <w:szCs w:val="36"/>
        </w:rPr>
      </w:pPr>
      <w:bookmarkStart w:id="443" w:name="_Toc170120976"/>
      <w:bookmarkStart w:id="444" w:name="_Toc166067800"/>
      <w:bookmarkStart w:id="445" w:name="_Toc125986486"/>
      <w:bookmarkStart w:id="446" w:name="_Toc216368800"/>
      <w:bookmarkStart w:id="447" w:name="_Toc28642"/>
      <w:bookmarkStart w:id="448" w:name="_Toc139357077"/>
      <w:bookmarkStart w:id="449" w:name="_Toc216724773"/>
      <w:bookmarkStart w:id="450" w:name="_Toc125904350"/>
      <w:bookmarkStart w:id="451" w:name="_Toc27609"/>
      <w:r>
        <w:rPr>
          <w:rFonts w:hint="eastAsia"/>
          <w:b/>
          <w:bCs/>
          <w:sz w:val="28"/>
          <w:szCs w:val="36"/>
        </w:rPr>
        <w:t>（四）构成投标文件技术部分的其他资料</w:t>
      </w:r>
      <w:bookmarkEnd w:id="443"/>
      <w:bookmarkEnd w:id="444"/>
      <w:bookmarkEnd w:id="445"/>
      <w:bookmarkEnd w:id="446"/>
      <w:bookmarkEnd w:id="447"/>
      <w:bookmarkEnd w:id="448"/>
      <w:bookmarkEnd w:id="449"/>
      <w:bookmarkEnd w:id="450"/>
      <w:bookmarkEnd w:id="451"/>
    </w:p>
    <w:p w14:paraId="28260DFA">
      <w:pPr>
        <w:jc w:val="center"/>
        <w:rPr>
          <w:rFonts w:hint="eastAsia" w:cs="宋体"/>
          <w:bCs/>
        </w:rPr>
      </w:pPr>
      <w:r>
        <w:rPr>
          <w:rFonts w:hint="eastAsia" w:cs="宋体"/>
          <w:bCs/>
        </w:rPr>
        <w:t>（若有，内容格式自拟）</w:t>
      </w:r>
    </w:p>
    <w:p w14:paraId="418D6F2F">
      <w:pPr>
        <w:widowControl/>
        <w:spacing w:line="240" w:lineRule="auto"/>
        <w:jc w:val="left"/>
        <w:rPr>
          <w:rFonts w:hint="eastAsia"/>
        </w:rPr>
      </w:pPr>
      <w:r>
        <w:rPr>
          <w:rFonts w:hint="eastAsia"/>
        </w:rPr>
        <w:br w:type="page"/>
      </w:r>
    </w:p>
    <w:bookmarkEnd w:id="116"/>
    <w:bookmarkEnd w:id="279"/>
    <w:bookmarkEnd w:id="280"/>
    <w:bookmarkEnd w:id="281"/>
    <w:bookmarkEnd w:id="282"/>
    <w:p w14:paraId="6833504D">
      <w:pPr>
        <w:jc w:val="center"/>
        <w:outlineLvl w:val="0"/>
        <w:rPr>
          <w:rFonts w:hint="eastAsia"/>
          <w:b/>
          <w:sz w:val="36"/>
        </w:rPr>
      </w:pPr>
      <w:bookmarkStart w:id="452" w:name="_Toc24818"/>
      <w:bookmarkStart w:id="453" w:name="_Toc14569"/>
      <w:bookmarkStart w:id="454" w:name="_Toc24062"/>
      <w:bookmarkStart w:id="455" w:name="_Toc509829330"/>
      <w:bookmarkStart w:id="456" w:name="_Toc32162"/>
      <w:bookmarkStart w:id="457" w:name="_Toc27412"/>
      <w:bookmarkStart w:id="458" w:name="_Toc509500411"/>
      <w:bookmarkStart w:id="459" w:name="_Toc213141118"/>
      <w:bookmarkStart w:id="460" w:name="_Toc514663418"/>
      <w:r>
        <w:rPr>
          <w:rFonts w:hint="eastAsia" w:cs="宋体"/>
          <w:b/>
          <w:sz w:val="36"/>
        </w:rPr>
        <w:t xml:space="preserve">第五章  </w:t>
      </w:r>
      <w:bookmarkEnd w:id="452"/>
      <w:r>
        <w:rPr>
          <w:rFonts w:hint="eastAsia"/>
          <w:b/>
          <w:sz w:val="36"/>
        </w:rPr>
        <w:t>货物需求及技术要求</w:t>
      </w:r>
      <w:bookmarkEnd w:id="453"/>
      <w:bookmarkEnd w:id="454"/>
    </w:p>
    <w:p w14:paraId="139C7CA8">
      <w:pPr>
        <w:keepNext/>
        <w:keepLines/>
        <w:tabs>
          <w:tab w:val="left" w:pos="420"/>
          <w:tab w:val="left" w:pos="6090"/>
        </w:tabs>
        <w:spacing w:after="260" w:line="240" w:lineRule="auto"/>
        <w:jc w:val="center"/>
        <w:outlineLvl w:val="1"/>
        <w:rPr>
          <w:rFonts w:hint="eastAsia"/>
          <w:b/>
          <w:bCs/>
          <w:sz w:val="30"/>
          <w:szCs w:val="28"/>
        </w:rPr>
      </w:pPr>
      <w:bookmarkStart w:id="461" w:name="_Toc23621"/>
      <w:bookmarkStart w:id="462" w:name="_Toc76716145"/>
      <w:bookmarkStart w:id="463" w:name="_Toc89015717"/>
      <w:bookmarkStart w:id="464" w:name="_Toc2398"/>
      <w:r>
        <w:rPr>
          <w:b/>
          <w:bCs/>
          <w:sz w:val="30"/>
          <w:szCs w:val="28"/>
        </w:rPr>
        <w:t>一、</w:t>
      </w:r>
      <w:r>
        <w:rPr>
          <w:rFonts w:hint="eastAsia"/>
          <w:b/>
          <w:bCs/>
          <w:sz w:val="30"/>
          <w:szCs w:val="28"/>
        </w:rPr>
        <w:t>5标段</w:t>
      </w:r>
      <w:r>
        <w:rPr>
          <w:b/>
          <w:bCs/>
          <w:sz w:val="30"/>
          <w:szCs w:val="28"/>
        </w:rPr>
        <w:t>货物需求一览表</w:t>
      </w:r>
      <w:bookmarkEnd w:id="461"/>
      <w:bookmarkEnd w:id="462"/>
      <w:bookmarkEnd w:id="463"/>
      <w:bookmarkEnd w:id="464"/>
    </w:p>
    <w:tbl>
      <w:tblPr>
        <w:tblStyle w:val="44"/>
        <w:tblW w:w="503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470"/>
        <w:gridCol w:w="767"/>
        <w:gridCol w:w="2775"/>
        <w:gridCol w:w="568"/>
        <w:gridCol w:w="566"/>
        <w:gridCol w:w="1277"/>
        <w:gridCol w:w="1277"/>
        <w:gridCol w:w="1141"/>
        <w:gridCol w:w="994"/>
      </w:tblGrid>
      <w:tr w14:paraId="7790E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740" w:hRule="atLeast"/>
          <w:tblHeader/>
          <w:jc w:val="center"/>
        </w:trPr>
        <w:tc>
          <w:tcPr>
            <w:tcW w:w="239" w:type="pct"/>
            <w:shd w:val="clear" w:color="auto" w:fill="FFFFFF"/>
            <w:vAlign w:val="center"/>
          </w:tcPr>
          <w:p w14:paraId="7566F4F9">
            <w:pPr>
              <w:widowControl/>
              <w:spacing w:line="276" w:lineRule="auto"/>
              <w:jc w:val="center"/>
              <w:rPr>
                <w:rFonts w:hint="eastAsia"/>
                <w:b/>
                <w:kern w:val="0"/>
                <w:szCs w:val="21"/>
              </w:rPr>
            </w:pPr>
            <w:r>
              <w:rPr>
                <w:b/>
                <w:kern w:val="0"/>
                <w:szCs w:val="21"/>
              </w:rPr>
              <w:t>序号</w:t>
            </w:r>
          </w:p>
        </w:tc>
        <w:tc>
          <w:tcPr>
            <w:tcW w:w="390" w:type="pct"/>
            <w:shd w:val="clear" w:color="auto" w:fill="FFFFFF"/>
            <w:vAlign w:val="center"/>
          </w:tcPr>
          <w:p w14:paraId="09D0DA4A">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1411" w:type="pct"/>
            <w:shd w:val="clear" w:color="auto" w:fill="FFFFFF"/>
            <w:vAlign w:val="center"/>
          </w:tcPr>
          <w:p w14:paraId="2C52F6AA">
            <w:pPr>
              <w:widowControl/>
              <w:spacing w:line="276" w:lineRule="auto"/>
              <w:jc w:val="center"/>
              <w:rPr>
                <w:rFonts w:hint="eastAsia"/>
                <w:b/>
                <w:kern w:val="0"/>
                <w:szCs w:val="21"/>
              </w:rPr>
            </w:pPr>
            <w:r>
              <w:rPr>
                <w:b/>
                <w:kern w:val="0"/>
                <w:szCs w:val="21"/>
              </w:rPr>
              <w:t>货物</w:t>
            </w:r>
            <w:r>
              <w:rPr>
                <w:rFonts w:hint="eastAsia"/>
                <w:b/>
                <w:kern w:val="0"/>
                <w:szCs w:val="21"/>
              </w:rPr>
              <w:t>（标的）</w:t>
            </w:r>
            <w:r>
              <w:rPr>
                <w:b/>
                <w:kern w:val="0"/>
                <w:szCs w:val="21"/>
              </w:rPr>
              <w:t>名称</w:t>
            </w:r>
          </w:p>
        </w:tc>
        <w:tc>
          <w:tcPr>
            <w:tcW w:w="289" w:type="pct"/>
            <w:shd w:val="clear" w:color="auto" w:fill="FFFFFF"/>
            <w:vAlign w:val="center"/>
          </w:tcPr>
          <w:p w14:paraId="05CDB0ED">
            <w:pPr>
              <w:widowControl/>
              <w:spacing w:line="276" w:lineRule="auto"/>
              <w:jc w:val="center"/>
              <w:rPr>
                <w:rFonts w:hint="eastAsia"/>
                <w:b/>
                <w:kern w:val="0"/>
                <w:szCs w:val="21"/>
              </w:rPr>
            </w:pPr>
            <w:r>
              <w:rPr>
                <w:b/>
                <w:kern w:val="0"/>
                <w:szCs w:val="21"/>
              </w:rPr>
              <w:t>数量</w:t>
            </w:r>
          </w:p>
        </w:tc>
        <w:tc>
          <w:tcPr>
            <w:tcW w:w="288" w:type="pct"/>
            <w:shd w:val="clear" w:color="auto" w:fill="FFFFFF"/>
            <w:vAlign w:val="center"/>
          </w:tcPr>
          <w:p w14:paraId="3F092D6B">
            <w:pPr>
              <w:widowControl/>
              <w:spacing w:line="276" w:lineRule="auto"/>
              <w:jc w:val="center"/>
              <w:rPr>
                <w:rFonts w:hint="eastAsia"/>
                <w:b/>
                <w:kern w:val="0"/>
                <w:szCs w:val="21"/>
              </w:rPr>
            </w:pPr>
            <w:r>
              <w:rPr>
                <w:b/>
                <w:kern w:val="0"/>
                <w:szCs w:val="21"/>
              </w:rPr>
              <w:t>计量单位</w:t>
            </w:r>
          </w:p>
        </w:tc>
        <w:tc>
          <w:tcPr>
            <w:tcW w:w="649" w:type="pct"/>
            <w:shd w:val="clear" w:color="auto" w:fill="FFFFFF"/>
            <w:vAlign w:val="center"/>
          </w:tcPr>
          <w:p w14:paraId="5E2039FC">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155D69C4">
            <w:pPr>
              <w:widowControl/>
              <w:spacing w:line="276" w:lineRule="auto"/>
              <w:jc w:val="center"/>
              <w:rPr>
                <w:rFonts w:hint="eastAsia"/>
                <w:b/>
                <w:kern w:val="0"/>
                <w:szCs w:val="21"/>
              </w:rPr>
            </w:pPr>
            <w:r>
              <w:rPr>
                <w:rFonts w:hint="eastAsia" w:cs="宋体"/>
                <w:b/>
                <w:bCs/>
                <w:kern w:val="0"/>
                <w:szCs w:val="21"/>
              </w:rPr>
              <w:t>（万元）</w:t>
            </w:r>
          </w:p>
        </w:tc>
        <w:tc>
          <w:tcPr>
            <w:tcW w:w="649" w:type="pct"/>
            <w:shd w:val="clear" w:color="auto" w:fill="FFFFFF"/>
            <w:vAlign w:val="center"/>
          </w:tcPr>
          <w:p w14:paraId="3BAF494A">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80" w:type="pct"/>
            <w:shd w:val="clear" w:color="auto" w:fill="FFFFFF"/>
            <w:vAlign w:val="center"/>
          </w:tcPr>
          <w:p w14:paraId="4E9B617E">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05" w:type="pct"/>
            <w:shd w:val="clear" w:color="auto" w:fill="FFFFFF"/>
            <w:vAlign w:val="center"/>
          </w:tcPr>
          <w:p w14:paraId="39F7EECC">
            <w:pPr>
              <w:widowControl/>
              <w:spacing w:line="276" w:lineRule="auto"/>
              <w:jc w:val="center"/>
              <w:rPr>
                <w:rFonts w:hint="eastAsia"/>
                <w:b/>
                <w:kern w:val="0"/>
                <w:szCs w:val="21"/>
              </w:rPr>
            </w:pPr>
            <w:r>
              <w:rPr>
                <w:rFonts w:hint="eastAsia" w:cs="宋体"/>
                <w:b/>
                <w:bCs/>
                <w:color w:val="000000"/>
                <w:kern w:val="0"/>
                <w:szCs w:val="18"/>
              </w:rPr>
              <w:t>是否属于核心产品</w:t>
            </w:r>
          </w:p>
        </w:tc>
      </w:tr>
      <w:tr w14:paraId="27244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0C2D7978">
            <w:pPr>
              <w:widowControl/>
              <w:spacing w:after="160" w:line="278" w:lineRule="auto"/>
              <w:contextualSpacing/>
              <w:jc w:val="center"/>
              <w:rPr>
                <w:rFonts w:hint="eastAsia"/>
                <w:b/>
                <w:kern w:val="0"/>
                <w:szCs w:val="21"/>
              </w:rPr>
            </w:pPr>
            <w:r>
              <w:rPr>
                <w:rFonts w:hint="eastAsia" w:cs="方正仿宋_GB2312"/>
                <w:b/>
                <w:bCs/>
                <w:szCs w:val="21"/>
              </w:rPr>
              <w:t>1</w:t>
            </w:r>
          </w:p>
        </w:tc>
        <w:tc>
          <w:tcPr>
            <w:tcW w:w="390" w:type="pct"/>
            <w:shd w:val="clear" w:color="auto" w:fill="FFFFFF"/>
            <w:vAlign w:val="center"/>
          </w:tcPr>
          <w:p w14:paraId="4799B441">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6EA4FC46">
            <w:pPr>
              <w:widowControl/>
              <w:jc w:val="center"/>
              <w:rPr>
                <w:rFonts w:hint="eastAsia"/>
                <w:b/>
                <w:bCs/>
                <w:kern w:val="0"/>
                <w:szCs w:val="21"/>
              </w:rPr>
            </w:pPr>
            <w:r>
              <w:rPr>
                <w:rFonts w:hint="eastAsia" w:cs="方正仿宋_GB2312"/>
                <w:b/>
                <w:bCs/>
                <w:szCs w:val="21"/>
              </w:rPr>
              <w:t>除颤监护仪</w:t>
            </w:r>
          </w:p>
        </w:tc>
        <w:tc>
          <w:tcPr>
            <w:tcW w:w="289" w:type="pct"/>
            <w:shd w:val="clear" w:color="auto" w:fill="FFFFFF"/>
            <w:vAlign w:val="center"/>
          </w:tcPr>
          <w:p w14:paraId="4A6F0164">
            <w:pPr>
              <w:widowControl/>
              <w:jc w:val="center"/>
              <w:rPr>
                <w:rFonts w:hint="eastAsia"/>
                <w:b/>
                <w:bCs/>
                <w:kern w:val="0"/>
                <w:szCs w:val="21"/>
              </w:rPr>
            </w:pPr>
            <w:r>
              <w:rPr>
                <w:rFonts w:hint="eastAsia" w:cs="宋体"/>
                <w:b/>
                <w:bCs/>
                <w:color w:val="000000"/>
                <w:kern w:val="0"/>
                <w:szCs w:val="21"/>
              </w:rPr>
              <w:t>2</w:t>
            </w:r>
          </w:p>
        </w:tc>
        <w:tc>
          <w:tcPr>
            <w:tcW w:w="288" w:type="pct"/>
            <w:shd w:val="clear" w:color="auto" w:fill="FFFFFF"/>
            <w:vAlign w:val="center"/>
          </w:tcPr>
          <w:p w14:paraId="1F952BD4">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38BF16F8">
            <w:pPr>
              <w:widowControl/>
              <w:jc w:val="center"/>
              <w:rPr>
                <w:rFonts w:hint="eastAsia"/>
                <w:b/>
                <w:bCs/>
                <w:kern w:val="0"/>
                <w:szCs w:val="21"/>
              </w:rPr>
            </w:pPr>
            <w:r>
              <w:rPr>
                <w:rStyle w:val="382"/>
                <w:rFonts w:hint="eastAsia"/>
                <w:b/>
                <w:bCs/>
                <w:szCs w:val="21"/>
              </w:rPr>
              <w:t>4.00</w:t>
            </w:r>
          </w:p>
        </w:tc>
        <w:tc>
          <w:tcPr>
            <w:tcW w:w="649" w:type="pct"/>
            <w:shd w:val="clear" w:color="auto" w:fill="FFFFFF"/>
            <w:vAlign w:val="center"/>
          </w:tcPr>
          <w:p w14:paraId="15E0EF5A">
            <w:pPr>
              <w:widowControl/>
              <w:jc w:val="center"/>
              <w:rPr>
                <w:rFonts w:hint="eastAsia"/>
                <w:b/>
                <w:bCs/>
                <w:kern w:val="0"/>
                <w:szCs w:val="21"/>
              </w:rPr>
            </w:pPr>
            <w:r>
              <w:rPr>
                <w:rStyle w:val="382"/>
                <w:rFonts w:hint="eastAsia"/>
                <w:b/>
                <w:bCs/>
                <w:szCs w:val="21"/>
              </w:rPr>
              <w:t>8.00</w:t>
            </w:r>
          </w:p>
        </w:tc>
        <w:tc>
          <w:tcPr>
            <w:tcW w:w="580" w:type="pct"/>
            <w:vMerge w:val="restart"/>
            <w:shd w:val="clear" w:color="auto" w:fill="FFFFFF"/>
            <w:vAlign w:val="center"/>
          </w:tcPr>
          <w:p w14:paraId="714B1F91">
            <w:pPr>
              <w:widowControl/>
              <w:jc w:val="center"/>
              <w:rPr>
                <w:rFonts w:hint="eastAsia"/>
                <w:b/>
                <w:kern w:val="0"/>
                <w:szCs w:val="21"/>
              </w:rPr>
            </w:pPr>
            <w:r>
              <w:rPr>
                <w:rStyle w:val="382"/>
                <w:rFonts w:hint="eastAsia"/>
                <w:b/>
                <w:bCs/>
                <w:szCs w:val="21"/>
              </w:rPr>
              <w:t>69.00</w:t>
            </w:r>
          </w:p>
        </w:tc>
        <w:tc>
          <w:tcPr>
            <w:tcW w:w="505" w:type="pct"/>
            <w:shd w:val="clear" w:color="auto" w:fill="FFFFFF"/>
            <w:vAlign w:val="center"/>
          </w:tcPr>
          <w:p w14:paraId="6A06EFA4">
            <w:pPr>
              <w:widowControl/>
              <w:jc w:val="center"/>
              <w:rPr>
                <w:rFonts w:hint="eastAsia"/>
                <w:bCs/>
                <w:kern w:val="0"/>
                <w:szCs w:val="21"/>
              </w:rPr>
            </w:pPr>
            <w:r>
              <w:rPr>
                <w:rFonts w:hint="eastAsia"/>
                <w:bCs/>
                <w:kern w:val="0"/>
                <w:szCs w:val="21"/>
              </w:rPr>
              <w:t>否</w:t>
            </w:r>
          </w:p>
        </w:tc>
      </w:tr>
      <w:tr w14:paraId="2B377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3660482E">
            <w:pPr>
              <w:widowControl/>
              <w:spacing w:after="160" w:line="278" w:lineRule="auto"/>
              <w:contextualSpacing/>
              <w:jc w:val="center"/>
              <w:rPr>
                <w:rFonts w:hint="eastAsia"/>
                <w:b/>
                <w:kern w:val="0"/>
                <w:szCs w:val="21"/>
              </w:rPr>
            </w:pPr>
            <w:r>
              <w:rPr>
                <w:rFonts w:hint="eastAsia" w:cs="方正仿宋_GB2312"/>
                <w:b/>
                <w:bCs/>
                <w:szCs w:val="21"/>
              </w:rPr>
              <w:t>2</w:t>
            </w:r>
          </w:p>
        </w:tc>
        <w:tc>
          <w:tcPr>
            <w:tcW w:w="390" w:type="pct"/>
            <w:shd w:val="clear" w:color="auto" w:fill="FFFFFF"/>
            <w:vAlign w:val="center"/>
          </w:tcPr>
          <w:p w14:paraId="26BDDC5D">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5CBB927B">
            <w:pPr>
              <w:widowControl/>
              <w:jc w:val="center"/>
              <w:rPr>
                <w:rFonts w:hint="eastAsia"/>
                <w:b/>
                <w:bCs/>
                <w:kern w:val="0"/>
                <w:szCs w:val="21"/>
              </w:rPr>
            </w:pPr>
            <w:r>
              <w:rPr>
                <w:rFonts w:hint="eastAsia" w:cs="方正仿宋_GB2312"/>
                <w:b/>
                <w:bCs/>
                <w:szCs w:val="21"/>
              </w:rPr>
              <w:t>连续性血液循环净化机</w:t>
            </w:r>
          </w:p>
        </w:tc>
        <w:tc>
          <w:tcPr>
            <w:tcW w:w="289" w:type="pct"/>
            <w:shd w:val="clear" w:color="auto" w:fill="FFFFFF"/>
            <w:vAlign w:val="center"/>
          </w:tcPr>
          <w:p w14:paraId="22EF6974">
            <w:pPr>
              <w:widowControl/>
              <w:jc w:val="center"/>
              <w:rPr>
                <w:rFonts w:hint="eastAsia"/>
                <w:b/>
                <w:bCs/>
                <w:kern w:val="0"/>
                <w:szCs w:val="21"/>
              </w:rPr>
            </w:pPr>
            <w:r>
              <w:rPr>
                <w:rFonts w:hint="eastAsia"/>
                <w:b/>
                <w:bCs/>
                <w:kern w:val="0"/>
                <w:szCs w:val="21"/>
              </w:rPr>
              <w:t>1</w:t>
            </w:r>
          </w:p>
        </w:tc>
        <w:tc>
          <w:tcPr>
            <w:tcW w:w="288" w:type="pct"/>
            <w:shd w:val="clear" w:color="auto" w:fill="FFFFFF"/>
            <w:vAlign w:val="center"/>
          </w:tcPr>
          <w:p w14:paraId="55AD48C7">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73CDD8A0">
            <w:pPr>
              <w:widowControl/>
              <w:jc w:val="center"/>
              <w:rPr>
                <w:rFonts w:hint="eastAsia"/>
                <w:b/>
                <w:bCs/>
                <w:kern w:val="0"/>
                <w:szCs w:val="21"/>
              </w:rPr>
            </w:pPr>
            <w:r>
              <w:rPr>
                <w:rStyle w:val="382"/>
                <w:rFonts w:hint="eastAsia"/>
                <w:b/>
                <w:bCs/>
                <w:szCs w:val="21"/>
              </w:rPr>
              <w:t>35.00</w:t>
            </w:r>
          </w:p>
        </w:tc>
        <w:tc>
          <w:tcPr>
            <w:tcW w:w="649" w:type="pct"/>
            <w:shd w:val="clear" w:color="auto" w:fill="FFFFFF"/>
            <w:vAlign w:val="center"/>
          </w:tcPr>
          <w:p w14:paraId="3AFC6644">
            <w:pPr>
              <w:widowControl/>
              <w:jc w:val="center"/>
              <w:rPr>
                <w:rFonts w:hint="eastAsia"/>
                <w:b/>
                <w:bCs/>
                <w:kern w:val="0"/>
                <w:szCs w:val="21"/>
              </w:rPr>
            </w:pPr>
            <w:r>
              <w:rPr>
                <w:rStyle w:val="382"/>
                <w:rFonts w:hint="eastAsia"/>
                <w:b/>
                <w:bCs/>
                <w:szCs w:val="21"/>
              </w:rPr>
              <w:t>35.00</w:t>
            </w:r>
          </w:p>
        </w:tc>
        <w:tc>
          <w:tcPr>
            <w:tcW w:w="580" w:type="pct"/>
            <w:vMerge w:val="continue"/>
            <w:shd w:val="clear" w:color="auto" w:fill="FFFFFF"/>
            <w:vAlign w:val="center"/>
          </w:tcPr>
          <w:p w14:paraId="7FEC0728">
            <w:pPr>
              <w:widowControl/>
              <w:jc w:val="center"/>
              <w:rPr>
                <w:rFonts w:hint="eastAsia"/>
                <w:bCs/>
                <w:kern w:val="0"/>
                <w:szCs w:val="21"/>
              </w:rPr>
            </w:pPr>
          </w:p>
        </w:tc>
        <w:tc>
          <w:tcPr>
            <w:tcW w:w="505" w:type="pct"/>
            <w:shd w:val="clear" w:color="auto" w:fill="FFFFFF"/>
            <w:vAlign w:val="center"/>
          </w:tcPr>
          <w:p w14:paraId="1CDB7C2D">
            <w:pPr>
              <w:widowControl/>
              <w:jc w:val="center"/>
              <w:rPr>
                <w:rFonts w:hint="eastAsia"/>
                <w:b/>
                <w:kern w:val="0"/>
                <w:szCs w:val="21"/>
              </w:rPr>
            </w:pPr>
            <w:r>
              <w:rPr>
                <w:rFonts w:hint="eastAsia"/>
                <w:b/>
                <w:kern w:val="0"/>
                <w:szCs w:val="21"/>
              </w:rPr>
              <w:t>是</w:t>
            </w:r>
          </w:p>
        </w:tc>
      </w:tr>
      <w:tr w14:paraId="1CA454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509BEEDC">
            <w:pPr>
              <w:widowControl/>
              <w:spacing w:after="160" w:line="278" w:lineRule="auto"/>
              <w:contextualSpacing/>
              <w:jc w:val="center"/>
              <w:rPr>
                <w:rFonts w:hint="eastAsia"/>
                <w:b/>
                <w:kern w:val="0"/>
                <w:szCs w:val="21"/>
              </w:rPr>
            </w:pPr>
            <w:r>
              <w:rPr>
                <w:rFonts w:hint="eastAsia" w:cs="方正仿宋_GB2312"/>
                <w:b/>
                <w:bCs/>
                <w:szCs w:val="21"/>
              </w:rPr>
              <w:t>3</w:t>
            </w:r>
          </w:p>
        </w:tc>
        <w:tc>
          <w:tcPr>
            <w:tcW w:w="390" w:type="pct"/>
            <w:shd w:val="clear" w:color="auto" w:fill="FFFFFF"/>
            <w:vAlign w:val="center"/>
          </w:tcPr>
          <w:p w14:paraId="09275A0C">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45B635F5">
            <w:pPr>
              <w:widowControl/>
              <w:jc w:val="center"/>
              <w:rPr>
                <w:rFonts w:hint="eastAsia" w:cs="方正仿宋_GB2312"/>
                <w:b/>
                <w:bCs/>
                <w:szCs w:val="21"/>
              </w:rPr>
            </w:pPr>
            <w:r>
              <w:rPr>
                <w:rFonts w:hint="eastAsia" w:cs="方正仿宋_GB2312"/>
                <w:b/>
                <w:bCs/>
                <w:szCs w:val="21"/>
              </w:rPr>
              <w:t>可视喉镜</w:t>
            </w:r>
          </w:p>
        </w:tc>
        <w:tc>
          <w:tcPr>
            <w:tcW w:w="289" w:type="pct"/>
            <w:shd w:val="clear" w:color="auto" w:fill="FFFFFF"/>
            <w:vAlign w:val="center"/>
          </w:tcPr>
          <w:p w14:paraId="7A40C94C">
            <w:pPr>
              <w:widowControl/>
              <w:jc w:val="center"/>
              <w:rPr>
                <w:rFonts w:hint="eastAsia"/>
                <w:b/>
                <w:bCs/>
                <w:kern w:val="0"/>
                <w:szCs w:val="21"/>
              </w:rPr>
            </w:pPr>
            <w:r>
              <w:rPr>
                <w:rFonts w:hint="eastAsia"/>
                <w:b/>
                <w:bCs/>
                <w:kern w:val="0"/>
                <w:szCs w:val="21"/>
              </w:rPr>
              <w:t>3</w:t>
            </w:r>
          </w:p>
        </w:tc>
        <w:tc>
          <w:tcPr>
            <w:tcW w:w="288" w:type="pct"/>
            <w:shd w:val="clear" w:color="auto" w:fill="FFFFFF"/>
            <w:vAlign w:val="center"/>
          </w:tcPr>
          <w:p w14:paraId="22776BE3">
            <w:pPr>
              <w:widowControl/>
              <w:jc w:val="center"/>
              <w:rPr>
                <w:rFonts w:hint="eastAsia"/>
                <w:b/>
                <w:bCs/>
                <w:kern w:val="0"/>
                <w:szCs w:val="21"/>
              </w:rPr>
            </w:pPr>
            <w:r>
              <w:rPr>
                <w:rFonts w:hint="eastAsia"/>
                <w:b/>
                <w:bCs/>
                <w:color w:val="000000"/>
                <w:szCs w:val="21"/>
              </w:rPr>
              <w:t>个</w:t>
            </w:r>
          </w:p>
        </w:tc>
        <w:tc>
          <w:tcPr>
            <w:tcW w:w="649" w:type="pct"/>
            <w:shd w:val="clear" w:color="auto" w:fill="FFFFFF"/>
            <w:vAlign w:val="center"/>
          </w:tcPr>
          <w:p w14:paraId="5A729FEE">
            <w:pPr>
              <w:widowControl/>
              <w:jc w:val="center"/>
              <w:rPr>
                <w:rStyle w:val="382"/>
                <w:rFonts w:hint="eastAsia"/>
                <w:b/>
                <w:bCs/>
                <w:szCs w:val="21"/>
              </w:rPr>
            </w:pPr>
            <w:r>
              <w:rPr>
                <w:rStyle w:val="382"/>
                <w:rFonts w:hint="eastAsia"/>
                <w:b/>
                <w:bCs/>
                <w:szCs w:val="21"/>
              </w:rPr>
              <w:t>3.50</w:t>
            </w:r>
          </w:p>
        </w:tc>
        <w:tc>
          <w:tcPr>
            <w:tcW w:w="649" w:type="pct"/>
            <w:shd w:val="clear" w:color="auto" w:fill="FFFFFF"/>
            <w:vAlign w:val="center"/>
          </w:tcPr>
          <w:p w14:paraId="7A6E5DB3">
            <w:pPr>
              <w:widowControl/>
              <w:jc w:val="center"/>
              <w:rPr>
                <w:rStyle w:val="382"/>
                <w:rFonts w:hint="eastAsia"/>
                <w:b/>
                <w:bCs/>
                <w:szCs w:val="21"/>
              </w:rPr>
            </w:pPr>
            <w:r>
              <w:rPr>
                <w:rStyle w:val="382"/>
                <w:rFonts w:hint="eastAsia"/>
                <w:b/>
                <w:bCs/>
                <w:szCs w:val="21"/>
              </w:rPr>
              <w:t>10.50</w:t>
            </w:r>
          </w:p>
        </w:tc>
        <w:tc>
          <w:tcPr>
            <w:tcW w:w="580" w:type="pct"/>
            <w:vMerge w:val="continue"/>
            <w:shd w:val="clear" w:color="auto" w:fill="FFFFFF"/>
            <w:vAlign w:val="center"/>
          </w:tcPr>
          <w:p w14:paraId="770D9FF9">
            <w:pPr>
              <w:widowControl/>
              <w:jc w:val="center"/>
              <w:rPr>
                <w:rFonts w:hint="eastAsia"/>
                <w:bCs/>
                <w:kern w:val="0"/>
                <w:szCs w:val="21"/>
              </w:rPr>
            </w:pPr>
          </w:p>
        </w:tc>
        <w:tc>
          <w:tcPr>
            <w:tcW w:w="505" w:type="pct"/>
            <w:shd w:val="clear" w:color="auto" w:fill="FFFFFF"/>
            <w:vAlign w:val="center"/>
          </w:tcPr>
          <w:p w14:paraId="60BF0EB6">
            <w:pPr>
              <w:widowControl/>
              <w:jc w:val="center"/>
              <w:rPr>
                <w:rFonts w:hint="eastAsia"/>
                <w:b/>
                <w:kern w:val="0"/>
                <w:szCs w:val="21"/>
              </w:rPr>
            </w:pPr>
            <w:r>
              <w:rPr>
                <w:rFonts w:hint="eastAsia"/>
                <w:bCs/>
                <w:kern w:val="0"/>
                <w:szCs w:val="21"/>
              </w:rPr>
              <w:t>否</w:t>
            </w:r>
          </w:p>
        </w:tc>
      </w:tr>
      <w:tr w14:paraId="51471C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384FCAD3">
            <w:pPr>
              <w:widowControl/>
              <w:spacing w:after="160" w:line="278" w:lineRule="auto"/>
              <w:contextualSpacing/>
              <w:jc w:val="center"/>
              <w:rPr>
                <w:rFonts w:hint="eastAsia"/>
                <w:b/>
                <w:kern w:val="0"/>
                <w:szCs w:val="21"/>
              </w:rPr>
            </w:pPr>
            <w:r>
              <w:rPr>
                <w:rFonts w:hint="eastAsia" w:cs="方正仿宋_GB2312"/>
                <w:b/>
                <w:bCs/>
                <w:szCs w:val="21"/>
              </w:rPr>
              <w:t>4</w:t>
            </w:r>
          </w:p>
        </w:tc>
        <w:tc>
          <w:tcPr>
            <w:tcW w:w="390" w:type="pct"/>
            <w:shd w:val="clear" w:color="auto" w:fill="FFFFFF"/>
            <w:vAlign w:val="center"/>
          </w:tcPr>
          <w:p w14:paraId="6824DAF0">
            <w:pPr>
              <w:widowControl/>
              <w:jc w:val="center"/>
              <w:rPr>
                <w:rFonts w:hint="eastAsia"/>
                <w:bCs/>
                <w:kern w:val="0"/>
                <w:szCs w:val="21"/>
              </w:rPr>
            </w:pPr>
            <w:r>
              <w:rPr>
                <w:rFonts w:hint="eastAsia"/>
                <w:b/>
                <w:kern w:val="0"/>
                <w:szCs w:val="21"/>
              </w:rPr>
              <w:t>否</w:t>
            </w:r>
          </w:p>
        </w:tc>
        <w:tc>
          <w:tcPr>
            <w:tcW w:w="1411" w:type="pct"/>
            <w:shd w:val="clear" w:color="auto" w:fill="FFFFFF"/>
            <w:vAlign w:val="center"/>
          </w:tcPr>
          <w:p w14:paraId="68F024AB">
            <w:pPr>
              <w:widowControl/>
              <w:jc w:val="center"/>
              <w:rPr>
                <w:rFonts w:hint="eastAsia" w:cs="方正仿宋_GB2312"/>
                <w:b/>
                <w:bCs/>
                <w:szCs w:val="21"/>
              </w:rPr>
            </w:pPr>
            <w:r>
              <w:rPr>
                <w:rFonts w:hint="eastAsia" w:cs="方正仿宋_GB2312"/>
                <w:b/>
                <w:bCs/>
                <w:szCs w:val="21"/>
              </w:rPr>
              <w:t>自动心肺复苏机</w:t>
            </w:r>
          </w:p>
        </w:tc>
        <w:tc>
          <w:tcPr>
            <w:tcW w:w="289" w:type="pct"/>
            <w:shd w:val="clear" w:color="auto" w:fill="FFFFFF"/>
            <w:vAlign w:val="center"/>
          </w:tcPr>
          <w:p w14:paraId="5FBB9B25">
            <w:pPr>
              <w:widowControl/>
              <w:jc w:val="center"/>
              <w:rPr>
                <w:rFonts w:hint="eastAsia"/>
                <w:b/>
                <w:bCs/>
                <w:kern w:val="0"/>
                <w:szCs w:val="21"/>
              </w:rPr>
            </w:pPr>
            <w:r>
              <w:rPr>
                <w:rFonts w:hint="eastAsia"/>
                <w:b/>
                <w:bCs/>
                <w:kern w:val="0"/>
                <w:szCs w:val="21"/>
              </w:rPr>
              <w:t>1</w:t>
            </w:r>
          </w:p>
        </w:tc>
        <w:tc>
          <w:tcPr>
            <w:tcW w:w="288" w:type="pct"/>
            <w:shd w:val="clear" w:color="auto" w:fill="FFFFFF"/>
            <w:vAlign w:val="center"/>
          </w:tcPr>
          <w:p w14:paraId="3B3BD147">
            <w:pPr>
              <w:widowControl/>
              <w:jc w:val="center"/>
              <w:rPr>
                <w:rFonts w:hint="eastAsia"/>
                <w:b/>
                <w:bCs/>
                <w:kern w:val="0"/>
                <w:szCs w:val="21"/>
              </w:rPr>
            </w:pPr>
            <w:r>
              <w:rPr>
                <w:rFonts w:hint="eastAsia"/>
                <w:b/>
                <w:bCs/>
                <w:color w:val="000000"/>
                <w:szCs w:val="21"/>
              </w:rPr>
              <w:t>台</w:t>
            </w:r>
          </w:p>
        </w:tc>
        <w:tc>
          <w:tcPr>
            <w:tcW w:w="649" w:type="pct"/>
            <w:shd w:val="clear" w:color="auto" w:fill="FFFFFF"/>
            <w:vAlign w:val="center"/>
          </w:tcPr>
          <w:p w14:paraId="00D86DC8">
            <w:pPr>
              <w:widowControl/>
              <w:jc w:val="center"/>
              <w:rPr>
                <w:rStyle w:val="382"/>
                <w:rFonts w:hint="eastAsia"/>
                <w:b/>
                <w:bCs/>
                <w:szCs w:val="21"/>
              </w:rPr>
            </w:pPr>
            <w:r>
              <w:rPr>
                <w:rStyle w:val="382"/>
                <w:rFonts w:hint="eastAsia"/>
                <w:b/>
                <w:bCs/>
                <w:szCs w:val="21"/>
              </w:rPr>
              <w:t>15.50</w:t>
            </w:r>
          </w:p>
        </w:tc>
        <w:tc>
          <w:tcPr>
            <w:tcW w:w="649" w:type="pct"/>
            <w:shd w:val="clear" w:color="auto" w:fill="FFFFFF"/>
            <w:vAlign w:val="center"/>
          </w:tcPr>
          <w:p w14:paraId="09F85518">
            <w:pPr>
              <w:widowControl/>
              <w:jc w:val="center"/>
              <w:rPr>
                <w:rStyle w:val="382"/>
                <w:rFonts w:hint="eastAsia"/>
                <w:b/>
                <w:bCs/>
                <w:szCs w:val="21"/>
              </w:rPr>
            </w:pPr>
            <w:r>
              <w:rPr>
                <w:rStyle w:val="382"/>
                <w:rFonts w:hint="eastAsia"/>
                <w:b/>
                <w:bCs/>
                <w:szCs w:val="21"/>
              </w:rPr>
              <w:t>15.50</w:t>
            </w:r>
          </w:p>
        </w:tc>
        <w:tc>
          <w:tcPr>
            <w:tcW w:w="580" w:type="pct"/>
            <w:vMerge w:val="continue"/>
            <w:shd w:val="clear" w:color="auto" w:fill="FFFFFF"/>
            <w:vAlign w:val="center"/>
          </w:tcPr>
          <w:p w14:paraId="16E53F7B">
            <w:pPr>
              <w:widowControl/>
              <w:jc w:val="center"/>
              <w:rPr>
                <w:rFonts w:hint="eastAsia"/>
                <w:bCs/>
                <w:kern w:val="0"/>
                <w:szCs w:val="21"/>
              </w:rPr>
            </w:pPr>
          </w:p>
        </w:tc>
        <w:tc>
          <w:tcPr>
            <w:tcW w:w="505" w:type="pct"/>
            <w:shd w:val="clear" w:color="auto" w:fill="FFFFFF"/>
            <w:vAlign w:val="center"/>
          </w:tcPr>
          <w:p w14:paraId="73C114C7">
            <w:pPr>
              <w:widowControl/>
              <w:jc w:val="center"/>
              <w:rPr>
                <w:rFonts w:hint="eastAsia"/>
                <w:b/>
                <w:kern w:val="0"/>
                <w:szCs w:val="21"/>
              </w:rPr>
            </w:pPr>
            <w:r>
              <w:rPr>
                <w:rFonts w:hint="eastAsia"/>
                <w:bCs/>
                <w:kern w:val="0"/>
                <w:szCs w:val="21"/>
              </w:rPr>
              <w:t>否</w:t>
            </w:r>
          </w:p>
        </w:tc>
      </w:tr>
    </w:tbl>
    <w:p w14:paraId="67AB16D2">
      <w:pPr>
        <w:ind w:firstLine="420" w:firstLineChars="200"/>
        <w:rPr>
          <w:rFonts w:hint="eastAsia" w:cs="宋体"/>
          <w:b/>
          <w:bCs/>
          <w:kern w:val="0"/>
          <w:szCs w:val="21"/>
        </w:rPr>
      </w:pPr>
      <w:bookmarkStart w:id="465" w:name="_Toc76716146"/>
      <w:bookmarkStart w:id="466" w:name="_Toc19705"/>
      <w:bookmarkStart w:id="467" w:name="_Toc89015718"/>
      <w:r>
        <w:rPr>
          <w:rFonts w:hint="eastAsia" w:cs="宋体"/>
          <w:b/>
          <w:bCs/>
          <w:kern w:val="0"/>
          <w:szCs w:val="21"/>
        </w:rPr>
        <w:t>注：1、本项目明确的所属行业为“工业-制造业”。</w:t>
      </w:r>
    </w:p>
    <w:p w14:paraId="29976A21">
      <w:pPr>
        <w:ind w:firstLine="420" w:firstLineChars="200"/>
        <w:rPr>
          <w:rFonts w:hint="eastAsia" w:cs="宋体"/>
          <w:b/>
          <w:bCs/>
          <w:szCs w:val="21"/>
        </w:rPr>
      </w:pPr>
      <w:r>
        <w:rPr>
          <w:rFonts w:hint="eastAsia" w:cs="宋体"/>
          <w:b/>
          <w:bCs/>
          <w:szCs w:val="21"/>
        </w:rPr>
        <w:t>2、★投标人须对所投项目内的所有项目内容进行整体投标报价，不得缺项漏项，否则按不实质性响应招标文件要求处理。</w:t>
      </w:r>
    </w:p>
    <w:p w14:paraId="30CF46C9">
      <w:pPr>
        <w:ind w:firstLine="420" w:firstLineChars="200"/>
        <w:rPr>
          <w:rFonts w:hint="eastAsia" w:cs="宋体"/>
          <w:b/>
          <w:bCs/>
          <w:kern w:val="0"/>
          <w:szCs w:val="21"/>
        </w:rPr>
      </w:pPr>
      <w:r>
        <w:rPr>
          <w:rFonts w:hint="eastAsia" w:cs="宋体"/>
          <w:b/>
          <w:bCs/>
          <w:kern w:val="0"/>
          <w:szCs w:val="21"/>
        </w:rPr>
        <w:t>3、提供的核心产品为相同品牌产品且通过资格审查、符合性审查的不同投标人参加同项目下投标的，按一家投标人计算（有效投标人不足3家的，作废标处理），评审后得分最高的同品牌投标人获得中标人推荐资格；评审得分相同的，评标委员会将依次按技术部分得分高优先、价格部分得分高优先、</w:t>
      </w:r>
      <w:r>
        <w:rPr>
          <w:rFonts w:hint="eastAsia" w:cs="宋体"/>
          <w:b/>
          <w:bCs/>
          <w:szCs w:val="21"/>
        </w:rPr>
        <w:t>小微企业（监狱企业、残疾人福利性单位视为小微企业）优先、</w:t>
      </w:r>
      <w:r>
        <w:rPr>
          <w:rFonts w:hint="eastAsia" w:cs="宋体"/>
          <w:b/>
          <w:bCs/>
          <w:kern w:val="0"/>
          <w:szCs w:val="21"/>
        </w:rPr>
        <w:t>商务部分得分高优先的顺序确定；所有得分均相等的，核心产品质保期长优先、交货时间短优先、故障到达时间短优先的顺序确定一个投标人获得中标人推荐资格，其他同品牌投标人不作为中标候选人。</w:t>
      </w:r>
    </w:p>
    <w:p w14:paraId="1ADB5BD9">
      <w:pPr>
        <w:ind w:firstLine="420" w:firstLineChars="200"/>
        <w:rPr>
          <w:rFonts w:hint="eastAsia" w:cs="宋体"/>
          <w:kern w:val="0"/>
          <w:szCs w:val="21"/>
        </w:rPr>
      </w:pPr>
      <w:r>
        <w:rPr>
          <w:rFonts w:cs="宋体"/>
          <w:b/>
          <w:bCs/>
          <w:kern w:val="0"/>
          <w:szCs w:val="21"/>
        </w:rPr>
        <w:t>4、★本标段采购的所有设备中，若涉及同一序号下设备采购多台（套）设备时，同一序号下设备仅允许投同一品牌同</w:t>
      </w:r>
      <w:r>
        <w:rPr>
          <w:rFonts w:hint="eastAsia" w:cs="宋体"/>
          <w:b/>
          <w:bCs/>
          <w:kern w:val="0"/>
          <w:szCs w:val="21"/>
        </w:rPr>
        <w:t>一</w:t>
      </w:r>
      <w:r>
        <w:rPr>
          <w:rFonts w:cs="宋体"/>
          <w:b/>
          <w:bCs/>
          <w:kern w:val="0"/>
          <w:szCs w:val="21"/>
        </w:rPr>
        <w:t>型号的设备，不允许同一序号下设备投不同品牌不同型号的产品。</w:t>
      </w:r>
    </w:p>
    <w:p w14:paraId="6C5F4A9A">
      <w:pPr>
        <w:widowControl/>
        <w:spacing w:line="240" w:lineRule="auto"/>
        <w:jc w:val="left"/>
        <w:rPr>
          <w:rFonts w:hint="eastAsia" w:cs="宋体"/>
          <w:b/>
          <w:bCs/>
          <w:kern w:val="0"/>
          <w:szCs w:val="21"/>
        </w:rPr>
      </w:pPr>
      <w:r>
        <w:rPr>
          <w:rFonts w:hint="eastAsia" w:cs="宋体"/>
          <w:b/>
          <w:bCs/>
          <w:kern w:val="0"/>
          <w:szCs w:val="21"/>
        </w:rPr>
        <w:br w:type="page"/>
      </w:r>
    </w:p>
    <w:p w14:paraId="1EBDEDAF">
      <w:pPr>
        <w:tabs>
          <w:tab w:val="left" w:pos="420"/>
          <w:tab w:val="left" w:pos="6090"/>
        </w:tabs>
        <w:jc w:val="center"/>
        <w:outlineLvl w:val="1"/>
        <w:rPr>
          <w:rFonts w:hint="eastAsia"/>
          <w:b/>
          <w:bCs/>
          <w:sz w:val="30"/>
          <w:szCs w:val="28"/>
        </w:rPr>
      </w:pPr>
      <w:bookmarkStart w:id="468" w:name="_Toc2114"/>
      <w:r>
        <w:rPr>
          <w:b/>
          <w:bCs/>
          <w:sz w:val="30"/>
          <w:szCs w:val="28"/>
        </w:rPr>
        <w:t>二、</w:t>
      </w:r>
      <w:r>
        <w:rPr>
          <w:rFonts w:hint="eastAsia"/>
          <w:b/>
          <w:bCs/>
          <w:sz w:val="30"/>
          <w:szCs w:val="28"/>
        </w:rPr>
        <w:t>5标段</w:t>
      </w:r>
      <w:r>
        <w:rPr>
          <w:b/>
          <w:bCs/>
          <w:sz w:val="30"/>
          <w:szCs w:val="28"/>
        </w:rPr>
        <w:t>技术</w:t>
      </w:r>
      <w:r>
        <w:rPr>
          <w:rFonts w:hint="eastAsia"/>
          <w:b/>
          <w:bCs/>
          <w:sz w:val="30"/>
          <w:szCs w:val="28"/>
        </w:rPr>
        <w:t>参数</w:t>
      </w:r>
      <w:r>
        <w:rPr>
          <w:b/>
          <w:bCs/>
          <w:sz w:val="30"/>
          <w:szCs w:val="28"/>
        </w:rPr>
        <w:t>要求</w:t>
      </w:r>
      <w:bookmarkEnd w:id="465"/>
      <w:bookmarkEnd w:id="466"/>
      <w:bookmarkEnd w:id="467"/>
      <w:bookmarkEnd w:id="468"/>
    </w:p>
    <w:p w14:paraId="3302DA4E">
      <w:pPr>
        <w:rPr>
          <w:rFonts w:hint="eastAsia"/>
          <w:b/>
          <w:bCs/>
          <w:sz w:val="24"/>
          <w:szCs w:val="32"/>
        </w:rPr>
      </w:pPr>
      <w:r>
        <w:rPr>
          <w:b/>
          <w:bCs/>
          <w:sz w:val="24"/>
          <w:szCs w:val="32"/>
        </w:rPr>
        <w:t>（</w:t>
      </w:r>
      <w:r>
        <w:rPr>
          <w:rFonts w:hint="eastAsia"/>
          <w:b/>
          <w:bCs/>
          <w:sz w:val="24"/>
          <w:szCs w:val="32"/>
        </w:rPr>
        <w:t>一</w:t>
      </w:r>
      <w:r>
        <w:rPr>
          <w:b/>
          <w:bCs/>
          <w:sz w:val="24"/>
          <w:szCs w:val="32"/>
        </w:rPr>
        <w:t>）</w:t>
      </w:r>
      <w:r>
        <w:rPr>
          <w:rFonts w:hint="eastAsia"/>
          <w:b/>
          <w:bCs/>
          <w:sz w:val="24"/>
          <w:szCs w:val="32"/>
        </w:rPr>
        <w:t>第一项设备：除颤监护仪技术参数要求</w:t>
      </w:r>
    </w:p>
    <w:p w14:paraId="723F5476">
      <w:pPr>
        <w:ind w:firstLine="420" w:firstLineChars="200"/>
        <w:rPr>
          <w:rFonts w:hint="eastAsia"/>
          <w:szCs w:val="21"/>
          <w14:ligatures w14:val="standardContextual"/>
        </w:rPr>
      </w:pPr>
      <w:r>
        <w:rPr>
          <w:rFonts w:hint="eastAsia" w:cs="宋体"/>
          <w:b/>
          <w:bCs/>
          <w:color w:val="000000"/>
          <w:szCs w:val="21"/>
          <w14:ligatures w14:val="standardContextual"/>
        </w:rPr>
        <w:t>1、</w:t>
      </w:r>
      <w:r>
        <w:rPr>
          <w:rFonts w:hint="eastAsia" w:cs="宋体"/>
          <w:color w:val="000000"/>
          <w:szCs w:val="21"/>
          <w14:ligatures w14:val="standardContextual"/>
        </w:rPr>
        <w:t>重量：≤</w:t>
      </w:r>
      <w:r>
        <w:rPr>
          <w:rFonts w:cs="宋体"/>
          <w:color w:val="000000"/>
          <w:szCs w:val="21"/>
          <w14:ligatures w14:val="standardContextual"/>
        </w:rPr>
        <w:t>4.2kg</w:t>
      </w:r>
      <w:r>
        <w:rPr>
          <w:rFonts w:hint="eastAsia" w:cs="宋体"/>
          <w:color w:val="000000"/>
          <w:szCs w:val="21"/>
          <w14:ligatures w14:val="standardContextual"/>
        </w:rPr>
        <w:t>（标配，含电池）；</w:t>
      </w:r>
      <w:r>
        <w:rPr>
          <w:rFonts w:hint="eastAsia"/>
          <w:szCs w:val="21"/>
          <w14:ligatures w14:val="standardContextual"/>
        </w:rPr>
        <w:t>彩色电容触摸屏≥8英寸,分辨率≥1024×768像素，可显示≥5通道监护参数波形，支持手势操作、自动亮度调节；提供图形化故障排除指引，支持中文操作界面；屏幕显示心电波形扫描时间≥36s。</w:t>
      </w:r>
    </w:p>
    <w:p w14:paraId="0298298F">
      <w:pPr>
        <w:ind w:firstLine="420" w:firstLineChars="200"/>
        <w:rPr>
          <w:rFonts w:hint="eastAsia"/>
          <w:szCs w:val="21"/>
          <w14:ligatures w14:val="standardContextual"/>
        </w:rPr>
      </w:pPr>
      <w:r>
        <w:rPr>
          <w:rFonts w:hint="eastAsia"/>
          <w:szCs w:val="21"/>
          <w14:ligatures w14:val="standardContextual"/>
        </w:rPr>
        <w:t>▲</w:t>
      </w:r>
      <w:r>
        <w:rPr>
          <w:rFonts w:hint="eastAsia"/>
          <w:b/>
          <w:bCs/>
          <w:szCs w:val="21"/>
          <w14:ligatures w14:val="standardContextual"/>
        </w:rPr>
        <w:t>2、</w:t>
      </w:r>
      <w:r>
        <w:rPr>
          <w:rFonts w:hint="eastAsia"/>
          <w:szCs w:val="21"/>
          <w14:ligatures w14:val="standardContextual"/>
        </w:rPr>
        <w:t>具备手动除颤、心电监护、呼吸监护、自动体外除颤（AED）功能，AED功能适用于29天以上人群。</w:t>
      </w:r>
      <w:r>
        <w:rPr>
          <w:rFonts w:hint="eastAsia"/>
          <w:b/>
          <w:bCs/>
          <w:szCs w:val="21"/>
          <w14:ligatures w14:val="standardContextual"/>
        </w:rPr>
        <w:t>（提供第三方检测机构出具的检测报告）</w:t>
      </w:r>
    </w:p>
    <w:p w14:paraId="227EFBA3">
      <w:pPr>
        <w:ind w:firstLine="420" w:firstLineChars="200"/>
        <w:rPr>
          <w:rFonts w:hint="eastAsia"/>
          <w:szCs w:val="21"/>
          <w14:ligatures w14:val="standardContextual"/>
        </w:rPr>
      </w:pPr>
      <w:r>
        <w:rPr>
          <w:rFonts w:hint="eastAsia"/>
          <w:b/>
          <w:bCs/>
          <w:szCs w:val="21"/>
          <w14:ligatures w14:val="standardContextual"/>
        </w:rPr>
        <w:t>3、</w:t>
      </w:r>
      <w:r>
        <w:rPr>
          <w:rFonts w:hint="eastAsia"/>
          <w:szCs w:val="21"/>
          <w14:ligatures w14:val="standardContextual"/>
        </w:rPr>
        <w:t>除颤采用双相波技术，具备自动阻抗补偿功能；手动除颤分为同步和非同步两种方式，能量分≥20档以上，可通过体外电极板进行能量选择，最大能量可达≥360J；体外除颤电极板同时支持成人和小儿，一体化设计，支持快速切换。</w:t>
      </w:r>
    </w:p>
    <w:p w14:paraId="7C8867E4">
      <w:pPr>
        <w:ind w:firstLine="420" w:firstLineChars="200"/>
        <w:rPr>
          <w:rFonts w:hint="eastAsia"/>
          <w:szCs w:val="21"/>
          <w14:ligatures w14:val="standardContextual"/>
        </w:rPr>
      </w:pPr>
      <w:r>
        <w:rPr>
          <w:rFonts w:hint="eastAsia"/>
          <w:szCs w:val="21"/>
          <w14:ligatures w14:val="standardContextual"/>
        </w:rPr>
        <w:t>▲</w:t>
      </w:r>
      <w:r>
        <w:rPr>
          <w:rFonts w:hint="eastAsia"/>
          <w:b/>
          <w:bCs/>
          <w:szCs w:val="21"/>
          <w14:ligatures w14:val="standardContextual"/>
        </w:rPr>
        <w:t>4、</w:t>
      </w:r>
      <w:r>
        <w:rPr>
          <w:rFonts w:hint="eastAsia"/>
          <w:szCs w:val="21"/>
          <w14:ligatures w14:val="standardContextual"/>
        </w:rPr>
        <w:t>电极板支持能量选择，充电和放电三步操作，满足单人除颤操作；除颤充电迅速，充电至200J≤4s；防尘防水级别≥IP55。</w:t>
      </w:r>
      <w:r>
        <w:rPr>
          <w:rFonts w:hint="eastAsia"/>
          <w:b/>
          <w:bCs/>
          <w:szCs w:val="21"/>
          <w14:ligatures w14:val="standardContextual"/>
        </w:rPr>
        <w:t>（提供第三方检测机构出具的检测报告）</w:t>
      </w:r>
    </w:p>
    <w:p w14:paraId="18069835">
      <w:pPr>
        <w:ind w:firstLine="420" w:firstLineChars="200"/>
        <w:rPr>
          <w:rFonts w:hint="eastAsia"/>
          <w:szCs w:val="21"/>
          <w14:ligatures w14:val="standardContextual"/>
        </w:rPr>
      </w:pPr>
      <w:r>
        <w:rPr>
          <w:rFonts w:hint="eastAsia"/>
          <w:b/>
          <w:bCs/>
          <w:szCs w:val="21"/>
          <w14:ligatures w14:val="standardContextual"/>
        </w:rPr>
        <w:t>5、</w:t>
      </w:r>
      <w:r>
        <w:rPr>
          <w:rFonts w:hint="eastAsia"/>
          <w:szCs w:val="21"/>
          <w14:ligatures w14:val="standardContextual"/>
        </w:rPr>
        <w:t>AED除颤功能提供中文语音和中文提醒功能，对于抢救过程支持自动录音功能，记录时长≥8小时；</w:t>
      </w:r>
    </w:p>
    <w:p w14:paraId="5009DED4">
      <w:pPr>
        <w:ind w:firstLine="420" w:firstLineChars="200"/>
        <w:rPr>
          <w:rFonts w:hint="eastAsia"/>
          <w:szCs w:val="21"/>
          <w14:ligatures w14:val="standardContextual"/>
        </w:rPr>
      </w:pPr>
      <w:r>
        <w:rPr>
          <w:rFonts w:hint="eastAsia"/>
          <w:b/>
          <w:bCs/>
          <w:szCs w:val="21"/>
          <w14:ligatures w14:val="standardContextual"/>
        </w:rPr>
        <w:t>6、</w:t>
      </w:r>
      <w:r>
        <w:rPr>
          <w:rFonts w:hint="eastAsia"/>
          <w:szCs w:val="21"/>
          <w14:ligatures w14:val="standardContextual"/>
        </w:rPr>
        <w:t>开机到可正常使用时间≤2s，除颤后心电基线恢复时间≤2.5s；从开始AED分析到放电准备就绪≤10s；支持病人接触状态和阻抗值实时显示；支持智能分析功能，手动除颤模式下也可提供自动节律分析和操作指引；支持升级培训模式，包含CPR操作培训、抢救操作培训；可提供培训考核系统，支持多台设备同时接入进行在线培训、考核。</w:t>
      </w:r>
    </w:p>
    <w:p w14:paraId="25B63FFC">
      <w:pPr>
        <w:ind w:firstLine="420" w:firstLineChars="200"/>
        <w:rPr>
          <w:rFonts w:hint="eastAsia"/>
          <w:szCs w:val="21"/>
          <w14:ligatures w14:val="standardContextual"/>
        </w:rPr>
      </w:pPr>
      <w:r>
        <w:rPr>
          <w:rFonts w:hint="eastAsia"/>
          <w:b/>
          <w:bCs/>
          <w:szCs w:val="21"/>
          <w14:ligatures w14:val="standardContextual"/>
        </w:rPr>
        <w:t>7、</w:t>
      </w:r>
      <w:r>
        <w:rPr>
          <w:rFonts w:hint="eastAsia"/>
          <w:szCs w:val="21"/>
          <w14:ligatures w14:val="standardContextual"/>
        </w:rPr>
        <w:t>心电波形速度支持50 mm/s、25 mm/s、12.5 mm/s、6.25 mm/s；通过心电电极片可监测的心律失常分析种类≥27种；支持ST/QT实时分析；阻抗呼吸率范围：0-200rpm；</w:t>
      </w:r>
    </w:p>
    <w:p w14:paraId="5BC17FA3">
      <w:pPr>
        <w:ind w:firstLine="420" w:firstLineChars="200"/>
        <w:rPr>
          <w:rFonts w:hint="eastAsia"/>
          <w:szCs w:val="21"/>
          <w14:ligatures w14:val="standardContextual"/>
        </w:rPr>
      </w:pPr>
      <w:r>
        <w:rPr>
          <w:rFonts w:hint="eastAsia"/>
          <w:b/>
          <w:bCs/>
          <w:szCs w:val="21"/>
          <w14:ligatures w14:val="standardContextual"/>
        </w:rPr>
        <w:t>8、</w:t>
      </w:r>
      <w:r>
        <w:rPr>
          <w:rFonts w:hint="eastAsia"/>
          <w:szCs w:val="21"/>
          <w14:ligatures w14:val="standardContextual"/>
        </w:rPr>
        <w:t>支持连接中央站，与科室床旁监护仪共用监护网络；支持通过中央站远程修改病人信息和系统时间同步；支持提供IHE HL7协议，满足院前院内急救系统的联网通信；标配1块外置智能锂电池，可支持200J除颤≥300次；</w:t>
      </w:r>
    </w:p>
    <w:p w14:paraId="294A68EF">
      <w:pPr>
        <w:ind w:firstLine="420" w:firstLineChars="200"/>
        <w:rPr>
          <w:rFonts w:hint="eastAsia"/>
          <w:szCs w:val="21"/>
          <w14:ligatures w14:val="standardContextual"/>
        </w:rPr>
      </w:pPr>
      <w:r>
        <w:rPr>
          <w:rFonts w:hint="eastAsia"/>
          <w:b/>
          <w:bCs/>
          <w:szCs w:val="21"/>
          <w14:ligatures w14:val="standardContextual"/>
        </w:rPr>
        <w:t>9、</w:t>
      </w:r>
      <w:r>
        <w:rPr>
          <w:rFonts w:hint="eastAsia"/>
          <w:szCs w:val="21"/>
          <w14:ligatures w14:val="standardContextual"/>
        </w:rPr>
        <w:t>具备生理报警和技术报警功能，通过声音、文字和灯光3种方式进行报警；配置50mm记录纸记录仪，可同时打印≥3通道波形；自动打印除颤记录，单次波形记录时间≥30s；支持连续波形记录；可存储≥120小时连续ECG波形，数据可导出至电脑查看；</w:t>
      </w:r>
    </w:p>
    <w:p w14:paraId="76CCAA1D">
      <w:pPr>
        <w:widowControl/>
        <w:ind w:firstLine="420" w:firstLineChars="200"/>
        <w:rPr>
          <w:rFonts w:hint="eastAsia"/>
          <w:b/>
          <w:bCs/>
          <w:sz w:val="24"/>
          <w:szCs w:val="32"/>
        </w:rPr>
      </w:pPr>
      <w:r>
        <w:rPr>
          <w:rFonts w:hint="eastAsia"/>
          <w:b/>
          <w:bCs/>
          <w:szCs w:val="21"/>
          <w14:ligatures w14:val="standardContextual"/>
        </w:rPr>
        <w:t>10、</w:t>
      </w:r>
      <w:r>
        <w:rPr>
          <w:rFonts w:hint="eastAsia"/>
          <w:szCs w:val="21"/>
          <w14:ligatures w14:val="standardContextual"/>
        </w:rPr>
        <w:t>关机状态下设备支持每天定时自动运行自检（含监护模块和治疗模块），支持定期自动大能量自检（最大放电能量）；支持设备状态指示灯用户检测；具备抗跌落性能，裸机可承受≥0.75米跌落冲击。</w:t>
      </w:r>
    </w:p>
    <w:p w14:paraId="180AD523">
      <w:pPr>
        <w:widowControl/>
        <w:spacing w:line="240" w:lineRule="auto"/>
        <w:jc w:val="left"/>
        <w:rPr>
          <w:rFonts w:hint="eastAsia"/>
          <w:b/>
          <w:bCs/>
          <w:sz w:val="24"/>
          <w:szCs w:val="32"/>
        </w:rPr>
      </w:pPr>
      <w:r>
        <w:rPr>
          <w:rFonts w:hint="eastAsia"/>
          <w:b/>
          <w:bCs/>
          <w:sz w:val="24"/>
          <w:szCs w:val="32"/>
        </w:rPr>
        <w:br w:type="page"/>
      </w:r>
    </w:p>
    <w:p w14:paraId="12F381F7">
      <w:pPr>
        <w:rPr>
          <w:rFonts w:hint="eastAsia"/>
          <w:b/>
          <w:bCs/>
          <w:sz w:val="24"/>
          <w:szCs w:val="32"/>
        </w:rPr>
      </w:pPr>
      <w:r>
        <w:rPr>
          <w:b/>
          <w:bCs/>
          <w:sz w:val="24"/>
          <w:szCs w:val="32"/>
        </w:rPr>
        <w:t>（</w:t>
      </w:r>
      <w:r>
        <w:rPr>
          <w:rFonts w:hint="eastAsia"/>
          <w:b/>
          <w:bCs/>
          <w:sz w:val="24"/>
          <w:szCs w:val="32"/>
        </w:rPr>
        <w:t>二</w:t>
      </w:r>
      <w:r>
        <w:rPr>
          <w:b/>
          <w:bCs/>
          <w:sz w:val="24"/>
          <w:szCs w:val="32"/>
        </w:rPr>
        <w:t>）</w:t>
      </w:r>
      <w:r>
        <w:rPr>
          <w:rFonts w:hint="eastAsia"/>
          <w:b/>
          <w:bCs/>
          <w:sz w:val="24"/>
          <w:szCs w:val="32"/>
        </w:rPr>
        <w:t>第二项设备：连续性血液循环净化机技术参数要求</w:t>
      </w:r>
    </w:p>
    <w:p w14:paraId="497D2E31">
      <w:pPr>
        <w:ind w:firstLine="420" w:firstLineChars="200"/>
        <w:jc w:val="left"/>
        <w:rPr>
          <w:rFonts w:hint="eastAsia" w:cs="宋体"/>
          <w:color w:val="000000"/>
          <w:szCs w:val="21"/>
          <w14:ligatures w14:val="standardContextual"/>
        </w:rPr>
      </w:pPr>
      <w:r>
        <w:rPr>
          <w:rFonts w:hint="eastAsia" w:cs="宋体"/>
          <w:b/>
          <w:bCs/>
          <w:color w:val="000000"/>
          <w:szCs w:val="21"/>
          <w14:ligatures w14:val="standardContextual"/>
        </w:rPr>
        <w:t>1、</w:t>
      </w:r>
      <w:r>
        <w:rPr>
          <w:rFonts w:hint="eastAsia" w:cs="宋体"/>
          <w:color w:val="000000"/>
          <w:szCs w:val="21"/>
          <w14:ligatures w14:val="standardContextual"/>
        </w:rPr>
        <w:t>≥12寸彩色触摸屏；中文操作系统；版面提示操作步骤、管路安装指南；具备异常情况的在线帮助功能；具备≥6参数屏保，远距离显示重要参数，参数包括：动脉压，滤器前压，跨膜压，静脉压，血泵流量，CRRT实际治疗剂量等；可同屏显示CRRT设置治疗剂量和CRRT实际治疗剂量；</w:t>
      </w:r>
    </w:p>
    <w:p w14:paraId="6261D7C1">
      <w:pPr>
        <w:ind w:firstLine="420" w:firstLineChars="200"/>
        <w:jc w:val="left"/>
        <w:rPr>
          <w:rFonts w:hint="eastAsia" w:cs="宋体"/>
          <w:color w:val="000000"/>
          <w:szCs w:val="21"/>
          <w14:ligatures w14:val="standardContextual"/>
        </w:rPr>
      </w:pPr>
      <w:r>
        <w:rPr>
          <w:rFonts w:hint="eastAsia" w:cs="宋体"/>
          <w:b/>
          <w:bCs/>
          <w:color w:val="000000"/>
          <w:szCs w:val="21"/>
          <w14:ligatures w14:val="standardContextual"/>
        </w:rPr>
        <w:t>2、</w:t>
      </w:r>
      <w:r>
        <w:rPr>
          <w:rFonts w:hint="eastAsia" w:cs="宋体"/>
          <w:color w:val="000000"/>
          <w:szCs w:val="21"/>
          <w14:ligatures w14:val="standardContextual"/>
        </w:rPr>
        <w:t>具备患者数据管理界面，具备数据输出端口；防水操作按键；一体化管路滤器套装，简化操作，降低误差；条形码扫描系统，严格追溯管理耗材；具备自动预冲功能，预冲时间≤10分钟；后备电池时间≥30分钟；万向轮车架设计；</w:t>
      </w:r>
    </w:p>
    <w:p w14:paraId="5E9EEBAA">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▲3、血液净化治疗模式全覆盖：（提供第三方检测机构出具的检测报告）</w:t>
      </w:r>
    </w:p>
    <w:p w14:paraId="11C3CFD2">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（1）多种血液净化治疗模式：CVVH、CVVHD、CVVHDF、SCUF；</w:t>
      </w:r>
    </w:p>
    <w:p w14:paraId="200876D2">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（2）CVVH、CVVHD、CVVHDF模式间无需调整管路，可一键切换；</w:t>
      </w:r>
    </w:p>
    <w:p w14:paraId="7FC30D5C">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（3）CVVH模式可选择：前稀释CVVH，后稀释CVVH，前-后稀释CVVH，后-后稀释CVVH；CVVHDF模式可选择：后稀释CVVHDF；</w:t>
      </w:r>
    </w:p>
    <w:p w14:paraId="78E46FAA">
      <w:pPr>
        <w:ind w:firstLine="420" w:firstLineChars="200"/>
        <w:jc w:val="left"/>
        <w:rPr>
          <w:rFonts w:hint="eastAsia" w:cs="宋体"/>
          <w:color w:val="000000"/>
          <w:szCs w:val="21"/>
          <w14:ligatures w14:val="standardContextual"/>
        </w:rPr>
      </w:pPr>
      <w:r>
        <w:rPr>
          <w:rFonts w:hint="eastAsia" w:cs="宋体"/>
          <w:b/>
          <w:bCs/>
          <w:color w:val="000000"/>
          <w:szCs w:val="21"/>
          <w14:ligatures w14:val="standardContextual"/>
        </w:rPr>
        <w:t>4、血浆治疗：</w:t>
      </w:r>
      <w:r>
        <w:rPr>
          <w:rFonts w:hint="eastAsia" w:cs="宋体"/>
          <w:color w:val="000000"/>
          <w:szCs w:val="21"/>
          <w14:ligatures w14:val="standardContextual"/>
        </w:rPr>
        <w:t>具备TPE治疗性血浆置换模式；TPE模式具有两种流量设置：流量设置模式，流量比例模式；</w:t>
      </w:r>
    </w:p>
    <w:p w14:paraId="6E9CC6AA">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5、平衡系统：</w:t>
      </w:r>
    </w:p>
    <w:p w14:paraId="0F7E55FB">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（1）称重体统包括：左侧称重单元，中间称重单元，右侧称重单元，枸橼酸称重单元；</w:t>
      </w:r>
    </w:p>
    <w:p w14:paraId="7CB53926">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（2）左侧称重单元，中间称重单元，右侧称重单元称重范围总共为0-15000g；精度±0.1%或±5g；最大承重15000g；左侧称重单元，中间称重单元，右侧称重单元均可挂2袋液体；</w:t>
      </w:r>
    </w:p>
    <w:p w14:paraId="4F5E6522">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（3）枸橼酸称重单元称重范围总共为0-2800g；精度0.1%或±5g，最大承重2800g；</w:t>
      </w:r>
    </w:p>
    <w:p w14:paraId="735AACC7">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（4）输液架最大承重2800g，不计入称重；</w:t>
      </w:r>
    </w:p>
    <w:p w14:paraId="78A34FEA">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▲6、泵的设计和治疗参数：（提供第三方检测机构出具的检测报告）</w:t>
      </w:r>
    </w:p>
    <w:p w14:paraId="2C3DCD81">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（1）具备血泵、废液泵、透析液泵、置换液泵、注射泵、枸橼酸泵，泵速均可调节；</w:t>
      </w:r>
    </w:p>
    <w:p w14:paraId="5A018D54">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（2）血泵流量：10-500ml/min±10%，屏幕显示泵速，触摸屏可调泵速；</w:t>
      </w:r>
    </w:p>
    <w:p w14:paraId="0897A397">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（3）废液泵流量：50-11000ml/h，精度±1%或±10ml/h，屏幕显示泵速，触摸屏可调泵速；</w:t>
      </w:r>
    </w:p>
    <w:p w14:paraId="3C6B83B0">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4）置换液泵及透析液泵流量：精度±1%或±10ml/h，屏幕显示泵速，触摸屏可调泵速；CVVH前稀释、CVVH后稀释、CVVH后-后稀释、CVVHDF肝素抗凝时流量为50-8000ml/h；CVVH前-后稀释、CVVHDF肝素抗凝时流量为50-7000ml/h；CVVHD枸橼酸抗凝、CVVHDF枸橼酸抗凝时，透析液泵流量为50-5600ml/h，置换液泵流量为50-2800ml/h；TPE流量模式时流量为50-3000ml/h；TPE比例模式时流量为50-4800ml/h；</w:t>
      </w:r>
    </w:p>
    <w:p w14:paraId="03A7DABF">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（5）注射泵流量：肝素0.5-20ml/h，精度±5%或±0.2ml；钙流量0.5-300ml/h；压力范围0-+500mmHg，具备自动空气探测；</w:t>
      </w:r>
    </w:p>
    <w:p w14:paraId="597F82C3">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（6）枸橼酸泵流量：15-720ml/h，精度±1%或±10ml/h；压力范围-200-+100mmHg，屏幕显示泵速；CRRT超滤率0-2000ml/h；TPE超滤率0-1000ml/h；精度±30ml/h，±70ml/3h，±200ml/8h；</w:t>
      </w:r>
    </w:p>
    <w:p w14:paraId="0BC86795">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7、抗凝系统：</w:t>
      </w:r>
      <w:r>
        <w:rPr>
          <w:rFonts w:hint="eastAsia" w:cs="宋体"/>
          <w:color w:val="000000"/>
          <w:szCs w:val="21"/>
          <w14:ligatures w14:val="standardContextual"/>
        </w:rPr>
        <w:t>具备肝素泵组件；具备枸橼酸泵组件；</w:t>
      </w:r>
    </w:p>
    <w:p w14:paraId="223A7275">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8、加温系统：</w:t>
      </w:r>
      <w:r>
        <w:rPr>
          <w:rFonts w:hint="eastAsia" w:cs="宋体"/>
          <w:color w:val="000000"/>
          <w:szCs w:val="21"/>
          <w14:ligatures w14:val="standardContextual"/>
        </w:rPr>
        <w:t>一体化置换液、透析液及血浆加温；加温范围：CRRT为30℃-40℃，报警限值40.5℃；TPE为30℃-38℃，报警限值39.0℃；精度±0.5℃；</w:t>
      </w:r>
    </w:p>
    <w:p w14:paraId="3745B63D">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9、压力监测：</w:t>
      </w:r>
    </w:p>
    <w:p w14:paraId="086D23CC">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（1）动脉压监测显示范围（AP）：-400～+700mmHg；精确度±10mmHg；</w:t>
      </w:r>
    </w:p>
    <w:p w14:paraId="5E02F038">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（2）静脉压监测显示范围(VP)：-400～+700mmHg；精确度±10mmHg；</w:t>
      </w:r>
    </w:p>
    <w:p w14:paraId="31C68D81">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（3）滤器前压监测显示范围(FP)：-400～+700mmHg；精确度±10mmHg；</w:t>
      </w:r>
    </w:p>
    <w:p w14:paraId="292F5CB1">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（4）置换液压监测显示范围（SP）：-400～+700mmHg；精确度±10mmHg；</w:t>
      </w:r>
    </w:p>
    <w:p w14:paraId="1903A913">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（5）废液压监测显示范围（EP）：-400～+700mmHg；精确度±15mmHg；</w:t>
      </w:r>
    </w:p>
    <w:p w14:paraId="3C7A0F46">
      <w:pPr>
        <w:ind w:firstLine="420" w:firstLineChars="200"/>
        <w:jc w:val="left"/>
        <w:rPr>
          <w:rFonts w:hint="eastAsia" w:cs="宋体"/>
          <w:b/>
          <w:bCs/>
          <w:color w:val="000000"/>
          <w:szCs w:val="21"/>
          <w14:ligatures w14:val="standardContextual"/>
        </w:rPr>
      </w:pPr>
      <w:r>
        <w:rPr>
          <w:rFonts w:hint="eastAsia" w:cs="宋体"/>
          <w:b/>
          <w:bCs/>
          <w:color w:val="000000"/>
          <w:szCs w:val="21"/>
          <w14:ligatures w14:val="standardContextual"/>
        </w:rPr>
        <w:t>10、安全性：</w:t>
      </w:r>
    </w:p>
    <w:p w14:paraId="31A8D44F">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（1）空气检测器（静脉）：超声波检测，敏感性：气泡&gt;0.1ml，气泡增量&gt;0.7ml；</w:t>
      </w:r>
    </w:p>
    <w:p w14:paraId="34E5B969">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（2）空气检测器（钙）：超声波检测，敏感性：气泡&gt;0.1ml；</w:t>
      </w:r>
    </w:p>
    <w:p w14:paraId="6C06BB65">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（3）漏血检测器：光学检测，双通道评估，32%HCT及最大废液流量时报警下限≤0.35ml/min；</w:t>
      </w:r>
    </w:p>
    <w:p w14:paraId="5950121E">
      <w:pPr>
        <w:ind w:firstLine="420" w:firstLineChars="200"/>
        <w:jc w:val="left"/>
        <w:rPr>
          <w:rFonts w:hint="eastAsia" w:cs="宋体"/>
          <w:color w:val="000000"/>
          <w:szCs w:val="21"/>
          <w14:ligatures w14:val="standardContextual"/>
        </w:rPr>
      </w:pPr>
      <w:r>
        <w:rPr>
          <w:rFonts w:hint="eastAsia" w:cs="宋体"/>
          <w:color w:val="000000"/>
          <w:szCs w:val="21"/>
          <w14:ligatures w14:val="standardContextual"/>
        </w:rPr>
        <w:t>（4）报警报知功能：静脉压报警、动脉压报警、滤过压报警、滤器压降、TMP警报、气泡检知警报、补液空警报、透析液空警报、漏血警报、装置异常警报；</w:t>
      </w:r>
    </w:p>
    <w:p w14:paraId="78B36C14">
      <w:pPr>
        <w:widowControl/>
        <w:ind w:firstLine="420" w:firstLineChars="200"/>
        <w:jc w:val="left"/>
        <w:rPr>
          <w:rFonts w:hint="eastAsia"/>
          <w:b/>
          <w:bCs/>
          <w:color w:val="000000" w:themeColor="text1"/>
          <w:sz w:val="24"/>
          <w:szCs w:val="32"/>
          <w14:textFill>
            <w14:solidFill>
              <w14:schemeClr w14:val="tx1"/>
            </w14:solidFill>
          </w14:textFill>
        </w:rPr>
      </w:pPr>
      <w:r>
        <w:rPr>
          <w:rFonts w:hint="eastAsia" w:cs="宋体"/>
          <w:b/>
          <w:bCs/>
          <w:color w:val="000000" w:themeColor="text1"/>
          <w:szCs w:val="21"/>
          <w14:textFill>
            <w14:solidFill>
              <w14:schemeClr w14:val="tx1"/>
            </w14:solidFill>
          </w14:textFill>
          <w14:ligatures w14:val="standardContextual"/>
        </w:rPr>
        <w:t>11、</w:t>
      </w:r>
      <w:r>
        <w:rPr>
          <w:rFonts w:hint="eastAsia" w:cs="宋体"/>
          <w:color w:val="000000" w:themeColor="text1"/>
          <w:szCs w:val="21"/>
          <w14:textFill>
            <w14:solidFill>
              <w14:schemeClr w14:val="tx1"/>
            </w14:solidFill>
          </w14:textFill>
          <w14:ligatures w14:val="standardContextual"/>
        </w:rPr>
        <w:t>一体化管路和滤器，根据不同治疗目的可提供：肝素抗凝CRRT一体化管路滤器，枸橼酸抗凝CRRT一体化管路滤器；TPE一体化管路血浆分离器。</w:t>
      </w:r>
    </w:p>
    <w:p w14:paraId="364C6D23">
      <w:pPr>
        <w:widowControl/>
        <w:spacing w:line="240" w:lineRule="auto"/>
        <w:jc w:val="left"/>
        <w:rPr>
          <w:rFonts w:hint="eastAsia"/>
          <w:b/>
          <w:bCs/>
          <w:sz w:val="24"/>
          <w:szCs w:val="32"/>
        </w:rPr>
      </w:pPr>
      <w:r>
        <w:rPr>
          <w:rFonts w:hint="eastAsia"/>
          <w:b/>
          <w:bCs/>
          <w:sz w:val="24"/>
          <w:szCs w:val="32"/>
        </w:rPr>
        <w:br w:type="page"/>
      </w:r>
    </w:p>
    <w:p w14:paraId="608AB46A">
      <w:pPr>
        <w:rPr>
          <w:rFonts w:hint="eastAsia"/>
          <w:b/>
          <w:bCs/>
          <w:sz w:val="24"/>
          <w:szCs w:val="32"/>
        </w:rPr>
      </w:pPr>
      <w:r>
        <w:rPr>
          <w:b/>
          <w:bCs/>
          <w:sz w:val="24"/>
          <w:szCs w:val="32"/>
        </w:rPr>
        <w:t>（</w:t>
      </w:r>
      <w:r>
        <w:rPr>
          <w:rFonts w:hint="eastAsia"/>
          <w:b/>
          <w:bCs/>
          <w:sz w:val="24"/>
          <w:szCs w:val="32"/>
        </w:rPr>
        <w:t>三</w:t>
      </w:r>
      <w:r>
        <w:rPr>
          <w:b/>
          <w:bCs/>
          <w:sz w:val="24"/>
          <w:szCs w:val="32"/>
        </w:rPr>
        <w:t>）</w:t>
      </w:r>
      <w:r>
        <w:rPr>
          <w:rFonts w:hint="eastAsia"/>
          <w:b/>
          <w:bCs/>
          <w:sz w:val="24"/>
          <w:szCs w:val="32"/>
        </w:rPr>
        <w:t>第三项设备：可视喉镜技术参数要求</w:t>
      </w:r>
    </w:p>
    <w:p w14:paraId="62A56DC3">
      <w:pPr>
        <w:ind w:firstLine="420" w:firstLineChars="200"/>
        <w:jc w:val="left"/>
        <w:rPr>
          <w:rFonts w:hint="eastAsia"/>
          <w:szCs w:val="21"/>
          <w14:ligatures w14:val="standardContextual"/>
        </w:rPr>
      </w:pPr>
      <w:r>
        <w:rPr>
          <w:rFonts w:hint="eastAsia"/>
          <w:szCs w:val="21"/>
          <w14:ligatures w14:val="standardContextual"/>
        </w:rPr>
        <w:t>1、喉镜由显示部件、镜片支架部件（摄像头、LED灯）、充电器组成，使用时需和有注册证的一次性喉镜片配合使用，喉镜不与人体直接接触；</w:t>
      </w:r>
    </w:p>
    <w:p w14:paraId="7F70BEB5">
      <w:pPr>
        <w:ind w:firstLine="420" w:firstLineChars="200"/>
        <w:jc w:val="left"/>
        <w:rPr>
          <w:rFonts w:hint="eastAsia"/>
          <w:szCs w:val="21"/>
          <w14:ligatures w14:val="standardContextual"/>
        </w:rPr>
      </w:pPr>
      <w:r>
        <w:rPr>
          <w:rFonts w:hint="eastAsia"/>
          <w:szCs w:val="21"/>
          <w14:ligatures w14:val="standardContextual"/>
        </w:rPr>
        <w:t>▲2、显示屏尺寸≤3.0英寸医用显示屏，显示器能上下0º～110º转动，左右0°～270°转动；显示部件防水等级≥IPX3，手柄部件防水等级≥IPX7；USB读取与存储，仪器带≥32G内存，可拍照至少≥30万张，或录像≥16个小时；</w:t>
      </w:r>
    </w:p>
    <w:p w14:paraId="23512309">
      <w:pPr>
        <w:ind w:firstLine="420" w:firstLineChars="200"/>
        <w:jc w:val="left"/>
        <w:rPr>
          <w:rFonts w:hint="eastAsia"/>
          <w:szCs w:val="21"/>
          <w14:ligatures w14:val="standardContextual"/>
        </w:rPr>
      </w:pPr>
      <w:r>
        <w:rPr>
          <w:rFonts w:hint="eastAsia"/>
          <w:szCs w:val="21"/>
          <w14:ligatures w14:val="standardContextual"/>
        </w:rPr>
        <w:t>3、一次性喉镜片总长度：110-170mm；一次性喉镜片可插入部分长度：70-130mm；一次性喉镜片镜尖宽度：11-20mm；</w:t>
      </w:r>
    </w:p>
    <w:p w14:paraId="7AB9DEB7">
      <w:pPr>
        <w:ind w:firstLine="420" w:firstLineChars="200"/>
        <w:jc w:val="left"/>
        <w:rPr>
          <w:rFonts w:hint="eastAsia"/>
          <w:szCs w:val="21"/>
          <w14:ligatures w14:val="standardContextual"/>
        </w:rPr>
      </w:pPr>
      <w:r>
        <w:rPr>
          <w:rFonts w:hint="eastAsia"/>
          <w:szCs w:val="21"/>
          <w14:ligatures w14:val="standardContextual"/>
        </w:rPr>
        <w:t>4、一次性喉镜片摄像头处喉镜片宽度：12-25mm；一次性喉镜片摄像头处喉镜片厚度：8-12mm；</w:t>
      </w:r>
    </w:p>
    <w:p w14:paraId="47A21980">
      <w:pPr>
        <w:ind w:firstLine="420" w:firstLineChars="200"/>
        <w:jc w:val="left"/>
        <w:rPr>
          <w:rFonts w:hint="eastAsia"/>
          <w:szCs w:val="21"/>
          <w14:ligatures w14:val="standardContextual"/>
        </w:rPr>
      </w:pPr>
      <w:r>
        <w:rPr>
          <w:rFonts w:hint="eastAsia"/>
          <w:szCs w:val="21"/>
          <w14:ligatures w14:val="standardContextual"/>
        </w:rPr>
        <w:t>▲5、图像分辨率≥7.87lp/mm；支持低电量屏幕显示功能；</w:t>
      </w:r>
    </w:p>
    <w:p w14:paraId="2D295697">
      <w:pPr>
        <w:ind w:firstLine="420" w:firstLineChars="200"/>
        <w:rPr>
          <w:rFonts w:hint="eastAsia"/>
          <w:b/>
          <w:bCs/>
          <w:sz w:val="24"/>
          <w:szCs w:val="32"/>
        </w:rPr>
      </w:pPr>
      <w:r>
        <w:rPr>
          <w:rFonts w:hint="eastAsia"/>
          <w:szCs w:val="21"/>
          <w14:ligatures w14:val="standardContextual"/>
        </w:rPr>
        <w:t>6、使用期限≥6年</w:t>
      </w:r>
    </w:p>
    <w:p w14:paraId="3B851632">
      <w:pPr>
        <w:ind w:firstLine="480" w:firstLineChars="200"/>
        <w:rPr>
          <w:rFonts w:hint="eastAsia"/>
          <w:b/>
          <w:bCs/>
          <w:sz w:val="24"/>
          <w:szCs w:val="32"/>
        </w:rPr>
      </w:pPr>
      <w:r>
        <w:rPr>
          <w:rFonts w:hint="eastAsia"/>
          <w:b/>
          <w:bCs/>
          <w:sz w:val="24"/>
          <w:szCs w:val="32"/>
        </w:rPr>
        <w:br w:type="page"/>
      </w:r>
    </w:p>
    <w:p w14:paraId="52446392">
      <w:pPr>
        <w:rPr>
          <w:rFonts w:hint="eastAsia"/>
          <w:b/>
          <w:bCs/>
          <w:sz w:val="24"/>
          <w:szCs w:val="32"/>
        </w:rPr>
      </w:pPr>
      <w:r>
        <w:rPr>
          <w:b/>
          <w:bCs/>
          <w:sz w:val="24"/>
          <w:szCs w:val="32"/>
        </w:rPr>
        <w:t>（</w:t>
      </w:r>
      <w:r>
        <w:rPr>
          <w:rFonts w:hint="eastAsia"/>
          <w:b/>
          <w:bCs/>
          <w:sz w:val="24"/>
          <w:szCs w:val="32"/>
        </w:rPr>
        <w:t>四</w:t>
      </w:r>
      <w:r>
        <w:rPr>
          <w:b/>
          <w:bCs/>
          <w:sz w:val="24"/>
          <w:szCs w:val="32"/>
        </w:rPr>
        <w:t>）</w:t>
      </w:r>
      <w:r>
        <w:rPr>
          <w:rFonts w:hint="eastAsia"/>
          <w:b/>
          <w:bCs/>
          <w:sz w:val="24"/>
          <w:szCs w:val="32"/>
        </w:rPr>
        <w:t>第四项设备：自动心肺复苏机技术参数要求</w:t>
      </w:r>
    </w:p>
    <w:p w14:paraId="578413B5">
      <w:pPr>
        <w:ind w:firstLine="420" w:firstLineChars="200"/>
        <w:rPr>
          <w:rFonts w:hint="eastAsia"/>
          <w:b/>
          <w:bCs/>
          <w:szCs w:val="22"/>
          <w14:ligatures w14:val="standardContextual"/>
        </w:rPr>
      </w:pPr>
      <w:r>
        <w:rPr>
          <w:rFonts w:hint="eastAsia"/>
          <w:b/>
          <w:bCs/>
          <w:szCs w:val="22"/>
          <w14:ligatures w14:val="standardContextual"/>
        </w:rPr>
        <w:t>▲1、按压技术：（提供第三方检测机构出具的检测报告）</w:t>
      </w:r>
    </w:p>
    <w:p w14:paraId="00F4FCEC">
      <w:pPr>
        <w:ind w:firstLine="420" w:firstLineChars="200"/>
        <w:rPr>
          <w:rFonts w:hint="eastAsia"/>
          <w:szCs w:val="22"/>
          <w14:ligatures w14:val="standardContextual"/>
        </w:rPr>
      </w:pPr>
      <w:r>
        <w:rPr>
          <w:rFonts w:hint="eastAsia"/>
          <w:szCs w:val="22"/>
          <w14:ligatures w14:val="standardContextual"/>
        </w:rPr>
        <w:t>（1）按压动力：电动电控，锂电池及交流电驱动；</w:t>
      </w:r>
    </w:p>
    <w:p w14:paraId="51978801">
      <w:pPr>
        <w:ind w:firstLine="420" w:firstLineChars="200"/>
        <w:rPr>
          <w:rFonts w:hint="eastAsia"/>
          <w:szCs w:val="22"/>
          <w14:ligatures w14:val="standardContextual"/>
        </w:rPr>
      </w:pPr>
      <w:r>
        <w:rPr>
          <w:rFonts w:hint="eastAsia"/>
          <w:szCs w:val="22"/>
          <w14:ligatures w14:val="standardContextual"/>
        </w:rPr>
        <w:t>（2）按压原理：3D 按压技术；</w:t>
      </w:r>
    </w:p>
    <w:p w14:paraId="3D4976E4">
      <w:pPr>
        <w:ind w:firstLine="420" w:firstLineChars="200"/>
        <w:rPr>
          <w:rFonts w:hint="eastAsia"/>
          <w:szCs w:val="22"/>
          <w14:ligatures w14:val="standardContextual"/>
        </w:rPr>
      </w:pPr>
      <w:r>
        <w:rPr>
          <w:rFonts w:hint="eastAsia"/>
          <w:szCs w:val="22"/>
          <w14:ligatures w14:val="standardContextual"/>
        </w:rPr>
        <w:t>（3）采用无挡板设计，可在软担架上使用，无需CPR背板。</w:t>
      </w:r>
    </w:p>
    <w:p w14:paraId="4662D6AE">
      <w:pPr>
        <w:ind w:firstLine="420" w:firstLineChars="200"/>
        <w:rPr>
          <w:rFonts w:hint="eastAsia"/>
          <w:b/>
          <w:bCs/>
          <w:szCs w:val="22"/>
          <w14:ligatures w14:val="standardContextual"/>
        </w:rPr>
      </w:pPr>
      <w:r>
        <w:rPr>
          <w:rFonts w:hint="eastAsia"/>
          <w:b/>
          <w:bCs/>
          <w:szCs w:val="22"/>
          <w14:ligatures w14:val="standardContextual"/>
        </w:rPr>
        <w:t>▲2、按压参数：（提供第三方检测机构出具的检测报告）</w:t>
      </w:r>
    </w:p>
    <w:p w14:paraId="58D2A07C">
      <w:pPr>
        <w:ind w:firstLine="420" w:firstLineChars="200"/>
        <w:rPr>
          <w:rFonts w:hint="eastAsia"/>
          <w:b/>
          <w:bCs/>
          <w:szCs w:val="22"/>
          <w14:ligatures w14:val="standardContextual"/>
        </w:rPr>
      </w:pPr>
      <w:r>
        <w:rPr>
          <w:rFonts w:hint="eastAsia"/>
          <w:szCs w:val="22"/>
          <w14:ligatures w14:val="standardContextual"/>
        </w:rPr>
        <w:t>（1）按压频率：按压频率100次/分钟至120 次/分钟范围内可调，可调挡位≥3档，实际按压频率误差±1次/分钟；</w:t>
      </w:r>
      <w:r>
        <w:rPr>
          <w:rFonts w:hint="eastAsia"/>
          <w:b/>
          <w:bCs/>
          <w:szCs w:val="22"/>
          <w14:ligatures w14:val="standardContextual"/>
        </w:rPr>
        <w:t xml:space="preserve"> </w:t>
      </w:r>
    </w:p>
    <w:p w14:paraId="236395A2">
      <w:pPr>
        <w:ind w:firstLine="420" w:firstLineChars="200"/>
        <w:rPr>
          <w:rFonts w:hint="eastAsia"/>
          <w:b/>
          <w:bCs/>
          <w:szCs w:val="22"/>
          <w14:ligatures w14:val="standardContextual"/>
        </w:rPr>
      </w:pPr>
      <w:r>
        <w:rPr>
          <w:rFonts w:hint="eastAsia"/>
          <w:szCs w:val="22"/>
          <w14:ligatures w14:val="standardContextual"/>
        </w:rPr>
        <w:t>（2）按压深度：按压深度35mm 至60mm范围内可调，可调档位≥3档，实际按压深度误差±2mm；</w:t>
      </w:r>
      <w:r>
        <w:rPr>
          <w:rFonts w:hint="eastAsia"/>
          <w:b/>
          <w:bCs/>
          <w:szCs w:val="22"/>
          <w14:ligatures w14:val="standardContextual"/>
        </w:rPr>
        <w:t xml:space="preserve"> </w:t>
      </w:r>
    </w:p>
    <w:p w14:paraId="3E70207F">
      <w:pPr>
        <w:ind w:firstLine="420" w:firstLineChars="200"/>
        <w:rPr>
          <w:rFonts w:hint="eastAsia"/>
          <w:szCs w:val="22"/>
          <w14:ligatures w14:val="standardContextual"/>
        </w:rPr>
      </w:pPr>
      <w:r>
        <w:rPr>
          <w:rFonts w:hint="eastAsia"/>
          <w:szCs w:val="22"/>
          <w14:ligatures w14:val="standardContextual"/>
        </w:rPr>
        <w:t>（3）按压释放比：50±5%；</w:t>
      </w:r>
    </w:p>
    <w:p w14:paraId="6E9B8E43">
      <w:pPr>
        <w:ind w:firstLine="420" w:firstLineChars="200"/>
        <w:rPr>
          <w:rFonts w:hint="eastAsia"/>
          <w:szCs w:val="22"/>
          <w14:ligatures w14:val="standardContextual"/>
        </w:rPr>
      </w:pPr>
      <w:r>
        <w:rPr>
          <w:rFonts w:hint="eastAsia"/>
          <w:szCs w:val="22"/>
          <w14:ligatures w14:val="standardContextual"/>
        </w:rPr>
        <w:t>（4）按压模式：30:2模式(30次按压后，3秒通气暂停),连续模式(连续按压)。</w:t>
      </w:r>
    </w:p>
    <w:p w14:paraId="60AD9048">
      <w:pPr>
        <w:ind w:firstLine="420" w:firstLineChars="200"/>
        <w:rPr>
          <w:rFonts w:hint="eastAsia"/>
          <w:b/>
          <w:bCs/>
          <w:szCs w:val="22"/>
          <w14:ligatures w14:val="standardContextual"/>
        </w:rPr>
      </w:pPr>
      <w:r>
        <w:rPr>
          <w:rFonts w:hint="eastAsia"/>
          <w:b/>
          <w:bCs/>
          <w:szCs w:val="22"/>
          <w14:ligatures w14:val="standardContextual"/>
        </w:rPr>
        <w:t>3、基本要求：</w:t>
      </w:r>
    </w:p>
    <w:p w14:paraId="7D850261">
      <w:pPr>
        <w:ind w:firstLine="420" w:firstLineChars="200"/>
        <w:rPr>
          <w:rFonts w:hint="eastAsia"/>
          <w:szCs w:val="22"/>
          <w14:ligatures w14:val="standardContextual"/>
        </w:rPr>
      </w:pPr>
      <w:r>
        <w:rPr>
          <w:rFonts w:hint="eastAsia"/>
          <w:szCs w:val="22"/>
          <w14:ligatures w14:val="standardContextual"/>
        </w:rPr>
        <w:t>（2）主机重量(含锂电池)≤2.5Kg；</w:t>
      </w:r>
    </w:p>
    <w:p w14:paraId="72B9367A">
      <w:pPr>
        <w:ind w:firstLine="420" w:firstLineChars="200"/>
        <w:rPr>
          <w:rFonts w:hint="eastAsia"/>
          <w:szCs w:val="22"/>
          <w14:ligatures w14:val="standardContextual"/>
        </w:rPr>
      </w:pPr>
      <w:r>
        <w:rPr>
          <w:rFonts w:hint="eastAsia"/>
          <w:szCs w:val="22"/>
          <w14:ligatures w14:val="standardContextual"/>
        </w:rPr>
        <w:t>（3）锂电池性能：可充电锂电池，自主充放电≥300次，单块电池≤60分钟持续供电，可接入220V 交流电，支持热插拔，持续工作时间≥48小时；漏电保护等级：除颤保护CF型；</w:t>
      </w:r>
    </w:p>
    <w:p w14:paraId="466BCE3F">
      <w:pPr>
        <w:ind w:firstLine="420" w:firstLineChars="200"/>
        <w:rPr>
          <w:rFonts w:hint="eastAsia"/>
          <w:szCs w:val="22"/>
          <w14:ligatures w14:val="standardContextual"/>
        </w:rPr>
      </w:pPr>
      <w:r>
        <w:rPr>
          <w:rFonts w:hint="eastAsia"/>
          <w:szCs w:val="22"/>
          <w14:ligatures w14:val="standardContextual"/>
        </w:rPr>
        <w:t>（4）数据传输：数据线、蓝牙和WiFi，且主机具有蓝牙和WiFi连接状态指示灯；</w:t>
      </w:r>
    </w:p>
    <w:p w14:paraId="30D41E54">
      <w:pPr>
        <w:ind w:firstLine="420" w:firstLineChars="200"/>
        <w:rPr>
          <w:rFonts w:hint="eastAsia"/>
          <w:szCs w:val="22"/>
          <w14:ligatures w14:val="standardContextual"/>
        </w:rPr>
      </w:pPr>
      <w:r>
        <w:rPr>
          <w:rFonts w:hint="eastAsia"/>
          <w:szCs w:val="22"/>
          <w14:ligatures w14:val="standardContextual"/>
        </w:rPr>
        <w:t>（5）IP等级≥IP33；</w:t>
      </w:r>
    </w:p>
    <w:p w14:paraId="549C5561">
      <w:pPr>
        <w:ind w:firstLine="420" w:firstLineChars="200"/>
        <w:rPr>
          <w:rFonts w:hint="eastAsia"/>
          <w:szCs w:val="22"/>
          <w14:ligatures w14:val="standardContextual"/>
        </w:rPr>
      </w:pPr>
      <w:r>
        <w:rPr>
          <w:rFonts w:hint="eastAsia"/>
          <w:szCs w:val="22"/>
          <w14:ligatures w14:val="standardContextual"/>
        </w:rPr>
        <w:t>（6）使用期限≥10年。</w:t>
      </w:r>
    </w:p>
    <w:p w14:paraId="0C84546A">
      <w:pPr>
        <w:ind w:firstLine="420" w:firstLineChars="200"/>
        <w:rPr>
          <w:rFonts w:hint="eastAsia"/>
          <w:b/>
          <w:bCs/>
          <w:szCs w:val="22"/>
          <w14:ligatures w14:val="standardContextual"/>
        </w:rPr>
      </w:pPr>
      <w:r>
        <w:rPr>
          <w:rFonts w:hint="eastAsia"/>
          <w:b/>
          <w:bCs/>
          <w:szCs w:val="22"/>
          <w14:ligatures w14:val="standardContextual"/>
        </w:rPr>
        <w:t>4、急救适用性参数：</w:t>
      </w:r>
      <w:r>
        <w:rPr>
          <w:rFonts w:hint="eastAsia"/>
          <w:szCs w:val="22"/>
          <w14:ligatures w14:val="standardContextual"/>
        </w:rPr>
        <w:t>支持非水平状态按压≥50°，支持非水平状态持续工作。</w:t>
      </w:r>
    </w:p>
    <w:p w14:paraId="4BA728BE">
      <w:pPr>
        <w:ind w:firstLine="420" w:firstLineChars="200"/>
        <w:rPr>
          <w:rFonts w:hint="eastAsia"/>
          <w:b/>
          <w:bCs/>
          <w:szCs w:val="22"/>
          <w14:ligatures w14:val="standardContextual"/>
        </w:rPr>
      </w:pPr>
      <w:r>
        <w:rPr>
          <w:rFonts w:hint="eastAsia"/>
          <w:b/>
          <w:bCs/>
          <w:szCs w:val="22"/>
          <w14:ligatures w14:val="standardContextual"/>
        </w:rPr>
        <w:t>5、功能参数：</w:t>
      </w:r>
    </w:p>
    <w:p w14:paraId="66D2F0BD">
      <w:pPr>
        <w:ind w:firstLine="420" w:firstLineChars="200"/>
        <w:rPr>
          <w:rFonts w:hint="eastAsia"/>
          <w:szCs w:val="22"/>
          <w14:ligatures w14:val="standardContextual"/>
        </w:rPr>
      </w:pPr>
      <w:r>
        <w:rPr>
          <w:rFonts w:hint="eastAsia"/>
          <w:szCs w:val="22"/>
          <w14:ligatures w14:val="standardContextual"/>
        </w:rPr>
        <w:t>（1）具有电量指示，在不开机的情况下可以查看电池电量；</w:t>
      </w:r>
    </w:p>
    <w:p w14:paraId="456A7C32">
      <w:pPr>
        <w:ind w:firstLine="420" w:firstLineChars="200"/>
        <w:rPr>
          <w:rFonts w:hint="eastAsia"/>
          <w:szCs w:val="22"/>
          <w14:ligatures w14:val="standardContextual"/>
        </w:rPr>
      </w:pPr>
      <w:r>
        <w:rPr>
          <w:rFonts w:hint="eastAsia"/>
          <w:szCs w:val="22"/>
          <w14:ligatures w14:val="standardContextual"/>
        </w:rPr>
        <w:t>（2）数据储存及传输：通过USB数据线从主机进行数据导出至CPR数据分析软件；</w:t>
      </w:r>
    </w:p>
    <w:p w14:paraId="2BBBCB0B">
      <w:pPr>
        <w:widowControl/>
        <w:ind w:firstLine="420" w:firstLineChars="200"/>
        <w:rPr>
          <w:rFonts w:hint="eastAsia"/>
          <w:szCs w:val="21"/>
          <w14:ligatures w14:val="standardContextual"/>
        </w:rPr>
      </w:pPr>
      <w:r>
        <w:rPr>
          <w:rFonts w:hint="eastAsia"/>
          <w:szCs w:val="22"/>
          <w14:ligatures w14:val="standardContextual"/>
        </w:rPr>
        <w:t>（3）CPR数据分析软件：具有按压频率、按压深度趋势图，全局数据统计分析，可设置再分析开始点、结束点，进行局部数据再计算。</w:t>
      </w:r>
    </w:p>
    <w:p w14:paraId="1A7485BB">
      <w:pPr>
        <w:widowControl/>
        <w:spacing w:line="240" w:lineRule="auto"/>
        <w:jc w:val="left"/>
        <w:rPr>
          <w:rFonts w:hint="eastAsia"/>
          <w:b/>
          <w:bCs/>
          <w:sz w:val="24"/>
          <w:szCs w:val="32"/>
        </w:rPr>
      </w:pPr>
      <w:r>
        <w:rPr>
          <w:rFonts w:hint="eastAsia"/>
          <w:b/>
          <w:bCs/>
          <w:sz w:val="24"/>
          <w:szCs w:val="32"/>
        </w:rPr>
        <w:br w:type="page"/>
      </w:r>
    </w:p>
    <w:p w14:paraId="23632670">
      <w:pPr>
        <w:keepNext/>
        <w:keepLines/>
        <w:tabs>
          <w:tab w:val="left" w:pos="420"/>
          <w:tab w:val="left" w:pos="6090"/>
        </w:tabs>
        <w:jc w:val="center"/>
        <w:outlineLvl w:val="1"/>
        <w:rPr>
          <w:rFonts w:hint="eastAsia"/>
          <w:b/>
          <w:sz w:val="30"/>
          <w:szCs w:val="28"/>
        </w:rPr>
      </w:pPr>
      <w:bookmarkStart w:id="469" w:name="_Toc139357097"/>
      <w:bookmarkStart w:id="470" w:name="_Toc166067805"/>
      <w:bookmarkStart w:id="471" w:name="_Toc13627"/>
      <w:r>
        <w:rPr>
          <w:rFonts w:hint="eastAsia"/>
          <w:b/>
          <w:sz w:val="30"/>
          <w:szCs w:val="28"/>
        </w:rPr>
        <w:t>三、5标段商务要求</w:t>
      </w:r>
      <w:bookmarkEnd w:id="469"/>
      <w:bookmarkEnd w:id="470"/>
      <w:bookmarkEnd w:id="471"/>
    </w:p>
    <w:p w14:paraId="2DC65986">
      <w:pPr>
        <w:autoSpaceDE w:val="0"/>
        <w:autoSpaceDN w:val="0"/>
        <w:rPr>
          <w:rFonts w:hint="eastAsia" w:cs="宋体"/>
          <w:b/>
          <w:bCs/>
          <w:kern w:val="0"/>
          <w:szCs w:val="21"/>
        </w:rPr>
      </w:pPr>
      <w:r>
        <w:rPr>
          <w:rFonts w:hint="eastAsia" w:cs="宋体"/>
          <w:b/>
          <w:bCs/>
          <w:kern w:val="0"/>
          <w:szCs w:val="21"/>
        </w:rPr>
        <w:t>1、</w:t>
      </w:r>
      <w:r>
        <w:rPr>
          <w:rFonts w:hint="eastAsia" w:cs="宋体"/>
          <w:b/>
          <w:bCs/>
          <w:szCs w:val="21"/>
        </w:rPr>
        <w:t>验收要求及标准</w:t>
      </w:r>
      <w:r>
        <w:rPr>
          <w:rFonts w:hint="eastAsia" w:cs="宋体"/>
          <w:b/>
          <w:bCs/>
          <w:kern w:val="0"/>
          <w:szCs w:val="21"/>
        </w:rPr>
        <w:t>：</w:t>
      </w:r>
    </w:p>
    <w:p w14:paraId="2D65446B">
      <w:pPr>
        <w:autoSpaceDE w:val="0"/>
        <w:autoSpaceDN w:val="0"/>
        <w:adjustRightInd w:val="0"/>
        <w:snapToGrid w:val="0"/>
        <w:ind w:firstLine="420" w:firstLineChars="200"/>
        <w:rPr>
          <w:rFonts w:hint="eastAsia"/>
          <w:kern w:val="0"/>
          <w:szCs w:val="21"/>
        </w:rPr>
      </w:pPr>
      <w:r>
        <w:rPr>
          <w:rFonts w:hint="eastAsia"/>
          <w:kern w:val="0"/>
          <w:szCs w:val="21"/>
        </w:rPr>
        <w:t>（1）按照招标文件要求及投标文件所投的设备品牌、型号、数量进行验收；</w:t>
      </w:r>
    </w:p>
    <w:p w14:paraId="20FE9570">
      <w:pPr>
        <w:autoSpaceDE w:val="0"/>
        <w:autoSpaceDN w:val="0"/>
        <w:adjustRightInd w:val="0"/>
        <w:snapToGrid w:val="0"/>
        <w:ind w:firstLine="420" w:firstLineChars="200"/>
        <w:rPr>
          <w:rFonts w:hint="eastAsia"/>
          <w:kern w:val="0"/>
          <w:szCs w:val="21"/>
        </w:rPr>
      </w:pPr>
      <w:r>
        <w:rPr>
          <w:rFonts w:hint="eastAsia"/>
          <w:kern w:val="0"/>
          <w:szCs w:val="21"/>
        </w:rPr>
        <w:t>（2）设备到货后查看设备外包装、外观、铭牌、合格证等；</w:t>
      </w:r>
    </w:p>
    <w:p w14:paraId="61B7B7FC">
      <w:pPr>
        <w:autoSpaceDE w:val="0"/>
        <w:autoSpaceDN w:val="0"/>
        <w:adjustRightInd w:val="0"/>
        <w:snapToGrid w:val="0"/>
        <w:ind w:firstLine="420" w:firstLineChars="200"/>
        <w:rPr>
          <w:rFonts w:hint="eastAsia"/>
          <w:kern w:val="0"/>
          <w:szCs w:val="21"/>
        </w:rPr>
      </w:pPr>
      <w:r>
        <w:rPr>
          <w:rFonts w:hint="eastAsia"/>
          <w:kern w:val="0"/>
          <w:szCs w:val="21"/>
        </w:rPr>
        <w:t>（3）按照招标文件要求及投标文件核对设备配置；</w:t>
      </w:r>
    </w:p>
    <w:p w14:paraId="601A37A1">
      <w:pPr>
        <w:autoSpaceDE w:val="0"/>
        <w:autoSpaceDN w:val="0"/>
        <w:adjustRightInd w:val="0"/>
        <w:snapToGrid w:val="0"/>
        <w:ind w:firstLine="420" w:firstLineChars="200"/>
        <w:rPr>
          <w:rFonts w:hint="eastAsia"/>
          <w:kern w:val="0"/>
          <w:szCs w:val="21"/>
        </w:rPr>
      </w:pPr>
      <w:r>
        <w:rPr>
          <w:rFonts w:hint="eastAsia"/>
          <w:kern w:val="0"/>
          <w:szCs w:val="21"/>
        </w:rPr>
        <w:t>（4）按照招标文件要求及投标文件对照参数进行验收；</w:t>
      </w:r>
    </w:p>
    <w:p w14:paraId="68D509B5">
      <w:pPr>
        <w:autoSpaceDE w:val="0"/>
        <w:autoSpaceDN w:val="0"/>
        <w:adjustRightInd w:val="0"/>
        <w:snapToGrid w:val="0"/>
        <w:ind w:firstLine="420" w:firstLineChars="200"/>
        <w:rPr>
          <w:rFonts w:hint="eastAsia"/>
          <w:kern w:val="0"/>
          <w:szCs w:val="21"/>
        </w:rPr>
      </w:pPr>
      <w:r>
        <w:rPr>
          <w:rFonts w:hint="eastAsia"/>
          <w:kern w:val="0"/>
          <w:szCs w:val="21"/>
        </w:rPr>
        <w:t>（5）按照投标文件内承诺的技术培训等进行验收；</w:t>
      </w:r>
    </w:p>
    <w:p w14:paraId="4FE24603">
      <w:pPr>
        <w:autoSpaceDE w:val="0"/>
        <w:autoSpaceDN w:val="0"/>
        <w:adjustRightInd w:val="0"/>
        <w:snapToGrid w:val="0"/>
        <w:ind w:firstLine="420" w:firstLineChars="200"/>
        <w:rPr>
          <w:rFonts w:hint="eastAsia" w:cs="宋体"/>
          <w:b/>
          <w:bCs/>
          <w:kern w:val="0"/>
          <w:szCs w:val="21"/>
        </w:rPr>
      </w:pPr>
      <w:r>
        <w:rPr>
          <w:rFonts w:hint="eastAsia"/>
          <w:kern w:val="0"/>
          <w:szCs w:val="21"/>
        </w:rPr>
        <w:t>（6）供货商申请验收时需提供对照标书的响应参数的详细说明，比如：响应参数在设备系统内什么部位、说明书的什么地方或者检验报告内查看证明等。</w:t>
      </w:r>
    </w:p>
    <w:p w14:paraId="36A4B217">
      <w:pPr>
        <w:autoSpaceDE w:val="0"/>
        <w:autoSpaceDN w:val="0"/>
        <w:rPr>
          <w:rFonts w:hint="eastAsia" w:cs="宋体"/>
          <w:b/>
          <w:bCs/>
          <w:kern w:val="0"/>
          <w:szCs w:val="21"/>
        </w:rPr>
      </w:pPr>
      <w:r>
        <w:rPr>
          <w:rFonts w:hint="eastAsia" w:cs="宋体"/>
          <w:b/>
          <w:bCs/>
          <w:kern w:val="0"/>
          <w:szCs w:val="21"/>
        </w:rPr>
        <w:t>2、包装和运输要求：</w:t>
      </w:r>
    </w:p>
    <w:p w14:paraId="6750DD64">
      <w:pPr>
        <w:widowControl/>
        <w:autoSpaceDE w:val="0"/>
        <w:autoSpaceDN w:val="0"/>
        <w:ind w:firstLine="420" w:firstLineChars="200"/>
        <w:rPr>
          <w:rFonts w:hint="eastAsia" w:cs="宋体"/>
          <w:kern w:val="0"/>
          <w:szCs w:val="21"/>
        </w:rPr>
      </w:pPr>
      <w:r>
        <w:rPr>
          <w:rFonts w:hint="eastAsia" w:cs="宋体"/>
          <w:kern w:val="0"/>
          <w:szCs w:val="21"/>
        </w:rPr>
        <w:t>（1）在供货前须进行发货前的准备及相关检查，保证设备无质量问题，且对设备的运输、下货过程要提供相关的保障措施，避免因设备运输过程及下货过程中的设备损坏。</w:t>
      </w:r>
    </w:p>
    <w:p w14:paraId="244A38A5">
      <w:pPr>
        <w:widowControl/>
        <w:autoSpaceDE w:val="0"/>
        <w:autoSpaceDN w:val="0"/>
        <w:ind w:firstLine="420" w:firstLineChars="200"/>
        <w:rPr>
          <w:rFonts w:hint="eastAsia" w:cs="宋体"/>
          <w:b/>
          <w:bCs/>
          <w:kern w:val="0"/>
          <w:szCs w:val="21"/>
        </w:rPr>
      </w:pPr>
      <w:r>
        <w:rPr>
          <w:rFonts w:hint="eastAsia" w:cs="宋体"/>
          <w:kern w:val="0"/>
          <w:szCs w:val="21"/>
        </w:rPr>
        <w:t>（2）设备外包装需采用硬质材料包装，四面紧固，内部采购缓冲材料包装，零配件包装完好；</w:t>
      </w:r>
    </w:p>
    <w:p w14:paraId="4E6BDA52">
      <w:pPr>
        <w:widowControl/>
        <w:autoSpaceDE w:val="0"/>
        <w:autoSpaceDN w:val="0"/>
        <w:ind w:firstLine="420" w:firstLineChars="200"/>
        <w:rPr>
          <w:rFonts w:hint="eastAsia" w:cs="宋体"/>
          <w:kern w:val="0"/>
          <w:szCs w:val="21"/>
        </w:rPr>
      </w:pPr>
      <w:r>
        <w:rPr>
          <w:rFonts w:hint="eastAsia" w:cs="宋体"/>
          <w:kern w:val="0"/>
          <w:szCs w:val="21"/>
        </w:rPr>
        <w:t>（3）运输过程中不得暴力运输，需保证设备外包装的完好。</w:t>
      </w:r>
    </w:p>
    <w:p w14:paraId="1AA36777">
      <w:pPr>
        <w:widowControl/>
        <w:autoSpaceDE w:val="0"/>
        <w:autoSpaceDN w:val="0"/>
        <w:ind w:firstLine="420" w:firstLineChars="200"/>
        <w:rPr>
          <w:rFonts w:hint="eastAsia" w:cs="宋体"/>
          <w:kern w:val="0"/>
          <w:szCs w:val="21"/>
        </w:rPr>
      </w:pPr>
      <w:r>
        <w:rPr>
          <w:rFonts w:hint="eastAsia"/>
        </w:rPr>
        <w:t>（4）设备在运输过程及装卸过程中设备出现质量问题或灭失的风险由中标人承担，中标人需保证运输及装卸过程中设备不受任何损坏。</w:t>
      </w:r>
    </w:p>
    <w:p w14:paraId="09C4F462">
      <w:pPr>
        <w:autoSpaceDE w:val="0"/>
        <w:autoSpaceDN w:val="0"/>
        <w:rPr>
          <w:rFonts w:hint="eastAsia" w:cs="宋体"/>
          <w:b/>
          <w:bCs/>
          <w:kern w:val="0"/>
          <w:szCs w:val="21"/>
        </w:rPr>
      </w:pPr>
      <w:r>
        <w:rPr>
          <w:rFonts w:hint="eastAsia" w:cs="宋体"/>
          <w:b/>
          <w:bCs/>
          <w:kern w:val="0"/>
          <w:szCs w:val="21"/>
        </w:rPr>
        <w:t>3、安装调试要求：</w:t>
      </w:r>
    </w:p>
    <w:p w14:paraId="63E01743">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（1）</w:t>
      </w:r>
      <w:r>
        <w:rPr>
          <w:rFonts w:cs="宋体"/>
          <w:kern w:val="0"/>
          <w:szCs w:val="21"/>
        </w:rPr>
        <w:t>根据设备安装规定及采购人需求进行安装，调试到符合采购要求标准</w:t>
      </w:r>
      <w:r>
        <w:rPr>
          <w:rFonts w:hint="eastAsia" w:cs="宋体"/>
          <w:kern w:val="0"/>
          <w:szCs w:val="21"/>
        </w:rPr>
        <w:t>，使用期间，专业技术人员提供现场技术培训（差旅食宿自理），保证使用人员正常操作各种功能。</w:t>
      </w:r>
    </w:p>
    <w:p w14:paraId="26E94001">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（2）</w:t>
      </w:r>
      <w:r>
        <w:rPr>
          <w:rFonts w:cs="宋体"/>
          <w:kern w:val="0"/>
          <w:szCs w:val="21"/>
        </w:rPr>
        <w:t>安装过程中的所有安全保障由</w:t>
      </w:r>
      <w:r>
        <w:rPr>
          <w:rFonts w:hint="eastAsia" w:cs="宋体"/>
          <w:kern w:val="0"/>
          <w:szCs w:val="21"/>
        </w:rPr>
        <w:t>投标人</w:t>
      </w:r>
      <w:r>
        <w:rPr>
          <w:rFonts w:cs="宋体"/>
          <w:kern w:val="0"/>
          <w:szCs w:val="21"/>
        </w:rPr>
        <w:t>自行负责</w:t>
      </w:r>
      <w:r>
        <w:rPr>
          <w:rFonts w:hint="eastAsia" w:cs="宋体"/>
          <w:kern w:val="0"/>
          <w:szCs w:val="21"/>
        </w:rPr>
        <w:t>。</w:t>
      </w:r>
    </w:p>
    <w:p w14:paraId="5D4937F5">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（3）</w:t>
      </w:r>
      <w:r>
        <w:rPr>
          <w:rFonts w:cs="宋体"/>
          <w:kern w:val="0"/>
          <w:szCs w:val="21"/>
        </w:rPr>
        <w:t>严格按所投产品的安装规范要求进行安装，确保安全。</w:t>
      </w:r>
    </w:p>
    <w:p w14:paraId="5CF4AAC9">
      <w:pPr>
        <w:autoSpaceDE w:val="0"/>
        <w:autoSpaceDN w:val="0"/>
        <w:rPr>
          <w:rFonts w:hint="eastAsia" w:cs="宋体"/>
          <w:b/>
          <w:bCs/>
          <w:kern w:val="0"/>
          <w:szCs w:val="21"/>
        </w:rPr>
      </w:pPr>
      <w:r>
        <w:rPr>
          <w:rFonts w:hint="eastAsia" w:cs="宋体"/>
          <w:b/>
          <w:bCs/>
          <w:kern w:val="0"/>
          <w:szCs w:val="21"/>
        </w:rPr>
        <w:t>4、培训要求:</w:t>
      </w:r>
    </w:p>
    <w:p w14:paraId="3148D9BB">
      <w:pPr>
        <w:autoSpaceDE w:val="0"/>
        <w:autoSpaceDN w:val="0"/>
        <w:adjustRightInd w:val="0"/>
        <w:snapToGrid w:val="0"/>
        <w:ind w:firstLine="420" w:firstLineChars="200"/>
        <w:rPr>
          <w:rFonts w:hint="eastAsia" w:cs="宋体"/>
          <w:kern w:val="0"/>
          <w:szCs w:val="21"/>
        </w:rPr>
      </w:pPr>
      <w:r>
        <w:rPr>
          <w:rFonts w:hint="eastAsia" w:cs="宋体"/>
          <w:kern w:val="0"/>
          <w:szCs w:val="21"/>
        </w:rPr>
        <w:t>提供用户的系统培训，</w:t>
      </w:r>
      <w:r>
        <w:rPr>
          <w:rFonts w:hint="eastAsia" w:cs="宋体"/>
          <w:szCs w:val="21"/>
        </w:rPr>
        <w:t>保证用户掌握设备使用基本技能</w:t>
      </w:r>
      <w:r>
        <w:rPr>
          <w:rFonts w:hint="eastAsia" w:cs="宋体"/>
          <w:kern w:val="0"/>
          <w:szCs w:val="21"/>
        </w:rPr>
        <w:t>，可以正确操作使用设备，可以完整操作分析流程并得到正确的数据。须在供货前提前准备培训的内容模块等、安排培训工程师，保证培训效果达到最佳。</w:t>
      </w:r>
    </w:p>
    <w:p w14:paraId="52D5A650">
      <w:pPr>
        <w:autoSpaceDE w:val="0"/>
        <w:autoSpaceDN w:val="0"/>
        <w:rPr>
          <w:rFonts w:hint="eastAsia" w:cs="宋体"/>
          <w:b/>
          <w:bCs/>
          <w:kern w:val="0"/>
          <w:szCs w:val="21"/>
        </w:rPr>
      </w:pPr>
      <w:r>
        <w:rPr>
          <w:rFonts w:hint="eastAsia" w:cs="宋体"/>
          <w:b/>
          <w:bCs/>
          <w:kern w:val="0"/>
          <w:szCs w:val="21"/>
        </w:rPr>
        <w:t>5、</w:t>
      </w:r>
      <w:r>
        <w:rPr>
          <w:rFonts w:cs="宋体"/>
          <w:b/>
          <w:bCs/>
          <w:kern w:val="0"/>
          <w:szCs w:val="21"/>
        </w:rPr>
        <w:t>售后服务</w:t>
      </w:r>
      <w:r>
        <w:rPr>
          <w:rFonts w:hint="eastAsia" w:cs="宋体"/>
          <w:b/>
          <w:bCs/>
          <w:kern w:val="0"/>
          <w:szCs w:val="21"/>
        </w:rPr>
        <w:t>要求</w:t>
      </w:r>
      <w:r>
        <w:rPr>
          <w:rFonts w:cs="宋体"/>
          <w:b/>
          <w:bCs/>
          <w:kern w:val="0"/>
          <w:szCs w:val="21"/>
        </w:rPr>
        <w:t>：</w:t>
      </w:r>
    </w:p>
    <w:p w14:paraId="695A1A8F">
      <w:pPr>
        <w:widowControl/>
        <w:ind w:firstLine="420" w:firstLineChars="200"/>
        <w:rPr>
          <w:rFonts w:hint="eastAsia" w:cs="宋体"/>
          <w:szCs w:val="21"/>
          <w:lang w:bidi="ar"/>
        </w:rPr>
      </w:pPr>
      <w:r>
        <w:rPr>
          <w:rFonts w:cs="宋体"/>
          <w:szCs w:val="21"/>
          <w:lang w:bidi="ar"/>
        </w:rPr>
        <w:t>（1）质保期：</w:t>
      </w:r>
      <w:r>
        <w:rPr>
          <w:rFonts w:hint="eastAsia" w:cs="宋体"/>
          <w:kern w:val="0"/>
          <w:szCs w:val="21"/>
          <w:lang w:bidi="ar"/>
        </w:rPr>
        <w:t>自验收合格之日起计算≥3年</w:t>
      </w:r>
      <w:r>
        <w:rPr>
          <w:rFonts w:cs="宋体"/>
          <w:szCs w:val="21"/>
          <w:lang w:bidi="ar"/>
        </w:rPr>
        <w:t>。</w:t>
      </w:r>
    </w:p>
    <w:p w14:paraId="40B9D570">
      <w:pPr>
        <w:widowControl/>
        <w:ind w:firstLine="420" w:firstLineChars="200"/>
        <w:rPr>
          <w:rFonts w:hint="eastAsia" w:cs="宋体"/>
          <w:szCs w:val="21"/>
          <w:lang w:bidi="ar"/>
        </w:rPr>
      </w:pPr>
      <w:r>
        <w:rPr>
          <w:rFonts w:cs="宋体"/>
          <w:szCs w:val="21"/>
          <w:lang w:bidi="ar"/>
        </w:rPr>
        <w:t>（2）质保期内，中标人对货物(产品)提供上门维护或保修或更换</w:t>
      </w:r>
      <w:r>
        <w:rPr>
          <w:rFonts w:hint="eastAsia" w:cs="宋体"/>
          <w:szCs w:val="21"/>
          <w:lang w:bidi="ar"/>
        </w:rPr>
        <w:t>服务</w:t>
      </w:r>
      <w:r>
        <w:rPr>
          <w:rFonts w:cs="宋体"/>
          <w:szCs w:val="21"/>
          <w:lang w:bidi="ar"/>
        </w:rPr>
        <w:t>；在保修期，</w:t>
      </w:r>
      <w:r>
        <w:rPr>
          <w:rFonts w:hint="eastAsia" w:cs="宋体"/>
          <w:szCs w:val="21"/>
        </w:rPr>
        <w:t>维修三次后仍然有故障，则必须无条件更换同品牌、同型号的新设备或作退货处理</w:t>
      </w:r>
      <w:r>
        <w:rPr>
          <w:rFonts w:cs="宋体"/>
          <w:szCs w:val="21"/>
          <w:lang w:bidi="ar"/>
        </w:rPr>
        <w:t>，因此产生的一切费用均由</w:t>
      </w:r>
      <w:r>
        <w:rPr>
          <w:rFonts w:hint="eastAsia" w:cs="宋体"/>
          <w:szCs w:val="21"/>
          <w:lang w:bidi="ar"/>
        </w:rPr>
        <w:t>中标人</w:t>
      </w:r>
      <w:r>
        <w:rPr>
          <w:rFonts w:cs="宋体"/>
          <w:szCs w:val="21"/>
          <w:lang w:bidi="ar"/>
        </w:rPr>
        <w:t>承担</w:t>
      </w:r>
      <w:r>
        <w:rPr>
          <w:rFonts w:hint="eastAsia" w:cs="宋体"/>
          <w:szCs w:val="21"/>
          <w:lang w:bidi="ar"/>
        </w:rPr>
        <w:t>。</w:t>
      </w:r>
    </w:p>
    <w:p w14:paraId="343DFC56">
      <w:pPr>
        <w:widowControl/>
        <w:ind w:firstLine="420" w:firstLineChars="200"/>
        <w:rPr>
          <w:rFonts w:hint="eastAsia"/>
          <w:szCs w:val="21"/>
        </w:rPr>
      </w:pPr>
      <w:r>
        <w:rPr>
          <w:rFonts w:cs="宋体"/>
          <w:szCs w:val="21"/>
          <w:lang w:bidi="ar"/>
        </w:rPr>
        <w:t>（3）</w:t>
      </w:r>
      <w:r>
        <w:rPr>
          <w:rFonts w:hint="eastAsia"/>
          <w:szCs w:val="21"/>
        </w:rPr>
        <w:t>中标人自接到用户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63EB2FEB">
      <w:pPr>
        <w:widowControl/>
        <w:ind w:firstLine="420" w:firstLineChars="200"/>
        <w:rPr>
          <w:rFonts w:hint="eastAsia" w:cs="宋体"/>
          <w:szCs w:val="21"/>
        </w:rPr>
      </w:pPr>
      <w:r>
        <w:rPr>
          <w:rFonts w:hint="eastAsia"/>
        </w:rPr>
        <w:t>（4）</w:t>
      </w:r>
      <w:r>
        <w:rPr>
          <w:rFonts w:hint="eastAsia" w:cs="宋体"/>
          <w:szCs w:val="21"/>
        </w:rPr>
        <w:t>质保期内，中标人须提供专门的售后服务人员负责后期的售后服务工作，提供联系人、联系电话及拟派本项目售后人员的岗位职责分工。</w:t>
      </w:r>
    </w:p>
    <w:p w14:paraId="1F8F1EC7">
      <w:pPr>
        <w:widowControl/>
        <w:ind w:firstLine="420" w:firstLineChars="200"/>
        <w:rPr>
          <w:rFonts w:hint="eastAsia" w:cs="宋体"/>
          <w:szCs w:val="21"/>
        </w:rPr>
      </w:pPr>
      <w:r>
        <w:rPr>
          <w:rFonts w:hint="eastAsia"/>
        </w:rPr>
        <w:t>（5）</w:t>
      </w:r>
      <w:r>
        <w:rPr>
          <w:rFonts w:hint="eastAsia" w:cs="宋体"/>
          <w:szCs w:val="21"/>
        </w:rPr>
        <w:t>质保期后备品备件根据需要及时更换，承诺质保期后备品备件价格不得高于成本价。</w:t>
      </w:r>
    </w:p>
    <w:p w14:paraId="0D71475F">
      <w:pPr>
        <w:autoSpaceDE w:val="0"/>
        <w:autoSpaceDN w:val="0"/>
        <w:rPr>
          <w:rFonts w:hint="eastAsia" w:cs="宋体"/>
          <w:b/>
          <w:bCs/>
          <w:kern w:val="0"/>
          <w:szCs w:val="21"/>
        </w:rPr>
      </w:pPr>
      <w:r>
        <w:rPr>
          <w:rFonts w:hint="eastAsia" w:cs="宋体"/>
          <w:b/>
          <w:bCs/>
          <w:kern w:val="0"/>
          <w:szCs w:val="21"/>
        </w:rPr>
        <w:t>6、其他要求</w:t>
      </w:r>
    </w:p>
    <w:p w14:paraId="4DCBB1C5">
      <w:pPr>
        <w:ind w:firstLine="420" w:firstLineChars="200"/>
        <w:rPr>
          <w:rFonts w:hint="eastAsia"/>
          <w:color w:val="000000"/>
          <w:szCs w:val="21"/>
        </w:rPr>
      </w:pPr>
      <w:r>
        <w:rPr>
          <w:rFonts w:hint="eastAsia"/>
          <w:b/>
          <w:bCs/>
          <w:color w:val="000000"/>
          <w:szCs w:val="21"/>
        </w:rPr>
        <w:t>（1）交货期：</w:t>
      </w:r>
      <w:r>
        <w:rPr>
          <w:rFonts w:hint="eastAsia"/>
          <w:color w:val="000000"/>
          <w:szCs w:val="21"/>
        </w:rPr>
        <w:t>合同签订后30个日历日内完成交货及安装。</w:t>
      </w:r>
    </w:p>
    <w:p w14:paraId="1A6FBD7E">
      <w:pPr>
        <w:ind w:firstLine="420" w:firstLineChars="200"/>
        <w:rPr>
          <w:rFonts w:hint="eastAsia"/>
          <w:color w:val="000000"/>
          <w:szCs w:val="21"/>
        </w:rPr>
      </w:pPr>
      <w:r>
        <w:rPr>
          <w:rFonts w:hint="eastAsia"/>
          <w:b/>
          <w:bCs/>
          <w:color w:val="000000"/>
          <w:szCs w:val="21"/>
        </w:rPr>
        <w:t>（2）交货地点：</w:t>
      </w:r>
      <w:r>
        <w:rPr>
          <w:rFonts w:hint="eastAsia"/>
          <w:color w:val="000000"/>
          <w:szCs w:val="21"/>
        </w:rPr>
        <w:t>采购人指定地点。</w:t>
      </w:r>
    </w:p>
    <w:p w14:paraId="4BC545F7">
      <w:pPr>
        <w:ind w:firstLine="420" w:firstLineChars="200"/>
        <w:rPr>
          <w:rFonts w:hint="eastAsia"/>
          <w:color w:val="000000"/>
          <w:szCs w:val="21"/>
        </w:rPr>
      </w:pPr>
      <w:r>
        <w:rPr>
          <w:rFonts w:hint="eastAsia"/>
          <w:b/>
          <w:bCs/>
          <w:color w:val="000000"/>
          <w:szCs w:val="21"/>
        </w:rPr>
        <w:t>（3）交货方式：</w:t>
      </w:r>
      <w:r>
        <w:t>现场安装调试验收完成。</w:t>
      </w:r>
    </w:p>
    <w:p w14:paraId="2212B1C6">
      <w:pPr>
        <w:ind w:firstLine="420" w:firstLineChars="200"/>
        <w:rPr>
          <w:rFonts w:hint="eastAsia"/>
          <w:color w:val="000000"/>
          <w:szCs w:val="21"/>
        </w:rPr>
      </w:pPr>
      <w:r>
        <w:rPr>
          <w:rFonts w:hint="eastAsia"/>
          <w:b/>
          <w:bCs/>
          <w:color w:val="000000"/>
          <w:szCs w:val="21"/>
        </w:rPr>
        <w:t>（4）质量要求：</w:t>
      </w:r>
      <w:r>
        <w:rPr>
          <w:rFonts w:hint="eastAsia"/>
          <w:color w:val="000000"/>
          <w:szCs w:val="21"/>
        </w:rPr>
        <w:t>有国家标准和行业标准的，按国家标准和行业标准执行，满足质量要求和使用需求的全新产品，满足采购人需求，一次验收合格。</w:t>
      </w:r>
    </w:p>
    <w:p w14:paraId="0557AD01">
      <w:pPr>
        <w:ind w:firstLine="420" w:firstLineChars="200"/>
        <w:rPr>
          <w:rFonts w:hint="eastAsia"/>
          <w:color w:val="000000"/>
          <w:szCs w:val="21"/>
        </w:rPr>
      </w:pPr>
      <w:r>
        <w:rPr>
          <w:rFonts w:hint="eastAsia"/>
          <w:b/>
          <w:bCs/>
        </w:rPr>
        <w:t>（5）</w:t>
      </w:r>
      <w:r>
        <w:rPr>
          <w:rFonts w:hint="eastAsia" w:cs="宋体"/>
          <w:szCs w:val="21"/>
        </w:rPr>
        <w:t>投标人需承诺具备相应的备品备件库，备品备件的供应渠道需合法且有相应的保障保证备品配件的质量。</w:t>
      </w:r>
    </w:p>
    <w:p w14:paraId="65D1AC2B">
      <w:pPr>
        <w:widowControl/>
        <w:spacing w:line="240" w:lineRule="auto"/>
        <w:jc w:val="left"/>
        <w:rPr>
          <w:rStyle w:val="265"/>
          <w:rFonts w:hint="eastAsia" w:eastAsia="宋体" w:cs="宋体"/>
          <w:bCs/>
          <w:sz w:val="36"/>
          <w:szCs w:val="36"/>
        </w:rPr>
      </w:pPr>
      <w:r>
        <w:rPr>
          <w:rStyle w:val="265"/>
          <w:rFonts w:hint="eastAsia" w:eastAsia="宋体" w:cs="宋体"/>
          <w:b w:val="0"/>
          <w:bCs/>
          <w:sz w:val="36"/>
          <w:szCs w:val="36"/>
        </w:rPr>
        <w:br w:type="page"/>
      </w:r>
    </w:p>
    <w:p w14:paraId="45770C5D">
      <w:pPr>
        <w:pStyle w:val="3"/>
        <w:numPr>
          <w:ilvl w:val="0"/>
          <w:numId w:val="0"/>
        </w:numPr>
        <w:spacing w:line="240" w:lineRule="auto"/>
        <w:jc w:val="center"/>
        <w:rPr>
          <w:rFonts w:hint="eastAsia" w:eastAsia="宋体" w:cs="宋体"/>
          <w:bCs/>
          <w:szCs w:val="21"/>
        </w:rPr>
      </w:pPr>
      <w:bookmarkStart w:id="472" w:name="_Toc27472"/>
      <w:r>
        <w:rPr>
          <w:rStyle w:val="265"/>
          <w:rFonts w:hint="eastAsia" w:eastAsia="宋体" w:cs="宋体"/>
          <w:b/>
          <w:bCs/>
          <w:sz w:val="36"/>
          <w:szCs w:val="36"/>
        </w:rPr>
        <w:t>第六章  资格评审标准</w:t>
      </w:r>
      <w:bookmarkEnd w:id="455"/>
      <w:bookmarkEnd w:id="456"/>
      <w:bookmarkEnd w:id="457"/>
      <w:bookmarkEnd w:id="458"/>
      <w:bookmarkEnd w:id="472"/>
    </w:p>
    <w:p w14:paraId="03221AC3">
      <w:pPr>
        <w:pStyle w:val="23"/>
        <w:tabs>
          <w:tab w:val="left" w:pos="2472"/>
        </w:tabs>
        <w:ind w:firstLine="420" w:firstLineChars="200"/>
        <w:rPr>
          <w:rFonts w:hint="eastAsia" w:cs="宋体"/>
          <w:b/>
          <w:szCs w:val="21"/>
        </w:rPr>
      </w:pPr>
      <w:bookmarkStart w:id="473" w:name="_Hlk17286885"/>
      <w:r>
        <w:rPr>
          <w:rFonts w:hint="eastAsia" w:cs="宋体"/>
          <w:b/>
          <w:szCs w:val="21"/>
        </w:rPr>
        <w:t>开标结束后，采购人或者采购代理机构应当依法对投标人的资格进行审查，见评审内容及标准。下列条款若有一条不符合要求的，即资格评审不予通过，当资格评审合格投标人不足3家的，不得评标。</w:t>
      </w:r>
    </w:p>
    <w:bookmarkEnd w:id="473"/>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7"/>
        <w:gridCol w:w="567"/>
        <w:gridCol w:w="8578"/>
      </w:tblGrid>
      <w:tr w14:paraId="37E3A1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17" w:type="dxa"/>
            <w:noWrap/>
            <w:vAlign w:val="center"/>
          </w:tcPr>
          <w:p w14:paraId="4E696F8C">
            <w:pPr>
              <w:spacing w:line="276" w:lineRule="auto"/>
              <w:jc w:val="center"/>
              <w:rPr>
                <w:rFonts w:hint="eastAsia" w:cs="宋体"/>
                <w:szCs w:val="21"/>
              </w:rPr>
            </w:pPr>
            <w:r>
              <w:rPr>
                <w:rFonts w:hint="eastAsia" w:cs="宋体"/>
                <w:b/>
                <w:szCs w:val="21"/>
              </w:rPr>
              <w:t>评审程序</w:t>
            </w:r>
          </w:p>
        </w:tc>
        <w:tc>
          <w:tcPr>
            <w:tcW w:w="9145" w:type="dxa"/>
            <w:gridSpan w:val="2"/>
            <w:noWrap/>
            <w:vAlign w:val="center"/>
          </w:tcPr>
          <w:p w14:paraId="3DE93D5B">
            <w:pPr>
              <w:spacing w:line="276" w:lineRule="auto"/>
              <w:jc w:val="center"/>
              <w:rPr>
                <w:rFonts w:hint="eastAsia" w:cs="宋体"/>
                <w:b/>
                <w:szCs w:val="21"/>
              </w:rPr>
            </w:pPr>
            <w:r>
              <w:rPr>
                <w:rFonts w:hint="eastAsia" w:cs="宋体"/>
                <w:b/>
                <w:szCs w:val="21"/>
              </w:rPr>
              <w:t>评 审 内 容 及 标 准</w:t>
            </w:r>
          </w:p>
        </w:tc>
      </w:tr>
      <w:tr w14:paraId="045AF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restart"/>
            <w:noWrap/>
            <w:vAlign w:val="center"/>
          </w:tcPr>
          <w:p w14:paraId="32B0E21E">
            <w:pPr>
              <w:spacing w:line="276" w:lineRule="auto"/>
              <w:jc w:val="center"/>
              <w:rPr>
                <w:rFonts w:hint="eastAsia" w:cs="宋体"/>
                <w:b/>
                <w:bCs/>
                <w:szCs w:val="21"/>
              </w:rPr>
            </w:pPr>
            <w:r>
              <w:rPr>
                <w:rFonts w:hint="eastAsia" w:cs="宋体"/>
                <w:b/>
                <w:bCs/>
                <w:szCs w:val="21"/>
              </w:rPr>
              <w:t>资格评审标准</w:t>
            </w:r>
          </w:p>
        </w:tc>
        <w:tc>
          <w:tcPr>
            <w:tcW w:w="567" w:type="dxa"/>
            <w:noWrap/>
            <w:vAlign w:val="center"/>
          </w:tcPr>
          <w:p w14:paraId="46DF6121">
            <w:pPr>
              <w:spacing w:line="276" w:lineRule="auto"/>
              <w:jc w:val="center"/>
              <w:rPr>
                <w:rFonts w:hint="eastAsia" w:cs="宋体"/>
                <w:b/>
                <w:szCs w:val="21"/>
              </w:rPr>
            </w:pPr>
            <w:r>
              <w:rPr>
                <w:rFonts w:hint="eastAsia" w:cs="宋体"/>
                <w:b/>
                <w:szCs w:val="21"/>
              </w:rPr>
              <w:t>1</w:t>
            </w:r>
          </w:p>
        </w:tc>
        <w:tc>
          <w:tcPr>
            <w:tcW w:w="8578" w:type="dxa"/>
            <w:vAlign w:val="center"/>
          </w:tcPr>
          <w:p w14:paraId="029E0CBA">
            <w:pPr>
              <w:spacing w:line="276" w:lineRule="auto"/>
              <w:rPr>
                <w:rFonts w:hint="eastAsia" w:cs="宋体"/>
                <w:b/>
                <w:szCs w:val="21"/>
              </w:rPr>
            </w:pPr>
            <w:r>
              <w:rPr>
                <w:rFonts w:hint="eastAsia" w:cs="宋体"/>
                <w:b/>
                <w:szCs w:val="21"/>
              </w:rPr>
              <w:t>投标人应当符合《中华人民共和国政府采购法》第二十二条规定的条件，并提供下列材料：</w:t>
            </w:r>
          </w:p>
        </w:tc>
      </w:tr>
      <w:tr w14:paraId="11ABF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30E781A5">
            <w:pPr>
              <w:spacing w:line="276" w:lineRule="auto"/>
              <w:jc w:val="center"/>
              <w:rPr>
                <w:rFonts w:hint="eastAsia" w:cs="宋体"/>
                <w:szCs w:val="21"/>
              </w:rPr>
            </w:pPr>
          </w:p>
        </w:tc>
        <w:tc>
          <w:tcPr>
            <w:tcW w:w="567" w:type="dxa"/>
            <w:noWrap/>
            <w:vAlign w:val="center"/>
          </w:tcPr>
          <w:p w14:paraId="3C656947">
            <w:pPr>
              <w:spacing w:line="276" w:lineRule="auto"/>
              <w:jc w:val="center"/>
              <w:rPr>
                <w:rFonts w:hint="eastAsia" w:cs="宋体"/>
                <w:szCs w:val="21"/>
              </w:rPr>
            </w:pPr>
            <w:r>
              <w:rPr>
                <w:rFonts w:hint="eastAsia" w:cs="宋体"/>
                <w:szCs w:val="21"/>
              </w:rPr>
              <w:t>1.1</w:t>
            </w:r>
          </w:p>
        </w:tc>
        <w:tc>
          <w:tcPr>
            <w:tcW w:w="8578" w:type="dxa"/>
            <w:noWrap/>
            <w:vAlign w:val="center"/>
          </w:tcPr>
          <w:p w14:paraId="1984AB4A">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tc>
      </w:tr>
      <w:tr w14:paraId="060C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CAE0E61">
            <w:pPr>
              <w:spacing w:line="276" w:lineRule="auto"/>
              <w:jc w:val="center"/>
              <w:rPr>
                <w:rFonts w:hint="eastAsia" w:cs="宋体"/>
                <w:szCs w:val="21"/>
              </w:rPr>
            </w:pPr>
          </w:p>
        </w:tc>
        <w:tc>
          <w:tcPr>
            <w:tcW w:w="567" w:type="dxa"/>
            <w:noWrap/>
            <w:vAlign w:val="center"/>
          </w:tcPr>
          <w:p w14:paraId="0C6A5D22">
            <w:pPr>
              <w:spacing w:line="276" w:lineRule="auto"/>
              <w:jc w:val="center"/>
              <w:rPr>
                <w:rFonts w:hint="eastAsia" w:cs="宋体"/>
                <w:szCs w:val="21"/>
              </w:rPr>
            </w:pPr>
            <w:r>
              <w:rPr>
                <w:rFonts w:hint="eastAsia" w:cs="宋体"/>
                <w:szCs w:val="21"/>
              </w:rPr>
              <w:t>1.2</w:t>
            </w:r>
          </w:p>
        </w:tc>
        <w:tc>
          <w:tcPr>
            <w:tcW w:w="8578" w:type="dxa"/>
            <w:noWrap/>
            <w:vAlign w:val="center"/>
          </w:tcPr>
          <w:p w14:paraId="6783962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3E25185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30245D5C">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7E1E6763">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F71406A">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66C121A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1A3533AD">
            <w:pPr>
              <w:pStyle w:val="23"/>
              <w:rPr>
                <w:rFonts w:hint="eastAsia" w:cs="宋体"/>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3EB50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F2D2036">
            <w:pPr>
              <w:spacing w:line="276" w:lineRule="auto"/>
              <w:jc w:val="center"/>
              <w:rPr>
                <w:rFonts w:hint="eastAsia" w:cs="宋体"/>
                <w:szCs w:val="21"/>
              </w:rPr>
            </w:pPr>
          </w:p>
        </w:tc>
        <w:tc>
          <w:tcPr>
            <w:tcW w:w="567" w:type="dxa"/>
            <w:noWrap/>
            <w:vAlign w:val="center"/>
          </w:tcPr>
          <w:p w14:paraId="21396853">
            <w:pPr>
              <w:spacing w:line="276" w:lineRule="auto"/>
              <w:jc w:val="center"/>
              <w:rPr>
                <w:rFonts w:hint="eastAsia" w:cs="宋体"/>
                <w:szCs w:val="21"/>
              </w:rPr>
            </w:pPr>
            <w:r>
              <w:rPr>
                <w:rFonts w:hint="eastAsia" w:cs="宋体"/>
                <w:szCs w:val="21"/>
              </w:rPr>
              <w:t>1.3</w:t>
            </w:r>
          </w:p>
        </w:tc>
        <w:tc>
          <w:tcPr>
            <w:tcW w:w="8578" w:type="dxa"/>
            <w:noWrap/>
            <w:vAlign w:val="center"/>
          </w:tcPr>
          <w:p w14:paraId="3263EE2D">
            <w:pPr>
              <w:autoSpaceDE w:val="0"/>
              <w:autoSpaceDN w:val="0"/>
              <w:snapToGrid w:val="0"/>
              <w:textAlignment w:val="bottom"/>
              <w:rPr>
                <w:rFonts w:hint="eastAsia" w:cs="宋体"/>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0AEA3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B77B91">
            <w:pPr>
              <w:spacing w:line="276" w:lineRule="auto"/>
              <w:rPr>
                <w:rFonts w:hint="eastAsia" w:cs="宋体"/>
                <w:szCs w:val="21"/>
              </w:rPr>
            </w:pPr>
          </w:p>
        </w:tc>
        <w:tc>
          <w:tcPr>
            <w:tcW w:w="567" w:type="dxa"/>
            <w:noWrap/>
            <w:vAlign w:val="center"/>
          </w:tcPr>
          <w:p w14:paraId="140C44A4">
            <w:pPr>
              <w:spacing w:line="276" w:lineRule="auto"/>
              <w:jc w:val="center"/>
              <w:rPr>
                <w:rFonts w:hint="eastAsia" w:cs="宋体"/>
                <w:szCs w:val="21"/>
              </w:rPr>
            </w:pPr>
            <w:r>
              <w:rPr>
                <w:rFonts w:hint="eastAsia" w:cs="宋体"/>
                <w:szCs w:val="21"/>
              </w:rPr>
              <w:t>1.4</w:t>
            </w:r>
          </w:p>
        </w:tc>
        <w:tc>
          <w:tcPr>
            <w:tcW w:w="8578" w:type="dxa"/>
            <w:noWrap/>
            <w:vAlign w:val="center"/>
          </w:tcPr>
          <w:p w14:paraId="35B20EB0">
            <w:pPr>
              <w:wordWrap w:val="0"/>
              <w:rPr>
                <w:rFonts w:hint="eastAsia" w:cs="宋体"/>
                <w:b/>
                <w:color w:val="000000" w:themeColor="text1"/>
                <w:szCs w:val="21"/>
                <w14:textFill>
                  <w14:solidFill>
                    <w14:schemeClr w14:val="tx1"/>
                  </w14:solidFill>
                </w14:textFill>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11AC2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566E6038">
            <w:pPr>
              <w:spacing w:line="276" w:lineRule="auto"/>
              <w:rPr>
                <w:rFonts w:hint="eastAsia" w:cs="宋体"/>
                <w:szCs w:val="21"/>
              </w:rPr>
            </w:pPr>
          </w:p>
        </w:tc>
        <w:tc>
          <w:tcPr>
            <w:tcW w:w="567" w:type="dxa"/>
            <w:noWrap/>
            <w:vAlign w:val="center"/>
          </w:tcPr>
          <w:p w14:paraId="636E27FF">
            <w:pPr>
              <w:spacing w:line="276" w:lineRule="auto"/>
              <w:jc w:val="center"/>
              <w:rPr>
                <w:rFonts w:hint="eastAsia" w:cs="宋体"/>
                <w:szCs w:val="21"/>
              </w:rPr>
            </w:pPr>
            <w:r>
              <w:rPr>
                <w:rFonts w:hint="eastAsia" w:cs="宋体"/>
                <w:szCs w:val="21"/>
              </w:rPr>
              <w:t>1.5</w:t>
            </w:r>
          </w:p>
        </w:tc>
        <w:tc>
          <w:tcPr>
            <w:tcW w:w="8578" w:type="dxa"/>
            <w:noWrap/>
            <w:vAlign w:val="center"/>
          </w:tcPr>
          <w:p w14:paraId="140151CF">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tc>
      </w:tr>
      <w:tr w14:paraId="78237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3B29515">
            <w:pPr>
              <w:spacing w:line="276" w:lineRule="auto"/>
              <w:rPr>
                <w:rFonts w:hint="eastAsia" w:cs="宋体"/>
                <w:szCs w:val="21"/>
              </w:rPr>
            </w:pPr>
          </w:p>
        </w:tc>
        <w:tc>
          <w:tcPr>
            <w:tcW w:w="567" w:type="dxa"/>
            <w:noWrap/>
            <w:vAlign w:val="center"/>
          </w:tcPr>
          <w:p w14:paraId="450E1168">
            <w:pPr>
              <w:spacing w:line="276" w:lineRule="auto"/>
              <w:jc w:val="center"/>
              <w:rPr>
                <w:rFonts w:hint="eastAsia" w:cs="宋体"/>
                <w:szCs w:val="21"/>
              </w:rPr>
            </w:pPr>
            <w:r>
              <w:rPr>
                <w:rFonts w:hint="eastAsia" w:cs="宋体"/>
                <w:szCs w:val="21"/>
              </w:rPr>
              <w:t>1.6</w:t>
            </w:r>
          </w:p>
        </w:tc>
        <w:tc>
          <w:tcPr>
            <w:tcW w:w="8578" w:type="dxa"/>
            <w:noWrap/>
            <w:vAlign w:val="center"/>
          </w:tcPr>
          <w:p w14:paraId="47BEA743">
            <w:pPr>
              <w:jc w:val="left"/>
              <w:rPr>
                <w:rFonts w:hint="eastAsia" w:cs="宋体"/>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2DE93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4CEA531">
            <w:pPr>
              <w:spacing w:line="276" w:lineRule="auto"/>
              <w:rPr>
                <w:rFonts w:hint="eastAsia" w:cs="宋体"/>
                <w:szCs w:val="21"/>
              </w:rPr>
            </w:pPr>
          </w:p>
        </w:tc>
        <w:tc>
          <w:tcPr>
            <w:tcW w:w="567" w:type="dxa"/>
            <w:noWrap/>
            <w:vAlign w:val="center"/>
          </w:tcPr>
          <w:p w14:paraId="06A3FF94">
            <w:pPr>
              <w:spacing w:line="276" w:lineRule="auto"/>
              <w:jc w:val="center"/>
              <w:rPr>
                <w:rFonts w:hint="eastAsia" w:cs="宋体"/>
                <w:b/>
                <w:bCs/>
                <w:szCs w:val="21"/>
              </w:rPr>
            </w:pPr>
            <w:r>
              <w:rPr>
                <w:rFonts w:hint="eastAsia" w:cs="宋体"/>
                <w:b/>
                <w:bCs/>
                <w:szCs w:val="21"/>
              </w:rPr>
              <w:t>2</w:t>
            </w:r>
          </w:p>
        </w:tc>
        <w:tc>
          <w:tcPr>
            <w:tcW w:w="8578" w:type="dxa"/>
            <w:noWrap/>
            <w:vAlign w:val="center"/>
          </w:tcPr>
          <w:p w14:paraId="5C907BC6">
            <w:pPr>
              <w:jc w:val="left"/>
              <w:rPr>
                <w:rFonts w:hint="eastAsia" w:cs="宋体"/>
                <w:b/>
                <w:bCs/>
                <w:szCs w:val="21"/>
              </w:rPr>
            </w:pPr>
            <w:r>
              <w:rPr>
                <w:rFonts w:hint="eastAsia" w:cs="宋体"/>
                <w:b/>
                <w:bCs/>
                <w:szCs w:val="21"/>
              </w:rPr>
              <w:t>落实政府采购政策需满足的资格要求：本项目非专门面向中小企业采购项目</w:t>
            </w:r>
            <w:r>
              <w:rPr>
                <w:rFonts w:hint="eastAsia" w:cs="宋体"/>
                <w:b/>
                <w:bCs/>
                <w:kern w:val="0"/>
                <w:szCs w:val="21"/>
              </w:rPr>
              <w:t>，</w:t>
            </w:r>
            <w:r>
              <w:rPr>
                <w:rFonts w:cs="宋体"/>
                <w:b/>
                <w:bCs/>
                <w:kern w:val="0"/>
                <w:szCs w:val="21"/>
              </w:rPr>
              <w:t>小微企业价格扣除优惠比例:10%</w:t>
            </w:r>
            <w:r>
              <w:rPr>
                <w:rFonts w:hint="eastAsia" w:cs="宋体"/>
                <w:b/>
                <w:bCs/>
                <w:kern w:val="0"/>
                <w:szCs w:val="21"/>
              </w:rPr>
              <w:t>。</w:t>
            </w:r>
          </w:p>
        </w:tc>
      </w:tr>
      <w:tr w14:paraId="5B446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681B69E8">
            <w:pPr>
              <w:spacing w:line="276" w:lineRule="auto"/>
              <w:rPr>
                <w:rFonts w:hint="eastAsia" w:cs="宋体"/>
                <w:szCs w:val="21"/>
              </w:rPr>
            </w:pPr>
          </w:p>
        </w:tc>
        <w:tc>
          <w:tcPr>
            <w:tcW w:w="567" w:type="dxa"/>
            <w:noWrap/>
            <w:vAlign w:val="center"/>
          </w:tcPr>
          <w:p w14:paraId="7EBAD9E5">
            <w:pPr>
              <w:spacing w:line="276" w:lineRule="auto"/>
              <w:jc w:val="center"/>
              <w:rPr>
                <w:rFonts w:hint="eastAsia" w:cs="宋体"/>
                <w:b/>
                <w:bCs/>
                <w:szCs w:val="21"/>
              </w:rPr>
            </w:pPr>
            <w:r>
              <w:rPr>
                <w:rFonts w:hint="eastAsia" w:cs="宋体"/>
                <w:b/>
                <w:bCs/>
                <w:szCs w:val="21"/>
              </w:rPr>
              <w:t>3</w:t>
            </w:r>
          </w:p>
        </w:tc>
        <w:tc>
          <w:tcPr>
            <w:tcW w:w="8578" w:type="dxa"/>
            <w:noWrap/>
            <w:vAlign w:val="center"/>
          </w:tcPr>
          <w:p w14:paraId="6146269E">
            <w:pPr>
              <w:spacing w:line="276" w:lineRule="auto"/>
              <w:jc w:val="left"/>
              <w:rPr>
                <w:rFonts w:hint="eastAsia" w:cs="宋体"/>
                <w:bCs/>
                <w:szCs w:val="21"/>
              </w:rPr>
            </w:pPr>
            <w:r>
              <w:rPr>
                <w:rFonts w:hint="eastAsia" w:cs="宋体"/>
                <w:b/>
                <w:szCs w:val="21"/>
              </w:rPr>
              <w:t>投标人应符合采购人根据采购项目的特殊要求规定的特定条件：</w:t>
            </w:r>
          </w:p>
        </w:tc>
      </w:tr>
      <w:tr w14:paraId="6CC7B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03B52A">
            <w:pPr>
              <w:spacing w:line="276" w:lineRule="auto"/>
              <w:rPr>
                <w:rFonts w:hint="eastAsia" w:cs="宋体"/>
                <w:szCs w:val="21"/>
              </w:rPr>
            </w:pPr>
          </w:p>
        </w:tc>
        <w:tc>
          <w:tcPr>
            <w:tcW w:w="567" w:type="dxa"/>
            <w:noWrap/>
            <w:vAlign w:val="center"/>
          </w:tcPr>
          <w:p w14:paraId="2349E44D">
            <w:pPr>
              <w:spacing w:line="276" w:lineRule="auto"/>
              <w:jc w:val="center"/>
              <w:rPr>
                <w:rFonts w:hint="eastAsia" w:cs="宋体"/>
                <w:b/>
                <w:bCs/>
                <w:szCs w:val="21"/>
              </w:rPr>
            </w:pPr>
            <w:r>
              <w:rPr>
                <w:rFonts w:hint="eastAsia" w:cs="宋体"/>
                <w:b/>
                <w:bCs/>
                <w:szCs w:val="21"/>
              </w:rPr>
              <w:t>3.1</w:t>
            </w:r>
          </w:p>
        </w:tc>
        <w:tc>
          <w:tcPr>
            <w:tcW w:w="8578" w:type="dxa"/>
            <w:noWrap/>
            <w:vAlign w:val="center"/>
          </w:tcPr>
          <w:p w14:paraId="64C821DB">
            <w:pPr>
              <w:jc w:val="left"/>
              <w:rPr>
                <w:rFonts w:hint="eastAsia" w:cs="宋体"/>
                <w:szCs w:val="21"/>
              </w:rPr>
            </w:pPr>
            <w:r>
              <w:rPr>
                <w:rFonts w:hint="eastAsia" w:cs="宋体"/>
                <w:b/>
                <w:bCs/>
                <w:color w:val="000000" w:themeColor="text1"/>
                <w:szCs w:val="21"/>
                <w14:textFill>
                  <w14:solidFill>
                    <w14:schemeClr w14:val="tx1"/>
                  </w14:solidFill>
                </w14:textFill>
              </w:rPr>
              <w:t>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tc>
      </w:tr>
      <w:tr w14:paraId="139A2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69754096">
            <w:pPr>
              <w:spacing w:line="276" w:lineRule="auto"/>
              <w:rPr>
                <w:rFonts w:hint="eastAsia" w:cs="宋体"/>
                <w:szCs w:val="21"/>
              </w:rPr>
            </w:pPr>
          </w:p>
        </w:tc>
        <w:tc>
          <w:tcPr>
            <w:tcW w:w="567" w:type="dxa"/>
            <w:noWrap/>
            <w:vAlign w:val="center"/>
          </w:tcPr>
          <w:p w14:paraId="523BA7F6">
            <w:pPr>
              <w:spacing w:line="276" w:lineRule="auto"/>
              <w:jc w:val="center"/>
              <w:rPr>
                <w:rFonts w:hint="eastAsia" w:cs="宋体"/>
                <w:b/>
                <w:bCs/>
                <w:szCs w:val="21"/>
              </w:rPr>
            </w:pPr>
            <w:r>
              <w:rPr>
                <w:rFonts w:hint="eastAsia" w:cs="宋体"/>
                <w:b/>
                <w:bCs/>
                <w:szCs w:val="21"/>
              </w:rPr>
              <w:t>3.2</w:t>
            </w:r>
          </w:p>
        </w:tc>
        <w:tc>
          <w:tcPr>
            <w:tcW w:w="8578" w:type="dxa"/>
            <w:noWrap/>
            <w:vAlign w:val="center"/>
          </w:tcPr>
          <w:p w14:paraId="55A770AB">
            <w:pPr>
              <w:jc w:val="left"/>
              <w:rPr>
                <w:rFonts w:hint="eastAsia" w:cs="宋体"/>
                <w:b/>
                <w:szCs w:val="21"/>
              </w:rPr>
            </w:pPr>
            <w:r>
              <w:rPr>
                <w:rFonts w:hint="eastAsia" w:cs="宋体"/>
                <w:szCs w:val="21"/>
              </w:rPr>
              <w:t>单位负责人为同一人或者存在直接控股、管理关系的不同投标人，不得参加同一合同项下的政府采购活动。</w:t>
            </w:r>
          </w:p>
        </w:tc>
      </w:tr>
      <w:tr w14:paraId="5F8F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B629E63">
            <w:pPr>
              <w:spacing w:line="276" w:lineRule="auto"/>
              <w:rPr>
                <w:rFonts w:hint="eastAsia" w:cs="宋体"/>
                <w:szCs w:val="21"/>
              </w:rPr>
            </w:pPr>
          </w:p>
        </w:tc>
        <w:tc>
          <w:tcPr>
            <w:tcW w:w="567" w:type="dxa"/>
            <w:noWrap/>
            <w:vAlign w:val="center"/>
          </w:tcPr>
          <w:p w14:paraId="316305C5">
            <w:pPr>
              <w:spacing w:line="276" w:lineRule="auto"/>
              <w:jc w:val="center"/>
              <w:rPr>
                <w:rFonts w:hint="eastAsia" w:cs="宋体"/>
                <w:b/>
                <w:bCs/>
                <w:szCs w:val="21"/>
              </w:rPr>
            </w:pPr>
            <w:r>
              <w:rPr>
                <w:rFonts w:hint="eastAsia" w:cs="宋体"/>
                <w:b/>
                <w:bCs/>
                <w:szCs w:val="21"/>
              </w:rPr>
              <w:t>3.3</w:t>
            </w:r>
          </w:p>
        </w:tc>
        <w:tc>
          <w:tcPr>
            <w:tcW w:w="8578" w:type="dxa"/>
            <w:noWrap/>
            <w:vAlign w:val="center"/>
          </w:tcPr>
          <w:p w14:paraId="3EE12D2F">
            <w:pPr>
              <w:rPr>
                <w:rFonts w:hint="eastAsia" w:cs="宋体"/>
                <w:b/>
                <w:szCs w:val="21"/>
              </w:rPr>
            </w:pP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tc>
      </w:tr>
      <w:tr w14:paraId="18E4E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17" w:type="dxa"/>
            <w:vMerge w:val="continue"/>
            <w:noWrap/>
            <w:vAlign w:val="center"/>
          </w:tcPr>
          <w:p w14:paraId="15248D3C">
            <w:pPr>
              <w:spacing w:line="276" w:lineRule="auto"/>
              <w:rPr>
                <w:rFonts w:hint="eastAsia" w:cs="宋体"/>
                <w:szCs w:val="21"/>
              </w:rPr>
            </w:pPr>
          </w:p>
        </w:tc>
        <w:tc>
          <w:tcPr>
            <w:tcW w:w="567" w:type="dxa"/>
            <w:noWrap/>
            <w:vAlign w:val="center"/>
          </w:tcPr>
          <w:p w14:paraId="364AF4EA">
            <w:pPr>
              <w:spacing w:line="276" w:lineRule="auto"/>
              <w:jc w:val="center"/>
              <w:rPr>
                <w:rFonts w:hint="eastAsia" w:cs="宋体"/>
                <w:b/>
                <w:bCs/>
                <w:szCs w:val="21"/>
              </w:rPr>
            </w:pPr>
            <w:r>
              <w:rPr>
                <w:rFonts w:hint="eastAsia" w:cs="宋体"/>
                <w:b/>
                <w:bCs/>
                <w:szCs w:val="21"/>
              </w:rPr>
              <w:t>3.4</w:t>
            </w:r>
          </w:p>
        </w:tc>
        <w:tc>
          <w:tcPr>
            <w:tcW w:w="8578" w:type="dxa"/>
            <w:noWrap/>
            <w:vAlign w:val="center"/>
          </w:tcPr>
          <w:p w14:paraId="74A27EBC">
            <w:pPr>
              <w:rPr>
                <w:rFonts w:hint="eastAsia" w:cs="宋体"/>
                <w:szCs w:val="21"/>
              </w:rPr>
            </w:pP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tc>
      </w:tr>
      <w:tr w14:paraId="1EA9A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20B0FBD6">
            <w:pPr>
              <w:spacing w:line="276" w:lineRule="auto"/>
              <w:rPr>
                <w:rFonts w:hint="eastAsia" w:cs="宋体"/>
                <w:szCs w:val="21"/>
              </w:rPr>
            </w:pPr>
          </w:p>
        </w:tc>
        <w:tc>
          <w:tcPr>
            <w:tcW w:w="567" w:type="dxa"/>
            <w:noWrap/>
            <w:vAlign w:val="center"/>
          </w:tcPr>
          <w:p w14:paraId="40BA121D">
            <w:pPr>
              <w:spacing w:line="276" w:lineRule="auto"/>
              <w:jc w:val="center"/>
              <w:rPr>
                <w:rFonts w:hint="eastAsia" w:cs="宋体"/>
                <w:b/>
                <w:bCs/>
                <w:szCs w:val="21"/>
              </w:rPr>
            </w:pPr>
            <w:r>
              <w:rPr>
                <w:rFonts w:hint="eastAsia" w:cs="宋体"/>
                <w:b/>
                <w:bCs/>
                <w:szCs w:val="21"/>
              </w:rPr>
              <w:t>3</w:t>
            </w:r>
            <w:r>
              <w:rPr>
                <w:rFonts w:cs="宋体"/>
                <w:b/>
                <w:bCs/>
                <w:szCs w:val="21"/>
              </w:rPr>
              <w:t>.</w:t>
            </w:r>
            <w:r>
              <w:rPr>
                <w:rFonts w:hint="eastAsia" w:cs="宋体"/>
                <w:b/>
                <w:bCs/>
                <w:szCs w:val="21"/>
              </w:rPr>
              <w:t>5</w:t>
            </w:r>
          </w:p>
        </w:tc>
        <w:tc>
          <w:tcPr>
            <w:tcW w:w="8578" w:type="dxa"/>
            <w:noWrap/>
            <w:vAlign w:val="center"/>
          </w:tcPr>
          <w:p w14:paraId="3D55C66A">
            <w:pPr>
              <w:spacing w:line="276" w:lineRule="auto"/>
              <w:jc w:val="left"/>
              <w:rPr>
                <w:rFonts w:hint="eastAsia" w:cs="宋体"/>
                <w:sz w:val="24"/>
              </w:rPr>
            </w:pPr>
            <w:r>
              <w:rPr>
                <w:rFonts w:hint="eastAsia" w:cs="宋体"/>
                <w:szCs w:val="21"/>
              </w:rPr>
              <w:t>本项目不接受联合体投标。</w:t>
            </w:r>
          </w:p>
        </w:tc>
      </w:tr>
    </w:tbl>
    <w:p w14:paraId="6EB3C198">
      <w:pPr>
        <w:widowControl/>
        <w:jc w:val="left"/>
        <w:rPr>
          <w:rFonts w:hint="eastAsia" w:cs="宋体"/>
          <w:kern w:val="44"/>
          <w:sz w:val="36"/>
          <w:szCs w:val="20"/>
        </w:rPr>
      </w:pPr>
      <w:r>
        <w:rPr>
          <w:rFonts w:hint="eastAsia" w:cs="宋体"/>
          <w:b/>
          <w:sz w:val="36"/>
        </w:rPr>
        <w:br w:type="page"/>
      </w:r>
    </w:p>
    <w:p w14:paraId="5634322A">
      <w:pPr>
        <w:pStyle w:val="3"/>
        <w:numPr>
          <w:ilvl w:val="0"/>
          <w:numId w:val="0"/>
        </w:numPr>
        <w:spacing w:line="240" w:lineRule="auto"/>
        <w:jc w:val="center"/>
        <w:rPr>
          <w:rFonts w:hint="eastAsia" w:eastAsia="宋体" w:cs="宋体"/>
          <w:bCs/>
          <w:sz w:val="36"/>
        </w:rPr>
      </w:pPr>
      <w:bookmarkStart w:id="474" w:name="_Toc2667"/>
      <w:bookmarkStart w:id="475" w:name="_Toc7070"/>
      <w:bookmarkStart w:id="476" w:name="_Toc9285"/>
      <w:r>
        <w:rPr>
          <w:rFonts w:hint="eastAsia" w:eastAsia="宋体" w:cs="宋体"/>
          <w:bCs/>
          <w:sz w:val="36"/>
        </w:rPr>
        <w:t>第七章  评标办法</w:t>
      </w:r>
      <w:bookmarkEnd w:id="459"/>
      <w:bookmarkEnd w:id="460"/>
      <w:bookmarkEnd w:id="474"/>
      <w:bookmarkEnd w:id="475"/>
      <w:bookmarkEnd w:id="476"/>
    </w:p>
    <w:p w14:paraId="5634322B">
      <w:pPr>
        <w:jc w:val="center"/>
        <w:outlineLvl w:val="1"/>
        <w:rPr>
          <w:rFonts w:hint="eastAsia" w:cs="宋体"/>
          <w:b/>
          <w:bCs/>
          <w:sz w:val="28"/>
          <w:szCs w:val="28"/>
        </w:rPr>
      </w:pPr>
      <w:bookmarkStart w:id="477" w:name="_Toc6843"/>
      <w:bookmarkStart w:id="478" w:name="_Toc125986524"/>
      <w:bookmarkStart w:id="479" w:name="_Toc326218110"/>
      <w:bookmarkStart w:id="480" w:name="_Toc514663419"/>
      <w:bookmarkStart w:id="481" w:name="_Toc18400"/>
      <w:bookmarkStart w:id="482" w:name="_Toc139357100"/>
      <w:bookmarkStart w:id="483" w:name="_Toc28985"/>
      <w:bookmarkStart w:id="484" w:name="_Hlk17287793"/>
      <w:r>
        <w:rPr>
          <w:rFonts w:hint="eastAsia" w:cs="宋体"/>
          <w:b/>
          <w:bCs/>
          <w:sz w:val="28"/>
          <w:szCs w:val="28"/>
        </w:rPr>
        <w:t>评标办法前附表</w:t>
      </w:r>
      <w:bookmarkEnd w:id="477"/>
      <w:bookmarkEnd w:id="478"/>
      <w:bookmarkEnd w:id="479"/>
      <w:bookmarkEnd w:id="480"/>
      <w:bookmarkEnd w:id="481"/>
      <w:bookmarkEnd w:id="482"/>
      <w:bookmarkEnd w:id="483"/>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34"/>
        <w:gridCol w:w="1134"/>
        <w:gridCol w:w="1559"/>
        <w:gridCol w:w="6735"/>
      </w:tblGrid>
      <w:tr w14:paraId="563432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2C">
            <w:pPr>
              <w:jc w:val="center"/>
              <w:rPr>
                <w:rFonts w:hint="eastAsia" w:cs="宋体"/>
                <w:b/>
                <w:szCs w:val="21"/>
              </w:rPr>
            </w:pPr>
            <w:r>
              <w:rPr>
                <w:rFonts w:hint="eastAsia" w:cs="宋体"/>
                <w:b/>
                <w:szCs w:val="21"/>
              </w:rPr>
              <w:t>条款号</w:t>
            </w:r>
          </w:p>
        </w:tc>
        <w:tc>
          <w:tcPr>
            <w:tcW w:w="8294" w:type="dxa"/>
            <w:gridSpan w:val="2"/>
            <w:noWrap/>
            <w:vAlign w:val="center"/>
          </w:tcPr>
          <w:p w14:paraId="5634322D">
            <w:pPr>
              <w:jc w:val="center"/>
              <w:rPr>
                <w:rFonts w:hint="eastAsia" w:cs="宋体"/>
                <w:b/>
                <w:szCs w:val="21"/>
              </w:rPr>
            </w:pPr>
            <w:r>
              <w:rPr>
                <w:rFonts w:hint="eastAsia" w:cs="宋体"/>
                <w:b/>
                <w:szCs w:val="21"/>
              </w:rPr>
              <w:t>评 审 内 容 及 标 准</w:t>
            </w:r>
          </w:p>
        </w:tc>
      </w:tr>
      <w:tr w14:paraId="563432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restart"/>
            <w:tcBorders>
              <w:right w:val="single" w:color="auto" w:sz="4" w:space="0"/>
            </w:tcBorders>
            <w:noWrap/>
            <w:vAlign w:val="center"/>
          </w:tcPr>
          <w:p w14:paraId="5634322F">
            <w:pPr>
              <w:jc w:val="center"/>
              <w:rPr>
                <w:rFonts w:hint="eastAsia" w:cs="宋体"/>
                <w:b/>
                <w:bCs/>
                <w:szCs w:val="21"/>
              </w:rPr>
            </w:pPr>
            <w:r>
              <w:rPr>
                <w:rFonts w:hint="eastAsia" w:cs="宋体"/>
                <w:b/>
                <w:bCs/>
                <w:szCs w:val="21"/>
              </w:rPr>
              <w:t>3.1</w:t>
            </w:r>
          </w:p>
        </w:tc>
        <w:tc>
          <w:tcPr>
            <w:tcW w:w="1134" w:type="dxa"/>
            <w:vMerge w:val="restart"/>
            <w:tcBorders>
              <w:left w:val="single" w:color="auto" w:sz="4" w:space="0"/>
            </w:tcBorders>
            <w:noWrap/>
            <w:vAlign w:val="center"/>
          </w:tcPr>
          <w:p w14:paraId="56343230">
            <w:pPr>
              <w:jc w:val="center"/>
              <w:rPr>
                <w:rFonts w:hint="eastAsia" w:cs="宋体"/>
                <w:b/>
                <w:bCs/>
                <w:szCs w:val="21"/>
              </w:rPr>
            </w:pPr>
            <w:r>
              <w:rPr>
                <w:rFonts w:hint="eastAsia" w:cs="宋体"/>
                <w:b/>
                <w:bCs/>
                <w:szCs w:val="21"/>
              </w:rPr>
              <w:t>符合性评审标准</w:t>
            </w:r>
          </w:p>
        </w:tc>
        <w:tc>
          <w:tcPr>
            <w:tcW w:w="1559" w:type="dxa"/>
            <w:noWrap/>
            <w:vAlign w:val="center"/>
          </w:tcPr>
          <w:p w14:paraId="56343231">
            <w:pPr>
              <w:jc w:val="center"/>
              <w:rPr>
                <w:rFonts w:hint="eastAsia" w:cs="宋体"/>
                <w:szCs w:val="21"/>
              </w:rPr>
            </w:pPr>
            <w:r>
              <w:rPr>
                <w:rFonts w:hint="eastAsia" w:cs="宋体"/>
                <w:szCs w:val="21"/>
              </w:rPr>
              <w:t>投标保证金</w:t>
            </w:r>
          </w:p>
        </w:tc>
        <w:tc>
          <w:tcPr>
            <w:tcW w:w="6735" w:type="dxa"/>
            <w:noWrap/>
            <w:vAlign w:val="center"/>
          </w:tcPr>
          <w:p w14:paraId="56343232">
            <w:pPr>
              <w:spacing w:before="100" w:beforeAutospacing="1" w:after="100" w:afterAutospacing="1"/>
              <w:jc w:val="left"/>
              <w:rPr>
                <w:rFonts w:hint="eastAsia" w:cs="宋体"/>
                <w:szCs w:val="21"/>
              </w:rPr>
            </w:pPr>
            <w:r>
              <w:rPr>
                <w:rFonts w:hint="eastAsia" w:cs="宋体"/>
                <w:szCs w:val="21"/>
              </w:rPr>
              <w:t>按照招标文件的规定提交投标保证金的；</w:t>
            </w:r>
          </w:p>
        </w:tc>
      </w:tr>
      <w:tr w14:paraId="5D9223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0F2D3E3">
            <w:pPr>
              <w:jc w:val="center"/>
              <w:rPr>
                <w:rFonts w:hint="eastAsia" w:cs="宋体"/>
                <w:b/>
                <w:bCs/>
                <w:szCs w:val="21"/>
              </w:rPr>
            </w:pPr>
          </w:p>
        </w:tc>
        <w:tc>
          <w:tcPr>
            <w:tcW w:w="1134" w:type="dxa"/>
            <w:vMerge w:val="continue"/>
            <w:tcBorders>
              <w:left w:val="single" w:color="auto" w:sz="4" w:space="0"/>
            </w:tcBorders>
            <w:noWrap/>
            <w:vAlign w:val="center"/>
          </w:tcPr>
          <w:p w14:paraId="0EB78A2D">
            <w:pPr>
              <w:jc w:val="center"/>
              <w:rPr>
                <w:rFonts w:hint="eastAsia" w:cs="宋体"/>
                <w:b/>
                <w:bCs/>
                <w:szCs w:val="21"/>
              </w:rPr>
            </w:pPr>
          </w:p>
        </w:tc>
        <w:tc>
          <w:tcPr>
            <w:tcW w:w="1559" w:type="dxa"/>
            <w:noWrap/>
            <w:vAlign w:val="center"/>
          </w:tcPr>
          <w:p w14:paraId="323CAA9A">
            <w:pPr>
              <w:jc w:val="center"/>
              <w:rPr>
                <w:rFonts w:hint="eastAsia" w:cs="宋体"/>
                <w:szCs w:val="21"/>
              </w:rPr>
            </w:pPr>
            <w:r>
              <w:rPr>
                <w:rFonts w:hint="eastAsia" w:cs="宋体"/>
                <w:szCs w:val="21"/>
              </w:rPr>
              <w:t>投标人名称</w:t>
            </w:r>
          </w:p>
        </w:tc>
        <w:tc>
          <w:tcPr>
            <w:tcW w:w="6735" w:type="dxa"/>
            <w:noWrap/>
            <w:vAlign w:val="center"/>
          </w:tcPr>
          <w:p w14:paraId="5C69B002">
            <w:pPr>
              <w:spacing w:before="100" w:beforeAutospacing="1" w:after="100" w:afterAutospacing="1"/>
              <w:jc w:val="left"/>
              <w:rPr>
                <w:rFonts w:hint="eastAsia" w:cs="宋体"/>
                <w:szCs w:val="21"/>
              </w:rPr>
            </w:pPr>
            <w:r>
              <w:rPr>
                <w:rFonts w:hint="eastAsia" w:cs="宋体"/>
                <w:color w:val="000000" w:themeColor="text1"/>
                <w:szCs w:val="21"/>
                <w14:textFill>
                  <w14:solidFill>
                    <w14:schemeClr w14:val="tx1"/>
                  </w14:solidFill>
                </w14:textFill>
              </w:rPr>
              <w:t>投标文件签章与政采云平台、营业执照登记（事业单位法人证书、个体工商户营业执照、自然人身份证）的名称一致；</w:t>
            </w:r>
          </w:p>
        </w:tc>
      </w:tr>
      <w:tr w14:paraId="563432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4">
            <w:pPr>
              <w:rPr>
                <w:rFonts w:hint="eastAsia" w:cs="宋体"/>
                <w:szCs w:val="21"/>
              </w:rPr>
            </w:pPr>
          </w:p>
        </w:tc>
        <w:tc>
          <w:tcPr>
            <w:tcW w:w="1134" w:type="dxa"/>
            <w:vMerge w:val="continue"/>
            <w:tcBorders>
              <w:left w:val="single" w:color="auto" w:sz="4" w:space="0"/>
            </w:tcBorders>
            <w:noWrap/>
            <w:vAlign w:val="center"/>
          </w:tcPr>
          <w:p w14:paraId="56343235">
            <w:pPr>
              <w:rPr>
                <w:rFonts w:hint="eastAsia" w:cs="宋体"/>
                <w:szCs w:val="21"/>
              </w:rPr>
            </w:pPr>
          </w:p>
        </w:tc>
        <w:tc>
          <w:tcPr>
            <w:tcW w:w="1559" w:type="dxa"/>
            <w:noWrap/>
            <w:vAlign w:val="center"/>
          </w:tcPr>
          <w:p w14:paraId="56343236">
            <w:pPr>
              <w:spacing w:before="100" w:beforeAutospacing="1" w:after="100" w:afterAutospacing="1"/>
              <w:jc w:val="center"/>
              <w:rPr>
                <w:rFonts w:hint="eastAsia" w:cs="宋体"/>
                <w:szCs w:val="21"/>
              </w:rPr>
            </w:pPr>
            <w:r>
              <w:rPr>
                <w:rFonts w:hint="eastAsia" w:cs="宋体"/>
                <w:szCs w:val="21"/>
              </w:rPr>
              <w:t>签署、盖章</w:t>
            </w:r>
          </w:p>
        </w:tc>
        <w:tc>
          <w:tcPr>
            <w:tcW w:w="6735" w:type="dxa"/>
            <w:noWrap/>
            <w:vAlign w:val="center"/>
          </w:tcPr>
          <w:p w14:paraId="56343237">
            <w:pPr>
              <w:spacing w:before="100" w:beforeAutospacing="1" w:after="100" w:afterAutospacing="1"/>
              <w:jc w:val="left"/>
              <w:rPr>
                <w:rFonts w:hint="eastAsia" w:cs="宋体"/>
                <w:szCs w:val="21"/>
              </w:rPr>
            </w:pPr>
            <w:r>
              <w:rPr>
                <w:rFonts w:hint="eastAsia" w:cs="宋体"/>
                <w:szCs w:val="21"/>
              </w:rPr>
              <w:t>投标文件按招标文件要求签署、盖章的；</w:t>
            </w:r>
          </w:p>
        </w:tc>
      </w:tr>
      <w:tr w14:paraId="56343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9">
            <w:pPr>
              <w:rPr>
                <w:rFonts w:hint="eastAsia" w:cs="宋体"/>
                <w:szCs w:val="21"/>
              </w:rPr>
            </w:pPr>
          </w:p>
        </w:tc>
        <w:tc>
          <w:tcPr>
            <w:tcW w:w="1134" w:type="dxa"/>
            <w:vMerge w:val="continue"/>
            <w:tcBorders>
              <w:left w:val="single" w:color="auto" w:sz="4" w:space="0"/>
            </w:tcBorders>
            <w:noWrap/>
            <w:vAlign w:val="center"/>
          </w:tcPr>
          <w:p w14:paraId="5634323A">
            <w:pPr>
              <w:rPr>
                <w:rFonts w:hint="eastAsia" w:cs="宋体"/>
                <w:szCs w:val="21"/>
              </w:rPr>
            </w:pPr>
          </w:p>
        </w:tc>
        <w:tc>
          <w:tcPr>
            <w:tcW w:w="1559" w:type="dxa"/>
            <w:noWrap/>
            <w:vAlign w:val="center"/>
          </w:tcPr>
          <w:p w14:paraId="5634323B">
            <w:pPr>
              <w:jc w:val="center"/>
              <w:rPr>
                <w:rFonts w:hint="eastAsia" w:cs="宋体"/>
                <w:szCs w:val="21"/>
              </w:rPr>
            </w:pPr>
            <w:r>
              <w:rPr>
                <w:rFonts w:hint="eastAsia" w:cs="宋体"/>
                <w:szCs w:val="21"/>
              </w:rPr>
              <w:t>投标总报价</w:t>
            </w:r>
          </w:p>
        </w:tc>
        <w:tc>
          <w:tcPr>
            <w:tcW w:w="6735" w:type="dxa"/>
            <w:noWrap/>
            <w:vAlign w:val="center"/>
          </w:tcPr>
          <w:p w14:paraId="5634323C">
            <w:pPr>
              <w:spacing w:before="100" w:beforeAutospacing="1" w:after="100" w:afterAutospacing="1"/>
              <w:jc w:val="left"/>
              <w:rPr>
                <w:rFonts w:hint="eastAsia" w:cs="宋体"/>
                <w:szCs w:val="21"/>
              </w:rPr>
            </w:pPr>
            <w:r>
              <w:rPr>
                <w:rFonts w:hint="eastAsia" w:cs="宋体"/>
                <w:szCs w:val="21"/>
              </w:rPr>
              <w:t>投标总报价未超过招标文件中规定的预算金额或者招标最高限价的；</w:t>
            </w:r>
          </w:p>
        </w:tc>
      </w:tr>
      <w:tr w14:paraId="563432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E">
            <w:pPr>
              <w:rPr>
                <w:rFonts w:hint="eastAsia" w:cs="宋体"/>
                <w:szCs w:val="21"/>
              </w:rPr>
            </w:pPr>
          </w:p>
        </w:tc>
        <w:tc>
          <w:tcPr>
            <w:tcW w:w="1134" w:type="dxa"/>
            <w:vMerge w:val="continue"/>
            <w:tcBorders>
              <w:left w:val="single" w:color="auto" w:sz="4" w:space="0"/>
            </w:tcBorders>
            <w:noWrap/>
            <w:vAlign w:val="center"/>
          </w:tcPr>
          <w:p w14:paraId="5634323F">
            <w:pPr>
              <w:rPr>
                <w:rFonts w:hint="eastAsia" w:cs="宋体"/>
                <w:szCs w:val="21"/>
              </w:rPr>
            </w:pPr>
          </w:p>
        </w:tc>
        <w:tc>
          <w:tcPr>
            <w:tcW w:w="1559" w:type="dxa"/>
            <w:noWrap/>
            <w:vAlign w:val="center"/>
          </w:tcPr>
          <w:p w14:paraId="56343240">
            <w:pPr>
              <w:spacing w:before="100" w:beforeAutospacing="1" w:after="100" w:afterAutospacing="1"/>
              <w:jc w:val="center"/>
              <w:rPr>
                <w:rFonts w:hint="eastAsia" w:cs="宋体"/>
                <w:szCs w:val="21"/>
              </w:rPr>
            </w:pPr>
            <w:r>
              <w:rPr>
                <w:rFonts w:hint="eastAsia" w:cs="宋体"/>
                <w:szCs w:val="21"/>
              </w:rPr>
              <w:t>实质性条件</w:t>
            </w:r>
          </w:p>
        </w:tc>
        <w:tc>
          <w:tcPr>
            <w:tcW w:w="6735" w:type="dxa"/>
            <w:noWrap/>
            <w:vAlign w:val="center"/>
          </w:tcPr>
          <w:p w14:paraId="56343241">
            <w:pPr>
              <w:spacing w:before="100" w:beforeAutospacing="1" w:after="100" w:afterAutospacing="1"/>
              <w:jc w:val="left"/>
              <w:rPr>
                <w:rFonts w:hint="eastAsia" w:cs="宋体"/>
                <w:szCs w:val="21"/>
              </w:rPr>
            </w:pPr>
            <w:r>
              <w:rPr>
                <w:rFonts w:hint="eastAsia" w:cs="宋体"/>
                <w:szCs w:val="21"/>
              </w:rPr>
              <w:t>实质性响应招标文件中标注★条款内容的；</w:t>
            </w:r>
          </w:p>
        </w:tc>
      </w:tr>
      <w:tr w14:paraId="5634324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43">
            <w:pPr>
              <w:rPr>
                <w:rFonts w:hint="eastAsia" w:cs="宋体"/>
                <w:szCs w:val="21"/>
              </w:rPr>
            </w:pPr>
          </w:p>
        </w:tc>
        <w:tc>
          <w:tcPr>
            <w:tcW w:w="1134" w:type="dxa"/>
            <w:vMerge w:val="continue"/>
            <w:tcBorders>
              <w:left w:val="single" w:color="auto" w:sz="4" w:space="0"/>
            </w:tcBorders>
            <w:noWrap/>
            <w:vAlign w:val="center"/>
          </w:tcPr>
          <w:p w14:paraId="56343244">
            <w:pPr>
              <w:rPr>
                <w:rFonts w:hint="eastAsia" w:cs="宋体"/>
                <w:szCs w:val="21"/>
              </w:rPr>
            </w:pPr>
          </w:p>
        </w:tc>
        <w:tc>
          <w:tcPr>
            <w:tcW w:w="1559" w:type="dxa"/>
            <w:noWrap/>
            <w:vAlign w:val="center"/>
          </w:tcPr>
          <w:p w14:paraId="56343245">
            <w:pPr>
              <w:jc w:val="center"/>
              <w:rPr>
                <w:rFonts w:hint="eastAsia" w:cs="宋体"/>
                <w:szCs w:val="21"/>
              </w:rPr>
            </w:pPr>
            <w:r>
              <w:rPr>
                <w:rFonts w:hint="eastAsia" w:cs="宋体"/>
                <w:szCs w:val="21"/>
              </w:rPr>
              <w:t>其他要求</w:t>
            </w:r>
          </w:p>
        </w:tc>
        <w:tc>
          <w:tcPr>
            <w:tcW w:w="6735" w:type="dxa"/>
            <w:noWrap/>
            <w:vAlign w:val="center"/>
          </w:tcPr>
          <w:p w14:paraId="56343246">
            <w:pPr>
              <w:spacing w:before="100" w:beforeAutospacing="1" w:after="100" w:afterAutospacing="1"/>
              <w:jc w:val="left"/>
              <w:rPr>
                <w:rFonts w:hint="eastAsia" w:cs="宋体"/>
                <w:szCs w:val="21"/>
              </w:rPr>
            </w:pPr>
            <w:r>
              <w:rPr>
                <w:rFonts w:hint="eastAsia" w:cs="宋体"/>
                <w:szCs w:val="21"/>
              </w:rPr>
              <w:t>投标文件未含有采购人不能接受的附加条件的，法律、法规和招标文件规定的其他无效情形。</w:t>
            </w:r>
          </w:p>
        </w:tc>
      </w:tr>
      <w:tr w14:paraId="563432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48">
            <w:pPr>
              <w:jc w:val="center"/>
              <w:rPr>
                <w:rFonts w:hint="eastAsia" w:cs="宋体"/>
                <w:szCs w:val="21"/>
              </w:rPr>
            </w:pPr>
            <w:r>
              <w:rPr>
                <w:rFonts w:hint="eastAsia" w:cs="宋体"/>
                <w:b/>
                <w:szCs w:val="21"/>
              </w:rPr>
              <w:t>条款号</w:t>
            </w:r>
          </w:p>
        </w:tc>
        <w:tc>
          <w:tcPr>
            <w:tcW w:w="1559" w:type="dxa"/>
            <w:noWrap/>
            <w:vAlign w:val="center"/>
          </w:tcPr>
          <w:p w14:paraId="56343249">
            <w:pPr>
              <w:jc w:val="center"/>
              <w:rPr>
                <w:rFonts w:hint="eastAsia" w:cs="宋体"/>
                <w:b/>
                <w:szCs w:val="21"/>
              </w:rPr>
            </w:pPr>
            <w:r>
              <w:rPr>
                <w:rFonts w:hint="eastAsia" w:cs="宋体"/>
                <w:b/>
                <w:szCs w:val="21"/>
              </w:rPr>
              <w:t>条款内容</w:t>
            </w:r>
          </w:p>
        </w:tc>
        <w:tc>
          <w:tcPr>
            <w:tcW w:w="6735" w:type="dxa"/>
            <w:noWrap/>
            <w:vAlign w:val="center"/>
          </w:tcPr>
          <w:p w14:paraId="5634324A">
            <w:pPr>
              <w:jc w:val="center"/>
              <w:rPr>
                <w:rFonts w:hint="eastAsia" w:cs="宋体"/>
                <w:b/>
                <w:szCs w:val="21"/>
              </w:rPr>
            </w:pPr>
            <w:r>
              <w:rPr>
                <w:rFonts w:hint="eastAsia" w:cs="宋体"/>
                <w:b/>
                <w:szCs w:val="21"/>
              </w:rPr>
              <w:t>编列内容</w:t>
            </w:r>
          </w:p>
        </w:tc>
      </w:tr>
      <w:tr w14:paraId="563432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restart"/>
            <w:noWrap/>
            <w:vAlign w:val="center"/>
          </w:tcPr>
          <w:p w14:paraId="5634324C">
            <w:pPr>
              <w:jc w:val="center"/>
              <w:rPr>
                <w:rFonts w:hint="eastAsia" w:cs="宋体"/>
                <w:b/>
                <w:bCs/>
                <w:szCs w:val="21"/>
              </w:rPr>
            </w:pPr>
            <w:r>
              <w:rPr>
                <w:rFonts w:hint="eastAsia" w:cs="宋体"/>
                <w:b/>
                <w:bCs/>
                <w:szCs w:val="21"/>
              </w:rPr>
              <w:t>3.2.1</w:t>
            </w:r>
          </w:p>
        </w:tc>
        <w:tc>
          <w:tcPr>
            <w:tcW w:w="1559" w:type="dxa"/>
            <w:vMerge w:val="restart"/>
            <w:noWrap/>
            <w:vAlign w:val="center"/>
          </w:tcPr>
          <w:p w14:paraId="5634324D">
            <w:pPr>
              <w:jc w:val="center"/>
              <w:rPr>
                <w:rFonts w:hint="eastAsia" w:cs="宋体"/>
                <w:b/>
                <w:bCs/>
                <w:szCs w:val="21"/>
              </w:rPr>
            </w:pPr>
            <w:r>
              <w:rPr>
                <w:rFonts w:hint="eastAsia" w:cs="宋体"/>
                <w:b/>
                <w:bCs/>
                <w:szCs w:val="21"/>
              </w:rPr>
              <w:t>分值构成</w:t>
            </w:r>
          </w:p>
          <w:p w14:paraId="5634324E">
            <w:pPr>
              <w:jc w:val="center"/>
              <w:rPr>
                <w:rFonts w:hint="eastAsia" w:cs="宋体"/>
                <w:szCs w:val="21"/>
              </w:rPr>
            </w:pPr>
            <w:r>
              <w:rPr>
                <w:rFonts w:hint="eastAsia" w:cs="宋体"/>
                <w:b/>
                <w:bCs/>
                <w:szCs w:val="21"/>
              </w:rPr>
              <w:t>（满分100分）</w:t>
            </w:r>
          </w:p>
        </w:tc>
        <w:tc>
          <w:tcPr>
            <w:tcW w:w="6735" w:type="dxa"/>
            <w:noWrap/>
            <w:vAlign w:val="center"/>
          </w:tcPr>
          <w:p w14:paraId="5634324F">
            <w:pPr>
              <w:rPr>
                <w:rFonts w:hint="eastAsia" w:cs="宋体"/>
                <w:szCs w:val="21"/>
              </w:rPr>
            </w:pPr>
            <w:r>
              <w:rPr>
                <w:rFonts w:hint="eastAsia" w:cs="宋体"/>
                <w:szCs w:val="21"/>
              </w:rPr>
              <w:t>投标人的评标总得分＝F1＋F2＋F3</w:t>
            </w:r>
          </w:p>
          <w:p w14:paraId="56343250">
            <w:pPr>
              <w:rPr>
                <w:rFonts w:hint="eastAsia" w:cs="宋体"/>
                <w:szCs w:val="21"/>
              </w:rPr>
            </w:pPr>
            <w:r>
              <w:rPr>
                <w:rFonts w:hint="eastAsia" w:cs="宋体"/>
                <w:szCs w:val="21"/>
              </w:rPr>
              <w:t>其中：F1、F2、F3分别为投标总报价、技术部分、商务部分3项评分因素的汇总得分。</w:t>
            </w:r>
          </w:p>
        </w:tc>
      </w:tr>
      <w:tr w14:paraId="563432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continue"/>
            <w:noWrap/>
            <w:vAlign w:val="center"/>
          </w:tcPr>
          <w:p w14:paraId="56343252">
            <w:pPr>
              <w:rPr>
                <w:rFonts w:hint="eastAsia" w:cs="宋体"/>
                <w:szCs w:val="21"/>
              </w:rPr>
            </w:pPr>
          </w:p>
        </w:tc>
        <w:tc>
          <w:tcPr>
            <w:tcW w:w="1559" w:type="dxa"/>
            <w:vMerge w:val="continue"/>
            <w:noWrap/>
            <w:vAlign w:val="center"/>
          </w:tcPr>
          <w:p w14:paraId="56343253">
            <w:pPr>
              <w:rPr>
                <w:rFonts w:hint="eastAsia" w:cs="宋体"/>
                <w:szCs w:val="21"/>
              </w:rPr>
            </w:pPr>
          </w:p>
        </w:tc>
        <w:tc>
          <w:tcPr>
            <w:tcW w:w="6735" w:type="dxa"/>
            <w:noWrap/>
            <w:vAlign w:val="center"/>
          </w:tcPr>
          <w:p w14:paraId="56343254">
            <w:pPr>
              <w:rPr>
                <w:rFonts w:hint="eastAsia" w:cs="宋体"/>
                <w:szCs w:val="21"/>
              </w:rPr>
            </w:pPr>
            <w:r>
              <w:rPr>
                <w:rFonts w:hint="eastAsia" w:cs="宋体"/>
                <w:szCs w:val="21"/>
              </w:rPr>
              <w:t>投标总报价F1：</w:t>
            </w:r>
            <w:r>
              <w:rPr>
                <w:rFonts w:cs="宋体"/>
                <w:szCs w:val="21"/>
              </w:rPr>
              <w:t>30</w:t>
            </w:r>
            <w:r>
              <w:rPr>
                <w:rFonts w:hint="eastAsia" w:cs="宋体"/>
                <w:szCs w:val="21"/>
              </w:rPr>
              <w:t>分。</w:t>
            </w:r>
          </w:p>
          <w:p w14:paraId="56343255">
            <w:pPr>
              <w:rPr>
                <w:rFonts w:hint="eastAsia" w:cs="宋体"/>
                <w:szCs w:val="21"/>
              </w:rPr>
            </w:pPr>
            <w:r>
              <w:rPr>
                <w:rFonts w:hint="eastAsia" w:cs="宋体"/>
                <w:szCs w:val="21"/>
              </w:rPr>
              <w:t>技术部分F2：50分。</w:t>
            </w:r>
          </w:p>
          <w:p w14:paraId="56343256">
            <w:pPr>
              <w:rPr>
                <w:rFonts w:hint="eastAsia" w:cs="宋体"/>
                <w:szCs w:val="21"/>
              </w:rPr>
            </w:pPr>
            <w:r>
              <w:rPr>
                <w:rFonts w:hint="eastAsia" w:cs="宋体"/>
                <w:szCs w:val="21"/>
              </w:rPr>
              <w:t>商务部分F3：20分。</w:t>
            </w:r>
          </w:p>
        </w:tc>
      </w:tr>
    </w:tbl>
    <w:p w14:paraId="56343258">
      <w:pPr>
        <w:widowControl/>
        <w:jc w:val="left"/>
        <w:rPr>
          <w:rFonts w:hint="eastAsia" w:cs="宋体"/>
          <w:b/>
          <w:szCs w:val="21"/>
        </w:rPr>
      </w:pPr>
      <w:r>
        <w:rPr>
          <w:rFonts w:hint="eastAsia" w:cs="宋体"/>
          <w:b/>
          <w:szCs w:val="21"/>
        </w:rPr>
        <w:br w:type="page"/>
      </w:r>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559"/>
        <w:gridCol w:w="6877"/>
      </w:tblGrid>
      <w:tr w14:paraId="56343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1526" w:type="dxa"/>
            <w:gridSpan w:val="2"/>
            <w:noWrap/>
            <w:vAlign w:val="center"/>
          </w:tcPr>
          <w:p w14:paraId="56343259">
            <w:pPr>
              <w:jc w:val="center"/>
              <w:rPr>
                <w:rFonts w:hint="eastAsia" w:cs="宋体"/>
                <w:szCs w:val="21"/>
              </w:rPr>
            </w:pPr>
            <w:r>
              <w:rPr>
                <w:rFonts w:hint="eastAsia" w:cs="宋体"/>
                <w:b/>
                <w:szCs w:val="21"/>
              </w:rPr>
              <w:t>条款号</w:t>
            </w:r>
          </w:p>
        </w:tc>
        <w:tc>
          <w:tcPr>
            <w:tcW w:w="1559" w:type="dxa"/>
            <w:noWrap/>
            <w:vAlign w:val="center"/>
          </w:tcPr>
          <w:p w14:paraId="5634325A">
            <w:pPr>
              <w:jc w:val="center"/>
              <w:rPr>
                <w:rFonts w:hint="eastAsia" w:cs="宋体"/>
                <w:b/>
                <w:szCs w:val="21"/>
              </w:rPr>
            </w:pPr>
            <w:r>
              <w:rPr>
                <w:rFonts w:hint="eastAsia" w:cs="宋体"/>
                <w:b/>
                <w:szCs w:val="21"/>
              </w:rPr>
              <w:t>评分因素</w:t>
            </w:r>
          </w:p>
        </w:tc>
        <w:tc>
          <w:tcPr>
            <w:tcW w:w="6877" w:type="dxa"/>
            <w:noWrap/>
            <w:vAlign w:val="center"/>
          </w:tcPr>
          <w:p w14:paraId="5634325B">
            <w:pPr>
              <w:jc w:val="center"/>
              <w:rPr>
                <w:rFonts w:hint="eastAsia" w:cs="宋体"/>
                <w:b/>
                <w:szCs w:val="21"/>
              </w:rPr>
            </w:pPr>
            <w:r>
              <w:rPr>
                <w:rFonts w:hint="eastAsia" w:cs="宋体"/>
                <w:b/>
                <w:szCs w:val="21"/>
              </w:rPr>
              <w:t>评分标准</w:t>
            </w:r>
          </w:p>
        </w:tc>
      </w:tr>
      <w:tr w14:paraId="56343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9" w:hRule="atLeast"/>
          <w:jc w:val="center"/>
        </w:trPr>
        <w:tc>
          <w:tcPr>
            <w:tcW w:w="817" w:type="dxa"/>
            <w:noWrap/>
            <w:vAlign w:val="center"/>
          </w:tcPr>
          <w:p w14:paraId="5634325D">
            <w:pPr>
              <w:jc w:val="center"/>
              <w:rPr>
                <w:rFonts w:hint="eastAsia" w:cs="宋体"/>
                <w:b/>
                <w:bCs/>
                <w:szCs w:val="21"/>
              </w:rPr>
            </w:pPr>
            <w:r>
              <w:rPr>
                <w:rFonts w:hint="eastAsia" w:cs="宋体"/>
                <w:b/>
                <w:bCs/>
                <w:szCs w:val="21"/>
              </w:rPr>
              <w:t>3.2.2（1）</w:t>
            </w:r>
          </w:p>
        </w:tc>
        <w:tc>
          <w:tcPr>
            <w:tcW w:w="709" w:type="dxa"/>
            <w:noWrap/>
            <w:vAlign w:val="center"/>
          </w:tcPr>
          <w:p w14:paraId="5634325E">
            <w:pPr>
              <w:jc w:val="center"/>
              <w:rPr>
                <w:rFonts w:hint="eastAsia" w:cs="宋体"/>
                <w:b/>
                <w:bCs/>
                <w:szCs w:val="21"/>
              </w:rPr>
            </w:pPr>
            <w:r>
              <w:rPr>
                <w:rFonts w:hint="eastAsia" w:cs="宋体"/>
                <w:b/>
                <w:bCs/>
                <w:szCs w:val="21"/>
              </w:rPr>
              <w:t>投标总报价</w:t>
            </w:r>
          </w:p>
          <w:p w14:paraId="5634325F">
            <w:pPr>
              <w:jc w:val="center"/>
              <w:rPr>
                <w:rFonts w:hint="eastAsia" w:cs="宋体"/>
                <w:b/>
                <w:bCs/>
                <w:szCs w:val="21"/>
              </w:rPr>
            </w:pPr>
            <w:r>
              <w:rPr>
                <w:rFonts w:hint="eastAsia" w:cs="宋体"/>
                <w:b/>
                <w:bCs/>
                <w:szCs w:val="21"/>
              </w:rPr>
              <w:t>F1</w:t>
            </w:r>
          </w:p>
          <w:p w14:paraId="56343260">
            <w:pPr>
              <w:jc w:val="center"/>
              <w:rPr>
                <w:rFonts w:hint="eastAsia" w:cs="宋体"/>
                <w:b/>
                <w:bCs/>
                <w:szCs w:val="21"/>
              </w:rPr>
            </w:pPr>
            <w:r>
              <w:rPr>
                <w:rFonts w:hint="eastAsia" w:cs="宋体"/>
                <w:b/>
                <w:bCs/>
                <w:szCs w:val="21"/>
              </w:rPr>
              <w:t>评分标准</w:t>
            </w:r>
          </w:p>
        </w:tc>
        <w:tc>
          <w:tcPr>
            <w:tcW w:w="1559" w:type="dxa"/>
            <w:noWrap/>
            <w:vAlign w:val="center"/>
          </w:tcPr>
          <w:p w14:paraId="56343261">
            <w:pPr>
              <w:jc w:val="center"/>
              <w:rPr>
                <w:rFonts w:hint="eastAsia" w:cs="宋体"/>
                <w:b/>
                <w:bCs/>
                <w:szCs w:val="21"/>
              </w:rPr>
            </w:pPr>
            <w:r>
              <w:rPr>
                <w:rFonts w:hint="eastAsia" w:cs="宋体"/>
                <w:b/>
                <w:bCs/>
                <w:szCs w:val="21"/>
              </w:rPr>
              <w:t>投标总报价评分计算公式</w:t>
            </w:r>
          </w:p>
          <w:p w14:paraId="56343262">
            <w:pPr>
              <w:jc w:val="center"/>
              <w:rPr>
                <w:rFonts w:hint="eastAsia" w:cs="宋体"/>
                <w:b/>
                <w:bCs/>
                <w:szCs w:val="21"/>
              </w:rPr>
            </w:pPr>
            <w:r>
              <w:rPr>
                <w:rFonts w:hint="eastAsia" w:cs="宋体"/>
                <w:b/>
                <w:bCs/>
                <w:szCs w:val="21"/>
              </w:rPr>
              <w:t>（满分</w:t>
            </w:r>
            <w:r>
              <w:rPr>
                <w:rFonts w:cs="宋体"/>
                <w:b/>
                <w:bCs/>
                <w:szCs w:val="21"/>
              </w:rPr>
              <w:t>30分）</w:t>
            </w:r>
          </w:p>
        </w:tc>
        <w:tc>
          <w:tcPr>
            <w:tcW w:w="6877" w:type="dxa"/>
            <w:noWrap/>
            <w:vAlign w:val="center"/>
          </w:tcPr>
          <w:p w14:paraId="56343263">
            <w:pPr>
              <w:adjustRightInd w:val="0"/>
              <w:rPr>
                <w:rFonts w:hint="eastAsia"/>
                <w:b/>
                <w:bCs/>
                <w:szCs w:val="21"/>
              </w:rPr>
            </w:pPr>
            <w:r>
              <w:rPr>
                <w:rFonts w:hint="eastAsia"/>
                <w:b/>
                <w:bCs/>
                <w:szCs w:val="21"/>
              </w:rPr>
              <w:t>投标总报价得分=(评标基准价</w:t>
            </w:r>
            <w:r>
              <w:rPr>
                <w:b/>
                <w:bCs/>
                <w:szCs w:val="21"/>
              </w:rPr>
              <w:t>/</w:t>
            </w:r>
            <w:r>
              <w:rPr>
                <w:rFonts w:hint="eastAsia"/>
                <w:b/>
                <w:bCs/>
                <w:szCs w:val="21"/>
              </w:rPr>
              <w:t>投标总报价)×</w:t>
            </w:r>
            <w:r>
              <w:rPr>
                <w:b/>
                <w:bCs/>
                <w:szCs w:val="21"/>
              </w:rPr>
              <w:t>30</w:t>
            </w:r>
          </w:p>
          <w:p w14:paraId="56343264">
            <w:pPr>
              <w:adjustRightInd w:val="0"/>
              <w:rPr>
                <w:rFonts w:hint="eastAsia"/>
                <w:szCs w:val="21"/>
              </w:rPr>
            </w:pPr>
            <w:r>
              <w:rPr>
                <w:rFonts w:hint="eastAsia"/>
                <w:szCs w:val="21"/>
              </w:rPr>
              <w:t>即：</w:t>
            </w:r>
            <w:r>
              <w:rPr>
                <w:szCs w:val="21"/>
              </w:rPr>
              <w:t>F</w:t>
            </w:r>
            <w:r>
              <w:rPr>
                <w:rFonts w:hint="eastAsia"/>
                <w:szCs w:val="21"/>
              </w:rPr>
              <w:t>1</w:t>
            </w:r>
            <w:r>
              <w:rPr>
                <w:szCs w:val="21"/>
              </w:rPr>
              <w:t>=[C/（B1，B2，…</w:t>
            </w:r>
            <w:r>
              <w:rPr>
                <w:rFonts w:hint="eastAsia"/>
                <w:szCs w:val="21"/>
              </w:rPr>
              <w:t>，</w:t>
            </w:r>
            <w:r>
              <w:rPr>
                <w:szCs w:val="21"/>
              </w:rPr>
              <w:t>Bn）]</w:t>
            </w:r>
            <w:r>
              <w:rPr>
                <w:rFonts w:hint="eastAsia"/>
                <w:szCs w:val="21"/>
              </w:rPr>
              <w:t>×</w:t>
            </w:r>
            <w:r>
              <w:rPr>
                <w:szCs w:val="21"/>
              </w:rPr>
              <w:t>30</w:t>
            </w:r>
          </w:p>
          <w:p w14:paraId="56343265">
            <w:pPr>
              <w:adjustRightInd w:val="0"/>
              <w:rPr>
                <w:rFonts w:hint="eastAsia"/>
                <w:szCs w:val="21"/>
              </w:rPr>
            </w:pPr>
            <w:r>
              <w:rPr>
                <w:rFonts w:hint="eastAsia"/>
                <w:szCs w:val="21"/>
              </w:rPr>
              <w:t>注：</w:t>
            </w:r>
            <w:r>
              <w:rPr>
                <w:szCs w:val="21"/>
              </w:rPr>
              <w:t>C为评标基准价，即经</w:t>
            </w:r>
            <w:r>
              <w:rPr>
                <w:rFonts w:hint="eastAsia"/>
                <w:szCs w:val="21"/>
              </w:rPr>
              <w:t>初步</w:t>
            </w:r>
            <w:r>
              <w:rPr>
                <w:szCs w:val="21"/>
              </w:rPr>
              <w:t>审查合格</w:t>
            </w:r>
            <w:r>
              <w:rPr>
                <w:rFonts w:hint="eastAsia"/>
                <w:szCs w:val="21"/>
              </w:rPr>
              <w:t>且投标价格最低</w:t>
            </w:r>
            <w:r>
              <w:rPr>
                <w:szCs w:val="21"/>
              </w:rPr>
              <w:t>的</w:t>
            </w:r>
            <w:r>
              <w:rPr>
                <w:rFonts w:hint="eastAsia"/>
                <w:szCs w:val="21"/>
              </w:rPr>
              <w:t>有效</w:t>
            </w:r>
            <w:r>
              <w:rPr>
                <w:szCs w:val="21"/>
              </w:rPr>
              <w:t>投标总报价；B1，B2，…</w:t>
            </w:r>
            <w:r>
              <w:rPr>
                <w:rFonts w:hint="eastAsia"/>
                <w:szCs w:val="21"/>
              </w:rPr>
              <w:t>，</w:t>
            </w:r>
            <w:r>
              <w:rPr>
                <w:szCs w:val="21"/>
              </w:rPr>
              <w:t>Bn为第n个经</w:t>
            </w:r>
            <w:r>
              <w:rPr>
                <w:rFonts w:hint="eastAsia"/>
                <w:szCs w:val="21"/>
              </w:rPr>
              <w:t>初步</w:t>
            </w:r>
            <w:r>
              <w:rPr>
                <w:szCs w:val="21"/>
              </w:rPr>
              <w:t>审查合格的有效投标总报价。</w:t>
            </w:r>
          </w:p>
          <w:p w14:paraId="410BB196">
            <w:pPr>
              <w:rPr>
                <w:rFonts w:hint="eastAsia"/>
                <w:szCs w:val="21"/>
              </w:rPr>
            </w:pPr>
            <w:r>
              <w:rPr>
                <w:rFonts w:hint="eastAsia"/>
                <w:b/>
                <w:bCs/>
                <w:szCs w:val="21"/>
              </w:rPr>
              <w:t>注：1.</w:t>
            </w:r>
            <w:r>
              <w:rPr>
                <w:rFonts w:hint="eastAsia"/>
                <w:szCs w:val="21"/>
              </w:rPr>
              <w:t>在计算投标报价得分时，既有本国产品又有非本国产品参与竞争的，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w:t>
            </w:r>
          </w:p>
          <w:p w14:paraId="78A88D8C">
            <w:pPr>
              <w:rPr>
                <w:rFonts w:hint="eastAsia"/>
                <w:szCs w:val="21"/>
              </w:rPr>
            </w:pPr>
            <w:r>
              <w:rPr>
                <w:rFonts w:hint="eastAsia"/>
                <w:b/>
                <w:bCs/>
                <w:szCs w:val="21"/>
              </w:rPr>
              <w:t>2.</w:t>
            </w:r>
            <w:r>
              <w:rPr>
                <w:rFonts w:hint="eastAsia"/>
                <w:szCs w:val="21"/>
              </w:rPr>
              <w:t>对小型或微型企业报价给予10%的扣除，用扣除后的价格参加评审。残疾人福利性单位、监狱企业视同小型、微型企业；监狱企业或残疾人福利性单位属于小型、微型企业的，不重复计算，只进行一次价格扣除。</w:t>
            </w:r>
          </w:p>
          <w:p w14:paraId="56343268">
            <w:pPr>
              <w:rPr>
                <w:rFonts w:hint="eastAsia"/>
                <w:szCs w:val="21"/>
              </w:rPr>
            </w:pPr>
            <w:r>
              <w:rPr>
                <w:rFonts w:hint="eastAsia"/>
                <w:b/>
                <w:bCs/>
                <w:szCs w:val="21"/>
              </w:rPr>
              <w:t>3.</w:t>
            </w:r>
            <w:r>
              <w:rPr>
                <w:rFonts w:hint="eastAsia"/>
                <w:szCs w:val="21"/>
              </w:rPr>
              <w:t>当涉及政府采购政策叠加适用，统一在投标总报价的基础上逐项进行价格扣除。</w:t>
            </w:r>
          </w:p>
          <w:p w14:paraId="56343269">
            <w:pPr>
              <w:rPr>
                <w:rFonts w:hint="eastAsia" w:cs="宋体"/>
                <w:szCs w:val="21"/>
              </w:rPr>
            </w:pPr>
            <w:r>
              <w:rPr>
                <w:rFonts w:hint="eastAsia" w:cs="宋体"/>
                <w:b/>
                <w:bCs/>
                <w:szCs w:val="21"/>
              </w:rPr>
              <w:t>本项目采购标的物所属行业：</w:t>
            </w:r>
            <w:r>
              <w:rPr>
                <w:rFonts w:hint="eastAsia" w:cs="宋体"/>
                <w:b/>
                <w:bCs/>
                <w:szCs w:val="21"/>
                <w:u w:val="single"/>
              </w:rPr>
              <w:t>工业</w:t>
            </w:r>
            <w:r>
              <w:rPr>
                <w:rFonts w:hint="eastAsia" w:cs="宋体"/>
                <w:b/>
                <w:bCs/>
                <w:szCs w:val="21"/>
              </w:rPr>
              <w:t>。</w:t>
            </w:r>
            <w:r>
              <w:rPr>
                <w:rFonts w:hint="eastAsia"/>
                <w:szCs w:val="21"/>
              </w:rPr>
              <w:t xml:space="preserve"> </w:t>
            </w:r>
          </w:p>
        </w:tc>
      </w:tr>
      <w:tr w14:paraId="56343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817" w:type="dxa"/>
            <w:vMerge w:val="restart"/>
            <w:noWrap/>
            <w:vAlign w:val="center"/>
          </w:tcPr>
          <w:p w14:paraId="5634326B">
            <w:pPr>
              <w:jc w:val="center"/>
              <w:rPr>
                <w:rFonts w:hint="eastAsia" w:cs="宋体"/>
                <w:b/>
                <w:bCs/>
                <w:szCs w:val="21"/>
              </w:rPr>
            </w:pPr>
            <w:r>
              <w:rPr>
                <w:rFonts w:hint="eastAsia" w:cs="宋体"/>
                <w:b/>
                <w:bCs/>
                <w:szCs w:val="21"/>
              </w:rPr>
              <w:t>3.2.2（2）</w:t>
            </w:r>
          </w:p>
        </w:tc>
        <w:tc>
          <w:tcPr>
            <w:tcW w:w="709" w:type="dxa"/>
            <w:vMerge w:val="restart"/>
            <w:noWrap/>
            <w:vAlign w:val="center"/>
          </w:tcPr>
          <w:p w14:paraId="5634326C">
            <w:pPr>
              <w:jc w:val="center"/>
              <w:rPr>
                <w:rFonts w:hint="eastAsia" w:cs="宋体"/>
                <w:b/>
                <w:bCs/>
                <w:szCs w:val="21"/>
              </w:rPr>
            </w:pPr>
            <w:r>
              <w:rPr>
                <w:rFonts w:hint="eastAsia" w:cs="宋体"/>
                <w:b/>
                <w:bCs/>
                <w:szCs w:val="21"/>
              </w:rPr>
              <w:t>技术部分F2</w:t>
            </w:r>
          </w:p>
          <w:p w14:paraId="5634326D">
            <w:pPr>
              <w:jc w:val="center"/>
              <w:rPr>
                <w:rFonts w:hint="eastAsia" w:cs="宋体"/>
                <w:b/>
                <w:bCs/>
                <w:szCs w:val="21"/>
              </w:rPr>
            </w:pPr>
            <w:r>
              <w:rPr>
                <w:rFonts w:hint="eastAsia" w:cs="宋体"/>
                <w:b/>
                <w:bCs/>
                <w:szCs w:val="21"/>
              </w:rPr>
              <w:t>评分标准</w:t>
            </w:r>
          </w:p>
        </w:tc>
        <w:tc>
          <w:tcPr>
            <w:tcW w:w="1559" w:type="dxa"/>
            <w:noWrap/>
            <w:vAlign w:val="center"/>
          </w:tcPr>
          <w:p w14:paraId="5634326E">
            <w:pPr>
              <w:spacing w:line="276" w:lineRule="auto"/>
              <w:jc w:val="center"/>
              <w:rPr>
                <w:rFonts w:hint="eastAsia" w:cs="宋体"/>
                <w:b/>
                <w:bCs/>
                <w:szCs w:val="21"/>
              </w:rPr>
            </w:pPr>
            <w:r>
              <w:rPr>
                <w:rFonts w:hint="eastAsia" w:cs="宋体"/>
                <w:b/>
                <w:bCs/>
                <w:szCs w:val="21"/>
              </w:rPr>
              <w:t>技术指标的响应程度</w:t>
            </w:r>
          </w:p>
          <w:p w14:paraId="5634326F">
            <w:pPr>
              <w:jc w:val="center"/>
              <w:rPr>
                <w:rFonts w:hint="eastAsia" w:cs="宋体"/>
                <w:b/>
                <w:bCs/>
                <w:szCs w:val="21"/>
              </w:rPr>
            </w:pPr>
            <w:r>
              <w:rPr>
                <w:rFonts w:hint="eastAsia" w:cs="宋体"/>
                <w:b/>
                <w:bCs/>
                <w:szCs w:val="21"/>
              </w:rPr>
              <w:t>（满分50分）</w:t>
            </w:r>
          </w:p>
        </w:tc>
        <w:tc>
          <w:tcPr>
            <w:tcW w:w="6877" w:type="dxa"/>
            <w:noWrap/>
            <w:vAlign w:val="center"/>
          </w:tcPr>
          <w:p w14:paraId="218592BB">
            <w:pPr>
              <w:rPr>
                <w:rFonts w:hint="eastAsia" w:cs="宋体"/>
                <w:b/>
                <w:bCs/>
                <w:szCs w:val="21"/>
              </w:rPr>
            </w:pPr>
            <w:r>
              <w:rPr>
                <w:rFonts w:hint="eastAsia" w:cs="宋体"/>
                <w:b/>
                <w:bCs/>
                <w:szCs w:val="21"/>
              </w:rPr>
              <w:t>根据投标人对招标文件第五章《货物需求及技术要求》的技术参数指标的响应情况进行评审，评审规则如下：</w:t>
            </w:r>
          </w:p>
          <w:p w14:paraId="47D8491F">
            <w:pPr>
              <w:pStyle w:val="2"/>
              <w:rPr>
                <w:rFonts w:hint="eastAsia" w:ascii="宋体" w:hAnsi="宋体"/>
              </w:rPr>
            </w:pPr>
            <w:r>
              <w:rPr>
                <w:rFonts w:hint="eastAsia" w:ascii="宋体" w:hAnsi="宋体"/>
                <w:szCs w:val="8"/>
              </w:rPr>
              <w:t>招标文件</w:t>
            </w:r>
            <w:r>
              <w:rPr>
                <w:rFonts w:hint="eastAsia" w:ascii="宋体" w:hAnsi="宋体" w:cs="宋体"/>
                <w:szCs w:val="21"/>
              </w:rPr>
              <w:t>第五章</w:t>
            </w:r>
            <w:r>
              <w:rPr>
                <w:rFonts w:hint="eastAsia" w:ascii="宋体" w:hAnsi="宋体" w:cs="宋体"/>
                <w:bCs/>
                <w:szCs w:val="21"/>
              </w:rPr>
              <w:t>“</w:t>
            </w:r>
            <w:r>
              <w:rPr>
                <w:rFonts w:hint="eastAsia" w:ascii="宋体" w:hAnsi="宋体"/>
                <w:szCs w:val="21"/>
              </w:rPr>
              <w:t>货物需求及技术要求 二、5标段技术要求</w:t>
            </w:r>
            <w:r>
              <w:rPr>
                <w:rFonts w:hint="eastAsia" w:ascii="宋体" w:hAnsi="宋体" w:cs="宋体"/>
                <w:bCs/>
                <w:szCs w:val="21"/>
              </w:rPr>
              <w:t>”</w:t>
            </w:r>
            <w:r>
              <w:rPr>
                <w:rFonts w:hint="eastAsia" w:ascii="宋体" w:hAnsi="宋体" w:cs="宋体"/>
                <w:szCs w:val="21"/>
              </w:rPr>
              <w:t>中</w:t>
            </w:r>
            <w:r>
              <w:rPr>
                <w:rFonts w:hint="eastAsia" w:ascii="宋体" w:hAnsi="宋体" w:cs="宋体"/>
                <w:bCs/>
                <w:szCs w:val="21"/>
              </w:rPr>
              <w:t>标注</w:t>
            </w:r>
            <w:r>
              <w:rPr>
                <w:rFonts w:hint="eastAsia" w:ascii="宋体" w:hAnsi="宋体" w:cs="宋体"/>
                <w:szCs w:val="21"/>
              </w:rPr>
              <w:t>“</w:t>
            </w:r>
            <w:r>
              <w:rPr>
                <w:rFonts w:ascii="宋体" w:hAnsi="宋体" w:cs="宋体"/>
                <w:kern w:val="0"/>
                <w:szCs w:val="21"/>
                <w:lang w:bidi="ar"/>
              </w:rPr>
              <w:t>▲</w:t>
            </w:r>
            <w:r>
              <w:rPr>
                <w:rFonts w:hint="eastAsia" w:ascii="宋体" w:hAnsi="宋体" w:cs="宋体"/>
                <w:szCs w:val="21"/>
              </w:rPr>
              <w:t>”号的为</w:t>
            </w:r>
            <w:r>
              <w:rPr>
                <w:rFonts w:ascii="宋体" w:hAnsi="宋体"/>
                <w:bCs/>
              </w:rPr>
              <w:t>重要</w:t>
            </w:r>
            <w:r>
              <w:rPr>
                <w:rFonts w:hint="eastAsia" w:ascii="宋体" w:hAnsi="宋体" w:cs="宋体"/>
                <w:bCs/>
                <w:color w:val="000000"/>
                <w:szCs w:val="21"/>
              </w:rPr>
              <w:t>参数</w:t>
            </w:r>
            <w:r>
              <w:rPr>
                <w:rFonts w:ascii="宋体" w:hAnsi="宋体"/>
                <w:bCs/>
              </w:rPr>
              <w:t>技术</w:t>
            </w:r>
            <w:r>
              <w:rPr>
                <w:rFonts w:hint="eastAsia" w:ascii="宋体" w:hAnsi="宋体" w:cs="宋体"/>
                <w:bCs/>
                <w:szCs w:val="21"/>
              </w:rPr>
              <w:t>指标</w:t>
            </w:r>
            <w:r>
              <w:rPr>
                <w:rFonts w:hint="eastAsia" w:ascii="宋体" w:hAnsi="宋体" w:cs="宋体"/>
                <w:szCs w:val="21"/>
              </w:rPr>
              <w:t>，</w:t>
            </w:r>
            <w:r>
              <w:rPr>
                <w:rFonts w:hint="eastAsia" w:ascii="宋体" w:hAnsi="宋体" w:cs="仿宋"/>
                <w:kern w:val="0"/>
                <w:szCs w:val="21"/>
                <w:lang w:bidi="ar"/>
              </w:rPr>
              <w:t>除</w:t>
            </w:r>
            <w:r>
              <w:rPr>
                <w:rFonts w:ascii="宋体" w:hAnsi="宋体" w:cs="仿宋"/>
                <w:kern w:val="0"/>
                <w:szCs w:val="21"/>
                <w:lang w:bidi="ar"/>
              </w:rPr>
              <w:t>“</w:t>
            </w:r>
            <w:r>
              <w:rPr>
                <w:rFonts w:hint="eastAsia" w:ascii="宋体" w:hAnsi="宋体" w:cs="宋体"/>
                <w:color w:val="000000"/>
                <w:kern w:val="0"/>
                <w:szCs w:val="21"/>
              </w:rPr>
              <w:t>▲</w:t>
            </w:r>
            <w:r>
              <w:rPr>
                <w:rFonts w:ascii="宋体" w:hAnsi="宋体" w:cs="仿宋"/>
                <w:kern w:val="0"/>
                <w:szCs w:val="21"/>
                <w:lang w:bidi="ar"/>
              </w:rPr>
              <w:t>”</w:t>
            </w:r>
            <w:r>
              <w:rPr>
                <w:rFonts w:hint="eastAsia" w:ascii="宋体" w:hAnsi="宋体" w:cs="仿宋"/>
                <w:kern w:val="0"/>
                <w:szCs w:val="21"/>
                <w:lang w:bidi="ar"/>
              </w:rPr>
              <w:t>号外的为</w:t>
            </w:r>
            <w:r>
              <w:rPr>
                <w:rFonts w:hint="eastAsia" w:ascii="宋体" w:hAnsi="宋体" w:cs="仿宋"/>
                <w:bCs/>
                <w:kern w:val="0"/>
                <w:szCs w:val="21"/>
                <w:lang w:bidi="ar"/>
              </w:rPr>
              <w:t>一般参数</w:t>
            </w:r>
            <w:r>
              <w:rPr>
                <w:rFonts w:ascii="宋体" w:hAnsi="宋体"/>
                <w:bCs/>
              </w:rPr>
              <w:t>技术</w:t>
            </w:r>
            <w:r>
              <w:rPr>
                <w:rFonts w:hint="eastAsia" w:ascii="宋体" w:hAnsi="宋体" w:cs="宋体"/>
                <w:bCs/>
                <w:szCs w:val="21"/>
              </w:rPr>
              <w:t>指标</w:t>
            </w:r>
            <w:r>
              <w:rPr>
                <w:rFonts w:hint="eastAsia" w:ascii="宋体" w:hAnsi="宋体" w:cs="仿宋"/>
                <w:kern w:val="0"/>
                <w:szCs w:val="21"/>
                <w:lang w:bidi="ar"/>
              </w:rPr>
              <w:t>。</w:t>
            </w:r>
          </w:p>
          <w:p w14:paraId="12965210">
            <w:pPr>
              <w:rPr>
                <w:rFonts w:hint="eastAsia"/>
                <w:b/>
                <w:bCs/>
                <w:szCs w:val="8"/>
              </w:rPr>
            </w:pPr>
            <w:r>
              <w:rPr>
                <w:rFonts w:hint="eastAsia"/>
                <w:b/>
                <w:bCs/>
                <w:szCs w:val="8"/>
              </w:rPr>
              <w:t>1、第一项设备：除颤监护仪评审（满分12分）</w:t>
            </w:r>
          </w:p>
          <w:p w14:paraId="69A9E625">
            <w:pPr>
              <w:ind w:firstLine="420" w:firstLineChars="200"/>
              <w:rPr>
                <w:rFonts w:hint="eastAsia" w:cs="宋体"/>
                <w:b/>
                <w:bCs/>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重要参数技术指标共有2条，</w:t>
            </w:r>
            <w:r>
              <w:rPr>
                <w:rFonts w:hint="eastAsia" w:cs="宋体"/>
                <w:bCs/>
                <w:color w:val="000000"/>
                <w:szCs w:val="21"/>
              </w:rPr>
              <w:t>重要参数技术指标全部满足招标文件要求的，</w:t>
            </w:r>
            <w:r>
              <w:rPr>
                <w:rFonts w:hint="eastAsia" w:cs="宋体"/>
                <w:b/>
                <w:color w:val="000000"/>
                <w:szCs w:val="21"/>
              </w:rPr>
              <w:t>得7</w:t>
            </w:r>
            <w:r>
              <w:rPr>
                <w:rFonts w:cs="宋体"/>
                <w:b/>
                <w:color w:val="000000"/>
                <w:szCs w:val="21"/>
              </w:rPr>
              <w:t>分</w:t>
            </w:r>
            <w:r>
              <w:rPr>
                <w:rFonts w:hint="eastAsia" w:cs="宋体"/>
                <w:b/>
                <w:color w:val="000000"/>
                <w:szCs w:val="21"/>
              </w:rPr>
              <w:t>，否则不得分。此项满分7分。</w:t>
            </w:r>
          </w:p>
          <w:p w14:paraId="5E0D03F8">
            <w:pPr>
              <w:ind w:firstLine="420" w:firstLineChars="200"/>
              <w:rPr>
                <w:rFonts w:hint="eastAsia" w:cs="宋体"/>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w:t>
            </w:r>
            <w:r>
              <w:rPr>
                <w:rFonts w:hint="eastAsia" w:cs="仿宋"/>
                <w:b/>
                <w:bCs/>
                <w:kern w:val="0"/>
                <w:szCs w:val="21"/>
                <w:lang w:bidi="ar"/>
              </w:rPr>
              <w:t>一般参数技术指标</w:t>
            </w:r>
            <w:r>
              <w:rPr>
                <w:rFonts w:cs="仿宋"/>
                <w:b/>
                <w:bCs/>
                <w:kern w:val="0"/>
                <w:szCs w:val="21"/>
                <w:lang w:bidi="ar"/>
              </w:rPr>
              <w:t>共有</w:t>
            </w:r>
            <w:r>
              <w:rPr>
                <w:rFonts w:hint="eastAsia" w:cs="仿宋"/>
                <w:b/>
                <w:bCs/>
                <w:kern w:val="0"/>
                <w:szCs w:val="21"/>
                <w:lang w:bidi="ar"/>
              </w:rPr>
              <w:t>8</w:t>
            </w:r>
            <w:r>
              <w:rPr>
                <w:rFonts w:cs="仿宋"/>
                <w:b/>
                <w:bCs/>
                <w:kern w:val="0"/>
                <w:szCs w:val="21"/>
                <w:lang w:bidi="ar"/>
              </w:rPr>
              <w:t>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color w:val="000000"/>
                <w:szCs w:val="21"/>
              </w:rPr>
              <w:t>。此项满分5分。</w:t>
            </w:r>
          </w:p>
          <w:p w14:paraId="6DDC5BAF">
            <w:pPr>
              <w:rPr>
                <w:rFonts w:hint="eastAsia"/>
                <w:b/>
                <w:bCs/>
                <w:szCs w:val="8"/>
              </w:rPr>
            </w:pPr>
            <w:r>
              <w:rPr>
                <w:rFonts w:hint="eastAsia"/>
                <w:b/>
                <w:bCs/>
                <w:szCs w:val="8"/>
              </w:rPr>
              <w:t>2、第二项设备：连续性血液循环净化机评审（满分14分）</w:t>
            </w:r>
          </w:p>
          <w:p w14:paraId="18D4245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w:t>
            </w:r>
            <w:r>
              <w:rPr>
                <w:rFonts w:hint="eastAsia" w:cs="宋体"/>
                <w:b/>
                <w:color w:val="000000"/>
                <w:szCs w:val="21"/>
              </w:rPr>
              <w:t>重要参数技术指标</w:t>
            </w:r>
            <w:r>
              <w:rPr>
                <w:rFonts w:hint="eastAsia" w:cs="仿宋"/>
                <w:b/>
                <w:bCs/>
                <w:kern w:val="0"/>
                <w:szCs w:val="21"/>
                <w:lang w:bidi="ar"/>
              </w:rPr>
              <w:t>共有2条，</w:t>
            </w:r>
            <w:r>
              <w:rPr>
                <w:rFonts w:hint="eastAsia" w:cs="宋体"/>
                <w:bCs/>
                <w:color w:val="000000"/>
                <w:szCs w:val="21"/>
              </w:rPr>
              <w:t>重要参数技术指标全部满足招标文件要求的，</w:t>
            </w:r>
            <w:r>
              <w:rPr>
                <w:rFonts w:hint="eastAsia" w:cs="宋体"/>
                <w:b/>
                <w:color w:val="000000"/>
                <w:szCs w:val="21"/>
              </w:rPr>
              <w:t>得8</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bCs/>
                <w:color w:val="000000"/>
                <w:szCs w:val="21"/>
              </w:rPr>
              <w:t>。</w:t>
            </w:r>
            <w:r>
              <w:rPr>
                <w:rFonts w:hint="eastAsia" w:cs="宋体"/>
                <w:b/>
                <w:color w:val="000000"/>
                <w:szCs w:val="21"/>
              </w:rPr>
              <w:t>此项满分8分。</w:t>
            </w:r>
          </w:p>
          <w:p w14:paraId="3294342A">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w:t>
            </w:r>
            <w:r>
              <w:rPr>
                <w:rFonts w:hint="eastAsia" w:cs="仿宋"/>
                <w:b/>
                <w:bCs/>
                <w:kern w:val="0"/>
                <w:szCs w:val="21"/>
                <w:lang w:bidi="ar"/>
              </w:rPr>
              <w:t>一般参数技术指标</w:t>
            </w:r>
            <w:r>
              <w:rPr>
                <w:rFonts w:cs="仿宋"/>
                <w:b/>
                <w:bCs/>
                <w:kern w:val="0"/>
                <w:szCs w:val="21"/>
                <w:lang w:bidi="ar"/>
              </w:rPr>
              <w:t>共有</w:t>
            </w:r>
            <w:r>
              <w:rPr>
                <w:rFonts w:hint="eastAsia" w:cs="仿宋"/>
                <w:b/>
                <w:bCs/>
                <w:kern w:val="0"/>
                <w:szCs w:val="21"/>
                <w:lang w:bidi="ar"/>
              </w:rPr>
              <w:t>9</w:t>
            </w:r>
            <w:r>
              <w:rPr>
                <w:rFonts w:cs="仿宋"/>
                <w:b/>
                <w:bCs/>
                <w:kern w:val="0"/>
                <w:szCs w:val="21"/>
                <w:lang w:bidi="ar"/>
              </w:rPr>
              <w:t>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得6</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color w:val="000000"/>
                <w:szCs w:val="21"/>
              </w:rPr>
              <w:t>。此项满分6分。</w:t>
            </w:r>
          </w:p>
          <w:p w14:paraId="17D69EF2">
            <w:pPr>
              <w:rPr>
                <w:rFonts w:hint="eastAsia"/>
                <w:b/>
                <w:bCs/>
                <w:szCs w:val="8"/>
              </w:rPr>
            </w:pPr>
            <w:r>
              <w:rPr>
                <w:rFonts w:hint="eastAsia"/>
                <w:b/>
                <w:bCs/>
                <w:szCs w:val="8"/>
              </w:rPr>
              <w:t>3、第三项设备：可视喉镜评审（满分12分）</w:t>
            </w:r>
          </w:p>
          <w:p w14:paraId="2BD09250">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w:t>
            </w:r>
            <w:r>
              <w:rPr>
                <w:rFonts w:hint="eastAsia" w:cs="宋体"/>
                <w:b/>
                <w:color w:val="000000"/>
                <w:szCs w:val="21"/>
              </w:rPr>
              <w:t>重要参数技术指标</w:t>
            </w:r>
            <w:r>
              <w:rPr>
                <w:rFonts w:hint="eastAsia" w:cs="仿宋"/>
                <w:b/>
                <w:bCs/>
                <w:kern w:val="0"/>
                <w:szCs w:val="21"/>
                <w:lang w:bidi="ar"/>
              </w:rPr>
              <w:t>共有2条，</w:t>
            </w:r>
            <w:r>
              <w:rPr>
                <w:rFonts w:hint="eastAsia" w:cs="宋体"/>
                <w:bCs/>
                <w:color w:val="000000"/>
                <w:szCs w:val="21"/>
              </w:rPr>
              <w:t>重要参数技术指标全部满足招标文件要求的，</w:t>
            </w:r>
            <w:r>
              <w:rPr>
                <w:rFonts w:hint="eastAsia" w:cs="宋体"/>
                <w:b/>
                <w:color w:val="000000"/>
                <w:szCs w:val="21"/>
              </w:rPr>
              <w:t>得7</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bCs/>
                <w:color w:val="000000"/>
                <w:szCs w:val="21"/>
              </w:rPr>
              <w:t>。</w:t>
            </w:r>
            <w:r>
              <w:rPr>
                <w:rFonts w:hint="eastAsia" w:cs="宋体"/>
                <w:b/>
                <w:color w:val="000000"/>
                <w:szCs w:val="21"/>
              </w:rPr>
              <w:t>此项满分7分。</w:t>
            </w:r>
          </w:p>
          <w:p w14:paraId="5018D012">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w:t>
            </w:r>
            <w:r>
              <w:rPr>
                <w:rFonts w:hint="eastAsia" w:cs="仿宋"/>
                <w:b/>
                <w:bCs/>
                <w:kern w:val="0"/>
                <w:szCs w:val="21"/>
                <w:lang w:bidi="ar"/>
              </w:rPr>
              <w:t>一般参数技术指标</w:t>
            </w:r>
            <w:r>
              <w:rPr>
                <w:rFonts w:cs="仿宋"/>
                <w:b/>
                <w:bCs/>
                <w:kern w:val="0"/>
                <w:szCs w:val="21"/>
                <w:lang w:bidi="ar"/>
              </w:rPr>
              <w:t>共有</w:t>
            </w:r>
            <w:r>
              <w:rPr>
                <w:rFonts w:hint="eastAsia" w:cs="仿宋"/>
                <w:b/>
                <w:bCs/>
                <w:kern w:val="0"/>
                <w:szCs w:val="21"/>
                <w:lang w:bidi="ar"/>
              </w:rPr>
              <w:t>4</w:t>
            </w:r>
            <w:r>
              <w:rPr>
                <w:rFonts w:cs="仿宋"/>
                <w:b/>
                <w:bCs/>
                <w:kern w:val="0"/>
                <w:szCs w:val="21"/>
                <w:lang w:bidi="ar"/>
              </w:rPr>
              <w:t>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color w:val="000000"/>
                <w:szCs w:val="21"/>
              </w:rPr>
              <w:t>。此项满分5分。</w:t>
            </w:r>
          </w:p>
          <w:p w14:paraId="07BC75D2">
            <w:pPr>
              <w:rPr>
                <w:rFonts w:hint="eastAsia"/>
                <w:b/>
                <w:bCs/>
                <w:szCs w:val="8"/>
              </w:rPr>
            </w:pPr>
            <w:r>
              <w:rPr>
                <w:rFonts w:hint="eastAsia"/>
                <w:b/>
                <w:bCs/>
                <w:szCs w:val="8"/>
              </w:rPr>
              <w:t>4、第四项设备：自动心肺复苏机评审（满分12分）</w:t>
            </w:r>
          </w:p>
          <w:p w14:paraId="58D0761B">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w:t>
            </w:r>
            <w:r>
              <w:rPr>
                <w:rFonts w:hint="eastAsia" w:cs="宋体"/>
                <w:b/>
                <w:color w:val="000000"/>
                <w:szCs w:val="21"/>
              </w:rPr>
              <w:t>重要参数技术指标</w:t>
            </w:r>
            <w:r>
              <w:rPr>
                <w:rFonts w:hint="eastAsia" w:cs="仿宋"/>
                <w:b/>
                <w:bCs/>
                <w:kern w:val="0"/>
                <w:szCs w:val="21"/>
                <w:lang w:bidi="ar"/>
              </w:rPr>
              <w:t>共有2条，</w:t>
            </w:r>
            <w:r>
              <w:rPr>
                <w:rFonts w:hint="eastAsia" w:cs="宋体"/>
                <w:bCs/>
                <w:color w:val="000000"/>
                <w:szCs w:val="21"/>
              </w:rPr>
              <w:t>重要参数技术指标全部满足招标文件要求的，</w:t>
            </w:r>
            <w:r>
              <w:rPr>
                <w:rFonts w:hint="eastAsia" w:cs="宋体"/>
                <w:b/>
                <w:color w:val="000000"/>
                <w:szCs w:val="21"/>
              </w:rPr>
              <w:t>得7</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bCs/>
                <w:color w:val="000000"/>
                <w:szCs w:val="21"/>
              </w:rPr>
              <w:t>。</w:t>
            </w:r>
            <w:r>
              <w:rPr>
                <w:rFonts w:hint="eastAsia" w:cs="宋体"/>
                <w:b/>
                <w:color w:val="000000"/>
                <w:szCs w:val="21"/>
              </w:rPr>
              <w:t>此项满分7分。</w:t>
            </w:r>
          </w:p>
          <w:p w14:paraId="07BFFA96">
            <w:pPr>
              <w:ind w:firstLine="420" w:firstLineChars="200"/>
              <w:rPr>
                <w:rFonts w:hint="eastAsia" w:cs="宋体"/>
                <w:b/>
                <w:color w:val="000000"/>
                <w:szCs w:val="21"/>
              </w:rPr>
            </w:pPr>
            <w:r>
              <w:rPr>
                <w:rFonts w:hint="eastAsia" w:cs="宋体"/>
                <w:b/>
                <w:bCs/>
                <w:szCs w:val="21"/>
              </w:rPr>
              <w:t>（2）未标注</w:t>
            </w:r>
            <w:r>
              <w:rPr>
                <w:rFonts w:hint="eastAsia" w:cs="宋体"/>
                <w:szCs w:val="21"/>
              </w:rPr>
              <w:t>“</w:t>
            </w:r>
            <w:r>
              <w:rPr>
                <w:rFonts w:cs="宋体"/>
                <w:kern w:val="0"/>
                <w:szCs w:val="21"/>
                <w:lang w:bidi="ar"/>
              </w:rPr>
              <w:t>▲</w:t>
            </w:r>
            <w:r>
              <w:rPr>
                <w:rFonts w:hint="eastAsia" w:cs="宋体"/>
                <w:szCs w:val="21"/>
              </w:rPr>
              <w:t>”号的</w:t>
            </w:r>
            <w:r>
              <w:rPr>
                <w:rFonts w:hint="eastAsia" w:cs="仿宋"/>
                <w:b/>
                <w:bCs/>
                <w:kern w:val="0"/>
                <w:szCs w:val="21"/>
                <w:lang w:bidi="ar"/>
              </w:rPr>
              <w:t>一般参数技术指标</w:t>
            </w:r>
            <w:r>
              <w:rPr>
                <w:rFonts w:cs="仿宋"/>
                <w:b/>
                <w:bCs/>
                <w:kern w:val="0"/>
                <w:szCs w:val="21"/>
                <w:lang w:bidi="ar"/>
              </w:rPr>
              <w:t>共有</w:t>
            </w:r>
            <w:r>
              <w:rPr>
                <w:rFonts w:hint="eastAsia" w:cs="仿宋"/>
                <w:b/>
                <w:bCs/>
                <w:kern w:val="0"/>
                <w:szCs w:val="21"/>
                <w:lang w:bidi="ar"/>
              </w:rPr>
              <w:t>3</w:t>
            </w:r>
            <w:r>
              <w:rPr>
                <w:rFonts w:cs="仿宋"/>
                <w:b/>
                <w:bCs/>
                <w:kern w:val="0"/>
                <w:szCs w:val="21"/>
                <w:lang w:bidi="ar"/>
              </w:rPr>
              <w:t>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w:t>
            </w:r>
            <w:r>
              <w:rPr>
                <w:rFonts w:hint="eastAsia" w:cs="宋体"/>
                <w:b/>
                <w:bCs/>
                <w:szCs w:val="21"/>
              </w:rPr>
              <w:t>否则不得分</w:t>
            </w:r>
            <w:r>
              <w:rPr>
                <w:rFonts w:hint="eastAsia" w:cs="宋体"/>
                <w:b/>
                <w:color w:val="000000"/>
                <w:szCs w:val="21"/>
              </w:rPr>
              <w:t>。此项满分5分。</w:t>
            </w:r>
          </w:p>
          <w:p w14:paraId="6C53DED2">
            <w:pPr>
              <w:rPr>
                <w:rFonts w:hint="eastAsia" w:cs="宋体"/>
                <w:b/>
                <w:bCs/>
                <w:szCs w:val="21"/>
              </w:rPr>
            </w:pPr>
            <w:r>
              <w:rPr>
                <w:rFonts w:hint="eastAsia" w:cs="宋体"/>
                <w:b/>
                <w:bCs/>
                <w:szCs w:val="21"/>
              </w:rPr>
              <w:t>注：（1）技术参数指标均需提供相关证明材料，若有明确要求的须按要求提供证明材料，评委须根据证明材料内容判断设备的符合性。</w:t>
            </w:r>
          </w:p>
          <w:p w14:paraId="68980BE8">
            <w:pPr>
              <w:rPr>
                <w:rFonts w:hint="eastAsia" w:cs="宋体"/>
                <w:b/>
                <w:bCs/>
                <w:szCs w:val="21"/>
              </w:rPr>
            </w:pPr>
            <w:r>
              <w:rPr>
                <w:rFonts w:hint="eastAsia" w:cs="宋体"/>
                <w:b/>
                <w:bCs/>
                <w:szCs w:val="21"/>
              </w:rPr>
              <w:t>（2）投标人拟投产品出现任意内容不满足对应技术指标项下的内容，即视为不满足该项技术指标。</w:t>
            </w:r>
          </w:p>
          <w:p w14:paraId="56343276">
            <w:pPr>
              <w:rPr>
                <w:rFonts w:hint="eastAsia"/>
                <w:b/>
                <w:bCs/>
              </w:rPr>
            </w:pPr>
            <w:r>
              <w:rPr>
                <w:rFonts w:cs="宋体"/>
                <w:b/>
                <w:bCs/>
                <w:szCs w:val="21"/>
              </w:rPr>
              <w:t>（</w:t>
            </w:r>
            <w:r>
              <w:rPr>
                <w:rFonts w:hint="eastAsia" w:cs="宋体"/>
                <w:b/>
                <w:bCs/>
                <w:szCs w:val="21"/>
              </w:rPr>
              <w:t>3</w:t>
            </w:r>
            <w:r>
              <w:rPr>
                <w:rFonts w:cs="宋体"/>
                <w:b/>
                <w:bCs/>
                <w:szCs w:val="21"/>
              </w:rPr>
              <w:t>）</w:t>
            </w:r>
            <w:r>
              <w:rPr>
                <w:rFonts w:hint="eastAsia" w:cs="宋体"/>
                <w:b/>
                <w:bCs/>
                <w:szCs w:val="21"/>
              </w:rPr>
              <w:t>技术指标的响应程度的评审参考投标人提供的技术偏离表，具体以投标人提供的技术指标的证明材料响应程度为准。</w:t>
            </w:r>
          </w:p>
        </w:tc>
      </w:tr>
      <w:tr w14:paraId="56343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vMerge w:val="continue"/>
            <w:noWrap/>
            <w:vAlign w:val="center"/>
          </w:tcPr>
          <w:p w14:paraId="56343278">
            <w:pPr>
              <w:jc w:val="left"/>
              <w:rPr>
                <w:rFonts w:hint="eastAsia" w:cs="宋体"/>
                <w:b/>
                <w:bCs/>
                <w:szCs w:val="21"/>
              </w:rPr>
            </w:pPr>
          </w:p>
        </w:tc>
        <w:tc>
          <w:tcPr>
            <w:tcW w:w="709" w:type="dxa"/>
            <w:vMerge w:val="continue"/>
            <w:noWrap/>
            <w:vAlign w:val="center"/>
          </w:tcPr>
          <w:p w14:paraId="56343279">
            <w:pPr>
              <w:jc w:val="left"/>
              <w:rPr>
                <w:rFonts w:hint="eastAsia" w:cs="宋体"/>
                <w:b/>
                <w:bCs/>
                <w:szCs w:val="21"/>
              </w:rPr>
            </w:pPr>
          </w:p>
        </w:tc>
        <w:tc>
          <w:tcPr>
            <w:tcW w:w="8436" w:type="dxa"/>
            <w:gridSpan w:val="2"/>
            <w:noWrap/>
            <w:vAlign w:val="center"/>
          </w:tcPr>
          <w:p w14:paraId="5634327A">
            <w:pPr>
              <w:jc w:val="left"/>
              <w:rPr>
                <w:rFonts w:hint="eastAsia" w:cs="宋体"/>
                <w:b/>
                <w:bCs/>
                <w:szCs w:val="21"/>
              </w:rPr>
            </w:pPr>
            <w:r>
              <w:rPr>
                <w:rFonts w:hint="eastAsia" w:cs="宋体"/>
                <w:b/>
                <w:szCs w:val="21"/>
              </w:rPr>
              <w:t>备注：根据进入详细评审的投标人的投标文件，对评分因素的响应情况进行打分。</w:t>
            </w:r>
          </w:p>
        </w:tc>
      </w:tr>
      <w:tr w14:paraId="563432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817" w:type="dxa"/>
            <w:vMerge w:val="restart"/>
            <w:tcBorders>
              <w:right w:val="single" w:color="auto" w:sz="4" w:space="0"/>
            </w:tcBorders>
            <w:noWrap/>
            <w:vAlign w:val="center"/>
          </w:tcPr>
          <w:p w14:paraId="56343280">
            <w:pPr>
              <w:jc w:val="center"/>
              <w:rPr>
                <w:rFonts w:hint="eastAsia" w:cs="宋体"/>
                <w:b/>
                <w:bCs/>
                <w:kern w:val="0"/>
                <w:szCs w:val="21"/>
              </w:rPr>
            </w:pPr>
            <w:r>
              <w:rPr>
                <w:rFonts w:hint="eastAsia" w:cs="宋体"/>
                <w:b/>
                <w:bCs/>
                <w:szCs w:val="21"/>
              </w:rPr>
              <w:t>3.2.2（3）</w:t>
            </w:r>
          </w:p>
        </w:tc>
        <w:tc>
          <w:tcPr>
            <w:tcW w:w="709" w:type="dxa"/>
            <w:vMerge w:val="restart"/>
            <w:tcBorders>
              <w:left w:val="single" w:color="auto" w:sz="4" w:space="0"/>
            </w:tcBorders>
            <w:noWrap/>
            <w:vAlign w:val="center"/>
          </w:tcPr>
          <w:p w14:paraId="56343281">
            <w:pPr>
              <w:jc w:val="center"/>
              <w:rPr>
                <w:rFonts w:hint="eastAsia" w:cs="宋体"/>
                <w:b/>
                <w:bCs/>
                <w:szCs w:val="21"/>
              </w:rPr>
            </w:pPr>
            <w:r>
              <w:rPr>
                <w:rFonts w:hint="eastAsia" w:cs="宋体"/>
                <w:b/>
                <w:bCs/>
                <w:szCs w:val="21"/>
              </w:rPr>
              <w:t>商务部分F3</w:t>
            </w:r>
          </w:p>
          <w:p w14:paraId="56343282">
            <w:pPr>
              <w:jc w:val="center"/>
              <w:rPr>
                <w:rFonts w:hint="eastAsia" w:cs="宋体"/>
                <w:b/>
                <w:bCs/>
                <w:szCs w:val="21"/>
              </w:rPr>
            </w:pPr>
            <w:r>
              <w:rPr>
                <w:rFonts w:hint="eastAsia" w:cs="宋体"/>
                <w:b/>
                <w:bCs/>
                <w:szCs w:val="21"/>
              </w:rPr>
              <w:t>评分标准</w:t>
            </w:r>
          </w:p>
        </w:tc>
        <w:tc>
          <w:tcPr>
            <w:tcW w:w="1559" w:type="dxa"/>
            <w:noWrap/>
            <w:vAlign w:val="center"/>
          </w:tcPr>
          <w:p w14:paraId="49D8C519">
            <w:pPr>
              <w:jc w:val="center"/>
              <w:rPr>
                <w:rFonts w:hint="eastAsia" w:cs="宋体"/>
                <w:b/>
                <w:bCs/>
                <w:szCs w:val="21"/>
              </w:rPr>
            </w:pPr>
            <w:r>
              <w:rPr>
                <w:rFonts w:hint="eastAsia" w:cs="宋体"/>
                <w:b/>
                <w:bCs/>
                <w:szCs w:val="21"/>
              </w:rPr>
              <w:t>供货方案</w:t>
            </w:r>
          </w:p>
          <w:p w14:paraId="56343284">
            <w:pPr>
              <w:jc w:val="center"/>
              <w:rPr>
                <w:rFonts w:hint="eastAsia" w:cs="宋体"/>
                <w:b/>
                <w:bCs/>
                <w:szCs w:val="21"/>
              </w:rPr>
            </w:pPr>
            <w:r>
              <w:rPr>
                <w:rFonts w:hint="eastAsia" w:cs="宋体"/>
                <w:b/>
                <w:bCs/>
                <w:szCs w:val="21"/>
              </w:rPr>
              <w:t>（满分8分）</w:t>
            </w:r>
          </w:p>
        </w:tc>
        <w:tc>
          <w:tcPr>
            <w:tcW w:w="6877" w:type="dxa"/>
            <w:noWrap/>
            <w:vAlign w:val="center"/>
          </w:tcPr>
          <w:p w14:paraId="1D6C67E3">
            <w:pPr>
              <w:spacing w:line="288" w:lineRule="auto"/>
              <w:jc w:val="left"/>
              <w:rPr>
                <w:rFonts w:hint="eastAsia" w:cs="宋体"/>
                <w:b/>
                <w:bCs/>
                <w:szCs w:val="21"/>
              </w:rPr>
            </w:pPr>
            <w:r>
              <w:rPr>
                <w:rFonts w:hint="eastAsia" w:cs="宋体"/>
                <w:b/>
                <w:bCs/>
                <w:szCs w:val="21"/>
              </w:rPr>
              <w:t xml:space="preserve">1、根据投标申请人提供的以下4项评审内容进行综合评审，评审内容如下： </w:t>
            </w:r>
          </w:p>
          <w:p w14:paraId="62DA3359">
            <w:pPr>
              <w:rPr>
                <w:rFonts w:hint="eastAsia"/>
                <w:szCs w:val="21"/>
              </w:rPr>
            </w:pPr>
            <w:r>
              <w:rPr>
                <w:rFonts w:hint="eastAsia" w:cs="宋体"/>
                <w:b/>
                <w:bCs/>
                <w:szCs w:val="21"/>
              </w:rPr>
              <w:t>评审内容</w:t>
            </w:r>
            <w:r>
              <w:rPr>
                <w:rFonts w:hint="eastAsia"/>
                <w:b/>
                <w:bCs/>
                <w:szCs w:val="21"/>
              </w:rPr>
              <w:t>1：供货流程</w:t>
            </w:r>
            <w:r>
              <w:rPr>
                <w:rFonts w:hint="eastAsia"/>
                <w:szCs w:val="21"/>
              </w:rPr>
              <w:t>（至少包括针对交货地点编制的发货前准备及设备检查、设备包装、设备运输、设备下货等）。</w:t>
            </w:r>
          </w:p>
          <w:p w14:paraId="67F0CCE6">
            <w:pPr>
              <w:rPr>
                <w:rFonts w:hint="eastAsia"/>
                <w:szCs w:val="21"/>
              </w:rPr>
            </w:pPr>
            <w:r>
              <w:rPr>
                <w:rFonts w:hint="eastAsia" w:cs="宋体"/>
                <w:b/>
                <w:bCs/>
                <w:szCs w:val="21"/>
              </w:rPr>
              <w:t>评审内容</w:t>
            </w:r>
            <w:r>
              <w:rPr>
                <w:rFonts w:hint="eastAsia"/>
                <w:b/>
                <w:bCs/>
                <w:szCs w:val="21"/>
              </w:rPr>
              <w:t>2：安装调试方案</w:t>
            </w:r>
            <w:r>
              <w:rPr>
                <w:rFonts w:hint="eastAsia"/>
                <w:szCs w:val="21"/>
              </w:rPr>
              <w:t>（至少包括针对安装位置的安装步骤、安装标准、调试内容、调试方法、调试步骤技术资料准备、人员及调试物资准备等）。</w:t>
            </w:r>
          </w:p>
          <w:p w14:paraId="1BF17F27">
            <w:pPr>
              <w:rPr>
                <w:rFonts w:hint="eastAsia"/>
                <w:szCs w:val="21"/>
              </w:rPr>
            </w:pPr>
            <w:r>
              <w:rPr>
                <w:rFonts w:hint="eastAsia" w:cs="宋体"/>
                <w:b/>
                <w:bCs/>
                <w:szCs w:val="21"/>
              </w:rPr>
              <w:t>评审内容</w:t>
            </w:r>
            <w:r>
              <w:rPr>
                <w:rFonts w:hint="eastAsia"/>
                <w:b/>
                <w:bCs/>
                <w:szCs w:val="21"/>
              </w:rPr>
              <w:t>3：供货进度计划方案</w:t>
            </w:r>
            <w:r>
              <w:rPr>
                <w:rFonts w:hint="eastAsia"/>
                <w:szCs w:val="21"/>
              </w:rPr>
              <w:t>（至少包括针对所需货物的总体时间计划安排、关键节点时间划分等）。</w:t>
            </w:r>
          </w:p>
          <w:p w14:paraId="1AA7CEB7">
            <w:pPr>
              <w:rPr>
                <w:rFonts w:hint="eastAsia"/>
                <w:szCs w:val="21"/>
              </w:rPr>
            </w:pPr>
            <w:r>
              <w:rPr>
                <w:rFonts w:hint="eastAsia" w:cs="宋体"/>
                <w:b/>
                <w:bCs/>
                <w:szCs w:val="21"/>
              </w:rPr>
              <w:t>评审内容</w:t>
            </w:r>
            <w:r>
              <w:rPr>
                <w:rFonts w:hint="eastAsia"/>
                <w:b/>
                <w:bCs/>
                <w:szCs w:val="21"/>
              </w:rPr>
              <w:t>4：保障措施</w:t>
            </w:r>
            <w:r>
              <w:rPr>
                <w:rFonts w:hint="eastAsia"/>
                <w:szCs w:val="21"/>
              </w:rPr>
              <w:t>（至少包括针对货物供应保障措施、物流运输保障措施、运输过程中运输风险保障措施以及相对应的细化量化的违约处罚措施等）。</w:t>
            </w:r>
          </w:p>
          <w:p w14:paraId="19F7BB37">
            <w:pPr>
              <w:rPr>
                <w:rFonts w:hint="eastAsia"/>
                <w:b/>
                <w:bCs/>
                <w:szCs w:val="21"/>
              </w:rPr>
            </w:pPr>
            <w:r>
              <w:rPr>
                <w:rFonts w:hint="eastAsia"/>
                <w:b/>
                <w:bCs/>
                <w:szCs w:val="21"/>
              </w:rPr>
              <w:t>2、评分原则：</w:t>
            </w:r>
          </w:p>
          <w:p w14:paraId="4FD5E301">
            <w:pPr>
              <w:rPr>
                <w:rFonts w:hint="eastAsia"/>
                <w:b/>
                <w:bCs/>
                <w:szCs w:val="21"/>
              </w:rPr>
            </w:pPr>
            <w:r>
              <w:rPr>
                <w:rFonts w:hint="eastAsia"/>
                <w:b/>
                <w:bCs/>
                <w:szCs w:val="21"/>
              </w:rPr>
              <w:t>（1）以上评审内容均提供且提供的内容详细具体切合项目实际有针对性的，得8分；</w:t>
            </w:r>
          </w:p>
          <w:p w14:paraId="5B7275C7">
            <w:pPr>
              <w:rPr>
                <w:rFonts w:hint="eastAsia"/>
                <w:b/>
                <w:bCs/>
                <w:szCs w:val="21"/>
              </w:rPr>
            </w:pPr>
            <w:r>
              <w:rPr>
                <w:rFonts w:hint="eastAsia"/>
                <w:b/>
                <w:bCs/>
                <w:szCs w:val="21"/>
              </w:rPr>
              <w:t>（2）每缺一项内容扣2分，分数扣完为止；</w:t>
            </w:r>
          </w:p>
          <w:p w14:paraId="511D3A05">
            <w:pPr>
              <w:rPr>
                <w:rFonts w:hint="eastAsia" w:cs="宋体"/>
                <w:b/>
                <w:bCs/>
                <w:szCs w:val="21"/>
              </w:rPr>
            </w:pPr>
            <w:r>
              <w:rPr>
                <w:rFonts w:hint="eastAsia" w:cs="宋体"/>
                <w:b/>
                <w:bCs/>
                <w:szCs w:val="21"/>
              </w:rPr>
              <w:t>（3）以上每项评审内容存在下列情形之一的按以下扣分原则进行扣分：</w:t>
            </w:r>
          </w:p>
          <w:p w14:paraId="6947ACC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7DBC3BC2">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59438E62">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8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143" w:hRule="atLeast"/>
          <w:jc w:val="center"/>
        </w:trPr>
        <w:tc>
          <w:tcPr>
            <w:tcW w:w="817" w:type="dxa"/>
            <w:vMerge w:val="continue"/>
            <w:tcBorders>
              <w:right w:val="single" w:color="auto" w:sz="4" w:space="0"/>
            </w:tcBorders>
            <w:noWrap/>
            <w:vAlign w:val="center"/>
          </w:tcPr>
          <w:p w14:paraId="5634328F">
            <w:pPr>
              <w:jc w:val="center"/>
              <w:rPr>
                <w:rFonts w:hint="eastAsia" w:cs="宋体"/>
                <w:b/>
                <w:bCs/>
                <w:szCs w:val="21"/>
              </w:rPr>
            </w:pPr>
          </w:p>
        </w:tc>
        <w:tc>
          <w:tcPr>
            <w:tcW w:w="709" w:type="dxa"/>
            <w:vMerge w:val="continue"/>
            <w:tcBorders>
              <w:left w:val="single" w:color="auto" w:sz="4" w:space="0"/>
            </w:tcBorders>
            <w:noWrap/>
            <w:vAlign w:val="center"/>
          </w:tcPr>
          <w:p w14:paraId="56343290">
            <w:pPr>
              <w:jc w:val="center"/>
              <w:rPr>
                <w:rFonts w:hint="eastAsia" w:cs="宋体"/>
                <w:b/>
                <w:bCs/>
                <w:szCs w:val="21"/>
              </w:rPr>
            </w:pPr>
          </w:p>
        </w:tc>
        <w:tc>
          <w:tcPr>
            <w:tcW w:w="1559" w:type="dxa"/>
            <w:noWrap/>
            <w:vAlign w:val="center"/>
          </w:tcPr>
          <w:p w14:paraId="6FA7ACC7">
            <w:pPr>
              <w:jc w:val="center"/>
              <w:rPr>
                <w:rFonts w:hint="eastAsia" w:cs="宋体"/>
                <w:b/>
                <w:bCs/>
                <w:szCs w:val="21"/>
              </w:rPr>
            </w:pPr>
            <w:bookmarkStart w:id="485" w:name="_Hlk38383077"/>
            <w:r>
              <w:rPr>
                <w:rFonts w:hint="eastAsia" w:cs="宋体"/>
                <w:b/>
                <w:bCs/>
                <w:szCs w:val="21"/>
              </w:rPr>
              <w:t>售后服务方案</w:t>
            </w:r>
          </w:p>
          <w:bookmarkEnd w:id="485"/>
          <w:p w14:paraId="56343292">
            <w:pPr>
              <w:jc w:val="center"/>
              <w:rPr>
                <w:rFonts w:hint="eastAsia" w:cs="宋体"/>
                <w:b/>
                <w:bCs/>
                <w:szCs w:val="21"/>
              </w:rPr>
            </w:pPr>
            <w:r>
              <w:rPr>
                <w:rFonts w:hint="eastAsia" w:cs="宋体"/>
                <w:b/>
                <w:bCs/>
                <w:szCs w:val="21"/>
              </w:rPr>
              <w:t>（满分4分）</w:t>
            </w:r>
          </w:p>
        </w:tc>
        <w:tc>
          <w:tcPr>
            <w:tcW w:w="6877" w:type="dxa"/>
            <w:noWrap/>
            <w:vAlign w:val="center"/>
          </w:tcPr>
          <w:p w14:paraId="2CC47465">
            <w:pPr>
              <w:jc w:val="left"/>
              <w:rPr>
                <w:rFonts w:hint="eastAsia"/>
                <w:b/>
                <w:bCs/>
                <w:szCs w:val="21"/>
              </w:rPr>
            </w:pPr>
            <w:r>
              <w:rPr>
                <w:rFonts w:hint="eastAsia"/>
                <w:b/>
                <w:bCs/>
                <w:szCs w:val="21"/>
              </w:rPr>
              <w:t>1、根据投标申请人提供的</w:t>
            </w:r>
            <w:r>
              <w:rPr>
                <w:rFonts w:hint="eastAsia" w:cs="宋体"/>
                <w:b/>
                <w:bCs/>
                <w:szCs w:val="21"/>
              </w:rPr>
              <w:t>以下2项评审内容</w:t>
            </w:r>
            <w:r>
              <w:rPr>
                <w:rFonts w:hint="eastAsia"/>
                <w:b/>
                <w:bCs/>
                <w:szCs w:val="21"/>
              </w:rPr>
              <w:t xml:space="preserve">进行评审，评审内容如下： </w:t>
            </w:r>
          </w:p>
          <w:p w14:paraId="07B211B3">
            <w:pPr>
              <w:spacing w:line="288" w:lineRule="auto"/>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中标后拟派的售后服务人员</w:t>
            </w:r>
            <w:r>
              <w:rPr>
                <w:rFonts w:hint="eastAsia" w:cs="宋体"/>
                <w:szCs w:val="21"/>
              </w:rPr>
              <w:t>（至少</w:t>
            </w:r>
            <w:r>
              <w:rPr>
                <w:rFonts w:hint="eastAsia"/>
                <w:szCs w:val="21"/>
              </w:rPr>
              <w:t>包括售后服务团队、售后服务团队的岗位职责分工等</w:t>
            </w:r>
            <w:r>
              <w:rPr>
                <w:rFonts w:hint="eastAsia" w:cs="宋体"/>
                <w:szCs w:val="21"/>
              </w:rPr>
              <w:t>）</w:t>
            </w:r>
          </w:p>
          <w:p w14:paraId="555DACAF">
            <w:pPr>
              <w:contextualSpacing/>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售后服务承诺及保障措施</w:t>
            </w:r>
            <w:r>
              <w:rPr>
                <w:rFonts w:hint="eastAsia"/>
                <w:szCs w:val="21"/>
              </w:rPr>
              <w:t>（</w:t>
            </w:r>
            <w:r>
              <w:rPr>
                <w:rFonts w:hint="eastAsia" w:cs="宋体"/>
                <w:szCs w:val="21"/>
              </w:rPr>
              <w:t>至少</w:t>
            </w:r>
            <w:r>
              <w:rPr>
                <w:rFonts w:hint="eastAsia"/>
                <w:szCs w:val="21"/>
              </w:rPr>
              <w:t>包括后期设备维护维修、故障响应时间、</w:t>
            </w:r>
            <w:r>
              <w:rPr>
                <w:rFonts w:cs="宋体"/>
                <w:szCs w:val="21"/>
                <w:lang w:bidi="ar"/>
              </w:rPr>
              <w:t>上门维护或保修或更换</w:t>
            </w:r>
            <w:r>
              <w:rPr>
                <w:rFonts w:hint="eastAsia" w:cs="宋体"/>
                <w:szCs w:val="21"/>
                <w:lang w:bidi="ar"/>
              </w:rPr>
              <w:t>服务、</w:t>
            </w:r>
            <w:r>
              <w:rPr>
                <w:rFonts w:hint="eastAsia"/>
                <w:szCs w:val="21"/>
              </w:rPr>
              <w:t>售后服务承诺的保障措施相对应的细化量化的违约处罚措施等）</w:t>
            </w:r>
          </w:p>
          <w:p w14:paraId="6D977C60">
            <w:pPr>
              <w:rPr>
                <w:rFonts w:hint="eastAsia"/>
                <w:b/>
                <w:bCs/>
                <w:szCs w:val="21"/>
              </w:rPr>
            </w:pPr>
            <w:r>
              <w:rPr>
                <w:rFonts w:hint="eastAsia"/>
                <w:b/>
                <w:bCs/>
                <w:szCs w:val="21"/>
              </w:rPr>
              <w:t>2、评分原则：</w:t>
            </w:r>
          </w:p>
          <w:p w14:paraId="678B6988">
            <w:pPr>
              <w:rPr>
                <w:rFonts w:hint="eastAsia"/>
                <w:b/>
                <w:bCs/>
                <w:szCs w:val="21"/>
              </w:rPr>
            </w:pPr>
            <w:r>
              <w:rPr>
                <w:rFonts w:hint="eastAsia"/>
                <w:b/>
                <w:bCs/>
                <w:szCs w:val="21"/>
              </w:rPr>
              <w:t>（1）以上评审内容均提供且提供的内容详细具体切合项目实际有针对性的，得4分；</w:t>
            </w:r>
          </w:p>
          <w:p w14:paraId="6A5C6D95">
            <w:pPr>
              <w:rPr>
                <w:rFonts w:hint="eastAsia"/>
                <w:b/>
                <w:bCs/>
                <w:szCs w:val="21"/>
              </w:rPr>
            </w:pPr>
            <w:r>
              <w:rPr>
                <w:rFonts w:hint="eastAsia"/>
                <w:b/>
                <w:bCs/>
                <w:szCs w:val="21"/>
              </w:rPr>
              <w:t>（2）每缺一项内容扣2分，分数扣完为止；</w:t>
            </w:r>
          </w:p>
          <w:p w14:paraId="76E4CB89">
            <w:pPr>
              <w:rPr>
                <w:rFonts w:hint="eastAsia" w:cs="宋体"/>
                <w:b/>
                <w:bCs/>
                <w:szCs w:val="21"/>
              </w:rPr>
            </w:pPr>
            <w:r>
              <w:rPr>
                <w:rFonts w:hint="eastAsia" w:cs="宋体"/>
                <w:b/>
                <w:bCs/>
                <w:szCs w:val="21"/>
              </w:rPr>
              <w:t>（3）以上每项评审内容存在下列情形之一的按以下扣分原则进行扣分：</w:t>
            </w:r>
          </w:p>
          <w:p w14:paraId="2B80F5C5">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0D61528C">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69A87F60">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9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9F">
            <w:pPr>
              <w:jc w:val="center"/>
              <w:rPr>
                <w:rFonts w:hint="eastAsia" w:cs="宋体"/>
                <w:b/>
                <w:bCs/>
                <w:szCs w:val="21"/>
              </w:rPr>
            </w:pPr>
          </w:p>
        </w:tc>
        <w:tc>
          <w:tcPr>
            <w:tcW w:w="709" w:type="dxa"/>
            <w:vMerge w:val="continue"/>
            <w:tcBorders>
              <w:left w:val="single" w:color="auto" w:sz="4" w:space="0"/>
            </w:tcBorders>
            <w:noWrap/>
            <w:vAlign w:val="center"/>
          </w:tcPr>
          <w:p w14:paraId="563432A0">
            <w:pPr>
              <w:jc w:val="center"/>
              <w:rPr>
                <w:rFonts w:hint="eastAsia" w:cs="宋体"/>
                <w:b/>
                <w:bCs/>
                <w:szCs w:val="21"/>
              </w:rPr>
            </w:pPr>
          </w:p>
        </w:tc>
        <w:tc>
          <w:tcPr>
            <w:tcW w:w="1559" w:type="dxa"/>
            <w:noWrap/>
            <w:vAlign w:val="center"/>
          </w:tcPr>
          <w:p w14:paraId="72A6F580">
            <w:pPr>
              <w:jc w:val="center"/>
              <w:rPr>
                <w:rFonts w:hint="eastAsia" w:cs="宋体"/>
                <w:b/>
                <w:bCs/>
                <w:szCs w:val="21"/>
              </w:rPr>
            </w:pPr>
            <w:r>
              <w:rPr>
                <w:rFonts w:hint="eastAsia" w:cs="宋体"/>
                <w:b/>
                <w:bCs/>
                <w:szCs w:val="21"/>
              </w:rPr>
              <w:t>人员培训方案</w:t>
            </w:r>
          </w:p>
          <w:p w14:paraId="563432A2">
            <w:pPr>
              <w:jc w:val="center"/>
              <w:rPr>
                <w:rFonts w:hint="eastAsia" w:cs="宋体"/>
                <w:b/>
                <w:bCs/>
                <w:szCs w:val="21"/>
              </w:rPr>
            </w:pPr>
            <w:r>
              <w:rPr>
                <w:rFonts w:hint="eastAsia" w:cs="宋体"/>
                <w:b/>
                <w:bCs/>
                <w:szCs w:val="21"/>
              </w:rPr>
              <w:t>（满分4分）</w:t>
            </w:r>
          </w:p>
        </w:tc>
        <w:tc>
          <w:tcPr>
            <w:tcW w:w="6877" w:type="dxa"/>
            <w:noWrap/>
            <w:vAlign w:val="center"/>
          </w:tcPr>
          <w:p w14:paraId="782726D2">
            <w:pPr>
              <w:spacing w:line="288" w:lineRule="auto"/>
              <w:jc w:val="left"/>
              <w:rPr>
                <w:rFonts w:hint="eastAsia" w:cs="宋体"/>
                <w:b/>
                <w:bCs/>
                <w:szCs w:val="21"/>
              </w:rPr>
            </w:pPr>
            <w:r>
              <w:rPr>
                <w:rFonts w:hint="eastAsia" w:cs="宋体"/>
                <w:b/>
                <w:bCs/>
                <w:szCs w:val="21"/>
              </w:rPr>
              <w:t>1、根据投标申请人提供的以下</w:t>
            </w:r>
            <w:r>
              <w:rPr>
                <w:rFonts w:hint="eastAsia" w:cs="宋体"/>
                <w:b/>
                <w:bCs/>
                <w:szCs w:val="21"/>
                <w:lang w:val="en-US" w:eastAsia="zh-CN"/>
              </w:rPr>
              <w:t>2</w:t>
            </w:r>
            <w:r>
              <w:rPr>
                <w:rFonts w:hint="eastAsia" w:cs="宋体"/>
                <w:b/>
                <w:bCs/>
                <w:szCs w:val="21"/>
              </w:rPr>
              <w:t xml:space="preserve">项评审内容进行综合评审，评审内容如下： </w:t>
            </w:r>
          </w:p>
          <w:p w14:paraId="110930C4">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培训目标及大纲</w:t>
            </w:r>
            <w:r>
              <w:rPr>
                <w:rFonts w:hint="eastAsia" w:cs="宋体"/>
                <w:szCs w:val="21"/>
              </w:rPr>
              <w:t>（至少包括知识及技能操作培训目标、培训基本信息、培训内容模块、培训实施方式、培训工程师安排等）</w:t>
            </w:r>
          </w:p>
          <w:p w14:paraId="3168D762">
            <w:pPr>
              <w:jc w:val="left"/>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培训计划及内容</w:t>
            </w:r>
            <w:r>
              <w:rPr>
                <w:rFonts w:hint="eastAsia" w:cs="宋体"/>
                <w:szCs w:val="21"/>
              </w:rPr>
              <w:t>（至少包括培训周期、培训课程安排、操作培训、维护培训、常规保养培训等）</w:t>
            </w:r>
          </w:p>
          <w:p w14:paraId="58B45AED">
            <w:pPr>
              <w:rPr>
                <w:rFonts w:hint="eastAsia"/>
                <w:b/>
                <w:bCs/>
                <w:szCs w:val="21"/>
              </w:rPr>
            </w:pPr>
            <w:r>
              <w:rPr>
                <w:rFonts w:hint="eastAsia"/>
                <w:b/>
                <w:bCs/>
                <w:szCs w:val="21"/>
              </w:rPr>
              <w:t>2、评分原则：</w:t>
            </w:r>
          </w:p>
          <w:p w14:paraId="1A110CA4">
            <w:pPr>
              <w:rPr>
                <w:rFonts w:hint="eastAsia"/>
                <w:b/>
                <w:bCs/>
                <w:szCs w:val="21"/>
              </w:rPr>
            </w:pPr>
            <w:r>
              <w:rPr>
                <w:rFonts w:hint="eastAsia"/>
                <w:b/>
                <w:bCs/>
                <w:szCs w:val="21"/>
              </w:rPr>
              <w:t>（1）以上评审内容均提供且提供的内容详细具体切合项目实际有针对性的，得4分；</w:t>
            </w:r>
          </w:p>
          <w:p w14:paraId="1B1EC18D">
            <w:pPr>
              <w:rPr>
                <w:rFonts w:hint="eastAsia"/>
                <w:b/>
                <w:bCs/>
                <w:szCs w:val="21"/>
              </w:rPr>
            </w:pPr>
            <w:r>
              <w:rPr>
                <w:rFonts w:hint="eastAsia"/>
                <w:b/>
                <w:bCs/>
                <w:szCs w:val="21"/>
              </w:rPr>
              <w:t>（2）每缺一项内容扣2分，分数扣完为止；</w:t>
            </w:r>
          </w:p>
          <w:p w14:paraId="05F40D20">
            <w:pPr>
              <w:rPr>
                <w:rFonts w:hint="eastAsia" w:cs="宋体"/>
                <w:b/>
                <w:bCs/>
                <w:szCs w:val="21"/>
              </w:rPr>
            </w:pPr>
            <w:r>
              <w:rPr>
                <w:rFonts w:hint="eastAsia" w:cs="宋体"/>
                <w:b/>
                <w:bCs/>
                <w:szCs w:val="21"/>
              </w:rPr>
              <w:t>（3）以上每项评审内容存在下列情形之一的按以下扣分原则进行扣分：</w:t>
            </w:r>
          </w:p>
          <w:p w14:paraId="33056B5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71F3C25E">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2F748137">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3">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A5">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6">
            <w:pPr>
              <w:jc w:val="center"/>
              <w:rPr>
                <w:rFonts w:hint="eastAsia" w:cs="宋体"/>
                <w:szCs w:val="21"/>
              </w:rPr>
            </w:pPr>
          </w:p>
        </w:tc>
        <w:tc>
          <w:tcPr>
            <w:tcW w:w="1559" w:type="dxa"/>
            <w:noWrap/>
            <w:vAlign w:val="center"/>
          </w:tcPr>
          <w:p w14:paraId="0C4F5F43">
            <w:pPr>
              <w:jc w:val="center"/>
              <w:rPr>
                <w:rFonts w:hint="eastAsia" w:cs="宋体"/>
                <w:b/>
                <w:bCs/>
                <w:szCs w:val="21"/>
              </w:rPr>
            </w:pPr>
            <w:r>
              <w:rPr>
                <w:rFonts w:hint="eastAsia" w:cs="宋体"/>
                <w:b/>
                <w:bCs/>
                <w:szCs w:val="21"/>
              </w:rPr>
              <w:t>质量保证及承诺</w:t>
            </w:r>
          </w:p>
          <w:p w14:paraId="563432A8">
            <w:pPr>
              <w:spacing w:line="276" w:lineRule="auto"/>
              <w:jc w:val="center"/>
              <w:rPr>
                <w:rFonts w:hint="eastAsia" w:cs="宋体"/>
                <w:b/>
                <w:bCs/>
                <w:color w:val="000000"/>
                <w:szCs w:val="21"/>
              </w:rPr>
            </w:pPr>
            <w:r>
              <w:rPr>
                <w:rFonts w:hint="eastAsia" w:cs="宋体"/>
                <w:b/>
                <w:bCs/>
                <w:szCs w:val="21"/>
              </w:rPr>
              <w:t>（满分4分）</w:t>
            </w:r>
          </w:p>
        </w:tc>
        <w:tc>
          <w:tcPr>
            <w:tcW w:w="6877" w:type="dxa"/>
            <w:noWrap/>
            <w:vAlign w:val="center"/>
          </w:tcPr>
          <w:p w14:paraId="29B1DD6C">
            <w:pPr>
              <w:spacing w:line="288" w:lineRule="auto"/>
              <w:jc w:val="left"/>
              <w:rPr>
                <w:rFonts w:hint="eastAsia" w:cs="宋体"/>
                <w:b/>
                <w:bCs/>
                <w:szCs w:val="21"/>
              </w:rPr>
            </w:pPr>
            <w:r>
              <w:rPr>
                <w:rFonts w:hint="eastAsia" w:cs="宋体"/>
                <w:b/>
                <w:bCs/>
                <w:szCs w:val="21"/>
              </w:rPr>
              <w:t xml:space="preserve">1、根据投标申请人提供的以下2项评审内容进行综合评审，评审内容如下： </w:t>
            </w:r>
          </w:p>
          <w:p w14:paraId="27883EE5">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质量承诺</w:t>
            </w:r>
            <w:r>
              <w:rPr>
                <w:rFonts w:hint="eastAsia" w:cs="宋体"/>
                <w:szCs w:val="21"/>
              </w:rPr>
              <w:t>（至少包括产品质量承诺、备品配件的质量承诺等）</w:t>
            </w:r>
          </w:p>
          <w:p w14:paraId="30E195AF">
            <w:pPr>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质量保障措施</w:t>
            </w:r>
            <w:r>
              <w:rPr>
                <w:rFonts w:hint="eastAsia" w:cs="宋体"/>
                <w:szCs w:val="21"/>
              </w:rPr>
              <w:t>（至少包括设备供货过程的质量保障、备品备件的质量保障、技术维护人员保障及相对应的</w:t>
            </w:r>
            <w:r>
              <w:rPr>
                <w:rFonts w:hint="eastAsia"/>
                <w:szCs w:val="21"/>
              </w:rPr>
              <w:t>细化量化的违约处罚措施</w:t>
            </w:r>
            <w:r>
              <w:rPr>
                <w:rFonts w:hint="eastAsia" w:cs="宋体"/>
                <w:szCs w:val="21"/>
              </w:rPr>
              <w:t>等）</w:t>
            </w:r>
          </w:p>
          <w:p w14:paraId="49C0D2D4">
            <w:pPr>
              <w:rPr>
                <w:rFonts w:hint="eastAsia"/>
                <w:b/>
                <w:bCs/>
                <w:szCs w:val="21"/>
              </w:rPr>
            </w:pPr>
            <w:r>
              <w:rPr>
                <w:rFonts w:hint="eastAsia"/>
                <w:b/>
                <w:bCs/>
                <w:szCs w:val="21"/>
              </w:rPr>
              <w:t>2、评分原则：</w:t>
            </w:r>
          </w:p>
          <w:p w14:paraId="0564F825">
            <w:pPr>
              <w:rPr>
                <w:rFonts w:hint="eastAsia"/>
                <w:b/>
                <w:bCs/>
                <w:szCs w:val="21"/>
              </w:rPr>
            </w:pPr>
            <w:r>
              <w:rPr>
                <w:rFonts w:hint="eastAsia"/>
                <w:b/>
                <w:bCs/>
                <w:szCs w:val="21"/>
              </w:rPr>
              <w:t>（1）以上评审内容均提供且提供的内容详细具体切合项目实际有针对性的，得4分；</w:t>
            </w:r>
          </w:p>
          <w:p w14:paraId="0D9050DA">
            <w:pPr>
              <w:rPr>
                <w:rFonts w:hint="eastAsia"/>
                <w:b/>
                <w:bCs/>
                <w:szCs w:val="21"/>
              </w:rPr>
            </w:pPr>
            <w:r>
              <w:rPr>
                <w:rFonts w:hint="eastAsia"/>
                <w:b/>
                <w:bCs/>
                <w:szCs w:val="21"/>
              </w:rPr>
              <w:t>（2）每缺一项内容扣2分，分数扣完为止；</w:t>
            </w:r>
          </w:p>
          <w:p w14:paraId="747A7184">
            <w:pPr>
              <w:rPr>
                <w:rFonts w:hint="eastAsia" w:cs="宋体"/>
                <w:b/>
                <w:bCs/>
                <w:szCs w:val="21"/>
              </w:rPr>
            </w:pPr>
            <w:r>
              <w:rPr>
                <w:rFonts w:hint="eastAsia" w:cs="宋体"/>
                <w:b/>
                <w:bCs/>
                <w:szCs w:val="21"/>
              </w:rPr>
              <w:t>（3）以上每项评审内容存在下列情形之一的按以下扣分原则进行扣分：</w:t>
            </w:r>
          </w:p>
          <w:p w14:paraId="59CB377E">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641CD15C">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4098A88A">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A">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17" w:type="dxa"/>
            <w:vMerge w:val="continue"/>
            <w:tcBorders>
              <w:right w:val="single" w:color="auto" w:sz="4" w:space="0"/>
            </w:tcBorders>
            <w:noWrap/>
            <w:vAlign w:val="center"/>
          </w:tcPr>
          <w:p w14:paraId="563432AC">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D">
            <w:pPr>
              <w:jc w:val="center"/>
              <w:rPr>
                <w:rFonts w:hint="eastAsia" w:cs="宋体"/>
                <w:szCs w:val="21"/>
              </w:rPr>
            </w:pPr>
          </w:p>
        </w:tc>
        <w:tc>
          <w:tcPr>
            <w:tcW w:w="8436" w:type="dxa"/>
            <w:gridSpan w:val="2"/>
            <w:noWrap/>
            <w:vAlign w:val="center"/>
          </w:tcPr>
          <w:p w14:paraId="563432AE">
            <w:pPr>
              <w:jc w:val="left"/>
              <w:rPr>
                <w:rFonts w:hint="eastAsia" w:cs="宋体"/>
                <w:color w:val="000000"/>
                <w:kern w:val="0"/>
                <w:szCs w:val="21"/>
                <w:lang w:bidi="ar"/>
              </w:rPr>
            </w:pPr>
            <w:r>
              <w:rPr>
                <w:rFonts w:hint="eastAsia" w:cs="宋体"/>
                <w:b/>
                <w:szCs w:val="21"/>
              </w:rPr>
              <w:t>备注：根据进入详细评审的投标人的投标文件，对评分因素的响应情况进行打分。</w:t>
            </w:r>
          </w:p>
        </w:tc>
      </w:tr>
    </w:tbl>
    <w:p w14:paraId="563432B0">
      <w:pPr>
        <w:rPr>
          <w:rFonts w:hint="eastAsia" w:cs="宋体"/>
          <w:bCs/>
          <w:sz w:val="24"/>
        </w:rPr>
      </w:pPr>
      <w:r>
        <w:rPr>
          <w:rFonts w:hint="eastAsia" w:cs="宋体"/>
          <w:bCs/>
          <w:szCs w:val="21"/>
        </w:rPr>
        <w:br w:type="page"/>
      </w:r>
      <w:bookmarkStart w:id="486" w:name="_Toc508191814"/>
    </w:p>
    <w:p w14:paraId="563432B1">
      <w:pPr>
        <w:pStyle w:val="4"/>
        <w:numPr>
          <w:ilvl w:val="1"/>
          <w:numId w:val="0"/>
        </w:numPr>
        <w:spacing w:before="0"/>
        <w:rPr>
          <w:rFonts w:hint="eastAsia" w:eastAsia="宋体" w:cs="宋体"/>
          <w:szCs w:val="28"/>
        </w:rPr>
      </w:pPr>
      <w:bookmarkStart w:id="487" w:name="_Toc216724782"/>
      <w:bookmarkStart w:id="488" w:name="_Toc166067809"/>
      <w:bookmarkStart w:id="489" w:name="_Toc17922"/>
      <w:bookmarkStart w:id="490" w:name="_Toc170120984"/>
      <w:bookmarkStart w:id="491" w:name="_Toc125986525"/>
      <w:bookmarkStart w:id="492" w:name="_Toc139357101"/>
      <w:bookmarkStart w:id="493" w:name="_Toc16616"/>
      <w:bookmarkStart w:id="494" w:name="_Toc18062"/>
      <w:r>
        <w:rPr>
          <w:rFonts w:hint="eastAsia" w:eastAsia="宋体" w:cs="宋体"/>
          <w:szCs w:val="28"/>
        </w:rPr>
        <w:t>1. 评标方法</w:t>
      </w:r>
      <w:bookmarkEnd w:id="486"/>
      <w:bookmarkEnd w:id="487"/>
      <w:bookmarkEnd w:id="488"/>
      <w:bookmarkEnd w:id="489"/>
      <w:bookmarkEnd w:id="490"/>
      <w:bookmarkEnd w:id="491"/>
      <w:bookmarkEnd w:id="492"/>
      <w:bookmarkEnd w:id="493"/>
      <w:bookmarkEnd w:id="494"/>
    </w:p>
    <w:p w14:paraId="563432B2">
      <w:pPr>
        <w:adjustRightInd w:val="0"/>
        <w:ind w:firstLine="420" w:firstLineChars="200"/>
        <w:rPr>
          <w:rFonts w:hint="eastAsia" w:cs="宋体"/>
          <w:szCs w:val="21"/>
        </w:rPr>
      </w:pPr>
      <w:bookmarkStart w:id="495" w:name="_Toc508191815"/>
      <w:r>
        <w:rPr>
          <w:rFonts w:hint="eastAsia" w:cs="宋体"/>
          <w:b/>
          <w:bCs/>
          <w:szCs w:val="21"/>
        </w:rPr>
        <w:t>本次评标采用综合评分法。</w:t>
      </w:r>
      <w:r>
        <w:rPr>
          <w:szCs w:val="21"/>
        </w:rPr>
        <w:t>评标委员会对</w:t>
      </w:r>
      <w:r>
        <w:rPr>
          <w:kern w:val="0"/>
          <w:szCs w:val="21"/>
        </w:rPr>
        <w:t>满足招标文件全部实质性要求（即通过资格性评审及符合性评审）的投标文件</w:t>
      </w:r>
      <w:r>
        <w:rPr>
          <w:szCs w:val="21"/>
        </w:rPr>
        <w:t>，按照本章前附表规定的评分标准进行打分，并按评标总得分计算公式计算评标总得分，按总得分由高到低的顺序推荐3名中标候选人；评标总得分相等时，按投标总报价由低到高顺序排列；评标总得分相等且投标总报价相同时，按技术部分得分高低顺序排列；所有得分均相等的，</w:t>
      </w:r>
      <w:r>
        <w:rPr>
          <w:rFonts w:hint="eastAsia"/>
          <w:szCs w:val="21"/>
        </w:rPr>
        <w:t>按</w:t>
      </w:r>
      <w:r>
        <w:rPr>
          <w:rFonts w:hint="eastAsia" w:cs="宋体"/>
          <w:szCs w:val="21"/>
        </w:rPr>
        <w:t>投标产品中提供政府非强制采购节能、环保产品的优先的顺序推荐，若投标产品提供的都为政府非强制采购节能、环保产品时，按小微企业（监狱企业、残疾人福利性单位视为小微企业）优先的顺序推荐、若以上推荐顺序都相等则按核心产品质保期长优先、交货时间短优先、故障到达时间短优先，若以上顺序排列相等，则评标委员会采取记名投票表决的方式推荐中标候选人。</w:t>
      </w:r>
    </w:p>
    <w:p w14:paraId="563432B3">
      <w:pPr>
        <w:pStyle w:val="4"/>
        <w:numPr>
          <w:ilvl w:val="1"/>
          <w:numId w:val="0"/>
        </w:numPr>
        <w:spacing w:before="0"/>
        <w:rPr>
          <w:rFonts w:hint="eastAsia" w:eastAsia="宋体" w:cs="宋体"/>
          <w:szCs w:val="28"/>
        </w:rPr>
      </w:pPr>
      <w:bookmarkStart w:id="496" w:name="_Toc8904"/>
      <w:bookmarkStart w:id="497" w:name="_Toc125986526"/>
      <w:bookmarkStart w:id="498" w:name="_Toc216724783"/>
      <w:bookmarkStart w:id="499" w:name="_Toc170120985"/>
      <w:bookmarkStart w:id="500" w:name="_Toc16971"/>
      <w:bookmarkStart w:id="501" w:name="_Toc166067810"/>
      <w:bookmarkStart w:id="502" w:name="_Toc139357102"/>
      <w:bookmarkStart w:id="503" w:name="_Toc26351"/>
      <w:r>
        <w:rPr>
          <w:rFonts w:hint="eastAsia" w:eastAsia="宋体" w:cs="宋体"/>
          <w:szCs w:val="28"/>
        </w:rPr>
        <w:t>2.政府采购政策</w:t>
      </w:r>
      <w:bookmarkEnd w:id="495"/>
      <w:bookmarkEnd w:id="496"/>
      <w:bookmarkEnd w:id="497"/>
      <w:bookmarkEnd w:id="498"/>
      <w:bookmarkEnd w:id="499"/>
      <w:bookmarkEnd w:id="500"/>
      <w:bookmarkEnd w:id="501"/>
      <w:bookmarkEnd w:id="502"/>
      <w:bookmarkEnd w:id="503"/>
    </w:p>
    <w:p w14:paraId="563432B4">
      <w:pPr>
        <w:ind w:firstLine="420" w:firstLineChars="200"/>
        <w:rPr>
          <w:rFonts w:hint="eastAsia" w:cs="宋体"/>
          <w:b/>
          <w:szCs w:val="21"/>
        </w:rPr>
      </w:pPr>
      <w:bookmarkStart w:id="504" w:name="_Toc508191816"/>
      <w:bookmarkStart w:id="505" w:name="_Toc326218112"/>
      <w:bookmarkStart w:id="506" w:name="_Toc314817934"/>
      <w:r>
        <w:rPr>
          <w:rFonts w:hint="eastAsia" w:cs="宋体"/>
          <w:b/>
          <w:szCs w:val="21"/>
        </w:rPr>
        <w:t>2.1中小企业</w:t>
      </w:r>
    </w:p>
    <w:p w14:paraId="563432B5">
      <w:pPr>
        <w:adjustRightInd w:val="0"/>
        <w:ind w:firstLine="420" w:firstLineChars="200"/>
        <w:rPr>
          <w:rFonts w:hint="eastAsia" w:cs="宋体"/>
          <w:szCs w:val="21"/>
        </w:rPr>
      </w:pPr>
      <w:r>
        <w:rPr>
          <w:rFonts w:hint="eastAsia" w:cs="宋体"/>
          <w:szCs w:val="21"/>
        </w:rPr>
        <w:t>2.1.1</w:t>
      </w:r>
      <w:r>
        <w:rPr>
          <w:rFonts w:hint="eastAsia" w:cs="宋体"/>
          <w:color w:val="000000" w:themeColor="text1"/>
          <w:szCs w:val="21"/>
          <w14:textFill>
            <w14:solidFill>
              <w14:schemeClr w14:val="tx1"/>
            </w14:solidFill>
          </w14:textFill>
        </w:rPr>
        <w:t>根据《关于进一步加大政府采购支持中小企业力度的通知》（财库【2022】19号）、《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563432BA">
      <w:pPr>
        <w:ind w:firstLine="369" w:firstLineChars="176"/>
        <w:rPr>
          <w:rFonts w:hint="eastAsia"/>
          <w:b/>
          <w:bCs/>
        </w:rPr>
      </w:pPr>
      <w:r>
        <w:rPr>
          <w:b/>
          <w:bCs/>
        </w:rPr>
        <w:t>在货物采购项目中，投标人提供的货物既有中小企业制造货物，也有大型企业制造货物的，不享受中小企业扶持政策。投标人提供的货物既有中型企业制造货物，又有小微企业制造货物的，不享受中小企业扶持政策。只有全部货物均是小型或微型企业制造货物才享受中小企业扶持政策。</w:t>
      </w:r>
    </w:p>
    <w:p w14:paraId="563432BB">
      <w:pPr>
        <w:adjustRightInd w:val="0"/>
        <w:ind w:firstLine="420" w:firstLineChars="200"/>
        <w:rPr>
          <w:rFonts w:hint="eastAsia" w:cs="宋体"/>
          <w:szCs w:val="21"/>
        </w:rPr>
      </w:pPr>
      <w:r>
        <w:rPr>
          <w:rFonts w:hint="eastAsia" w:cs="宋体"/>
          <w:szCs w:val="21"/>
        </w:rPr>
        <w:t>2.1.3在货物采购项目中，投标人提供的货物既有中小企业制造货物，也有大型企业制造货物的，不享受本办法规定的中小企业扶持政策。</w:t>
      </w:r>
    </w:p>
    <w:p w14:paraId="563432BC">
      <w:pPr>
        <w:adjustRightInd w:val="0"/>
        <w:ind w:firstLine="420" w:firstLineChars="200"/>
        <w:rPr>
          <w:rFonts w:hint="eastAsia" w:cs="宋体"/>
          <w:szCs w:val="21"/>
        </w:rPr>
      </w:pPr>
      <w:r>
        <w:rPr>
          <w:rFonts w:hint="eastAsia" w:cs="宋体"/>
          <w:szCs w:val="21"/>
        </w:rPr>
        <w:t>2.1.4以联合体形式参加政府采购活动，联合体各方均为中小企业的，联合体视同中小企业。其中，联合体各方均为小微企业的，联合体视同小微企业。</w:t>
      </w:r>
    </w:p>
    <w:p w14:paraId="563432BD">
      <w:pPr>
        <w:adjustRightInd w:val="0"/>
        <w:ind w:firstLine="420" w:firstLineChars="200"/>
        <w:rPr>
          <w:rFonts w:hint="eastAsia" w:cs="宋体"/>
          <w:szCs w:val="21"/>
        </w:rPr>
      </w:pPr>
      <w:r>
        <w:rPr>
          <w:rFonts w:hint="eastAsia" w:cs="宋体"/>
          <w:szCs w:val="21"/>
        </w:rPr>
        <w:t>2.1.5本规定所称中小企业划分标准，是指国务院有关部门根据企业从业人员、营业收入、资产总额等指标制定的中小企业划型标准，详见《关于印发中小企业划型标准规定的通知》（工信部联企业〔2011〕300号）。</w:t>
      </w:r>
    </w:p>
    <w:p w14:paraId="563432BE">
      <w:pPr>
        <w:adjustRightInd w:val="0"/>
        <w:ind w:firstLine="420" w:firstLineChars="200"/>
        <w:rPr>
          <w:rFonts w:hint="eastAsia" w:cs="宋体"/>
          <w:szCs w:val="21"/>
        </w:rPr>
      </w:pPr>
      <w:r>
        <w:rPr>
          <w:rFonts w:hint="eastAsia" w:cs="宋体"/>
          <w:szCs w:val="21"/>
        </w:rPr>
        <w:t>2.1.6中小企业提供本企业制造的货物参与政府采购活动时应当出具《中小企业声明函》；提供其他中小企业制造的货物参与政府采购活动时还须同时提供货物制造企业的《中小企业声明函》，否则不得享受相关中小企业扶持政策。</w:t>
      </w:r>
    </w:p>
    <w:p w14:paraId="563432BF">
      <w:pPr>
        <w:pStyle w:val="23"/>
        <w:tabs>
          <w:tab w:val="left" w:pos="2472"/>
        </w:tabs>
        <w:ind w:firstLine="420" w:firstLineChars="200"/>
        <w:rPr>
          <w:rFonts w:hint="eastAsia" w:cs="宋体"/>
          <w:b/>
          <w:szCs w:val="21"/>
        </w:rPr>
      </w:pPr>
      <w:r>
        <w:rPr>
          <w:rFonts w:hint="eastAsia" w:cs="宋体"/>
          <w:b/>
          <w:szCs w:val="21"/>
        </w:rPr>
        <w:t>2.2监狱企业</w:t>
      </w:r>
    </w:p>
    <w:p w14:paraId="563432C0">
      <w:pPr>
        <w:pStyle w:val="23"/>
        <w:tabs>
          <w:tab w:val="left" w:pos="2472"/>
        </w:tabs>
        <w:ind w:firstLine="420" w:firstLineChars="200"/>
        <w:rPr>
          <w:rFonts w:hint="eastAsia" w:cs="宋体"/>
          <w:szCs w:val="21"/>
        </w:rPr>
      </w:pPr>
      <w:r>
        <w:rPr>
          <w:rFonts w:hint="eastAsia" w:cs="宋体"/>
          <w:szCs w:val="21"/>
        </w:rPr>
        <w:t>2.2.1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63432C1">
      <w:pPr>
        <w:pStyle w:val="23"/>
        <w:tabs>
          <w:tab w:val="left" w:pos="2472"/>
        </w:tabs>
        <w:ind w:firstLine="420" w:firstLineChars="200"/>
        <w:rPr>
          <w:rFonts w:hint="eastAsia" w:cs="宋体"/>
          <w:b/>
          <w:szCs w:val="21"/>
        </w:rPr>
      </w:pPr>
      <w:r>
        <w:rPr>
          <w:rFonts w:hint="eastAsia" w:cs="宋体"/>
          <w:b/>
          <w:szCs w:val="21"/>
        </w:rPr>
        <w:t>2.3残疾人福利性单位</w:t>
      </w:r>
    </w:p>
    <w:p w14:paraId="563432C2">
      <w:pPr>
        <w:pStyle w:val="23"/>
        <w:tabs>
          <w:tab w:val="left" w:pos="2472"/>
        </w:tabs>
        <w:ind w:firstLine="420" w:firstLineChars="200"/>
        <w:rPr>
          <w:rFonts w:hint="eastAsia" w:cs="宋体"/>
          <w:szCs w:val="21"/>
        </w:rPr>
      </w:pPr>
      <w:r>
        <w:rPr>
          <w:rFonts w:hint="eastAsia" w:cs="宋体"/>
          <w:szCs w:val="21"/>
        </w:rPr>
        <w:t>2.3.1根据《财政部 民政部 中国残疾人联合会关于促进残疾人就业政府采购政策的通知》，享受政府采购支持政策的残疾人福利性单位应当同时满足以下条件：</w:t>
      </w:r>
    </w:p>
    <w:p w14:paraId="563432C3">
      <w:pPr>
        <w:ind w:firstLine="420" w:firstLineChars="200"/>
        <w:rPr>
          <w:rFonts w:hint="eastAsia" w:cs="宋体"/>
          <w:szCs w:val="21"/>
        </w:rPr>
      </w:pPr>
      <w:r>
        <w:rPr>
          <w:rFonts w:hint="eastAsia" w:cs="宋体"/>
          <w:szCs w:val="21"/>
        </w:rPr>
        <w:t>（1）安置的残疾人占本单位在职职工人数的比例不低于25%（含25%），并且安置的残疾人人数不少于10人（含10人）；</w:t>
      </w:r>
    </w:p>
    <w:p w14:paraId="563432C4">
      <w:pPr>
        <w:ind w:firstLine="420" w:firstLineChars="200"/>
        <w:rPr>
          <w:rFonts w:hint="eastAsia" w:cs="宋体"/>
          <w:szCs w:val="21"/>
        </w:rPr>
      </w:pPr>
      <w:r>
        <w:rPr>
          <w:rFonts w:hint="eastAsia" w:cs="宋体"/>
          <w:szCs w:val="21"/>
        </w:rPr>
        <w:t>（2）依法与安置的每位残疾人签订了一年以上（含一年）的劳动合同或服务协议；</w:t>
      </w:r>
    </w:p>
    <w:p w14:paraId="563432C5">
      <w:pPr>
        <w:ind w:firstLine="420" w:firstLineChars="200"/>
        <w:rPr>
          <w:rFonts w:hint="eastAsia" w:cs="宋体"/>
          <w:szCs w:val="21"/>
        </w:rPr>
      </w:pPr>
      <w:r>
        <w:rPr>
          <w:rFonts w:hint="eastAsia" w:cs="宋体"/>
          <w:szCs w:val="21"/>
        </w:rPr>
        <w:t>（3）为安置的每位残疾人按月足额缴纳了基本养老保险、基本医疗保险、失业保险、工伤保险和生育保险等社会保险费；</w:t>
      </w:r>
    </w:p>
    <w:p w14:paraId="563432C6">
      <w:pPr>
        <w:ind w:firstLine="420" w:firstLineChars="200"/>
        <w:rPr>
          <w:rFonts w:hint="eastAsia" w:cs="宋体"/>
          <w:szCs w:val="21"/>
        </w:rPr>
      </w:pPr>
      <w:r>
        <w:rPr>
          <w:rFonts w:hint="eastAsia" w:cs="宋体"/>
          <w:szCs w:val="21"/>
        </w:rPr>
        <w:t>（4）通过银行等金融机构向安置的每位残疾人，按月支付了不低于单位所在区县适用的经省级人民政府批准的月最低工资标准的工资；</w:t>
      </w:r>
    </w:p>
    <w:p w14:paraId="563432C7">
      <w:pPr>
        <w:ind w:firstLine="420" w:firstLineChars="200"/>
        <w:rPr>
          <w:rFonts w:hint="eastAsia" w:cs="宋体"/>
          <w:szCs w:val="21"/>
        </w:rPr>
      </w:pPr>
      <w:r>
        <w:rPr>
          <w:rFonts w:hint="eastAsia" w:cs="宋体"/>
          <w:szCs w:val="21"/>
        </w:rPr>
        <w:t>（5）提供本单位制造的货物、承担的工程或者服务（以下简称产品），或者提供其他残疾人福利性单位制造的货物（不包括使用非残疾人福利性单位注册商标的货物）。</w:t>
      </w:r>
    </w:p>
    <w:p w14:paraId="563432C8">
      <w:pPr>
        <w:ind w:firstLine="420" w:firstLineChars="200"/>
        <w:rPr>
          <w:rFonts w:hint="eastAsia" w:cs="宋体"/>
          <w:szCs w:val="21"/>
        </w:rPr>
      </w:pPr>
      <w:r>
        <w:rPr>
          <w:rFonts w:hint="eastAsia"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63432C9">
      <w:pPr>
        <w:pStyle w:val="23"/>
        <w:tabs>
          <w:tab w:val="left" w:pos="2472"/>
        </w:tabs>
        <w:ind w:firstLine="420" w:firstLineChars="200"/>
        <w:rPr>
          <w:rFonts w:hint="eastAsia" w:cs="宋体"/>
          <w:szCs w:val="21"/>
        </w:rPr>
      </w:pPr>
      <w:r>
        <w:rPr>
          <w:rFonts w:hint="eastAsia" w:cs="宋体"/>
          <w:szCs w:val="21"/>
        </w:rPr>
        <w:t>2.3.2符合条件的残疾人福利性单位在参加政府采购活动时，应当提供《残疾人福利性单位声明函》，并对声明的真实性负责。</w:t>
      </w:r>
    </w:p>
    <w:p w14:paraId="563432CA">
      <w:pPr>
        <w:pStyle w:val="23"/>
        <w:tabs>
          <w:tab w:val="left" w:pos="2472"/>
        </w:tabs>
        <w:ind w:firstLine="420" w:firstLineChars="200"/>
        <w:rPr>
          <w:rFonts w:hint="eastAsia" w:cs="宋体"/>
          <w:b/>
          <w:szCs w:val="21"/>
        </w:rPr>
      </w:pPr>
      <w:r>
        <w:rPr>
          <w:rFonts w:hint="eastAsia" w:cs="宋体"/>
          <w:b/>
          <w:szCs w:val="21"/>
        </w:rPr>
        <w:t>2.4节能、环境标志产品</w:t>
      </w:r>
    </w:p>
    <w:p w14:paraId="563432CB">
      <w:pPr>
        <w:pStyle w:val="23"/>
        <w:tabs>
          <w:tab w:val="left" w:pos="2472"/>
        </w:tabs>
        <w:snapToGrid w:val="0"/>
        <w:ind w:firstLine="420" w:firstLineChars="200"/>
        <w:rPr>
          <w:rFonts w:hint="eastAsia"/>
          <w:szCs w:val="21"/>
        </w:rPr>
      </w:pPr>
      <w:r>
        <w:rPr>
          <w:rFonts w:hint="eastAsia"/>
          <w:szCs w:val="21"/>
        </w:rPr>
        <w:t>2.4.1节能产品是指列入财政部和国家发改委公布的《节能产品政府采购品目清单》中的货物。政府强制采购节能产品是指《节能产品政府采购品目清单》中以“★”标注类别的产品。</w:t>
      </w:r>
    </w:p>
    <w:p w14:paraId="563432CC">
      <w:pPr>
        <w:pStyle w:val="23"/>
        <w:tabs>
          <w:tab w:val="left" w:pos="2472"/>
        </w:tabs>
        <w:snapToGrid w:val="0"/>
        <w:ind w:firstLine="420" w:firstLineChars="200"/>
        <w:rPr>
          <w:rFonts w:hint="eastAsia"/>
          <w:szCs w:val="21"/>
        </w:rPr>
      </w:pPr>
      <w:r>
        <w:rPr>
          <w:rFonts w:hint="eastAsia"/>
          <w:szCs w:val="21"/>
        </w:rPr>
        <w:t>2.4.2环境标志产品是指列入财政部、生态环境部公布的《环境标志产品政府采购品目清单》中的货物。</w:t>
      </w:r>
    </w:p>
    <w:p w14:paraId="563432CD">
      <w:pPr>
        <w:pStyle w:val="23"/>
        <w:tabs>
          <w:tab w:val="left" w:pos="2472"/>
        </w:tabs>
        <w:snapToGrid w:val="0"/>
        <w:ind w:firstLine="420" w:firstLineChars="200"/>
        <w:rPr>
          <w:rFonts w:hint="eastAsia"/>
          <w:szCs w:val="21"/>
        </w:rPr>
      </w:pPr>
      <w:r>
        <w:rPr>
          <w:rFonts w:hint="eastAsia"/>
          <w:szCs w:val="21"/>
        </w:rPr>
        <w:t>★2.4.3本项目采购清单中若有政府强制采购节能产品，只接受强制节能产品投标，投标人必须在投标文件中提供国家确定的认证机构出具的、处于有效期之内的节能产品认证证书。投标人必须选报，否则按不实质性响应招标文件要求处理。</w:t>
      </w:r>
    </w:p>
    <w:p w14:paraId="563432CE">
      <w:pPr>
        <w:pStyle w:val="23"/>
        <w:tabs>
          <w:tab w:val="left" w:pos="2472"/>
        </w:tabs>
        <w:snapToGrid w:val="0"/>
        <w:ind w:firstLine="420" w:firstLineChars="200"/>
        <w:rPr>
          <w:rFonts w:hint="eastAsia"/>
          <w:szCs w:val="21"/>
        </w:rPr>
      </w:pPr>
      <w:r>
        <w:rPr>
          <w:rFonts w:hint="eastAsia"/>
          <w:szCs w:val="21"/>
        </w:rPr>
        <w:t>2.4.4投标人应在投标文件中提供所投标产品国家确定的认证机构出具的、处于有效期之内的节能产品、环境标志产品认证证书，否则不予认可。</w:t>
      </w:r>
    </w:p>
    <w:p w14:paraId="563432CF">
      <w:pPr>
        <w:pStyle w:val="23"/>
        <w:tabs>
          <w:tab w:val="left" w:pos="2472"/>
        </w:tabs>
        <w:snapToGrid w:val="0"/>
        <w:ind w:firstLine="420" w:firstLineChars="200"/>
        <w:rPr>
          <w:rFonts w:hint="eastAsia"/>
          <w:szCs w:val="21"/>
        </w:rPr>
      </w:pPr>
      <w:r>
        <w:rPr>
          <w:rFonts w:hint="eastAsia"/>
          <w:szCs w:val="21"/>
        </w:rPr>
        <w:t>2.4.5《节能产品政府采购品目清单》及《环境标志产品政府采购品目清单》可通过中国政府采购网（http://www.ccgp.gov.cn/ ）查阅、下载。</w:t>
      </w:r>
    </w:p>
    <w:p w14:paraId="563432D0">
      <w:pPr>
        <w:pStyle w:val="23"/>
        <w:tabs>
          <w:tab w:val="left" w:pos="2472"/>
        </w:tabs>
        <w:snapToGrid w:val="0"/>
        <w:ind w:firstLine="420" w:firstLineChars="200"/>
        <w:rPr>
          <w:rFonts w:hint="eastAsia"/>
          <w:szCs w:val="21"/>
        </w:rPr>
      </w:pPr>
      <w:r>
        <w:rPr>
          <w:rFonts w:hint="eastAsia"/>
          <w:szCs w:val="21"/>
        </w:rPr>
        <w:t>2</w:t>
      </w:r>
      <w:r>
        <w:rPr>
          <w:szCs w:val="21"/>
        </w:rPr>
        <w:t>.4.6</w:t>
      </w:r>
      <w:r>
        <w:rPr>
          <w:rFonts w:hint="eastAsia"/>
          <w:szCs w:val="21"/>
        </w:rPr>
        <w:t>参与实施政府采购节能产品认证机构名录：</w:t>
      </w:r>
    </w:p>
    <w:tbl>
      <w:tblPr>
        <w:tblStyle w:val="44"/>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30" w:type="dxa"/>
          <w:left w:w="30" w:type="dxa"/>
          <w:bottom w:w="30" w:type="dxa"/>
          <w:right w:w="30" w:type="dxa"/>
        </w:tblCellMar>
      </w:tblPr>
      <w:tblGrid>
        <w:gridCol w:w="533"/>
        <w:gridCol w:w="1134"/>
        <w:gridCol w:w="1632"/>
        <w:gridCol w:w="1371"/>
        <w:gridCol w:w="1941"/>
        <w:gridCol w:w="3351"/>
      </w:tblGrid>
      <w:tr w14:paraId="56343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1">
            <w:pPr>
              <w:widowControl/>
              <w:spacing w:line="276" w:lineRule="auto"/>
              <w:jc w:val="center"/>
              <w:textAlignment w:val="baseline"/>
              <w:rPr>
                <w:rFonts w:hint="eastAsia" w:cs="宋体"/>
                <w:kern w:val="0"/>
                <w:szCs w:val="21"/>
              </w:rPr>
            </w:pPr>
            <w:r>
              <w:rPr>
                <w:rFonts w:hint="eastAsia" w:cs="宋体"/>
                <w:kern w:val="0"/>
                <w:szCs w:val="21"/>
              </w:rPr>
              <w:t>序号</w:t>
            </w:r>
          </w:p>
        </w:tc>
        <w:tc>
          <w:tcPr>
            <w:tcW w:w="1388" w:type="pct"/>
            <w:gridSpan w:val="2"/>
            <w:shd w:val="clear" w:color="auto" w:fill="FFFFFF"/>
            <w:tcMar>
              <w:top w:w="0" w:type="dxa"/>
              <w:left w:w="108" w:type="dxa"/>
              <w:bottom w:w="0" w:type="dxa"/>
              <w:right w:w="108" w:type="dxa"/>
            </w:tcMar>
            <w:vAlign w:val="center"/>
          </w:tcPr>
          <w:p w14:paraId="563432D2">
            <w:pPr>
              <w:widowControl/>
              <w:spacing w:line="276" w:lineRule="auto"/>
              <w:jc w:val="center"/>
              <w:textAlignment w:val="baseline"/>
              <w:rPr>
                <w:rFonts w:hint="eastAsia" w:cs="宋体"/>
                <w:kern w:val="0"/>
                <w:szCs w:val="21"/>
              </w:rPr>
            </w:pPr>
            <w:r>
              <w:rPr>
                <w:rFonts w:hint="eastAsia" w:cs="宋体"/>
                <w:kern w:val="0"/>
                <w:szCs w:val="21"/>
              </w:rPr>
              <w:t>一级目录</w:t>
            </w:r>
          </w:p>
        </w:tc>
        <w:tc>
          <w:tcPr>
            <w:tcW w:w="1662" w:type="pct"/>
            <w:gridSpan w:val="2"/>
            <w:shd w:val="clear" w:color="auto" w:fill="FFFFFF"/>
            <w:tcMar>
              <w:top w:w="0" w:type="dxa"/>
              <w:left w:w="108" w:type="dxa"/>
              <w:bottom w:w="0" w:type="dxa"/>
              <w:right w:w="108" w:type="dxa"/>
            </w:tcMar>
            <w:vAlign w:val="center"/>
          </w:tcPr>
          <w:p w14:paraId="563432D3">
            <w:pPr>
              <w:widowControl/>
              <w:spacing w:line="276" w:lineRule="auto"/>
              <w:jc w:val="center"/>
              <w:textAlignment w:val="baseline"/>
              <w:rPr>
                <w:rFonts w:hint="eastAsia" w:cs="宋体"/>
                <w:kern w:val="0"/>
                <w:szCs w:val="21"/>
              </w:rPr>
            </w:pPr>
            <w:r>
              <w:rPr>
                <w:rFonts w:hint="eastAsia" w:cs="宋体"/>
                <w:kern w:val="0"/>
                <w:szCs w:val="21"/>
              </w:rPr>
              <w:t>二级目录</w:t>
            </w:r>
          </w:p>
        </w:tc>
        <w:tc>
          <w:tcPr>
            <w:tcW w:w="1682" w:type="pct"/>
            <w:vMerge w:val="restart"/>
            <w:shd w:val="clear" w:color="auto" w:fill="FFFFFF"/>
            <w:tcMar>
              <w:top w:w="0" w:type="dxa"/>
              <w:left w:w="108" w:type="dxa"/>
              <w:bottom w:w="0" w:type="dxa"/>
              <w:right w:w="108" w:type="dxa"/>
            </w:tcMar>
            <w:vAlign w:val="center"/>
          </w:tcPr>
          <w:p w14:paraId="563432D4">
            <w:pPr>
              <w:widowControl/>
              <w:spacing w:line="276" w:lineRule="auto"/>
              <w:jc w:val="center"/>
              <w:textAlignment w:val="baseline"/>
              <w:rPr>
                <w:rFonts w:hint="eastAsia" w:cs="宋体"/>
                <w:kern w:val="0"/>
                <w:szCs w:val="21"/>
              </w:rPr>
            </w:pPr>
            <w:r>
              <w:rPr>
                <w:rFonts w:hint="eastAsia" w:cs="宋体"/>
                <w:kern w:val="0"/>
                <w:szCs w:val="21"/>
              </w:rPr>
              <w:t>认证机构名录</w:t>
            </w:r>
          </w:p>
        </w:tc>
      </w:tr>
      <w:tr w14:paraId="56343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D6">
            <w:pPr>
              <w:widowControl/>
              <w:spacing w:line="276" w:lineRule="auto"/>
              <w:jc w:val="center"/>
              <w:rPr>
                <w:rFonts w:hint="eastAsia" w:cs="宋体"/>
                <w:kern w:val="0"/>
                <w:szCs w:val="21"/>
              </w:rPr>
            </w:pPr>
          </w:p>
        </w:tc>
        <w:tc>
          <w:tcPr>
            <w:tcW w:w="569" w:type="pct"/>
            <w:shd w:val="clear" w:color="auto" w:fill="FFFFFF"/>
            <w:tcMar>
              <w:top w:w="0" w:type="dxa"/>
              <w:left w:w="108" w:type="dxa"/>
              <w:bottom w:w="0" w:type="dxa"/>
              <w:right w:w="108" w:type="dxa"/>
            </w:tcMar>
            <w:vAlign w:val="center"/>
          </w:tcPr>
          <w:p w14:paraId="563432D7">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819" w:type="pct"/>
            <w:shd w:val="clear" w:color="auto" w:fill="FFFFFF"/>
            <w:tcMar>
              <w:top w:w="0" w:type="dxa"/>
              <w:left w:w="108" w:type="dxa"/>
              <w:bottom w:w="0" w:type="dxa"/>
              <w:right w:w="108" w:type="dxa"/>
            </w:tcMar>
            <w:vAlign w:val="center"/>
          </w:tcPr>
          <w:p w14:paraId="563432D8">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688" w:type="pct"/>
            <w:shd w:val="clear" w:color="auto" w:fill="FFFFFF"/>
            <w:tcMar>
              <w:top w:w="0" w:type="dxa"/>
              <w:left w:w="108" w:type="dxa"/>
              <w:bottom w:w="0" w:type="dxa"/>
              <w:right w:w="108" w:type="dxa"/>
            </w:tcMar>
            <w:vAlign w:val="center"/>
          </w:tcPr>
          <w:p w14:paraId="563432D9">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974" w:type="pct"/>
            <w:shd w:val="clear" w:color="auto" w:fill="FFFFFF"/>
            <w:tcMar>
              <w:top w:w="0" w:type="dxa"/>
              <w:left w:w="108" w:type="dxa"/>
              <w:bottom w:w="0" w:type="dxa"/>
              <w:right w:w="108" w:type="dxa"/>
            </w:tcMar>
            <w:vAlign w:val="center"/>
          </w:tcPr>
          <w:p w14:paraId="563432DA">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1682" w:type="pct"/>
            <w:vMerge w:val="continue"/>
            <w:shd w:val="clear" w:color="auto" w:fill="FFFFFF"/>
            <w:tcMar>
              <w:top w:w="0" w:type="dxa"/>
              <w:left w:w="0" w:type="dxa"/>
              <w:bottom w:w="0" w:type="dxa"/>
              <w:right w:w="0" w:type="dxa"/>
            </w:tcMar>
            <w:vAlign w:val="center"/>
          </w:tcPr>
          <w:p w14:paraId="563432DB">
            <w:pPr>
              <w:widowControl/>
              <w:spacing w:line="276" w:lineRule="auto"/>
              <w:jc w:val="center"/>
              <w:rPr>
                <w:rFonts w:hint="eastAsia" w:cs="宋体"/>
                <w:kern w:val="0"/>
                <w:szCs w:val="21"/>
              </w:rPr>
            </w:pPr>
          </w:p>
        </w:tc>
      </w:tr>
      <w:tr w14:paraId="56343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D">
            <w:pPr>
              <w:widowControl/>
              <w:spacing w:line="276" w:lineRule="auto"/>
              <w:jc w:val="center"/>
              <w:textAlignment w:val="baseline"/>
              <w:rPr>
                <w:rFonts w:hint="eastAsia" w:cs="宋体"/>
                <w:kern w:val="0"/>
                <w:szCs w:val="21"/>
              </w:rPr>
            </w:pPr>
            <w:r>
              <w:rPr>
                <w:rFonts w:hint="eastAsia" w:cs="宋体"/>
                <w:kern w:val="0"/>
                <w:szCs w:val="21"/>
              </w:rPr>
              <w:t>1</w:t>
            </w:r>
          </w:p>
        </w:tc>
        <w:tc>
          <w:tcPr>
            <w:tcW w:w="569" w:type="pct"/>
            <w:vMerge w:val="restart"/>
            <w:shd w:val="clear" w:color="auto" w:fill="FFFFFF"/>
            <w:tcMar>
              <w:top w:w="0" w:type="dxa"/>
              <w:left w:w="108" w:type="dxa"/>
              <w:bottom w:w="0" w:type="dxa"/>
              <w:right w:w="108" w:type="dxa"/>
            </w:tcMar>
            <w:vAlign w:val="center"/>
          </w:tcPr>
          <w:p w14:paraId="563432DE">
            <w:pPr>
              <w:widowControl/>
              <w:spacing w:line="276" w:lineRule="auto"/>
              <w:jc w:val="center"/>
              <w:textAlignment w:val="baseline"/>
              <w:rPr>
                <w:rFonts w:hint="eastAsia" w:cs="宋体"/>
                <w:kern w:val="0"/>
                <w:szCs w:val="21"/>
              </w:rPr>
            </w:pPr>
            <w:r>
              <w:rPr>
                <w:rFonts w:hint="eastAsia" w:cs="宋体"/>
                <w:kern w:val="0"/>
                <w:szCs w:val="21"/>
              </w:rPr>
              <w:t>A020101</w:t>
            </w:r>
          </w:p>
        </w:tc>
        <w:tc>
          <w:tcPr>
            <w:tcW w:w="819" w:type="pct"/>
            <w:vMerge w:val="restart"/>
            <w:shd w:val="clear" w:color="auto" w:fill="FFFFFF"/>
            <w:tcMar>
              <w:top w:w="0" w:type="dxa"/>
              <w:left w:w="108" w:type="dxa"/>
              <w:bottom w:w="0" w:type="dxa"/>
              <w:right w:w="108" w:type="dxa"/>
            </w:tcMar>
            <w:vAlign w:val="center"/>
          </w:tcPr>
          <w:p w14:paraId="563432DF">
            <w:pPr>
              <w:widowControl/>
              <w:spacing w:line="276" w:lineRule="auto"/>
              <w:jc w:val="center"/>
              <w:textAlignment w:val="baseline"/>
              <w:rPr>
                <w:rFonts w:hint="eastAsia" w:cs="宋体"/>
                <w:kern w:val="0"/>
                <w:szCs w:val="21"/>
              </w:rPr>
            </w:pPr>
            <w:r>
              <w:rPr>
                <w:rFonts w:hint="eastAsia" w:cs="宋体"/>
                <w:kern w:val="0"/>
                <w:szCs w:val="21"/>
              </w:rPr>
              <w:t>计算机设备</w:t>
            </w:r>
          </w:p>
        </w:tc>
        <w:tc>
          <w:tcPr>
            <w:tcW w:w="688" w:type="pct"/>
            <w:shd w:val="clear" w:color="auto" w:fill="FFFFFF"/>
            <w:tcMar>
              <w:top w:w="0" w:type="dxa"/>
              <w:left w:w="108" w:type="dxa"/>
              <w:bottom w:w="0" w:type="dxa"/>
              <w:right w:w="108" w:type="dxa"/>
            </w:tcMar>
            <w:vAlign w:val="center"/>
          </w:tcPr>
          <w:p w14:paraId="563432E0">
            <w:pPr>
              <w:widowControl/>
              <w:spacing w:line="276" w:lineRule="auto"/>
              <w:jc w:val="center"/>
              <w:textAlignment w:val="baseline"/>
              <w:rPr>
                <w:rFonts w:hint="eastAsia" w:cs="宋体"/>
                <w:kern w:val="0"/>
                <w:szCs w:val="21"/>
              </w:rPr>
            </w:pPr>
            <w:r>
              <w:rPr>
                <w:rFonts w:hint="eastAsia" w:cs="宋体"/>
                <w:kern w:val="0"/>
                <w:szCs w:val="21"/>
              </w:rPr>
              <w:t>A02010104</w:t>
            </w:r>
          </w:p>
        </w:tc>
        <w:tc>
          <w:tcPr>
            <w:tcW w:w="974" w:type="pct"/>
            <w:shd w:val="clear" w:color="auto" w:fill="FFFFFF"/>
            <w:tcMar>
              <w:top w:w="0" w:type="dxa"/>
              <w:left w:w="108" w:type="dxa"/>
              <w:bottom w:w="0" w:type="dxa"/>
              <w:right w:w="108" w:type="dxa"/>
            </w:tcMar>
            <w:vAlign w:val="center"/>
          </w:tcPr>
          <w:p w14:paraId="563432E1">
            <w:pPr>
              <w:widowControl/>
              <w:spacing w:line="276" w:lineRule="auto"/>
              <w:jc w:val="center"/>
              <w:textAlignment w:val="baseline"/>
              <w:rPr>
                <w:rFonts w:hint="eastAsia" w:cs="宋体"/>
                <w:kern w:val="0"/>
                <w:szCs w:val="21"/>
              </w:rPr>
            </w:pPr>
            <w:r>
              <w:rPr>
                <w:rFonts w:hint="eastAsia" w:cs="宋体"/>
                <w:kern w:val="0"/>
                <w:szCs w:val="21"/>
              </w:rPr>
              <w:t>台式计算机</w:t>
            </w:r>
          </w:p>
        </w:tc>
        <w:tc>
          <w:tcPr>
            <w:tcW w:w="1682" w:type="pct"/>
            <w:vMerge w:val="restart"/>
            <w:shd w:val="clear" w:color="auto" w:fill="FFFFFF"/>
            <w:tcMar>
              <w:top w:w="0" w:type="dxa"/>
              <w:left w:w="108" w:type="dxa"/>
              <w:bottom w:w="0" w:type="dxa"/>
              <w:right w:w="108" w:type="dxa"/>
            </w:tcMar>
            <w:vAlign w:val="center"/>
          </w:tcPr>
          <w:p w14:paraId="563432E2">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2E3">
            <w:pPr>
              <w:widowControl/>
              <w:spacing w:line="276" w:lineRule="auto"/>
              <w:jc w:val="center"/>
              <w:textAlignment w:val="baseline"/>
              <w:rPr>
                <w:rFonts w:hint="eastAsia" w:cs="宋体"/>
                <w:kern w:val="0"/>
                <w:szCs w:val="21"/>
              </w:rPr>
            </w:pPr>
            <w:r>
              <w:rPr>
                <w:rFonts w:hint="eastAsia" w:cs="宋体"/>
                <w:kern w:val="0"/>
                <w:szCs w:val="21"/>
              </w:rPr>
              <w:t>北京赛西认证有限责任公司</w:t>
            </w:r>
          </w:p>
          <w:p w14:paraId="563432E4">
            <w:pPr>
              <w:widowControl/>
              <w:spacing w:line="276" w:lineRule="auto"/>
              <w:jc w:val="center"/>
              <w:textAlignment w:val="baseline"/>
              <w:rPr>
                <w:rFonts w:hint="eastAsia" w:cs="宋体"/>
                <w:kern w:val="0"/>
                <w:szCs w:val="21"/>
              </w:rPr>
            </w:pPr>
            <w:r>
              <w:rPr>
                <w:rFonts w:hint="eastAsia" w:cs="宋体"/>
                <w:kern w:val="0"/>
                <w:szCs w:val="21"/>
              </w:rPr>
              <w:t>中国网络安全审查技术与认证中心</w:t>
            </w:r>
          </w:p>
          <w:p w14:paraId="563432E5">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7">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8">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E9">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EA">
            <w:pPr>
              <w:widowControl/>
              <w:spacing w:line="276" w:lineRule="auto"/>
              <w:jc w:val="center"/>
              <w:textAlignment w:val="baseline"/>
              <w:rPr>
                <w:rFonts w:hint="eastAsia" w:cs="宋体"/>
                <w:kern w:val="0"/>
                <w:szCs w:val="21"/>
              </w:rPr>
            </w:pPr>
            <w:r>
              <w:rPr>
                <w:rFonts w:hint="eastAsia" w:cs="宋体"/>
                <w:kern w:val="0"/>
                <w:szCs w:val="21"/>
              </w:rPr>
              <w:t>A02010105</w:t>
            </w:r>
          </w:p>
        </w:tc>
        <w:tc>
          <w:tcPr>
            <w:tcW w:w="974" w:type="pct"/>
            <w:shd w:val="clear" w:color="auto" w:fill="FFFFFF"/>
            <w:tcMar>
              <w:top w:w="0" w:type="dxa"/>
              <w:left w:w="108" w:type="dxa"/>
              <w:bottom w:w="0" w:type="dxa"/>
              <w:right w:w="108" w:type="dxa"/>
            </w:tcMar>
            <w:vAlign w:val="center"/>
          </w:tcPr>
          <w:p w14:paraId="563432EB">
            <w:pPr>
              <w:widowControl/>
              <w:spacing w:line="276" w:lineRule="auto"/>
              <w:jc w:val="center"/>
              <w:textAlignment w:val="baseline"/>
              <w:rPr>
                <w:rFonts w:hint="eastAsia" w:cs="宋体"/>
                <w:kern w:val="0"/>
                <w:szCs w:val="21"/>
              </w:rPr>
            </w:pPr>
            <w:r>
              <w:rPr>
                <w:rFonts w:hint="eastAsia" w:cs="宋体"/>
                <w:kern w:val="0"/>
                <w:szCs w:val="21"/>
              </w:rPr>
              <w:t>便携式计算机</w:t>
            </w:r>
          </w:p>
        </w:tc>
        <w:tc>
          <w:tcPr>
            <w:tcW w:w="1682" w:type="pct"/>
            <w:vMerge w:val="continue"/>
            <w:shd w:val="clear" w:color="auto" w:fill="FFFFFF"/>
            <w:tcMar>
              <w:top w:w="0" w:type="dxa"/>
              <w:left w:w="0" w:type="dxa"/>
              <w:bottom w:w="0" w:type="dxa"/>
              <w:right w:w="0" w:type="dxa"/>
            </w:tcMar>
            <w:vAlign w:val="center"/>
          </w:tcPr>
          <w:p w14:paraId="563432EC">
            <w:pPr>
              <w:widowControl/>
              <w:spacing w:line="276" w:lineRule="auto"/>
              <w:jc w:val="center"/>
              <w:rPr>
                <w:rFonts w:hint="eastAsia" w:cs="宋体"/>
                <w:kern w:val="0"/>
                <w:szCs w:val="21"/>
              </w:rPr>
            </w:pPr>
          </w:p>
        </w:tc>
      </w:tr>
      <w:tr w14:paraId="56343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E">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F">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0">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1">
            <w:pPr>
              <w:widowControl/>
              <w:spacing w:line="276" w:lineRule="auto"/>
              <w:jc w:val="center"/>
              <w:textAlignment w:val="baseline"/>
              <w:rPr>
                <w:rFonts w:hint="eastAsia" w:cs="宋体"/>
                <w:kern w:val="0"/>
                <w:szCs w:val="21"/>
              </w:rPr>
            </w:pPr>
            <w:r>
              <w:rPr>
                <w:rFonts w:hint="eastAsia" w:cs="宋体"/>
                <w:kern w:val="0"/>
                <w:szCs w:val="21"/>
              </w:rPr>
              <w:t>A02010107</w:t>
            </w:r>
          </w:p>
        </w:tc>
        <w:tc>
          <w:tcPr>
            <w:tcW w:w="974" w:type="pct"/>
            <w:shd w:val="clear" w:color="auto" w:fill="FFFFFF"/>
            <w:tcMar>
              <w:top w:w="0" w:type="dxa"/>
              <w:left w:w="108" w:type="dxa"/>
              <w:bottom w:w="0" w:type="dxa"/>
              <w:right w:w="108" w:type="dxa"/>
            </w:tcMar>
            <w:vAlign w:val="center"/>
          </w:tcPr>
          <w:p w14:paraId="563432F2">
            <w:pPr>
              <w:widowControl/>
              <w:spacing w:line="276" w:lineRule="auto"/>
              <w:jc w:val="center"/>
              <w:textAlignment w:val="baseline"/>
              <w:rPr>
                <w:rFonts w:hint="eastAsia" w:cs="宋体"/>
                <w:kern w:val="0"/>
                <w:szCs w:val="21"/>
              </w:rPr>
            </w:pPr>
            <w:r>
              <w:rPr>
                <w:rFonts w:hint="eastAsia" w:cs="宋体"/>
                <w:kern w:val="0"/>
                <w:szCs w:val="21"/>
              </w:rPr>
              <w:t>平板式微型计算机</w:t>
            </w:r>
          </w:p>
        </w:tc>
        <w:tc>
          <w:tcPr>
            <w:tcW w:w="1682" w:type="pct"/>
            <w:vMerge w:val="continue"/>
            <w:shd w:val="clear" w:color="auto" w:fill="FFFFFF"/>
            <w:tcMar>
              <w:top w:w="0" w:type="dxa"/>
              <w:left w:w="0" w:type="dxa"/>
              <w:bottom w:w="0" w:type="dxa"/>
              <w:right w:w="0" w:type="dxa"/>
            </w:tcMar>
            <w:vAlign w:val="center"/>
          </w:tcPr>
          <w:p w14:paraId="563432F3">
            <w:pPr>
              <w:widowControl/>
              <w:spacing w:line="276" w:lineRule="auto"/>
              <w:jc w:val="center"/>
              <w:rPr>
                <w:rFonts w:hint="eastAsia" w:cs="宋体"/>
                <w:kern w:val="0"/>
                <w:szCs w:val="21"/>
              </w:rPr>
            </w:pPr>
          </w:p>
        </w:tc>
      </w:tr>
      <w:tr w14:paraId="56343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F5">
            <w:pPr>
              <w:widowControl/>
              <w:spacing w:line="276" w:lineRule="auto"/>
              <w:jc w:val="center"/>
              <w:textAlignment w:val="baseline"/>
              <w:rPr>
                <w:rFonts w:hint="eastAsia" w:cs="宋体"/>
                <w:kern w:val="0"/>
                <w:szCs w:val="21"/>
              </w:rPr>
            </w:pPr>
            <w:r>
              <w:rPr>
                <w:rFonts w:hint="eastAsia" w:cs="宋体"/>
                <w:kern w:val="0"/>
                <w:szCs w:val="21"/>
              </w:rPr>
              <w:t>2</w:t>
            </w:r>
          </w:p>
        </w:tc>
        <w:tc>
          <w:tcPr>
            <w:tcW w:w="569" w:type="pct"/>
            <w:vMerge w:val="restart"/>
            <w:shd w:val="clear" w:color="auto" w:fill="FFFFFF"/>
            <w:tcMar>
              <w:top w:w="0" w:type="dxa"/>
              <w:left w:w="108" w:type="dxa"/>
              <w:bottom w:w="0" w:type="dxa"/>
              <w:right w:w="108" w:type="dxa"/>
            </w:tcMar>
            <w:vAlign w:val="center"/>
          </w:tcPr>
          <w:p w14:paraId="563432F6">
            <w:pPr>
              <w:widowControl/>
              <w:spacing w:line="276" w:lineRule="auto"/>
              <w:jc w:val="center"/>
              <w:textAlignment w:val="baseline"/>
              <w:rPr>
                <w:rFonts w:hint="eastAsia" w:cs="宋体"/>
                <w:kern w:val="0"/>
                <w:szCs w:val="21"/>
              </w:rPr>
            </w:pPr>
            <w:r>
              <w:rPr>
                <w:rFonts w:hint="eastAsia" w:cs="宋体"/>
                <w:kern w:val="0"/>
                <w:szCs w:val="21"/>
              </w:rPr>
              <w:t>A020106</w:t>
            </w:r>
          </w:p>
        </w:tc>
        <w:tc>
          <w:tcPr>
            <w:tcW w:w="819" w:type="pct"/>
            <w:vMerge w:val="restart"/>
            <w:shd w:val="clear" w:color="auto" w:fill="FFFFFF"/>
            <w:tcMar>
              <w:top w:w="0" w:type="dxa"/>
              <w:left w:w="108" w:type="dxa"/>
              <w:bottom w:w="0" w:type="dxa"/>
              <w:right w:w="108" w:type="dxa"/>
            </w:tcMar>
            <w:vAlign w:val="center"/>
          </w:tcPr>
          <w:p w14:paraId="563432F7">
            <w:pPr>
              <w:widowControl/>
              <w:spacing w:line="276" w:lineRule="auto"/>
              <w:jc w:val="center"/>
              <w:textAlignment w:val="baseline"/>
              <w:rPr>
                <w:rFonts w:hint="eastAsia" w:cs="宋体"/>
                <w:kern w:val="0"/>
                <w:szCs w:val="21"/>
              </w:rPr>
            </w:pPr>
            <w:r>
              <w:rPr>
                <w:rFonts w:hint="eastAsia" w:cs="宋体"/>
                <w:kern w:val="0"/>
                <w:szCs w:val="21"/>
              </w:rPr>
              <w:t>输入输出设备</w:t>
            </w:r>
          </w:p>
        </w:tc>
        <w:tc>
          <w:tcPr>
            <w:tcW w:w="688" w:type="pct"/>
            <w:shd w:val="clear" w:color="auto" w:fill="FFFFFF"/>
            <w:tcMar>
              <w:top w:w="0" w:type="dxa"/>
              <w:left w:w="108" w:type="dxa"/>
              <w:bottom w:w="0" w:type="dxa"/>
              <w:right w:w="108" w:type="dxa"/>
            </w:tcMar>
            <w:vAlign w:val="center"/>
          </w:tcPr>
          <w:p w14:paraId="563432F8">
            <w:pPr>
              <w:widowControl/>
              <w:spacing w:line="276" w:lineRule="auto"/>
              <w:jc w:val="center"/>
              <w:textAlignment w:val="baseline"/>
              <w:rPr>
                <w:rFonts w:hint="eastAsia" w:cs="宋体"/>
                <w:kern w:val="0"/>
                <w:szCs w:val="21"/>
              </w:rPr>
            </w:pPr>
            <w:r>
              <w:rPr>
                <w:rFonts w:hint="eastAsia" w:cs="宋体"/>
                <w:kern w:val="0"/>
                <w:szCs w:val="21"/>
              </w:rPr>
              <w:t>A02010601</w:t>
            </w:r>
          </w:p>
        </w:tc>
        <w:tc>
          <w:tcPr>
            <w:tcW w:w="974" w:type="pct"/>
            <w:shd w:val="clear" w:color="auto" w:fill="FFFFFF"/>
            <w:tcMar>
              <w:top w:w="0" w:type="dxa"/>
              <w:left w:w="108" w:type="dxa"/>
              <w:bottom w:w="0" w:type="dxa"/>
              <w:right w:w="108" w:type="dxa"/>
            </w:tcMar>
            <w:vAlign w:val="center"/>
          </w:tcPr>
          <w:p w14:paraId="563432F9">
            <w:pPr>
              <w:widowControl/>
              <w:spacing w:line="276" w:lineRule="auto"/>
              <w:jc w:val="center"/>
              <w:textAlignment w:val="baseline"/>
              <w:rPr>
                <w:rFonts w:hint="eastAsia" w:cs="宋体"/>
                <w:kern w:val="0"/>
                <w:szCs w:val="21"/>
              </w:rPr>
            </w:pPr>
            <w:r>
              <w:rPr>
                <w:rFonts w:hint="eastAsia" w:cs="宋体"/>
                <w:kern w:val="0"/>
                <w:szCs w:val="21"/>
              </w:rPr>
              <w:t>打印设备</w:t>
            </w:r>
          </w:p>
        </w:tc>
        <w:tc>
          <w:tcPr>
            <w:tcW w:w="1682" w:type="pct"/>
            <w:vMerge w:val="continue"/>
            <w:shd w:val="clear" w:color="auto" w:fill="FFFFFF"/>
            <w:tcMar>
              <w:top w:w="0" w:type="dxa"/>
              <w:left w:w="0" w:type="dxa"/>
              <w:bottom w:w="0" w:type="dxa"/>
              <w:right w:w="0" w:type="dxa"/>
            </w:tcMar>
            <w:vAlign w:val="center"/>
          </w:tcPr>
          <w:p w14:paraId="563432FA">
            <w:pPr>
              <w:widowControl/>
              <w:spacing w:line="276" w:lineRule="auto"/>
              <w:jc w:val="center"/>
              <w:rPr>
                <w:rFonts w:hint="eastAsia" w:cs="宋体"/>
                <w:kern w:val="0"/>
                <w:szCs w:val="21"/>
              </w:rPr>
            </w:pPr>
          </w:p>
        </w:tc>
      </w:tr>
      <w:tr w14:paraId="56343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FC">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FD">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E">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F">
            <w:pPr>
              <w:widowControl/>
              <w:spacing w:line="276" w:lineRule="auto"/>
              <w:jc w:val="center"/>
              <w:textAlignment w:val="baseline"/>
              <w:rPr>
                <w:rFonts w:hint="eastAsia" w:cs="宋体"/>
                <w:kern w:val="0"/>
                <w:szCs w:val="21"/>
              </w:rPr>
            </w:pPr>
            <w:r>
              <w:rPr>
                <w:rFonts w:hint="eastAsia" w:cs="宋体"/>
                <w:kern w:val="0"/>
                <w:szCs w:val="21"/>
              </w:rPr>
              <w:t>A02010604</w:t>
            </w:r>
          </w:p>
        </w:tc>
        <w:tc>
          <w:tcPr>
            <w:tcW w:w="974" w:type="pct"/>
            <w:shd w:val="clear" w:color="auto" w:fill="FFFFFF"/>
            <w:tcMar>
              <w:top w:w="0" w:type="dxa"/>
              <w:left w:w="108" w:type="dxa"/>
              <w:bottom w:w="0" w:type="dxa"/>
              <w:right w:w="108" w:type="dxa"/>
            </w:tcMar>
            <w:vAlign w:val="center"/>
          </w:tcPr>
          <w:p w14:paraId="56343300">
            <w:pPr>
              <w:widowControl/>
              <w:spacing w:line="276" w:lineRule="auto"/>
              <w:jc w:val="center"/>
              <w:textAlignment w:val="baseline"/>
              <w:rPr>
                <w:rFonts w:hint="eastAsia" w:cs="宋体"/>
                <w:kern w:val="0"/>
                <w:szCs w:val="21"/>
              </w:rPr>
            </w:pPr>
            <w:r>
              <w:rPr>
                <w:rFonts w:hint="eastAsia" w:cs="宋体"/>
                <w:kern w:val="0"/>
                <w:szCs w:val="21"/>
              </w:rPr>
              <w:t>显示设备</w:t>
            </w:r>
          </w:p>
        </w:tc>
        <w:tc>
          <w:tcPr>
            <w:tcW w:w="1682" w:type="pct"/>
            <w:vMerge w:val="continue"/>
            <w:shd w:val="clear" w:color="auto" w:fill="FFFFFF"/>
            <w:tcMar>
              <w:top w:w="0" w:type="dxa"/>
              <w:left w:w="0" w:type="dxa"/>
              <w:bottom w:w="0" w:type="dxa"/>
              <w:right w:w="0" w:type="dxa"/>
            </w:tcMar>
            <w:vAlign w:val="center"/>
          </w:tcPr>
          <w:p w14:paraId="56343301">
            <w:pPr>
              <w:widowControl/>
              <w:spacing w:line="276" w:lineRule="auto"/>
              <w:jc w:val="center"/>
              <w:rPr>
                <w:rFonts w:hint="eastAsia" w:cs="宋体"/>
                <w:kern w:val="0"/>
                <w:szCs w:val="21"/>
              </w:rPr>
            </w:pPr>
          </w:p>
        </w:tc>
      </w:tr>
      <w:tr w14:paraId="56343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03">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04">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05">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06">
            <w:pPr>
              <w:widowControl/>
              <w:spacing w:line="276" w:lineRule="auto"/>
              <w:jc w:val="center"/>
              <w:textAlignment w:val="baseline"/>
              <w:rPr>
                <w:rFonts w:hint="eastAsia" w:cs="宋体"/>
                <w:kern w:val="0"/>
                <w:szCs w:val="21"/>
              </w:rPr>
            </w:pPr>
            <w:r>
              <w:rPr>
                <w:rFonts w:hint="eastAsia" w:cs="宋体"/>
                <w:kern w:val="0"/>
                <w:szCs w:val="21"/>
              </w:rPr>
              <w:t>A02010609</w:t>
            </w:r>
          </w:p>
        </w:tc>
        <w:tc>
          <w:tcPr>
            <w:tcW w:w="974" w:type="pct"/>
            <w:shd w:val="clear" w:color="auto" w:fill="FFFFFF"/>
            <w:tcMar>
              <w:top w:w="0" w:type="dxa"/>
              <w:left w:w="108" w:type="dxa"/>
              <w:bottom w:w="0" w:type="dxa"/>
              <w:right w:w="108" w:type="dxa"/>
            </w:tcMar>
            <w:vAlign w:val="center"/>
          </w:tcPr>
          <w:p w14:paraId="56343307">
            <w:pPr>
              <w:widowControl/>
              <w:spacing w:line="276" w:lineRule="auto"/>
              <w:jc w:val="center"/>
              <w:textAlignment w:val="baseline"/>
              <w:rPr>
                <w:rFonts w:hint="eastAsia" w:cs="宋体"/>
                <w:kern w:val="0"/>
                <w:szCs w:val="21"/>
              </w:rPr>
            </w:pPr>
            <w:r>
              <w:rPr>
                <w:rFonts w:hint="eastAsia" w:cs="宋体"/>
                <w:kern w:val="0"/>
                <w:szCs w:val="21"/>
              </w:rPr>
              <w:t>图形图像输入设备</w:t>
            </w:r>
          </w:p>
        </w:tc>
        <w:tc>
          <w:tcPr>
            <w:tcW w:w="1682" w:type="pct"/>
            <w:vMerge w:val="continue"/>
            <w:shd w:val="clear" w:color="auto" w:fill="FFFFFF"/>
            <w:tcMar>
              <w:top w:w="0" w:type="dxa"/>
              <w:left w:w="0" w:type="dxa"/>
              <w:bottom w:w="0" w:type="dxa"/>
              <w:right w:w="0" w:type="dxa"/>
            </w:tcMar>
            <w:vAlign w:val="center"/>
          </w:tcPr>
          <w:p w14:paraId="56343308">
            <w:pPr>
              <w:widowControl/>
              <w:spacing w:line="276" w:lineRule="auto"/>
              <w:jc w:val="center"/>
              <w:rPr>
                <w:rFonts w:hint="eastAsia" w:cs="宋体"/>
                <w:kern w:val="0"/>
                <w:szCs w:val="21"/>
              </w:rPr>
            </w:pPr>
          </w:p>
        </w:tc>
      </w:tr>
      <w:tr w14:paraId="56343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0A">
            <w:pPr>
              <w:widowControl/>
              <w:spacing w:line="276" w:lineRule="auto"/>
              <w:jc w:val="center"/>
              <w:textAlignment w:val="baseline"/>
              <w:rPr>
                <w:rFonts w:hint="eastAsia" w:cs="宋体"/>
                <w:kern w:val="0"/>
                <w:szCs w:val="21"/>
              </w:rPr>
            </w:pPr>
            <w:r>
              <w:rPr>
                <w:rFonts w:hint="eastAsia" w:cs="宋体"/>
                <w:kern w:val="0"/>
                <w:szCs w:val="21"/>
              </w:rPr>
              <w:t>3</w:t>
            </w:r>
          </w:p>
        </w:tc>
        <w:tc>
          <w:tcPr>
            <w:tcW w:w="569" w:type="pct"/>
            <w:shd w:val="clear" w:color="auto" w:fill="FFFFFF"/>
            <w:tcMar>
              <w:top w:w="0" w:type="dxa"/>
              <w:left w:w="108" w:type="dxa"/>
              <w:bottom w:w="0" w:type="dxa"/>
              <w:right w:w="108" w:type="dxa"/>
            </w:tcMar>
            <w:vAlign w:val="center"/>
          </w:tcPr>
          <w:p w14:paraId="5634330B">
            <w:pPr>
              <w:widowControl/>
              <w:spacing w:line="276" w:lineRule="auto"/>
              <w:jc w:val="center"/>
              <w:textAlignment w:val="baseline"/>
              <w:rPr>
                <w:rFonts w:hint="eastAsia" w:cs="宋体"/>
                <w:kern w:val="0"/>
                <w:szCs w:val="21"/>
              </w:rPr>
            </w:pPr>
            <w:r>
              <w:rPr>
                <w:rFonts w:hint="eastAsia" w:cs="宋体"/>
                <w:kern w:val="0"/>
                <w:szCs w:val="21"/>
              </w:rPr>
              <w:t>A020202</w:t>
            </w:r>
          </w:p>
        </w:tc>
        <w:tc>
          <w:tcPr>
            <w:tcW w:w="819" w:type="pct"/>
            <w:shd w:val="clear" w:color="auto" w:fill="FFFFFF"/>
            <w:tcMar>
              <w:top w:w="0" w:type="dxa"/>
              <w:left w:w="108" w:type="dxa"/>
              <w:bottom w:w="0" w:type="dxa"/>
              <w:right w:w="108" w:type="dxa"/>
            </w:tcMar>
            <w:vAlign w:val="center"/>
          </w:tcPr>
          <w:p w14:paraId="5634330C">
            <w:pPr>
              <w:widowControl/>
              <w:spacing w:line="276" w:lineRule="auto"/>
              <w:jc w:val="center"/>
              <w:textAlignment w:val="baseline"/>
              <w:rPr>
                <w:rFonts w:hint="eastAsia" w:cs="宋体"/>
                <w:kern w:val="0"/>
                <w:szCs w:val="21"/>
              </w:rPr>
            </w:pPr>
            <w:r>
              <w:rPr>
                <w:rFonts w:hint="eastAsia" w:cs="宋体"/>
                <w:kern w:val="0"/>
                <w:szCs w:val="21"/>
              </w:rPr>
              <w:t>投影仪</w:t>
            </w:r>
          </w:p>
        </w:tc>
        <w:tc>
          <w:tcPr>
            <w:tcW w:w="688" w:type="pct"/>
            <w:shd w:val="clear" w:color="auto" w:fill="FFFFFF"/>
            <w:tcMar>
              <w:top w:w="0" w:type="dxa"/>
              <w:left w:w="108" w:type="dxa"/>
              <w:bottom w:w="0" w:type="dxa"/>
              <w:right w:w="108" w:type="dxa"/>
            </w:tcMar>
            <w:vAlign w:val="center"/>
          </w:tcPr>
          <w:p w14:paraId="5634330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0E">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0F">
            <w:pPr>
              <w:widowControl/>
              <w:spacing w:line="276" w:lineRule="auto"/>
              <w:jc w:val="center"/>
              <w:rPr>
                <w:rFonts w:hint="eastAsia" w:cs="宋体"/>
                <w:kern w:val="0"/>
                <w:szCs w:val="21"/>
              </w:rPr>
            </w:pPr>
          </w:p>
        </w:tc>
      </w:tr>
      <w:tr w14:paraId="56343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1">
            <w:pPr>
              <w:widowControl/>
              <w:spacing w:line="276" w:lineRule="auto"/>
              <w:jc w:val="center"/>
              <w:textAlignment w:val="baseline"/>
              <w:rPr>
                <w:rFonts w:hint="eastAsia" w:cs="宋体"/>
                <w:kern w:val="0"/>
                <w:szCs w:val="21"/>
              </w:rPr>
            </w:pPr>
            <w:r>
              <w:rPr>
                <w:rFonts w:hint="eastAsia" w:cs="宋体"/>
                <w:kern w:val="0"/>
                <w:szCs w:val="21"/>
              </w:rPr>
              <w:t>4</w:t>
            </w:r>
          </w:p>
        </w:tc>
        <w:tc>
          <w:tcPr>
            <w:tcW w:w="569" w:type="pct"/>
            <w:shd w:val="clear" w:color="auto" w:fill="FFFFFF"/>
            <w:tcMar>
              <w:top w:w="0" w:type="dxa"/>
              <w:left w:w="108" w:type="dxa"/>
              <w:bottom w:w="0" w:type="dxa"/>
              <w:right w:w="108" w:type="dxa"/>
            </w:tcMar>
            <w:vAlign w:val="center"/>
          </w:tcPr>
          <w:p w14:paraId="56343312">
            <w:pPr>
              <w:widowControl/>
              <w:spacing w:line="276" w:lineRule="auto"/>
              <w:jc w:val="center"/>
              <w:textAlignment w:val="baseline"/>
              <w:rPr>
                <w:rFonts w:hint="eastAsia" w:cs="宋体"/>
                <w:kern w:val="0"/>
                <w:szCs w:val="21"/>
              </w:rPr>
            </w:pPr>
            <w:r>
              <w:rPr>
                <w:rFonts w:hint="eastAsia" w:cs="宋体"/>
                <w:kern w:val="0"/>
                <w:szCs w:val="21"/>
              </w:rPr>
              <w:t>A020204</w:t>
            </w:r>
          </w:p>
        </w:tc>
        <w:tc>
          <w:tcPr>
            <w:tcW w:w="819" w:type="pct"/>
            <w:shd w:val="clear" w:color="auto" w:fill="FFFFFF"/>
            <w:tcMar>
              <w:top w:w="0" w:type="dxa"/>
              <w:left w:w="108" w:type="dxa"/>
              <w:bottom w:w="0" w:type="dxa"/>
              <w:right w:w="108" w:type="dxa"/>
            </w:tcMar>
            <w:vAlign w:val="center"/>
          </w:tcPr>
          <w:p w14:paraId="56343313">
            <w:pPr>
              <w:widowControl/>
              <w:spacing w:line="276" w:lineRule="auto"/>
              <w:jc w:val="center"/>
              <w:textAlignment w:val="baseline"/>
              <w:rPr>
                <w:rFonts w:hint="eastAsia" w:cs="宋体"/>
                <w:kern w:val="0"/>
                <w:szCs w:val="21"/>
              </w:rPr>
            </w:pPr>
            <w:r>
              <w:rPr>
                <w:rFonts w:hint="eastAsia" w:cs="宋体"/>
                <w:kern w:val="0"/>
                <w:szCs w:val="21"/>
              </w:rPr>
              <w:t>多功能一体机</w:t>
            </w:r>
          </w:p>
        </w:tc>
        <w:tc>
          <w:tcPr>
            <w:tcW w:w="688" w:type="pct"/>
            <w:shd w:val="clear" w:color="auto" w:fill="FFFFFF"/>
            <w:tcMar>
              <w:top w:w="0" w:type="dxa"/>
              <w:left w:w="108" w:type="dxa"/>
              <w:bottom w:w="0" w:type="dxa"/>
              <w:right w:w="108" w:type="dxa"/>
            </w:tcMar>
            <w:vAlign w:val="center"/>
          </w:tcPr>
          <w:p w14:paraId="56343314">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15">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16">
            <w:pPr>
              <w:widowControl/>
              <w:spacing w:line="276" w:lineRule="auto"/>
              <w:jc w:val="center"/>
              <w:rPr>
                <w:rFonts w:hint="eastAsia" w:cs="宋体"/>
                <w:kern w:val="0"/>
                <w:szCs w:val="21"/>
              </w:rPr>
            </w:pPr>
          </w:p>
        </w:tc>
      </w:tr>
      <w:tr w14:paraId="56343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8">
            <w:pPr>
              <w:widowControl/>
              <w:spacing w:line="276" w:lineRule="auto"/>
              <w:jc w:val="center"/>
              <w:textAlignment w:val="baseline"/>
              <w:rPr>
                <w:rFonts w:hint="eastAsia" w:cs="宋体"/>
                <w:kern w:val="0"/>
                <w:szCs w:val="21"/>
              </w:rPr>
            </w:pPr>
            <w:r>
              <w:rPr>
                <w:rFonts w:hint="eastAsia" w:cs="宋体"/>
                <w:kern w:val="0"/>
                <w:szCs w:val="21"/>
              </w:rPr>
              <w:t>5</w:t>
            </w:r>
          </w:p>
        </w:tc>
        <w:tc>
          <w:tcPr>
            <w:tcW w:w="569" w:type="pct"/>
            <w:shd w:val="clear" w:color="auto" w:fill="FFFFFF"/>
            <w:tcMar>
              <w:top w:w="0" w:type="dxa"/>
              <w:left w:w="108" w:type="dxa"/>
              <w:bottom w:w="0" w:type="dxa"/>
              <w:right w:w="108" w:type="dxa"/>
            </w:tcMar>
            <w:vAlign w:val="center"/>
          </w:tcPr>
          <w:p w14:paraId="56343319">
            <w:pPr>
              <w:widowControl/>
              <w:spacing w:line="276" w:lineRule="auto"/>
              <w:jc w:val="center"/>
              <w:textAlignment w:val="baseline"/>
              <w:rPr>
                <w:rFonts w:hint="eastAsia" w:cs="宋体"/>
                <w:kern w:val="0"/>
                <w:szCs w:val="21"/>
              </w:rPr>
            </w:pPr>
            <w:r>
              <w:rPr>
                <w:rFonts w:hint="eastAsia" w:cs="宋体"/>
                <w:kern w:val="0"/>
                <w:szCs w:val="21"/>
              </w:rPr>
              <w:t>A020519</w:t>
            </w:r>
          </w:p>
        </w:tc>
        <w:tc>
          <w:tcPr>
            <w:tcW w:w="819" w:type="pct"/>
            <w:shd w:val="clear" w:color="auto" w:fill="FFFFFF"/>
            <w:tcMar>
              <w:top w:w="0" w:type="dxa"/>
              <w:left w:w="108" w:type="dxa"/>
              <w:bottom w:w="0" w:type="dxa"/>
              <w:right w:w="108" w:type="dxa"/>
            </w:tcMar>
            <w:vAlign w:val="center"/>
          </w:tcPr>
          <w:p w14:paraId="5634331A">
            <w:pPr>
              <w:widowControl/>
              <w:spacing w:line="276" w:lineRule="auto"/>
              <w:jc w:val="center"/>
              <w:textAlignment w:val="baseline"/>
              <w:rPr>
                <w:rFonts w:hint="eastAsia" w:cs="宋体"/>
                <w:kern w:val="0"/>
                <w:szCs w:val="21"/>
              </w:rPr>
            </w:pPr>
            <w:r>
              <w:rPr>
                <w:rFonts w:hint="eastAsia" w:cs="宋体"/>
                <w:kern w:val="0"/>
                <w:szCs w:val="21"/>
              </w:rPr>
              <w:t>泵</w:t>
            </w:r>
          </w:p>
        </w:tc>
        <w:tc>
          <w:tcPr>
            <w:tcW w:w="688" w:type="pct"/>
            <w:shd w:val="clear" w:color="auto" w:fill="FFFFFF"/>
            <w:tcMar>
              <w:top w:w="0" w:type="dxa"/>
              <w:left w:w="108" w:type="dxa"/>
              <w:bottom w:w="0" w:type="dxa"/>
              <w:right w:w="108" w:type="dxa"/>
            </w:tcMar>
            <w:vAlign w:val="center"/>
          </w:tcPr>
          <w:p w14:paraId="5634331B">
            <w:pPr>
              <w:widowControl/>
              <w:spacing w:line="276" w:lineRule="auto"/>
              <w:jc w:val="center"/>
              <w:textAlignment w:val="baseline"/>
              <w:rPr>
                <w:rFonts w:hint="eastAsia" w:cs="宋体"/>
                <w:kern w:val="0"/>
                <w:szCs w:val="21"/>
              </w:rPr>
            </w:pPr>
            <w:r>
              <w:rPr>
                <w:rFonts w:hint="eastAsia" w:cs="宋体"/>
                <w:kern w:val="0"/>
                <w:szCs w:val="21"/>
              </w:rPr>
              <w:t>A02051901</w:t>
            </w:r>
          </w:p>
        </w:tc>
        <w:tc>
          <w:tcPr>
            <w:tcW w:w="974" w:type="pct"/>
            <w:shd w:val="clear" w:color="auto" w:fill="FFFFFF"/>
            <w:tcMar>
              <w:top w:w="0" w:type="dxa"/>
              <w:left w:w="108" w:type="dxa"/>
              <w:bottom w:w="0" w:type="dxa"/>
              <w:right w:w="108" w:type="dxa"/>
            </w:tcMar>
            <w:vAlign w:val="center"/>
          </w:tcPr>
          <w:p w14:paraId="5634331C">
            <w:pPr>
              <w:widowControl/>
              <w:spacing w:line="276" w:lineRule="auto"/>
              <w:jc w:val="center"/>
              <w:textAlignment w:val="baseline"/>
              <w:rPr>
                <w:rFonts w:hint="eastAsia" w:cs="宋体"/>
                <w:kern w:val="0"/>
                <w:szCs w:val="21"/>
              </w:rPr>
            </w:pPr>
            <w:r>
              <w:rPr>
                <w:rFonts w:hint="eastAsia" w:cs="宋体"/>
                <w:kern w:val="0"/>
                <w:szCs w:val="21"/>
              </w:rPr>
              <w:t>离心泵</w:t>
            </w:r>
          </w:p>
        </w:tc>
        <w:tc>
          <w:tcPr>
            <w:tcW w:w="1682" w:type="pct"/>
            <w:shd w:val="clear" w:color="auto" w:fill="FFFFFF"/>
            <w:tcMar>
              <w:top w:w="0" w:type="dxa"/>
              <w:left w:w="108" w:type="dxa"/>
              <w:bottom w:w="0" w:type="dxa"/>
              <w:right w:w="108" w:type="dxa"/>
            </w:tcMar>
            <w:vAlign w:val="center"/>
          </w:tcPr>
          <w:p w14:paraId="5634331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1E">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1F">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21">
            <w:pPr>
              <w:widowControl/>
              <w:spacing w:line="276" w:lineRule="auto"/>
              <w:jc w:val="center"/>
              <w:textAlignment w:val="baseline"/>
              <w:rPr>
                <w:rFonts w:hint="eastAsia" w:cs="宋体"/>
                <w:kern w:val="0"/>
                <w:szCs w:val="21"/>
              </w:rPr>
            </w:pPr>
            <w:r>
              <w:rPr>
                <w:rFonts w:hint="eastAsia" w:cs="宋体"/>
                <w:kern w:val="0"/>
                <w:szCs w:val="21"/>
              </w:rPr>
              <w:t>6</w:t>
            </w:r>
          </w:p>
        </w:tc>
        <w:tc>
          <w:tcPr>
            <w:tcW w:w="569" w:type="pct"/>
            <w:vMerge w:val="restart"/>
            <w:shd w:val="clear" w:color="auto" w:fill="FFFFFF"/>
            <w:tcMar>
              <w:top w:w="0" w:type="dxa"/>
              <w:left w:w="108" w:type="dxa"/>
              <w:bottom w:w="0" w:type="dxa"/>
              <w:right w:w="108" w:type="dxa"/>
            </w:tcMar>
            <w:vAlign w:val="center"/>
          </w:tcPr>
          <w:p w14:paraId="56343322">
            <w:pPr>
              <w:widowControl/>
              <w:spacing w:line="276" w:lineRule="auto"/>
              <w:jc w:val="center"/>
              <w:textAlignment w:val="baseline"/>
              <w:rPr>
                <w:rFonts w:hint="eastAsia" w:cs="宋体"/>
                <w:kern w:val="0"/>
                <w:szCs w:val="21"/>
              </w:rPr>
            </w:pPr>
            <w:r>
              <w:rPr>
                <w:rFonts w:hint="eastAsia" w:cs="宋体"/>
                <w:kern w:val="0"/>
                <w:szCs w:val="21"/>
              </w:rPr>
              <w:t>A020523</w:t>
            </w:r>
          </w:p>
        </w:tc>
        <w:tc>
          <w:tcPr>
            <w:tcW w:w="819" w:type="pct"/>
            <w:vMerge w:val="restart"/>
            <w:shd w:val="clear" w:color="auto" w:fill="FFFFFF"/>
            <w:tcMar>
              <w:top w:w="0" w:type="dxa"/>
              <w:left w:w="108" w:type="dxa"/>
              <w:bottom w:w="0" w:type="dxa"/>
              <w:right w:w="108" w:type="dxa"/>
            </w:tcMar>
            <w:vAlign w:val="center"/>
          </w:tcPr>
          <w:p w14:paraId="56343323">
            <w:pPr>
              <w:widowControl/>
              <w:spacing w:line="276" w:lineRule="auto"/>
              <w:jc w:val="center"/>
              <w:textAlignment w:val="baseline"/>
              <w:rPr>
                <w:rFonts w:hint="eastAsia" w:cs="宋体"/>
                <w:kern w:val="0"/>
                <w:szCs w:val="21"/>
              </w:rPr>
            </w:pPr>
            <w:r>
              <w:rPr>
                <w:rFonts w:hint="eastAsia" w:cs="宋体"/>
                <w:kern w:val="0"/>
                <w:szCs w:val="21"/>
              </w:rPr>
              <w:t>制冷空调设备</w:t>
            </w:r>
          </w:p>
        </w:tc>
        <w:tc>
          <w:tcPr>
            <w:tcW w:w="688" w:type="pct"/>
            <w:shd w:val="clear" w:color="auto" w:fill="FFFFFF"/>
            <w:tcMar>
              <w:top w:w="0" w:type="dxa"/>
              <w:left w:w="108" w:type="dxa"/>
              <w:bottom w:w="0" w:type="dxa"/>
              <w:right w:w="108" w:type="dxa"/>
            </w:tcMar>
            <w:vAlign w:val="center"/>
          </w:tcPr>
          <w:p w14:paraId="56343324">
            <w:pPr>
              <w:widowControl/>
              <w:spacing w:line="276" w:lineRule="auto"/>
              <w:jc w:val="center"/>
              <w:textAlignment w:val="baseline"/>
              <w:rPr>
                <w:rFonts w:hint="eastAsia" w:cs="宋体"/>
                <w:kern w:val="0"/>
                <w:szCs w:val="21"/>
              </w:rPr>
            </w:pPr>
            <w:r>
              <w:rPr>
                <w:rFonts w:hint="eastAsia" w:cs="宋体"/>
                <w:kern w:val="0"/>
                <w:szCs w:val="21"/>
              </w:rPr>
              <w:t>A02052301</w:t>
            </w:r>
          </w:p>
        </w:tc>
        <w:tc>
          <w:tcPr>
            <w:tcW w:w="974" w:type="pct"/>
            <w:shd w:val="clear" w:color="auto" w:fill="FFFFFF"/>
            <w:tcMar>
              <w:top w:w="0" w:type="dxa"/>
              <w:left w:w="108" w:type="dxa"/>
              <w:bottom w:w="0" w:type="dxa"/>
              <w:right w:w="108" w:type="dxa"/>
            </w:tcMar>
            <w:vAlign w:val="center"/>
          </w:tcPr>
          <w:p w14:paraId="56343325">
            <w:pPr>
              <w:widowControl/>
              <w:spacing w:line="276" w:lineRule="auto"/>
              <w:jc w:val="center"/>
              <w:textAlignment w:val="baseline"/>
              <w:rPr>
                <w:rFonts w:hint="eastAsia" w:cs="宋体"/>
                <w:kern w:val="0"/>
                <w:szCs w:val="21"/>
              </w:rPr>
            </w:pPr>
            <w:r>
              <w:rPr>
                <w:rFonts w:hint="eastAsia" w:cs="宋体"/>
                <w:kern w:val="0"/>
                <w:szCs w:val="21"/>
              </w:rPr>
              <w:t>制冷压缩机</w:t>
            </w:r>
          </w:p>
        </w:tc>
        <w:tc>
          <w:tcPr>
            <w:tcW w:w="1682" w:type="pct"/>
            <w:vMerge w:val="restart"/>
            <w:shd w:val="clear" w:color="auto" w:fill="FFFFFF"/>
            <w:tcMar>
              <w:top w:w="0" w:type="dxa"/>
              <w:left w:w="108" w:type="dxa"/>
              <w:bottom w:w="0" w:type="dxa"/>
              <w:right w:w="108" w:type="dxa"/>
            </w:tcMar>
            <w:vAlign w:val="center"/>
          </w:tcPr>
          <w:p w14:paraId="56343326">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27">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28">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p w14:paraId="56343329">
            <w:pPr>
              <w:widowControl/>
              <w:spacing w:line="276" w:lineRule="auto"/>
              <w:jc w:val="center"/>
              <w:textAlignment w:val="baseline"/>
              <w:rPr>
                <w:rFonts w:hint="eastAsia" w:cs="宋体"/>
                <w:kern w:val="0"/>
                <w:szCs w:val="21"/>
              </w:rPr>
            </w:pPr>
            <w:r>
              <w:rPr>
                <w:rFonts w:hint="eastAsia" w:cs="宋体"/>
                <w:kern w:val="0"/>
                <w:szCs w:val="21"/>
              </w:rPr>
              <w:t>北京中冷通质量认证中心有限公司</w:t>
            </w:r>
          </w:p>
        </w:tc>
      </w:tr>
      <w:tr w14:paraId="56343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2B">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2C">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2D">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2E">
            <w:pPr>
              <w:widowControl/>
              <w:spacing w:line="276" w:lineRule="auto"/>
              <w:jc w:val="center"/>
              <w:textAlignment w:val="baseline"/>
              <w:rPr>
                <w:rFonts w:hint="eastAsia" w:cs="宋体"/>
                <w:kern w:val="0"/>
                <w:szCs w:val="21"/>
              </w:rPr>
            </w:pPr>
            <w:r>
              <w:rPr>
                <w:rFonts w:hint="eastAsia" w:cs="宋体"/>
                <w:kern w:val="0"/>
                <w:szCs w:val="21"/>
              </w:rPr>
              <w:t>A02052305</w:t>
            </w:r>
          </w:p>
        </w:tc>
        <w:tc>
          <w:tcPr>
            <w:tcW w:w="974" w:type="pct"/>
            <w:shd w:val="clear" w:color="auto" w:fill="FFFFFF"/>
            <w:tcMar>
              <w:top w:w="0" w:type="dxa"/>
              <w:left w:w="108" w:type="dxa"/>
              <w:bottom w:w="0" w:type="dxa"/>
              <w:right w:w="108" w:type="dxa"/>
            </w:tcMar>
            <w:vAlign w:val="center"/>
          </w:tcPr>
          <w:p w14:paraId="5634332F">
            <w:pPr>
              <w:widowControl/>
              <w:spacing w:line="276" w:lineRule="auto"/>
              <w:jc w:val="center"/>
              <w:textAlignment w:val="baseline"/>
              <w:rPr>
                <w:rFonts w:hint="eastAsia" w:cs="宋体"/>
                <w:kern w:val="0"/>
                <w:szCs w:val="21"/>
              </w:rPr>
            </w:pPr>
            <w:r>
              <w:rPr>
                <w:rFonts w:hint="eastAsia" w:cs="宋体"/>
                <w:kern w:val="0"/>
                <w:szCs w:val="21"/>
              </w:rPr>
              <w:t>空调机组</w:t>
            </w:r>
          </w:p>
        </w:tc>
        <w:tc>
          <w:tcPr>
            <w:tcW w:w="1682" w:type="pct"/>
            <w:vMerge w:val="continue"/>
            <w:shd w:val="clear" w:color="auto" w:fill="FFFFFF"/>
            <w:tcMar>
              <w:top w:w="0" w:type="dxa"/>
              <w:left w:w="0" w:type="dxa"/>
              <w:bottom w:w="0" w:type="dxa"/>
              <w:right w:w="0" w:type="dxa"/>
            </w:tcMar>
            <w:vAlign w:val="center"/>
          </w:tcPr>
          <w:p w14:paraId="56343330">
            <w:pPr>
              <w:widowControl/>
              <w:spacing w:line="276" w:lineRule="auto"/>
              <w:jc w:val="center"/>
              <w:rPr>
                <w:rFonts w:hint="eastAsia" w:cs="宋体"/>
                <w:kern w:val="0"/>
                <w:szCs w:val="21"/>
              </w:rPr>
            </w:pPr>
          </w:p>
        </w:tc>
      </w:tr>
      <w:tr w14:paraId="56343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2">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3">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4">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5">
            <w:pPr>
              <w:widowControl/>
              <w:spacing w:line="276" w:lineRule="auto"/>
              <w:jc w:val="center"/>
              <w:textAlignment w:val="baseline"/>
              <w:rPr>
                <w:rFonts w:hint="eastAsia" w:cs="宋体"/>
                <w:kern w:val="0"/>
                <w:szCs w:val="21"/>
              </w:rPr>
            </w:pPr>
            <w:r>
              <w:rPr>
                <w:rFonts w:hint="eastAsia" w:cs="宋体"/>
                <w:kern w:val="0"/>
                <w:szCs w:val="21"/>
              </w:rPr>
              <w:t>A02052309</w:t>
            </w:r>
          </w:p>
        </w:tc>
        <w:tc>
          <w:tcPr>
            <w:tcW w:w="974" w:type="pct"/>
            <w:shd w:val="clear" w:color="auto" w:fill="FFFFFF"/>
            <w:tcMar>
              <w:top w:w="0" w:type="dxa"/>
              <w:left w:w="108" w:type="dxa"/>
              <w:bottom w:w="0" w:type="dxa"/>
              <w:right w:w="108" w:type="dxa"/>
            </w:tcMar>
            <w:vAlign w:val="center"/>
          </w:tcPr>
          <w:p w14:paraId="56343336">
            <w:pPr>
              <w:widowControl/>
              <w:spacing w:line="276" w:lineRule="auto"/>
              <w:jc w:val="center"/>
              <w:textAlignment w:val="baseline"/>
              <w:rPr>
                <w:rFonts w:hint="eastAsia" w:cs="宋体"/>
                <w:kern w:val="0"/>
                <w:szCs w:val="21"/>
              </w:rPr>
            </w:pPr>
            <w:r>
              <w:rPr>
                <w:rFonts w:hint="eastAsia" w:cs="宋体"/>
                <w:kern w:val="0"/>
                <w:szCs w:val="21"/>
              </w:rPr>
              <w:t>专用制冷、空调设备</w:t>
            </w:r>
          </w:p>
        </w:tc>
        <w:tc>
          <w:tcPr>
            <w:tcW w:w="1682" w:type="pct"/>
            <w:vMerge w:val="continue"/>
            <w:shd w:val="clear" w:color="auto" w:fill="FFFFFF"/>
            <w:tcMar>
              <w:top w:w="0" w:type="dxa"/>
              <w:left w:w="0" w:type="dxa"/>
              <w:bottom w:w="0" w:type="dxa"/>
              <w:right w:w="0" w:type="dxa"/>
            </w:tcMar>
            <w:vAlign w:val="center"/>
          </w:tcPr>
          <w:p w14:paraId="56343337">
            <w:pPr>
              <w:widowControl/>
              <w:spacing w:line="276" w:lineRule="auto"/>
              <w:jc w:val="center"/>
              <w:rPr>
                <w:rFonts w:hint="eastAsia" w:cs="宋体"/>
                <w:kern w:val="0"/>
                <w:szCs w:val="21"/>
              </w:rPr>
            </w:pPr>
          </w:p>
        </w:tc>
      </w:tr>
      <w:tr w14:paraId="56343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9">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A">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B">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C">
            <w:pPr>
              <w:widowControl/>
              <w:spacing w:line="276" w:lineRule="auto"/>
              <w:jc w:val="center"/>
              <w:textAlignment w:val="baseline"/>
              <w:rPr>
                <w:rFonts w:hint="eastAsia" w:cs="宋体"/>
                <w:kern w:val="0"/>
                <w:szCs w:val="21"/>
              </w:rPr>
            </w:pPr>
            <w:r>
              <w:rPr>
                <w:rFonts w:hint="eastAsia" w:cs="宋体"/>
                <w:kern w:val="0"/>
                <w:szCs w:val="21"/>
              </w:rPr>
              <w:t>A02052399</w:t>
            </w:r>
          </w:p>
        </w:tc>
        <w:tc>
          <w:tcPr>
            <w:tcW w:w="974" w:type="pct"/>
            <w:shd w:val="clear" w:color="auto" w:fill="FFFFFF"/>
            <w:tcMar>
              <w:top w:w="0" w:type="dxa"/>
              <w:left w:w="108" w:type="dxa"/>
              <w:bottom w:w="0" w:type="dxa"/>
              <w:right w:w="108" w:type="dxa"/>
            </w:tcMar>
            <w:vAlign w:val="center"/>
          </w:tcPr>
          <w:p w14:paraId="5634333D">
            <w:pPr>
              <w:widowControl/>
              <w:spacing w:line="276" w:lineRule="auto"/>
              <w:jc w:val="center"/>
              <w:textAlignment w:val="baseline"/>
              <w:rPr>
                <w:rFonts w:hint="eastAsia" w:cs="宋体"/>
                <w:kern w:val="0"/>
                <w:szCs w:val="21"/>
              </w:rPr>
            </w:pPr>
            <w:r>
              <w:rPr>
                <w:rFonts w:hint="eastAsia" w:cs="宋体"/>
                <w:kern w:val="0"/>
                <w:szCs w:val="21"/>
              </w:rPr>
              <w:t>其他制冷空调设备</w:t>
            </w:r>
          </w:p>
        </w:tc>
        <w:tc>
          <w:tcPr>
            <w:tcW w:w="1682" w:type="pct"/>
            <w:vMerge w:val="continue"/>
            <w:shd w:val="clear" w:color="auto" w:fill="FFFFFF"/>
            <w:tcMar>
              <w:top w:w="0" w:type="dxa"/>
              <w:left w:w="0" w:type="dxa"/>
              <w:bottom w:w="0" w:type="dxa"/>
              <w:right w:w="0" w:type="dxa"/>
            </w:tcMar>
            <w:vAlign w:val="center"/>
          </w:tcPr>
          <w:p w14:paraId="5634333E">
            <w:pPr>
              <w:widowControl/>
              <w:spacing w:line="276" w:lineRule="auto"/>
              <w:jc w:val="center"/>
              <w:rPr>
                <w:rFonts w:hint="eastAsia" w:cs="宋体"/>
                <w:kern w:val="0"/>
                <w:szCs w:val="21"/>
              </w:rPr>
            </w:pPr>
          </w:p>
        </w:tc>
      </w:tr>
      <w:tr w14:paraId="56343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0">
            <w:pPr>
              <w:widowControl/>
              <w:spacing w:line="276" w:lineRule="auto"/>
              <w:jc w:val="center"/>
              <w:textAlignment w:val="baseline"/>
              <w:rPr>
                <w:rFonts w:hint="eastAsia" w:cs="宋体"/>
                <w:kern w:val="0"/>
                <w:szCs w:val="21"/>
              </w:rPr>
            </w:pPr>
            <w:r>
              <w:rPr>
                <w:rFonts w:hint="eastAsia" w:cs="宋体"/>
                <w:kern w:val="0"/>
                <w:szCs w:val="21"/>
              </w:rPr>
              <w:t>7</w:t>
            </w:r>
          </w:p>
        </w:tc>
        <w:tc>
          <w:tcPr>
            <w:tcW w:w="569" w:type="pct"/>
            <w:shd w:val="clear" w:color="auto" w:fill="FFFFFF"/>
            <w:tcMar>
              <w:top w:w="0" w:type="dxa"/>
              <w:left w:w="108" w:type="dxa"/>
              <w:bottom w:w="0" w:type="dxa"/>
              <w:right w:w="108" w:type="dxa"/>
            </w:tcMar>
            <w:vAlign w:val="center"/>
          </w:tcPr>
          <w:p w14:paraId="56343341">
            <w:pPr>
              <w:widowControl/>
              <w:spacing w:line="276" w:lineRule="auto"/>
              <w:jc w:val="center"/>
              <w:textAlignment w:val="baseline"/>
              <w:rPr>
                <w:rFonts w:hint="eastAsia" w:cs="宋体"/>
                <w:kern w:val="0"/>
                <w:szCs w:val="21"/>
              </w:rPr>
            </w:pPr>
            <w:r>
              <w:rPr>
                <w:rFonts w:hint="eastAsia" w:cs="宋体"/>
                <w:kern w:val="0"/>
                <w:szCs w:val="21"/>
              </w:rPr>
              <w:t>A020601</w:t>
            </w:r>
          </w:p>
        </w:tc>
        <w:tc>
          <w:tcPr>
            <w:tcW w:w="819" w:type="pct"/>
            <w:shd w:val="clear" w:color="auto" w:fill="FFFFFF"/>
            <w:tcMar>
              <w:top w:w="0" w:type="dxa"/>
              <w:left w:w="108" w:type="dxa"/>
              <w:bottom w:w="0" w:type="dxa"/>
              <w:right w:w="108" w:type="dxa"/>
            </w:tcMar>
            <w:vAlign w:val="center"/>
          </w:tcPr>
          <w:p w14:paraId="56343342">
            <w:pPr>
              <w:widowControl/>
              <w:spacing w:line="276" w:lineRule="auto"/>
              <w:jc w:val="center"/>
              <w:textAlignment w:val="baseline"/>
              <w:rPr>
                <w:rFonts w:hint="eastAsia" w:cs="宋体"/>
                <w:kern w:val="0"/>
                <w:szCs w:val="21"/>
              </w:rPr>
            </w:pPr>
            <w:r>
              <w:rPr>
                <w:rFonts w:hint="eastAsia" w:cs="宋体"/>
                <w:kern w:val="0"/>
                <w:szCs w:val="21"/>
              </w:rPr>
              <w:t>电机</w:t>
            </w:r>
          </w:p>
        </w:tc>
        <w:tc>
          <w:tcPr>
            <w:tcW w:w="688" w:type="pct"/>
            <w:shd w:val="clear" w:color="auto" w:fill="FFFFFF"/>
            <w:tcMar>
              <w:top w:w="0" w:type="dxa"/>
              <w:left w:w="108" w:type="dxa"/>
              <w:bottom w:w="0" w:type="dxa"/>
              <w:right w:w="108" w:type="dxa"/>
            </w:tcMar>
            <w:vAlign w:val="center"/>
          </w:tcPr>
          <w:p w14:paraId="56343343">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4">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5">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46">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47">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48">
            <w:pPr>
              <w:widowControl/>
              <w:spacing w:line="276" w:lineRule="auto"/>
              <w:jc w:val="center"/>
              <w:textAlignment w:val="baseline"/>
              <w:rPr>
                <w:rFonts w:hint="eastAsia" w:cs="宋体"/>
                <w:kern w:val="0"/>
                <w:szCs w:val="21"/>
              </w:rPr>
            </w:pPr>
            <w:r>
              <w:rPr>
                <w:rFonts w:hint="eastAsia" w:cs="宋体"/>
                <w:kern w:val="0"/>
                <w:szCs w:val="21"/>
              </w:rPr>
              <w:t>中国船级社质量认证公司</w:t>
            </w:r>
          </w:p>
        </w:tc>
      </w:tr>
      <w:tr w14:paraId="56343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A">
            <w:pPr>
              <w:widowControl/>
              <w:spacing w:line="276" w:lineRule="auto"/>
              <w:jc w:val="center"/>
              <w:textAlignment w:val="baseline"/>
              <w:rPr>
                <w:rFonts w:hint="eastAsia" w:cs="宋体"/>
                <w:kern w:val="0"/>
                <w:szCs w:val="21"/>
              </w:rPr>
            </w:pPr>
            <w:r>
              <w:rPr>
                <w:rFonts w:hint="eastAsia" w:cs="宋体"/>
                <w:kern w:val="0"/>
                <w:szCs w:val="21"/>
              </w:rPr>
              <w:t>8</w:t>
            </w:r>
          </w:p>
        </w:tc>
        <w:tc>
          <w:tcPr>
            <w:tcW w:w="569" w:type="pct"/>
            <w:shd w:val="clear" w:color="auto" w:fill="FFFFFF"/>
            <w:tcMar>
              <w:top w:w="0" w:type="dxa"/>
              <w:left w:w="108" w:type="dxa"/>
              <w:bottom w:w="0" w:type="dxa"/>
              <w:right w:w="108" w:type="dxa"/>
            </w:tcMar>
            <w:vAlign w:val="center"/>
          </w:tcPr>
          <w:p w14:paraId="5634334B">
            <w:pPr>
              <w:widowControl/>
              <w:spacing w:line="276" w:lineRule="auto"/>
              <w:jc w:val="center"/>
              <w:textAlignment w:val="baseline"/>
              <w:rPr>
                <w:rFonts w:hint="eastAsia" w:cs="宋体"/>
                <w:kern w:val="0"/>
                <w:szCs w:val="21"/>
              </w:rPr>
            </w:pPr>
            <w:r>
              <w:rPr>
                <w:rFonts w:hint="eastAsia" w:cs="宋体"/>
                <w:kern w:val="0"/>
                <w:szCs w:val="21"/>
              </w:rPr>
              <w:t>A020602</w:t>
            </w:r>
          </w:p>
        </w:tc>
        <w:tc>
          <w:tcPr>
            <w:tcW w:w="819" w:type="pct"/>
            <w:shd w:val="clear" w:color="auto" w:fill="FFFFFF"/>
            <w:tcMar>
              <w:top w:w="0" w:type="dxa"/>
              <w:left w:w="108" w:type="dxa"/>
              <w:bottom w:w="0" w:type="dxa"/>
              <w:right w:w="108" w:type="dxa"/>
            </w:tcMar>
            <w:vAlign w:val="center"/>
          </w:tcPr>
          <w:p w14:paraId="5634334C">
            <w:pPr>
              <w:widowControl/>
              <w:spacing w:line="276" w:lineRule="auto"/>
              <w:jc w:val="center"/>
              <w:textAlignment w:val="baseline"/>
              <w:rPr>
                <w:rFonts w:hint="eastAsia" w:cs="宋体"/>
                <w:kern w:val="0"/>
                <w:szCs w:val="21"/>
              </w:rPr>
            </w:pPr>
            <w:r>
              <w:rPr>
                <w:rFonts w:hint="eastAsia" w:cs="宋体"/>
                <w:kern w:val="0"/>
                <w:szCs w:val="21"/>
              </w:rPr>
              <w:t>变压器</w:t>
            </w:r>
          </w:p>
        </w:tc>
        <w:tc>
          <w:tcPr>
            <w:tcW w:w="688" w:type="pct"/>
            <w:shd w:val="clear" w:color="auto" w:fill="FFFFFF"/>
            <w:tcMar>
              <w:top w:w="0" w:type="dxa"/>
              <w:left w:w="108" w:type="dxa"/>
              <w:bottom w:w="0" w:type="dxa"/>
              <w:right w:w="108" w:type="dxa"/>
            </w:tcMar>
            <w:vAlign w:val="center"/>
          </w:tcPr>
          <w:p w14:paraId="5634334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E">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F">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0">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51">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53">
            <w:pPr>
              <w:widowControl/>
              <w:spacing w:line="276" w:lineRule="auto"/>
              <w:jc w:val="center"/>
              <w:textAlignment w:val="baseline"/>
              <w:rPr>
                <w:rFonts w:hint="eastAsia" w:cs="宋体"/>
                <w:kern w:val="0"/>
                <w:szCs w:val="21"/>
              </w:rPr>
            </w:pPr>
            <w:r>
              <w:rPr>
                <w:rFonts w:hint="eastAsia" w:cs="宋体"/>
                <w:kern w:val="0"/>
                <w:szCs w:val="21"/>
              </w:rPr>
              <w:t>9</w:t>
            </w:r>
          </w:p>
        </w:tc>
        <w:tc>
          <w:tcPr>
            <w:tcW w:w="569" w:type="pct"/>
            <w:shd w:val="clear" w:color="auto" w:fill="FFFFFF"/>
            <w:tcMar>
              <w:top w:w="0" w:type="dxa"/>
              <w:left w:w="108" w:type="dxa"/>
              <w:bottom w:w="0" w:type="dxa"/>
              <w:right w:w="108" w:type="dxa"/>
            </w:tcMar>
            <w:vAlign w:val="center"/>
          </w:tcPr>
          <w:p w14:paraId="56343354">
            <w:pPr>
              <w:widowControl/>
              <w:spacing w:line="276" w:lineRule="auto"/>
              <w:jc w:val="center"/>
              <w:textAlignment w:val="baseline"/>
              <w:rPr>
                <w:rFonts w:hint="eastAsia" w:cs="宋体"/>
                <w:kern w:val="0"/>
                <w:szCs w:val="21"/>
              </w:rPr>
            </w:pPr>
            <w:r>
              <w:rPr>
                <w:rFonts w:hint="eastAsia" w:cs="宋体"/>
                <w:kern w:val="0"/>
                <w:szCs w:val="21"/>
              </w:rPr>
              <w:t>A020609</w:t>
            </w:r>
          </w:p>
        </w:tc>
        <w:tc>
          <w:tcPr>
            <w:tcW w:w="819" w:type="pct"/>
            <w:shd w:val="clear" w:color="auto" w:fill="FFFFFF"/>
            <w:tcMar>
              <w:top w:w="0" w:type="dxa"/>
              <w:left w:w="108" w:type="dxa"/>
              <w:bottom w:w="0" w:type="dxa"/>
              <w:right w:w="108" w:type="dxa"/>
            </w:tcMar>
            <w:vAlign w:val="center"/>
          </w:tcPr>
          <w:p w14:paraId="56343355">
            <w:pPr>
              <w:widowControl/>
              <w:spacing w:line="276" w:lineRule="auto"/>
              <w:jc w:val="center"/>
              <w:textAlignment w:val="baseline"/>
              <w:rPr>
                <w:rFonts w:hint="eastAsia" w:cs="宋体"/>
                <w:kern w:val="0"/>
                <w:szCs w:val="21"/>
              </w:rPr>
            </w:pPr>
            <w:r>
              <w:rPr>
                <w:rFonts w:hint="eastAsia" w:cs="宋体"/>
                <w:kern w:val="0"/>
                <w:szCs w:val="21"/>
              </w:rPr>
              <w:t>镇流器</w:t>
            </w:r>
          </w:p>
        </w:tc>
        <w:tc>
          <w:tcPr>
            <w:tcW w:w="688" w:type="pct"/>
            <w:shd w:val="clear" w:color="auto" w:fill="FFFFFF"/>
            <w:tcMar>
              <w:top w:w="0" w:type="dxa"/>
              <w:left w:w="108" w:type="dxa"/>
              <w:bottom w:w="0" w:type="dxa"/>
              <w:right w:w="108" w:type="dxa"/>
            </w:tcMar>
            <w:vAlign w:val="center"/>
          </w:tcPr>
          <w:p w14:paraId="56343356">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57">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58">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9">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5A">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5C">
            <w:pPr>
              <w:widowControl/>
              <w:spacing w:line="276" w:lineRule="auto"/>
              <w:jc w:val="center"/>
              <w:textAlignment w:val="baseline"/>
              <w:rPr>
                <w:rFonts w:hint="eastAsia" w:cs="宋体"/>
                <w:kern w:val="0"/>
                <w:szCs w:val="21"/>
              </w:rPr>
            </w:pPr>
            <w:r>
              <w:rPr>
                <w:rFonts w:hint="eastAsia" w:cs="宋体"/>
                <w:kern w:val="0"/>
                <w:szCs w:val="21"/>
              </w:rPr>
              <w:t>10</w:t>
            </w:r>
          </w:p>
        </w:tc>
        <w:tc>
          <w:tcPr>
            <w:tcW w:w="569" w:type="pct"/>
            <w:vMerge w:val="restart"/>
            <w:shd w:val="clear" w:color="auto" w:fill="FFFFFF"/>
            <w:tcMar>
              <w:top w:w="0" w:type="dxa"/>
              <w:left w:w="108" w:type="dxa"/>
              <w:bottom w:w="0" w:type="dxa"/>
              <w:right w:w="108" w:type="dxa"/>
            </w:tcMar>
            <w:vAlign w:val="center"/>
          </w:tcPr>
          <w:p w14:paraId="5634335D">
            <w:pPr>
              <w:widowControl/>
              <w:spacing w:line="276" w:lineRule="auto"/>
              <w:jc w:val="center"/>
              <w:textAlignment w:val="baseline"/>
              <w:rPr>
                <w:rFonts w:hint="eastAsia" w:cs="宋体"/>
                <w:kern w:val="0"/>
                <w:szCs w:val="21"/>
              </w:rPr>
            </w:pPr>
            <w:r>
              <w:rPr>
                <w:rFonts w:hint="eastAsia" w:cs="宋体"/>
                <w:kern w:val="0"/>
                <w:szCs w:val="21"/>
              </w:rPr>
              <w:t>A020618</w:t>
            </w:r>
          </w:p>
        </w:tc>
        <w:tc>
          <w:tcPr>
            <w:tcW w:w="819" w:type="pct"/>
            <w:vMerge w:val="restart"/>
            <w:shd w:val="clear" w:color="auto" w:fill="FFFFFF"/>
            <w:tcMar>
              <w:top w:w="0" w:type="dxa"/>
              <w:left w:w="108" w:type="dxa"/>
              <w:bottom w:w="0" w:type="dxa"/>
              <w:right w:w="108" w:type="dxa"/>
            </w:tcMar>
            <w:vAlign w:val="center"/>
          </w:tcPr>
          <w:p w14:paraId="5634335E">
            <w:pPr>
              <w:widowControl/>
              <w:spacing w:line="276" w:lineRule="auto"/>
              <w:jc w:val="center"/>
              <w:textAlignment w:val="baseline"/>
              <w:rPr>
                <w:rFonts w:hint="eastAsia" w:cs="宋体"/>
                <w:kern w:val="0"/>
                <w:szCs w:val="21"/>
              </w:rPr>
            </w:pPr>
            <w:r>
              <w:rPr>
                <w:rFonts w:hint="eastAsia" w:cs="宋体"/>
                <w:kern w:val="0"/>
                <w:szCs w:val="21"/>
              </w:rPr>
              <w:t>生活用电器</w:t>
            </w:r>
          </w:p>
        </w:tc>
        <w:tc>
          <w:tcPr>
            <w:tcW w:w="688" w:type="pct"/>
            <w:shd w:val="clear" w:color="auto" w:fill="FFFFFF"/>
            <w:tcMar>
              <w:top w:w="0" w:type="dxa"/>
              <w:left w:w="108" w:type="dxa"/>
              <w:bottom w:w="0" w:type="dxa"/>
              <w:right w:w="108" w:type="dxa"/>
            </w:tcMar>
            <w:vAlign w:val="center"/>
          </w:tcPr>
          <w:p w14:paraId="5634335F">
            <w:pPr>
              <w:widowControl/>
              <w:spacing w:line="276" w:lineRule="auto"/>
              <w:jc w:val="center"/>
              <w:textAlignment w:val="baseline"/>
              <w:rPr>
                <w:rFonts w:hint="eastAsia" w:cs="宋体"/>
                <w:kern w:val="0"/>
                <w:szCs w:val="21"/>
              </w:rPr>
            </w:pPr>
            <w:r>
              <w:rPr>
                <w:rFonts w:hint="eastAsia" w:cs="宋体"/>
                <w:kern w:val="0"/>
                <w:szCs w:val="21"/>
              </w:rPr>
              <w:t>A0206180101</w:t>
            </w:r>
          </w:p>
        </w:tc>
        <w:tc>
          <w:tcPr>
            <w:tcW w:w="974" w:type="pct"/>
            <w:shd w:val="clear" w:color="auto" w:fill="FFFFFF"/>
            <w:tcMar>
              <w:top w:w="0" w:type="dxa"/>
              <w:left w:w="108" w:type="dxa"/>
              <w:bottom w:w="0" w:type="dxa"/>
              <w:right w:w="108" w:type="dxa"/>
            </w:tcMar>
            <w:vAlign w:val="center"/>
          </w:tcPr>
          <w:p w14:paraId="56343360">
            <w:pPr>
              <w:widowControl/>
              <w:spacing w:line="276" w:lineRule="auto"/>
              <w:jc w:val="center"/>
              <w:textAlignment w:val="baseline"/>
              <w:rPr>
                <w:rFonts w:hint="eastAsia" w:cs="宋体"/>
                <w:kern w:val="0"/>
                <w:szCs w:val="21"/>
              </w:rPr>
            </w:pPr>
            <w:r>
              <w:rPr>
                <w:rFonts w:hint="eastAsia" w:cs="宋体"/>
                <w:kern w:val="0"/>
                <w:szCs w:val="21"/>
              </w:rPr>
              <w:t>电冰箱</w:t>
            </w:r>
          </w:p>
        </w:tc>
        <w:tc>
          <w:tcPr>
            <w:tcW w:w="1682" w:type="pct"/>
            <w:shd w:val="clear" w:color="auto" w:fill="FFFFFF"/>
            <w:tcMar>
              <w:top w:w="0" w:type="dxa"/>
              <w:left w:w="108" w:type="dxa"/>
              <w:bottom w:w="0" w:type="dxa"/>
              <w:right w:w="108" w:type="dxa"/>
            </w:tcMar>
            <w:vAlign w:val="center"/>
          </w:tcPr>
          <w:p w14:paraId="56343361">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2">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3">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5">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66">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67">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68">
            <w:pPr>
              <w:widowControl/>
              <w:spacing w:line="276" w:lineRule="auto"/>
              <w:jc w:val="center"/>
              <w:textAlignment w:val="baseline"/>
              <w:rPr>
                <w:rFonts w:hint="eastAsia" w:cs="宋体"/>
                <w:kern w:val="0"/>
                <w:szCs w:val="21"/>
              </w:rPr>
            </w:pPr>
            <w:r>
              <w:rPr>
                <w:rFonts w:hint="eastAsia" w:cs="宋体"/>
                <w:kern w:val="0"/>
                <w:szCs w:val="21"/>
              </w:rPr>
              <w:t>A0206180203</w:t>
            </w:r>
          </w:p>
        </w:tc>
        <w:tc>
          <w:tcPr>
            <w:tcW w:w="974" w:type="pct"/>
            <w:shd w:val="clear" w:color="auto" w:fill="FFFFFF"/>
            <w:tcMar>
              <w:top w:w="0" w:type="dxa"/>
              <w:left w:w="108" w:type="dxa"/>
              <w:bottom w:w="0" w:type="dxa"/>
              <w:right w:w="108" w:type="dxa"/>
            </w:tcMar>
            <w:vAlign w:val="center"/>
          </w:tcPr>
          <w:p w14:paraId="56343369">
            <w:pPr>
              <w:widowControl/>
              <w:spacing w:line="276" w:lineRule="auto"/>
              <w:jc w:val="center"/>
              <w:textAlignment w:val="baseline"/>
              <w:rPr>
                <w:rFonts w:hint="eastAsia" w:cs="宋体"/>
                <w:kern w:val="0"/>
                <w:szCs w:val="21"/>
              </w:rPr>
            </w:pPr>
            <w:r>
              <w:rPr>
                <w:rFonts w:hint="eastAsia" w:cs="宋体"/>
                <w:kern w:val="0"/>
                <w:szCs w:val="21"/>
              </w:rPr>
              <w:t>空调机</w:t>
            </w:r>
          </w:p>
        </w:tc>
        <w:tc>
          <w:tcPr>
            <w:tcW w:w="1682" w:type="pct"/>
            <w:shd w:val="clear" w:color="auto" w:fill="FFFFFF"/>
            <w:tcMar>
              <w:top w:w="0" w:type="dxa"/>
              <w:left w:w="108" w:type="dxa"/>
              <w:bottom w:w="0" w:type="dxa"/>
              <w:right w:w="108" w:type="dxa"/>
            </w:tcMar>
            <w:vAlign w:val="center"/>
          </w:tcPr>
          <w:p w14:paraId="5634336A">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B">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C">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6D">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tc>
      </w:tr>
      <w:tr w14:paraId="5634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F">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0">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1">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2">
            <w:pPr>
              <w:widowControl/>
              <w:spacing w:line="276" w:lineRule="auto"/>
              <w:jc w:val="center"/>
              <w:textAlignment w:val="baseline"/>
              <w:rPr>
                <w:rFonts w:hint="eastAsia" w:cs="宋体"/>
                <w:kern w:val="0"/>
                <w:szCs w:val="21"/>
              </w:rPr>
            </w:pPr>
            <w:r>
              <w:rPr>
                <w:rFonts w:hint="eastAsia" w:cs="宋体"/>
                <w:kern w:val="0"/>
                <w:szCs w:val="21"/>
              </w:rPr>
              <w:t>A0206180301</w:t>
            </w:r>
          </w:p>
        </w:tc>
        <w:tc>
          <w:tcPr>
            <w:tcW w:w="974" w:type="pct"/>
            <w:shd w:val="clear" w:color="auto" w:fill="FFFFFF"/>
            <w:tcMar>
              <w:top w:w="0" w:type="dxa"/>
              <w:left w:w="108" w:type="dxa"/>
              <w:bottom w:w="0" w:type="dxa"/>
              <w:right w:w="108" w:type="dxa"/>
            </w:tcMar>
            <w:vAlign w:val="center"/>
          </w:tcPr>
          <w:p w14:paraId="56343373">
            <w:pPr>
              <w:widowControl/>
              <w:spacing w:line="276" w:lineRule="auto"/>
              <w:jc w:val="center"/>
              <w:textAlignment w:val="baseline"/>
              <w:rPr>
                <w:rFonts w:hint="eastAsia" w:cs="宋体"/>
                <w:kern w:val="0"/>
                <w:szCs w:val="21"/>
              </w:rPr>
            </w:pPr>
            <w:r>
              <w:rPr>
                <w:rFonts w:hint="eastAsia" w:cs="宋体"/>
                <w:kern w:val="0"/>
                <w:szCs w:val="21"/>
              </w:rPr>
              <w:t>洗衣机</w:t>
            </w:r>
          </w:p>
        </w:tc>
        <w:tc>
          <w:tcPr>
            <w:tcW w:w="1682" w:type="pct"/>
            <w:shd w:val="clear" w:color="auto" w:fill="FFFFFF"/>
            <w:tcMar>
              <w:top w:w="0" w:type="dxa"/>
              <w:left w:w="108" w:type="dxa"/>
              <w:bottom w:w="0" w:type="dxa"/>
              <w:right w:w="108" w:type="dxa"/>
            </w:tcMar>
            <w:vAlign w:val="center"/>
          </w:tcPr>
          <w:p w14:paraId="56343374">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5">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6">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78">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9">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A">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B">
            <w:pPr>
              <w:widowControl/>
              <w:spacing w:line="276" w:lineRule="auto"/>
              <w:jc w:val="center"/>
              <w:textAlignment w:val="baseline"/>
              <w:rPr>
                <w:rFonts w:hint="eastAsia" w:cs="宋体"/>
                <w:kern w:val="0"/>
                <w:szCs w:val="21"/>
              </w:rPr>
            </w:pPr>
            <w:r>
              <w:rPr>
                <w:rFonts w:hint="eastAsia" w:cs="宋体"/>
                <w:kern w:val="0"/>
                <w:szCs w:val="21"/>
              </w:rPr>
              <w:t>A02061808</w:t>
            </w:r>
          </w:p>
        </w:tc>
        <w:tc>
          <w:tcPr>
            <w:tcW w:w="974" w:type="pct"/>
            <w:shd w:val="clear" w:color="auto" w:fill="FFFFFF"/>
            <w:tcMar>
              <w:top w:w="0" w:type="dxa"/>
              <w:left w:w="108" w:type="dxa"/>
              <w:bottom w:w="0" w:type="dxa"/>
              <w:right w:w="108" w:type="dxa"/>
            </w:tcMar>
            <w:vAlign w:val="center"/>
          </w:tcPr>
          <w:p w14:paraId="5634337C">
            <w:pPr>
              <w:widowControl/>
              <w:spacing w:line="276" w:lineRule="auto"/>
              <w:jc w:val="center"/>
              <w:textAlignment w:val="baseline"/>
              <w:rPr>
                <w:rFonts w:hint="eastAsia" w:cs="宋体"/>
                <w:kern w:val="0"/>
                <w:szCs w:val="21"/>
              </w:rPr>
            </w:pPr>
            <w:r>
              <w:rPr>
                <w:rFonts w:hint="eastAsia" w:cs="宋体"/>
                <w:kern w:val="0"/>
                <w:szCs w:val="21"/>
              </w:rPr>
              <w:t>热水器</w:t>
            </w:r>
          </w:p>
        </w:tc>
        <w:tc>
          <w:tcPr>
            <w:tcW w:w="1682" w:type="pct"/>
            <w:shd w:val="clear" w:color="auto" w:fill="FFFFFF"/>
            <w:tcMar>
              <w:top w:w="0" w:type="dxa"/>
              <w:left w:w="108" w:type="dxa"/>
              <w:bottom w:w="0" w:type="dxa"/>
              <w:right w:w="108" w:type="dxa"/>
            </w:tcMar>
            <w:vAlign w:val="center"/>
          </w:tcPr>
          <w:p w14:paraId="5634337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E">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F">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80">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合肥通用机械产品认证有限公司(范围仅限于“热泵热水器”)</w:t>
            </w:r>
          </w:p>
        </w:tc>
      </w:tr>
      <w:tr w14:paraId="56343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2">
            <w:pPr>
              <w:widowControl/>
              <w:spacing w:line="276" w:lineRule="auto"/>
              <w:jc w:val="center"/>
              <w:textAlignment w:val="baseline"/>
              <w:rPr>
                <w:rFonts w:hint="eastAsia" w:cs="宋体"/>
                <w:kern w:val="0"/>
                <w:szCs w:val="21"/>
              </w:rPr>
            </w:pPr>
            <w:r>
              <w:rPr>
                <w:rFonts w:hint="eastAsia" w:cs="宋体"/>
                <w:kern w:val="0"/>
                <w:szCs w:val="21"/>
              </w:rPr>
              <w:t>11</w:t>
            </w:r>
          </w:p>
        </w:tc>
        <w:tc>
          <w:tcPr>
            <w:tcW w:w="569" w:type="pct"/>
            <w:shd w:val="clear" w:color="auto" w:fill="FFFFFF"/>
            <w:tcMar>
              <w:top w:w="0" w:type="dxa"/>
              <w:left w:w="108" w:type="dxa"/>
              <w:bottom w:w="0" w:type="dxa"/>
              <w:right w:w="108" w:type="dxa"/>
            </w:tcMar>
            <w:vAlign w:val="center"/>
          </w:tcPr>
          <w:p w14:paraId="56343383">
            <w:pPr>
              <w:widowControl/>
              <w:spacing w:line="276" w:lineRule="auto"/>
              <w:jc w:val="center"/>
              <w:textAlignment w:val="baseline"/>
              <w:rPr>
                <w:rFonts w:hint="eastAsia" w:cs="宋体"/>
                <w:kern w:val="0"/>
                <w:szCs w:val="21"/>
              </w:rPr>
            </w:pPr>
            <w:r>
              <w:rPr>
                <w:rFonts w:hint="eastAsia" w:cs="宋体"/>
                <w:kern w:val="0"/>
                <w:szCs w:val="21"/>
              </w:rPr>
              <w:t>A020619</w:t>
            </w:r>
          </w:p>
        </w:tc>
        <w:tc>
          <w:tcPr>
            <w:tcW w:w="819" w:type="pct"/>
            <w:shd w:val="clear" w:color="auto" w:fill="FFFFFF"/>
            <w:tcMar>
              <w:top w:w="0" w:type="dxa"/>
              <w:left w:w="108" w:type="dxa"/>
              <w:bottom w:w="0" w:type="dxa"/>
              <w:right w:w="108" w:type="dxa"/>
            </w:tcMar>
            <w:vAlign w:val="center"/>
          </w:tcPr>
          <w:p w14:paraId="56343384">
            <w:pPr>
              <w:widowControl/>
              <w:spacing w:line="276" w:lineRule="auto"/>
              <w:jc w:val="center"/>
              <w:textAlignment w:val="baseline"/>
              <w:rPr>
                <w:rFonts w:hint="eastAsia" w:cs="宋体"/>
                <w:kern w:val="0"/>
                <w:szCs w:val="21"/>
              </w:rPr>
            </w:pPr>
            <w:r>
              <w:rPr>
                <w:rFonts w:hint="eastAsia" w:cs="宋体"/>
                <w:kern w:val="0"/>
                <w:szCs w:val="21"/>
              </w:rPr>
              <w:t>照明设备</w:t>
            </w:r>
          </w:p>
        </w:tc>
        <w:tc>
          <w:tcPr>
            <w:tcW w:w="688" w:type="pct"/>
            <w:shd w:val="clear" w:color="auto" w:fill="FFFFFF"/>
            <w:tcMar>
              <w:top w:w="0" w:type="dxa"/>
              <w:left w:w="108" w:type="dxa"/>
              <w:bottom w:w="0" w:type="dxa"/>
              <w:right w:w="108" w:type="dxa"/>
            </w:tcMar>
            <w:vAlign w:val="center"/>
          </w:tcPr>
          <w:p w14:paraId="56343385">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86">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87">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88">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89">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B">
            <w:pPr>
              <w:widowControl/>
              <w:spacing w:line="276" w:lineRule="auto"/>
              <w:jc w:val="center"/>
              <w:textAlignment w:val="baseline"/>
              <w:rPr>
                <w:rFonts w:hint="eastAsia" w:cs="宋体"/>
                <w:kern w:val="0"/>
                <w:szCs w:val="21"/>
              </w:rPr>
            </w:pPr>
            <w:r>
              <w:rPr>
                <w:rFonts w:hint="eastAsia" w:cs="宋体"/>
                <w:kern w:val="0"/>
                <w:szCs w:val="21"/>
              </w:rPr>
              <w:t>12</w:t>
            </w:r>
          </w:p>
        </w:tc>
        <w:tc>
          <w:tcPr>
            <w:tcW w:w="569" w:type="pct"/>
            <w:shd w:val="clear" w:color="auto" w:fill="FFFFFF"/>
            <w:tcMar>
              <w:top w:w="0" w:type="dxa"/>
              <w:left w:w="108" w:type="dxa"/>
              <w:bottom w:w="0" w:type="dxa"/>
              <w:right w:w="108" w:type="dxa"/>
            </w:tcMar>
            <w:vAlign w:val="center"/>
          </w:tcPr>
          <w:p w14:paraId="5634338C">
            <w:pPr>
              <w:widowControl/>
              <w:spacing w:line="276" w:lineRule="auto"/>
              <w:jc w:val="center"/>
              <w:textAlignment w:val="baseline"/>
              <w:rPr>
                <w:rFonts w:hint="eastAsia" w:cs="宋体"/>
                <w:kern w:val="0"/>
                <w:szCs w:val="21"/>
              </w:rPr>
            </w:pPr>
            <w:r>
              <w:rPr>
                <w:rFonts w:hint="eastAsia" w:cs="宋体"/>
                <w:kern w:val="0"/>
                <w:szCs w:val="21"/>
              </w:rPr>
              <w:t>A020910</w:t>
            </w:r>
          </w:p>
        </w:tc>
        <w:tc>
          <w:tcPr>
            <w:tcW w:w="819" w:type="pct"/>
            <w:shd w:val="clear" w:color="auto" w:fill="FFFFFF"/>
            <w:tcMar>
              <w:top w:w="0" w:type="dxa"/>
              <w:left w:w="108" w:type="dxa"/>
              <w:bottom w:w="0" w:type="dxa"/>
              <w:right w:w="108" w:type="dxa"/>
            </w:tcMar>
            <w:vAlign w:val="center"/>
          </w:tcPr>
          <w:p w14:paraId="5634338D">
            <w:pPr>
              <w:widowControl/>
              <w:spacing w:line="276" w:lineRule="auto"/>
              <w:jc w:val="center"/>
              <w:textAlignment w:val="baseline"/>
              <w:rPr>
                <w:rFonts w:hint="eastAsia" w:cs="宋体"/>
                <w:kern w:val="0"/>
                <w:szCs w:val="21"/>
              </w:rPr>
            </w:pPr>
            <w:r>
              <w:rPr>
                <w:rFonts w:hint="eastAsia" w:cs="宋体"/>
                <w:kern w:val="0"/>
                <w:szCs w:val="21"/>
              </w:rPr>
              <w:t>电视设备</w:t>
            </w:r>
          </w:p>
        </w:tc>
        <w:tc>
          <w:tcPr>
            <w:tcW w:w="688" w:type="pct"/>
            <w:shd w:val="clear" w:color="auto" w:fill="FFFFFF"/>
            <w:tcMar>
              <w:top w:w="0" w:type="dxa"/>
              <w:left w:w="108" w:type="dxa"/>
              <w:bottom w:w="0" w:type="dxa"/>
              <w:right w:w="108" w:type="dxa"/>
            </w:tcMar>
            <w:vAlign w:val="center"/>
          </w:tcPr>
          <w:p w14:paraId="5634338E">
            <w:pPr>
              <w:widowControl/>
              <w:spacing w:line="276" w:lineRule="auto"/>
              <w:jc w:val="center"/>
              <w:textAlignment w:val="baseline"/>
              <w:rPr>
                <w:rFonts w:hint="eastAsia" w:cs="宋体"/>
                <w:kern w:val="0"/>
                <w:szCs w:val="21"/>
              </w:rPr>
            </w:pPr>
            <w:r>
              <w:rPr>
                <w:rFonts w:hint="eastAsia" w:cs="宋体"/>
                <w:kern w:val="0"/>
                <w:szCs w:val="21"/>
              </w:rPr>
              <w:t>A02091001</w:t>
            </w:r>
          </w:p>
        </w:tc>
        <w:tc>
          <w:tcPr>
            <w:tcW w:w="974" w:type="pct"/>
            <w:shd w:val="clear" w:color="auto" w:fill="FFFFFF"/>
            <w:tcMar>
              <w:top w:w="0" w:type="dxa"/>
              <w:left w:w="108" w:type="dxa"/>
              <w:bottom w:w="0" w:type="dxa"/>
              <w:right w:w="108" w:type="dxa"/>
            </w:tcMar>
            <w:vAlign w:val="center"/>
          </w:tcPr>
          <w:p w14:paraId="5634338F">
            <w:pPr>
              <w:widowControl/>
              <w:spacing w:line="276" w:lineRule="auto"/>
              <w:jc w:val="center"/>
              <w:textAlignment w:val="baseline"/>
              <w:rPr>
                <w:rFonts w:hint="eastAsia" w:cs="宋体"/>
                <w:kern w:val="0"/>
                <w:szCs w:val="21"/>
              </w:rPr>
            </w:pPr>
            <w:r>
              <w:rPr>
                <w:rFonts w:hint="eastAsia" w:cs="宋体"/>
                <w:kern w:val="0"/>
                <w:szCs w:val="21"/>
              </w:rPr>
              <w:t>普通电视设备（电视机）</w:t>
            </w:r>
          </w:p>
        </w:tc>
        <w:tc>
          <w:tcPr>
            <w:tcW w:w="1682" w:type="pct"/>
            <w:vMerge w:val="restart"/>
            <w:shd w:val="clear" w:color="auto" w:fill="FFFFFF"/>
            <w:tcMar>
              <w:top w:w="0" w:type="dxa"/>
              <w:left w:w="108" w:type="dxa"/>
              <w:bottom w:w="0" w:type="dxa"/>
              <w:right w:w="108" w:type="dxa"/>
            </w:tcMar>
            <w:vAlign w:val="center"/>
          </w:tcPr>
          <w:p w14:paraId="5634339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91">
            <w:pPr>
              <w:widowControl/>
              <w:spacing w:line="276" w:lineRule="auto"/>
              <w:jc w:val="center"/>
              <w:textAlignment w:val="baseline"/>
              <w:rPr>
                <w:rFonts w:hint="eastAsia" w:cs="宋体"/>
                <w:kern w:val="0"/>
                <w:szCs w:val="21"/>
              </w:rPr>
            </w:pPr>
            <w:r>
              <w:rPr>
                <w:rFonts w:hint="eastAsia" w:cs="宋体"/>
                <w:kern w:val="0"/>
                <w:szCs w:val="21"/>
              </w:rPr>
              <w:t>北京泰瑞特认证有限责任公司</w:t>
            </w:r>
          </w:p>
          <w:p w14:paraId="56343392">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4">
            <w:pPr>
              <w:widowControl/>
              <w:spacing w:line="276" w:lineRule="auto"/>
              <w:jc w:val="center"/>
              <w:textAlignment w:val="baseline"/>
              <w:rPr>
                <w:rFonts w:hint="eastAsia" w:cs="宋体"/>
                <w:kern w:val="0"/>
                <w:szCs w:val="21"/>
              </w:rPr>
            </w:pPr>
            <w:r>
              <w:rPr>
                <w:rFonts w:hint="eastAsia" w:cs="宋体"/>
                <w:kern w:val="0"/>
                <w:szCs w:val="21"/>
              </w:rPr>
              <w:t>13</w:t>
            </w:r>
          </w:p>
        </w:tc>
        <w:tc>
          <w:tcPr>
            <w:tcW w:w="569" w:type="pct"/>
            <w:shd w:val="clear" w:color="auto" w:fill="FFFFFF"/>
            <w:tcMar>
              <w:top w:w="0" w:type="dxa"/>
              <w:left w:w="108" w:type="dxa"/>
              <w:bottom w:w="0" w:type="dxa"/>
              <w:right w:w="108" w:type="dxa"/>
            </w:tcMar>
            <w:vAlign w:val="center"/>
          </w:tcPr>
          <w:p w14:paraId="56343395">
            <w:pPr>
              <w:widowControl/>
              <w:spacing w:line="276" w:lineRule="auto"/>
              <w:jc w:val="center"/>
              <w:textAlignment w:val="baseline"/>
              <w:rPr>
                <w:rFonts w:hint="eastAsia" w:cs="宋体"/>
                <w:kern w:val="0"/>
                <w:szCs w:val="21"/>
              </w:rPr>
            </w:pPr>
            <w:r>
              <w:rPr>
                <w:rFonts w:hint="eastAsia" w:cs="宋体"/>
                <w:kern w:val="0"/>
                <w:szCs w:val="21"/>
              </w:rPr>
              <w:t>A020911</w:t>
            </w:r>
          </w:p>
        </w:tc>
        <w:tc>
          <w:tcPr>
            <w:tcW w:w="819" w:type="pct"/>
            <w:shd w:val="clear" w:color="auto" w:fill="FFFFFF"/>
            <w:tcMar>
              <w:top w:w="0" w:type="dxa"/>
              <w:left w:w="108" w:type="dxa"/>
              <w:bottom w:w="0" w:type="dxa"/>
              <w:right w:w="108" w:type="dxa"/>
            </w:tcMar>
            <w:vAlign w:val="center"/>
          </w:tcPr>
          <w:p w14:paraId="56343396">
            <w:pPr>
              <w:widowControl/>
              <w:spacing w:line="276" w:lineRule="auto"/>
              <w:jc w:val="center"/>
              <w:textAlignment w:val="baseline"/>
              <w:rPr>
                <w:rFonts w:hint="eastAsia" w:cs="宋体"/>
                <w:kern w:val="0"/>
                <w:szCs w:val="21"/>
              </w:rPr>
            </w:pPr>
            <w:r>
              <w:rPr>
                <w:rFonts w:hint="eastAsia" w:cs="宋体"/>
                <w:kern w:val="0"/>
                <w:szCs w:val="21"/>
              </w:rPr>
              <w:t>视频设备</w:t>
            </w:r>
          </w:p>
        </w:tc>
        <w:tc>
          <w:tcPr>
            <w:tcW w:w="688" w:type="pct"/>
            <w:shd w:val="clear" w:color="auto" w:fill="FFFFFF"/>
            <w:tcMar>
              <w:top w:w="0" w:type="dxa"/>
              <w:left w:w="108" w:type="dxa"/>
              <w:bottom w:w="0" w:type="dxa"/>
              <w:right w:w="108" w:type="dxa"/>
            </w:tcMar>
            <w:vAlign w:val="center"/>
          </w:tcPr>
          <w:p w14:paraId="56343397">
            <w:pPr>
              <w:widowControl/>
              <w:spacing w:line="276" w:lineRule="auto"/>
              <w:jc w:val="center"/>
              <w:textAlignment w:val="baseline"/>
              <w:rPr>
                <w:rFonts w:hint="eastAsia" w:cs="宋体"/>
                <w:kern w:val="0"/>
                <w:szCs w:val="21"/>
              </w:rPr>
            </w:pPr>
            <w:r>
              <w:rPr>
                <w:rFonts w:hint="eastAsia" w:cs="宋体"/>
                <w:kern w:val="0"/>
                <w:szCs w:val="21"/>
              </w:rPr>
              <w:t>A02091107</w:t>
            </w:r>
          </w:p>
        </w:tc>
        <w:tc>
          <w:tcPr>
            <w:tcW w:w="974" w:type="pct"/>
            <w:shd w:val="clear" w:color="auto" w:fill="FFFFFF"/>
            <w:tcMar>
              <w:top w:w="0" w:type="dxa"/>
              <w:left w:w="108" w:type="dxa"/>
              <w:bottom w:w="0" w:type="dxa"/>
              <w:right w:w="108" w:type="dxa"/>
            </w:tcMar>
            <w:vAlign w:val="center"/>
          </w:tcPr>
          <w:p w14:paraId="56343398">
            <w:pPr>
              <w:widowControl/>
              <w:spacing w:line="276" w:lineRule="auto"/>
              <w:jc w:val="center"/>
              <w:textAlignment w:val="baseline"/>
              <w:rPr>
                <w:rFonts w:hint="eastAsia" w:cs="宋体"/>
                <w:kern w:val="0"/>
                <w:szCs w:val="21"/>
              </w:rPr>
            </w:pPr>
            <w:r>
              <w:rPr>
                <w:rFonts w:hint="eastAsia" w:cs="宋体"/>
                <w:kern w:val="0"/>
                <w:szCs w:val="21"/>
              </w:rPr>
              <w:t>视频监控设备</w:t>
            </w:r>
          </w:p>
        </w:tc>
        <w:tc>
          <w:tcPr>
            <w:tcW w:w="1682" w:type="pct"/>
            <w:vMerge w:val="continue"/>
            <w:shd w:val="clear" w:color="auto" w:fill="FFFFFF"/>
            <w:tcMar>
              <w:top w:w="0" w:type="dxa"/>
              <w:left w:w="0" w:type="dxa"/>
              <w:bottom w:w="0" w:type="dxa"/>
              <w:right w:w="0" w:type="dxa"/>
            </w:tcMar>
            <w:vAlign w:val="center"/>
          </w:tcPr>
          <w:p w14:paraId="56343399">
            <w:pPr>
              <w:widowControl/>
              <w:spacing w:line="276" w:lineRule="auto"/>
              <w:jc w:val="center"/>
              <w:rPr>
                <w:rFonts w:hint="eastAsia" w:cs="宋体"/>
                <w:kern w:val="0"/>
                <w:szCs w:val="21"/>
              </w:rPr>
            </w:pPr>
          </w:p>
        </w:tc>
      </w:tr>
      <w:tr w14:paraId="56343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B">
            <w:pPr>
              <w:widowControl/>
              <w:spacing w:line="276" w:lineRule="auto"/>
              <w:jc w:val="center"/>
              <w:textAlignment w:val="baseline"/>
              <w:rPr>
                <w:rFonts w:hint="eastAsia" w:cs="宋体"/>
                <w:kern w:val="0"/>
                <w:szCs w:val="21"/>
              </w:rPr>
            </w:pPr>
            <w:r>
              <w:rPr>
                <w:rFonts w:hint="eastAsia" w:cs="宋体"/>
                <w:kern w:val="0"/>
                <w:szCs w:val="21"/>
              </w:rPr>
              <w:t>14</w:t>
            </w:r>
          </w:p>
        </w:tc>
        <w:tc>
          <w:tcPr>
            <w:tcW w:w="569" w:type="pct"/>
            <w:shd w:val="clear" w:color="auto" w:fill="FFFFFF"/>
            <w:tcMar>
              <w:top w:w="0" w:type="dxa"/>
              <w:left w:w="108" w:type="dxa"/>
              <w:bottom w:w="0" w:type="dxa"/>
              <w:right w:w="108" w:type="dxa"/>
            </w:tcMar>
            <w:vAlign w:val="center"/>
          </w:tcPr>
          <w:p w14:paraId="5634339C">
            <w:pPr>
              <w:widowControl/>
              <w:spacing w:line="276" w:lineRule="auto"/>
              <w:jc w:val="center"/>
              <w:textAlignment w:val="baseline"/>
              <w:rPr>
                <w:rFonts w:hint="eastAsia" w:cs="宋体"/>
                <w:kern w:val="0"/>
                <w:szCs w:val="21"/>
              </w:rPr>
            </w:pPr>
            <w:r>
              <w:rPr>
                <w:rFonts w:hint="eastAsia" w:cs="宋体"/>
                <w:kern w:val="0"/>
                <w:szCs w:val="21"/>
              </w:rPr>
              <w:t>A031210</w:t>
            </w:r>
          </w:p>
        </w:tc>
        <w:tc>
          <w:tcPr>
            <w:tcW w:w="819" w:type="pct"/>
            <w:shd w:val="clear" w:color="auto" w:fill="FFFFFF"/>
            <w:tcMar>
              <w:top w:w="0" w:type="dxa"/>
              <w:left w:w="108" w:type="dxa"/>
              <w:bottom w:w="0" w:type="dxa"/>
              <w:right w:w="108" w:type="dxa"/>
            </w:tcMar>
            <w:vAlign w:val="center"/>
          </w:tcPr>
          <w:p w14:paraId="5634339D">
            <w:pPr>
              <w:widowControl/>
              <w:spacing w:line="276" w:lineRule="auto"/>
              <w:jc w:val="center"/>
              <w:textAlignment w:val="baseline"/>
              <w:rPr>
                <w:rFonts w:hint="eastAsia" w:cs="宋体"/>
                <w:kern w:val="0"/>
                <w:szCs w:val="21"/>
              </w:rPr>
            </w:pPr>
            <w:r>
              <w:rPr>
                <w:rFonts w:hint="eastAsia" w:cs="宋体"/>
                <w:kern w:val="0"/>
                <w:szCs w:val="21"/>
              </w:rPr>
              <w:t>饮食炊事机械</w:t>
            </w:r>
          </w:p>
        </w:tc>
        <w:tc>
          <w:tcPr>
            <w:tcW w:w="688" w:type="pct"/>
            <w:shd w:val="clear" w:color="auto" w:fill="FFFFFF"/>
            <w:tcMar>
              <w:top w:w="0" w:type="dxa"/>
              <w:left w:w="108" w:type="dxa"/>
              <w:bottom w:w="0" w:type="dxa"/>
              <w:right w:w="108" w:type="dxa"/>
            </w:tcMar>
            <w:vAlign w:val="center"/>
          </w:tcPr>
          <w:p w14:paraId="5634339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9F">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A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1">
            <w:pPr>
              <w:widowControl/>
              <w:spacing w:line="276" w:lineRule="auto"/>
              <w:jc w:val="center"/>
              <w:textAlignment w:val="baseline"/>
              <w:rPr>
                <w:rFonts w:hint="eastAsia" w:cs="宋体"/>
                <w:kern w:val="0"/>
                <w:szCs w:val="21"/>
              </w:rPr>
            </w:pPr>
            <w:r>
              <w:rPr>
                <w:rFonts w:hint="eastAsia" w:cs="宋体"/>
                <w:kern w:val="0"/>
                <w:szCs w:val="21"/>
              </w:rPr>
              <w:t>北京鉴衡认证中心</w:t>
            </w:r>
          </w:p>
          <w:p w14:paraId="563433A2">
            <w:pPr>
              <w:widowControl/>
              <w:spacing w:line="276" w:lineRule="auto"/>
              <w:jc w:val="center"/>
              <w:textAlignment w:val="baseline"/>
              <w:rPr>
                <w:rFonts w:hint="eastAsia" w:cs="宋体"/>
                <w:kern w:val="0"/>
                <w:szCs w:val="21"/>
              </w:rPr>
            </w:pPr>
            <w:r>
              <w:rPr>
                <w:rFonts w:hint="eastAsia" w:cs="宋体"/>
                <w:kern w:val="0"/>
                <w:szCs w:val="21"/>
              </w:rPr>
              <w:t>中国市政工程华北设计研究总院有限公司</w:t>
            </w:r>
          </w:p>
        </w:tc>
      </w:tr>
      <w:tr w14:paraId="56343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4">
            <w:pPr>
              <w:widowControl/>
              <w:spacing w:line="276" w:lineRule="auto"/>
              <w:jc w:val="center"/>
              <w:textAlignment w:val="baseline"/>
              <w:rPr>
                <w:rFonts w:hint="eastAsia" w:cs="宋体"/>
                <w:kern w:val="0"/>
                <w:szCs w:val="21"/>
              </w:rPr>
            </w:pPr>
            <w:r>
              <w:rPr>
                <w:rFonts w:hint="eastAsia" w:cs="宋体"/>
                <w:kern w:val="0"/>
                <w:szCs w:val="21"/>
              </w:rPr>
              <w:t>15</w:t>
            </w:r>
          </w:p>
        </w:tc>
        <w:tc>
          <w:tcPr>
            <w:tcW w:w="569" w:type="pct"/>
            <w:shd w:val="clear" w:color="auto" w:fill="FFFFFF"/>
            <w:tcMar>
              <w:top w:w="0" w:type="dxa"/>
              <w:left w:w="108" w:type="dxa"/>
              <w:bottom w:w="0" w:type="dxa"/>
              <w:right w:w="108" w:type="dxa"/>
            </w:tcMar>
            <w:vAlign w:val="center"/>
          </w:tcPr>
          <w:p w14:paraId="563433A5">
            <w:pPr>
              <w:widowControl/>
              <w:spacing w:line="276" w:lineRule="auto"/>
              <w:jc w:val="center"/>
              <w:textAlignment w:val="baseline"/>
              <w:rPr>
                <w:rFonts w:hint="eastAsia" w:cs="宋体"/>
                <w:kern w:val="0"/>
                <w:szCs w:val="21"/>
              </w:rPr>
            </w:pPr>
            <w:r>
              <w:rPr>
                <w:rFonts w:hint="eastAsia" w:cs="宋体"/>
                <w:kern w:val="0"/>
                <w:szCs w:val="21"/>
              </w:rPr>
              <w:t>A060805</w:t>
            </w:r>
          </w:p>
        </w:tc>
        <w:tc>
          <w:tcPr>
            <w:tcW w:w="819" w:type="pct"/>
            <w:shd w:val="clear" w:color="auto" w:fill="FFFFFF"/>
            <w:tcMar>
              <w:top w:w="0" w:type="dxa"/>
              <w:left w:w="108" w:type="dxa"/>
              <w:bottom w:w="0" w:type="dxa"/>
              <w:right w:w="108" w:type="dxa"/>
            </w:tcMar>
            <w:vAlign w:val="center"/>
          </w:tcPr>
          <w:p w14:paraId="563433A6">
            <w:pPr>
              <w:widowControl/>
              <w:spacing w:line="276" w:lineRule="auto"/>
              <w:jc w:val="center"/>
              <w:textAlignment w:val="baseline"/>
              <w:rPr>
                <w:rFonts w:hint="eastAsia" w:cs="宋体"/>
                <w:kern w:val="0"/>
                <w:szCs w:val="21"/>
              </w:rPr>
            </w:pPr>
            <w:r>
              <w:rPr>
                <w:rFonts w:hint="eastAsia" w:cs="宋体"/>
                <w:kern w:val="0"/>
                <w:szCs w:val="21"/>
              </w:rPr>
              <w:t>便器</w:t>
            </w:r>
          </w:p>
        </w:tc>
        <w:tc>
          <w:tcPr>
            <w:tcW w:w="688" w:type="pct"/>
            <w:shd w:val="clear" w:color="auto" w:fill="FFFFFF"/>
            <w:tcMar>
              <w:top w:w="0" w:type="dxa"/>
              <w:left w:w="108" w:type="dxa"/>
              <w:bottom w:w="0" w:type="dxa"/>
              <w:right w:w="108" w:type="dxa"/>
            </w:tcMar>
            <w:vAlign w:val="center"/>
          </w:tcPr>
          <w:p w14:paraId="563433A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A8">
            <w:pPr>
              <w:widowControl/>
              <w:spacing w:line="276" w:lineRule="auto"/>
              <w:jc w:val="center"/>
              <w:textAlignment w:val="baseline"/>
              <w:rPr>
                <w:rFonts w:hint="eastAsia" w:cs="宋体"/>
                <w:kern w:val="0"/>
                <w:szCs w:val="21"/>
              </w:rPr>
            </w:pPr>
          </w:p>
        </w:tc>
        <w:tc>
          <w:tcPr>
            <w:tcW w:w="1682" w:type="pct"/>
            <w:vMerge w:val="restart"/>
            <w:shd w:val="clear" w:color="auto" w:fill="FFFFFF"/>
            <w:tcMar>
              <w:top w:w="0" w:type="dxa"/>
              <w:left w:w="108" w:type="dxa"/>
              <w:bottom w:w="0" w:type="dxa"/>
              <w:right w:w="108" w:type="dxa"/>
            </w:tcMar>
            <w:vAlign w:val="center"/>
          </w:tcPr>
          <w:p w14:paraId="563433A9">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A">
            <w:pPr>
              <w:widowControl/>
              <w:spacing w:line="276" w:lineRule="auto"/>
              <w:jc w:val="center"/>
              <w:textAlignment w:val="baseline"/>
              <w:rPr>
                <w:rFonts w:hint="eastAsia" w:cs="宋体"/>
                <w:kern w:val="0"/>
                <w:szCs w:val="21"/>
              </w:rPr>
            </w:pPr>
            <w:r>
              <w:rPr>
                <w:rFonts w:hint="eastAsia" w:cs="宋体"/>
                <w:kern w:val="0"/>
                <w:szCs w:val="21"/>
              </w:rPr>
              <w:t>北京新华节水产品认证有限公司</w:t>
            </w:r>
          </w:p>
          <w:p w14:paraId="563433AB">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D">
            <w:pPr>
              <w:widowControl/>
              <w:spacing w:line="276" w:lineRule="auto"/>
              <w:jc w:val="center"/>
              <w:textAlignment w:val="baseline"/>
              <w:rPr>
                <w:rFonts w:hint="eastAsia" w:cs="宋体"/>
                <w:kern w:val="0"/>
                <w:szCs w:val="21"/>
              </w:rPr>
            </w:pPr>
            <w:r>
              <w:rPr>
                <w:rFonts w:hint="eastAsia" w:cs="宋体"/>
                <w:kern w:val="0"/>
                <w:szCs w:val="21"/>
              </w:rPr>
              <w:t>16</w:t>
            </w:r>
          </w:p>
        </w:tc>
        <w:tc>
          <w:tcPr>
            <w:tcW w:w="569" w:type="pct"/>
            <w:shd w:val="clear" w:color="auto" w:fill="FFFFFF"/>
            <w:tcMar>
              <w:top w:w="0" w:type="dxa"/>
              <w:left w:w="108" w:type="dxa"/>
              <w:bottom w:w="0" w:type="dxa"/>
              <w:right w:w="108" w:type="dxa"/>
            </w:tcMar>
            <w:vAlign w:val="center"/>
          </w:tcPr>
          <w:p w14:paraId="563433AE">
            <w:pPr>
              <w:widowControl/>
              <w:spacing w:line="276" w:lineRule="auto"/>
              <w:jc w:val="center"/>
              <w:textAlignment w:val="baseline"/>
              <w:rPr>
                <w:rFonts w:hint="eastAsia" w:cs="宋体"/>
                <w:kern w:val="0"/>
                <w:szCs w:val="21"/>
              </w:rPr>
            </w:pPr>
            <w:r>
              <w:rPr>
                <w:rFonts w:hint="eastAsia" w:cs="宋体"/>
                <w:kern w:val="0"/>
                <w:szCs w:val="21"/>
              </w:rPr>
              <w:t>A060806</w:t>
            </w:r>
          </w:p>
        </w:tc>
        <w:tc>
          <w:tcPr>
            <w:tcW w:w="819" w:type="pct"/>
            <w:shd w:val="clear" w:color="auto" w:fill="FFFFFF"/>
            <w:tcMar>
              <w:top w:w="0" w:type="dxa"/>
              <w:left w:w="108" w:type="dxa"/>
              <w:bottom w:w="0" w:type="dxa"/>
              <w:right w:w="108" w:type="dxa"/>
            </w:tcMar>
            <w:vAlign w:val="center"/>
          </w:tcPr>
          <w:p w14:paraId="563433AF">
            <w:pPr>
              <w:widowControl/>
              <w:spacing w:line="276" w:lineRule="auto"/>
              <w:jc w:val="center"/>
              <w:textAlignment w:val="baseline"/>
              <w:rPr>
                <w:rFonts w:hint="eastAsia" w:cs="宋体"/>
                <w:kern w:val="0"/>
                <w:szCs w:val="21"/>
              </w:rPr>
            </w:pPr>
            <w:r>
              <w:rPr>
                <w:rFonts w:hint="eastAsia" w:cs="宋体"/>
                <w:kern w:val="0"/>
                <w:szCs w:val="21"/>
              </w:rPr>
              <w:t>水嘴</w:t>
            </w:r>
          </w:p>
        </w:tc>
        <w:tc>
          <w:tcPr>
            <w:tcW w:w="688" w:type="pct"/>
            <w:shd w:val="clear" w:color="auto" w:fill="FFFFFF"/>
            <w:tcMar>
              <w:top w:w="0" w:type="dxa"/>
              <w:left w:w="108" w:type="dxa"/>
              <w:bottom w:w="0" w:type="dxa"/>
              <w:right w:w="108" w:type="dxa"/>
            </w:tcMar>
            <w:vAlign w:val="center"/>
          </w:tcPr>
          <w:p w14:paraId="563433B0">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1">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2">
            <w:pPr>
              <w:widowControl/>
              <w:spacing w:line="276" w:lineRule="auto"/>
              <w:jc w:val="center"/>
              <w:rPr>
                <w:rFonts w:hint="eastAsia" w:cs="宋体"/>
                <w:kern w:val="0"/>
                <w:szCs w:val="21"/>
              </w:rPr>
            </w:pPr>
          </w:p>
        </w:tc>
      </w:tr>
      <w:tr w14:paraId="56343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4">
            <w:pPr>
              <w:widowControl/>
              <w:spacing w:line="276" w:lineRule="auto"/>
              <w:jc w:val="center"/>
              <w:textAlignment w:val="baseline"/>
              <w:rPr>
                <w:rFonts w:hint="eastAsia" w:cs="宋体"/>
                <w:kern w:val="0"/>
                <w:szCs w:val="21"/>
              </w:rPr>
            </w:pPr>
            <w:r>
              <w:rPr>
                <w:rFonts w:hint="eastAsia" w:cs="宋体"/>
                <w:kern w:val="0"/>
                <w:szCs w:val="21"/>
              </w:rPr>
              <w:t>17</w:t>
            </w:r>
          </w:p>
        </w:tc>
        <w:tc>
          <w:tcPr>
            <w:tcW w:w="569" w:type="pct"/>
            <w:shd w:val="clear" w:color="auto" w:fill="FFFFFF"/>
            <w:tcMar>
              <w:top w:w="0" w:type="dxa"/>
              <w:left w:w="108" w:type="dxa"/>
              <w:bottom w:w="0" w:type="dxa"/>
              <w:right w:w="108" w:type="dxa"/>
            </w:tcMar>
            <w:vAlign w:val="center"/>
          </w:tcPr>
          <w:p w14:paraId="563433B5">
            <w:pPr>
              <w:widowControl/>
              <w:spacing w:line="276" w:lineRule="auto"/>
              <w:jc w:val="center"/>
              <w:textAlignment w:val="baseline"/>
              <w:rPr>
                <w:rFonts w:hint="eastAsia" w:cs="宋体"/>
                <w:kern w:val="0"/>
                <w:szCs w:val="21"/>
              </w:rPr>
            </w:pPr>
            <w:r>
              <w:rPr>
                <w:rFonts w:hint="eastAsia" w:cs="宋体"/>
                <w:kern w:val="0"/>
                <w:szCs w:val="21"/>
              </w:rPr>
              <w:t>A060807</w:t>
            </w:r>
          </w:p>
        </w:tc>
        <w:tc>
          <w:tcPr>
            <w:tcW w:w="819" w:type="pct"/>
            <w:shd w:val="clear" w:color="auto" w:fill="FFFFFF"/>
            <w:tcMar>
              <w:top w:w="0" w:type="dxa"/>
              <w:left w:w="108" w:type="dxa"/>
              <w:bottom w:w="0" w:type="dxa"/>
              <w:right w:w="108" w:type="dxa"/>
            </w:tcMar>
            <w:vAlign w:val="center"/>
          </w:tcPr>
          <w:p w14:paraId="563433B6">
            <w:pPr>
              <w:widowControl/>
              <w:spacing w:line="276" w:lineRule="auto"/>
              <w:jc w:val="center"/>
              <w:textAlignment w:val="baseline"/>
              <w:rPr>
                <w:rFonts w:hint="eastAsia" w:cs="宋体"/>
                <w:kern w:val="0"/>
                <w:szCs w:val="21"/>
              </w:rPr>
            </w:pPr>
            <w:r>
              <w:rPr>
                <w:rFonts w:hint="eastAsia" w:cs="宋体"/>
                <w:kern w:val="0"/>
                <w:szCs w:val="21"/>
              </w:rPr>
              <w:t>便器冲洗阀</w:t>
            </w:r>
          </w:p>
        </w:tc>
        <w:tc>
          <w:tcPr>
            <w:tcW w:w="688" w:type="pct"/>
            <w:shd w:val="clear" w:color="auto" w:fill="FFFFFF"/>
            <w:tcMar>
              <w:top w:w="0" w:type="dxa"/>
              <w:left w:w="108" w:type="dxa"/>
              <w:bottom w:w="0" w:type="dxa"/>
              <w:right w:w="108" w:type="dxa"/>
            </w:tcMar>
            <w:vAlign w:val="center"/>
          </w:tcPr>
          <w:p w14:paraId="563433B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8">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9">
            <w:pPr>
              <w:widowControl/>
              <w:spacing w:line="276" w:lineRule="auto"/>
              <w:jc w:val="center"/>
              <w:rPr>
                <w:rFonts w:hint="eastAsia" w:cs="宋体"/>
                <w:kern w:val="0"/>
                <w:szCs w:val="21"/>
              </w:rPr>
            </w:pPr>
          </w:p>
        </w:tc>
      </w:tr>
      <w:tr w14:paraId="56343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B">
            <w:pPr>
              <w:widowControl/>
              <w:spacing w:line="276" w:lineRule="auto"/>
              <w:jc w:val="center"/>
              <w:textAlignment w:val="baseline"/>
              <w:rPr>
                <w:rFonts w:hint="eastAsia" w:cs="宋体"/>
                <w:kern w:val="0"/>
                <w:szCs w:val="21"/>
              </w:rPr>
            </w:pPr>
            <w:r>
              <w:rPr>
                <w:rFonts w:hint="eastAsia" w:cs="宋体"/>
                <w:kern w:val="0"/>
                <w:szCs w:val="21"/>
              </w:rPr>
              <w:t>18</w:t>
            </w:r>
          </w:p>
        </w:tc>
        <w:tc>
          <w:tcPr>
            <w:tcW w:w="569" w:type="pct"/>
            <w:shd w:val="clear" w:color="auto" w:fill="FFFFFF"/>
            <w:tcMar>
              <w:top w:w="0" w:type="dxa"/>
              <w:left w:w="108" w:type="dxa"/>
              <w:bottom w:w="0" w:type="dxa"/>
              <w:right w:w="108" w:type="dxa"/>
            </w:tcMar>
            <w:vAlign w:val="center"/>
          </w:tcPr>
          <w:p w14:paraId="563433BC">
            <w:pPr>
              <w:widowControl/>
              <w:spacing w:line="276" w:lineRule="auto"/>
              <w:jc w:val="center"/>
              <w:textAlignment w:val="baseline"/>
              <w:rPr>
                <w:rFonts w:hint="eastAsia" w:cs="宋体"/>
                <w:kern w:val="0"/>
                <w:szCs w:val="21"/>
              </w:rPr>
            </w:pPr>
            <w:r>
              <w:rPr>
                <w:rFonts w:hint="eastAsia" w:cs="宋体"/>
                <w:kern w:val="0"/>
                <w:szCs w:val="21"/>
              </w:rPr>
              <w:t>A060810</w:t>
            </w:r>
          </w:p>
        </w:tc>
        <w:tc>
          <w:tcPr>
            <w:tcW w:w="819" w:type="pct"/>
            <w:shd w:val="clear" w:color="auto" w:fill="FFFFFF"/>
            <w:tcMar>
              <w:top w:w="0" w:type="dxa"/>
              <w:left w:w="108" w:type="dxa"/>
              <w:bottom w:w="0" w:type="dxa"/>
              <w:right w:w="108" w:type="dxa"/>
            </w:tcMar>
            <w:vAlign w:val="center"/>
          </w:tcPr>
          <w:p w14:paraId="563433BD">
            <w:pPr>
              <w:widowControl/>
              <w:spacing w:line="276" w:lineRule="auto"/>
              <w:jc w:val="center"/>
              <w:textAlignment w:val="baseline"/>
              <w:rPr>
                <w:rFonts w:hint="eastAsia" w:cs="宋体"/>
                <w:kern w:val="0"/>
                <w:szCs w:val="21"/>
              </w:rPr>
            </w:pPr>
            <w:r>
              <w:rPr>
                <w:rFonts w:hint="eastAsia" w:cs="宋体"/>
                <w:kern w:val="0"/>
                <w:szCs w:val="21"/>
              </w:rPr>
              <w:t>淋浴器</w:t>
            </w:r>
          </w:p>
        </w:tc>
        <w:tc>
          <w:tcPr>
            <w:tcW w:w="688" w:type="pct"/>
            <w:shd w:val="clear" w:color="auto" w:fill="FFFFFF"/>
            <w:tcMar>
              <w:top w:w="0" w:type="dxa"/>
              <w:left w:w="108" w:type="dxa"/>
              <w:bottom w:w="0" w:type="dxa"/>
              <w:right w:w="108" w:type="dxa"/>
            </w:tcMar>
            <w:vAlign w:val="center"/>
          </w:tcPr>
          <w:p w14:paraId="563433B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F">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C0">
            <w:pPr>
              <w:widowControl/>
              <w:spacing w:line="276" w:lineRule="auto"/>
              <w:jc w:val="center"/>
              <w:rPr>
                <w:rFonts w:hint="eastAsia" w:cs="宋体"/>
                <w:kern w:val="0"/>
                <w:szCs w:val="21"/>
              </w:rPr>
            </w:pPr>
          </w:p>
        </w:tc>
      </w:tr>
    </w:tbl>
    <w:p w14:paraId="563433C2">
      <w:pPr>
        <w:widowControl/>
        <w:shd w:val="clear" w:color="auto" w:fill="FFFFFF"/>
        <w:textAlignment w:val="baseline"/>
        <w:rPr>
          <w:rFonts w:hint="eastAsia" w:cs="宋体"/>
          <w:kern w:val="0"/>
          <w:szCs w:val="21"/>
        </w:rPr>
      </w:pPr>
      <w:r>
        <w:rPr>
          <w:rFonts w:hint="eastAsia"/>
          <w:szCs w:val="21"/>
        </w:rPr>
        <w:t>2</w:t>
      </w:r>
      <w:r>
        <w:rPr>
          <w:szCs w:val="21"/>
        </w:rPr>
        <w:t>.4.7</w:t>
      </w:r>
      <w:r>
        <w:rPr>
          <w:rFonts w:hint="eastAsia" w:cs="宋体"/>
          <w:kern w:val="0"/>
          <w:szCs w:val="21"/>
        </w:rPr>
        <w:t>参与实施政府采购环境标志产品认证机构名录</w:t>
      </w:r>
    </w:p>
    <w:tbl>
      <w:tblPr>
        <w:tblStyle w:val="44"/>
        <w:tblW w:w="1003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Layout w:type="autofit"/>
        <w:tblCellMar>
          <w:top w:w="30" w:type="dxa"/>
          <w:left w:w="30" w:type="dxa"/>
          <w:bottom w:w="30" w:type="dxa"/>
          <w:right w:w="30" w:type="dxa"/>
        </w:tblCellMar>
      </w:tblPr>
      <w:tblGrid>
        <w:gridCol w:w="729"/>
        <w:gridCol w:w="2396"/>
        <w:gridCol w:w="6913"/>
      </w:tblGrid>
      <w:tr w14:paraId="56343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CellMar>
            <w:top w:w="30" w:type="dxa"/>
            <w:left w:w="30" w:type="dxa"/>
            <w:bottom w:w="30" w:type="dxa"/>
            <w:right w:w="30" w:type="dxa"/>
          </w:tblCellMar>
        </w:tblPrEx>
        <w:trPr>
          <w:trHeight w:val="461" w:hRule="atLeast"/>
          <w:jc w:val="center"/>
        </w:trPr>
        <w:tc>
          <w:tcPr>
            <w:tcW w:w="729" w:type="dxa"/>
            <w:shd w:val="clear" w:color="auto" w:fill="FFFFFF"/>
            <w:tcMar>
              <w:top w:w="0" w:type="dxa"/>
              <w:left w:w="108" w:type="dxa"/>
              <w:bottom w:w="0" w:type="dxa"/>
              <w:right w:w="108" w:type="dxa"/>
            </w:tcMar>
            <w:vAlign w:val="center"/>
          </w:tcPr>
          <w:p w14:paraId="563433C3">
            <w:pPr>
              <w:widowControl/>
              <w:spacing w:line="240" w:lineRule="atLeast"/>
              <w:jc w:val="center"/>
              <w:textAlignment w:val="baseline"/>
              <w:rPr>
                <w:rFonts w:hint="eastAsia" w:cs="宋体"/>
                <w:kern w:val="0"/>
                <w:szCs w:val="21"/>
              </w:rPr>
            </w:pPr>
            <w:r>
              <w:rPr>
                <w:rFonts w:hint="eastAsia" w:cs="宋体"/>
                <w:kern w:val="0"/>
                <w:szCs w:val="21"/>
              </w:rPr>
              <w:t>序号</w:t>
            </w:r>
          </w:p>
        </w:tc>
        <w:tc>
          <w:tcPr>
            <w:tcW w:w="2396" w:type="dxa"/>
            <w:shd w:val="clear" w:color="auto" w:fill="FFFFFF"/>
            <w:tcMar>
              <w:top w:w="0" w:type="dxa"/>
              <w:left w:w="108" w:type="dxa"/>
              <w:bottom w:w="0" w:type="dxa"/>
              <w:right w:w="108" w:type="dxa"/>
            </w:tcMar>
            <w:vAlign w:val="center"/>
          </w:tcPr>
          <w:p w14:paraId="563433C4">
            <w:pPr>
              <w:widowControl/>
              <w:spacing w:line="240" w:lineRule="atLeast"/>
              <w:jc w:val="center"/>
              <w:textAlignment w:val="baseline"/>
              <w:rPr>
                <w:rFonts w:hint="eastAsia" w:cs="宋体"/>
                <w:kern w:val="0"/>
                <w:szCs w:val="21"/>
              </w:rPr>
            </w:pPr>
            <w:r>
              <w:rPr>
                <w:rFonts w:hint="eastAsia" w:cs="宋体"/>
                <w:kern w:val="0"/>
                <w:szCs w:val="21"/>
              </w:rPr>
              <w:t>目录</w:t>
            </w:r>
          </w:p>
        </w:tc>
        <w:tc>
          <w:tcPr>
            <w:tcW w:w="6913" w:type="dxa"/>
            <w:shd w:val="clear" w:color="auto" w:fill="FFFFFF"/>
            <w:tcMar>
              <w:top w:w="0" w:type="dxa"/>
              <w:left w:w="108" w:type="dxa"/>
              <w:bottom w:w="0" w:type="dxa"/>
              <w:right w:w="108" w:type="dxa"/>
            </w:tcMar>
            <w:vAlign w:val="center"/>
          </w:tcPr>
          <w:p w14:paraId="563433C5">
            <w:pPr>
              <w:widowControl/>
              <w:spacing w:line="240" w:lineRule="atLeast"/>
              <w:jc w:val="center"/>
              <w:textAlignment w:val="baseline"/>
              <w:rPr>
                <w:rFonts w:hint="eastAsia" w:cs="宋体"/>
                <w:kern w:val="0"/>
                <w:szCs w:val="21"/>
              </w:rPr>
            </w:pPr>
            <w:r>
              <w:rPr>
                <w:rFonts w:hint="eastAsia" w:cs="宋体"/>
                <w:kern w:val="0"/>
                <w:szCs w:val="21"/>
              </w:rPr>
              <w:t>认证机构名录</w:t>
            </w:r>
          </w:p>
        </w:tc>
      </w:tr>
      <w:tr w14:paraId="563433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0" w:type="dxa"/>
            <w:left w:w="30" w:type="dxa"/>
            <w:bottom w:w="30" w:type="dxa"/>
            <w:right w:w="30" w:type="dxa"/>
          </w:tblCellMar>
        </w:tblPrEx>
        <w:trPr>
          <w:trHeight w:val="1386" w:hRule="atLeast"/>
          <w:jc w:val="center"/>
        </w:trPr>
        <w:tc>
          <w:tcPr>
            <w:tcW w:w="729" w:type="dxa"/>
            <w:shd w:val="clear" w:color="auto" w:fill="FFFFFF"/>
            <w:tcMar>
              <w:top w:w="0" w:type="dxa"/>
              <w:left w:w="108" w:type="dxa"/>
              <w:bottom w:w="0" w:type="dxa"/>
              <w:right w:w="108" w:type="dxa"/>
            </w:tcMar>
            <w:vAlign w:val="center"/>
          </w:tcPr>
          <w:p w14:paraId="563433C7">
            <w:pPr>
              <w:widowControl/>
              <w:spacing w:line="240" w:lineRule="atLeast"/>
              <w:jc w:val="center"/>
              <w:textAlignment w:val="baseline"/>
              <w:rPr>
                <w:rFonts w:hint="eastAsia" w:cs="宋体"/>
                <w:kern w:val="0"/>
                <w:szCs w:val="21"/>
              </w:rPr>
            </w:pPr>
            <w:r>
              <w:rPr>
                <w:rFonts w:hint="eastAsia" w:cs="宋体"/>
                <w:kern w:val="0"/>
                <w:szCs w:val="21"/>
              </w:rPr>
              <w:t>1</w:t>
            </w:r>
          </w:p>
        </w:tc>
        <w:tc>
          <w:tcPr>
            <w:tcW w:w="2396" w:type="dxa"/>
            <w:shd w:val="clear" w:color="auto" w:fill="FFFFFF"/>
            <w:tcMar>
              <w:top w:w="0" w:type="dxa"/>
              <w:left w:w="108" w:type="dxa"/>
              <w:bottom w:w="0" w:type="dxa"/>
              <w:right w:w="108" w:type="dxa"/>
            </w:tcMar>
            <w:vAlign w:val="center"/>
          </w:tcPr>
          <w:p w14:paraId="563433C8">
            <w:pPr>
              <w:widowControl/>
              <w:spacing w:line="240" w:lineRule="atLeast"/>
              <w:jc w:val="center"/>
              <w:textAlignment w:val="baseline"/>
              <w:rPr>
                <w:rFonts w:hint="eastAsia" w:cs="宋体"/>
                <w:kern w:val="0"/>
                <w:szCs w:val="21"/>
              </w:rPr>
            </w:pPr>
            <w:r>
              <w:rPr>
                <w:rFonts w:hint="eastAsia" w:cs="宋体"/>
                <w:kern w:val="0"/>
                <w:szCs w:val="21"/>
              </w:rPr>
              <w:t>环境标志产品</w:t>
            </w:r>
          </w:p>
        </w:tc>
        <w:tc>
          <w:tcPr>
            <w:tcW w:w="6913" w:type="dxa"/>
            <w:shd w:val="clear" w:color="auto" w:fill="FFFFFF"/>
            <w:tcMar>
              <w:top w:w="0" w:type="dxa"/>
              <w:left w:w="108" w:type="dxa"/>
              <w:bottom w:w="0" w:type="dxa"/>
              <w:right w:w="108" w:type="dxa"/>
            </w:tcMar>
            <w:vAlign w:val="center"/>
          </w:tcPr>
          <w:p w14:paraId="563433C9">
            <w:pPr>
              <w:widowControl/>
              <w:spacing w:line="240" w:lineRule="atLeast"/>
              <w:jc w:val="center"/>
              <w:textAlignment w:val="baseline"/>
              <w:rPr>
                <w:rFonts w:hint="eastAsia" w:cs="宋体"/>
                <w:kern w:val="0"/>
                <w:szCs w:val="21"/>
              </w:rPr>
            </w:pPr>
            <w:r>
              <w:rPr>
                <w:rFonts w:hint="eastAsia" w:cs="宋体"/>
                <w:kern w:val="0"/>
                <w:szCs w:val="21"/>
              </w:rPr>
              <w:t>中环联合（北京）认证中心有限公司</w:t>
            </w:r>
          </w:p>
          <w:p w14:paraId="563433CA">
            <w:pPr>
              <w:widowControl/>
              <w:spacing w:line="240" w:lineRule="atLeast"/>
              <w:jc w:val="center"/>
              <w:textAlignment w:val="baseline"/>
              <w:rPr>
                <w:rFonts w:hint="eastAsia" w:cs="宋体"/>
                <w:kern w:val="0"/>
                <w:szCs w:val="21"/>
              </w:rPr>
            </w:pPr>
            <w:r>
              <w:rPr>
                <w:rFonts w:hint="eastAsia" w:cs="宋体"/>
                <w:kern w:val="0"/>
                <w:szCs w:val="21"/>
              </w:rPr>
              <w:t>中标合信（北京）认证有限公司</w:t>
            </w:r>
          </w:p>
          <w:p w14:paraId="563433CB">
            <w:pPr>
              <w:widowControl/>
              <w:spacing w:line="240" w:lineRule="atLeast"/>
              <w:jc w:val="center"/>
              <w:textAlignment w:val="baseline"/>
              <w:rPr>
                <w:rFonts w:hint="eastAsia" w:cs="宋体"/>
                <w:kern w:val="0"/>
                <w:szCs w:val="21"/>
              </w:rPr>
            </w:pPr>
            <w:r>
              <w:rPr>
                <w:rFonts w:hint="eastAsia" w:cs="宋体"/>
                <w:kern w:val="0"/>
                <w:szCs w:val="21"/>
              </w:rPr>
              <w:t>中环协（北京）认证中心</w:t>
            </w:r>
          </w:p>
          <w:p w14:paraId="563433CC">
            <w:pPr>
              <w:widowControl/>
              <w:spacing w:line="240" w:lineRule="atLeast"/>
              <w:jc w:val="center"/>
              <w:textAlignment w:val="baseline"/>
              <w:rPr>
                <w:rFonts w:hint="eastAsia" w:cs="宋体"/>
                <w:kern w:val="0"/>
                <w:szCs w:val="21"/>
              </w:rPr>
            </w:pPr>
            <w:r>
              <w:rPr>
                <w:rFonts w:hint="eastAsia" w:cs="宋体"/>
                <w:kern w:val="0"/>
                <w:szCs w:val="21"/>
              </w:rPr>
              <w:t>天津华诚认证有限公司</w:t>
            </w:r>
          </w:p>
        </w:tc>
      </w:tr>
    </w:tbl>
    <w:p w14:paraId="580F08DF">
      <w:pPr>
        <w:tabs>
          <w:tab w:val="left" w:pos="2472"/>
        </w:tabs>
        <w:wordWrap w:val="0"/>
        <w:ind w:firstLine="420" w:firstLineChars="200"/>
        <w:rPr>
          <w:rFonts w:hint="eastAsia"/>
          <w:b/>
          <w:szCs w:val="21"/>
        </w:rPr>
      </w:pPr>
      <w:bookmarkStart w:id="507" w:name="_Toc139357103"/>
      <w:bookmarkStart w:id="508" w:name="_Toc23253"/>
      <w:bookmarkStart w:id="509" w:name="_Toc216724784"/>
      <w:bookmarkStart w:id="510" w:name="_Toc802"/>
      <w:bookmarkStart w:id="511" w:name="_Toc170120986"/>
      <w:bookmarkStart w:id="512" w:name="_Toc166067811"/>
      <w:bookmarkStart w:id="513" w:name="_Toc125986527"/>
      <w:r>
        <w:rPr>
          <w:b/>
          <w:szCs w:val="21"/>
        </w:rPr>
        <w:t>2.5 本国产品支持政策</w:t>
      </w:r>
    </w:p>
    <w:p w14:paraId="53D43385">
      <w:pPr>
        <w:tabs>
          <w:tab w:val="left" w:pos="2472"/>
        </w:tabs>
        <w:wordWrap w:val="0"/>
        <w:ind w:firstLine="420" w:firstLineChars="200"/>
        <w:rPr>
          <w:rFonts w:hint="eastAsia"/>
          <w:color w:val="000000"/>
          <w:szCs w:val="21"/>
        </w:rPr>
      </w:pPr>
      <w:r>
        <w:rPr>
          <w:color w:val="000000"/>
          <w:szCs w:val="21"/>
        </w:rPr>
        <w:t>根据《国务院办公厅关于在政府采购中实施本国产品标准及相关政策的通知》（国办发〔2025〕34号）</w:t>
      </w:r>
      <w:r>
        <w:rPr>
          <w:szCs w:val="21"/>
        </w:rPr>
        <w:t>以及关于贯彻落实《国务院办公厅关于在政府采购中实施本国产品标准及相关政策的通知》的意见，供应商提供的产品符合本国产品标准及相关政策的，享受评标方法规定的本国产品支持政策。</w:t>
      </w:r>
    </w:p>
    <w:p w14:paraId="0EC94D5C">
      <w:pPr>
        <w:tabs>
          <w:tab w:val="left" w:pos="2472"/>
        </w:tabs>
        <w:wordWrap w:val="0"/>
        <w:ind w:firstLine="420" w:firstLineChars="200"/>
        <w:rPr>
          <w:rFonts w:hint="eastAsia"/>
          <w:b/>
          <w:bCs/>
          <w:szCs w:val="21"/>
        </w:rPr>
      </w:pPr>
      <w:r>
        <w:rPr>
          <w:b/>
          <w:bCs/>
          <w:szCs w:val="21"/>
        </w:rPr>
        <w:t>2.5.1本国产品标准</w:t>
      </w:r>
    </w:p>
    <w:p w14:paraId="5BA9864E">
      <w:pPr>
        <w:tabs>
          <w:tab w:val="left" w:pos="2472"/>
        </w:tabs>
        <w:wordWrap w:val="0"/>
        <w:ind w:firstLine="420" w:firstLineChars="200"/>
        <w:rPr>
          <w:rFonts w:hint="eastAsia"/>
          <w:szCs w:val="21"/>
        </w:rPr>
      </w:pPr>
      <w:r>
        <w:rPr>
          <w:szCs w:val="21"/>
        </w:rPr>
        <w:t>本国产品应当符合以下条件：</w:t>
      </w:r>
    </w:p>
    <w:p w14:paraId="11924DE8">
      <w:pPr>
        <w:tabs>
          <w:tab w:val="left" w:pos="2472"/>
        </w:tabs>
        <w:wordWrap w:val="0"/>
        <w:ind w:firstLine="420" w:firstLineChars="200"/>
        <w:rPr>
          <w:rFonts w:hint="eastAsia"/>
          <w:b/>
          <w:bCs/>
          <w:szCs w:val="21"/>
        </w:rPr>
      </w:pPr>
      <w:r>
        <w:rPr>
          <w:b/>
          <w:bCs/>
          <w:szCs w:val="21"/>
        </w:rPr>
        <w:t>（一）在中国境内生产</w:t>
      </w:r>
    </w:p>
    <w:p w14:paraId="34C38284">
      <w:pPr>
        <w:tabs>
          <w:tab w:val="left" w:pos="2472"/>
        </w:tabs>
        <w:wordWrap w:val="0"/>
        <w:ind w:firstLine="420" w:firstLineChars="200"/>
        <w:rPr>
          <w:rFonts w:hint="eastAsia"/>
          <w:szCs w:val="21"/>
        </w:rPr>
      </w:pPr>
      <w:r>
        <w:rPr>
          <w:szCs w:val="21"/>
        </w:rPr>
        <w:t>产品应当在中国境内生产，即在中华人民共和国关境内实现从原材料、组件到产品的属性改变。</w:t>
      </w:r>
    </w:p>
    <w:p w14:paraId="4B72D57F">
      <w:pPr>
        <w:tabs>
          <w:tab w:val="left" w:pos="2472"/>
        </w:tabs>
        <w:wordWrap w:val="0"/>
        <w:ind w:firstLine="420" w:firstLineChars="200"/>
        <w:rPr>
          <w:rFonts w:hint="eastAsia"/>
          <w:szCs w:val="21"/>
        </w:rPr>
      </w:pPr>
      <w:r>
        <w:rPr>
          <w:szCs w:val="21"/>
        </w:rPr>
        <w:t>属性改变是指经过制造、加工或者组装等工序，产生完全不同于原材料、组件的新产品，并具有新的名称和特征（用途）。属性改变不包括以下细微操作：</w:t>
      </w:r>
    </w:p>
    <w:p w14:paraId="0F755749">
      <w:pPr>
        <w:tabs>
          <w:tab w:val="left" w:pos="2472"/>
        </w:tabs>
        <w:wordWrap w:val="0"/>
        <w:ind w:firstLine="420" w:firstLineChars="200"/>
        <w:rPr>
          <w:rFonts w:hint="eastAsia"/>
          <w:szCs w:val="21"/>
        </w:rPr>
      </w:pPr>
      <w:r>
        <w:rPr>
          <w:szCs w:val="21"/>
        </w:rPr>
        <w:t>1.为确保产品在运输或者储存期间保持某种状态而进行的操作；</w:t>
      </w:r>
    </w:p>
    <w:p w14:paraId="23A23F72">
      <w:pPr>
        <w:tabs>
          <w:tab w:val="left" w:pos="2472"/>
        </w:tabs>
        <w:wordWrap w:val="0"/>
        <w:ind w:firstLine="420" w:firstLineChars="200"/>
        <w:rPr>
          <w:rFonts w:hint="eastAsia"/>
          <w:szCs w:val="21"/>
        </w:rPr>
      </w:pPr>
      <w:r>
        <w:rPr>
          <w:szCs w:val="21"/>
        </w:rPr>
        <w:t>2.为产品运输或者销售进行的包装或者展示；</w:t>
      </w:r>
    </w:p>
    <w:p w14:paraId="2268CD89">
      <w:pPr>
        <w:tabs>
          <w:tab w:val="left" w:pos="2472"/>
        </w:tabs>
        <w:wordWrap w:val="0"/>
        <w:ind w:firstLine="420" w:firstLineChars="200"/>
        <w:rPr>
          <w:rFonts w:hint="eastAsia"/>
          <w:szCs w:val="21"/>
        </w:rPr>
      </w:pPr>
      <w:r>
        <w:rPr>
          <w:szCs w:val="21"/>
        </w:rPr>
        <w:t>3.在产品或者其包装上粘贴或者印刷品牌、标志、标识以及其他用于区别的标记；</w:t>
      </w:r>
    </w:p>
    <w:p w14:paraId="29A1C16F">
      <w:pPr>
        <w:tabs>
          <w:tab w:val="left" w:pos="2472"/>
        </w:tabs>
        <w:wordWrap w:val="0"/>
        <w:ind w:firstLine="420" w:firstLineChars="200"/>
        <w:rPr>
          <w:rFonts w:hint="eastAsia"/>
          <w:szCs w:val="21"/>
        </w:rPr>
      </w:pPr>
      <w:r>
        <w:rPr>
          <w:szCs w:val="21"/>
        </w:rPr>
        <w:t>4.简单的上漆、磨光和分装；</w:t>
      </w:r>
    </w:p>
    <w:p w14:paraId="3D868FCC">
      <w:pPr>
        <w:tabs>
          <w:tab w:val="left" w:pos="2472"/>
        </w:tabs>
        <w:wordWrap w:val="0"/>
        <w:ind w:firstLine="420" w:firstLineChars="200"/>
        <w:rPr>
          <w:rFonts w:hint="eastAsia"/>
          <w:szCs w:val="21"/>
        </w:rPr>
      </w:pPr>
      <w:r>
        <w:rPr>
          <w:szCs w:val="21"/>
        </w:rPr>
        <w:t>5.其他不属于属性改变的情形。</w:t>
      </w:r>
    </w:p>
    <w:p w14:paraId="6E476218">
      <w:pPr>
        <w:tabs>
          <w:tab w:val="left" w:pos="2472"/>
        </w:tabs>
        <w:wordWrap w:val="0"/>
        <w:ind w:firstLine="420" w:firstLineChars="200"/>
        <w:rPr>
          <w:rFonts w:hint="eastAsia"/>
          <w:color w:val="000000"/>
          <w:szCs w:val="21"/>
        </w:rPr>
      </w:pPr>
      <w:r>
        <w:rPr>
          <w:color w:val="000000"/>
          <w:szCs w:val="21"/>
        </w:rPr>
        <w:t>另外，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438B1C85">
      <w:pPr>
        <w:tabs>
          <w:tab w:val="left" w:pos="2472"/>
        </w:tabs>
        <w:wordWrap w:val="0"/>
        <w:ind w:firstLine="420" w:firstLineChars="200"/>
        <w:rPr>
          <w:rFonts w:hint="eastAsia"/>
          <w:b/>
          <w:bCs/>
          <w:szCs w:val="21"/>
        </w:rPr>
      </w:pPr>
      <w:r>
        <w:rPr>
          <w:b/>
          <w:bCs/>
          <w:szCs w:val="21"/>
        </w:rPr>
        <w:t>（二）在中国境内生产的组件成本占比达到规定比例</w:t>
      </w:r>
    </w:p>
    <w:p w14:paraId="4AD1E013">
      <w:pPr>
        <w:tabs>
          <w:tab w:val="left" w:pos="2472"/>
        </w:tabs>
        <w:wordWrap w:val="0"/>
        <w:ind w:firstLine="420" w:firstLineChars="200"/>
        <w:rPr>
          <w:rFonts w:hint="eastAsia"/>
          <w:szCs w:val="21"/>
        </w:rPr>
      </w:pPr>
      <w:r>
        <w:rPr>
          <w:szCs w:val="21"/>
        </w:rPr>
        <w:t>产品在中国境内生产的组件成本占比应当达到规定比例，计算公式为：</w:t>
      </w:r>
    </w:p>
    <w:p w14:paraId="160FED96">
      <w:pPr>
        <w:tabs>
          <w:tab w:val="left" w:pos="2472"/>
        </w:tabs>
        <w:ind w:firstLine="480" w:firstLineChars="200"/>
        <w:jc w:val="center"/>
        <w:rPr>
          <w:rFonts w:hint="eastAsia"/>
          <w:szCs w:val="21"/>
        </w:rPr>
      </w:pPr>
      <w:r>
        <w:rPr>
          <w:rFonts w:cs="宋体"/>
          <w:sz w:val="24"/>
        </w:rPr>
        <w:drawing>
          <wp:inline distT="0" distB="0" distL="114300" distR="114300">
            <wp:extent cx="4829175" cy="764540"/>
            <wp:effectExtent l="0" t="0" r="1905" b="1270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4829175" cy="764540"/>
                    </a:xfrm>
                    <a:prstGeom prst="rect">
                      <a:avLst/>
                    </a:prstGeom>
                    <a:noFill/>
                    <a:ln>
                      <a:noFill/>
                    </a:ln>
                  </pic:spPr>
                </pic:pic>
              </a:graphicData>
            </a:graphic>
          </wp:inline>
        </w:drawing>
      </w:r>
    </w:p>
    <w:p w14:paraId="7C1A4A1D">
      <w:pPr>
        <w:tabs>
          <w:tab w:val="left" w:pos="2472"/>
        </w:tabs>
        <w:wordWrap w:val="0"/>
        <w:ind w:firstLine="420" w:firstLineChars="200"/>
        <w:rPr>
          <w:rFonts w:hint="eastAsia"/>
          <w:szCs w:val="21"/>
        </w:rPr>
      </w:pPr>
      <w:r>
        <w:rPr>
          <w:szCs w:val="21"/>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179A2456">
      <w:pPr>
        <w:tabs>
          <w:tab w:val="left" w:pos="2472"/>
        </w:tabs>
        <w:wordWrap w:val="0"/>
        <w:ind w:firstLine="420" w:firstLineChars="200"/>
        <w:rPr>
          <w:rFonts w:hint="eastAsia"/>
          <w:b/>
          <w:bCs/>
          <w:szCs w:val="21"/>
        </w:rPr>
      </w:pPr>
      <w:r>
        <w:rPr>
          <w:b/>
          <w:bCs/>
          <w:szCs w:val="21"/>
        </w:rPr>
        <w:t>（三）特定产品的关键组件、关键工序符合相关要求</w:t>
      </w:r>
    </w:p>
    <w:p w14:paraId="0F70BD01">
      <w:pPr>
        <w:tabs>
          <w:tab w:val="left" w:pos="2472"/>
        </w:tabs>
        <w:wordWrap w:val="0"/>
        <w:ind w:firstLine="420" w:firstLineChars="200"/>
        <w:rPr>
          <w:rFonts w:hint="eastAsia"/>
          <w:szCs w:val="21"/>
        </w:rPr>
      </w:pPr>
      <w:r>
        <w:rPr>
          <w:szCs w:val="21"/>
        </w:rPr>
        <w:t>对特定产品，在符合本通知第一条第（一）项和第（二）项条件的基础上，应当符合财政部会同有关行业主管部门确定的其关键组件、关键工序在中国境内生产、完成等要求。</w:t>
      </w:r>
    </w:p>
    <w:p w14:paraId="730F86F5">
      <w:pPr>
        <w:tabs>
          <w:tab w:val="left" w:pos="2472"/>
        </w:tabs>
        <w:wordWrap w:val="0"/>
        <w:ind w:firstLine="420" w:firstLineChars="200"/>
        <w:rPr>
          <w:rFonts w:hint="eastAsia"/>
          <w:szCs w:val="21"/>
        </w:rPr>
      </w:pPr>
      <w:r>
        <w:rPr>
          <w:szCs w:val="21"/>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5B95CAA">
      <w:pPr>
        <w:tabs>
          <w:tab w:val="left" w:pos="2472"/>
        </w:tabs>
        <w:wordWrap w:val="0"/>
        <w:ind w:firstLine="420" w:firstLineChars="200"/>
        <w:rPr>
          <w:rFonts w:hint="eastAsia"/>
          <w:b/>
          <w:bCs/>
          <w:szCs w:val="21"/>
        </w:rPr>
      </w:pPr>
      <w:r>
        <w:rPr>
          <w:b/>
          <w:bCs/>
          <w:szCs w:val="21"/>
        </w:rPr>
        <w:t>2.5.2 本国产品标准的适用范围</w:t>
      </w:r>
    </w:p>
    <w:p w14:paraId="2324C2BF">
      <w:pPr>
        <w:tabs>
          <w:tab w:val="left" w:pos="2472"/>
        </w:tabs>
        <w:wordWrap w:val="0"/>
        <w:ind w:firstLine="420" w:firstLineChars="200"/>
        <w:rPr>
          <w:rFonts w:hint="eastAsia"/>
          <w:szCs w:val="21"/>
        </w:rPr>
      </w:pPr>
      <w:r>
        <w:rPr>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44FDCD2">
      <w:pPr>
        <w:tabs>
          <w:tab w:val="left" w:pos="2472"/>
        </w:tabs>
        <w:wordWrap w:val="0"/>
        <w:ind w:firstLine="420" w:firstLineChars="200"/>
        <w:rPr>
          <w:rFonts w:hint="eastAsia"/>
          <w:b/>
          <w:bCs/>
          <w:szCs w:val="21"/>
        </w:rPr>
      </w:pPr>
      <w:r>
        <w:rPr>
          <w:b/>
          <w:bCs/>
          <w:szCs w:val="21"/>
        </w:rPr>
        <w:t>2.5.3 对本国产品的支持政策</w:t>
      </w:r>
    </w:p>
    <w:p w14:paraId="16D7506A">
      <w:pPr>
        <w:tabs>
          <w:tab w:val="left" w:pos="2472"/>
        </w:tabs>
        <w:wordWrap w:val="0"/>
        <w:ind w:firstLine="420" w:firstLineChars="200"/>
        <w:rPr>
          <w:rFonts w:hint="eastAsia"/>
          <w:szCs w:val="21"/>
        </w:rPr>
      </w:pPr>
      <w:r>
        <w:rPr>
          <w:szCs w:val="21"/>
        </w:rPr>
        <w:t>政府采购活动中既有本国产品又有非本国产品参与竞争的，依法对本国产品给予价格评审优惠，对本国产品的报价给予20%的价格扣除，用扣除后的价格参与评审。</w:t>
      </w:r>
    </w:p>
    <w:p w14:paraId="5D34AA1A">
      <w:pPr>
        <w:tabs>
          <w:tab w:val="left" w:pos="2472"/>
        </w:tabs>
        <w:wordWrap w:val="0"/>
        <w:ind w:firstLine="420" w:firstLineChars="200"/>
        <w:rPr>
          <w:rFonts w:hint="eastAsia"/>
          <w:szCs w:val="21"/>
        </w:rPr>
      </w:pPr>
      <w:r>
        <w:rPr>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0B7DB73">
      <w:pPr>
        <w:wordWrap w:val="0"/>
        <w:ind w:firstLine="420" w:firstLineChars="200"/>
        <w:rPr>
          <w:rFonts w:hint="eastAsia"/>
        </w:rPr>
      </w:pPr>
      <w:r>
        <w:rPr>
          <w:b/>
          <w:bCs/>
          <w:szCs w:val="21"/>
        </w:rPr>
        <w:t>2.5.4</w:t>
      </w:r>
      <w:r>
        <w:rPr>
          <w:szCs w:val="21"/>
        </w:rPr>
        <w:t xml:space="preserve">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563433CE">
      <w:pPr>
        <w:pStyle w:val="4"/>
        <w:numPr>
          <w:ilvl w:val="1"/>
          <w:numId w:val="0"/>
        </w:numPr>
        <w:spacing w:before="0"/>
        <w:rPr>
          <w:rFonts w:hint="eastAsia" w:eastAsia="宋体" w:cs="宋体"/>
          <w:szCs w:val="21"/>
        </w:rPr>
      </w:pPr>
      <w:bookmarkStart w:id="514" w:name="_Toc26081"/>
      <w:r>
        <w:rPr>
          <w:rFonts w:hint="eastAsia" w:eastAsia="宋体" w:cs="宋体"/>
          <w:szCs w:val="28"/>
        </w:rPr>
        <w:t>3. 评审标准</w:t>
      </w:r>
      <w:bookmarkEnd w:id="504"/>
      <w:bookmarkEnd w:id="505"/>
      <w:bookmarkEnd w:id="506"/>
      <w:bookmarkEnd w:id="507"/>
      <w:bookmarkEnd w:id="508"/>
      <w:bookmarkEnd w:id="509"/>
      <w:bookmarkEnd w:id="510"/>
      <w:bookmarkEnd w:id="511"/>
      <w:bookmarkEnd w:id="512"/>
      <w:bookmarkEnd w:id="513"/>
      <w:bookmarkEnd w:id="514"/>
    </w:p>
    <w:p w14:paraId="563433CF">
      <w:pPr>
        <w:pStyle w:val="5"/>
        <w:numPr>
          <w:ilvl w:val="2"/>
          <w:numId w:val="0"/>
        </w:numPr>
        <w:spacing w:before="0"/>
        <w:ind w:firstLine="480" w:firstLineChars="200"/>
        <w:rPr>
          <w:rFonts w:hint="eastAsia" w:eastAsia="宋体" w:cs="宋体"/>
          <w:sz w:val="24"/>
          <w:szCs w:val="24"/>
        </w:rPr>
      </w:pPr>
      <w:bookmarkStart w:id="515" w:name="_Toc139357104"/>
      <w:bookmarkStart w:id="516" w:name="_Toc170120987"/>
      <w:bookmarkStart w:id="517" w:name="_Toc125904393"/>
      <w:bookmarkStart w:id="518" w:name="_Toc166067812"/>
      <w:bookmarkStart w:id="519" w:name="_Toc125986528"/>
      <w:bookmarkStart w:id="520" w:name="_Toc216368812"/>
      <w:bookmarkStart w:id="521" w:name="_Toc216724785"/>
      <w:bookmarkStart w:id="522" w:name="_Toc17726"/>
      <w:r>
        <w:rPr>
          <w:rFonts w:hint="eastAsia" w:eastAsia="宋体" w:cs="宋体"/>
          <w:sz w:val="24"/>
          <w:szCs w:val="24"/>
        </w:rPr>
        <w:t>3.1符合性评审</w:t>
      </w:r>
      <w:bookmarkEnd w:id="515"/>
      <w:bookmarkEnd w:id="516"/>
      <w:bookmarkEnd w:id="517"/>
      <w:bookmarkEnd w:id="518"/>
      <w:bookmarkEnd w:id="519"/>
      <w:bookmarkEnd w:id="520"/>
      <w:bookmarkEnd w:id="521"/>
      <w:bookmarkEnd w:id="522"/>
    </w:p>
    <w:p w14:paraId="563433D0">
      <w:pPr>
        <w:pStyle w:val="23"/>
        <w:tabs>
          <w:tab w:val="left" w:pos="2472"/>
        </w:tabs>
        <w:ind w:firstLine="420" w:firstLineChars="200"/>
        <w:rPr>
          <w:rFonts w:hint="eastAsia" w:cs="宋体"/>
          <w:szCs w:val="21"/>
        </w:rPr>
      </w:pPr>
      <w:bookmarkStart w:id="523" w:name="_Hlk48744286"/>
      <w:r>
        <w:rPr>
          <w:rFonts w:hint="eastAsia" w:cs="宋体"/>
          <w:szCs w:val="21"/>
        </w:rPr>
        <w:t>依据招标文件的规定，从投标文件的有效性、完整性和对招标文件的响应程度进行审查，以确定是否对招标文件的实质性要求作出响应；见评标办法前附表。</w:t>
      </w:r>
    </w:p>
    <w:bookmarkEnd w:id="523"/>
    <w:p w14:paraId="563433D1">
      <w:pPr>
        <w:pStyle w:val="5"/>
        <w:numPr>
          <w:ilvl w:val="2"/>
          <w:numId w:val="0"/>
        </w:numPr>
        <w:spacing w:before="0"/>
        <w:ind w:firstLine="480" w:firstLineChars="200"/>
        <w:rPr>
          <w:rFonts w:hint="eastAsia" w:eastAsia="宋体" w:cs="宋体"/>
          <w:sz w:val="24"/>
          <w:szCs w:val="24"/>
        </w:rPr>
      </w:pPr>
      <w:bookmarkStart w:id="524" w:name="_Toc216368813"/>
      <w:bookmarkStart w:id="525" w:name="_Toc139357105"/>
      <w:bookmarkStart w:id="526" w:name="_Toc314817936"/>
      <w:bookmarkStart w:id="527" w:name="_Toc326218114"/>
      <w:bookmarkStart w:id="528" w:name="_Toc216724786"/>
      <w:bookmarkStart w:id="529" w:name="_Toc125904394"/>
      <w:bookmarkStart w:id="530" w:name="_Toc170120988"/>
      <w:bookmarkStart w:id="531" w:name="_Toc125986529"/>
      <w:bookmarkStart w:id="532" w:name="_Toc166067813"/>
      <w:bookmarkStart w:id="533" w:name="_Toc23868"/>
      <w:r>
        <w:rPr>
          <w:rFonts w:hint="eastAsia" w:eastAsia="宋体" w:cs="宋体"/>
          <w:sz w:val="24"/>
          <w:szCs w:val="24"/>
        </w:rPr>
        <w:t>3.2分值构成与评分标准</w:t>
      </w:r>
      <w:bookmarkEnd w:id="524"/>
      <w:bookmarkEnd w:id="525"/>
      <w:bookmarkEnd w:id="526"/>
      <w:bookmarkEnd w:id="527"/>
      <w:bookmarkEnd w:id="528"/>
      <w:bookmarkEnd w:id="529"/>
      <w:bookmarkEnd w:id="530"/>
      <w:bookmarkEnd w:id="531"/>
      <w:bookmarkEnd w:id="532"/>
      <w:bookmarkEnd w:id="533"/>
    </w:p>
    <w:p w14:paraId="563433D2">
      <w:pPr>
        <w:pStyle w:val="23"/>
        <w:tabs>
          <w:tab w:val="left" w:pos="2472"/>
        </w:tabs>
        <w:ind w:firstLine="420" w:firstLineChars="200"/>
        <w:rPr>
          <w:rFonts w:hint="eastAsia" w:cs="宋体"/>
          <w:szCs w:val="21"/>
        </w:rPr>
      </w:pPr>
      <w:bookmarkStart w:id="534" w:name="_Hlk48744311"/>
      <w:r>
        <w:rPr>
          <w:rFonts w:hint="eastAsia" w:cs="宋体"/>
          <w:szCs w:val="21"/>
        </w:rPr>
        <w:t>3.2.1分值构成</w:t>
      </w:r>
    </w:p>
    <w:p w14:paraId="563433D3">
      <w:pPr>
        <w:pStyle w:val="23"/>
        <w:tabs>
          <w:tab w:val="left" w:pos="2472"/>
        </w:tabs>
        <w:ind w:firstLine="420" w:firstLineChars="200"/>
        <w:rPr>
          <w:rFonts w:hint="eastAsia" w:cs="宋体"/>
          <w:szCs w:val="21"/>
        </w:rPr>
      </w:pPr>
      <w:r>
        <w:rPr>
          <w:rFonts w:hint="eastAsia" w:cs="宋体"/>
          <w:szCs w:val="21"/>
        </w:rPr>
        <w:t>（1）投标总报价：见评标办法前附表；</w:t>
      </w:r>
    </w:p>
    <w:p w14:paraId="563433D4">
      <w:pPr>
        <w:pStyle w:val="23"/>
        <w:tabs>
          <w:tab w:val="left" w:pos="2472"/>
        </w:tabs>
        <w:ind w:firstLine="420" w:firstLineChars="200"/>
        <w:rPr>
          <w:rFonts w:hint="eastAsia" w:cs="宋体"/>
          <w:szCs w:val="21"/>
        </w:rPr>
      </w:pPr>
      <w:r>
        <w:rPr>
          <w:rFonts w:hint="eastAsia" w:cs="宋体"/>
          <w:szCs w:val="21"/>
        </w:rPr>
        <w:t>（2）技术部分：见评标办法前附表；</w:t>
      </w:r>
    </w:p>
    <w:p w14:paraId="563433D5">
      <w:pPr>
        <w:pStyle w:val="23"/>
        <w:tabs>
          <w:tab w:val="left" w:pos="2472"/>
        </w:tabs>
        <w:ind w:firstLine="420" w:firstLineChars="200"/>
        <w:rPr>
          <w:rFonts w:hint="eastAsia" w:cs="宋体"/>
          <w:szCs w:val="21"/>
        </w:rPr>
      </w:pPr>
      <w:r>
        <w:rPr>
          <w:rFonts w:hint="eastAsia" w:cs="宋体"/>
          <w:szCs w:val="21"/>
        </w:rPr>
        <w:t>（3）商务部分：见评标办法前附表。</w:t>
      </w:r>
    </w:p>
    <w:p w14:paraId="563433D6">
      <w:pPr>
        <w:pStyle w:val="23"/>
        <w:tabs>
          <w:tab w:val="left" w:pos="2472"/>
        </w:tabs>
        <w:ind w:firstLine="420" w:firstLineChars="200"/>
        <w:rPr>
          <w:rFonts w:hint="eastAsia" w:cs="宋体"/>
          <w:szCs w:val="21"/>
        </w:rPr>
      </w:pPr>
      <w:r>
        <w:rPr>
          <w:rFonts w:hint="eastAsia" w:cs="宋体"/>
          <w:szCs w:val="21"/>
        </w:rPr>
        <w:t>3.2.2评分标准</w:t>
      </w:r>
    </w:p>
    <w:p w14:paraId="563433D7">
      <w:pPr>
        <w:pStyle w:val="23"/>
        <w:tabs>
          <w:tab w:val="left" w:pos="2472"/>
        </w:tabs>
        <w:ind w:firstLine="420" w:firstLineChars="200"/>
        <w:rPr>
          <w:rFonts w:hint="eastAsia" w:cs="宋体"/>
          <w:szCs w:val="21"/>
        </w:rPr>
      </w:pPr>
      <w:r>
        <w:rPr>
          <w:rFonts w:hint="eastAsia" w:cs="宋体"/>
          <w:szCs w:val="21"/>
        </w:rPr>
        <w:t>按招标文件中规定的评标方法和标准，对资格评审和符合性评审合格的投标文件进行商务和技术评估，综合比较与评价。</w:t>
      </w:r>
    </w:p>
    <w:p w14:paraId="563433D8">
      <w:pPr>
        <w:pStyle w:val="23"/>
        <w:tabs>
          <w:tab w:val="left" w:pos="2472"/>
        </w:tabs>
        <w:ind w:firstLine="420" w:firstLineChars="200"/>
        <w:rPr>
          <w:rFonts w:hint="eastAsia" w:cs="宋体"/>
          <w:szCs w:val="21"/>
        </w:rPr>
      </w:pPr>
      <w:r>
        <w:rPr>
          <w:rFonts w:hint="eastAsia" w:cs="宋体"/>
          <w:szCs w:val="21"/>
        </w:rPr>
        <w:t>（1）投标总报价评分标准：见评标办法前附表；</w:t>
      </w:r>
    </w:p>
    <w:p w14:paraId="563433D9">
      <w:pPr>
        <w:pStyle w:val="23"/>
        <w:tabs>
          <w:tab w:val="left" w:pos="2472"/>
        </w:tabs>
        <w:ind w:firstLine="420" w:firstLineChars="200"/>
        <w:rPr>
          <w:rFonts w:hint="eastAsia" w:cs="宋体"/>
          <w:szCs w:val="21"/>
        </w:rPr>
      </w:pPr>
      <w:r>
        <w:rPr>
          <w:rFonts w:hint="eastAsia" w:cs="宋体"/>
          <w:szCs w:val="21"/>
        </w:rPr>
        <w:t>（2）技术部分评分标准：见评标办法前附表；</w:t>
      </w:r>
    </w:p>
    <w:p w14:paraId="563433DA">
      <w:pPr>
        <w:pStyle w:val="23"/>
        <w:tabs>
          <w:tab w:val="left" w:pos="2472"/>
        </w:tabs>
        <w:ind w:firstLine="420" w:firstLineChars="200"/>
        <w:rPr>
          <w:rFonts w:hint="eastAsia" w:cs="宋体"/>
          <w:szCs w:val="21"/>
        </w:rPr>
      </w:pPr>
      <w:r>
        <w:rPr>
          <w:rFonts w:hint="eastAsia" w:cs="宋体"/>
          <w:szCs w:val="21"/>
        </w:rPr>
        <w:t>（3）商务部分评分标准：见评标办法前附表。</w:t>
      </w:r>
      <w:bookmarkEnd w:id="534"/>
    </w:p>
    <w:p w14:paraId="563433DB">
      <w:pPr>
        <w:pStyle w:val="4"/>
        <w:numPr>
          <w:ilvl w:val="1"/>
          <w:numId w:val="0"/>
        </w:numPr>
        <w:spacing w:before="0"/>
        <w:rPr>
          <w:rFonts w:hint="eastAsia" w:eastAsia="宋体" w:cs="宋体"/>
          <w:szCs w:val="28"/>
        </w:rPr>
      </w:pPr>
      <w:bookmarkStart w:id="535" w:name="_Toc216724787"/>
      <w:bookmarkStart w:id="536" w:name="_Toc508191817"/>
      <w:bookmarkStart w:id="537" w:name="_Toc170120989"/>
      <w:bookmarkStart w:id="538" w:name="_Toc326218115"/>
      <w:bookmarkStart w:id="539" w:name="_Toc139357106"/>
      <w:bookmarkStart w:id="540" w:name="_Toc1683"/>
      <w:bookmarkStart w:id="541" w:name="_Toc314817937"/>
      <w:bookmarkStart w:id="542" w:name="_Toc21683"/>
      <w:bookmarkStart w:id="543" w:name="_Toc125986530"/>
      <w:bookmarkStart w:id="544" w:name="_Toc166067814"/>
      <w:bookmarkStart w:id="545" w:name="_Toc21229"/>
      <w:r>
        <w:rPr>
          <w:rFonts w:hint="eastAsia" w:eastAsia="宋体" w:cs="宋体"/>
          <w:szCs w:val="28"/>
        </w:rPr>
        <w:t>4. 评标程序</w:t>
      </w:r>
      <w:bookmarkEnd w:id="535"/>
      <w:bookmarkEnd w:id="536"/>
      <w:bookmarkEnd w:id="537"/>
      <w:bookmarkEnd w:id="538"/>
      <w:bookmarkEnd w:id="539"/>
      <w:bookmarkEnd w:id="540"/>
      <w:bookmarkEnd w:id="541"/>
      <w:bookmarkEnd w:id="542"/>
      <w:bookmarkEnd w:id="543"/>
      <w:bookmarkEnd w:id="544"/>
      <w:bookmarkEnd w:id="545"/>
    </w:p>
    <w:p w14:paraId="563433DC">
      <w:pPr>
        <w:pStyle w:val="5"/>
        <w:numPr>
          <w:ilvl w:val="2"/>
          <w:numId w:val="0"/>
        </w:numPr>
        <w:spacing w:before="0"/>
        <w:ind w:firstLine="480" w:firstLineChars="200"/>
        <w:rPr>
          <w:rFonts w:hint="eastAsia" w:eastAsia="宋体" w:cs="宋体"/>
          <w:sz w:val="24"/>
          <w:szCs w:val="24"/>
        </w:rPr>
      </w:pPr>
      <w:bookmarkStart w:id="546" w:name="_Toc139357107"/>
      <w:bookmarkStart w:id="547" w:name="_Toc125986531"/>
      <w:bookmarkStart w:id="548" w:name="_Toc125904396"/>
      <w:bookmarkStart w:id="549" w:name="_Toc170120990"/>
      <w:bookmarkStart w:id="550" w:name="_Toc216724788"/>
      <w:bookmarkStart w:id="551" w:name="_Toc216368815"/>
      <w:bookmarkStart w:id="552" w:name="_Toc166067815"/>
      <w:bookmarkStart w:id="553" w:name="_Toc22796"/>
      <w:r>
        <w:rPr>
          <w:rFonts w:hint="eastAsia" w:eastAsia="宋体" w:cs="宋体"/>
          <w:sz w:val="24"/>
          <w:szCs w:val="24"/>
        </w:rPr>
        <w:t>4.1符合性评审</w:t>
      </w:r>
      <w:bookmarkEnd w:id="546"/>
      <w:bookmarkEnd w:id="547"/>
      <w:bookmarkEnd w:id="548"/>
      <w:bookmarkEnd w:id="549"/>
      <w:bookmarkEnd w:id="550"/>
      <w:bookmarkEnd w:id="551"/>
      <w:bookmarkEnd w:id="552"/>
      <w:bookmarkEnd w:id="553"/>
    </w:p>
    <w:p w14:paraId="563433DD">
      <w:pPr>
        <w:pStyle w:val="23"/>
        <w:tabs>
          <w:tab w:val="left" w:pos="2472"/>
        </w:tabs>
        <w:ind w:firstLine="420" w:firstLineChars="200"/>
        <w:rPr>
          <w:rFonts w:hint="eastAsia" w:cs="宋体"/>
          <w:szCs w:val="21"/>
        </w:rPr>
      </w:pPr>
      <w:r>
        <w:rPr>
          <w:rFonts w:hint="eastAsia" w:cs="宋体"/>
          <w:szCs w:val="21"/>
        </w:rPr>
        <w:t>依据本章第3.2项规定的标准对投标文件进行符合性评审。有一项不符合评审标准的，作废标处理。</w:t>
      </w:r>
    </w:p>
    <w:p w14:paraId="563433DE">
      <w:pPr>
        <w:pStyle w:val="5"/>
        <w:numPr>
          <w:ilvl w:val="2"/>
          <w:numId w:val="0"/>
        </w:numPr>
        <w:spacing w:before="0"/>
        <w:ind w:firstLine="480" w:firstLineChars="200"/>
        <w:rPr>
          <w:rFonts w:hint="eastAsia" w:eastAsia="宋体" w:cs="宋体"/>
          <w:sz w:val="24"/>
          <w:szCs w:val="24"/>
        </w:rPr>
      </w:pPr>
      <w:bookmarkStart w:id="554" w:name="_Toc216368816"/>
      <w:bookmarkStart w:id="555" w:name="_Toc125904397"/>
      <w:bookmarkStart w:id="556" w:name="_Toc216724789"/>
      <w:bookmarkStart w:id="557" w:name="_Toc166067816"/>
      <w:bookmarkStart w:id="558" w:name="_Toc314817939"/>
      <w:bookmarkStart w:id="559" w:name="_Toc139357108"/>
      <w:bookmarkStart w:id="560" w:name="_Toc125986532"/>
      <w:bookmarkStart w:id="561" w:name="_Toc170120991"/>
      <w:bookmarkStart w:id="562" w:name="_Toc326218117"/>
      <w:bookmarkStart w:id="563" w:name="_Toc28810"/>
      <w:r>
        <w:rPr>
          <w:rFonts w:hint="eastAsia" w:eastAsia="宋体" w:cs="宋体"/>
          <w:sz w:val="24"/>
          <w:szCs w:val="24"/>
        </w:rPr>
        <w:t>4.2 详细评审</w:t>
      </w:r>
      <w:bookmarkEnd w:id="554"/>
      <w:bookmarkEnd w:id="555"/>
      <w:bookmarkEnd w:id="556"/>
      <w:bookmarkEnd w:id="557"/>
      <w:bookmarkEnd w:id="558"/>
      <w:bookmarkEnd w:id="559"/>
      <w:bookmarkEnd w:id="560"/>
      <w:bookmarkEnd w:id="561"/>
      <w:bookmarkEnd w:id="562"/>
      <w:bookmarkEnd w:id="563"/>
    </w:p>
    <w:p w14:paraId="563433DF">
      <w:pPr>
        <w:pStyle w:val="23"/>
        <w:tabs>
          <w:tab w:val="left" w:pos="2472"/>
        </w:tabs>
        <w:ind w:firstLine="420" w:firstLineChars="200"/>
        <w:rPr>
          <w:rFonts w:hint="eastAsia" w:cs="宋体"/>
          <w:szCs w:val="21"/>
        </w:rPr>
      </w:pPr>
      <w:r>
        <w:rPr>
          <w:rFonts w:hint="eastAsia" w:cs="宋体"/>
          <w:szCs w:val="21"/>
        </w:rPr>
        <w:t>4.2.1 评标委员会按本章第3.2款规定的量化因素和分值进行打分，并计算出投标人的评标总得分。</w:t>
      </w:r>
    </w:p>
    <w:p w14:paraId="563433E0">
      <w:pPr>
        <w:pStyle w:val="23"/>
        <w:tabs>
          <w:tab w:val="left" w:pos="2472"/>
        </w:tabs>
        <w:ind w:firstLine="420" w:firstLineChars="200"/>
        <w:rPr>
          <w:rFonts w:hint="eastAsia" w:cs="宋体"/>
          <w:szCs w:val="21"/>
        </w:rPr>
      </w:pPr>
      <w:r>
        <w:rPr>
          <w:rFonts w:hint="eastAsia" w:cs="宋体"/>
          <w:szCs w:val="21"/>
        </w:rPr>
        <w:t>（1）按本章第3.2.2（1）目规定的评分因素和分值对投标总报价计算出得分F1；</w:t>
      </w:r>
    </w:p>
    <w:p w14:paraId="563433E1">
      <w:pPr>
        <w:pStyle w:val="23"/>
        <w:tabs>
          <w:tab w:val="left" w:pos="2472"/>
        </w:tabs>
        <w:ind w:firstLine="420" w:firstLineChars="200"/>
        <w:rPr>
          <w:rFonts w:hint="eastAsia" w:cs="宋体"/>
          <w:szCs w:val="21"/>
        </w:rPr>
      </w:pPr>
      <w:r>
        <w:rPr>
          <w:rFonts w:hint="eastAsia" w:cs="宋体"/>
          <w:szCs w:val="21"/>
        </w:rPr>
        <w:t>（2）按本章第3.2.2（2）目规定的评分因素和分值对技术部分计算出得分F2；</w:t>
      </w:r>
    </w:p>
    <w:p w14:paraId="563433E2">
      <w:pPr>
        <w:pStyle w:val="23"/>
        <w:tabs>
          <w:tab w:val="left" w:pos="2472"/>
        </w:tabs>
        <w:ind w:firstLine="420" w:firstLineChars="200"/>
        <w:rPr>
          <w:rFonts w:hint="eastAsia" w:cs="宋体"/>
          <w:szCs w:val="21"/>
        </w:rPr>
      </w:pPr>
      <w:r>
        <w:rPr>
          <w:rFonts w:hint="eastAsia" w:cs="宋体"/>
          <w:szCs w:val="21"/>
        </w:rPr>
        <w:t>（3）按本章第3.2.2（3）目规定的评分因素和分值对商务部分计算出得分F3；</w:t>
      </w:r>
    </w:p>
    <w:p w14:paraId="563433E3">
      <w:pPr>
        <w:pStyle w:val="23"/>
        <w:tabs>
          <w:tab w:val="left" w:pos="2472"/>
        </w:tabs>
        <w:ind w:firstLine="420" w:firstLineChars="200"/>
        <w:rPr>
          <w:rFonts w:hint="eastAsia" w:cs="宋体"/>
          <w:szCs w:val="21"/>
        </w:rPr>
      </w:pPr>
      <w:r>
        <w:rPr>
          <w:rFonts w:hint="eastAsia" w:cs="宋体"/>
          <w:szCs w:val="21"/>
        </w:rPr>
        <w:t>（4）按本章第3.2.1项所列公式计算评标总得分。</w:t>
      </w:r>
    </w:p>
    <w:p w14:paraId="563433E4">
      <w:pPr>
        <w:pStyle w:val="23"/>
        <w:tabs>
          <w:tab w:val="left" w:pos="2472"/>
        </w:tabs>
        <w:ind w:firstLine="420" w:firstLineChars="200"/>
        <w:rPr>
          <w:rFonts w:hint="eastAsia" w:cs="宋体"/>
          <w:szCs w:val="21"/>
        </w:rPr>
      </w:pPr>
      <w:r>
        <w:rPr>
          <w:rFonts w:hint="eastAsia" w:cs="宋体"/>
          <w:szCs w:val="21"/>
        </w:rPr>
        <w:t>4.2.2 投标文件如果出现计算或表达上的错误，修正错误的原则如下：</w:t>
      </w:r>
    </w:p>
    <w:p w14:paraId="563433E5">
      <w:pPr>
        <w:pStyle w:val="23"/>
        <w:ind w:firstLine="420" w:firstLineChars="200"/>
        <w:rPr>
          <w:rFonts w:hint="eastAsia" w:cs="宋体"/>
          <w:szCs w:val="21"/>
        </w:rPr>
      </w:pPr>
      <w:r>
        <w:rPr>
          <w:rFonts w:hint="eastAsia" w:cs="宋体"/>
          <w:szCs w:val="21"/>
        </w:rPr>
        <w:t>（一）投标文件中开标一览表（报价表）内容与投标文件中相应内容不一致的，以开标一览表（报价表）为准；</w:t>
      </w:r>
    </w:p>
    <w:p w14:paraId="563433E6">
      <w:pPr>
        <w:pStyle w:val="23"/>
        <w:ind w:firstLine="420" w:firstLineChars="200"/>
        <w:rPr>
          <w:rFonts w:hint="eastAsia" w:cs="宋体"/>
          <w:szCs w:val="21"/>
        </w:rPr>
      </w:pPr>
      <w:r>
        <w:rPr>
          <w:rFonts w:hint="eastAsia" w:cs="宋体"/>
          <w:szCs w:val="21"/>
        </w:rPr>
        <w:t>（二）大写金额和小写金额不一致的，以大写金额为准；</w:t>
      </w:r>
    </w:p>
    <w:p w14:paraId="563433E7">
      <w:pPr>
        <w:pStyle w:val="23"/>
        <w:ind w:firstLine="420" w:firstLineChars="200"/>
        <w:rPr>
          <w:rFonts w:hint="eastAsia" w:cs="宋体"/>
          <w:szCs w:val="21"/>
        </w:rPr>
      </w:pPr>
      <w:r>
        <w:rPr>
          <w:rFonts w:hint="eastAsia" w:cs="宋体"/>
          <w:szCs w:val="21"/>
        </w:rPr>
        <w:t>（三）单价金额小数点或者百分比有明显错位的，以开标一览表的总价为准，并修改单价；</w:t>
      </w:r>
    </w:p>
    <w:p w14:paraId="563433E8">
      <w:pPr>
        <w:pStyle w:val="23"/>
        <w:ind w:firstLine="420" w:firstLineChars="200"/>
        <w:rPr>
          <w:rFonts w:hint="eastAsia" w:cs="宋体"/>
          <w:szCs w:val="21"/>
        </w:rPr>
      </w:pPr>
      <w:r>
        <w:rPr>
          <w:rFonts w:hint="eastAsia" w:cs="宋体"/>
          <w:szCs w:val="21"/>
        </w:rPr>
        <w:t>（四）总价金额与按单价汇总金额不一致的，以单价金额计算结果为准。</w:t>
      </w:r>
    </w:p>
    <w:p w14:paraId="563433E9">
      <w:pPr>
        <w:pStyle w:val="23"/>
        <w:ind w:firstLine="420" w:firstLineChars="200"/>
        <w:rPr>
          <w:rFonts w:hint="eastAsia" w:cs="宋体"/>
          <w:szCs w:val="21"/>
        </w:rPr>
      </w:pPr>
      <w:r>
        <w:rPr>
          <w:rFonts w:hint="eastAsia" w:cs="宋体"/>
          <w:szCs w:val="21"/>
        </w:rPr>
        <w:t>同时出现两种以上不一致的，按照前款规定的顺序修正。修正后的报价按照本章3.2款的规定经投标人确认后产生约束力，投标人不确认的，其投标无效。</w:t>
      </w:r>
    </w:p>
    <w:p w14:paraId="563433EA">
      <w:pPr>
        <w:ind w:firstLine="420" w:firstLineChars="200"/>
        <w:jc w:val="left"/>
        <w:rPr>
          <w:rFonts w:hint="eastAsia" w:cs="宋体"/>
          <w:szCs w:val="21"/>
        </w:rPr>
      </w:pPr>
      <w:r>
        <w:rPr>
          <w:rFonts w:hint="eastAsia" w:cs="宋体"/>
          <w:szCs w:val="21"/>
        </w:rPr>
        <w:t>4.2.3技术部分（F2）和商务部分（F3）得分由评标委员会成员独立评分，计算各投标人得分的算术平均值计入各投标人总分。评分分值计算保留小数点后两位，小数点后第三位“四舍五入”。</w:t>
      </w:r>
    </w:p>
    <w:p w14:paraId="4CB9A7D1">
      <w:pPr>
        <w:ind w:firstLine="420" w:firstLineChars="200"/>
        <w:jc w:val="left"/>
        <w:rPr>
          <w:rFonts w:hint="eastAsia" w:cs="宋体"/>
          <w:szCs w:val="21"/>
        </w:rPr>
      </w:pPr>
      <w:r>
        <w:rPr>
          <w:rFonts w:cs="宋体"/>
          <w:b/>
          <w:bCs/>
          <w:szCs w:val="21"/>
        </w:rPr>
        <w:t>★4.2.4异常低价处理</w:t>
      </w:r>
      <w:r>
        <w:rPr>
          <w:rFonts w:hint="eastAsia" w:cs="宋体"/>
          <w:b/>
          <w:bCs/>
          <w:szCs w:val="21"/>
        </w:rPr>
        <w:t>：</w:t>
      </w:r>
      <w:r>
        <w:rPr>
          <w:rFonts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67E2E8">
      <w:pPr>
        <w:ind w:firstLine="420" w:firstLineChars="200"/>
        <w:jc w:val="left"/>
        <w:rPr>
          <w:rFonts w:hint="eastAsia" w:cs="宋体"/>
          <w:b/>
          <w:bCs/>
          <w:szCs w:val="21"/>
        </w:rPr>
      </w:pPr>
      <w:r>
        <w:rPr>
          <w:rFonts w:cs="宋体"/>
          <w:b/>
          <w:bCs/>
          <w:szCs w:val="21"/>
        </w:rPr>
        <w:t>（一）评标委员会在评审中出现下列情形之一的，评标委员会应当启动异常低价投标（响应）审查程序：</w:t>
      </w:r>
    </w:p>
    <w:p w14:paraId="717899EC">
      <w:pPr>
        <w:ind w:firstLine="420" w:firstLineChars="200"/>
        <w:jc w:val="left"/>
        <w:rPr>
          <w:rFonts w:hint="eastAsia" w:cs="宋体"/>
          <w:szCs w:val="21"/>
        </w:rPr>
      </w:pPr>
      <w:r>
        <w:rPr>
          <w:rFonts w:cs="宋体"/>
          <w:szCs w:val="21"/>
        </w:rPr>
        <w:t>①.投标（响应）报价低于全部通过符合性审查供应商投标（响应）报价平均值50%的，即投标（响应）报价&lt;全部通过符合性审查供应商投标（响应）报价平均值×50%；</w:t>
      </w:r>
    </w:p>
    <w:p w14:paraId="3AB5E30D">
      <w:pPr>
        <w:ind w:firstLine="420" w:firstLineChars="200"/>
        <w:jc w:val="left"/>
        <w:rPr>
          <w:rFonts w:hint="eastAsia" w:cs="宋体"/>
          <w:szCs w:val="21"/>
        </w:rPr>
      </w:pPr>
      <w:r>
        <w:rPr>
          <w:rFonts w:cs="宋体"/>
          <w:szCs w:val="21"/>
        </w:rPr>
        <w:t>②.投标（响应）报价低于通过符合性审查的次低报价供应商投标（响应）报价50%的，即投标（响应）报价&lt;通过符合性审查的次低报价供应商投标（响应）报价×50%；</w:t>
      </w:r>
    </w:p>
    <w:p w14:paraId="6ED44E59">
      <w:pPr>
        <w:ind w:firstLine="420" w:firstLineChars="200"/>
        <w:jc w:val="left"/>
        <w:rPr>
          <w:rFonts w:hint="eastAsia" w:cs="宋体"/>
          <w:szCs w:val="21"/>
        </w:rPr>
      </w:pPr>
      <w:r>
        <w:rPr>
          <w:rFonts w:cs="宋体"/>
          <w:szCs w:val="21"/>
        </w:rPr>
        <w:t>③.投标（响应）报价低于采购项目最高限价45%的，即投标（响应）报价&lt;采购项目最高限价×45%；</w:t>
      </w:r>
    </w:p>
    <w:p w14:paraId="61CEAA5C">
      <w:pPr>
        <w:ind w:firstLine="420" w:firstLineChars="200"/>
        <w:jc w:val="left"/>
        <w:rPr>
          <w:rFonts w:hint="eastAsia" w:cs="宋体"/>
          <w:szCs w:val="21"/>
        </w:rPr>
      </w:pPr>
      <w:r>
        <w:rPr>
          <w:rFonts w:cs="宋体"/>
          <w:szCs w:val="21"/>
        </w:rPr>
        <w:t>④.评标委员会基于专业判断，认为供应商报价过低，有可能影响产品质量或者不能诚信履约的其他情形。</w:t>
      </w:r>
    </w:p>
    <w:p w14:paraId="506A7957">
      <w:pPr>
        <w:ind w:firstLine="420" w:firstLineChars="200"/>
        <w:jc w:val="left"/>
        <w:rPr>
          <w:rFonts w:hint="eastAsia" w:cs="宋体"/>
          <w:szCs w:val="21"/>
        </w:rPr>
      </w:pPr>
      <w:r>
        <w:rPr>
          <w:rFonts w:cs="宋体"/>
          <w:szCs w:val="21"/>
        </w:rPr>
        <w:t>相关法律法规对供应商报价有规定的，从其规定。</w:t>
      </w:r>
    </w:p>
    <w:p w14:paraId="1FBDEA5B">
      <w:pPr>
        <w:ind w:firstLine="420" w:firstLineChars="200"/>
        <w:jc w:val="left"/>
        <w:rPr>
          <w:rFonts w:hint="eastAsia" w:cs="宋体"/>
          <w:szCs w:val="21"/>
        </w:rPr>
      </w:pPr>
      <w:r>
        <w:rPr>
          <w:rFonts w:cs="宋体"/>
          <w:b/>
          <w:bCs/>
          <w:szCs w:val="21"/>
        </w:rPr>
        <w:t>（二）</w:t>
      </w:r>
      <w:r>
        <w:rPr>
          <w:rFonts w:cs="宋体"/>
          <w:szCs w:val="21"/>
        </w:rPr>
        <w:t>评标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r>
        <w:rPr>
          <w:rFonts w:cs="宋体"/>
          <w:color w:val="000000" w:themeColor="text1"/>
          <w:szCs w:val="21"/>
          <w14:textFill>
            <w14:solidFill>
              <w14:schemeClr w14:val="tx1"/>
            </w14:solidFill>
          </w14:textFill>
        </w:rPr>
        <w:t>（</w:t>
      </w:r>
      <w:r>
        <w:rPr>
          <w:rFonts w:cs="宋体"/>
          <w:b/>
          <w:bCs/>
          <w:color w:val="000000" w:themeColor="text1"/>
          <w:szCs w:val="21"/>
          <w14:textFill>
            <w14:solidFill>
              <w14:schemeClr w14:val="tx1"/>
            </w14:solidFill>
          </w14:textFill>
        </w:rPr>
        <w:t>以政采云公布时间为准</w:t>
      </w:r>
      <w:r>
        <w:rPr>
          <w:rFonts w:cs="宋体"/>
          <w:color w:val="000000" w:themeColor="text1"/>
          <w:szCs w:val="21"/>
          <w14:textFill>
            <w14:solidFill>
              <w14:schemeClr w14:val="tx1"/>
            </w14:solidFill>
          </w14:textFill>
        </w:rPr>
        <w:t>）。</w:t>
      </w:r>
      <w:r>
        <w:rPr>
          <w:rFonts w:cs="宋体"/>
          <w:szCs w:val="21"/>
        </w:rPr>
        <w:t>其中，属于第③项情形，投标人已随投标（响应）文件一并提交相关书面说明及必要的证明材料的，在评审现场可不再重复提交。</w:t>
      </w:r>
    </w:p>
    <w:p w14:paraId="53D4602D">
      <w:pPr>
        <w:ind w:firstLine="420" w:firstLineChars="200"/>
        <w:jc w:val="left"/>
        <w:rPr>
          <w:rFonts w:hint="eastAsia" w:cs="宋体"/>
          <w:szCs w:val="21"/>
        </w:rPr>
      </w:pPr>
      <w:r>
        <w:rPr>
          <w:rFonts w:cs="宋体"/>
          <w:b/>
          <w:bCs/>
          <w:szCs w:val="21"/>
        </w:rPr>
        <w:t>（三）</w:t>
      </w:r>
      <w:r>
        <w:rPr>
          <w:rFonts w:cs="宋体"/>
          <w:szCs w:val="21"/>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p w14:paraId="157A8441">
      <w:pPr>
        <w:ind w:firstLine="420" w:firstLineChars="200"/>
        <w:jc w:val="left"/>
        <w:rPr>
          <w:rFonts w:hint="eastAsia" w:cs="宋体"/>
          <w:szCs w:val="21"/>
        </w:rPr>
      </w:pPr>
      <w:r>
        <w:rPr>
          <w:rFonts w:cs="宋体"/>
          <w:b/>
          <w:bCs/>
          <w:szCs w:val="21"/>
        </w:rPr>
        <w:t>（四）</w:t>
      </w:r>
      <w:r>
        <w:rPr>
          <w:rFonts w:cs="宋体"/>
          <w:szCs w:val="21"/>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1830664A">
      <w:pPr>
        <w:ind w:firstLine="420" w:firstLineChars="200"/>
        <w:jc w:val="left"/>
        <w:rPr>
          <w:rFonts w:hint="eastAsia" w:cs="宋体"/>
          <w:color w:val="000000" w:themeColor="text1"/>
          <w:szCs w:val="21"/>
          <w14:textFill>
            <w14:solidFill>
              <w14:schemeClr w14:val="tx1"/>
            </w14:solidFill>
          </w14:textFill>
        </w:rPr>
      </w:pPr>
      <w:r>
        <w:rPr>
          <w:rFonts w:cs="宋体"/>
          <w:b/>
          <w:bCs/>
          <w:szCs w:val="21"/>
        </w:rPr>
        <w:t>（五）</w:t>
      </w:r>
      <w:r>
        <w:rPr>
          <w:rFonts w:cs="宋体"/>
          <w:szCs w:val="21"/>
        </w:rPr>
        <w:t>异常低价投标（响应）审查的启动原因、审查意见和审查结果应当在评审报告中记录，并随供应商提供的相关书面说明及证明材料，以及评标委员会有关互联网浏览、查询历史一并归档。</w:t>
      </w:r>
    </w:p>
    <w:p w14:paraId="563433EC">
      <w:pPr>
        <w:ind w:firstLine="420" w:firstLineChars="200"/>
        <w:jc w:val="left"/>
        <w:rPr>
          <w:rFonts w:hint="eastAsia" w:cs="宋体"/>
          <w:szCs w:val="21"/>
        </w:rPr>
      </w:pPr>
      <w:r>
        <w:rPr>
          <w:rFonts w:hint="eastAsia" w:cs="宋体"/>
          <w:szCs w:val="21"/>
        </w:rPr>
        <w:t>4.2.5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p>
    <w:p w14:paraId="563433ED">
      <w:pPr>
        <w:ind w:firstLine="420" w:firstLineChars="200"/>
        <w:jc w:val="left"/>
        <w:rPr>
          <w:rFonts w:hint="eastAsia" w:cs="宋体"/>
          <w:szCs w:val="21"/>
        </w:rPr>
      </w:pPr>
      <w:r>
        <w:rPr>
          <w:rFonts w:hint="eastAsia" w:cs="宋体"/>
          <w:szCs w:val="21"/>
        </w:rPr>
        <w:t>4.2.6评标中若遇特殊问题，由评标委员会根据有关法律、法规研究决定。</w:t>
      </w:r>
    </w:p>
    <w:p w14:paraId="563433EE">
      <w:pPr>
        <w:pStyle w:val="5"/>
        <w:numPr>
          <w:ilvl w:val="2"/>
          <w:numId w:val="0"/>
        </w:numPr>
        <w:spacing w:before="0"/>
        <w:ind w:firstLine="480" w:firstLineChars="200"/>
        <w:rPr>
          <w:rFonts w:hint="eastAsia" w:eastAsia="宋体" w:cs="宋体"/>
          <w:sz w:val="24"/>
          <w:szCs w:val="24"/>
        </w:rPr>
      </w:pPr>
      <w:bookmarkStart w:id="564" w:name="_Toc216724790"/>
      <w:bookmarkStart w:id="565" w:name="_Toc166067817"/>
      <w:bookmarkStart w:id="566" w:name="_Toc216368817"/>
      <w:bookmarkStart w:id="567" w:name="_Toc170120992"/>
      <w:bookmarkStart w:id="568" w:name="_Toc125986533"/>
      <w:bookmarkStart w:id="569" w:name="_Toc326218118"/>
      <w:bookmarkStart w:id="570" w:name="_Toc139357109"/>
      <w:bookmarkStart w:id="571" w:name="_Toc125904398"/>
      <w:bookmarkStart w:id="572" w:name="_Toc314817940"/>
      <w:bookmarkStart w:id="573" w:name="_Toc20011"/>
      <w:r>
        <w:rPr>
          <w:rFonts w:hint="eastAsia" w:eastAsia="宋体" w:cs="宋体"/>
          <w:sz w:val="24"/>
          <w:szCs w:val="24"/>
        </w:rPr>
        <w:t>4.3 投标文件的澄清和补正统计分数原则</w:t>
      </w:r>
      <w:bookmarkEnd w:id="564"/>
      <w:bookmarkEnd w:id="565"/>
      <w:bookmarkEnd w:id="566"/>
      <w:bookmarkEnd w:id="567"/>
      <w:bookmarkEnd w:id="568"/>
      <w:bookmarkEnd w:id="569"/>
      <w:bookmarkEnd w:id="570"/>
      <w:bookmarkEnd w:id="571"/>
      <w:bookmarkEnd w:id="572"/>
      <w:bookmarkEnd w:id="573"/>
    </w:p>
    <w:p w14:paraId="563433EF">
      <w:pPr>
        <w:ind w:firstLine="420" w:firstLineChars="200"/>
        <w:jc w:val="left"/>
        <w:rPr>
          <w:rFonts w:hint="eastAsia" w:cs="宋体"/>
          <w:szCs w:val="21"/>
        </w:rPr>
      </w:pPr>
      <w:r>
        <w:rPr>
          <w:rFonts w:hint="eastAsia" w:cs="宋体"/>
          <w:szCs w:val="21"/>
        </w:rPr>
        <w:t>4.3.1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14:paraId="563433F0">
      <w:pPr>
        <w:ind w:firstLine="420" w:firstLineChars="200"/>
        <w:jc w:val="left"/>
        <w:rPr>
          <w:rFonts w:hint="eastAsia" w:cs="宋体"/>
          <w:szCs w:val="21"/>
        </w:rPr>
      </w:pPr>
      <w:r>
        <w:rPr>
          <w:rFonts w:hint="eastAsia" w:cs="宋体"/>
          <w:szCs w:val="21"/>
        </w:rPr>
        <w:t>4.3.2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14:paraId="563433F1">
      <w:pPr>
        <w:ind w:firstLine="420" w:firstLineChars="200"/>
        <w:jc w:val="left"/>
        <w:rPr>
          <w:rFonts w:hint="eastAsia" w:cs="宋体"/>
          <w:szCs w:val="21"/>
        </w:rPr>
      </w:pPr>
      <w:r>
        <w:rPr>
          <w:rFonts w:hint="eastAsia" w:cs="宋体"/>
          <w:szCs w:val="21"/>
        </w:rPr>
        <w:t>4.3.3评标委员会对投标人提交的澄清、说明有疑问的，可以要求投标人进一步澄清、说明。</w:t>
      </w:r>
    </w:p>
    <w:p w14:paraId="563433F2">
      <w:pPr>
        <w:pStyle w:val="5"/>
        <w:numPr>
          <w:ilvl w:val="2"/>
          <w:numId w:val="0"/>
        </w:numPr>
        <w:spacing w:before="0"/>
        <w:ind w:firstLine="480" w:firstLineChars="200"/>
        <w:rPr>
          <w:rFonts w:hint="eastAsia" w:eastAsia="宋体" w:cs="宋体"/>
          <w:sz w:val="24"/>
          <w:szCs w:val="24"/>
        </w:rPr>
      </w:pPr>
      <w:bookmarkStart w:id="574" w:name="_Toc166067818"/>
      <w:bookmarkStart w:id="575" w:name="_Toc216724791"/>
      <w:bookmarkStart w:id="576" w:name="_Toc170120993"/>
      <w:bookmarkStart w:id="577" w:name="_Toc125986534"/>
      <w:bookmarkStart w:id="578" w:name="_Toc125904399"/>
      <w:bookmarkStart w:id="579" w:name="_Toc216368818"/>
      <w:bookmarkStart w:id="580" w:name="_Toc314817941"/>
      <w:bookmarkStart w:id="581" w:name="_Toc326218119"/>
      <w:bookmarkStart w:id="582" w:name="_Toc139357110"/>
      <w:bookmarkStart w:id="583" w:name="_Toc9196"/>
      <w:r>
        <w:rPr>
          <w:rFonts w:hint="eastAsia" w:eastAsia="宋体" w:cs="宋体"/>
          <w:sz w:val="24"/>
          <w:szCs w:val="24"/>
        </w:rPr>
        <w:t>4.4 评标结果</w:t>
      </w:r>
      <w:bookmarkEnd w:id="574"/>
      <w:bookmarkEnd w:id="575"/>
      <w:bookmarkEnd w:id="576"/>
      <w:bookmarkEnd w:id="577"/>
      <w:bookmarkEnd w:id="578"/>
      <w:bookmarkEnd w:id="579"/>
      <w:bookmarkEnd w:id="580"/>
      <w:bookmarkEnd w:id="581"/>
      <w:bookmarkEnd w:id="582"/>
      <w:bookmarkEnd w:id="583"/>
    </w:p>
    <w:p w14:paraId="563433F3">
      <w:pPr>
        <w:adjustRightInd w:val="0"/>
        <w:ind w:firstLine="420" w:firstLineChars="200"/>
        <w:rPr>
          <w:rFonts w:hint="eastAsia" w:cs="宋体"/>
          <w:szCs w:val="21"/>
        </w:rPr>
      </w:pPr>
      <w:r>
        <w:rPr>
          <w:rFonts w:hint="eastAsia" w:cs="宋体"/>
          <w:szCs w:val="21"/>
        </w:rPr>
        <w:t>4.4.1评标委员会对满足招标文件资格评审及符合性评审要求的投标文件，</w:t>
      </w:r>
      <w:bookmarkStart w:id="584" w:name="_Hlk49243521"/>
      <w:r>
        <w:rPr>
          <w:rFonts w:hint="eastAsia" w:cs="宋体"/>
          <w:szCs w:val="21"/>
        </w:rPr>
        <w:t>按照本章前附表规定的评分标准</w:t>
      </w:r>
      <w:bookmarkEnd w:id="584"/>
      <w:r>
        <w:rPr>
          <w:rFonts w:hint="eastAsia" w:cs="宋体"/>
          <w:szCs w:val="21"/>
        </w:rPr>
        <w:t>进行打分。</w:t>
      </w:r>
    </w:p>
    <w:p w14:paraId="563433F4">
      <w:pPr>
        <w:pStyle w:val="23"/>
        <w:tabs>
          <w:tab w:val="left" w:pos="2472"/>
        </w:tabs>
        <w:ind w:firstLine="420" w:firstLineChars="200"/>
        <w:rPr>
          <w:rFonts w:hint="eastAsia" w:cs="宋体"/>
          <w:szCs w:val="21"/>
        </w:rPr>
      </w:pPr>
      <w:r>
        <w:rPr>
          <w:rFonts w:hint="eastAsia" w:cs="宋体"/>
          <w:szCs w:val="21"/>
        </w:rPr>
        <w:t>评标委员按照本章前附表规定的评分标准评审并计算评标总得分后，按总得分由高到低的顺序推荐中标候选人排序。评标总得分相等时，按投标总报价由低到高顺序排序；评标总得分相等且投标总报价相同时，按技术部分得分由高到低顺序排序；所有得分均相等时，按</w:t>
      </w:r>
      <w:r>
        <w:rPr>
          <w:rFonts w:hint="eastAsia" w:cs="宋体"/>
          <w:bCs/>
          <w:szCs w:val="21"/>
        </w:rPr>
        <w:t>优先采购列入品目清单内非强制采购的节能产品、环境标志产品，优先采购优质优价的可追溯产品，优先采购监狱企业、残疾人福利性单位</w:t>
      </w:r>
      <w:r>
        <w:rPr>
          <w:rFonts w:hint="eastAsia" w:cs="宋体"/>
          <w:szCs w:val="21"/>
        </w:rPr>
        <w:t>的顺序排列。</w:t>
      </w:r>
    </w:p>
    <w:p w14:paraId="563433F5">
      <w:pPr>
        <w:ind w:firstLine="420" w:firstLineChars="200"/>
        <w:jc w:val="left"/>
        <w:rPr>
          <w:rFonts w:hint="eastAsia" w:cs="宋体"/>
          <w:szCs w:val="21"/>
        </w:rPr>
      </w:pPr>
      <w:r>
        <w:rPr>
          <w:rFonts w:hint="eastAsia" w:cs="宋体"/>
          <w:szCs w:val="21"/>
        </w:rPr>
        <w:t>评标委员会推荐3名中标候选人，并提出书面评标报告。</w:t>
      </w:r>
    </w:p>
    <w:p w14:paraId="563433F6">
      <w:pPr>
        <w:ind w:firstLine="420" w:firstLineChars="200"/>
        <w:jc w:val="left"/>
        <w:rPr>
          <w:rFonts w:hint="eastAsia" w:cs="宋体"/>
          <w:szCs w:val="21"/>
        </w:rPr>
      </w:pPr>
      <w:r>
        <w:rPr>
          <w:rFonts w:hint="eastAsia" w:cs="宋体"/>
          <w:szCs w:val="21"/>
        </w:rPr>
        <w:t>4.4.2采购人根据评标委员会提出的书面评标报告和推荐的中标候选人名单，确定中标人。</w:t>
      </w:r>
    </w:p>
    <w:p w14:paraId="563433F7">
      <w:pPr>
        <w:ind w:firstLine="420" w:firstLineChars="200"/>
        <w:jc w:val="left"/>
        <w:rPr>
          <w:rFonts w:hint="eastAsia" w:cs="宋体"/>
          <w:szCs w:val="21"/>
        </w:rPr>
      </w:pPr>
      <w:r>
        <w:rPr>
          <w:rFonts w:hint="eastAsia" w:cs="宋体"/>
          <w:szCs w:val="21"/>
        </w:rPr>
        <w:t>4.4.3评标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假材料、串通等违法违规行为的，要及时向采购人或采购代理机构报告。</w:t>
      </w:r>
    </w:p>
    <w:bookmarkEnd w:id="484"/>
    <w:p w14:paraId="563433F8">
      <w:pPr>
        <w:pStyle w:val="5"/>
        <w:numPr>
          <w:ilvl w:val="2"/>
          <w:numId w:val="0"/>
        </w:numPr>
        <w:tabs>
          <w:tab w:val="clear" w:pos="360"/>
        </w:tabs>
        <w:spacing w:before="0"/>
        <w:ind w:firstLine="480" w:firstLineChars="200"/>
        <w:rPr>
          <w:rFonts w:hint="eastAsia" w:eastAsia="宋体" w:cs="宋体"/>
          <w:sz w:val="24"/>
          <w:szCs w:val="24"/>
        </w:rPr>
      </w:pPr>
      <w:bookmarkStart w:id="585" w:name="_Toc166067819"/>
      <w:bookmarkStart w:id="586" w:name="_Toc216724792"/>
      <w:bookmarkStart w:id="587" w:name="_Toc139357111"/>
      <w:bookmarkStart w:id="588" w:name="_Toc170120994"/>
      <w:bookmarkStart w:id="589" w:name="_Toc216368819"/>
      <w:bookmarkStart w:id="590" w:name="_Toc125986535"/>
      <w:bookmarkStart w:id="591" w:name="_Toc125904400"/>
      <w:bookmarkStart w:id="592" w:name="_Toc1522"/>
      <w:r>
        <w:rPr>
          <w:rFonts w:hint="eastAsia" w:eastAsia="宋体" w:cs="宋体"/>
          <w:sz w:val="24"/>
          <w:szCs w:val="24"/>
        </w:rPr>
        <w:t>4.5其他</w:t>
      </w:r>
      <w:bookmarkEnd w:id="585"/>
      <w:bookmarkEnd w:id="586"/>
      <w:bookmarkEnd w:id="587"/>
      <w:bookmarkEnd w:id="588"/>
      <w:bookmarkEnd w:id="589"/>
      <w:bookmarkEnd w:id="590"/>
      <w:bookmarkEnd w:id="591"/>
      <w:bookmarkEnd w:id="592"/>
    </w:p>
    <w:p w14:paraId="563433F9">
      <w:pPr>
        <w:ind w:firstLine="420" w:firstLineChars="200"/>
        <w:jc w:val="left"/>
        <w:rPr>
          <w:rFonts w:hint="eastAsia" w:cs="宋体"/>
          <w:szCs w:val="21"/>
          <w:lang w:val="zh-CN"/>
        </w:rPr>
      </w:pPr>
      <w:r>
        <w:rPr>
          <w:rFonts w:hint="eastAsia" w:cs="宋体"/>
          <w:szCs w:val="21"/>
        </w:rPr>
        <w:t>其他未尽事宜遵照国家相关法律法规执行。</w:t>
      </w:r>
    </w:p>
    <w:sectPr>
      <w:headerReference r:id="rId10" w:type="first"/>
      <w:pgSz w:w="11906" w:h="16838"/>
      <w:pgMar w:top="1440" w:right="1080" w:bottom="1440" w:left="1080" w:header="680" w:footer="680" w:gutter="0"/>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金山简黑体">
    <w:altName w:val="宋体"/>
    <w:panose1 w:val="00000000000000000000"/>
    <w:charset w:val="86"/>
    <w:family w:val="modern"/>
    <w:pitch w:val="default"/>
    <w:sig w:usb0="00000000" w:usb1="00000000" w:usb2="00000010" w:usb3="00000000" w:csb0="00040000" w:csb1="00000000"/>
  </w:font>
  <w:font w:name="Century Gothic">
    <w:panose1 w:val="020B0502020202020204"/>
    <w:charset w:val="00"/>
    <w:family w:val="swiss"/>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Heiti SC Light">
    <w:altName w:val="Yu Gothic"/>
    <w:panose1 w:val="00000000000000000000"/>
    <w:charset w:val="80"/>
    <w:family w:val="auto"/>
    <w:pitch w:val="default"/>
    <w:sig w:usb0="00000000" w:usb1="00000000" w:usb2="00000000" w:usb3="00000000" w:csb0="203E0000" w:csb1="00000000"/>
  </w:font>
  <w:font w:name="Yu Gothic">
    <w:panose1 w:val="020B0400000000000000"/>
    <w:charset w:val="80"/>
    <w:family w:val="auto"/>
    <w:pitch w:val="default"/>
    <w:sig w:usb0="E00002FF" w:usb1="2AC7FDFF" w:usb2="00000016" w:usb3="00000000" w:csb0="2002009F" w:csb1="00000000"/>
  </w:font>
  <w:font w:name="Times New Roman (标题 CS)">
    <w:altName w:val="Times New Roman"/>
    <w:panose1 w:val="00000000000000000000"/>
    <w:charset w:val="00"/>
    <w:family w:val="roman"/>
    <w:pitch w:val="default"/>
    <w:sig w:usb0="00000000" w:usb1="00000000" w:usb2="00000009" w:usb3="00000000" w:csb0="000001FF" w:csb1="00000000"/>
  </w:font>
  <w:font w:name="Times New Roman (正文 CS 字体)">
    <w:altName w:val="Times New Roman"/>
    <w:panose1 w:val="00000000000000000000"/>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Malgun Gothic">
    <w:panose1 w:val="020B0503020000020004"/>
    <w:charset w:val="81"/>
    <w:family w:val="swiss"/>
    <w:pitch w:val="default"/>
    <w:sig w:usb0="9000002F" w:usb1="29D77CFB" w:usb2="00000012" w:usb3="00000000" w:csb0="0008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8700693"/>
      <w:docPartObj>
        <w:docPartGallery w:val="autotext"/>
      </w:docPartObj>
    </w:sdtPr>
    <w:sdtEndPr>
      <w:rPr>
        <w:b/>
        <w:bCs/>
        <w:sz w:val="21"/>
        <w:szCs w:val="22"/>
      </w:rPr>
    </w:sdtEndPr>
    <w:sdtContent>
      <w:p w14:paraId="563433FF">
        <w:pPr>
          <w:pStyle w:val="28"/>
          <w:jc w:val="center"/>
          <w:rPr>
            <w:rFonts w:hint="eastAsia"/>
            <w:b/>
            <w:bCs/>
            <w:sz w:val="21"/>
            <w:szCs w:val="22"/>
          </w:rPr>
        </w:pPr>
        <w:r>
          <w:rPr>
            <w:b/>
            <w:bCs/>
            <w:sz w:val="21"/>
            <w:szCs w:val="22"/>
          </w:rPr>
          <w:fldChar w:fldCharType="begin"/>
        </w:r>
        <w:r>
          <w:rPr>
            <w:b/>
            <w:bCs/>
            <w:sz w:val="21"/>
            <w:szCs w:val="22"/>
          </w:rPr>
          <w:instrText xml:space="preserve">PAGE   \* MERGEFORMAT</w:instrText>
        </w:r>
        <w:r>
          <w:rPr>
            <w:b/>
            <w:bCs/>
            <w:sz w:val="21"/>
            <w:szCs w:val="22"/>
          </w:rPr>
          <w:fldChar w:fldCharType="separate"/>
        </w:r>
        <w:r>
          <w:rPr>
            <w:b/>
            <w:bCs/>
            <w:sz w:val="21"/>
            <w:szCs w:val="22"/>
            <w:lang w:val="zh-CN"/>
          </w:rPr>
          <w:t>2</w:t>
        </w:r>
        <w:r>
          <w:rPr>
            <w:b/>
            <w:bCs/>
            <w:sz w:val="21"/>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1">
    <w:pPr>
      <w:pStyle w:val="28"/>
      <w:ind w:left="-2" w:leftChars="-1" w:firstLine="1"/>
      <w:jc w:val="center"/>
      <w:rPr>
        <w:rFonts w:hint="eastAsia"/>
      </w:rPr>
    </w:pPr>
    <w:r>
      <w:fldChar w:fldCharType="begin"/>
    </w:r>
    <w:r>
      <w:instrText xml:space="preserve">PAGE   \* MERGEFORMAT</w:instrText>
    </w:r>
    <w:r>
      <w:fldChar w:fldCharType="separate"/>
    </w:r>
    <w:r>
      <w:rPr>
        <w:lang w:val="zh-CN"/>
      </w:rPr>
      <w:t>2</w:t>
    </w:r>
    <w:r>
      <w:fldChar w:fldCharType="end"/>
    </w:r>
  </w:p>
  <w:p w14:paraId="56343402">
    <w:pPr>
      <w:pStyle w:val="28"/>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3FE">
    <w:pPr>
      <w:pStyle w:val="29"/>
      <w:pBdr>
        <w:bottom w:val="none" w:color="auto" w:sz="0" w:space="0"/>
      </w:pBdr>
      <w:jc w:val="right"/>
      <w:rPr>
        <w:rFonts w:hint="eastAsia"/>
      </w:rPr>
    </w:pPr>
    <w:r>
      <w:drawing>
        <wp:inline distT="0" distB="0" distL="114300" distR="114300">
          <wp:extent cx="2012315" cy="397510"/>
          <wp:effectExtent l="0" t="0" r="6985" b="2540"/>
          <wp:docPr id="747760864" name="图片 747760864"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760864" name="图片 747760864" descr="标志"/>
                  <pic:cNvPicPr>
                    <a:picLocks noChangeAspect="1"/>
                  </pic:cNvPicPr>
                </pic:nvPicPr>
                <pic:blipFill>
                  <a:blip r:embed="rId1">
                    <a:lum contrast="20000"/>
                  </a:blip>
                  <a:stretch>
                    <a:fillRect/>
                  </a:stretch>
                </pic:blipFill>
                <pic:spPr>
                  <a:xfrm>
                    <a:off x="0" y="0"/>
                    <a:ext cx="2012315" cy="3975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0">
    <w:pPr>
      <w:pStyle w:val="29"/>
      <w:rPr>
        <w:rFonts w:hint="eastAsia"/>
      </w:rPr>
    </w:pPr>
    <w:r>
      <w:rPr>
        <w:rFonts w:hint="eastAsia"/>
      </w:rPr>
      <w:t>云南省第二人民医院12导网络心电图机等设备采购项目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74AB">
    <w:pPr>
      <w:pStyle w:val="29"/>
      <w:jc w:val="right"/>
      <w:rPr>
        <w:rFonts w:hint="eastAsia"/>
      </w:rPr>
    </w:pPr>
    <w:r>
      <w:rPr>
        <w:rFonts w:hint="eastAsia"/>
      </w:rPr>
      <w:t>“国际文化记忆和传承”之三江并流拍摄及图书策划编辑等服务--招标文件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3">
    <w:pPr>
      <w:pStyle w:val="29"/>
      <w:jc w:val="right"/>
      <w:rPr>
        <w:rFonts w:hint="eastAsia"/>
      </w:rPr>
    </w:pPr>
    <w:r>
      <w:rPr>
        <w:rFonts w:hint="eastAsia"/>
      </w:rPr>
      <w:t>“国际文化记忆和传承”之三江并流拍摄及图书策划编辑等服务--招标文件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FFFFFB"/>
    <w:multiLevelType w:val="multilevel"/>
    <w:tmpl w:val="FFFFFFFB"/>
    <w:lvl w:ilvl="0" w:tentative="0">
      <w:start w:val="1"/>
      <w:numFmt w:val="decimal"/>
      <w:lvlText w:val="%1."/>
      <w:legacy w:legacy="1" w:legacySpace="0" w:legacyIndent="425"/>
      <w:lvlJc w:val="left"/>
      <w:pPr>
        <w:ind w:left="425" w:hanging="425"/>
      </w:pPr>
    </w:lvl>
    <w:lvl w:ilvl="1" w:tentative="0">
      <w:start w:val="1"/>
      <w:numFmt w:val="decimal"/>
      <w:lvlText w:val="%1.%2."/>
      <w:legacy w:legacy="1" w:legacySpace="0" w:legacyIndent="425"/>
      <w:lvlJc w:val="left"/>
      <w:pPr>
        <w:ind w:left="850" w:hanging="425"/>
      </w:pPr>
    </w:lvl>
    <w:lvl w:ilvl="2" w:tentative="0">
      <w:start w:val="1"/>
      <w:numFmt w:val="decimal"/>
      <w:lvlText w:val="%1.%2.%3."/>
      <w:legacy w:legacy="1" w:legacySpace="0" w:legacyIndent="425"/>
      <w:lvlJc w:val="left"/>
      <w:pPr>
        <w:ind w:left="1275" w:hanging="425"/>
      </w:pPr>
    </w:lvl>
    <w:lvl w:ilvl="3" w:tentative="0">
      <w:start w:val="1"/>
      <w:numFmt w:val="decimal"/>
      <w:lvlText w:val="%1.%2.%3.%4."/>
      <w:legacy w:legacy="1" w:legacySpace="0" w:legacyIndent="425"/>
      <w:lvlJc w:val="left"/>
      <w:pPr>
        <w:ind w:left="1700" w:hanging="425"/>
      </w:pPr>
    </w:lvl>
    <w:lvl w:ilvl="4" w:tentative="0">
      <w:start w:val="1"/>
      <w:numFmt w:val="decimal"/>
      <w:pStyle w:val="7"/>
      <w:lvlText w:val="%1.%2.%3.%4.%5."/>
      <w:legacy w:legacy="1" w:legacySpace="0" w:legacyIndent="425"/>
      <w:lvlJc w:val="left"/>
      <w:pPr>
        <w:ind w:left="2125" w:hanging="425"/>
      </w:pPr>
    </w:lvl>
    <w:lvl w:ilvl="5" w:tentative="0">
      <w:start w:val="1"/>
      <w:numFmt w:val="decimal"/>
      <w:lvlText w:val="%1.%2.%3.%4.%5.%6."/>
      <w:legacy w:legacy="1" w:legacySpace="0" w:legacyIndent="425"/>
      <w:lvlJc w:val="left"/>
      <w:pPr>
        <w:ind w:left="2550" w:hanging="425"/>
      </w:pPr>
    </w:lvl>
    <w:lvl w:ilvl="6" w:tentative="0">
      <w:start w:val="1"/>
      <w:numFmt w:val="decimal"/>
      <w:lvlText w:val="%1.%2.%3.%4.%5.%6.%7."/>
      <w:legacy w:legacy="1" w:legacySpace="0" w:legacyIndent="425"/>
      <w:lvlJc w:val="left"/>
      <w:pPr>
        <w:ind w:left="2975" w:hanging="425"/>
      </w:pPr>
    </w:lvl>
    <w:lvl w:ilvl="7" w:tentative="0">
      <w:start w:val="1"/>
      <w:numFmt w:val="decimal"/>
      <w:lvlText w:val="%1.%2.%3.%4.%5.%6.%7.%8."/>
      <w:legacy w:legacy="1" w:legacySpace="0" w:legacyIndent="425"/>
      <w:lvlJc w:val="left"/>
      <w:pPr>
        <w:ind w:left="3400" w:hanging="425"/>
      </w:pPr>
    </w:lvl>
    <w:lvl w:ilvl="8" w:tentative="0">
      <w:start w:val="1"/>
      <w:numFmt w:val="decimal"/>
      <w:lvlText w:val="%1.%2.%3.%4.%5.%6.%7.%8.%9."/>
      <w:legacy w:legacy="1" w:legacySpace="0" w:legacyIndent="425"/>
      <w:lvlJc w:val="left"/>
      <w:pPr>
        <w:ind w:left="3825" w:hanging="425"/>
      </w:pPr>
    </w:lvl>
  </w:abstractNum>
  <w:abstractNum w:abstractNumId="5">
    <w:nsid w:val="00000014"/>
    <w:multiLevelType w:val="multilevel"/>
    <w:tmpl w:val="00000014"/>
    <w:lvl w:ilvl="0" w:tentative="0">
      <w:start w:val="2"/>
      <w:numFmt w:val="lowerLetter"/>
      <w:pStyle w:val="13"/>
      <w:lvlText w:val="%1)"/>
      <w:lvlJc w:val="left"/>
      <w:pPr>
        <w:tabs>
          <w:tab w:val="left" w:pos="330"/>
        </w:tabs>
        <w:ind w:left="330" w:hanging="360"/>
      </w:pPr>
      <w:rPr>
        <w:rFonts w:hint="default"/>
      </w:rPr>
    </w:lvl>
    <w:lvl w:ilvl="1" w:tentative="0">
      <w:start w:val="1"/>
      <w:numFmt w:val="lowerLetter"/>
      <w:lvlText w:val="%2)"/>
      <w:lvlJc w:val="left"/>
      <w:pPr>
        <w:tabs>
          <w:tab w:val="left" w:pos="810"/>
        </w:tabs>
        <w:ind w:left="810" w:hanging="420"/>
      </w:pPr>
    </w:lvl>
    <w:lvl w:ilvl="2" w:tentative="0">
      <w:start w:val="1"/>
      <w:numFmt w:val="lowerRoman"/>
      <w:lvlText w:val="%3."/>
      <w:lvlJc w:val="right"/>
      <w:pPr>
        <w:tabs>
          <w:tab w:val="left" w:pos="1230"/>
        </w:tabs>
        <w:ind w:left="1230" w:hanging="420"/>
      </w:pPr>
    </w:lvl>
    <w:lvl w:ilvl="3" w:tentative="0">
      <w:start w:val="1"/>
      <w:numFmt w:val="decimal"/>
      <w:lvlText w:val="%4."/>
      <w:lvlJc w:val="left"/>
      <w:pPr>
        <w:tabs>
          <w:tab w:val="left" w:pos="1650"/>
        </w:tabs>
        <w:ind w:left="1650" w:hanging="420"/>
      </w:pPr>
    </w:lvl>
    <w:lvl w:ilvl="4" w:tentative="0">
      <w:start w:val="1"/>
      <w:numFmt w:val="lowerLetter"/>
      <w:lvlText w:val="%5)"/>
      <w:lvlJc w:val="left"/>
      <w:pPr>
        <w:tabs>
          <w:tab w:val="left" w:pos="2070"/>
        </w:tabs>
        <w:ind w:left="2070" w:hanging="420"/>
      </w:pPr>
    </w:lvl>
    <w:lvl w:ilvl="5" w:tentative="0">
      <w:start w:val="1"/>
      <w:numFmt w:val="lowerRoman"/>
      <w:lvlText w:val="%6."/>
      <w:lvlJc w:val="right"/>
      <w:pPr>
        <w:tabs>
          <w:tab w:val="left" w:pos="2490"/>
        </w:tabs>
        <w:ind w:left="2490" w:hanging="420"/>
      </w:pPr>
    </w:lvl>
    <w:lvl w:ilvl="6" w:tentative="0">
      <w:start w:val="1"/>
      <w:numFmt w:val="decimal"/>
      <w:lvlText w:val="%7."/>
      <w:lvlJc w:val="left"/>
      <w:pPr>
        <w:tabs>
          <w:tab w:val="left" w:pos="2910"/>
        </w:tabs>
        <w:ind w:left="2910" w:hanging="420"/>
      </w:pPr>
    </w:lvl>
    <w:lvl w:ilvl="7" w:tentative="0">
      <w:start w:val="1"/>
      <w:numFmt w:val="lowerLetter"/>
      <w:lvlText w:val="%8)"/>
      <w:lvlJc w:val="left"/>
      <w:pPr>
        <w:tabs>
          <w:tab w:val="left" w:pos="3330"/>
        </w:tabs>
        <w:ind w:left="3330" w:hanging="420"/>
      </w:pPr>
    </w:lvl>
    <w:lvl w:ilvl="8" w:tentative="0">
      <w:start w:val="1"/>
      <w:numFmt w:val="lowerRoman"/>
      <w:lvlText w:val="%9."/>
      <w:lvlJc w:val="right"/>
      <w:pPr>
        <w:tabs>
          <w:tab w:val="left" w:pos="3750"/>
        </w:tabs>
        <w:ind w:left="3750" w:hanging="420"/>
      </w:pPr>
    </w:lvl>
  </w:abstractNum>
  <w:abstractNum w:abstractNumId="6">
    <w:nsid w:val="0315620E"/>
    <w:multiLevelType w:val="multilevel"/>
    <w:tmpl w:val="0315620E"/>
    <w:lvl w:ilvl="0" w:tentative="0">
      <w:start w:val="1"/>
      <w:numFmt w:val="decimal"/>
      <w:pStyle w:val="3"/>
      <w:lvlText w:val="%1"/>
      <w:lvlJc w:val="left"/>
      <w:pPr>
        <w:tabs>
          <w:tab w:val="left" w:pos="360"/>
        </w:tabs>
        <w:ind w:left="284" w:hanging="284"/>
      </w:pPr>
      <w:rPr>
        <w:rFonts w:hint="default" w:ascii="Times New Roman" w:hAnsi="Times New Roman"/>
        <w:b/>
        <w:i w:val="0"/>
        <w:sz w:val="28"/>
      </w:rPr>
    </w:lvl>
    <w:lvl w:ilvl="1" w:tentative="0">
      <w:start w:val="1"/>
      <w:numFmt w:val="decimal"/>
      <w:pStyle w:val="4"/>
      <w:lvlText w:val="%1.%2"/>
      <w:lvlJc w:val="left"/>
      <w:pPr>
        <w:tabs>
          <w:tab w:val="left" w:pos="596"/>
        </w:tabs>
        <w:ind w:left="596" w:hanging="596"/>
      </w:pPr>
      <w:rPr>
        <w:rFonts w:hint="default" w:ascii="Times New Roman" w:hAnsi="Times New Roman"/>
        <w:b/>
        <w:i w:val="0"/>
        <w:sz w:val="28"/>
      </w:rPr>
    </w:lvl>
    <w:lvl w:ilvl="2" w:tentative="0">
      <w:start w:val="1"/>
      <w:numFmt w:val="decimal"/>
      <w:pStyle w:val="5"/>
      <w:lvlText w:val="%1.%2.%3"/>
      <w:lvlJc w:val="left"/>
      <w:pPr>
        <w:tabs>
          <w:tab w:val="left" w:pos="1588"/>
        </w:tabs>
        <w:ind w:left="1588" w:hanging="737"/>
      </w:pPr>
      <w:rPr>
        <w:rFonts w:hint="default" w:ascii="Times New Roman" w:hAnsi="Times New Roman"/>
        <w:b/>
        <w:i w:val="0"/>
        <w:sz w:val="24"/>
      </w:rPr>
    </w:lvl>
    <w:lvl w:ilvl="3" w:tentative="0">
      <w:start w:val="1"/>
      <w:numFmt w:val="decimal"/>
      <w:pStyle w:val="6"/>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07020397"/>
    <w:multiLevelType w:val="multilevel"/>
    <w:tmpl w:val="07020397"/>
    <w:lvl w:ilvl="0" w:tentative="0">
      <w:start w:val="1"/>
      <w:numFmt w:val="decimal"/>
      <w:pStyle w:val="355"/>
      <w:lvlText w:val="%1"/>
      <w:lvlJc w:val="left"/>
      <w:pPr>
        <w:ind w:left="425" w:hanging="425"/>
      </w:pPr>
      <w:rPr>
        <w:rFonts w:hint="eastAsia"/>
      </w:rPr>
    </w:lvl>
    <w:lvl w:ilvl="1" w:tentative="0">
      <w:start w:val="1"/>
      <w:numFmt w:val="decimal"/>
      <w:pStyle w:val="351"/>
      <w:lvlText w:val="%1.%2"/>
      <w:lvlJc w:val="left"/>
      <w:pPr>
        <w:ind w:left="0" w:firstLine="0"/>
      </w:pPr>
      <w:rPr>
        <w:rFonts w:hint="eastAsia"/>
      </w:rPr>
    </w:lvl>
    <w:lvl w:ilvl="2" w:tentative="0">
      <w:start w:val="1"/>
      <w:numFmt w:val="decimal"/>
      <w:pStyle w:val="357"/>
      <w:lvlText w:val="%1.%2.%3"/>
      <w:lvlJc w:val="left"/>
      <w:pPr>
        <w:ind w:left="0" w:firstLine="0"/>
      </w:pPr>
      <w:rPr>
        <w:rFonts w:hint="eastAsia"/>
      </w:rPr>
    </w:lvl>
    <w:lvl w:ilvl="3" w:tentative="0">
      <w:start w:val="1"/>
      <w:numFmt w:val="decimal"/>
      <w:pStyle w:val="360"/>
      <w:lvlText w:val="%1.%2.%3.%4"/>
      <w:lvlJc w:val="left"/>
      <w:pPr>
        <w:ind w:left="0" w:firstLine="0"/>
      </w:pPr>
      <w:rPr>
        <w:rFonts w:hint="eastAsia"/>
      </w:rPr>
    </w:lvl>
    <w:lvl w:ilvl="4" w:tentative="0">
      <w:start w:val="1"/>
      <w:numFmt w:val="decimal"/>
      <w:pStyle w:val="361"/>
      <w:lvlText w:val="%1.%2.%3.%4.%5"/>
      <w:lvlJc w:val="left"/>
      <w:pPr>
        <w:ind w:left="0" w:firstLine="0"/>
      </w:pPr>
      <w:rPr>
        <w:rFonts w:hint="eastAsia"/>
      </w:rPr>
    </w:lvl>
    <w:lvl w:ilvl="5" w:tentative="0">
      <w:start w:val="1"/>
      <w:numFmt w:val="decimal"/>
      <w:pStyle w:val="359"/>
      <w:lvlText w:val="%1.%2.%3.%4.%5.%6"/>
      <w:lvlJc w:val="left"/>
      <w:pPr>
        <w:ind w:left="0" w:firstLine="0"/>
      </w:pPr>
      <w:rPr>
        <w:rFonts w:hint="eastAsia"/>
      </w:rPr>
    </w:lvl>
    <w:lvl w:ilvl="6" w:tentative="0">
      <w:start w:val="1"/>
      <w:numFmt w:val="decimal"/>
      <w:pStyle w:val="358"/>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97907D7"/>
    <w:multiLevelType w:val="multilevel"/>
    <w:tmpl w:val="097907D7"/>
    <w:lvl w:ilvl="0" w:tentative="0">
      <w:start w:val="1"/>
      <w:numFmt w:val="decimal"/>
      <w:pStyle w:val="62"/>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3852405"/>
    <w:multiLevelType w:val="multilevel"/>
    <w:tmpl w:val="63852405"/>
    <w:lvl w:ilvl="0" w:tentative="0">
      <w:start w:val="1"/>
      <w:numFmt w:val="decimal"/>
      <w:pStyle w:val="148"/>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abstractNum w:abstractNumId="10">
    <w:nsid w:val="730A21A6"/>
    <w:multiLevelType w:val="multilevel"/>
    <w:tmpl w:val="730A21A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A0F6431"/>
    <w:multiLevelType w:val="singleLevel"/>
    <w:tmpl w:val="7A0F6431"/>
    <w:lvl w:ilvl="0" w:tentative="0">
      <w:start w:val="1"/>
      <w:numFmt w:val="decimal"/>
      <w:suff w:val="space"/>
      <w:lvlText w:val="%1."/>
      <w:lvlJc w:val="left"/>
    </w:lvl>
  </w:abstractNum>
  <w:num w:numId="1">
    <w:abstractNumId w:val="6"/>
  </w:num>
  <w:num w:numId="2">
    <w:abstractNumId w:val="4"/>
  </w:num>
  <w:num w:numId="3">
    <w:abstractNumId w:val="5"/>
  </w:num>
  <w:num w:numId="4">
    <w:abstractNumId w:val="8"/>
  </w:num>
  <w:num w:numId="5">
    <w:abstractNumId w:val="9"/>
  </w:num>
  <w:num w:numId="6">
    <w:abstractNumId w:val="7"/>
  </w:num>
  <w:num w:numId="7">
    <w:abstractNumId w:val="11"/>
  </w:num>
  <w:num w:numId="8">
    <w:abstractNumId w:val="2"/>
  </w:num>
  <w:num w:numId="9">
    <w:abstractNumId w:val="1"/>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31"/>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4NTc4M2ZhNjZjYjg0NzJmMjU2N2I2NTM1MWMxNjkifQ=="/>
  </w:docVars>
  <w:rsids>
    <w:rsidRoot w:val="00A21078"/>
    <w:rsid w:val="000002B2"/>
    <w:rsid w:val="00000416"/>
    <w:rsid w:val="00001020"/>
    <w:rsid w:val="00001932"/>
    <w:rsid w:val="0000224E"/>
    <w:rsid w:val="0000241B"/>
    <w:rsid w:val="00002780"/>
    <w:rsid w:val="00002833"/>
    <w:rsid w:val="0000291B"/>
    <w:rsid w:val="00002A12"/>
    <w:rsid w:val="00002B38"/>
    <w:rsid w:val="00002EFF"/>
    <w:rsid w:val="00003547"/>
    <w:rsid w:val="00003FC8"/>
    <w:rsid w:val="00003FD6"/>
    <w:rsid w:val="0000405C"/>
    <w:rsid w:val="000042BF"/>
    <w:rsid w:val="00004374"/>
    <w:rsid w:val="00004EAB"/>
    <w:rsid w:val="00004EFD"/>
    <w:rsid w:val="0000520A"/>
    <w:rsid w:val="000054BE"/>
    <w:rsid w:val="00006190"/>
    <w:rsid w:val="00006C99"/>
    <w:rsid w:val="00007097"/>
    <w:rsid w:val="00007211"/>
    <w:rsid w:val="000072A0"/>
    <w:rsid w:val="00007A2A"/>
    <w:rsid w:val="00007F83"/>
    <w:rsid w:val="00010154"/>
    <w:rsid w:val="000101A8"/>
    <w:rsid w:val="000105AA"/>
    <w:rsid w:val="000107A4"/>
    <w:rsid w:val="000107C0"/>
    <w:rsid w:val="00010899"/>
    <w:rsid w:val="00010988"/>
    <w:rsid w:val="00010CCA"/>
    <w:rsid w:val="000111B4"/>
    <w:rsid w:val="000121F9"/>
    <w:rsid w:val="000123A6"/>
    <w:rsid w:val="00012B90"/>
    <w:rsid w:val="00012F3D"/>
    <w:rsid w:val="00013DB5"/>
    <w:rsid w:val="00013E69"/>
    <w:rsid w:val="00013E6F"/>
    <w:rsid w:val="00014087"/>
    <w:rsid w:val="00014214"/>
    <w:rsid w:val="00014307"/>
    <w:rsid w:val="0001480F"/>
    <w:rsid w:val="00014D1F"/>
    <w:rsid w:val="00014FB8"/>
    <w:rsid w:val="0001575F"/>
    <w:rsid w:val="00015929"/>
    <w:rsid w:val="00016091"/>
    <w:rsid w:val="000165CA"/>
    <w:rsid w:val="00016892"/>
    <w:rsid w:val="00016A8C"/>
    <w:rsid w:val="00016CB0"/>
    <w:rsid w:val="00016D39"/>
    <w:rsid w:val="00016EBB"/>
    <w:rsid w:val="00017BE9"/>
    <w:rsid w:val="00017C95"/>
    <w:rsid w:val="00017FDA"/>
    <w:rsid w:val="000207FD"/>
    <w:rsid w:val="00020BD0"/>
    <w:rsid w:val="00020EFD"/>
    <w:rsid w:val="00020F88"/>
    <w:rsid w:val="0002140F"/>
    <w:rsid w:val="00021B69"/>
    <w:rsid w:val="00021B8C"/>
    <w:rsid w:val="00021D0D"/>
    <w:rsid w:val="00021DD3"/>
    <w:rsid w:val="00021EC5"/>
    <w:rsid w:val="00021F33"/>
    <w:rsid w:val="00021FB8"/>
    <w:rsid w:val="00022493"/>
    <w:rsid w:val="0002297D"/>
    <w:rsid w:val="00022E45"/>
    <w:rsid w:val="00022F5E"/>
    <w:rsid w:val="000251A8"/>
    <w:rsid w:val="000253D2"/>
    <w:rsid w:val="00025448"/>
    <w:rsid w:val="0002557B"/>
    <w:rsid w:val="000256A4"/>
    <w:rsid w:val="000258D1"/>
    <w:rsid w:val="00025B69"/>
    <w:rsid w:val="00025E3B"/>
    <w:rsid w:val="00025F3C"/>
    <w:rsid w:val="00026470"/>
    <w:rsid w:val="0002648E"/>
    <w:rsid w:val="000272EA"/>
    <w:rsid w:val="000273FE"/>
    <w:rsid w:val="000274D9"/>
    <w:rsid w:val="000274E3"/>
    <w:rsid w:val="000279F3"/>
    <w:rsid w:val="000305A9"/>
    <w:rsid w:val="000305E4"/>
    <w:rsid w:val="00030D67"/>
    <w:rsid w:val="000313A4"/>
    <w:rsid w:val="00031B31"/>
    <w:rsid w:val="000320AF"/>
    <w:rsid w:val="00032A6B"/>
    <w:rsid w:val="00032B7D"/>
    <w:rsid w:val="0003300C"/>
    <w:rsid w:val="00033487"/>
    <w:rsid w:val="00033506"/>
    <w:rsid w:val="000338B0"/>
    <w:rsid w:val="00033F28"/>
    <w:rsid w:val="0003443D"/>
    <w:rsid w:val="000349A7"/>
    <w:rsid w:val="00034A12"/>
    <w:rsid w:val="00034E42"/>
    <w:rsid w:val="0003587C"/>
    <w:rsid w:val="0003653F"/>
    <w:rsid w:val="00037261"/>
    <w:rsid w:val="00037E12"/>
    <w:rsid w:val="00040310"/>
    <w:rsid w:val="0004067B"/>
    <w:rsid w:val="0004084C"/>
    <w:rsid w:val="00040B0F"/>
    <w:rsid w:val="00040C2D"/>
    <w:rsid w:val="00040DF3"/>
    <w:rsid w:val="00040FFB"/>
    <w:rsid w:val="00041180"/>
    <w:rsid w:val="000413B7"/>
    <w:rsid w:val="0004173D"/>
    <w:rsid w:val="000419A6"/>
    <w:rsid w:val="00041A62"/>
    <w:rsid w:val="00041D1C"/>
    <w:rsid w:val="0004218D"/>
    <w:rsid w:val="000421B3"/>
    <w:rsid w:val="000421EC"/>
    <w:rsid w:val="000422F0"/>
    <w:rsid w:val="00042498"/>
    <w:rsid w:val="0004267B"/>
    <w:rsid w:val="00042A1F"/>
    <w:rsid w:val="00042E3D"/>
    <w:rsid w:val="00042FFA"/>
    <w:rsid w:val="000430D5"/>
    <w:rsid w:val="00043169"/>
    <w:rsid w:val="0004346B"/>
    <w:rsid w:val="000436A7"/>
    <w:rsid w:val="000438A0"/>
    <w:rsid w:val="00043B3F"/>
    <w:rsid w:val="00044AF8"/>
    <w:rsid w:val="00044E9E"/>
    <w:rsid w:val="000450DA"/>
    <w:rsid w:val="00045665"/>
    <w:rsid w:val="00045E5D"/>
    <w:rsid w:val="00045F72"/>
    <w:rsid w:val="00046B40"/>
    <w:rsid w:val="00046C9D"/>
    <w:rsid w:val="0004768C"/>
    <w:rsid w:val="00047F83"/>
    <w:rsid w:val="00050840"/>
    <w:rsid w:val="0005084A"/>
    <w:rsid w:val="0005148F"/>
    <w:rsid w:val="00051E14"/>
    <w:rsid w:val="0005226D"/>
    <w:rsid w:val="00052290"/>
    <w:rsid w:val="00052BAA"/>
    <w:rsid w:val="00052BAF"/>
    <w:rsid w:val="000530B8"/>
    <w:rsid w:val="000542F9"/>
    <w:rsid w:val="0005452A"/>
    <w:rsid w:val="00054933"/>
    <w:rsid w:val="000553D1"/>
    <w:rsid w:val="00055DE8"/>
    <w:rsid w:val="000563A4"/>
    <w:rsid w:val="0005650D"/>
    <w:rsid w:val="00056933"/>
    <w:rsid w:val="00057281"/>
    <w:rsid w:val="00057FB5"/>
    <w:rsid w:val="00060901"/>
    <w:rsid w:val="000609A0"/>
    <w:rsid w:val="000611F0"/>
    <w:rsid w:val="000613E7"/>
    <w:rsid w:val="00061672"/>
    <w:rsid w:val="00061D2A"/>
    <w:rsid w:val="00061EBC"/>
    <w:rsid w:val="000622B2"/>
    <w:rsid w:val="000630DF"/>
    <w:rsid w:val="000633B2"/>
    <w:rsid w:val="0006348D"/>
    <w:rsid w:val="00063788"/>
    <w:rsid w:val="00063BB2"/>
    <w:rsid w:val="00063CC3"/>
    <w:rsid w:val="000640AA"/>
    <w:rsid w:val="00064455"/>
    <w:rsid w:val="00064577"/>
    <w:rsid w:val="0006495E"/>
    <w:rsid w:val="00064B5D"/>
    <w:rsid w:val="00065429"/>
    <w:rsid w:val="00065510"/>
    <w:rsid w:val="000658A4"/>
    <w:rsid w:val="000659E4"/>
    <w:rsid w:val="00065F72"/>
    <w:rsid w:val="00066082"/>
    <w:rsid w:val="00066423"/>
    <w:rsid w:val="000664AA"/>
    <w:rsid w:val="00067665"/>
    <w:rsid w:val="00067800"/>
    <w:rsid w:val="00067DB2"/>
    <w:rsid w:val="00070165"/>
    <w:rsid w:val="00070637"/>
    <w:rsid w:val="00071343"/>
    <w:rsid w:val="0007142B"/>
    <w:rsid w:val="00071B90"/>
    <w:rsid w:val="00071C17"/>
    <w:rsid w:val="00071D5E"/>
    <w:rsid w:val="00072333"/>
    <w:rsid w:val="0007268E"/>
    <w:rsid w:val="0007273A"/>
    <w:rsid w:val="0007290C"/>
    <w:rsid w:val="00072912"/>
    <w:rsid w:val="00072AEC"/>
    <w:rsid w:val="00073731"/>
    <w:rsid w:val="00073BF5"/>
    <w:rsid w:val="00073D63"/>
    <w:rsid w:val="0007439D"/>
    <w:rsid w:val="00074548"/>
    <w:rsid w:val="000747DA"/>
    <w:rsid w:val="000748CD"/>
    <w:rsid w:val="00074B25"/>
    <w:rsid w:val="00075091"/>
    <w:rsid w:val="0007526C"/>
    <w:rsid w:val="000753B5"/>
    <w:rsid w:val="000756AB"/>
    <w:rsid w:val="00075D47"/>
    <w:rsid w:val="00075EF7"/>
    <w:rsid w:val="00076444"/>
    <w:rsid w:val="0007646A"/>
    <w:rsid w:val="0007675A"/>
    <w:rsid w:val="00076CE8"/>
    <w:rsid w:val="000771D0"/>
    <w:rsid w:val="00077249"/>
    <w:rsid w:val="00077841"/>
    <w:rsid w:val="000779EE"/>
    <w:rsid w:val="00077A59"/>
    <w:rsid w:val="00077BF9"/>
    <w:rsid w:val="00077CC1"/>
    <w:rsid w:val="00080307"/>
    <w:rsid w:val="000809A0"/>
    <w:rsid w:val="000809CE"/>
    <w:rsid w:val="00081714"/>
    <w:rsid w:val="00081BB1"/>
    <w:rsid w:val="00082359"/>
    <w:rsid w:val="00082517"/>
    <w:rsid w:val="000825C6"/>
    <w:rsid w:val="000825F3"/>
    <w:rsid w:val="0008261F"/>
    <w:rsid w:val="0008271D"/>
    <w:rsid w:val="0008271F"/>
    <w:rsid w:val="00082CB4"/>
    <w:rsid w:val="000839DC"/>
    <w:rsid w:val="000842E8"/>
    <w:rsid w:val="000846D4"/>
    <w:rsid w:val="00084971"/>
    <w:rsid w:val="0008499E"/>
    <w:rsid w:val="00084B40"/>
    <w:rsid w:val="00085163"/>
    <w:rsid w:val="00085C13"/>
    <w:rsid w:val="00086438"/>
    <w:rsid w:val="000865B4"/>
    <w:rsid w:val="0008694A"/>
    <w:rsid w:val="00086CEB"/>
    <w:rsid w:val="000873F4"/>
    <w:rsid w:val="000879D9"/>
    <w:rsid w:val="00087A6D"/>
    <w:rsid w:val="00087B59"/>
    <w:rsid w:val="00087FE4"/>
    <w:rsid w:val="00090007"/>
    <w:rsid w:val="00090067"/>
    <w:rsid w:val="000900F7"/>
    <w:rsid w:val="000902BA"/>
    <w:rsid w:val="0009073F"/>
    <w:rsid w:val="00090ABB"/>
    <w:rsid w:val="00090FDF"/>
    <w:rsid w:val="00091180"/>
    <w:rsid w:val="00091226"/>
    <w:rsid w:val="00091299"/>
    <w:rsid w:val="000914EA"/>
    <w:rsid w:val="000918E6"/>
    <w:rsid w:val="00091978"/>
    <w:rsid w:val="00091EF4"/>
    <w:rsid w:val="000921EE"/>
    <w:rsid w:val="00092605"/>
    <w:rsid w:val="00092616"/>
    <w:rsid w:val="00093321"/>
    <w:rsid w:val="000936DE"/>
    <w:rsid w:val="00093AD7"/>
    <w:rsid w:val="00093CB8"/>
    <w:rsid w:val="00094050"/>
    <w:rsid w:val="0009464C"/>
    <w:rsid w:val="00094C7C"/>
    <w:rsid w:val="000955DB"/>
    <w:rsid w:val="000958CD"/>
    <w:rsid w:val="0009590D"/>
    <w:rsid w:val="00095B23"/>
    <w:rsid w:val="00095C42"/>
    <w:rsid w:val="00095DBB"/>
    <w:rsid w:val="00096AFF"/>
    <w:rsid w:val="00096E5E"/>
    <w:rsid w:val="00096E66"/>
    <w:rsid w:val="00096E7B"/>
    <w:rsid w:val="00096F74"/>
    <w:rsid w:val="00097142"/>
    <w:rsid w:val="000971C5"/>
    <w:rsid w:val="0009793C"/>
    <w:rsid w:val="000A07B9"/>
    <w:rsid w:val="000A0C07"/>
    <w:rsid w:val="000A10FB"/>
    <w:rsid w:val="000A1A45"/>
    <w:rsid w:val="000A1B2E"/>
    <w:rsid w:val="000A1BC7"/>
    <w:rsid w:val="000A1DC2"/>
    <w:rsid w:val="000A1E67"/>
    <w:rsid w:val="000A1FA1"/>
    <w:rsid w:val="000A1FB8"/>
    <w:rsid w:val="000A39C1"/>
    <w:rsid w:val="000A3C44"/>
    <w:rsid w:val="000A3F5E"/>
    <w:rsid w:val="000A459D"/>
    <w:rsid w:val="000A4A34"/>
    <w:rsid w:val="000A50CD"/>
    <w:rsid w:val="000A53DA"/>
    <w:rsid w:val="000A561B"/>
    <w:rsid w:val="000A5767"/>
    <w:rsid w:val="000A615B"/>
    <w:rsid w:val="000A6908"/>
    <w:rsid w:val="000A6A24"/>
    <w:rsid w:val="000A6D64"/>
    <w:rsid w:val="000A6FDA"/>
    <w:rsid w:val="000A75E3"/>
    <w:rsid w:val="000A7903"/>
    <w:rsid w:val="000A7950"/>
    <w:rsid w:val="000A79B6"/>
    <w:rsid w:val="000A7BB1"/>
    <w:rsid w:val="000A7CF0"/>
    <w:rsid w:val="000B00FE"/>
    <w:rsid w:val="000B01E8"/>
    <w:rsid w:val="000B119E"/>
    <w:rsid w:val="000B1A65"/>
    <w:rsid w:val="000B1C18"/>
    <w:rsid w:val="000B2B6A"/>
    <w:rsid w:val="000B3412"/>
    <w:rsid w:val="000B3741"/>
    <w:rsid w:val="000B3A83"/>
    <w:rsid w:val="000B3AE7"/>
    <w:rsid w:val="000B3CD6"/>
    <w:rsid w:val="000B3D96"/>
    <w:rsid w:val="000B41D3"/>
    <w:rsid w:val="000B44F9"/>
    <w:rsid w:val="000B45F2"/>
    <w:rsid w:val="000B4666"/>
    <w:rsid w:val="000B493F"/>
    <w:rsid w:val="000B4A5F"/>
    <w:rsid w:val="000B4A65"/>
    <w:rsid w:val="000B4DF1"/>
    <w:rsid w:val="000B4F29"/>
    <w:rsid w:val="000B50AB"/>
    <w:rsid w:val="000B53CA"/>
    <w:rsid w:val="000B5616"/>
    <w:rsid w:val="000B5899"/>
    <w:rsid w:val="000B5915"/>
    <w:rsid w:val="000B5E7D"/>
    <w:rsid w:val="000B6177"/>
    <w:rsid w:val="000B621C"/>
    <w:rsid w:val="000B6340"/>
    <w:rsid w:val="000B734D"/>
    <w:rsid w:val="000B7564"/>
    <w:rsid w:val="000B7873"/>
    <w:rsid w:val="000C0183"/>
    <w:rsid w:val="000C034D"/>
    <w:rsid w:val="000C0514"/>
    <w:rsid w:val="000C0A90"/>
    <w:rsid w:val="000C0D46"/>
    <w:rsid w:val="000C1550"/>
    <w:rsid w:val="000C16B5"/>
    <w:rsid w:val="000C1F8E"/>
    <w:rsid w:val="000C20E3"/>
    <w:rsid w:val="000C2298"/>
    <w:rsid w:val="000C2405"/>
    <w:rsid w:val="000C2C1A"/>
    <w:rsid w:val="000C2F86"/>
    <w:rsid w:val="000C3475"/>
    <w:rsid w:val="000C3617"/>
    <w:rsid w:val="000C3A99"/>
    <w:rsid w:val="000C3CF3"/>
    <w:rsid w:val="000C3F13"/>
    <w:rsid w:val="000C45E0"/>
    <w:rsid w:val="000C4613"/>
    <w:rsid w:val="000C4869"/>
    <w:rsid w:val="000C4A4B"/>
    <w:rsid w:val="000C4EDC"/>
    <w:rsid w:val="000C5410"/>
    <w:rsid w:val="000C571B"/>
    <w:rsid w:val="000C5D65"/>
    <w:rsid w:val="000C5D9D"/>
    <w:rsid w:val="000C61B0"/>
    <w:rsid w:val="000C62E2"/>
    <w:rsid w:val="000C6A38"/>
    <w:rsid w:val="000C6D0E"/>
    <w:rsid w:val="000C6D85"/>
    <w:rsid w:val="000C7404"/>
    <w:rsid w:val="000D0A11"/>
    <w:rsid w:val="000D0ED8"/>
    <w:rsid w:val="000D0F90"/>
    <w:rsid w:val="000D10CA"/>
    <w:rsid w:val="000D16AB"/>
    <w:rsid w:val="000D226F"/>
    <w:rsid w:val="000D279B"/>
    <w:rsid w:val="000D2E79"/>
    <w:rsid w:val="000D2F32"/>
    <w:rsid w:val="000D3248"/>
    <w:rsid w:val="000D462D"/>
    <w:rsid w:val="000D48C8"/>
    <w:rsid w:val="000D4C4A"/>
    <w:rsid w:val="000D51DA"/>
    <w:rsid w:val="000D5A02"/>
    <w:rsid w:val="000D5D91"/>
    <w:rsid w:val="000D612C"/>
    <w:rsid w:val="000D6371"/>
    <w:rsid w:val="000D63CF"/>
    <w:rsid w:val="000D68DA"/>
    <w:rsid w:val="000D6D3B"/>
    <w:rsid w:val="000D6D44"/>
    <w:rsid w:val="000D6E63"/>
    <w:rsid w:val="000D6E86"/>
    <w:rsid w:val="000D7187"/>
    <w:rsid w:val="000D782E"/>
    <w:rsid w:val="000E0452"/>
    <w:rsid w:val="000E0775"/>
    <w:rsid w:val="000E0D8D"/>
    <w:rsid w:val="000E0F20"/>
    <w:rsid w:val="000E1422"/>
    <w:rsid w:val="000E1CD9"/>
    <w:rsid w:val="000E1CE3"/>
    <w:rsid w:val="000E203B"/>
    <w:rsid w:val="000E213D"/>
    <w:rsid w:val="000E27DD"/>
    <w:rsid w:val="000E29BA"/>
    <w:rsid w:val="000E335D"/>
    <w:rsid w:val="000E3382"/>
    <w:rsid w:val="000E4017"/>
    <w:rsid w:val="000E482A"/>
    <w:rsid w:val="000E4D57"/>
    <w:rsid w:val="000E545A"/>
    <w:rsid w:val="000E5868"/>
    <w:rsid w:val="000E5B62"/>
    <w:rsid w:val="000E5D0D"/>
    <w:rsid w:val="000E60A7"/>
    <w:rsid w:val="000E63DA"/>
    <w:rsid w:val="000E662D"/>
    <w:rsid w:val="000E72B7"/>
    <w:rsid w:val="000E75F1"/>
    <w:rsid w:val="000E7B0A"/>
    <w:rsid w:val="000E7D86"/>
    <w:rsid w:val="000E7E21"/>
    <w:rsid w:val="000F030A"/>
    <w:rsid w:val="000F050B"/>
    <w:rsid w:val="000F0A90"/>
    <w:rsid w:val="000F0AB3"/>
    <w:rsid w:val="000F150A"/>
    <w:rsid w:val="000F1761"/>
    <w:rsid w:val="000F180B"/>
    <w:rsid w:val="000F226E"/>
    <w:rsid w:val="000F24D0"/>
    <w:rsid w:val="000F2BE0"/>
    <w:rsid w:val="000F303D"/>
    <w:rsid w:val="000F3053"/>
    <w:rsid w:val="000F30F5"/>
    <w:rsid w:val="000F3365"/>
    <w:rsid w:val="000F350B"/>
    <w:rsid w:val="000F3776"/>
    <w:rsid w:val="000F3921"/>
    <w:rsid w:val="000F3AB7"/>
    <w:rsid w:val="000F3BCD"/>
    <w:rsid w:val="000F3D67"/>
    <w:rsid w:val="000F42A3"/>
    <w:rsid w:val="000F43DB"/>
    <w:rsid w:val="000F47D9"/>
    <w:rsid w:val="000F48EF"/>
    <w:rsid w:val="000F5382"/>
    <w:rsid w:val="000F57B2"/>
    <w:rsid w:val="000F5E28"/>
    <w:rsid w:val="000F5F31"/>
    <w:rsid w:val="000F5F6F"/>
    <w:rsid w:val="000F6247"/>
    <w:rsid w:val="000F63AE"/>
    <w:rsid w:val="000F6950"/>
    <w:rsid w:val="000F6BA0"/>
    <w:rsid w:val="000F6C46"/>
    <w:rsid w:val="000F6DD8"/>
    <w:rsid w:val="000F6DEE"/>
    <w:rsid w:val="000F6EF1"/>
    <w:rsid w:val="000F6FE9"/>
    <w:rsid w:val="000F720E"/>
    <w:rsid w:val="000F73DD"/>
    <w:rsid w:val="000F7865"/>
    <w:rsid w:val="0010087A"/>
    <w:rsid w:val="00100F3D"/>
    <w:rsid w:val="00101093"/>
    <w:rsid w:val="00101183"/>
    <w:rsid w:val="00101336"/>
    <w:rsid w:val="001018F8"/>
    <w:rsid w:val="00101B2D"/>
    <w:rsid w:val="00101C00"/>
    <w:rsid w:val="00101C23"/>
    <w:rsid w:val="001020AE"/>
    <w:rsid w:val="001022EE"/>
    <w:rsid w:val="0010285C"/>
    <w:rsid w:val="001029E7"/>
    <w:rsid w:val="00102B8F"/>
    <w:rsid w:val="00102F26"/>
    <w:rsid w:val="00103265"/>
    <w:rsid w:val="00103400"/>
    <w:rsid w:val="0010366D"/>
    <w:rsid w:val="00103786"/>
    <w:rsid w:val="00103D60"/>
    <w:rsid w:val="00103E0F"/>
    <w:rsid w:val="00103F2A"/>
    <w:rsid w:val="00104009"/>
    <w:rsid w:val="001041F5"/>
    <w:rsid w:val="00104850"/>
    <w:rsid w:val="00104983"/>
    <w:rsid w:val="00104A52"/>
    <w:rsid w:val="00104BF5"/>
    <w:rsid w:val="00105053"/>
    <w:rsid w:val="00105908"/>
    <w:rsid w:val="00105AE5"/>
    <w:rsid w:val="0010634B"/>
    <w:rsid w:val="00106D72"/>
    <w:rsid w:val="00106DEC"/>
    <w:rsid w:val="00106EC9"/>
    <w:rsid w:val="00107007"/>
    <w:rsid w:val="001078DE"/>
    <w:rsid w:val="00107B1A"/>
    <w:rsid w:val="00107C9F"/>
    <w:rsid w:val="00107DDE"/>
    <w:rsid w:val="00107E23"/>
    <w:rsid w:val="00107E48"/>
    <w:rsid w:val="00110582"/>
    <w:rsid w:val="001107E1"/>
    <w:rsid w:val="00110ADF"/>
    <w:rsid w:val="00110B44"/>
    <w:rsid w:val="001111DE"/>
    <w:rsid w:val="0011191C"/>
    <w:rsid w:val="00111B37"/>
    <w:rsid w:val="00111E0A"/>
    <w:rsid w:val="00111F12"/>
    <w:rsid w:val="001121FE"/>
    <w:rsid w:val="00112503"/>
    <w:rsid w:val="0011289B"/>
    <w:rsid w:val="00112B14"/>
    <w:rsid w:val="00112DDB"/>
    <w:rsid w:val="00112EDF"/>
    <w:rsid w:val="00112F38"/>
    <w:rsid w:val="00113BCC"/>
    <w:rsid w:val="00113D91"/>
    <w:rsid w:val="001144FD"/>
    <w:rsid w:val="0011495A"/>
    <w:rsid w:val="00114994"/>
    <w:rsid w:val="00114A5C"/>
    <w:rsid w:val="00114B44"/>
    <w:rsid w:val="00115276"/>
    <w:rsid w:val="001154FC"/>
    <w:rsid w:val="0011571D"/>
    <w:rsid w:val="00115B44"/>
    <w:rsid w:val="00115D41"/>
    <w:rsid w:val="00116F6A"/>
    <w:rsid w:val="0011760F"/>
    <w:rsid w:val="00117883"/>
    <w:rsid w:val="001179E2"/>
    <w:rsid w:val="00117B07"/>
    <w:rsid w:val="00117B44"/>
    <w:rsid w:val="00117BF0"/>
    <w:rsid w:val="00117CBB"/>
    <w:rsid w:val="001202C5"/>
    <w:rsid w:val="001202C7"/>
    <w:rsid w:val="0012036E"/>
    <w:rsid w:val="00120873"/>
    <w:rsid w:val="00120995"/>
    <w:rsid w:val="00120A45"/>
    <w:rsid w:val="001212CF"/>
    <w:rsid w:val="001215E3"/>
    <w:rsid w:val="0012173D"/>
    <w:rsid w:val="00121877"/>
    <w:rsid w:val="00121D94"/>
    <w:rsid w:val="00122907"/>
    <w:rsid w:val="00122BDB"/>
    <w:rsid w:val="00122DDB"/>
    <w:rsid w:val="001234E6"/>
    <w:rsid w:val="00123531"/>
    <w:rsid w:val="00123D62"/>
    <w:rsid w:val="001246EC"/>
    <w:rsid w:val="0012472D"/>
    <w:rsid w:val="001247EC"/>
    <w:rsid w:val="00124810"/>
    <w:rsid w:val="00124854"/>
    <w:rsid w:val="00124A59"/>
    <w:rsid w:val="00124B99"/>
    <w:rsid w:val="00125708"/>
    <w:rsid w:val="00125756"/>
    <w:rsid w:val="00125894"/>
    <w:rsid w:val="00125EC7"/>
    <w:rsid w:val="00125F73"/>
    <w:rsid w:val="001260EE"/>
    <w:rsid w:val="0012621F"/>
    <w:rsid w:val="001262B2"/>
    <w:rsid w:val="0012649F"/>
    <w:rsid w:val="001268AB"/>
    <w:rsid w:val="00126A6B"/>
    <w:rsid w:val="00126C82"/>
    <w:rsid w:val="00126C8A"/>
    <w:rsid w:val="00126D0C"/>
    <w:rsid w:val="00126DEB"/>
    <w:rsid w:val="0012723B"/>
    <w:rsid w:val="0012778E"/>
    <w:rsid w:val="00127862"/>
    <w:rsid w:val="00127CE7"/>
    <w:rsid w:val="00127CEC"/>
    <w:rsid w:val="00127CED"/>
    <w:rsid w:val="00127F49"/>
    <w:rsid w:val="00130256"/>
    <w:rsid w:val="00130571"/>
    <w:rsid w:val="00130AD4"/>
    <w:rsid w:val="00131734"/>
    <w:rsid w:val="00131EC2"/>
    <w:rsid w:val="001320ED"/>
    <w:rsid w:val="001323E2"/>
    <w:rsid w:val="00132824"/>
    <w:rsid w:val="00132B9C"/>
    <w:rsid w:val="00132BD5"/>
    <w:rsid w:val="00132D6D"/>
    <w:rsid w:val="001330E7"/>
    <w:rsid w:val="0013319F"/>
    <w:rsid w:val="0013324E"/>
    <w:rsid w:val="0013341D"/>
    <w:rsid w:val="00133449"/>
    <w:rsid w:val="001339D7"/>
    <w:rsid w:val="0013447B"/>
    <w:rsid w:val="001344CE"/>
    <w:rsid w:val="00134533"/>
    <w:rsid w:val="00134827"/>
    <w:rsid w:val="00134B04"/>
    <w:rsid w:val="001350B4"/>
    <w:rsid w:val="0013580A"/>
    <w:rsid w:val="00135A7C"/>
    <w:rsid w:val="00135F16"/>
    <w:rsid w:val="0013626F"/>
    <w:rsid w:val="00136754"/>
    <w:rsid w:val="00136AE4"/>
    <w:rsid w:val="00136B0F"/>
    <w:rsid w:val="001371B5"/>
    <w:rsid w:val="00137E64"/>
    <w:rsid w:val="00137F27"/>
    <w:rsid w:val="001400B9"/>
    <w:rsid w:val="00140256"/>
    <w:rsid w:val="0014040D"/>
    <w:rsid w:val="001406C2"/>
    <w:rsid w:val="001407CD"/>
    <w:rsid w:val="00140EC1"/>
    <w:rsid w:val="001411D1"/>
    <w:rsid w:val="00141629"/>
    <w:rsid w:val="001416FE"/>
    <w:rsid w:val="00141704"/>
    <w:rsid w:val="00141A80"/>
    <w:rsid w:val="00141CD5"/>
    <w:rsid w:val="00142044"/>
    <w:rsid w:val="0014229D"/>
    <w:rsid w:val="00142A44"/>
    <w:rsid w:val="00142AEE"/>
    <w:rsid w:val="00142C47"/>
    <w:rsid w:val="00143168"/>
    <w:rsid w:val="001435A9"/>
    <w:rsid w:val="00143901"/>
    <w:rsid w:val="001439CD"/>
    <w:rsid w:val="00144A9A"/>
    <w:rsid w:val="00144C4D"/>
    <w:rsid w:val="00144D08"/>
    <w:rsid w:val="00144EBF"/>
    <w:rsid w:val="00145235"/>
    <w:rsid w:val="0014578A"/>
    <w:rsid w:val="001457A5"/>
    <w:rsid w:val="00145DFE"/>
    <w:rsid w:val="00146606"/>
    <w:rsid w:val="00146675"/>
    <w:rsid w:val="00146A40"/>
    <w:rsid w:val="00146B2F"/>
    <w:rsid w:val="00146D1E"/>
    <w:rsid w:val="00146D29"/>
    <w:rsid w:val="00146E8B"/>
    <w:rsid w:val="00147447"/>
    <w:rsid w:val="0014785E"/>
    <w:rsid w:val="00147CD0"/>
    <w:rsid w:val="00147D40"/>
    <w:rsid w:val="001501A9"/>
    <w:rsid w:val="001501AA"/>
    <w:rsid w:val="001503AC"/>
    <w:rsid w:val="001504D7"/>
    <w:rsid w:val="001505D0"/>
    <w:rsid w:val="00150C1A"/>
    <w:rsid w:val="00150C8E"/>
    <w:rsid w:val="00150F93"/>
    <w:rsid w:val="00150FAA"/>
    <w:rsid w:val="0015213D"/>
    <w:rsid w:val="001521DD"/>
    <w:rsid w:val="0015290A"/>
    <w:rsid w:val="00152ACF"/>
    <w:rsid w:val="00152C40"/>
    <w:rsid w:val="00153452"/>
    <w:rsid w:val="00153466"/>
    <w:rsid w:val="001534B3"/>
    <w:rsid w:val="0015351D"/>
    <w:rsid w:val="001538A3"/>
    <w:rsid w:val="001538CE"/>
    <w:rsid w:val="00153906"/>
    <w:rsid w:val="0015399B"/>
    <w:rsid w:val="00153C9D"/>
    <w:rsid w:val="00154525"/>
    <w:rsid w:val="00154579"/>
    <w:rsid w:val="001547BC"/>
    <w:rsid w:val="00154E81"/>
    <w:rsid w:val="00155EDE"/>
    <w:rsid w:val="001572F2"/>
    <w:rsid w:val="00157ECD"/>
    <w:rsid w:val="001601B2"/>
    <w:rsid w:val="001605CE"/>
    <w:rsid w:val="0016062A"/>
    <w:rsid w:val="0016076E"/>
    <w:rsid w:val="001607FE"/>
    <w:rsid w:val="0016096A"/>
    <w:rsid w:val="00160FC7"/>
    <w:rsid w:val="0016101A"/>
    <w:rsid w:val="00161082"/>
    <w:rsid w:val="001611D9"/>
    <w:rsid w:val="00161844"/>
    <w:rsid w:val="001619C1"/>
    <w:rsid w:val="00162364"/>
    <w:rsid w:val="00162B24"/>
    <w:rsid w:val="00162BB3"/>
    <w:rsid w:val="00162F61"/>
    <w:rsid w:val="00163668"/>
    <w:rsid w:val="00164255"/>
    <w:rsid w:val="0016456A"/>
    <w:rsid w:val="0016458A"/>
    <w:rsid w:val="00164A48"/>
    <w:rsid w:val="00165514"/>
    <w:rsid w:val="00165890"/>
    <w:rsid w:val="00165A32"/>
    <w:rsid w:val="00165A7D"/>
    <w:rsid w:val="001661B1"/>
    <w:rsid w:val="001661CD"/>
    <w:rsid w:val="00166252"/>
    <w:rsid w:val="00166454"/>
    <w:rsid w:val="00166B51"/>
    <w:rsid w:val="00166B66"/>
    <w:rsid w:val="00166C76"/>
    <w:rsid w:val="00166D20"/>
    <w:rsid w:val="00167143"/>
    <w:rsid w:val="0016748F"/>
    <w:rsid w:val="00170123"/>
    <w:rsid w:val="001703DF"/>
    <w:rsid w:val="0017050E"/>
    <w:rsid w:val="0017054C"/>
    <w:rsid w:val="00170679"/>
    <w:rsid w:val="00170AA0"/>
    <w:rsid w:val="00170D64"/>
    <w:rsid w:val="00170F41"/>
    <w:rsid w:val="00171713"/>
    <w:rsid w:val="00171D7E"/>
    <w:rsid w:val="00171E49"/>
    <w:rsid w:val="001722E4"/>
    <w:rsid w:val="001726FF"/>
    <w:rsid w:val="001728B8"/>
    <w:rsid w:val="00172B20"/>
    <w:rsid w:val="00173408"/>
    <w:rsid w:val="00173BCF"/>
    <w:rsid w:val="00173F94"/>
    <w:rsid w:val="0017472B"/>
    <w:rsid w:val="00174B6B"/>
    <w:rsid w:val="00174DB0"/>
    <w:rsid w:val="00174FAE"/>
    <w:rsid w:val="00174FDD"/>
    <w:rsid w:val="00174FEB"/>
    <w:rsid w:val="00175056"/>
    <w:rsid w:val="00175532"/>
    <w:rsid w:val="00175B68"/>
    <w:rsid w:val="00175C44"/>
    <w:rsid w:val="00175EC8"/>
    <w:rsid w:val="00176107"/>
    <w:rsid w:val="00176628"/>
    <w:rsid w:val="001768E9"/>
    <w:rsid w:val="001769E4"/>
    <w:rsid w:val="00177676"/>
    <w:rsid w:val="0017774A"/>
    <w:rsid w:val="00177B7C"/>
    <w:rsid w:val="00177E1D"/>
    <w:rsid w:val="00181241"/>
    <w:rsid w:val="001814CC"/>
    <w:rsid w:val="001818BC"/>
    <w:rsid w:val="001819BB"/>
    <w:rsid w:val="00181CC9"/>
    <w:rsid w:val="00181DA7"/>
    <w:rsid w:val="00181E98"/>
    <w:rsid w:val="0018253C"/>
    <w:rsid w:val="00183242"/>
    <w:rsid w:val="00183CE1"/>
    <w:rsid w:val="00184284"/>
    <w:rsid w:val="0018437A"/>
    <w:rsid w:val="001843B6"/>
    <w:rsid w:val="001844D4"/>
    <w:rsid w:val="001844F5"/>
    <w:rsid w:val="00184510"/>
    <w:rsid w:val="00184639"/>
    <w:rsid w:val="00184BBA"/>
    <w:rsid w:val="00184CC5"/>
    <w:rsid w:val="00184D26"/>
    <w:rsid w:val="00184E27"/>
    <w:rsid w:val="0018510C"/>
    <w:rsid w:val="00185129"/>
    <w:rsid w:val="001861F2"/>
    <w:rsid w:val="001863C7"/>
    <w:rsid w:val="00186D12"/>
    <w:rsid w:val="00186F65"/>
    <w:rsid w:val="00187776"/>
    <w:rsid w:val="00187873"/>
    <w:rsid w:val="00187B65"/>
    <w:rsid w:val="00187BF7"/>
    <w:rsid w:val="00187D6F"/>
    <w:rsid w:val="001901A2"/>
    <w:rsid w:val="00190469"/>
    <w:rsid w:val="001907CD"/>
    <w:rsid w:val="00190801"/>
    <w:rsid w:val="0019099F"/>
    <w:rsid w:val="00190AF7"/>
    <w:rsid w:val="00190D47"/>
    <w:rsid w:val="0019112D"/>
    <w:rsid w:val="001916CC"/>
    <w:rsid w:val="00191CB1"/>
    <w:rsid w:val="00192924"/>
    <w:rsid w:val="00193135"/>
    <w:rsid w:val="00193459"/>
    <w:rsid w:val="00195191"/>
    <w:rsid w:val="0019520B"/>
    <w:rsid w:val="00195366"/>
    <w:rsid w:val="00195385"/>
    <w:rsid w:val="001953EF"/>
    <w:rsid w:val="0019548A"/>
    <w:rsid w:val="00195E6D"/>
    <w:rsid w:val="00195F45"/>
    <w:rsid w:val="0019682C"/>
    <w:rsid w:val="00196CB3"/>
    <w:rsid w:val="00197558"/>
    <w:rsid w:val="001976B2"/>
    <w:rsid w:val="001977B8"/>
    <w:rsid w:val="00197C02"/>
    <w:rsid w:val="00197F35"/>
    <w:rsid w:val="00197FBD"/>
    <w:rsid w:val="001A01A0"/>
    <w:rsid w:val="001A0729"/>
    <w:rsid w:val="001A0890"/>
    <w:rsid w:val="001A0A9E"/>
    <w:rsid w:val="001A0BDD"/>
    <w:rsid w:val="001A0E3F"/>
    <w:rsid w:val="001A0FF8"/>
    <w:rsid w:val="001A1061"/>
    <w:rsid w:val="001A1297"/>
    <w:rsid w:val="001A132F"/>
    <w:rsid w:val="001A1857"/>
    <w:rsid w:val="001A1908"/>
    <w:rsid w:val="001A1E4C"/>
    <w:rsid w:val="001A2090"/>
    <w:rsid w:val="001A23F1"/>
    <w:rsid w:val="001A259A"/>
    <w:rsid w:val="001A2BBA"/>
    <w:rsid w:val="001A2C68"/>
    <w:rsid w:val="001A3CEE"/>
    <w:rsid w:val="001A406B"/>
    <w:rsid w:val="001A40C7"/>
    <w:rsid w:val="001A429B"/>
    <w:rsid w:val="001A4518"/>
    <w:rsid w:val="001A4D34"/>
    <w:rsid w:val="001A4DFA"/>
    <w:rsid w:val="001A4F7D"/>
    <w:rsid w:val="001A51DE"/>
    <w:rsid w:val="001A561B"/>
    <w:rsid w:val="001A568E"/>
    <w:rsid w:val="001A5DB6"/>
    <w:rsid w:val="001A5FE4"/>
    <w:rsid w:val="001A66CD"/>
    <w:rsid w:val="001A6D48"/>
    <w:rsid w:val="001A6DEC"/>
    <w:rsid w:val="001A6F36"/>
    <w:rsid w:val="001A7005"/>
    <w:rsid w:val="001A76F4"/>
    <w:rsid w:val="001A7791"/>
    <w:rsid w:val="001A7C68"/>
    <w:rsid w:val="001A7F4C"/>
    <w:rsid w:val="001B0243"/>
    <w:rsid w:val="001B07CE"/>
    <w:rsid w:val="001B0B76"/>
    <w:rsid w:val="001B0C0D"/>
    <w:rsid w:val="001B0D6D"/>
    <w:rsid w:val="001B0E55"/>
    <w:rsid w:val="001B1037"/>
    <w:rsid w:val="001B1079"/>
    <w:rsid w:val="001B1681"/>
    <w:rsid w:val="001B16C8"/>
    <w:rsid w:val="001B1771"/>
    <w:rsid w:val="001B1A25"/>
    <w:rsid w:val="001B2145"/>
    <w:rsid w:val="001B24D7"/>
    <w:rsid w:val="001B26D9"/>
    <w:rsid w:val="001B27F3"/>
    <w:rsid w:val="001B2FF7"/>
    <w:rsid w:val="001B3446"/>
    <w:rsid w:val="001B36CD"/>
    <w:rsid w:val="001B38B9"/>
    <w:rsid w:val="001B4628"/>
    <w:rsid w:val="001B5011"/>
    <w:rsid w:val="001B501A"/>
    <w:rsid w:val="001B5821"/>
    <w:rsid w:val="001B655C"/>
    <w:rsid w:val="001B6D67"/>
    <w:rsid w:val="001B78A4"/>
    <w:rsid w:val="001B7A6E"/>
    <w:rsid w:val="001B7E4A"/>
    <w:rsid w:val="001B7F0B"/>
    <w:rsid w:val="001C0025"/>
    <w:rsid w:val="001C0210"/>
    <w:rsid w:val="001C06D6"/>
    <w:rsid w:val="001C0C05"/>
    <w:rsid w:val="001C0D8E"/>
    <w:rsid w:val="001C1C72"/>
    <w:rsid w:val="001C1CA0"/>
    <w:rsid w:val="001C1F7C"/>
    <w:rsid w:val="001C23C8"/>
    <w:rsid w:val="001C26F0"/>
    <w:rsid w:val="001C3050"/>
    <w:rsid w:val="001C30A8"/>
    <w:rsid w:val="001C31E6"/>
    <w:rsid w:val="001C3B2C"/>
    <w:rsid w:val="001C3C06"/>
    <w:rsid w:val="001C3CFB"/>
    <w:rsid w:val="001C3DD0"/>
    <w:rsid w:val="001C3E17"/>
    <w:rsid w:val="001C456C"/>
    <w:rsid w:val="001C45B5"/>
    <w:rsid w:val="001C4613"/>
    <w:rsid w:val="001C4915"/>
    <w:rsid w:val="001C4C8E"/>
    <w:rsid w:val="001C4F1A"/>
    <w:rsid w:val="001C5C59"/>
    <w:rsid w:val="001C5F51"/>
    <w:rsid w:val="001C6773"/>
    <w:rsid w:val="001C6FCF"/>
    <w:rsid w:val="001C7197"/>
    <w:rsid w:val="001C729A"/>
    <w:rsid w:val="001C7A48"/>
    <w:rsid w:val="001C7A75"/>
    <w:rsid w:val="001C7C88"/>
    <w:rsid w:val="001C7D2A"/>
    <w:rsid w:val="001D12B3"/>
    <w:rsid w:val="001D1868"/>
    <w:rsid w:val="001D216E"/>
    <w:rsid w:val="001D2EA8"/>
    <w:rsid w:val="001D2FFD"/>
    <w:rsid w:val="001D31AE"/>
    <w:rsid w:val="001D3494"/>
    <w:rsid w:val="001D38A4"/>
    <w:rsid w:val="001D3C98"/>
    <w:rsid w:val="001D3E70"/>
    <w:rsid w:val="001D3FB6"/>
    <w:rsid w:val="001D42AF"/>
    <w:rsid w:val="001D43E5"/>
    <w:rsid w:val="001D460B"/>
    <w:rsid w:val="001D49B6"/>
    <w:rsid w:val="001D4F00"/>
    <w:rsid w:val="001D5664"/>
    <w:rsid w:val="001D605D"/>
    <w:rsid w:val="001D6483"/>
    <w:rsid w:val="001D6AE9"/>
    <w:rsid w:val="001D6B41"/>
    <w:rsid w:val="001D702E"/>
    <w:rsid w:val="001D7501"/>
    <w:rsid w:val="001D75B1"/>
    <w:rsid w:val="001E048D"/>
    <w:rsid w:val="001E06C8"/>
    <w:rsid w:val="001E095D"/>
    <w:rsid w:val="001E0EB4"/>
    <w:rsid w:val="001E191B"/>
    <w:rsid w:val="001E1A7D"/>
    <w:rsid w:val="001E217B"/>
    <w:rsid w:val="001E21FD"/>
    <w:rsid w:val="001E2451"/>
    <w:rsid w:val="001E2487"/>
    <w:rsid w:val="001E261E"/>
    <w:rsid w:val="001E2A5A"/>
    <w:rsid w:val="001E3082"/>
    <w:rsid w:val="001E4895"/>
    <w:rsid w:val="001E4C25"/>
    <w:rsid w:val="001E5148"/>
    <w:rsid w:val="001E526F"/>
    <w:rsid w:val="001E5800"/>
    <w:rsid w:val="001E5C44"/>
    <w:rsid w:val="001E5C8C"/>
    <w:rsid w:val="001E5D1A"/>
    <w:rsid w:val="001E60EB"/>
    <w:rsid w:val="001E641B"/>
    <w:rsid w:val="001E67EE"/>
    <w:rsid w:val="001E68DF"/>
    <w:rsid w:val="001E6981"/>
    <w:rsid w:val="001E717C"/>
    <w:rsid w:val="001E7260"/>
    <w:rsid w:val="001E7742"/>
    <w:rsid w:val="001E7F85"/>
    <w:rsid w:val="001F0F11"/>
    <w:rsid w:val="001F1112"/>
    <w:rsid w:val="001F1A29"/>
    <w:rsid w:val="001F1C70"/>
    <w:rsid w:val="001F1D88"/>
    <w:rsid w:val="001F2116"/>
    <w:rsid w:val="001F21D0"/>
    <w:rsid w:val="001F2638"/>
    <w:rsid w:val="001F2722"/>
    <w:rsid w:val="001F2794"/>
    <w:rsid w:val="001F2C12"/>
    <w:rsid w:val="001F2D98"/>
    <w:rsid w:val="001F31DD"/>
    <w:rsid w:val="001F33C2"/>
    <w:rsid w:val="001F33E0"/>
    <w:rsid w:val="001F464B"/>
    <w:rsid w:val="001F465F"/>
    <w:rsid w:val="001F49B9"/>
    <w:rsid w:val="001F4B43"/>
    <w:rsid w:val="001F4F7F"/>
    <w:rsid w:val="001F4FDA"/>
    <w:rsid w:val="001F5544"/>
    <w:rsid w:val="001F6441"/>
    <w:rsid w:val="001F6954"/>
    <w:rsid w:val="001F6BFD"/>
    <w:rsid w:val="001F7386"/>
    <w:rsid w:val="001F75BA"/>
    <w:rsid w:val="001F76A8"/>
    <w:rsid w:val="001F776E"/>
    <w:rsid w:val="001F7BD0"/>
    <w:rsid w:val="001F7D03"/>
    <w:rsid w:val="0020093D"/>
    <w:rsid w:val="00200A5B"/>
    <w:rsid w:val="0020155F"/>
    <w:rsid w:val="00201632"/>
    <w:rsid w:val="0020170C"/>
    <w:rsid w:val="0020194B"/>
    <w:rsid w:val="00201D94"/>
    <w:rsid w:val="0020268F"/>
    <w:rsid w:val="002027A3"/>
    <w:rsid w:val="002027C0"/>
    <w:rsid w:val="00202B5B"/>
    <w:rsid w:val="00202CAD"/>
    <w:rsid w:val="00203018"/>
    <w:rsid w:val="00204268"/>
    <w:rsid w:val="0020433B"/>
    <w:rsid w:val="00204354"/>
    <w:rsid w:val="00204690"/>
    <w:rsid w:val="00204A78"/>
    <w:rsid w:val="00204C34"/>
    <w:rsid w:val="00204E63"/>
    <w:rsid w:val="0020511E"/>
    <w:rsid w:val="00205190"/>
    <w:rsid w:val="00205C56"/>
    <w:rsid w:val="00206105"/>
    <w:rsid w:val="00206146"/>
    <w:rsid w:val="00206344"/>
    <w:rsid w:val="002066B5"/>
    <w:rsid w:val="002069C7"/>
    <w:rsid w:val="00206EB3"/>
    <w:rsid w:val="00206F5B"/>
    <w:rsid w:val="00206F95"/>
    <w:rsid w:val="0020718F"/>
    <w:rsid w:val="002075F5"/>
    <w:rsid w:val="002077FA"/>
    <w:rsid w:val="0021032F"/>
    <w:rsid w:val="002103F9"/>
    <w:rsid w:val="00210683"/>
    <w:rsid w:val="002107D5"/>
    <w:rsid w:val="00210C30"/>
    <w:rsid w:val="00210C49"/>
    <w:rsid w:val="00211976"/>
    <w:rsid w:val="00212BDE"/>
    <w:rsid w:val="00212F91"/>
    <w:rsid w:val="002130CF"/>
    <w:rsid w:val="0021346F"/>
    <w:rsid w:val="00213504"/>
    <w:rsid w:val="00213625"/>
    <w:rsid w:val="00214076"/>
    <w:rsid w:val="002140D5"/>
    <w:rsid w:val="0021424F"/>
    <w:rsid w:val="0021455B"/>
    <w:rsid w:val="002145AC"/>
    <w:rsid w:val="00214BF5"/>
    <w:rsid w:val="00215644"/>
    <w:rsid w:val="002158E1"/>
    <w:rsid w:val="0021591C"/>
    <w:rsid w:val="00215C6C"/>
    <w:rsid w:val="00216286"/>
    <w:rsid w:val="0021628F"/>
    <w:rsid w:val="002166CC"/>
    <w:rsid w:val="00216750"/>
    <w:rsid w:val="00216758"/>
    <w:rsid w:val="002176AC"/>
    <w:rsid w:val="002176EA"/>
    <w:rsid w:val="002177B5"/>
    <w:rsid w:val="00220059"/>
    <w:rsid w:val="00220487"/>
    <w:rsid w:val="00220992"/>
    <w:rsid w:val="0022099F"/>
    <w:rsid w:val="00221211"/>
    <w:rsid w:val="00221432"/>
    <w:rsid w:val="00221D17"/>
    <w:rsid w:val="00222274"/>
    <w:rsid w:val="00222792"/>
    <w:rsid w:val="002229A2"/>
    <w:rsid w:val="00222C18"/>
    <w:rsid w:val="00222E01"/>
    <w:rsid w:val="00222E46"/>
    <w:rsid w:val="00222EE5"/>
    <w:rsid w:val="0022327F"/>
    <w:rsid w:val="002233ED"/>
    <w:rsid w:val="00223F45"/>
    <w:rsid w:val="002241C7"/>
    <w:rsid w:val="00224A96"/>
    <w:rsid w:val="00224DF6"/>
    <w:rsid w:val="00224FE7"/>
    <w:rsid w:val="00225191"/>
    <w:rsid w:val="0022551F"/>
    <w:rsid w:val="002257FC"/>
    <w:rsid w:val="00225B5B"/>
    <w:rsid w:val="00226473"/>
    <w:rsid w:val="00227153"/>
    <w:rsid w:val="002271B7"/>
    <w:rsid w:val="002275CF"/>
    <w:rsid w:val="0022788E"/>
    <w:rsid w:val="00227C24"/>
    <w:rsid w:val="00230BB3"/>
    <w:rsid w:val="00230CFB"/>
    <w:rsid w:val="00230E4F"/>
    <w:rsid w:val="002312BB"/>
    <w:rsid w:val="002315C1"/>
    <w:rsid w:val="0023165E"/>
    <w:rsid w:val="00231709"/>
    <w:rsid w:val="00231C09"/>
    <w:rsid w:val="00231D67"/>
    <w:rsid w:val="00232331"/>
    <w:rsid w:val="00232389"/>
    <w:rsid w:val="0023252D"/>
    <w:rsid w:val="002325FE"/>
    <w:rsid w:val="00232608"/>
    <w:rsid w:val="002327C0"/>
    <w:rsid w:val="00232B9B"/>
    <w:rsid w:val="00232BB0"/>
    <w:rsid w:val="00232E32"/>
    <w:rsid w:val="00232EE3"/>
    <w:rsid w:val="00232F4B"/>
    <w:rsid w:val="00232F99"/>
    <w:rsid w:val="002333C6"/>
    <w:rsid w:val="002333C9"/>
    <w:rsid w:val="0023352F"/>
    <w:rsid w:val="00233D32"/>
    <w:rsid w:val="00233F51"/>
    <w:rsid w:val="00234100"/>
    <w:rsid w:val="00234603"/>
    <w:rsid w:val="002347E7"/>
    <w:rsid w:val="00234C24"/>
    <w:rsid w:val="00234D4E"/>
    <w:rsid w:val="00234D6E"/>
    <w:rsid w:val="00235757"/>
    <w:rsid w:val="00235AA1"/>
    <w:rsid w:val="00235FF2"/>
    <w:rsid w:val="002364F8"/>
    <w:rsid w:val="00236CE8"/>
    <w:rsid w:val="0023715B"/>
    <w:rsid w:val="00237207"/>
    <w:rsid w:val="0023743E"/>
    <w:rsid w:val="00237A15"/>
    <w:rsid w:val="00237BE7"/>
    <w:rsid w:val="00237F26"/>
    <w:rsid w:val="00237FD1"/>
    <w:rsid w:val="00240706"/>
    <w:rsid w:val="002407FD"/>
    <w:rsid w:val="0024134F"/>
    <w:rsid w:val="002413C7"/>
    <w:rsid w:val="00241427"/>
    <w:rsid w:val="00241ACE"/>
    <w:rsid w:val="002420E0"/>
    <w:rsid w:val="00242ACA"/>
    <w:rsid w:val="002438B8"/>
    <w:rsid w:val="0024425A"/>
    <w:rsid w:val="002443C3"/>
    <w:rsid w:val="002443F2"/>
    <w:rsid w:val="00244E47"/>
    <w:rsid w:val="002453CE"/>
    <w:rsid w:val="0024544B"/>
    <w:rsid w:val="00246432"/>
    <w:rsid w:val="0024758C"/>
    <w:rsid w:val="00247879"/>
    <w:rsid w:val="00247AD2"/>
    <w:rsid w:val="002503F0"/>
    <w:rsid w:val="00250912"/>
    <w:rsid w:val="00250DE7"/>
    <w:rsid w:val="002510B8"/>
    <w:rsid w:val="0025161F"/>
    <w:rsid w:val="00251AA7"/>
    <w:rsid w:val="00251B9B"/>
    <w:rsid w:val="00252171"/>
    <w:rsid w:val="00252357"/>
    <w:rsid w:val="0025246E"/>
    <w:rsid w:val="00252AD5"/>
    <w:rsid w:val="00252CE5"/>
    <w:rsid w:val="00253340"/>
    <w:rsid w:val="00253369"/>
    <w:rsid w:val="002535C7"/>
    <w:rsid w:val="002535F8"/>
    <w:rsid w:val="002536B2"/>
    <w:rsid w:val="00253A14"/>
    <w:rsid w:val="002546B4"/>
    <w:rsid w:val="00254957"/>
    <w:rsid w:val="00254BAD"/>
    <w:rsid w:val="00255A98"/>
    <w:rsid w:val="0025636D"/>
    <w:rsid w:val="002564F3"/>
    <w:rsid w:val="002568AE"/>
    <w:rsid w:val="00256C00"/>
    <w:rsid w:val="00256D9E"/>
    <w:rsid w:val="00257096"/>
    <w:rsid w:val="0025723D"/>
    <w:rsid w:val="002576E2"/>
    <w:rsid w:val="00260126"/>
    <w:rsid w:val="0026075B"/>
    <w:rsid w:val="00260CA5"/>
    <w:rsid w:val="002614E5"/>
    <w:rsid w:val="00261A4B"/>
    <w:rsid w:val="00261DF9"/>
    <w:rsid w:val="00261FAB"/>
    <w:rsid w:val="00261FB8"/>
    <w:rsid w:val="002621DD"/>
    <w:rsid w:val="00262388"/>
    <w:rsid w:val="002624B7"/>
    <w:rsid w:val="002624D9"/>
    <w:rsid w:val="002624E3"/>
    <w:rsid w:val="00262F39"/>
    <w:rsid w:val="00263084"/>
    <w:rsid w:val="00263307"/>
    <w:rsid w:val="00263A2A"/>
    <w:rsid w:val="00263B5F"/>
    <w:rsid w:val="00264435"/>
    <w:rsid w:val="0026446E"/>
    <w:rsid w:val="00264583"/>
    <w:rsid w:val="002646DA"/>
    <w:rsid w:val="0026488B"/>
    <w:rsid w:val="002649D4"/>
    <w:rsid w:val="00264ED8"/>
    <w:rsid w:val="002656FA"/>
    <w:rsid w:val="00265A1A"/>
    <w:rsid w:val="00265A6B"/>
    <w:rsid w:val="002660D7"/>
    <w:rsid w:val="002669DF"/>
    <w:rsid w:val="002669F5"/>
    <w:rsid w:val="00266D67"/>
    <w:rsid w:val="00266DB9"/>
    <w:rsid w:val="00266DD9"/>
    <w:rsid w:val="00267309"/>
    <w:rsid w:val="0026740B"/>
    <w:rsid w:val="00267900"/>
    <w:rsid w:val="0026797D"/>
    <w:rsid w:val="0027042A"/>
    <w:rsid w:val="00270558"/>
    <w:rsid w:val="002706BD"/>
    <w:rsid w:val="00270C7E"/>
    <w:rsid w:val="00270FFE"/>
    <w:rsid w:val="00271474"/>
    <w:rsid w:val="0027164E"/>
    <w:rsid w:val="002718E1"/>
    <w:rsid w:val="0027191C"/>
    <w:rsid w:val="00271E56"/>
    <w:rsid w:val="00272083"/>
    <w:rsid w:val="0027218D"/>
    <w:rsid w:val="002721DC"/>
    <w:rsid w:val="00272230"/>
    <w:rsid w:val="00272B50"/>
    <w:rsid w:val="00272CE6"/>
    <w:rsid w:val="00272F21"/>
    <w:rsid w:val="00273437"/>
    <w:rsid w:val="002739F9"/>
    <w:rsid w:val="00273F7D"/>
    <w:rsid w:val="00274312"/>
    <w:rsid w:val="00274862"/>
    <w:rsid w:val="00274E08"/>
    <w:rsid w:val="002757ED"/>
    <w:rsid w:val="00275B2E"/>
    <w:rsid w:val="00275D48"/>
    <w:rsid w:val="002760AE"/>
    <w:rsid w:val="00276DEF"/>
    <w:rsid w:val="00276F9B"/>
    <w:rsid w:val="00277080"/>
    <w:rsid w:val="00277279"/>
    <w:rsid w:val="0027739E"/>
    <w:rsid w:val="002778D0"/>
    <w:rsid w:val="00277A27"/>
    <w:rsid w:val="00277E68"/>
    <w:rsid w:val="00277ECB"/>
    <w:rsid w:val="002805DF"/>
    <w:rsid w:val="002807A7"/>
    <w:rsid w:val="00280DE6"/>
    <w:rsid w:val="00280E45"/>
    <w:rsid w:val="00280E4A"/>
    <w:rsid w:val="00280FE5"/>
    <w:rsid w:val="00281098"/>
    <w:rsid w:val="002812BC"/>
    <w:rsid w:val="002818EA"/>
    <w:rsid w:val="00281C62"/>
    <w:rsid w:val="00282287"/>
    <w:rsid w:val="002825B4"/>
    <w:rsid w:val="00282679"/>
    <w:rsid w:val="002827F3"/>
    <w:rsid w:val="00282C93"/>
    <w:rsid w:val="00283181"/>
    <w:rsid w:val="00283507"/>
    <w:rsid w:val="00283538"/>
    <w:rsid w:val="002840FA"/>
    <w:rsid w:val="00284359"/>
    <w:rsid w:val="002843B9"/>
    <w:rsid w:val="002848CE"/>
    <w:rsid w:val="00285255"/>
    <w:rsid w:val="00285302"/>
    <w:rsid w:val="00285B01"/>
    <w:rsid w:val="00285B66"/>
    <w:rsid w:val="002862AE"/>
    <w:rsid w:val="002862FA"/>
    <w:rsid w:val="002869A3"/>
    <w:rsid w:val="00287108"/>
    <w:rsid w:val="002871C8"/>
    <w:rsid w:val="002879AE"/>
    <w:rsid w:val="00287CFB"/>
    <w:rsid w:val="00287EF9"/>
    <w:rsid w:val="00291967"/>
    <w:rsid w:val="00291C06"/>
    <w:rsid w:val="00291EF2"/>
    <w:rsid w:val="00292029"/>
    <w:rsid w:val="00292BED"/>
    <w:rsid w:val="002933ED"/>
    <w:rsid w:val="00293413"/>
    <w:rsid w:val="00293D7D"/>
    <w:rsid w:val="00293F6C"/>
    <w:rsid w:val="00293FFD"/>
    <w:rsid w:val="00294047"/>
    <w:rsid w:val="0029414C"/>
    <w:rsid w:val="002943CC"/>
    <w:rsid w:val="00294A5C"/>
    <w:rsid w:val="002956E0"/>
    <w:rsid w:val="00295FEF"/>
    <w:rsid w:val="0029665F"/>
    <w:rsid w:val="00296707"/>
    <w:rsid w:val="00296991"/>
    <w:rsid w:val="00296BF8"/>
    <w:rsid w:val="00296EEA"/>
    <w:rsid w:val="002971BA"/>
    <w:rsid w:val="0029782E"/>
    <w:rsid w:val="002979FD"/>
    <w:rsid w:val="00297F6F"/>
    <w:rsid w:val="002A033A"/>
    <w:rsid w:val="002A034A"/>
    <w:rsid w:val="002A03E4"/>
    <w:rsid w:val="002A04F3"/>
    <w:rsid w:val="002A0A42"/>
    <w:rsid w:val="002A0ED2"/>
    <w:rsid w:val="002A14A2"/>
    <w:rsid w:val="002A19C7"/>
    <w:rsid w:val="002A1D9A"/>
    <w:rsid w:val="002A28E2"/>
    <w:rsid w:val="002A2993"/>
    <w:rsid w:val="002A331F"/>
    <w:rsid w:val="002A3472"/>
    <w:rsid w:val="002A3FA8"/>
    <w:rsid w:val="002A4060"/>
    <w:rsid w:val="002A4A7B"/>
    <w:rsid w:val="002A4C28"/>
    <w:rsid w:val="002A51D3"/>
    <w:rsid w:val="002A52BD"/>
    <w:rsid w:val="002A5929"/>
    <w:rsid w:val="002A6821"/>
    <w:rsid w:val="002A6A2A"/>
    <w:rsid w:val="002A6AEA"/>
    <w:rsid w:val="002A727C"/>
    <w:rsid w:val="002A751C"/>
    <w:rsid w:val="002A77B2"/>
    <w:rsid w:val="002B0C34"/>
    <w:rsid w:val="002B115E"/>
    <w:rsid w:val="002B140D"/>
    <w:rsid w:val="002B17F3"/>
    <w:rsid w:val="002B1979"/>
    <w:rsid w:val="002B1F0E"/>
    <w:rsid w:val="002B2291"/>
    <w:rsid w:val="002B23B8"/>
    <w:rsid w:val="002B2E85"/>
    <w:rsid w:val="002B3268"/>
    <w:rsid w:val="002B35BD"/>
    <w:rsid w:val="002B3609"/>
    <w:rsid w:val="002B38E8"/>
    <w:rsid w:val="002B3A02"/>
    <w:rsid w:val="002B3A2E"/>
    <w:rsid w:val="002B3BBF"/>
    <w:rsid w:val="002B40A6"/>
    <w:rsid w:val="002B425C"/>
    <w:rsid w:val="002B4A53"/>
    <w:rsid w:val="002B4A64"/>
    <w:rsid w:val="002B4B35"/>
    <w:rsid w:val="002B548A"/>
    <w:rsid w:val="002B5547"/>
    <w:rsid w:val="002B6208"/>
    <w:rsid w:val="002B6B78"/>
    <w:rsid w:val="002B6D6F"/>
    <w:rsid w:val="002B6F10"/>
    <w:rsid w:val="002B7431"/>
    <w:rsid w:val="002B7530"/>
    <w:rsid w:val="002C07D5"/>
    <w:rsid w:val="002C096C"/>
    <w:rsid w:val="002C0C01"/>
    <w:rsid w:val="002C0C4E"/>
    <w:rsid w:val="002C13FB"/>
    <w:rsid w:val="002C1558"/>
    <w:rsid w:val="002C15DD"/>
    <w:rsid w:val="002C17D0"/>
    <w:rsid w:val="002C189A"/>
    <w:rsid w:val="002C1BA1"/>
    <w:rsid w:val="002C2847"/>
    <w:rsid w:val="002C292A"/>
    <w:rsid w:val="002C3125"/>
    <w:rsid w:val="002C3150"/>
    <w:rsid w:val="002C31DB"/>
    <w:rsid w:val="002C371C"/>
    <w:rsid w:val="002C3B5B"/>
    <w:rsid w:val="002C3E1C"/>
    <w:rsid w:val="002C44CE"/>
    <w:rsid w:val="002C4573"/>
    <w:rsid w:val="002C45C1"/>
    <w:rsid w:val="002C49F0"/>
    <w:rsid w:val="002C4D2C"/>
    <w:rsid w:val="002C50E4"/>
    <w:rsid w:val="002C5512"/>
    <w:rsid w:val="002C5553"/>
    <w:rsid w:val="002C5733"/>
    <w:rsid w:val="002C57E3"/>
    <w:rsid w:val="002C5F96"/>
    <w:rsid w:val="002C6088"/>
    <w:rsid w:val="002C6311"/>
    <w:rsid w:val="002C6316"/>
    <w:rsid w:val="002C65C3"/>
    <w:rsid w:val="002C6785"/>
    <w:rsid w:val="002C6FC8"/>
    <w:rsid w:val="002C73E4"/>
    <w:rsid w:val="002C7839"/>
    <w:rsid w:val="002C78BE"/>
    <w:rsid w:val="002D02CE"/>
    <w:rsid w:val="002D03DB"/>
    <w:rsid w:val="002D04E9"/>
    <w:rsid w:val="002D0B82"/>
    <w:rsid w:val="002D0CE3"/>
    <w:rsid w:val="002D12E5"/>
    <w:rsid w:val="002D13E2"/>
    <w:rsid w:val="002D1A55"/>
    <w:rsid w:val="002D1AB6"/>
    <w:rsid w:val="002D2226"/>
    <w:rsid w:val="002D22D9"/>
    <w:rsid w:val="002D26EF"/>
    <w:rsid w:val="002D310F"/>
    <w:rsid w:val="002D31DD"/>
    <w:rsid w:val="002D3C69"/>
    <w:rsid w:val="002D407C"/>
    <w:rsid w:val="002D4109"/>
    <w:rsid w:val="002D43C5"/>
    <w:rsid w:val="002D4DD5"/>
    <w:rsid w:val="002D4F10"/>
    <w:rsid w:val="002D502B"/>
    <w:rsid w:val="002D507E"/>
    <w:rsid w:val="002D5A53"/>
    <w:rsid w:val="002D5BAD"/>
    <w:rsid w:val="002D6531"/>
    <w:rsid w:val="002D6869"/>
    <w:rsid w:val="002D686F"/>
    <w:rsid w:val="002D68DE"/>
    <w:rsid w:val="002D6C15"/>
    <w:rsid w:val="002D7662"/>
    <w:rsid w:val="002E0272"/>
    <w:rsid w:val="002E06D9"/>
    <w:rsid w:val="002E0E87"/>
    <w:rsid w:val="002E0EA2"/>
    <w:rsid w:val="002E10B4"/>
    <w:rsid w:val="002E23EC"/>
    <w:rsid w:val="002E253E"/>
    <w:rsid w:val="002E2594"/>
    <w:rsid w:val="002E321A"/>
    <w:rsid w:val="002E3BBA"/>
    <w:rsid w:val="002E44CE"/>
    <w:rsid w:val="002E4BE6"/>
    <w:rsid w:val="002E55E2"/>
    <w:rsid w:val="002E5711"/>
    <w:rsid w:val="002E5C93"/>
    <w:rsid w:val="002E5F70"/>
    <w:rsid w:val="002E623F"/>
    <w:rsid w:val="002E62BA"/>
    <w:rsid w:val="002E6370"/>
    <w:rsid w:val="002E657F"/>
    <w:rsid w:val="002E682A"/>
    <w:rsid w:val="002E6FB5"/>
    <w:rsid w:val="002E7298"/>
    <w:rsid w:val="002E74FB"/>
    <w:rsid w:val="002E753D"/>
    <w:rsid w:val="002E78F2"/>
    <w:rsid w:val="002E7B88"/>
    <w:rsid w:val="002F001C"/>
    <w:rsid w:val="002F00C3"/>
    <w:rsid w:val="002F02C8"/>
    <w:rsid w:val="002F0998"/>
    <w:rsid w:val="002F0CC3"/>
    <w:rsid w:val="002F0E1B"/>
    <w:rsid w:val="002F116A"/>
    <w:rsid w:val="002F122E"/>
    <w:rsid w:val="002F1BA4"/>
    <w:rsid w:val="002F1C81"/>
    <w:rsid w:val="002F2A8A"/>
    <w:rsid w:val="002F2DDA"/>
    <w:rsid w:val="002F2FE3"/>
    <w:rsid w:val="002F3D26"/>
    <w:rsid w:val="002F468C"/>
    <w:rsid w:val="002F472E"/>
    <w:rsid w:val="002F4798"/>
    <w:rsid w:val="002F4B24"/>
    <w:rsid w:val="002F4FE2"/>
    <w:rsid w:val="002F4FF7"/>
    <w:rsid w:val="002F54A7"/>
    <w:rsid w:val="002F5FE5"/>
    <w:rsid w:val="002F619D"/>
    <w:rsid w:val="002F6633"/>
    <w:rsid w:val="002F6646"/>
    <w:rsid w:val="002F6E5C"/>
    <w:rsid w:val="002F71F6"/>
    <w:rsid w:val="002F72C3"/>
    <w:rsid w:val="002F775A"/>
    <w:rsid w:val="002F7AE4"/>
    <w:rsid w:val="003000E0"/>
    <w:rsid w:val="003002B3"/>
    <w:rsid w:val="0030036C"/>
    <w:rsid w:val="003003DA"/>
    <w:rsid w:val="00300590"/>
    <w:rsid w:val="00300BA2"/>
    <w:rsid w:val="00301146"/>
    <w:rsid w:val="00301AC5"/>
    <w:rsid w:val="00301B2A"/>
    <w:rsid w:val="00301B88"/>
    <w:rsid w:val="00301F05"/>
    <w:rsid w:val="0030269E"/>
    <w:rsid w:val="00302C50"/>
    <w:rsid w:val="0030301E"/>
    <w:rsid w:val="00303166"/>
    <w:rsid w:val="003036D6"/>
    <w:rsid w:val="003039C4"/>
    <w:rsid w:val="00303CC3"/>
    <w:rsid w:val="00303D40"/>
    <w:rsid w:val="00303E5A"/>
    <w:rsid w:val="00303F76"/>
    <w:rsid w:val="0030427E"/>
    <w:rsid w:val="00304600"/>
    <w:rsid w:val="00304684"/>
    <w:rsid w:val="00304900"/>
    <w:rsid w:val="00304F2C"/>
    <w:rsid w:val="00304FA8"/>
    <w:rsid w:val="0030547E"/>
    <w:rsid w:val="0030550B"/>
    <w:rsid w:val="00305891"/>
    <w:rsid w:val="00305CEF"/>
    <w:rsid w:val="0030621D"/>
    <w:rsid w:val="00306C2A"/>
    <w:rsid w:val="00306F5C"/>
    <w:rsid w:val="003070C6"/>
    <w:rsid w:val="003074B6"/>
    <w:rsid w:val="00307780"/>
    <w:rsid w:val="003078E2"/>
    <w:rsid w:val="00307DA0"/>
    <w:rsid w:val="003103EC"/>
    <w:rsid w:val="00310864"/>
    <w:rsid w:val="00310FA6"/>
    <w:rsid w:val="003111A2"/>
    <w:rsid w:val="003117AA"/>
    <w:rsid w:val="00311F14"/>
    <w:rsid w:val="00312EF9"/>
    <w:rsid w:val="003134E4"/>
    <w:rsid w:val="003136C0"/>
    <w:rsid w:val="0031388E"/>
    <w:rsid w:val="00313FDA"/>
    <w:rsid w:val="00314118"/>
    <w:rsid w:val="003143A7"/>
    <w:rsid w:val="003143A9"/>
    <w:rsid w:val="00314508"/>
    <w:rsid w:val="0031477F"/>
    <w:rsid w:val="00314BE5"/>
    <w:rsid w:val="0031503D"/>
    <w:rsid w:val="00315453"/>
    <w:rsid w:val="0031557E"/>
    <w:rsid w:val="003158D2"/>
    <w:rsid w:val="00315B3D"/>
    <w:rsid w:val="00315E1A"/>
    <w:rsid w:val="00315F49"/>
    <w:rsid w:val="003162B9"/>
    <w:rsid w:val="00316B4C"/>
    <w:rsid w:val="00316D2E"/>
    <w:rsid w:val="00316DEC"/>
    <w:rsid w:val="00316E9E"/>
    <w:rsid w:val="00317997"/>
    <w:rsid w:val="00317B85"/>
    <w:rsid w:val="00317DF6"/>
    <w:rsid w:val="00320345"/>
    <w:rsid w:val="003204FA"/>
    <w:rsid w:val="00320FD5"/>
    <w:rsid w:val="00321305"/>
    <w:rsid w:val="003213B1"/>
    <w:rsid w:val="0032245C"/>
    <w:rsid w:val="0032256A"/>
    <w:rsid w:val="003226E1"/>
    <w:rsid w:val="00322797"/>
    <w:rsid w:val="00322935"/>
    <w:rsid w:val="00322ACD"/>
    <w:rsid w:val="003233F0"/>
    <w:rsid w:val="0032352B"/>
    <w:rsid w:val="00323605"/>
    <w:rsid w:val="003236D0"/>
    <w:rsid w:val="003239CB"/>
    <w:rsid w:val="00323AE3"/>
    <w:rsid w:val="00323CFD"/>
    <w:rsid w:val="0032445D"/>
    <w:rsid w:val="00324E32"/>
    <w:rsid w:val="00324F22"/>
    <w:rsid w:val="00325052"/>
    <w:rsid w:val="00325B36"/>
    <w:rsid w:val="00325DC1"/>
    <w:rsid w:val="00325EAA"/>
    <w:rsid w:val="0032620F"/>
    <w:rsid w:val="0032671D"/>
    <w:rsid w:val="00326812"/>
    <w:rsid w:val="003269C8"/>
    <w:rsid w:val="00326B25"/>
    <w:rsid w:val="00327230"/>
    <w:rsid w:val="003273A2"/>
    <w:rsid w:val="00327578"/>
    <w:rsid w:val="00327A5D"/>
    <w:rsid w:val="00327B32"/>
    <w:rsid w:val="00330680"/>
    <w:rsid w:val="0033080C"/>
    <w:rsid w:val="00330E7D"/>
    <w:rsid w:val="00331361"/>
    <w:rsid w:val="003313AE"/>
    <w:rsid w:val="003314E0"/>
    <w:rsid w:val="00331A81"/>
    <w:rsid w:val="00331ABD"/>
    <w:rsid w:val="00331BF0"/>
    <w:rsid w:val="00331F4A"/>
    <w:rsid w:val="00332758"/>
    <w:rsid w:val="00332AF7"/>
    <w:rsid w:val="00333526"/>
    <w:rsid w:val="003336D6"/>
    <w:rsid w:val="00333A69"/>
    <w:rsid w:val="00333BE2"/>
    <w:rsid w:val="00334103"/>
    <w:rsid w:val="00334384"/>
    <w:rsid w:val="00334499"/>
    <w:rsid w:val="00334676"/>
    <w:rsid w:val="00334794"/>
    <w:rsid w:val="00334C28"/>
    <w:rsid w:val="00334E47"/>
    <w:rsid w:val="003350A2"/>
    <w:rsid w:val="00335130"/>
    <w:rsid w:val="00336068"/>
    <w:rsid w:val="003360CE"/>
    <w:rsid w:val="00336209"/>
    <w:rsid w:val="003364C9"/>
    <w:rsid w:val="00336FCA"/>
    <w:rsid w:val="0033721E"/>
    <w:rsid w:val="00337265"/>
    <w:rsid w:val="00337CA2"/>
    <w:rsid w:val="0034022D"/>
    <w:rsid w:val="003403D7"/>
    <w:rsid w:val="0034078D"/>
    <w:rsid w:val="00341430"/>
    <w:rsid w:val="00341B16"/>
    <w:rsid w:val="00341E91"/>
    <w:rsid w:val="003424B0"/>
    <w:rsid w:val="003424B3"/>
    <w:rsid w:val="003426AF"/>
    <w:rsid w:val="003426FE"/>
    <w:rsid w:val="003428F1"/>
    <w:rsid w:val="003434C6"/>
    <w:rsid w:val="0034369E"/>
    <w:rsid w:val="00343A0A"/>
    <w:rsid w:val="003441E0"/>
    <w:rsid w:val="003442D2"/>
    <w:rsid w:val="003444AC"/>
    <w:rsid w:val="00344611"/>
    <w:rsid w:val="0034464E"/>
    <w:rsid w:val="00345383"/>
    <w:rsid w:val="0034540B"/>
    <w:rsid w:val="00345452"/>
    <w:rsid w:val="00345816"/>
    <w:rsid w:val="00345A7C"/>
    <w:rsid w:val="00345D10"/>
    <w:rsid w:val="00345F27"/>
    <w:rsid w:val="003468B1"/>
    <w:rsid w:val="00347548"/>
    <w:rsid w:val="00347554"/>
    <w:rsid w:val="00347E1C"/>
    <w:rsid w:val="00347E89"/>
    <w:rsid w:val="0035025F"/>
    <w:rsid w:val="003502D3"/>
    <w:rsid w:val="0035035A"/>
    <w:rsid w:val="003504D1"/>
    <w:rsid w:val="003508EE"/>
    <w:rsid w:val="00350A1D"/>
    <w:rsid w:val="00350A49"/>
    <w:rsid w:val="00351522"/>
    <w:rsid w:val="00351E54"/>
    <w:rsid w:val="0035200A"/>
    <w:rsid w:val="00352030"/>
    <w:rsid w:val="00352927"/>
    <w:rsid w:val="00352A59"/>
    <w:rsid w:val="00352E30"/>
    <w:rsid w:val="003530B1"/>
    <w:rsid w:val="003531B2"/>
    <w:rsid w:val="003531BE"/>
    <w:rsid w:val="00353397"/>
    <w:rsid w:val="003535DF"/>
    <w:rsid w:val="00353694"/>
    <w:rsid w:val="00353B06"/>
    <w:rsid w:val="00353E13"/>
    <w:rsid w:val="00353EA4"/>
    <w:rsid w:val="0035406C"/>
    <w:rsid w:val="003540C1"/>
    <w:rsid w:val="00354277"/>
    <w:rsid w:val="00354691"/>
    <w:rsid w:val="00354700"/>
    <w:rsid w:val="003550A5"/>
    <w:rsid w:val="00355B2C"/>
    <w:rsid w:val="00355E33"/>
    <w:rsid w:val="00355EED"/>
    <w:rsid w:val="003560DF"/>
    <w:rsid w:val="0035629F"/>
    <w:rsid w:val="00356651"/>
    <w:rsid w:val="0035668C"/>
    <w:rsid w:val="00356A35"/>
    <w:rsid w:val="00356C6C"/>
    <w:rsid w:val="00356D69"/>
    <w:rsid w:val="00356EF6"/>
    <w:rsid w:val="00357018"/>
    <w:rsid w:val="0035707E"/>
    <w:rsid w:val="00357D98"/>
    <w:rsid w:val="00357DB4"/>
    <w:rsid w:val="00357E15"/>
    <w:rsid w:val="003604E2"/>
    <w:rsid w:val="00360BDC"/>
    <w:rsid w:val="003611FF"/>
    <w:rsid w:val="0036157F"/>
    <w:rsid w:val="0036205F"/>
    <w:rsid w:val="0036210F"/>
    <w:rsid w:val="003627F8"/>
    <w:rsid w:val="00362913"/>
    <w:rsid w:val="003629F3"/>
    <w:rsid w:val="00362C74"/>
    <w:rsid w:val="00362E15"/>
    <w:rsid w:val="00362E7D"/>
    <w:rsid w:val="0036305D"/>
    <w:rsid w:val="003630C3"/>
    <w:rsid w:val="0036323E"/>
    <w:rsid w:val="00363D33"/>
    <w:rsid w:val="003645BF"/>
    <w:rsid w:val="0036466D"/>
    <w:rsid w:val="00364844"/>
    <w:rsid w:val="00364A23"/>
    <w:rsid w:val="00364ACE"/>
    <w:rsid w:val="00364BF8"/>
    <w:rsid w:val="00365478"/>
    <w:rsid w:val="00365667"/>
    <w:rsid w:val="00365727"/>
    <w:rsid w:val="003657E0"/>
    <w:rsid w:val="00365C7A"/>
    <w:rsid w:val="00365D46"/>
    <w:rsid w:val="00366034"/>
    <w:rsid w:val="0036654F"/>
    <w:rsid w:val="003667EE"/>
    <w:rsid w:val="00366842"/>
    <w:rsid w:val="00366848"/>
    <w:rsid w:val="0036685B"/>
    <w:rsid w:val="00366C2B"/>
    <w:rsid w:val="003675F5"/>
    <w:rsid w:val="00367878"/>
    <w:rsid w:val="00371335"/>
    <w:rsid w:val="00371617"/>
    <w:rsid w:val="00371C5C"/>
    <w:rsid w:val="00371D82"/>
    <w:rsid w:val="00372966"/>
    <w:rsid w:val="00372B5E"/>
    <w:rsid w:val="00373182"/>
    <w:rsid w:val="0037397F"/>
    <w:rsid w:val="00373A10"/>
    <w:rsid w:val="00373E30"/>
    <w:rsid w:val="00374074"/>
    <w:rsid w:val="0037408F"/>
    <w:rsid w:val="00374591"/>
    <w:rsid w:val="0037476B"/>
    <w:rsid w:val="00374AD4"/>
    <w:rsid w:val="00374D4A"/>
    <w:rsid w:val="0037562A"/>
    <w:rsid w:val="00375DFC"/>
    <w:rsid w:val="0037635D"/>
    <w:rsid w:val="0037651C"/>
    <w:rsid w:val="00376C1D"/>
    <w:rsid w:val="00376E62"/>
    <w:rsid w:val="0037700F"/>
    <w:rsid w:val="00377A8E"/>
    <w:rsid w:val="00377C46"/>
    <w:rsid w:val="00380070"/>
    <w:rsid w:val="00380156"/>
    <w:rsid w:val="0038092C"/>
    <w:rsid w:val="00380945"/>
    <w:rsid w:val="00380D2E"/>
    <w:rsid w:val="00380E7E"/>
    <w:rsid w:val="00381513"/>
    <w:rsid w:val="003815F5"/>
    <w:rsid w:val="00381F5B"/>
    <w:rsid w:val="00382371"/>
    <w:rsid w:val="00382685"/>
    <w:rsid w:val="00382878"/>
    <w:rsid w:val="00382E06"/>
    <w:rsid w:val="00382F61"/>
    <w:rsid w:val="00383004"/>
    <w:rsid w:val="0038336D"/>
    <w:rsid w:val="00383882"/>
    <w:rsid w:val="00383B10"/>
    <w:rsid w:val="003840F5"/>
    <w:rsid w:val="00384AE2"/>
    <w:rsid w:val="00385321"/>
    <w:rsid w:val="00385450"/>
    <w:rsid w:val="0038573E"/>
    <w:rsid w:val="00385B6C"/>
    <w:rsid w:val="00386285"/>
    <w:rsid w:val="00386577"/>
    <w:rsid w:val="003866FC"/>
    <w:rsid w:val="003867BC"/>
    <w:rsid w:val="003878D9"/>
    <w:rsid w:val="00387EE3"/>
    <w:rsid w:val="003902F6"/>
    <w:rsid w:val="0039075B"/>
    <w:rsid w:val="0039079A"/>
    <w:rsid w:val="003910A7"/>
    <w:rsid w:val="003916D5"/>
    <w:rsid w:val="00392208"/>
    <w:rsid w:val="00392F47"/>
    <w:rsid w:val="003931B2"/>
    <w:rsid w:val="0039326C"/>
    <w:rsid w:val="00393F24"/>
    <w:rsid w:val="00394109"/>
    <w:rsid w:val="0039424F"/>
    <w:rsid w:val="0039443A"/>
    <w:rsid w:val="00394AF3"/>
    <w:rsid w:val="00394D6F"/>
    <w:rsid w:val="00394EE8"/>
    <w:rsid w:val="00395233"/>
    <w:rsid w:val="00395585"/>
    <w:rsid w:val="00395A48"/>
    <w:rsid w:val="00395D41"/>
    <w:rsid w:val="00395F0B"/>
    <w:rsid w:val="00395F60"/>
    <w:rsid w:val="003967C9"/>
    <w:rsid w:val="00396EA6"/>
    <w:rsid w:val="00396F5A"/>
    <w:rsid w:val="0039764C"/>
    <w:rsid w:val="003977ED"/>
    <w:rsid w:val="003A007C"/>
    <w:rsid w:val="003A0373"/>
    <w:rsid w:val="003A06C7"/>
    <w:rsid w:val="003A0839"/>
    <w:rsid w:val="003A0CCE"/>
    <w:rsid w:val="003A10BA"/>
    <w:rsid w:val="003A13FA"/>
    <w:rsid w:val="003A1A29"/>
    <w:rsid w:val="003A226D"/>
    <w:rsid w:val="003A2422"/>
    <w:rsid w:val="003A2D5F"/>
    <w:rsid w:val="003A2F23"/>
    <w:rsid w:val="003A3056"/>
    <w:rsid w:val="003A39FA"/>
    <w:rsid w:val="003A3A5A"/>
    <w:rsid w:val="003A3A67"/>
    <w:rsid w:val="003A3B00"/>
    <w:rsid w:val="003A3DBB"/>
    <w:rsid w:val="003A3EE6"/>
    <w:rsid w:val="003A410B"/>
    <w:rsid w:val="003A41DF"/>
    <w:rsid w:val="003A441B"/>
    <w:rsid w:val="003A5066"/>
    <w:rsid w:val="003A507C"/>
    <w:rsid w:val="003A51A9"/>
    <w:rsid w:val="003A56FD"/>
    <w:rsid w:val="003A6301"/>
    <w:rsid w:val="003A668A"/>
    <w:rsid w:val="003A6CA9"/>
    <w:rsid w:val="003A7277"/>
    <w:rsid w:val="003A736E"/>
    <w:rsid w:val="003A75AA"/>
    <w:rsid w:val="003A7D75"/>
    <w:rsid w:val="003B039C"/>
    <w:rsid w:val="003B06D4"/>
    <w:rsid w:val="003B0DEF"/>
    <w:rsid w:val="003B1260"/>
    <w:rsid w:val="003B14A0"/>
    <w:rsid w:val="003B1647"/>
    <w:rsid w:val="003B1974"/>
    <w:rsid w:val="003B19AA"/>
    <w:rsid w:val="003B1C15"/>
    <w:rsid w:val="003B21AF"/>
    <w:rsid w:val="003B21D8"/>
    <w:rsid w:val="003B2F9B"/>
    <w:rsid w:val="003B2FE7"/>
    <w:rsid w:val="003B3373"/>
    <w:rsid w:val="003B337B"/>
    <w:rsid w:val="003B33C2"/>
    <w:rsid w:val="003B37DF"/>
    <w:rsid w:val="003B4693"/>
    <w:rsid w:val="003B4863"/>
    <w:rsid w:val="003B49DB"/>
    <w:rsid w:val="003B4EB2"/>
    <w:rsid w:val="003B5136"/>
    <w:rsid w:val="003B5299"/>
    <w:rsid w:val="003B5388"/>
    <w:rsid w:val="003B57E8"/>
    <w:rsid w:val="003B5BD2"/>
    <w:rsid w:val="003B614A"/>
    <w:rsid w:val="003B6507"/>
    <w:rsid w:val="003B654E"/>
    <w:rsid w:val="003B68B3"/>
    <w:rsid w:val="003B69A3"/>
    <w:rsid w:val="003B6A1F"/>
    <w:rsid w:val="003B7329"/>
    <w:rsid w:val="003B7838"/>
    <w:rsid w:val="003B7CFD"/>
    <w:rsid w:val="003C0581"/>
    <w:rsid w:val="003C0677"/>
    <w:rsid w:val="003C13CA"/>
    <w:rsid w:val="003C150B"/>
    <w:rsid w:val="003C1984"/>
    <w:rsid w:val="003C1C3B"/>
    <w:rsid w:val="003C1EE2"/>
    <w:rsid w:val="003C2144"/>
    <w:rsid w:val="003C22C4"/>
    <w:rsid w:val="003C2CFD"/>
    <w:rsid w:val="003C3002"/>
    <w:rsid w:val="003C32DB"/>
    <w:rsid w:val="003C361D"/>
    <w:rsid w:val="003C4869"/>
    <w:rsid w:val="003C4DE0"/>
    <w:rsid w:val="003C4F1E"/>
    <w:rsid w:val="003C50AE"/>
    <w:rsid w:val="003C5D71"/>
    <w:rsid w:val="003C5E71"/>
    <w:rsid w:val="003C603A"/>
    <w:rsid w:val="003C63E2"/>
    <w:rsid w:val="003C63E6"/>
    <w:rsid w:val="003C66E2"/>
    <w:rsid w:val="003C6769"/>
    <w:rsid w:val="003C6818"/>
    <w:rsid w:val="003C7369"/>
    <w:rsid w:val="003C73C9"/>
    <w:rsid w:val="003C75FD"/>
    <w:rsid w:val="003C7BC3"/>
    <w:rsid w:val="003C7D73"/>
    <w:rsid w:val="003D02E1"/>
    <w:rsid w:val="003D09E9"/>
    <w:rsid w:val="003D1014"/>
    <w:rsid w:val="003D1939"/>
    <w:rsid w:val="003D1AAC"/>
    <w:rsid w:val="003D1E55"/>
    <w:rsid w:val="003D1E9D"/>
    <w:rsid w:val="003D2191"/>
    <w:rsid w:val="003D2429"/>
    <w:rsid w:val="003D2601"/>
    <w:rsid w:val="003D2901"/>
    <w:rsid w:val="003D3207"/>
    <w:rsid w:val="003D35C3"/>
    <w:rsid w:val="003D38B7"/>
    <w:rsid w:val="003D3DC9"/>
    <w:rsid w:val="003D40F9"/>
    <w:rsid w:val="003D4240"/>
    <w:rsid w:val="003D439C"/>
    <w:rsid w:val="003D49CE"/>
    <w:rsid w:val="003D55BC"/>
    <w:rsid w:val="003D5673"/>
    <w:rsid w:val="003D57D1"/>
    <w:rsid w:val="003D6ED8"/>
    <w:rsid w:val="003D70C0"/>
    <w:rsid w:val="003D70D2"/>
    <w:rsid w:val="003D742F"/>
    <w:rsid w:val="003D773B"/>
    <w:rsid w:val="003D7BA5"/>
    <w:rsid w:val="003E097D"/>
    <w:rsid w:val="003E0D87"/>
    <w:rsid w:val="003E0DE1"/>
    <w:rsid w:val="003E1042"/>
    <w:rsid w:val="003E148B"/>
    <w:rsid w:val="003E1528"/>
    <w:rsid w:val="003E16A0"/>
    <w:rsid w:val="003E17E5"/>
    <w:rsid w:val="003E181C"/>
    <w:rsid w:val="003E18A8"/>
    <w:rsid w:val="003E1E85"/>
    <w:rsid w:val="003E2B13"/>
    <w:rsid w:val="003E2C52"/>
    <w:rsid w:val="003E2C8B"/>
    <w:rsid w:val="003E2D71"/>
    <w:rsid w:val="003E32B1"/>
    <w:rsid w:val="003E37A1"/>
    <w:rsid w:val="003E3B08"/>
    <w:rsid w:val="003E3EB4"/>
    <w:rsid w:val="003E3EDB"/>
    <w:rsid w:val="003E45E5"/>
    <w:rsid w:val="003E49F3"/>
    <w:rsid w:val="003E4C62"/>
    <w:rsid w:val="003E4D67"/>
    <w:rsid w:val="003E4EFA"/>
    <w:rsid w:val="003E5015"/>
    <w:rsid w:val="003E5854"/>
    <w:rsid w:val="003E5874"/>
    <w:rsid w:val="003E59FA"/>
    <w:rsid w:val="003E5C50"/>
    <w:rsid w:val="003E5F8C"/>
    <w:rsid w:val="003E616E"/>
    <w:rsid w:val="003E6510"/>
    <w:rsid w:val="003E691B"/>
    <w:rsid w:val="003E6F24"/>
    <w:rsid w:val="003E7178"/>
    <w:rsid w:val="003E7465"/>
    <w:rsid w:val="003E7656"/>
    <w:rsid w:val="003E7765"/>
    <w:rsid w:val="003E797D"/>
    <w:rsid w:val="003F05A5"/>
    <w:rsid w:val="003F072A"/>
    <w:rsid w:val="003F0BA7"/>
    <w:rsid w:val="003F0EA0"/>
    <w:rsid w:val="003F0F40"/>
    <w:rsid w:val="003F1147"/>
    <w:rsid w:val="003F1364"/>
    <w:rsid w:val="003F1E50"/>
    <w:rsid w:val="003F200D"/>
    <w:rsid w:val="003F2165"/>
    <w:rsid w:val="003F23EF"/>
    <w:rsid w:val="003F2E85"/>
    <w:rsid w:val="003F2EB5"/>
    <w:rsid w:val="003F3677"/>
    <w:rsid w:val="003F370D"/>
    <w:rsid w:val="003F384D"/>
    <w:rsid w:val="003F513C"/>
    <w:rsid w:val="003F51A4"/>
    <w:rsid w:val="003F5276"/>
    <w:rsid w:val="003F55E1"/>
    <w:rsid w:val="003F5612"/>
    <w:rsid w:val="003F5D5C"/>
    <w:rsid w:val="003F5F62"/>
    <w:rsid w:val="003F5FCA"/>
    <w:rsid w:val="003F62DD"/>
    <w:rsid w:val="003F6821"/>
    <w:rsid w:val="003F691E"/>
    <w:rsid w:val="003F69B2"/>
    <w:rsid w:val="003F6D53"/>
    <w:rsid w:val="003F6DCD"/>
    <w:rsid w:val="003F7017"/>
    <w:rsid w:val="003F7242"/>
    <w:rsid w:val="003F72FA"/>
    <w:rsid w:val="003F7466"/>
    <w:rsid w:val="003F74D9"/>
    <w:rsid w:val="003F7EA9"/>
    <w:rsid w:val="003F7F6C"/>
    <w:rsid w:val="004003AE"/>
    <w:rsid w:val="00400944"/>
    <w:rsid w:val="00400CC9"/>
    <w:rsid w:val="00400FA5"/>
    <w:rsid w:val="004010DB"/>
    <w:rsid w:val="00401605"/>
    <w:rsid w:val="004019EA"/>
    <w:rsid w:val="00401B51"/>
    <w:rsid w:val="00401B8D"/>
    <w:rsid w:val="00401E49"/>
    <w:rsid w:val="00401FDB"/>
    <w:rsid w:val="00402150"/>
    <w:rsid w:val="00402476"/>
    <w:rsid w:val="00402D62"/>
    <w:rsid w:val="00402FEC"/>
    <w:rsid w:val="004035F3"/>
    <w:rsid w:val="0040362B"/>
    <w:rsid w:val="0040368A"/>
    <w:rsid w:val="00403776"/>
    <w:rsid w:val="00403BE3"/>
    <w:rsid w:val="004040E9"/>
    <w:rsid w:val="0040456A"/>
    <w:rsid w:val="00404947"/>
    <w:rsid w:val="00404EF1"/>
    <w:rsid w:val="00404EF4"/>
    <w:rsid w:val="00405D21"/>
    <w:rsid w:val="00405E54"/>
    <w:rsid w:val="00405FAE"/>
    <w:rsid w:val="004063D5"/>
    <w:rsid w:val="00407321"/>
    <w:rsid w:val="004079FD"/>
    <w:rsid w:val="00407C88"/>
    <w:rsid w:val="00410CF6"/>
    <w:rsid w:val="00410D5B"/>
    <w:rsid w:val="00411125"/>
    <w:rsid w:val="00411A9B"/>
    <w:rsid w:val="004122AE"/>
    <w:rsid w:val="004124F1"/>
    <w:rsid w:val="004126F4"/>
    <w:rsid w:val="00412961"/>
    <w:rsid w:val="0041334C"/>
    <w:rsid w:val="004142A8"/>
    <w:rsid w:val="00414591"/>
    <w:rsid w:val="00414B1A"/>
    <w:rsid w:val="00414E92"/>
    <w:rsid w:val="00415000"/>
    <w:rsid w:val="00415B07"/>
    <w:rsid w:val="00415B5F"/>
    <w:rsid w:val="00415D61"/>
    <w:rsid w:val="00415E6A"/>
    <w:rsid w:val="004166E8"/>
    <w:rsid w:val="00416846"/>
    <w:rsid w:val="00416E6F"/>
    <w:rsid w:val="0041707A"/>
    <w:rsid w:val="0041707B"/>
    <w:rsid w:val="004172F2"/>
    <w:rsid w:val="00417582"/>
    <w:rsid w:val="00417960"/>
    <w:rsid w:val="0042021D"/>
    <w:rsid w:val="00420A2F"/>
    <w:rsid w:val="00420DA4"/>
    <w:rsid w:val="00420E61"/>
    <w:rsid w:val="0042159A"/>
    <w:rsid w:val="0042175C"/>
    <w:rsid w:val="00421CA5"/>
    <w:rsid w:val="00421F09"/>
    <w:rsid w:val="004222BF"/>
    <w:rsid w:val="0042238B"/>
    <w:rsid w:val="004223E1"/>
    <w:rsid w:val="004226A7"/>
    <w:rsid w:val="00422AAA"/>
    <w:rsid w:val="00422B1D"/>
    <w:rsid w:val="00422E8A"/>
    <w:rsid w:val="0042339A"/>
    <w:rsid w:val="00423721"/>
    <w:rsid w:val="00423794"/>
    <w:rsid w:val="00423E53"/>
    <w:rsid w:val="00423FF5"/>
    <w:rsid w:val="0042417E"/>
    <w:rsid w:val="004243F8"/>
    <w:rsid w:val="004245E0"/>
    <w:rsid w:val="00424B54"/>
    <w:rsid w:val="00424FB4"/>
    <w:rsid w:val="004257D2"/>
    <w:rsid w:val="00425861"/>
    <w:rsid w:val="00425911"/>
    <w:rsid w:val="00425A31"/>
    <w:rsid w:val="00425B63"/>
    <w:rsid w:val="00425FAC"/>
    <w:rsid w:val="004266A3"/>
    <w:rsid w:val="004275BC"/>
    <w:rsid w:val="0042770F"/>
    <w:rsid w:val="00427733"/>
    <w:rsid w:val="004277D1"/>
    <w:rsid w:val="00427846"/>
    <w:rsid w:val="004302DC"/>
    <w:rsid w:val="004304E0"/>
    <w:rsid w:val="00430513"/>
    <w:rsid w:val="004308F9"/>
    <w:rsid w:val="00430ABE"/>
    <w:rsid w:val="00430C37"/>
    <w:rsid w:val="00430E17"/>
    <w:rsid w:val="00431037"/>
    <w:rsid w:val="00431171"/>
    <w:rsid w:val="0043136C"/>
    <w:rsid w:val="004313A0"/>
    <w:rsid w:val="004313AA"/>
    <w:rsid w:val="0043179C"/>
    <w:rsid w:val="004317B6"/>
    <w:rsid w:val="00431A3F"/>
    <w:rsid w:val="00431EBE"/>
    <w:rsid w:val="00431FB5"/>
    <w:rsid w:val="004320E8"/>
    <w:rsid w:val="0043227B"/>
    <w:rsid w:val="00432C64"/>
    <w:rsid w:val="00432CED"/>
    <w:rsid w:val="004330CF"/>
    <w:rsid w:val="00433451"/>
    <w:rsid w:val="00433739"/>
    <w:rsid w:val="004339A2"/>
    <w:rsid w:val="00433DFD"/>
    <w:rsid w:val="00433F58"/>
    <w:rsid w:val="004340AB"/>
    <w:rsid w:val="00434124"/>
    <w:rsid w:val="00434471"/>
    <w:rsid w:val="004349C3"/>
    <w:rsid w:val="004349E1"/>
    <w:rsid w:val="00434DDA"/>
    <w:rsid w:val="004353B5"/>
    <w:rsid w:val="0043561E"/>
    <w:rsid w:val="00435632"/>
    <w:rsid w:val="0043567E"/>
    <w:rsid w:val="004358AA"/>
    <w:rsid w:val="004358F6"/>
    <w:rsid w:val="00436716"/>
    <w:rsid w:val="00436F2E"/>
    <w:rsid w:val="00436FFE"/>
    <w:rsid w:val="004371B7"/>
    <w:rsid w:val="004371CC"/>
    <w:rsid w:val="004376A6"/>
    <w:rsid w:val="00437A0F"/>
    <w:rsid w:val="00437C6E"/>
    <w:rsid w:val="00437C77"/>
    <w:rsid w:val="00440332"/>
    <w:rsid w:val="004409D5"/>
    <w:rsid w:val="00440B6A"/>
    <w:rsid w:val="00440F96"/>
    <w:rsid w:val="0044125A"/>
    <w:rsid w:val="004416EB"/>
    <w:rsid w:val="004417BA"/>
    <w:rsid w:val="00441D62"/>
    <w:rsid w:val="00441D9F"/>
    <w:rsid w:val="00441F00"/>
    <w:rsid w:val="004420DD"/>
    <w:rsid w:val="00442717"/>
    <w:rsid w:val="004429FB"/>
    <w:rsid w:val="00442A4B"/>
    <w:rsid w:val="00442A91"/>
    <w:rsid w:val="00442AEB"/>
    <w:rsid w:val="00442E00"/>
    <w:rsid w:val="00442F62"/>
    <w:rsid w:val="0044307C"/>
    <w:rsid w:val="004433A9"/>
    <w:rsid w:val="00444050"/>
    <w:rsid w:val="004441A1"/>
    <w:rsid w:val="00444485"/>
    <w:rsid w:val="00444905"/>
    <w:rsid w:val="00444DF8"/>
    <w:rsid w:val="00444F23"/>
    <w:rsid w:val="00444F52"/>
    <w:rsid w:val="004450AA"/>
    <w:rsid w:val="00446611"/>
    <w:rsid w:val="00446AC3"/>
    <w:rsid w:val="00446AE3"/>
    <w:rsid w:val="00446D41"/>
    <w:rsid w:val="00446F50"/>
    <w:rsid w:val="004473E5"/>
    <w:rsid w:val="00447527"/>
    <w:rsid w:val="004477A7"/>
    <w:rsid w:val="0044797F"/>
    <w:rsid w:val="00447AD9"/>
    <w:rsid w:val="0045008A"/>
    <w:rsid w:val="00450294"/>
    <w:rsid w:val="0045043B"/>
    <w:rsid w:val="0045139D"/>
    <w:rsid w:val="004516CA"/>
    <w:rsid w:val="00451BC9"/>
    <w:rsid w:val="00452974"/>
    <w:rsid w:val="00452D23"/>
    <w:rsid w:val="0045313A"/>
    <w:rsid w:val="00453811"/>
    <w:rsid w:val="00453F7B"/>
    <w:rsid w:val="0045421D"/>
    <w:rsid w:val="004544BA"/>
    <w:rsid w:val="00454568"/>
    <w:rsid w:val="004546DE"/>
    <w:rsid w:val="00454A1A"/>
    <w:rsid w:val="00454E23"/>
    <w:rsid w:val="00454E2D"/>
    <w:rsid w:val="00454EC4"/>
    <w:rsid w:val="00454EE3"/>
    <w:rsid w:val="00454FAA"/>
    <w:rsid w:val="00455A09"/>
    <w:rsid w:val="004561C2"/>
    <w:rsid w:val="00456225"/>
    <w:rsid w:val="00456816"/>
    <w:rsid w:val="00456913"/>
    <w:rsid w:val="00456A73"/>
    <w:rsid w:val="00456D87"/>
    <w:rsid w:val="0045785F"/>
    <w:rsid w:val="00457974"/>
    <w:rsid w:val="00457F52"/>
    <w:rsid w:val="004602C4"/>
    <w:rsid w:val="004603A2"/>
    <w:rsid w:val="00460616"/>
    <w:rsid w:val="00460E94"/>
    <w:rsid w:val="0046186F"/>
    <w:rsid w:val="00461F92"/>
    <w:rsid w:val="00462277"/>
    <w:rsid w:val="0046291E"/>
    <w:rsid w:val="0046299F"/>
    <w:rsid w:val="0046320A"/>
    <w:rsid w:val="004632DE"/>
    <w:rsid w:val="00463742"/>
    <w:rsid w:val="00463B58"/>
    <w:rsid w:val="004645B6"/>
    <w:rsid w:val="004649E8"/>
    <w:rsid w:val="00464B9B"/>
    <w:rsid w:val="00465574"/>
    <w:rsid w:val="00465595"/>
    <w:rsid w:val="0046599C"/>
    <w:rsid w:val="004659E1"/>
    <w:rsid w:val="004662AA"/>
    <w:rsid w:val="00466465"/>
    <w:rsid w:val="00466576"/>
    <w:rsid w:val="00466C6D"/>
    <w:rsid w:val="00466E0C"/>
    <w:rsid w:val="0046713A"/>
    <w:rsid w:val="00467402"/>
    <w:rsid w:val="00467836"/>
    <w:rsid w:val="00467AD6"/>
    <w:rsid w:val="00467DE2"/>
    <w:rsid w:val="00467FB2"/>
    <w:rsid w:val="00470384"/>
    <w:rsid w:val="004709AD"/>
    <w:rsid w:val="004711E1"/>
    <w:rsid w:val="004719F7"/>
    <w:rsid w:val="00471C9F"/>
    <w:rsid w:val="00472067"/>
    <w:rsid w:val="004722A0"/>
    <w:rsid w:val="004722F4"/>
    <w:rsid w:val="004723D3"/>
    <w:rsid w:val="00472C5F"/>
    <w:rsid w:val="004731B5"/>
    <w:rsid w:val="0047329F"/>
    <w:rsid w:val="00473684"/>
    <w:rsid w:val="00473963"/>
    <w:rsid w:val="00473A14"/>
    <w:rsid w:val="00473D4F"/>
    <w:rsid w:val="004742B5"/>
    <w:rsid w:val="00475CB2"/>
    <w:rsid w:val="004760F0"/>
    <w:rsid w:val="004767A7"/>
    <w:rsid w:val="004769DE"/>
    <w:rsid w:val="00476B68"/>
    <w:rsid w:val="00476BDD"/>
    <w:rsid w:val="00476FE0"/>
    <w:rsid w:val="00477020"/>
    <w:rsid w:val="0047737D"/>
    <w:rsid w:val="004778BF"/>
    <w:rsid w:val="00477A67"/>
    <w:rsid w:val="00477B11"/>
    <w:rsid w:val="00477B5E"/>
    <w:rsid w:val="00477D99"/>
    <w:rsid w:val="00477F01"/>
    <w:rsid w:val="004801F7"/>
    <w:rsid w:val="00480261"/>
    <w:rsid w:val="0048033E"/>
    <w:rsid w:val="0048085F"/>
    <w:rsid w:val="00480956"/>
    <w:rsid w:val="00480D45"/>
    <w:rsid w:val="00480F1F"/>
    <w:rsid w:val="00480FCB"/>
    <w:rsid w:val="004815E5"/>
    <w:rsid w:val="00482112"/>
    <w:rsid w:val="0048287A"/>
    <w:rsid w:val="00482968"/>
    <w:rsid w:val="00482D11"/>
    <w:rsid w:val="00482FAC"/>
    <w:rsid w:val="004832DC"/>
    <w:rsid w:val="00483314"/>
    <w:rsid w:val="00483380"/>
    <w:rsid w:val="0048377F"/>
    <w:rsid w:val="00483914"/>
    <w:rsid w:val="0048391D"/>
    <w:rsid w:val="00483E13"/>
    <w:rsid w:val="00484925"/>
    <w:rsid w:val="00484D7D"/>
    <w:rsid w:val="00484DDC"/>
    <w:rsid w:val="00484EFB"/>
    <w:rsid w:val="00485032"/>
    <w:rsid w:val="00485926"/>
    <w:rsid w:val="00485FFA"/>
    <w:rsid w:val="00486132"/>
    <w:rsid w:val="00486211"/>
    <w:rsid w:val="004862BF"/>
    <w:rsid w:val="0048677F"/>
    <w:rsid w:val="00486A1E"/>
    <w:rsid w:val="00486C96"/>
    <w:rsid w:val="00486CBD"/>
    <w:rsid w:val="00486E0F"/>
    <w:rsid w:val="0048726B"/>
    <w:rsid w:val="004876D4"/>
    <w:rsid w:val="0048774D"/>
    <w:rsid w:val="00487770"/>
    <w:rsid w:val="00487973"/>
    <w:rsid w:val="00487A21"/>
    <w:rsid w:val="00487C55"/>
    <w:rsid w:val="0049026B"/>
    <w:rsid w:val="004908AE"/>
    <w:rsid w:val="00490A17"/>
    <w:rsid w:val="00490D05"/>
    <w:rsid w:val="00490E62"/>
    <w:rsid w:val="00491049"/>
    <w:rsid w:val="004910B5"/>
    <w:rsid w:val="004912D0"/>
    <w:rsid w:val="0049172C"/>
    <w:rsid w:val="004917AD"/>
    <w:rsid w:val="00491E72"/>
    <w:rsid w:val="00492062"/>
    <w:rsid w:val="004921A8"/>
    <w:rsid w:val="004923CF"/>
    <w:rsid w:val="00492448"/>
    <w:rsid w:val="00492474"/>
    <w:rsid w:val="00493289"/>
    <w:rsid w:val="004932D5"/>
    <w:rsid w:val="004935E9"/>
    <w:rsid w:val="00493AFA"/>
    <w:rsid w:val="004947E7"/>
    <w:rsid w:val="004949C6"/>
    <w:rsid w:val="00495005"/>
    <w:rsid w:val="004956B9"/>
    <w:rsid w:val="00495BD6"/>
    <w:rsid w:val="00495CC8"/>
    <w:rsid w:val="0049629F"/>
    <w:rsid w:val="0049658A"/>
    <w:rsid w:val="004965A3"/>
    <w:rsid w:val="0049665E"/>
    <w:rsid w:val="004969D3"/>
    <w:rsid w:val="00496A53"/>
    <w:rsid w:val="00496E9D"/>
    <w:rsid w:val="00497518"/>
    <w:rsid w:val="004A0301"/>
    <w:rsid w:val="004A0359"/>
    <w:rsid w:val="004A09B2"/>
    <w:rsid w:val="004A0D16"/>
    <w:rsid w:val="004A0D2C"/>
    <w:rsid w:val="004A0F1E"/>
    <w:rsid w:val="004A1152"/>
    <w:rsid w:val="004A145F"/>
    <w:rsid w:val="004A1B39"/>
    <w:rsid w:val="004A1D7F"/>
    <w:rsid w:val="004A224F"/>
    <w:rsid w:val="004A2B4E"/>
    <w:rsid w:val="004A2FBC"/>
    <w:rsid w:val="004A3315"/>
    <w:rsid w:val="004A3738"/>
    <w:rsid w:val="004A3D33"/>
    <w:rsid w:val="004A3E65"/>
    <w:rsid w:val="004A4224"/>
    <w:rsid w:val="004A4339"/>
    <w:rsid w:val="004A49A2"/>
    <w:rsid w:val="004A4DBB"/>
    <w:rsid w:val="004A55C3"/>
    <w:rsid w:val="004A59E2"/>
    <w:rsid w:val="004A5AEC"/>
    <w:rsid w:val="004A5E7F"/>
    <w:rsid w:val="004A67A0"/>
    <w:rsid w:val="004A6972"/>
    <w:rsid w:val="004A6E81"/>
    <w:rsid w:val="004A763B"/>
    <w:rsid w:val="004A78E5"/>
    <w:rsid w:val="004A78EB"/>
    <w:rsid w:val="004A7D6A"/>
    <w:rsid w:val="004A7EC8"/>
    <w:rsid w:val="004B00D2"/>
    <w:rsid w:val="004B05E0"/>
    <w:rsid w:val="004B0D88"/>
    <w:rsid w:val="004B0F6A"/>
    <w:rsid w:val="004B15BA"/>
    <w:rsid w:val="004B1C4A"/>
    <w:rsid w:val="004B1E45"/>
    <w:rsid w:val="004B1F54"/>
    <w:rsid w:val="004B2406"/>
    <w:rsid w:val="004B2EAB"/>
    <w:rsid w:val="004B391A"/>
    <w:rsid w:val="004B3A90"/>
    <w:rsid w:val="004B3E27"/>
    <w:rsid w:val="004B3F08"/>
    <w:rsid w:val="004B400F"/>
    <w:rsid w:val="004B448A"/>
    <w:rsid w:val="004B4609"/>
    <w:rsid w:val="004B4DDE"/>
    <w:rsid w:val="004B597A"/>
    <w:rsid w:val="004B59AC"/>
    <w:rsid w:val="004B5C02"/>
    <w:rsid w:val="004B64F9"/>
    <w:rsid w:val="004B69B8"/>
    <w:rsid w:val="004B6B22"/>
    <w:rsid w:val="004B6EAF"/>
    <w:rsid w:val="004B728C"/>
    <w:rsid w:val="004B7B81"/>
    <w:rsid w:val="004C110C"/>
    <w:rsid w:val="004C16CD"/>
    <w:rsid w:val="004C1B61"/>
    <w:rsid w:val="004C1F1C"/>
    <w:rsid w:val="004C2498"/>
    <w:rsid w:val="004C283E"/>
    <w:rsid w:val="004C2A86"/>
    <w:rsid w:val="004C2F56"/>
    <w:rsid w:val="004C334B"/>
    <w:rsid w:val="004C385B"/>
    <w:rsid w:val="004C385E"/>
    <w:rsid w:val="004C3A59"/>
    <w:rsid w:val="004C3DD9"/>
    <w:rsid w:val="004C4691"/>
    <w:rsid w:val="004C476D"/>
    <w:rsid w:val="004C47BA"/>
    <w:rsid w:val="004C4867"/>
    <w:rsid w:val="004C48CB"/>
    <w:rsid w:val="004C5335"/>
    <w:rsid w:val="004C556B"/>
    <w:rsid w:val="004C59CA"/>
    <w:rsid w:val="004C64C9"/>
    <w:rsid w:val="004C660B"/>
    <w:rsid w:val="004C6775"/>
    <w:rsid w:val="004C69CF"/>
    <w:rsid w:val="004C6D63"/>
    <w:rsid w:val="004C6DD7"/>
    <w:rsid w:val="004C6E33"/>
    <w:rsid w:val="004C6E6D"/>
    <w:rsid w:val="004C6ECD"/>
    <w:rsid w:val="004C79AE"/>
    <w:rsid w:val="004C79FB"/>
    <w:rsid w:val="004C7AB9"/>
    <w:rsid w:val="004C7BEE"/>
    <w:rsid w:val="004D0038"/>
    <w:rsid w:val="004D04D7"/>
    <w:rsid w:val="004D085F"/>
    <w:rsid w:val="004D0F25"/>
    <w:rsid w:val="004D10F3"/>
    <w:rsid w:val="004D1B52"/>
    <w:rsid w:val="004D2244"/>
    <w:rsid w:val="004D248C"/>
    <w:rsid w:val="004D2DC7"/>
    <w:rsid w:val="004D3328"/>
    <w:rsid w:val="004D401A"/>
    <w:rsid w:val="004D4328"/>
    <w:rsid w:val="004D488B"/>
    <w:rsid w:val="004D529F"/>
    <w:rsid w:val="004D53B7"/>
    <w:rsid w:val="004D546C"/>
    <w:rsid w:val="004D5D04"/>
    <w:rsid w:val="004D5F27"/>
    <w:rsid w:val="004D6244"/>
    <w:rsid w:val="004D63C5"/>
    <w:rsid w:val="004D63E7"/>
    <w:rsid w:val="004D668C"/>
    <w:rsid w:val="004D66BC"/>
    <w:rsid w:val="004D6D37"/>
    <w:rsid w:val="004D7644"/>
    <w:rsid w:val="004D7BFE"/>
    <w:rsid w:val="004D7EF6"/>
    <w:rsid w:val="004E0026"/>
    <w:rsid w:val="004E016E"/>
    <w:rsid w:val="004E03AE"/>
    <w:rsid w:val="004E05BC"/>
    <w:rsid w:val="004E0892"/>
    <w:rsid w:val="004E2124"/>
    <w:rsid w:val="004E2357"/>
    <w:rsid w:val="004E23A0"/>
    <w:rsid w:val="004E2420"/>
    <w:rsid w:val="004E2CA2"/>
    <w:rsid w:val="004E3674"/>
    <w:rsid w:val="004E3828"/>
    <w:rsid w:val="004E3ADE"/>
    <w:rsid w:val="004E3F9D"/>
    <w:rsid w:val="004E41F5"/>
    <w:rsid w:val="004E4201"/>
    <w:rsid w:val="004E436C"/>
    <w:rsid w:val="004E4500"/>
    <w:rsid w:val="004E450F"/>
    <w:rsid w:val="004E479F"/>
    <w:rsid w:val="004E4BC3"/>
    <w:rsid w:val="004E4F66"/>
    <w:rsid w:val="004E5024"/>
    <w:rsid w:val="004E51FE"/>
    <w:rsid w:val="004E545B"/>
    <w:rsid w:val="004E57BE"/>
    <w:rsid w:val="004E5AFA"/>
    <w:rsid w:val="004E5DFC"/>
    <w:rsid w:val="004E5FAE"/>
    <w:rsid w:val="004E6299"/>
    <w:rsid w:val="004E62CA"/>
    <w:rsid w:val="004E6949"/>
    <w:rsid w:val="004E6C44"/>
    <w:rsid w:val="004E6D03"/>
    <w:rsid w:val="004E6EDB"/>
    <w:rsid w:val="004E6EEB"/>
    <w:rsid w:val="004E77A8"/>
    <w:rsid w:val="004E7935"/>
    <w:rsid w:val="004E7B8B"/>
    <w:rsid w:val="004F0723"/>
    <w:rsid w:val="004F0D59"/>
    <w:rsid w:val="004F12E3"/>
    <w:rsid w:val="004F131F"/>
    <w:rsid w:val="004F1395"/>
    <w:rsid w:val="004F15B9"/>
    <w:rsid w:val="004F1FF4"/>
    <w:rsid w:val="004F2224"/>
    <w:rsid w:val="004F2304"/>
    <w:rsid w:val="004F2862"/>
    <w:rsid w:val="004F2FF9"/>
    <w:rsid w:val="004F30E6"/>
    <w:rsid w:val="004F3891"/>
    <w:rsid w:val="004F3981"/>
    <w:rsid w:val="004F39ED"/>
    <w:rsid w:val="004F4164"/>
    <w:rsid w:val="004F4C90"/>
    <w:rsid w:val="004F4E5B"/>
    <w:rsid w:val="004F4EA9"/>
    <w:rsid w:val="004F5751"/>
    <w:rsid w:val="004F5B5C"/>
    <w:rsid w:val="004F5F0D"/>
    <w:rsid w:val="004F5FF6"/>
    <w:rsid w:val="004F605E"/>
    <w:rsid w:val="004F613D"/>
    <w:rsid w:val="004F643B"/>
    <w:rsid w:val="004F64A1"/>
    <w:rsid w:val="004F6523"/>
    <w:rsid w:val="004F652B"/>
    <w:rsid w:val="004F67E2"/>
    <w:rsid w:val="004F69BA"/>
    <w:rsid w:val="004F6E71"/>
    <w:rsid w:val="004F709A"/>
    <w:rsid w:val="004F74A0"/>
    <w:rsid w:val="004F7734"/>
    <w:rsid w:val="004F7B19"/>
    <w:rsid w:val="00500A53"/>
    <w:rsid w:val="00500DBB"/>
    <w:rsid w:val="00501C27"/>
    <w:rsid w:val="005020AB"/>
    <w:rsid w:val="005020DD"/>
    <w:rsid w:val="0050225D"/>
    <w:rsid w:val="005024DA"/>
    <w:rsid w:val="00502B00"/>
    <w:rsid w:val="00502D63"/>
    <w:rsid w:val="005034C1"/>
    <w:rsid w:val="005036FB"/>
    <w:rsid w:val="00503966"/>
    <w:rsid w:val="0050398B"/>
    <w:rsid w:val="00503B1B"/>
    <w:rsid w:val="005040CD"/>
    <w:rsid w:val="00504771"/>
    <w:rsid w:val="00505861"/>
    <w:rsid w:val="00505878"/>
    <w:rsid w:val="00505906"/>
    <w:rsid w:val="00505A12"/>
    <w:rsid w:val="00505C15"/>
    <w:rsid w:val="00505F2C"/>
    <w:rsid w:val="00505FE9"/>
    <w:rsid w:val="00506282"/>
    <w:rsid w:val="005062D8"/>
    <w:rsid w:val="00506425"/>
    <w:rsid w:val="00506650"/>
    <w:rsid w:val="0050665F"/>
    <w:rsid w:val="00506D79"/>
    <w:rsid w:val="0050724C"/>
    <w:rsid w:val="00507583"/>
    <w:rsid w:val="0050772A"/>
    <w:rsid w:val="0050796C"/>
    <w:rsid w:val="00507F16"/>
    <w:rsid w:val="00507F42"/>
    <w:rsid w:val="005102EC"/>
    <w:rsid w:val="00510CF1"/>
    <w:rsid w:val="00510DB9"/>
    <w:rsid w:val="00511593"/>
    <w:rsid w:val="00511EC0"/>
    <w:rsid w:val="00511F73"/>
    <w:rsid w:val="00511FBD"/>
    <w:rsid w:val="00512B10"/>
    <w:rsid w:val="00512CA3"/>
    <w:rsid w:val="00512E55"/>
    <w:rsid w:val="005130A4"/>
    <w:rsid w:val="00513AC0"/>
    <w:rsid w:val="00513D04"/>
    <w:rsid w:val="005145BD"/>
    <w:rsid w:val="00514883"/>
    <w:rsid w:val="00514A88"/>
    <w:rsid w:val="00514A90"/>
    <w:rsid w:val="00514B66"/>
    <w:rsid w:val="00514CAA"/>
    <w:rsid w:val="00515008"/>
    <w:rsid w:val="00515177"/>
    <w:rsid w:val="00516148"/>
    <w:rsid w:val="005163B4"/>
    <w:rsid w:val="0051663D"/>
    <w:rsid w:val="00516B9F"/>
    <w:rsid w:val="00517FAD"/>
    <w:rsid w:val="00520310"/>
    <w:rsid w:val="0052166D"/>
    <w:rsid w:val="005216C7"/>
    <w:rsid w:val="00521F54"/>
    <w:rsid w:val="0052244D"/>
    <w:rsid w:val="00522875"/>
    <w:rsid w:val="00522941"/>
    <w:rsid w:val="005229E7"/>
    <w:rsid w:val="00522A54"/>
    <w:rsid w:val="00522F5D"/>
    <w:rsid w:val="0052309A"/>
    <w:rsid w:val="0052334F"/>
    <w:rsid w:val="00523396"/>
    <w:rsid w:val="0052348F"/>
    <w:rsid w:val="005239C5"/>
    <w:rsid w:val="00523AF5"/>
    <w:rsid w:val="00523EE9"/>
    <w:rsid w:val="00524560"/>
    <w:rsid w:val="005245DA"/>
    <w:rsid w:val="005249FC"/>
    <w:rsid w:val="00524E93"/>
    <w:rsid w:val="00525201"/>
    <w:rsid w:val="00525378"/>
    <w:rsid w:val="005259FC"/>
    <w:rsid w:val="00525BEC"/>
    <w:rsid w:val="005268C7"/>
    <w:rsid w:val="00526AAE"/>
    <w:rsid w:val="005270E8"/>
    <w:rsid w:val="00527486"/>
    <w:rsid w:val="005275C4"/>
    <w:rsid w:val="00527BF8"/>
    <w:rsid w:val="00527E0C"/>
    <w:rsid w:val="00527EA3"/>
    <w:rsid w:val="005304AF"/>
    <w:rsid w:val="005306CC"/>
    <w:rsid w:val="00530C4D"/>
    <w:rsid w:val="0053138D"/>
    <w:rsid w:val="005316D1"/>
    <w:rsid w:val="00531A2B"/>
    <w:rsid w:val="00531EC2"/>
    <w:rsid w:val="00532158"/>
    <w:rsid w:val="0053228E"/>
    <w:rsid w:val="00532304"/>
    <w:rsid w:val="005326A1"/>
    <w:rsid w:val="005328A5"/>
    <w:rsid w:val="00532B4C"/>
    <w:rsid w:val="005334B3"/>
    <w:rsid w:val="005335E2"/>
    <w:rsid w:val="00533DAC"/>
    <w:rsid w:val="00533F1F"/>
    <w:rsid w:val="005344EB"/>
    <w:rsid w:val="00534528"/>
    <w:rsid w:val="005349FA"/>
    <w:rsid w:val="00534AB2"/>
    <w:rsid w:val="00534B65"/>
    <w:rsid w:val="00535AE7"/>
    <w:rsid w:val="00535E7F"/>
    <w:rsid w:val="00536105"/>
    <w:rsid w:val="0053624B"/>
    <w:rsid w:val="00536700"/>
    <w:rsid w:val="00536786"/>
    <w:rsid w:val="00536959"/>
    <w:rsid w:val="00536B45"/>
    <w:rsid w:val="00536DA9"/>
    <w:rsid w:val="005371B1"/>
    <w:rsid w:val="0053726B"/>
    <w:rsid w:val="0053753B"/>
    <w:rsid w:val="00537E74"/>
    <w:rsid w:val="00537F14"/>
    <w:rsid w:val="00540B59"/>
    <w:rsid w:val="005413D2"/>
    <w:rsid w:val="0054174F"/>
    <w:rsid w:val="00541875"/>
    <w:rsid w:val="00542120"/>
    <w:rsid w:val="00543447"/>
    <w:rsid w:val="00543485"/>
    <w:rsid w:val="0054376B"/>
    <w:rsid w:val="0054383D"/>
    <w:rsid w:val="00544188"/>
    <w:rsid w:val="00544F32"/>
    <w:rsid w:val="00544FA1"/>
    <w:rsid w:val="005451BA"/>
    <w:rsid w:val="00545249"/>
    <w:rsid w:val="005452FA"/>
    <w:rsid w:val="0054534D"/>
    <w:rsid w:val="005453A7"/>
    <w:rsid w:val="005453B6"/>
    <w:rsid w:val="0054644F"/>
    <w:rsid w:val="0054651C"/>
    <w:rsid w:val="00546816"/>
    <w:rsid w:val="00546F11"/>
    <w:rsid w:val="005470CC"/>
    <w:rsid w:val="00547203"/>
    <w:rsid w:val="00547269"/>
    <w:rsid w:val="005477C7"/>
    <w:rsid w:val="005477E3"/>
    <w:rsid w:val="0054790F"/>
    <w:rsid w:val="005504C8"/>
    <w:rsid w:val="00550741"/>
    <w:rsid w:val="00551951"/>
    <w:rsid w:val="00551AB6"/>
    <w:rsid w:val="00552F50"/>
    <w:rsid w:val="005537A0"/>
    <w:rsid w:val="00553BB7"/>
    <w:rsid w:val="00553D4F"/>
    <w:rsid w:val="00553E02"/>
    <w:rsid w:val="00553F94"/>
    <w:rsid w:val="00554819"/>
    <w:rsid w:val="0055514C"/>
    <w:rsid w:val="005552D5"/>
    <w:rsid w:val="005558FA"/>
    <w:rsid w:val="00555C24"/>
    <w:rsid w:val="00555F55"/>
    <w:rsid w:val="00557200"/>
    <w:rsid w:val="00557B64"/>
    <w:rsid w:val="00560205"/>
    <w:rsid w:val="005604AC"/>
    <w:rsid w:val="00560D92"/>
    <w:rsid w:val="00560EF2"/>
    <w:rsid w:val="005612EF"/>
    <w:rsid w:val="005626D6"/>
    <w:rsid w:val="00562B85"/>
    <w:rsid w:val="00562EBA"/>
    <w:rsid w:val="005636ED"/>
    <w:rsid w:val="00563873"/>
    <w:rsid w:val="00565460"/>
    <w:rsid w:val="00565DFB"/>
    <w:rsid w:val="00565E67"/>
    <w:rsid w:val="00566131"/>
    <w:rsid w:val="005666BC"/>
    <w:rsid w:val="0056678A"/>
    <w:rsid w:val="00566821"/>
    <w:rsid w:val="00566E12"/>
    <w:rsid w:val="0056706B"/>
    <w:rsid w:val="00567138"/>
    <w:rsid w:val="005671C2"/>
    <w:rsid w:val="00567DE6"/>
    <w:rsid w:val="00567F47"/>
    <w:rsid w:val="005702F4"/>
    <w:rsid w:val="00570377"/>
    <w:rsid w:val="00570598"/>
    <w:rsid w:val="00570D3E"/>
    <w:rsid w:val="00571121"/>
    <w:rsid w:val="005713A6"/>
    <w:rsid w:val="00571C49"/>
    <w:rsid w:val="0057273A"/>
    <w:rsid w:val="00572C3E"/>
    <w:rsid w:val="00572D85"/>
    <w:rsid w:val="00573558"/>
    <w:rsid w:val="00573B03"/>
    <w:rsid w:val="00573DFE"/>
    <w:rsid w:val="00573E4D"/>
    <w:rsid w:val="0057408D"/>
    <w:rsid w:val="005740AF"/>
    <w:rsid w:val="0057456F"/>
    <w:rsid w:val="0057548B"/>
    <w:rsid w:val="0057556F"/>
    <w:rsid w:val="0057563E"/>
    <w:rsid w:val="0057587B"/>
    <w:rsid w:val="00575C99"/>
    <w:rsid w:val="00576562"/>
    <w:rsid w:val="00576D37"/>
    <w:rsid w:val="0057709C"/>
    <w:rsid w:val="00577146"/>
    <w:rsid w:val="005774CC"/>
    <w:rsid w:val="0058097F"/>
    <w:rsid w:val="005810FD"/>
    <w:rsid w:val="005811DD"/>
    <w:rsid w:val="005812E9"/>
    <w:rsid w:val="00581DC9"/>
    <w:rsid w:val="0058204C"/>
    <w:rsid w:val="005822E5"/>
    <w:rsid w:val="00582413"/>
    <w:rsid w:val="0058258E"/>
    <w:rsid w:val="00582BC6"/>
    <w:rsid w:val="00582CD1"/>
    <w:rsid w:val="00583776"/>
    <w:rsid w:val="00583BB7"/>
    <w:rsid w:val="00583C16"/>
    <w:rsid w:val="00583D1D"/>
    <w:rsid w:val="00584B0F"/>
    <w:rsid w:val="00584B2B"/>
    <w:rsid w:val="00584E40"/>
    <w:rsid w:val="005850D2"/>
    <w:rsid w:val="0058515F"/>
    <w:rsid w:val="005852C2"/>
    <w:rsid w:val="005853E1"/>
    <w:rsid w:val="005858F7"/>
    <w:rsid w:val="00585E64"/>
    <w:rsid w:val="00585F5E"/>
    <w:rsid w:val="00586653"/>
    <w:rsid w:val="005869BF"/>
    <w:rsid w:val="00586AB0"/>
    <w:rsid w:val="00586CFE"/>
    <w:rsid w:val="00586F6A"/>
    <w:rsid w:val="00587070"/>
    <w:rsid w:val="00587C6E"/>
    <w:rsid w:val="005907A1"/>
    <w:rsid w:val="005915E1"/>
    <w:rsid w:val="00591ABF"/>
    <w:rsid w:val="00591FBC"/>
    <w:rsid w:val="00592468"/>
    <w:rsid w:val="0059273E"/>
    <w:rsid w:val="00592CD3"/>
    <w:rsid w:val="00592F65"/>
    <w:rsid w:val="00592FE9"/>
    <w:rsid w:val="0059408A"/>
    <w:rsid w:val="005940B3"/>
    <w:rsid w:val="005942BF"/>
    <w:rsid w:val="005942CF"/>
    <w:rsid w:val="005945A7"/>
    <w:rsid w:val="00594ADC"/>
    <w:rsid w:val="0059559B"/>
    <w:rsid w:val="00595BA0"/>
    <w:rsid w:val="0059714D"/>
    <w:rsid w:val="005971AD"/>
    <w:rsid w:val="005974C8"/>
    <w:rsid w:val="0059784A"/>
    <w:rsid w:val="00597C41"/>
    <w:rsid w:val="00597C44"/>
    <w:rsid w:val="00597D54"/>
    <w:rsid w:val="00597E79"/>
    <w:rsid w:val="005A0193"/>
    <w:rsid w:val="005A0CA3"/>
    <w:rsid w:val="005A0F90"/>
    <w:rsid w:val="005A1790"/>
    <w:rsid w:val="005A1C60"/>
    <w:rsid w:val="005A2339"/>
    <w:rsid w:val="005A254A"/>
    <w:rsid w:val="005A264A"/>
    <w:rsid w:val="005A27AD"/>
    <w:rsid w:val="005A2BCE"/>
    <w:rsid w:val="005A2DEE"/>
    <w:rsid w:val="005A3622"/>
    <w:rsid w:val="005A36A4"/>
    <w:rsid w:val="005A3AE7"/>
    <w:rsid w:val="005A3CED"/>
    <w:rsid w:val="005A3EEE"/>
    <w:rsid w:val="005A43CC"/>
    <w:rsid w:val="005A4A21"/>
    <w:rsid w:val="005A4DA2"/>
    <w:rsid w:val="005A4FAA"/>
    <w:rsid w:val="005A62E5"/>
    <w:rsid w:val="005A6645"/>
    <w:rsid w:val="005A6957"/>
    <w:rsid w:val="005A72E6"/>
    <w:rsid w:val="005A74B0"/>
    <w:rsid w:val="005A75BC"/>
    <w:rsid w:val="005A77CB"/>
    <w:rsid w:val="005B035D"/>
    <w:rsid w:val="005B03AE"/>
    <w:rsid w:val="005B0DF4"/>
    <w:rsid w:val="005B10C9"/>
    <w:rsid w:val="005B11C8"/>
    <w:rsid w:val="005B131F"/>
    <w:rsid w:val="005B1591"/>
    <w:rsid w:val="005B17AD"/>
    <w:rsid w:val="005B17F8"/>
    <w:rsid w:val="005B1A9D"/>
    <w:rsid w:val="005B1ECE"/>
    <w:rsid w:val="005B23D5"/>
    <w:rsid w:val="005B25F4"/>
    <w:rsid w:val="005B2CE0"/>
    <w:rsid w:val="005B3323"/>
    <w:rsid w:val="005B360C"/>
    <w:rsid w:val="005B4847"/>
    <w:rsid w:val="005B4C00"/>
    <w:rsid w:val="005B5992"/>
    <w:rsid w:val="005B5B35"/>
    <w:rsid w:val="005B6090"/>
    <w:rsid w:val="005B611A"/>
    <w:rsid w:val="005B624E"/>
    <w:rsid w:val="005B66BD"/>
    <w:rsid w:val="005B66D4"/>
    <w:rsid w:val="005B6DD8"/>
    <w:rsid w:val="005B7017"/>
    <w:rsid w:val="005B77D6"/>
    <w:rsid w:val="005C0590"/>
    <w:rsid w:val="005C12BB"/>
    <w:rsid w:val="005C19B7"/>
    <w:rsid w:val="005C1EC8"/>
    <w:rsid w:val="005C21FA"/>
    <w:rsid w:val="005C3527"/>
    <w:rsid w:val="005C3BA0"/>
    <w:rsid w:val="005C3C01"/>
    <w:rsid w:val="005C3CC5"/>
    <w:rsid w:val="005C3E1C"/>
    <w:rsid w:val="005C408C"/>
    <w:rsid w:val="005C423B"/>
    <w:rsid w:val="005C4493"/>
    <w:rsid w:val="005C474F"/>
    <w:rsid w:val="005C47F2"/>
    <w:rsid w:val="005C4EE9"/>
    <w:rsid w:val="005C5685"/>
    <w:rsid w:val="005C5CF1"/>
    <w:rsid w:val="005C6104"/>
    <w:rsid w:val="005C62C5"/>
    <w:rsid w:val="005C6339"/>
    <w:rsid w:val="005C6AE9"/>
    <w:rsid w:val="005C6B2B"/>
    <w:rsid w:val="005C6E18"/>
    <w:rsid w:val="005C6EB2"/>
    <w:rsid w:val="005C7118"/>
    <w:rsid w:val="005C7413"/>
    <w:rsid w:val="005C771E"/>
    <w:rsid w:val="005C782E"/>
    <w:rsid w:val="005C7853"/>
    <w:rsid w:val="005D0338"/>
    <w:rsid w:val="005D0818"/>
    <w:rsid w:val="005D0BE5"/>
    <w:rsid w:val="005D126A"/>
    <w:rsid w:val="005D1871"/>
    <w:rsid w:val="005D23E4"/>
    <w:rsid w:val="005D27D2"/>
    <w:rsid w:val="005D27EF"/>
    <w:rsid w:val="005D2B8C"/>
    <w:rsid w:val="005D2BD4"/>
    <w:rsid w:val="005D2F10"/>
    <w:rsid w:val="005D2FC2"/>
    <w:rsid w:val="005D3B71"/>
    <w:rsid w:val="005D3E6B"/>
    <w:rsid w:val="005D42D4"/>
    <w:rsid w:val="005D443D"/>
    <w:rsid w:val="005D45AC"/>
    <w:rsid w:val="005D47D0"/>
    <w:rsid w:val="005D4B29"/>
    <w:rsid w:val="005D50C0"/>
    <w:rsid w:val="005D58FA"/>
    <w:rsid w:val="005D5A15"/>
    <w:rsid w:val="005D5FEC"/>
    <w:rsid w:val="005D60CA"/>
    <w:rsid w:val="005D6D1F"/>
    <w:rsid w:val="005D753B"/>
    <w:rsid w:val="005D7582"/>
    <w:rsid w:val="005D7C4B"/>
    <w:rsid w:val="005D7E35"/>
    <w:rsid w:val="005D7E72"/>
    <w:rsid w:val="005E01D1"/>
    <w:rsid w:val="005E04A3"/>
    <w:rsid w:val="005E063D"/>
    <w:rsid w:val="005E0C5B"/>
    <w:rsid w:val="005E0CAC"/>
    <w:rsid w:val="005E137D"/>
    <w:rsid w:val="005E1A86"/>
    <w:rsid w:val="005E1E1E"/>
    <w:rsid w:val="005E1F76"/>
    <w:rsid w:val="005E27A9"/>
    <w:rsid w:val="005E2814"/>
    <w:rsid w:val="005E28BE"/>
    <w:rsid w:val="005E2F7D"/>
    <w:rsid w:val="005E30F0"/>
    <w:rsid w:val="005E3695"/>
    <w:rsid w:val="005E51AC"/>
    <w:rsid w:val="005E5B1E"/>
    <w:rsid w:val="005E5D78"/>
    <w:rsid w:val="005E5E26"/>
    <w:rsid w:val="005E66C2"/>
    <w:rsid w:val="005E6941"/>
    <w:rsid w:val="005E6D5C"/>
    <w:rsid w:val="005E70D9"/>
    <w:rsid w:val="005E7189"/>
    <w:rsid w:val="005E74C7"/>
    <w:rsid w:val="005E7B52"/>
    <w:rsid w:val="005E7CC7"/>
    <w:rsid w:val="005F049B"/>
    <w:rsid w:val="005F1224"/>
    <w:rsid w:val="005F1268"/>
    <w:rsid w:val="005F1329"/>
    <w:rsid w:val="005F1F1A"/>
    <w:rsid w:val="005F1F62"/>
    <w:rsid w:val="005F255A"/>
    <w:rsid w:val="005F26BD"/>
    <w:rsid w:val="005F2C52"/>
    <w:rsid w:val="005F2D62"/>
    <w:rsid w:val="005F326A"/>
    <w:rsid w:val="005F3624"/>
    <w:rsid w:val="005F37FF"/>
    <w:rsid w:val="005F3CB8"/>
    <w:rsid w:val="005F3EEE"/>
    <w:rsid w:val="005F3FB0"/>
    <w:rsid w:val="005F468E"/>
    <w:rsid w:val="005F469A"/>
    <w:rsid w:val="005F4C1D"/>
    <w:rsid w:val="005F4C9A"/>
    <w:rsid w:val="005F4EA4"/>
    <w:rsid w:val="005F5094"/>
    <w:rsid w:val="005F5217"/>
    <w:rsid w:val="005F521F"/>
    <w:rsid w:val="005F59BB"/>
    <w:rsid w:val="005F5C3A"/>
    <w:rsid w:val="005F6239"/>
    <w:rsid w:val="005F668A"/>
    <w:rsid w:val="005F6A7C"/>
    <w:rsid w:val="005F6D6A"/>
    <w:rsid w:val="005F6DC6"/>
    <w:rsid w:val="005F6F5A"/>
    <w:rsid w:val="005F764C"/>
    <w:rsid w:val="005F788F"/>
    <w:rsid w:val="005F7F33"/>
    <w:rsid w:val="00600726"/>
    <w:rsid w:val="006007FF"/>
    <w:rsid w:val="00600CA3"/>
    <w:rsid w:val="00601177"/>
    <w:rsid w:val="006018F9"/>
    <w:rsid w:val="00601921"/>
    <w:rsid w:val="00601DFA"/>
    <w:rsid w:val="00601F12"/>
    <w:rsid w:val="00601F1F"/>
    <w:rsid w:val="00602419"/>
    <w:rsid w:val="00602A86"/>
    <w:rsid w:val="00602F06"/>
    <w:rsid w:val="00602F6E"/>
    <w:rsid w:val="006030E3"/>
    <w:rsid w:val="006031A9"/>
    <w:rsid w:val="006034FE"/>
    <w:rsid w:val="00603A95"/>
    <w:rsid w:val="00604193"/>
    <w:rsid w:val="006045C1"/>
    <w:rsid w:val="0060461E"/>
    <w:rsid w:val="00604C9F"/>
    <w:rsid w:val="00605007"/>
    <w:rsid w:val="0060502C"/>
    <w:rsid w:val="00606084"/>
    <w:rsid w:val="006060A7"/>
    <w:rsid w:val="00606117"/>
    <w:rsid w:val="00606630"/>
    <w:rsid w:val="006066CE"/>
    <w:rsid w:val="006074BA"/>
    <w:rsid w:val="00607832"/>
    <w:rsid w:val="0060784D"/>
    <w:rsid w:val="006079B6"/>
    <w:rsid w:val="00607A8F"/>
    <w:rsid w:val="00607F64"/>
    <w:rsid w:val="00607F66"/>
    <w:rsid w:val="00610295"/>
    <w:rsid w:val="00610BC3"/>
    <w:rsid w:val="0061132F"/>
    <w:rsid w:val="006118FB"/>
    <w:rsid w:val="00611B6B"/>
    <w:rsid w:val="00612179"/>
    <w:rsid w:val="006122E2"/>
    <w:rsid w:val="006125E4"/>
    <w:rsid w:val="00612C6B"/>
    <w:rsid w:val="006133E3"/>
    <w:rsid w:val="0061374C"/>
    <w:rsid w:val="00613CE9"/>
    <w:rsid w:val="00614999"/>
    <w:rsid w:val="006154EA"/>
    <w:rsid w:val="00615D91"/>
    <w:rsid w:val="0061629E"/>
    <w:rsid w:val="006169CD"/>
    <w:rsid w:val="00616A5C"/>
    <w:rsid w:val="00616C4B"/>
    <w:rsid w:val="00616D25"/>
    <w:rsid w:val="0061717D"/>
    <w:rsid w:val="00617361"/>
    <w:rsid w:val="006175BC"/>
    <w:rsid w:val="006176D0"/>
    <w:rsid w:val="00620164"/>
    <w:rsid w:val="006203A8"/>
    <w:rsid w:val="006207D4"/>
    <w:rsid w:val="00621A50"/>
    <w:rsid w:val="00621AC1"/>
    <w:rsid w:val="00621D73"/>
    <w:rsid w:val="00621F65"/>
    <w:rsid w:val="00622AE6"/>
    <w:rsid w:val="00622DD0"/>
    <w:rsid w:val="00622FE9"/>
    <w:rsid w:val="006242E0"/>
    <w:rsid w:val="00624EDE"/>
    <w:rsid w:val="00625334"/>
    <w:rsid w:val="0062538C"/>
    <w:rsid w:val="00625403"/>
    <w:rsid w:val="00625789"/>
    <w:rsid w:val="00625F12"/>
    <w:rsid w:val="00625F5D"/>
    <w:rsid w:val="0062627E"/>
    <w:rsid w:val="00626BDC"/>
    <w:rsid w:val="00626E9E"/>
    <w:rsid w:val="00626EA3"/>
    <w:rsid w:val="00626FEC"/>
    <w:rsid w:val="006274E3"/>
    <w:rsid w:val="00627B49"/>
    <w:rsid w:val="00627FF5"/>
    <w:rsid w:val="0063000D"/>
    <w:rsid w:val="00630BBE"/>
    <w:rsid w:val="00631046"/>
    <w:rsid w:val="006311E2"/>
    <w:rsid w:val="00631692"/>
    <w:rsid w:val="006319A9"/>
    <w:rsid w:val="00631AD8"/>
    <w:rsid w:val="00631B2E"/>
    <w:rsid w:val="00631C56"/>
    <w:rsid w:val="0063237F"/>
    <w:rsid w:val="006323B0"/>
    <w:rsid w:val="00632472"/>
    <w:rsid w:val="00632DFA"/>
    <w:rsid w:val="006336F4"/>
    <w:rsid w:val="00634E92"/>
    <w:rsid w:val="006352C4"/>
    <w:rsid w:val="00635565"/>
    <w:rsid w:val="00635B0A"/>
    <w:rsid w:val="00635C1F"/>
    <w:rsid w:val="00635DAF"/>
    <w:rsid w:val="00636310"/>
    <w:rsid w:val="006363E7"/>
    <w:rsid w:val="00636562"/>
    <w:rsid w:val="00636CCF"/>
    <w:rsid w:val="00636D0F"/>
    <w:rsid w:val="0063718C"/>
    <w:rsid w:val="006377E4"/>
    <w:rsid w:val="00637E42"/>
    <w:rsid w:val="00637FAC"/>
    <w:rsid w:val="00640C15"/>
    <w:rsid w:val="00641297"/>
    <w:rsid w:val="006412DC"/>
    <w:rsid w:val="00641390"/>
    <w:rsid w:val="0064153A"/>
    <w:rsid w:val="00641CEC"/>
    <w:rsid w:val="006421C8"/>
    <w:rsid w:val="00642290"/>
    <w:rsid w:val="00642378"/>
    <w:rsid w:val="00642505"/>
    <w:rsid w:val="00642639"/>
    <w:rsid w:val="00642C2E"/>
    <w:rsid w:val="00642DF2"/>
    <w:rsid w:val="0064322E"/>
    <w:rsid w:val="0064329F"/>
    <w:rsid w:val="00643581"/>
    <w:rsid w:val="0064365C"/>
    <w:rsid w:val="00643A1A"/>
    <w:rsid w:val="00643C36"/>
    <w:rsid w:val="006440D1"/>
    <w:rsid w:val="0064421D"/>
    <w:rsid w:val="00644483"/>
    <w:rsid w:val="006446B9"/>
    <w:rsid w:val="006447B1"/>
    <w:rsid w:val="00644850"/>
    <w:rsid w:val="00645412"/>
    <w:rsid w:val="00645821"/>
    <w:rsid w:val="00645AF3"/>
    <w:rsid w:val="006464BA"/>
    <w:rsid w:val="00646BBC"/>
    <w:rsid w:val="00647093"/>
    <w:rsid w:val="00647306"/>
    <w:rsid w:val="006476BA"/>
    <w:rsid w:val="00647BDD"/>
    <w:rsid w:val="00650078"/>
    <w:rsid w:val="00650149"/>
    <w:rsid w:val="0065015A"/>
    <w:rsid w:val="00650B56"/>
    <w:rsid w:val="00650B93"/>
    <w:rsid w:val="00650FCF"/>
    <w:rsid w:val="006518FA"/>
    <w:rsid w:val="0065195F"/>
    <w:rsid w:val="006521D4"/>
    <w:rsid w:val="00652278"/>
    <w:rsid w:val="0065229D"/>
    <w:rsid w:val="006522E3"/>
    <w:rsid w:val="00652328"/>
    <w:rsid w:val="006523B7"/>
    <w:rsid w:val="0065277A"/>
    <w:rsid w:val="00652B02"/>
    <w:rsid w:val="00652D46"/>
    <w:rsid w:val="0065357F"/>
    <w:rsid w:val="0065393C"/>
    <w:rsid w:val="00653C3A"/>
    <w:rsid w:val="00653D19"/>
    <w:rsid w:val="00653DA7"/>
    <w:rsid w:val="00653F9B"/>
    <w:rsid w:val="0065431A"/>
    <w:rsid w:val="00654C41"/>
    <w:rsid w:val="00654CFE"/>
    <w:rsid w:val="00654D99"/>
    <w:rsid w:val="0065526C"/>
    <w:rsid w:val="00655564"/>
    <w:rsid w:val="00656414"/>
    <w:rsid w:val="00656903"/>
    <w:rsid w:val="00657A45"/>
    <w:rsid w:val="00657CB5"/>
    <w:rsid w:val="00657DBC"/>
    <w:rsid w:val="00657F66"/>
    <w:rsid w:val="0066055E"/>
    <w:rsid w:val="00660A46"/>
    <w:rsid w:val="00660B83"/>
    <w:rsid w:val="00660C8D"/>
    <w:rsid w:val="006612CE"/>
    <w:rsid w:val="00661437"/>
    <w:rsid w:val="0066147A"/>
    <w:rsid w:val="006617C2"/>
    <w:rsid w:val="00661C05"/>
    <w:rsid w:val="00661EE4"/>
    <w:rsid w:val="0066222F"/>
    <w:rsid w:val="0066263E"/>
    <w:rsid w:val="006629B5"/>
    <w:rsid w:val="00662F0B"/>
    <w:rsid w:val="00663684"/>
    <w:rsid w:val="006648AF"/>
    <w:rsid w:val="0066490A"/>
    <w:rsid w:val="0066496E"/>
    <w:rsid w:val="00665635"/>
    <w:rsid w:val="0066578E"/>
    <w:rsid w:val="006658C5"/>
    <w:rsid w:val="00665B4B"/>
    <w:rsid w:val="00665B85"/>
    <w:rsid w:val="00666531"/>
    <w:rsid w:val="006665E6"/>
    <w:rsid w:val="00666777"/>
    <w:rsid w:val="00666AC6"/>
    <w:rsid w:val="00666C03"/>
    <w:rsid w:val="00666DBE"/>
    <w:rsid w:val="00666F65"/>
    <w:rsid w:val="00666F6F"/>
    <w:rsid w:val="00667018"/>
    <w:rsid w:val="006674A9"/>
    <w:rsid w:val="00667721"/>
    <w:rsid w:val="00667E7C"/>
    <w:rsid w:val="00667EBB"/>
    <w:rsid w:val="00667F16"/>
    <w:rsid w:val="00667F6B"/>
    <w:rsid w:val="00667F81"/>
    <w:rsid w:val="00670186"/>
    <w:rsid w:val="00670210"/>
    <w:rsid w:val="0067070D"/>
    <w:rsid w:val="00670A3F"/>
    <w:rsid w:val="00670ADD"/>
    <w:rsid w:val="00670C5A"/>
    <w:rsid w:val="0067119C"/>
    <w:rsid w:val="0067125A"/>
    <w:rsid w:val="0067138F"/>
    <w:rsid w:val="0067149D"/>
    <w:rsid w:val="00671723"/>
    <w:rsid w:val="0067185A"/>
    <w:rsid w:val="00671CE8"/>
    <w:rsid w:val="00671DC6"/>
    <w:rsid w:val="006722AB"/>
    <w:rsid w:val="0067231A"/>
    <w:rsid w:val="00672618"/>
    <w:rsid w:val="0067274F"/>
    <w:rsid w:val="00672A4F"/>
    <w:rsid w:val="00672C9F"/>
    <w:rsid w:val="00672ED3"/>
    <w:rsid w:val="006737B0"/>
    <w:rsid w:val="00674597"/>
    <w:rsid w:val="00674818"/>
    <w:rsid w:val="00674C86"/>
    <w:rsid w:val="0067517E"/>
    <w:rsid w:val="00675DEF"/>
    <w:rsid w:val="00675E04"/>
    <w:rsid w:val="00675F1E"/>
    <w:rsid w:val="0067609E"/>
    <w:rsid w:val="00676929"/>
    <w:rsid w:val="00676B46"/>
    <w:rsid w:val="00676E78"/>
    <w:rsid w:val="00676FA2"/>
    <w:rsid w:val="0067751B"/>
    <w:rsid w:val="00677EF1"/>
    <w:rsid w:val="00677FF0"/>
    <w:rsid w:val="00680360"/>
    <w:rsid w:val="00680601"/>
    <w:rsid w:val="006809D2"/>
    <w:rsid w:val="00680C30"/>
    <w:rsid w:val="006812E2"/>
    <w:rsid w:val="00681997"/>
    <w:rsid w:val="00681C38"/>
    <w:rsid w:val="00681D87"/>
    <w:rsid w:val="006823F4"/>
    <w:rsid w:val="00682649"/>
    <w:rsid w:val="00682D55"/>
    <w:rsid w:val="00682D91"/>
    <w:rsid w:val="0068372A"/>
    <w:rsid w:val="006842D0"/>
    <w:rsid w:val="006844B3"/>
    <w:rsid w:val="006846A3"/>
    <w:rsid w:val="006847CD"/>
    <w:rsid w:val="00684D74"/>
    <w:rsid w:val="0068534F"/>
    <w:rsid w:val="00685469"/>
    <w:rsid w:val="006858B7"/>
    <w:rsid w:val="00685A18"/>
    <w:rsid w:val="00685E03"/>
    <w:rsid w:val="00685F7E"/>
    <w:rsid w:val="00686077"/>
    <w:rsid w:val="0068654C"/>
    <w:rsid w:val="00686786"/>
    <w:rsid w:val="00686DDF"/>
    <w:rsid w:val="00687433"/>
    <w:rsid w:val="00687516"/>
    <w:rsid w:val="0068792A"/>
    <w:rsid w:val="00687FB5"/>
    <w:rsid w:val="00690902"/>
    <w:rsid w:val="00690963"/>
    <w:rsid w:val="006911FF"/>
    <w:rsid w:val="00691C71"/>
    <w:rsid w:val="00691EE7"/>
    <w:rsid w:val="006920B8"/>
    <w:rsid w:val="006927D0"/>
    <w:rsid w:val="006928E9"/>
    <w:rsid w:val="00692909"/>
    <w:rsid w:val="0069292E"/>
    <w:rsid w:val="00692DE2"/>
    <w:rsid w:val="00693172"/>
    <w:rsid w:val="00693207"/>
    <w:rsid w:val="00693791"/>
    <w:rsid w:val="00693851"/>
    <w:rsid w:val="0069389F"/>
    <w:rsid w:val="00693C3A"/>
    <w:rsid w:val="00693D26"/>
    <w:rsid w:val="00693E83"/>
    <w:rsid w:val="006950E7"/>
    <w:rsid w:val="006950F7"/>
    <w:rsid w:val="006953E6"/>
    <w:rsid w:val="006954E3"/>
    <w:rsid w:val="00695B3E"/>
    <w:rsid w:val="00695DE2"/>
    <w:rsid w:val="006962A9"/>
    <w:rsid w:val="00696321"/>
    <w:rsid w:val="006963FB"/>
    <w:rsid w:val="0069656D"/>
    <w:rsid w:val="006967EE"/>
    <w:rsid w:val="00697693"/>
    <w:rsid w:val="0069791F"/>
    <w:rsid w:val="00697BF0"/>
    <w:rsid w:val="00697EF0"/>
    <w:rsid w:val="006A0D93"/>
    <w:rsid w:val="006A143E"/>
    <w:rsid w:val="006A18FD"/>
    <w:rsid w:val="006A1A02"/>
    <w:rsid w:val="006A1AD7"/>
    <w:rsid w:val="006A2199"/>
    <w:rsid w:val="006A2751"/>
    <w:rsid w:val="006A2770"/>
    <w:rsid w:val="006A2D73"/>
    <w:rsid w:val="006A315B"/>
    <w:rsid w:val="006A320F"/>
    <w:rsid w:val="006A34EB"/>
    <w:rsid w:val="006A3D51"/>
    <w:rsid w:val="006A3EC5"/>
    <w:rsid w:val="006A4094"/>
    <w:rsid w:val="006A42B3"/>
    <w:rsid w:val="006A465D"/>
    <w:rsid w:val="006A5287"/>
    <w:rsid w:val="006A5398"/>
    <w:rsid w:val="006A5C6B"/>
    <w:rsid w:val="006A6405"/>
    <w:rsid w:val="006A6897"/>
    <w:rsid w:val="006A696B"/>
    <w:rsid w:val="006A6AB1"/>
    <w:rsid w:val="006A6E42"/>
    <w:rsid w:val="006A7387"/>
    <w:rsid w:val="006A74AA"/>
    <w:rsid w:val="006A772B"/>
    <w:rsid w:val="006A77E4"/>
    <w:rsid w:val="006A7C56"/>
    <w:rsid w:val="006A7CA9"/>
    <w:rsid w:val="006B0363"/>
    <w:rsid w:val="006B067B"/>
    <w:rsid w:val="006B08BE"/>
    <w:rsid w:val="006B093E"/>
    <w:rsid w:val="006B1212"/>
    <w:rsid w:val="006B139C"/>
    <w:rsid w:val="006B140D"/>
    <w:rsid w:val="006B158B"/>
    <w:rsid w:val="006B1C82"/>
    <w:rsid w:val="006B1E86"/>
    <w:rsid w:val="006B216C"/>
    <w:rsid w:val="006B2267"/>
    <w:rsid w:val="006B22A9"/>
    <w:rsid w:val="006B2441"/>
    <w:rsid w:val="006B260A"/>
    <w:rsid w:val="006B2804"/>
    <w:rsid w:val="006B2A95"/>
    <w:rsid w:val="006B2EA0"/>
    <w:rsid w:val="006B31FD"/>
    <w:rsid w:val="006B32F3"/>
    <w:rsid w:val="006B36A5"/>
    <w:rsid w:val="006B3D38"/>
    <w:rsid w:val="006B3EB8"/>
    <w:rsid w:val="006B46AE"/>
    <w:rsid w:val="006B4814"/>
    <w:rsid w:val="006B4A0E"/>
    <w:rsid w:val="006B4A22"/>
    <w:rsid w:val="006B4B71"/>
    <w:rsid w:val="006B4D2E"/>
    <w:rsid w:val="006B548F"/>
    <w:rsid w:val="006B5F51"/>
    <w:rsid w:val="006B60B7"/>
    <w:rsid w:val="006B6835"/>
    <w:rsid w:val="006B6983"/>
    <w:rsid w:val="006B6C60"/>
    <w:rsid w:val="006B75B5"/>
    <w:rsid w:val="006B7BD5"/>
    <w:rsid w:val="006C05F7"/>
    <w:rsid w:val="006C07A1"/>
    <w:rsid w:val="006C0942"/>
    <w:rsid w:val="006C0A1F"/>
    <w:rsid w:val="006C0E3C"/>
    <w:rsid w:val="006C101B"/>
    <w:rsid w:val="006C1283"/>
    <w:rsid w:val="006C14E0"/>
    <w:rsid w:val="006C16D9"/>
    <w:rsid w:val="006C1900"/>
    <w:rsid w:val="006C1E51"/>
    <w:rsid w:val="006C2323"/>
    <w:rsid w:val="006C318D"/>
    <w:rsid w:val="006C324C"/>
    <w:rsid w:val="006C36E7"/>
    <w:rsid w:val="006C3EF7"/>
    <w:rsid w:val="006C3F76"/>
    <w:rsid w:val="006C4553"/>
    <w:rsid w:val="006C46A0"/>
    <w:rsid w:val="006C4A8F"/>
    <w:rsid w:val="006C4D7C"/>
    <w:rsid w:val="006C4E16"/>
    <w:rsid w:val="006C4EB3"/>
    <w:rsid w:val="006C5088"/>
    <w:rsid w:val="006C50C3"/>
    <w:rsid w:val="006C51C9"/>
    <w:rsid w:val="006C5347"/>
    <w:rsid w:val="006C58CE"/>
    <w:rsid w:val="006C59DE"/>
    <w:rsid w:val="006C6077"/>
    <w:rsid w:val="006C63A2"/>
    <w:rsid w:val="006C6B24"/>
    <w:rsid w:val="006C6EA3"/>
    <w:rsid w:val="006C6F4A"/>
    <w:rsid w:val="006C70EA"/>
    <w:rsid w:val="006C76B4"/>
    <w:rsid w:val="006C7867"/>
    <w:rsid w:val="006D06F3"/>
    <w:rsid w:val="006D1205"/>
    <w:rsid w:val="006D1907"/>
    <w:rsid w:val="006D1938"/>
    <w:rsid w:val="006D1FE5"/>
    <w:rsid w:val="006D2725"/>
    <w:rsid w:val="006D28B2"/>
    <w:rsid w:val="006D2990"/>
    <w:rsid w:val="006D2CAA"/>
    <w:rsid w:val="006D35C8"/>
    <w:rsid w:val="006D3E1E"/>
    <w:rsid w:val="006D3FD1"/>
    <w:rsid w:val="006D4C34"/>
    <w:rsid w:val="006D4EFD"/>
    <w:rsid w:val="006D55B4"/>
    <w:rsid w:val="006D573F"/>
    <w:rsid w:val="006D596B"/>
    <w:rsid w:val="006D5F7F"/>
    <w:rsid w:val="006D6147"/>
    <w:rsid w:val="006D61DA"/>
    <w:rsid w:val="006D633B"/>
    <w:rsid w:val="006D6465"/>
    <w:rsid w:val="006D6751"/>
    <w:rsid w:val="006D6753"/>
    <w:rsid w:val="006D6B82"/>
    <w:rsid w:val="006D7112"/>
    <w:rsid w:val="006D7ABC"/>
    <w:rsid w:val="006D7B33"/>
    <w:rsid w:val="006D7B36"/>
    <w:rsid w:val="006D7C92"/>
    <w:rsid w:val="006D7D95"/>
    <w:rsid w:val="006E0058"/>
    <w:rsid w:val="006E00B7"/>
    <w:rsid w:val="006E0160"/>
    <w:rsid w:val="006E05C9"/>
    <w:rsid w:val="006E06B1"/>
    <w:rsid w:val="006E08C8"/>
    <w:rsid w:val="006E0957"/>
    <w:rsid w:val="006E10D9"/>
    <w:rsid w:val="006E18CF"/>
    <w:rsid w:val="006E1FF6"/>
    <w:rsid w:val="006E229B"/>
    <w:rsid w:val="006E2754"/>
    <w:rsid w:val="006E2B1E"/>
    <w:rsid w:val="006E2E5F"/>
    <w:rsid w:val="006E2F30"/>
    <w:rsid w:val="006E32B1"/>
    <w:rsid w:val="006E3738"/>
    <w:rsid w:val="006E3F8C"/>
    <w:rsid w:val="006E4368"/>
    <w:rsid w:val="006E4815"/>
    <w:rsid w:val="006E4ADB"/>
    <w:rsid w:val="006E4D3B"/>
    <w:rsid w:val="006E5680"/>
    <w:rsid w:val="006E5A19"/>
    <w:rsid w:val="006E5BBF"/>
    <w:rsid w:val="006E5F1E"/>
    <w:rsid w:val="006E6532"/>
    <w:rsid w:val="006E725E"/>
    <w:rsid w:val="006E7386"/>
    <w:rsid w:val="006E7547"/>
    <w:rsid w:val="006E7E11"/>
    <w:rsid w:val="006F056D"/>
    <w:rsid w:val="006F11AF"/>
    <w:rsid w:val="006F1C78"/>
    <w:rsid w:val="006F1E35"/>
    <w:rsid w:val="006F1F0B"/>
    <w:rsid w:val="006F205D"/>
    <w:rsid w:val="006F293C"/>
    <w:rsid w:val="006F2D8D"/>
    <w:rsid w:val="006F3A7B"/>
    <w:rsid w:val="006F4168"/>
    <w:rsid w:val="006F4882"/>
    <w:rsid w:val="006F5190"/>
    <w:rsid w:val="006F51A2"/>
    <w:rsid w:val="006F56EE"/>
    <w:rsid w:val="006F56F0"/>
    <w:rsid w:val="006F56F6"/>
    <w:rsid w:val="006F5EB3"/>
    <w:rsid w:val="006F6076"/>
    <w:rsid w:val="006F60A2"/>
    <w:rsid w:val="006F62A8"/>
    <w:rsid w:val="006F648B"/>
    <w:rsid w:val="006F684B"/>
    <w:rsid w:val="006F6983"/>
    <w:rsid w:val="006F6CD2"/>
    <w:rsid w:val="006F6F83"/>
    <w:rsid w:val="006F7112"/>
    <w:rsid w:val="006F775B"/>
    <w:rsid w:val="006F7B9C"/>
    <w:rsid w:val="00700D64"/>
    <w:rsid w:val="00700D85"/>
    <w:rsid w:val="00700F90"/>
    <w:rsid w:val="0070100D"/>
    <w:rsid w:val="00701AF6"/>
    <w:rsid w:val="00701E40"/>
    <w:rsid w:val="0070210E"/>
    <w:rsid w:val="0070257F"/>
    <w:rsid w:val="00702747"/>
    <w:rsid w:val="00702852"/>
    <w:rsid w:val="00702868"/>
    <w:rsid w:val="00702888"/>
    <w:rsid w:val="00702CB5"/>
    <w:rsid w:val="00702D2F"/>
    <w:rsid w:val="00703383"/>
    <w:rsid w:val="007033C8"/>
    <w:rsid w:val="00703E69"/>
    <w:rsid w:val="00703ED6"/>
    <w:rsid w:val="007041E7"/>
    <w:rsid w:val="0070457E"/>
    <w:rsid w:val="0070469F"/>
    <w:rsid w:val="00704B76"/>
    <w:rsid w:val="00704D09"/>
    <w:rsid w:val="00704E03"/>
    <w:rsid w:val="007051BE"/>
    <w:rsid w:val="0070567C"/>
    <w:rsid w:val="00706653"/>
    <w:rsid w:val="00706774"/>
    <w:rsid w:val="0070698F"/>
    <w:rsid w:val="007069DA"/>
    <w:rsid w:val="00706B03"/>
    <w:rsid w:val="00706F15"/>
    <w:rsid w:val="0070718F"/>
    <w:rsid w:val="007073B9"/>
    <w:rsid w:val="00707DED"/>
    <w:rsid w:val="0071059F"/>
    <w:rsid w:val="00710CC3"/>
    <w:rsid w:val="0071129D"/>
    <w:rsid w:val="00711338"/>
    <w:rsid w:val="007116EA"/>
    <w:rsid w:val="00711B13"/>
    <w:rsid w:val="00712183"/>
    <w:rsid w:val="00712268"/>
    <w:rsid w:val="00712550"/>
    <w:rsid w:val="00712651"/>
    <w:rsid w:val="00712945"/>
    <w:rsid w:val="00712B26"/>
    <w:rsid w:val="00712CC0"/>
    <w:rsid w:val="00712E0D"/>
    <w:rsid w:val="00713CB4"/>
    <w:rsid w:val="00713DB4"/>
    <w:rsid w:val="0071439C"/>
    <w:rsid w:val="0071454C"/>
    <w:rsid w:val="0071455A"/>
    <w:rsid w:val="007146A4"/>
    <w:rsid w:val="00715223"/>
    <w:rsid w:val="00715B5B"/>
    <w:rsid w:val="00715BF2"/>
    <w:rsid w:val="0071649C"/>
    <w:rsid w:val="007164F7"/>
    <w:rsid w:val="007166A2"/>
    <w:rsid w:val="007166D0"/>
    <w:rsid w:val="007166E1"/>
    <w:rsid w:val="0071697E"/>
    <w:rsid w:val="00716C53"/>
    <w:rsid w:val="00716F28"/>
    <w:rsid w:val="00716FD1"/>
    <w:rsid w:val="00717015"/>
    <w:rsid w:val="00717B62"/>
    <w:rsid w:val="00717EA8"/>
    <w:rsid w:val="00717F5F"/>
    <w:rsid w:val="0072016C"/>
    <w:rsid w:val="007201AD"/>
    <w:rsid w:val="0072033C"/>
    <w:rsid w:val="00720370"/>
    <w:rsid w:val="0072077D"/>
    <w:rsid w:val="007207BB"/>
    <w:rsid w:val="0072147F"/>
    <w:rsid w:val="00721F15"/>
    <w:rsid w:val="0072235A"/>
    <w:rsid w:val="00722941"/>
    <w:rsid w:val="00722B28"/>
    <w:rsid w:val="00722C62"/>
    <w:rsid w:val="00723A27"/>
    <w:rsid w:val="00723A48"/>
    <w:rsid w:val="0072406D"/>
    <w:rsid w:val="007240D2"/>
    <w:rsid w:val="00725501"/>
    <w:rsid w:val="00725527"/>
    <w:rsid w:val="007255F1"/>
    <w:rsid w:val="00725E44"/>
    <w:rsid w:val="0072607A"/>
    <w:rsid w:val="0072622E"/>
    <w:rsid w:val="007269F9"/>
    <w:rsid w:val="00726DDC"/>
    <w:rsid w:val="0072749C"/>
    <w:rsid w:val="007279E3"/>
    <w:rsid w:val="007279FC"/>
    <w:rsid w:val="00727EA1"/>
    <w:rsid w:val="00727F30"/>
    <w:rsid w:val="00730058"/>
    <w:rsid w:val="00730385"/>
    <w:rsid w:val="00730CAF"/>
    <w:rsid w:val="00730E5E"/>
    <w:rsid w:val="00731050"/>
    <w:rsid w:val="00731604"/>
    <w:rsid w:val="007318B3"/>
    <w:rsid w:val="00731A40"/>
    <w:rsid w:val="00731ABF"/>
    <w:rsid w:val="00731EFC"/>
    <w:rsid w:val="00731FAD"/>
    <w:rsid w:val="0073206A"/>
    <w:rsid w:val="007320A4"/>
    <w:rsid w:val="007325AE"/>
    <w:rsid w:val="007328A7"/>
    <w:rsid w:val="007328AE"/>
    <w:rsid w:val="00733214"/>
    <w:rsid w:val="007334F7"/>
    <w:rsid w:val="00733B2E"/>
    <w:rsid w:val="00733BB3"/>
    <w:rsid w:val="007341C6"/>
    <w:rsid w:val="007344FE"/>
    <w:rsid w:val="0073469A"/>
    <w:rsid w:val="00734A9D"/>
    <w:rsid w:val="00734CD6"/>
    <w:rsid w:val="00734F43"/>
    <w:rsid w:val="00735215"/>
    <w:rsid w:val="00735BB9"/>
    <w:rsid w:val="00735C8F"/>
    <w:rsid w:val="007361A7"/>
    <w:rsid w:val="007365AB"/>
    <w:rsid w:val="007368C0"/>
    <w:rsid w:val="00736D93"/>
    <w:rsid w:val="0073711D"/>
    <w:rsid w:val="00737454"/>
    <w:rsid w:val="0073766C"/>
    <w:rsid w:val="0073785C"/>
    <w:rsid w:val="00737AAE"/>
    <w:rsid w:val="00737B4B"/>
    <w:rsid w:val="00737CC5"/>
    <w:rsid w:val="007407AF"/>
    <w:rsid w:val="0074095C"/>
    <w:rsid w:val="00740BD7"/>
    <w:rsid w:val="00740CA4"/>
    <w:rsid w:val="0074102F"/>
    <w:rsid w:val="00741AA7"/>
    <w:rsid w:val="00742141"/>
    <w:rsid w:val="00742259"/>
    <w:rsid w:val="00742AA0"/>
    <w:rsid w:val="00742C0B"/>
    <w:rsid w:val="00742D37"/>
    <w:rsid w:val="00742F7D"/>
    <w:rsid w:val="007432C2"/>
    <w:rsid w:val="0074352D"/>
    <w:rsid w:val="007435DC"/>
    <w:rsid w:val="0074392C"/>
    <w:rsid w:val="00743CAA"/>
    <w:rsid w:val="00743E19"/>
    <w:rsid w:val="00744007"/>
    <w:rsid w:val="007446CB"/>
    <w:rsid w:val="00744FF2"/>
    <w:rsid w:val="00745D4F"/>
    <w:rsid w:val="0074637F"/>
    <w:rsid w:val="00746D5B"/>
    <w:rsid w:val="0074742A"/>
    <w:rsid w:val="00750069"/>
    <w:rsid w:val="0075009C"/>
    <w:rsid w:val="007504CF"/>
    <w:rsid w:val="00750664"/>
    <w:rsid w:val="007507F9"/>
    <w:rsid w:val="00750907"/>
    <w:rsid w:val="00750947"/>
    <w:rsid w:val="00750A5B"/>
    <w:rsid w:val="00750C9D"/>
    <w:rsid w:val="00751055"/>
    <w:rsid w:val="00751166"/>
    <w:rsid w:val="00751279"/>
    <w:rsid w:val="00751AE1"/>
    <w:rsid w:val="007520DE"/>
    <w:rsid w:val="0075230F"/>
    <w:rsid w:val="0075242E"/>
    <w:rsid w:val="007525D0"/>
    <w:rsid w:val="007526A6"/>
    <w:rsid w:val="00752752"/>
    <w:rsid w:val="00753603"/>
    <w:rsid w:val="00753816"/>
    <w:rsid w:val="00753881"/>
    <w:rsid w:val="00753DE7"/>
    <w:rsid w:val="0075414E"/>
    <w:rsid w:val="00754165"/>
    <w:rsid w:val="007544D4"/>
    <w:rsid w:val="00754A09"/>
    <w:rsid w:val="00754A82"/>
    <w:rsid w:val="00754BE3"/>
    <w:rsid w:val="00754C21"/>
    <w:rsid w:val="00754CA2"/>
    <w:rsid w:val="00754F8D"/>
    <w:rsid w:val="0075501D"/>
    <w:rsid w:val="0075520F"/>
    <w:rsid w:val="00755474"/>
    <w:rsid w:val="0075573E"/>
    <w:rsid w:val="007557AB"/>
    <w:rsid w:val="00755C23"/>
    <w:rsid w:val="00755DCB"/>
    <w:rsid w:val="00755F05"/>
    <w:rsid w:val="00756412"/>
    <w:rsid w:val="00756419"/>
    <w:rsid w:val="007568E8"/>
    <w:rsid w:val="00756975"/>
    <w:rsid w:val="00756B6D"/>
    <w:rsid w:val="00756BF8"/>
    <w:rsid w:val="00756C31"/>
    <w:rsid w:val="00756F9F"/>
    <w:rsid w:val="0075712C"/>
    <w:rsid w:val="00757289"/>
    <w:rsid w:val="007572F6"/>
    <w:rsid w:val="00757608"/>
    <w:rsid w:val="007576B6"/>
    <w:rsid w:val="00757715"/>
    <w:rsid w:val="00760638"/>
    <w:rsid w:val="0076099F"/>
    <w:rsid w:val="00760A1D"/>
    <w:rsid w:val="00760A43"/>
    <w:rsid w:val="00761321"/>
    <w:rsid w:val="0076142A"/>
    <w:rsid w:val="007616B8"/>
    <w:rsid w:val="007616C5"/>
    <w:rsid w:val="00761D12"/>
    <w:rsid w:val="00761E03"/>
    <w:rsid w:val="00761F5E"/>
    <w:rsid w:val="007621D8"/>
    <w:rsid w:val="00762611"/>
    <w:rsid w:val="00762972"/>
    <w:rsid w:val="00762FCA"/>
    <w:rsid w:val="00763497"/>
    <w:rsid w:val="0076376A"/>
    <w:rsid w:val="007642B9"/>
    <w:rsid w:val="00764674"/>
    <w:rsid w:val="007649A1"/>
    <w:rsid w:val="00764D21"/>
    <w:rsid w:val="00764EB1"/>
    <w:rsid w:val="00764FDD"/>
    <w:rsid w:val="0076523E"/>
    <w:rsid w:val="007656D3"/>
    <w:rsid w:val="00766744"/>
    <w:rsid w:val="00766AC7"/>
    <w:rsid w:val="00766D32"/>
    <w:rsid w:val="00766E11"/>
    <w:rsid w:val="00767A6F"/>
    <w:rsid w:val="00770DD9"/>
    <w:rsid w:val="00771078"/>
    <w:rsid w:val="00771289"/>
    <w:rsid w:val="00771380"/>
    <w:rsid w:val="00771607"/>
    <w:rsid w:val="007728E2"/>
    <w:rsid w:val="00772AE5"/>
    <w:rsid w:val="0077310E"/>
    <w:rsid w:val="007734B3"/>
    <w:rsid w:val="00773724"/>
    <w:rsid w:val="00773D8D"/>
    <w:rsid w:val="007745D1"/>
    <w:rsid w:val="00774FEC"/>
    <w:rsid w:val="00775318"/>
    <w:rsid w:val="0077547A"/>
    <w:rsid w:val="00775532"/>
    <w:rsid w:val="00775846"/>
    <w:rsid w:val="00775B26"/>
    <w:rsid w:val="00775C14"/>
    <w:rsid w:val="0077663A"/>
    <w:rsid w:val="007768E9"/>
    <w:rsid w:val="00776B87"/>
    <w:rsid w:val="007771E0"/>
    <w:rsid w:val="00777925"/>
    <w:rsid w:val="007779F8"/>
    <w:rsid w:val="00777A20"/>
    <w:rsid w:val="00777B52"/>
    <w:rsid w:val="00777D9C"/>
    <w:rsid w:val="00777EA4"/>
    <w:rsid w:val="00780AB0"/>
    <w:rsid w:val="00780DC3"/>
    <w:rsid w:val="00781414"/>
    <w:rsid w:val="00781CE7"/>
    <w:rsid w:val="0078228E"/>
    <w:rsid w:val="007825CC"/>
    <w:rsid w:val="007827DC"/>
    <w:rsid w:val="00782A52"/>
    <w:rsid w:val="00782B8C"/>
    <w:rsid w:val="00782BA3"/>
    <w:rsid w:val="00782DFC"/>
    <w:rsid w:val="00783282"/>
    <w:rsid w:val="007832F5"/>
    <w:rsid w:val="0078375F"/>
    <w:rsid w:val="00783ECC"/>
    <w:rsid w:val="00784453"/>
    <w:rsid w:val="00784740"/>
    <w:rsid w:val="00784F79"/>
    <w:rsid w:val="007853A8"/>
    <w:rsid w:val="0078596D"/>
    <w:rsid w:val="00785AB1"/>
    <w:rsid w:val="00785CE9"/>
    <w:rsid w:val="00785F6D"/>
    <w:rsid w:val="00786460"/>
    <w:rsid w:val="00786713"/>
    <w:rsid w:val="007869F4"/>
    <w:rsid w:val="00786A25"/>
    <w:rsid w:val="00787168"/>
    <w:rsid w:val="00787582"/>
    <w:rsid w:val="00787F1B"/>
    <w:rsid w:val="00790EAB"/>
    <w:rsid w:val="007910AF"/>
    <w:rsid w:val="0079125A"/>
    <w:rsid w:val="00791551"/>
    <w:rsid w:val="0079158F"/>
    <w:rsid w:val="00791ABB"/>
    <w:rsid w:val="00791B90"/>
    <w:rsid w:val="0079200B"/>
    <w:rsid w:val="007920A9"/>
    <w:rsid w:val="007922BD"/>
    <w:rsid w:val="00792414"/>
    <w:rsid w:val="007925DE"/>
    <w:rsid w:val="00792ACA"/>
    <w:rsid w:val="00792C00"/>
    <w:rsid w:val="00792C44"/>
    <w:rsid w:val="0079315A"/>
    <w:rsid w:val="00793231"/>
    <w:rsid w:val="0079385B"/>
    <w:rsid w:val="00793F0B"/>
    <w:rsid w:val="00793FC0"/>
    <w:rsid w:val="007948FB"/>
    <w:rsid w:val="00794904"/>
    <w:rsid w:val="00794BA8"/>
    <w:rsid w:val="00794E4E"/>
    <w:rsid w:val="00794FBE"/>
    <w:rsid w:val="0079540E"/>
    <w:rsid w:val="0079553A"/>
    <w:rsid w:val="00795557"/>
    <w:rsid w:val="0079564B"/>
    <w:rsid w:val="00795659"/>
    <w:rsid w:val="00795965"/>
    <w:rsid w:val="007959C0"/>
    <w:rsid w:val="00795E2E"/>
    <w:rsid w:val="00796669"/>
    <w:rsid w:val="007967AC"/>
    <w:rsid w:val="00796C5C"/>
    <w:rsid w:val="00796D55"/>
    <w:rsid w:val="0079783D"/>
    <w:rsid w:val="007978A6"/>
    <w:rsid w:val="00797A24"/>
    <w:rsid w:val="00797D9E"/>
    <w:rsid w:val="00797DE4"/>
    <w:rsid w:val="00797DEA"/>
    <w:rsid w:val="00797E5B"/>
    <w:rsid w:val="007A02C0"/>
    <w:rsid w:val="007A0629"/>
    <w:rsid w:val="007A0AB2"/>
    <w:rsid w:val="007A0F45"/>
    <w:rsid w:val="007A146A"/>
    <w:rsid w:val="007A154A"/>
    <w:rsid w:val="007A1812"/>
    <w:rsid w:val="007A19F5"/>
    <w:rsid w:val="007A1A90"/>
    <w:rsid w:val="007A20BB"/>
    <w:rsid w:val="007A2184"/>
    <w:rsid w:val="007A21CE"/>
    <w:rsid w:val="007A2275"/>
    <w:rsid w:val="007A288D"/>
    <w:rsid w:val="007A2A1D"/>
    <w:rsid w:val="007A2B2B"/>
    <w:rsid w:val="007A3118"/>
    <w:rsid w:val="007A334C"/>
    <w:rsid w:val="007A33BC"/>
    <w:rsid w:val="007A3D26"/>
    <w:rsid w:val="007A48EC"/>
    <w:rsid w:val="007A4A11"/>
    <w:rsid w:val="007A4A8F"/>
    <w:rsid w:val="007A4E24"/>
    <w:rsid w:val="007A50EA"/>
    <w:rsid w:val="007A521E"/>
    <w:rsid w:val="007A554D"/>
    <w:rsid w:val="007A579D"/>
    <w:rsid w:val="007A5832"/>
    <w:rsid w:val="007A5DFB"/>
    <w:rsid w:val="007A5E7E"/>
    <w:rsid w:val="007A5EF5"/>
    <w:rsid w:val="007A68CE"/>
    <w:rsid w:val="007A698D"/>
    <w:rsid w:val="007A72BE"/>
    <w:rsid w:val="007A73B7"/>
    <w:rsid w:val="007A7B2D"/>
    <w:rsid w:val="007A7B2F"/>
    <w:rsid w:val="007A7B5F"/>
    <w:rsid w:val="007A7B73"/>
    <w:rsid w:val="007B0001"/>
    <w:rsid w:val="007B00C4"/>
    <w:rsid w:val="007B01AA"/>
    <w:rsid w:val="007B0492"/>
    <w:rsid w:val="007B065A"/>
    <w:rsid w:val="007B06A2"/>
    <w:rsid w:val="007B0ADB"/>
    <w:rsid w:val="007B0AFE"/>
    <w:rsid w:val="007B0CA4"/>
    <w:rsid w:val="007B0E41"/>
    <w:rsid w:val="007B12EA"/>
    <w:rsid w:val="007B1342"/>
    <w:rsid w:val="007B13F2"/>
    <w:rsid w:val="007B17AB"/>
    <w:rsid w:val="007B1B90"/>
    <w:rsid w:val="007B1F11"/>
    <w:rsid w:val="007B25AB"/>
    <w:rsid w:val="007B2AA4"/>
    <w:rsid w:val="007B2E51"/>
    <w:rsid w:val="007B33B1"/>
    <w:rsid w:val="007B357D"/>
    <w:rsid w:val="007B3930"/>
    <w:rsid w:val="007B3B3A"/>
    <w:rsid w:val="007B3C3E"/>
    <w:rsid w:val="007B3C46"/>
    <w:rsid w:val="007B4C9C"/>
    <w:rsid w:val="007B5343"/>
    <w:rsid w:val="007B5458"/>
    <w:rsid w:val="007B6267"/>
    <w:rsid w:val="007B63F7"/>
    <w:rsid w:val="007B704C"/>
    <w:rsid w:val="007B7555"/>
    <w:rsid w:val="007B75AF"/>
    <w:rsid w:val="007B7790"/>
    <w:rsid w:val="007B7884"/>
    <w:rsid w:val="007B7A39"/>
    <w:rsid w:val="007C0139"/>
    <w:rsid w:val="007C0154"/>
    <w:rsid w:val="007C0723"/>
    <w:rsid w:val="007C0A9B"/>
    <w:rsid w:val="007C0E13"/>
    <w:rsid w:val="007C181E"/>
    <w:rsid w:val="007C1880"/>
    <w:rsid w:val="007C25D2"/>
    <w:rsid w:val="007C2B9E"/>
    <w:rsid w:val="007C2C10"/>
    <w:rsid w:val="007C30CC"/>
    <w:rsid w:val="007C3A83"/>
    <w:rsid w:val="007C42B5"/>
    <w:rsid w:val="007C52B6"/>
    <w:rsid w:val="007C5B35"/>
    <w:rsid w:val="007C5B46"/>
    <w:rsid w:val="007C5C60"/>
    <w:rsid w:val="007C5C90"/>
    <w:rsid w:val="007C6067"/>
    <w:rsid w:val="007C63F2"/>
    <w:rsid w:val="007C63FA"/>
    <w:rsid w:val="007C66E5"/>
    <w:rsid w:val="007C6741"/>
    <w:rsid w:val="007C68B1"/>
    <w:rsid w:val="007C69CA"/>
    <w:rsid w:val="007C6AF6"/>
    <w:rsid w:val="007C6F9B"/>
    <w:rsid w:val="007C7216"/>
    <w:rsid w:val="007C749C"/>
    <w:rsid w:val="007C78DA"/>
    <w:rsid w:val="007D008E"/>
    <w:rsid w:val="007D0585"/>
    <w:rsid w:val="007D0BA3"/>
    <w:rsid w:val="007D0DA3"/>
    <w:rsid w:val="007D2234"/>
    <w:rsid w:val="007D2251"/>
    <w:rsid w:val="007D2440"/>
    <w:rsid w:val="007D2474"/>
    <w:rsid w:val="007D26A2"/>
    <w:rsid w:val="007D29F8"/>
    <w:rsid w:val="007D2E6F"/>
    <w:rsid w:val="007D314F"/>
    <w:rsid w:val="007D35CF"/>
    <w:rsid w:val="007D3B39"/>
    <w:rsid w:val="007D3FDB"/>
    <w:rsid w:val="007D469A"/>
    <w:rsid w:val="007D4EDA"/>
    <w:rsid w:val="007D611F"/>
    <w:rsid w:val="007D6DBB"/>
    <w:rsid w:val="007D73DA"/>
    <w:rsid w:val="007D7775"/>
    <w:rsid w:val="007D7852"/>
    <w:rsid w:val="007D7C2E"/>
    <w:rsid w:val="007E089F"/>
    <w:rsid w:val="007E0920"/>
    <w:rsid w:val="007E0D5C"/>
    <w:rsid w:val="007E1060"/>
    <w:rsid w:val="007E1070"/>
    <w:rsid w:val="007E10EC"/>
    <w:rsid w:val="007E13A1"/>
    <w:rsid w:val="007E170D"/>
    <w:rsid w:val="007E2178"/>
    <w:rsid w:val="007E2243"/>
    <w:rsid w:val="007E2307"/>
    <w:rsid w:val="007E27E0"/>
    <w:rsid w:val="007E2C00"/>
    <w:rsid w:val="007E2C8D"/>
    <w:rsid w:val="007E3DF4"/>
    <w:rsid w:val="007E3E4D"/>
    <w:rsid w:val="007E3FF0"/>
    <w:rsid w:val="007E4519"/>
    <w:rsid w:val="007E494E"/>
    <w:rsid w:val="007E49AF"/>
    <w:rsid w:val="007E4B39"/>
    <w:rsid w:val="007E52EA"/>
    <w:rsid w:val="007E55A0"/>
    <w:rsid w:val="007E5658"/>
    <w:rsid w:val="007E5C64"/>
    <w:rsid w:val="007E5FFA"/>
    <w:rsid w:val="007E66C9"/>
    <w:rsid w:val="007E6F53"/>
    <w:rsid w:val="007E6FC6"/>
    <w:rsid w:val="007E6FC8"/>
    <w:rsid w:val="007E72E1"/>
    <w:rsid w:val="007E732E"/>
    <w:rsid w:val="007E74C1"/>
    <w:rsid w:val="007E75C7"/>
    <w:rsid w:val="007F0172"/>
    <w:rsid w:val="007F0377"/>
    <w:rsid w:val="007F0489"/>
    <w:rsid w:val="007F0639"/>
    <w:rsid w:val="007F07D5"/>
    <w:rsid w:val="007F0BC0"/>
    <w:rsid w:val="007F0FBA"/>
    <w:rsid w:val="007F158D"/>
    <w:rsid w:val="007F1D17"/>
    <w:rsid w:val="007F2113"/>
    <w:rsid w:val="007F212F"/>
    <w:rsid w:val="007F25EC"/>
    <w:rsid w:val="007F2C2C"/>
    <w:rsid w:val="007F30E1"/>
    <w:rsid w:val="007F3176"/>
    <w:rsid w:val="007F32EE"/>
    <w:rsid w:val="007F36BB"/>
    <w:rsid w:val="007F3819"/>
    <w:rsid w:val="007F3DA8"/>
    <w:rsid w:val="007F40D8"/>
    <w:rsid w:val="007F4134"/>
    <w:rsid w:val="007F444D"/>
    <w:rsid w:val="007F4660"/>
    <w:rsid w:val="007F47D9"/>
    <w:rsid w:val="007F4F87"/>
    <w:rsid w:val="007F5078"/>
    <w:rsid w:val="007F513A"/>
    <w:rsid w:val="007F5363"/>
    <w:rsid w:val="007F5719"/>
    <w:rsid w:val="007F58F5"/>
    <w:rsid w:val="007F5C32"/>
    <w:rsid w:val="007F6031"/>
    <w:rsid w:val="007F616D"/>
    <w:rsid w:val="007F6423"/>
    <w:rsid w:val="007F79EF"/>
    <w:rsid w:val="007F7DEF"/>
    <w:rsid w:val="00800115"/>
    <w:rsid w:val="00800A1B"/>
    <w:rsid w:val="00800DD2"/>
    <w:rsid w:val="00800F46"/>
    <w:rsid w:val="00801033"/>
    <w:rsid w:val="00801570"/>
    <w:rsid w:val="00801724"/>
    <w:rsid w:val="00801B86"/>
    <w:rsid w:val="00801BEF"/>
    <w:rsid w:val="00801C0B"/>
    <w:rsid w:val="008020FC"/>
    <w:rsid w:val="00802662"/>
    <w:rsid w:val="0080287A"/>
    <w:rsid w:val="00802B1D"/>
    <w:rsid w:val="00803562"/>
    <w:rsid w:val="00803B21"/>
    <w:rsid w:val="00803CA0"/>
    <w:rsid w:val="00803DA2"/>
    <w:rsid w:val="00804048"/>
    <w:rsid w:val="00804917"/>
    <w:rsid w:val="00804B36"/>
    <w:rsid w:val="00804B55"/>
    <w:rsid w:val="00804CE4"/>
    <w:rsid w:val="008051C2"/>
    <w:rsid w:val="008052A1"/>
    <w:rsid w:val="0080588B"/>
    <w:rsid w:val="00805ACA"/>
    <w:rsid w:val="00805B70"/>
    <w:rsid w:val="00806119"/>
    <w:rsid w:val="0080693A"/>
    <w:rsid w:val="00807085"/>
    <w:rsid w:val="00807132"/>
    <w:rsid w:val="00807F68"/>
    <w:rsid w:val="008100B3"/>
    <w:rsid w:val="0081021F"/>
    <w:rsid w:val="00810559"/>
    <w:rsid w:val="008105AD"/>
    <w:rsid w:val="008105B4"/>
    <w:rsid w:val="00810742"/>
    <w:rsid w:val="00810854"/>
    <w:rsid w:val="00810CB4"/>
    <w:rsid w:val="00810F95"/>
    <w:rsid w:val="0081121C"/>
    <w:rsid w:val="00811479"/>
    <w:rsid w:val="008115AA"/>
    <w:rsid w:val="00811684"/>
    <w:rsid w:val="00811DE9"/>
    <w:rsid w:val="00811ED6"/>
    <w:rsid w:val="00811FA5"/>
    <w:rsid w:val="00812225"/>
    <w:rsid w:val="008125F9"/>
    <w:rsid w:val="0081379C"/>
    <w:rsid w:val="008138EC"/>
    <w:rsid w:val="00813EC4"/>
    <w:rsid w:val="00814211"/>
    <w:rsid w:val="00814362"/>
    <w:rsid w:val="00814ABE"/>
    <w:rsid w:val="00815286"/>
    <w:rsid w:val="008152AC"/>
    <w:rsid w:val="0081552E"/>
    <w:rsid w:val="00815874"/>
    <w:rsid w:val="00815B52"/>
    <w:rsid w:val="00816399"/>
    <w:rsid w:val="008166C3"/>
    <w:rsid w:val="00817350"/>
    <w:rsid w:val="008174C8"/>
    <w:rsid w:val="00817514"/>
    <w:rsid w:val="008178C6"/>
    <w:rsid w:val="00817E07"/>
    <w:rsid w:val="00817F82"/>
    <w:rsid w:val="00820342"/>
    <w:rsid w:val="00820AA3"/>
    <w:rsid w:val="00820F53"/>
    <w:rsid w:val="008216FD"/>
    <w:rsid w:val="00821BC9"/>
    <w:rsid w:val="00821FFA"/>
    <w:rsid w:val="00822639"/>
    <w:rsid w:val="00822B08"/>
    <w:rsid w:val="00822DF4"/>
    <w:rsid w:val="00822E4D"/>
    <w:rsid w:val="008235DF"/>
    <w:rsid w:val="00823B99"/>
    <w:rsid w:val="00823D71"/>
    <w:rsid w:val="00823ECA"/>
    <w:rsid w:val="008240E6"/>
    <w:rsid w:val="00824252"/>
    <w:rsid w:val="00824ABA"/>
    <w:rsid w:val="00824B1F"/>
    <w:rsid w:val="00824FEB"/>
    <w:rsid w:val="008251EE"/>
    <w:rsid w:val="0082588B"/>
    <w:rsid w:val="00825DAD"/>
    <w:rsid w:val="0082625A"/>
    <w:rsid w:val="008264A5"/>
    <w:rsid w:val="0082650F"/>
    <w:rsid w:val="00826A95"/>
    <w:rsid w:val="00826E45"/>
    <w:rsid w:val="00827B18"/>
    <w:rsid w:val="0083050D"/>
    <w:rsid w:val="008306E8"/>
    <w:rsid w:val="00830C10"/>
    <w:rsid w:val="00831279"/>
    <w:rsid w:val="00831296"/>
    <w:rsid w:val="0083144D"/>
    <w:rsid w:val="00831B8A"/>
    <w:rsid w:val="00831DF2"/>
    <w:rsid w:val="00831E45"/>
    <w:rsid w:val="00831F4A"/>
    <w:rsid w:val="008320D7"/>
    <w:rsid w:val="00832227"/>
    <w:rsid w:val="00832229"/>
    <w:rsid w:val="008322EF"/>
    <w:rsid w:val="008324E3"/>
    <w:rsid w:val="0083281A"/>
    <w:rsid w:val="00832DD7"/>
    <w:rsid w:val="00833408"/>
    <w:rsid w:val="008335A8"/>
    <w:rsid w:val="00833925"/>
    <w:rsid w:val="00833A6F"/>
    <w:rsid w:val="0083465F"/>
    <w:rsid w:val="00834697"/>
    <w:rsid w:val="008349A2"/>
    <w:rsid w:val="008349CE"/>
    <w:rsid w:val="00834FC5"/>
    <w:rsid w:val="0083542A"/>
    <w:rsid w:val="008355CE"/>
    <w:rsid w:val="00835635"/>
    <w:rsid w:val="008358A4"/>
    <w:rsid w:val="00835BBF"/>
    <w:rsid w:val="00835E61"/>
    <w:rsid w:val="00836557"/>
    <w:rsid w:val="00836768"/>
    <w:rsid w:val="00836E2D"/>
    <w:rsid w:val="0083700D"/>
    <w:rsid w:val="00837015"/>
    <w:rsid w:val="008370AF"/>
    <w:rsid w:val="0083734F"/>
    <w:rsid w:val="008377EA"/>
    <w:rsid w:val="00840009"/>
    <w:rsid w:val="0084031C"/>
    <w:rsid w:val="00840F5E"/>
    <w:rsid w:val="00841284"/>
    <w:rsid w:val="00841568"/>
    <w:rsid w:val="008416C3"/>
    <w:rsid w:val="008418EC"/>
    <w:rsid w:val="008423C0"/>
    <w:rsid w:val="0084245E"/>
    <w:rsid w:val="00842851"/>
    <w:rsid w:val="00842B80"/>
    <w:rsid w:val="00842E68"/>
    <w:rsid w:val="00842EDA"/>
    <w:rsid w:val="00843725"/>
    <w:rsid w:val="00843B05"/>
    <w:rsid w:val="00844277"/>
    <w:rsid w:val="00844390"/>
    <w:rsid w:val="00844418"/>
    <w:rsid w:val="00844AF7"/>
    <w:rsid w:val="00844ED2"/>
    <w:rsid w:val="008451D3"/>
    <w:rsid w:val="008453D0"/>
    <w:rsid w:val="00845602"/>
    <w:rsid w:val="00845E9D"/>
    <w:rsid w:val="00846618"/>
    <w:rsid w:val="00846787"/>
    <w:rsid w:val="00846B49"/>
    <w:rsid w:val="00846F62"/>
    <w:rsid w:val="008474E2"/>
    <w:rsid w:val="00847F1F"/>
    <w:rsid w:val="008504E9"/>
    <w:rsid w:val="00850F6B"/>
    <w:rsid w:val="008512B5"/>
    <w:rsid w:val="00851B5A"/>
    <w:rsid w:val="00851BAC"/>
    <w:rsid w:val="00851D24"/>
    <w:rsid w:val="00852638"/>
    <w:rsid w:val="00852F30"/>
    <w:rsid w:val="00852F5A"/>
    <w:rsid w:val="008533CA"/>
    <w:rsid w:val="008534AD"/>
    <w:rsid w:val="00853815"/>
    <w:rsid w:val="00853827"/>
    <w:rsid w:val="008538BE"/>
    <w:rsid w:val="00853F8B"/>
    <w:rsid w:val="00854B17"/>
    <w:rsid w:val="00854F41"/>
    <w:rsid w:val="00855480"/>
    <w:rsid w:val="00855806"/>
    <w:rsid w:val="00855C1B"/>
    <w:rsid w:val="00855CDD"/>
    <w:rsid w:val="00856C78"/>
    <w:rsid w:val="00857012"/>
    <w:rsid w:val="008570A1"/>
    <w:rsid w:val="00857467"/>
    <w:rsid w:val="00857AEB"/>
    <w:rsid w:val="00857BFF"/>
    <w:rsid w:val="00857D30"/>
    <w:rsid w:val="00857E4F"/>
    <w:rsid w:val="00857EAA"/>
    <w:rsid w:val="0086014C"/>
    <w:rsid w:val="00860284"/>
    <w:rsid w:val="008604F8"/>
    <w:rsid w:val="00860704"/>
    <w:rsid w:val="0086078C"/>
    <w:rsid w:val="00860E2F"/>
    <w:rsid w:val="00861363"/>
    <w:rsid w:val="00861D52"/>
    <w:rsid w:val="00861FD6"/>
    <w:rsid w:val="00862519"/>
    <w:rsid w:val="00863150"/>
    <w:rsid w:val="0086368A"/>
    <w:rsid w:val="00863C43"/>
    <w:rsid w:val="00863E06"/>
    <w:rsid w:val="00863F01"/>
    <w:rsid w:val="00864092"/>
    <w:rsid w:val="00864224"/>
    <w:rsid w:val="00865524"/>
    <w:rsid w:val="00865852"/>
    <w:rsid w:val="008662F5"/>
    <w:rsid w:val="00866369"/>
    <w:rsid w:val="008671C1"/>
    <w:rsid w:val="00867778"/>
    <w:rsid w:val="008679BC"/>
    <w:rsid w:val="00867A73"/>
    <w:rsid w:val="00867B95"/>
    <w:rsid w:val="00867C15"/>
    <w:rsid w:val="00867E03"/>
    <w:rsid w:val="00867FD2"/>
    <w:rsid w:val="008700E8"/>
    <w:rsid w:val="0087033C"/>
    <w:rsid w:val="00870684"/>
    <w:rsid w:val="00870AB3"/>
    <w:rsid w:val="00870D5E"/>
    <w:rsid w:val="00871505"/>
    <w:rsid w:val="00871C2C"/>
    <w:rsid w:val="00871C4E"/>
    <w:rsid w:val="00872787"/>
    <w:rsid w:val="00872A54"/>
    <w:rsid w:val="00872CF5"/>
    <w:rsid w:val="00872D76"/>
    <w:rsid w:val="00872E22"/>
    <w:rsid w:val="00873475"/>
    <w:rsid w:val="0087368E"/>
    <w:rsid w:val="008738CD"/>
    <w:rsid w:val="008744C3"/>
    <w:rsid w:val="00874630"/>
    <w:rsid w:val="008747D1"/>
    <w:rsid w:val="008750C2"/>
    <w:rsid w:val="008752A7"/>
    <w:rsid w:val="0087560D"/>
    <w:rsid w:val="008761D8"/>
    <w:rsid w:val="00876656"/>
    <w:rsid w:val="00876778"/>
    <w:rsid w:val="00876A67"/>
    <w:rsid w:val="00876CD2"/>
    <w:rsid w:val="008776CE"/>
    <w:rsid w:val="00877869"/>
    <w:rsid w:val="00877FE6"/>
    <w:rsid w:val="008809EA"/>
    <w:rsid w:val="00880A33"/>
    <w:rsid w:val="00880B96"/>
    <w:rsid w:val="008816E2"/>
    <w:rsid w:val="008818DF"/>
    <w:rsid w:val="00881914"/>
    <w:rsid w:val="00881942"/>
    <w:rsid w:val="00881C2B"/>
    <w:rsid w:val="0088201B"/>
    <w:rsid w:val="0088242E"/>
    <w:rsid w:val="008824F0"/>
    <w:rsid w:val="0088257F"/>
    <w:rsid w:val="008825E6"/>
    <w:rsid w:val="008828AC"/>
    <w:rsid w:val="00882AA8"/>
    <w:rsid w:val="00882CE4"/>
    <w:rsid w:val="00883889"/>
    <w:rsid w:val="00883A80"/>
    <w:rsid w:val="00883AE4"/>
    <w:rsid w:val="00883CFA"/>
    <w:rsid w:val="00883E8F"/>
    <w:rsid w:val="00883F7C"/>
    <w:rsid w:val="0088460A"/>
    <w:rsid w:val="008849B4"/>
    <w:rsid w:val="00884A89"/>
    <w:rsid w:val="00884BC4"/>
    <w:rsid w:val="00884BCE"/>
    <w:rsid w:val="00884E0B"/>
    <w:rsid w:val="008852D2"/>
    <w:rsid w:val="0088545C"/>
    <w:rsid w:val="00885B73"/>
    <w:rsid w:val="00885D03"/>
    <w:rsid w:val="00885EFE"/>
    <w:rsid w:val="008860E3"/>
    <w:rsid w:val="00886AD3"/>
    <w:rsid w:val="00886F32"/>
    <w:rsid w:val="008872CF"/>
    <w:rsid w:val="0088731E"/>
    <w:rsid w:val="008873CE"/>
    <w:rsid w:val="00890305"/>
    <w:rsid w:val="00890809"/>
    <w:rsid w:val="0089085F"/>
    <w:rsid w:val="00891059"/>
    <w:rsid w:val="008910CA"/>
    <w:rsid w:val="0089114E"/>
    <w:rsid w:val="0089116B"/>
    <w:rsid w:val="00891361"/>
    <w:rsid w:val="00891364"/>
    <w:rsid w:val="008916E7"/>
    <w:rsid w:val="00891F6D"/>
    <w:rsid w:val="00891F72"/>
    <w:rsid w:val="00892DEA"/>
    <w:rsid w:val="0089318E"/>
    <w:rsid w:val="00893477"/>
    <w:rsid w:val="00893CAA"/>
    <w:rsid w:val="0089404F"/>
    <w:rsid w:val="00894077"/>
    <w:rsid w:val="00894184"/>
    <w:rsid w:val="00894B08"/>
    <w:rsid w:val="00894DEE"/>
    <w:rsid w:val="0089542F"/>
    <w:rsid w:val="00896028"/>
    <w:rsid w:val="00896840"/>
    <w:rsid w:val="00897735"/>
    <w:rsid w:val="0089781C"/>
    <w:rsid w:val="00897B59"/>
    <w:rsid w:val="00897F90"/>
    <w:rsid w:val="008A00C3"/>
    <w:rsid w:val="008A0511"/>
    <w:rsid w:val="008A1062"/>
    <w:rsid w:val="008A17B8"/>
    <w:rsid w:val="008A186D"/>
    <w:rsid w:val="008A197D"/>
    <w:rsid w:val="008A1A6E"/>
    <w:rsid w:val="008A1AB2"/>
    <w:rsid w:val="008A1BF3"/>
    <w:rsid w:val="008A245C"/>
    <w:rsid w:val="008A26FB"/>
    <w:rsid w:val="008A2731"/>
    <w:rsid w:val="008A2902"/>
    <w:rsid w:val="008A2AFB"/>
    <w:rsid w:val="008A344D"/>
    <w:rsid w:val="008A490D"/>
    <w:rsid w:val="008A49DD"/>
    <w:rsid w:val="008A4B08"/>
    <w:rsid w:val="008A4B71"/>
    <w:rsid w:val="008A4C75"/>
    <w:rsid w:val="008A4DCC"/>
    <w:rsid w:val="008A4E84"/>
    <w:rsid w:val="008A539A"/>
    <w:rsid w:val="008A59AF"/>
    <w:rsid w:val="008A5B50"/>
    <w:rsid w:val="008A5BF5"/>
    <w:rsid w:val="008A666C"/>
    <w:rsid w:val="008A7337"/>
    <w:rsid w:val="008A7FAE"/>
    <w:rsid w:val="008B06D4"/>
    <w:rsid w:val="008B1F31"/>
    <w:rsid w:val="008B26D4"/>
    <w:rsid w:val="008B2F18"/>
    <w:rsid w:val="008B318D"/>
    <w:rsid w:val="008B35E2"/>
    <w:rsid w:val="008B370D"/>
    <w:rsid w:val="008B3B54"/>
    <w:rsid w:val="008B3EA8"/>
    <w:rsid w:val="008B3F47"/>
    <w:rsid w:val="008B3FCA"/>
    <w:rsid w:val="008B43C5"/>
    <w:rsid w:val="008B50EA"/>
    <w:rsid w:val="008B6037"/>
    <w:rsid w:val="008B60D0"/>
    <w:rsid w:val="008B66FD"/>
    <w:rsid w:val="008B6709"/>
    <w:rsid w:val="008B6BB9"/>
    <w:rsid w:val="008B6D9E"/>
    <w:rsid w:val="008B6FF5"/>
    <w:rsid w:val="008B723D"/>
    <w:rsid w:val="008B738C"/>
    <w:rsid w:val="008B76F8"/>
    <w:rsid w:val="008B7A4C"/>
    <w:rsid w:val="008B7AF6"/>
    <w:rsid w:val="008B7E5A"/>
    <w:rsid w:val="008C003A"/>
    <w:rsid w:val="008C0041"/>
    <w:rsid w:val="008C02E7"/>
    <w:rsid w:val="008C03F0"/>
    <w:rsid w:val="008C096C"/>
    <w:rsid w:val="008C0C71"/>
    <w:rsid w:val="008C1165"/>
    <w:rsid w:val="008C1515"/>
    <w:rsid w:val="008C162C"/>
    <w:rsid w:val="008C1C4B"/>
    <w:rsid w:val="008C2B84"/>
    <w:rsid w:val="008C2FB6"/>
    <w:rsid w:val="008C33FD"/>
    <w:rsid w:val="008C4031"/>
    <w:rsid w:val="008C42BB"/>
    <w:rsid w:val="008C53B1"/>
    <w:rsid w:val="008C556F"/>
    <w:rsid w:val="008C57C1"/>
    <w:rsid w:val="008C59F2"/>
    <w:rsid w:val="008C5BE9"/>
    <w:rsid w:val="008C5C3E"/>
    <w:rsid w:val="008C5CC3"/>
    <w:rsid w:val="008C5DB4"/>
    <w:rsid w:val="008C5F9A"/>
    <w:rsid w:val="008C689E"/>
    <w:rsid w:val="008C6961"/>
    <w:rsid w:val="008C69F4"/>
    <w:rsid w:val="008C6B95"/>
    <w:rsid w:val="008C6BF7"/>
    <w:rsid w:val="008C6DE3"/>
    <w:rsid w:val="008C6F1B"/>
    <w:rsid w:val="008C6F26"/>
    <w:rsid w:val="008C7624"/>
    <w:rsid w:val="008C76FE"/>
    <w:rsid w:val="008C7FF6"/>
    <w:rsid w:val="008D01D7"/>
    <w:rsid w:val="008D0396"/>
    <w:rsid w:val="008D0875"/>
    <w:rsid w:val="008D0C31"/>
    <w:rsid w:val="008D0CF2"/>
    <w:rsid w:val="008D0D01"/>
    <w:rsid w:val="008D0FA5"/>
    <w:rsid w:val="008D10D1"/>
    <w:rsid w:val="008D1453"/>
    <w:rsid w:val="008D16C8"/>
    <w:rsid w:val="008D1C46"/>
    <w:rsid w:val="008D1E33"/>
    <w:rsid w:val="008D2523"/>
    <w:rsid w:val="008D288A"/>
    <w:rsid w:val="008D2BEF"/>
    <w:rsid w:val="008D2C1A"/>
    <w:rsid w:val="008D2FDF"/>
    <w:rsid w:val="008D3155"/>
    <w:rsid w:val="008D317D"/>
    <w:rsid w:val="008D36BE"/>
    <w:rsid w:val="008D37DE"/>
    <w:rsid w:val="008D4116"/>
    <w:rsid w:val="008D4131"/>
    <w:rsid w:val="008D41EB"/>
    <w:rsid w:val="008D4233"/>
    <w:rsid w:val="008D431F"/>
    <w:rsid w:val="008D48D1"/>
    <w:rsid w:val="008D490C"/>
    <w:rsid w:val="008D4CF0"/>
    <w:rsid w:val="008D5324"/>
    <w:rsid w:val="008D5457"/>
    <w:rsid w:val="008D5857"/>
    <w:rsid w:val="008D5A85"/>
    <w:rsid w:val="008D5BAD"/>
    <w:rsid w:val="008D5C05"/>
    <w:rsid w:val="008D5E4A"/>
    <w:rsid w:val="008D5FEE"/>
    <w:rsid w:val="008D6E62"/>
    <w:rsid w:val="008D706C"/>
    <w:rsid w:val="008D72CE"/>
    <w:rsid w:val="008D7381"/>
    <w:rsid w:val="008D795C"/>
    <w:rsid w:val="008D7BAC"/>
    <w:rsid w:val="008D7D8E"/>
    <w:rsid w:val="008D7ED9"/>
    <w:rsid w:val="008D7EEB"/>
    <w:rsid w:val="008D7FAA"/>
    <w:rsid w:val="008E0434"/>
    <w:rsid w:val="008E065D"/>
    <w:rsid w:val="008E0816"/>
    <w:rsid w:val="008E0D4E"/>
    <w:rsid w:val="008E0EE9"/>
    <w:rsid w:val="008E0FCE"/>
    <w:rsid w:val="008E1313"/>
    <w:rsid w:val="008E1706"/>
    <w:rsid w:val="008E1CEA"/>
    <w:rsid w:val="008E20A7"/>
    <w:rsid w:val="008E21D3"/>
    <w:rsid w:val="008E241C"/>
    <w:rsid w:val="008E2B02"/>
    <w:rsid w:val="008E2B8B"/>
    <w:rsid w:val="008E2D9B"/>
    <w:rsid w:val="008E2F19"/>
    <w:rsid w:val="008E2F82"/>
    <w:rsid w:val="008E3040"/>
    <w:rsid w:val="008E311F"/>
    <w:rsid w:val="008E3168"/>
    <w:rsid w:val="008E3794"/>
    <w:rsid w:val="008E3AEF"/>
    <w:rsid w:val="008E3B92"/>
    <w:rsid w:val="008E3D30"/>
    <w:rsid w:val="008E48CC"/>
    <w:rsid w:val="008E4BB5"/>
    <w:rsid w:val="008E4BF2"/>
    <w:rsid w:val="008E4C9B"/>
    <w:rsid w:val="008E4E30"/>
    <w:rsid w:val="008E508B"/>
    <w:rsid w:val="008E515C"/>
    <w:rsid w:val="008E559B"/>
    <w:rsid w:val="008E5BAD"/>
    <w:rsid w:val="008E6033"/>
    <w:rsid w:val="008E6211"/>
    <w:rsid w:val="008E6D81"/>
    <w:rsid w:val="008E71CD"/>
    <w:rsid w:val="008E7587"/>
    <w:rsid w:val="008E7606"/>
    <w:rsid w:val="008E7C43"/>
    <w:rsid w:val="008F0033"/>
    <w:rsid w:val="008F0501"/>
    <w:rsid w:val="008F052E"/>
    <w:rsid w:val="008F0AAE"/>
    <w:rsid w:val="008F1F91"/>
    <w:rsid w:val="008F267B"/>
    <w:rsid w:val="008F2900"/>
    <w:rsid w:val="008F2DDF"/>
    <w:rsid w:val="008F2F43"/>
    <w:rsid w:val="008F3637"/>
    <w:rsid w:val="008F37F4"/>
    <w:rsid w:val="008F3E33"/>
    <w:rsid w:val="008F41E1"/>
    <w:rsid w:val="008F4595"/>
    <w:rsid w:val="008F4857"/>
    <w:rsid w:val="008F496C"/>
    <w:rsid w:val="008F4F75"/>
    <w:rsid w:val="008F51EB"/>
    <w:rsid w:val="008F534E"/>
    <w:rsid w:val="008F5C9E"/>
    <w:rsid w:val="008F5ED2"/>
    <w:rsid w:val="008F66FE"/>
    <w:rsid w:val="008F6718"/>
    <w:rsid w:val="008F6B3A"/>
    <w:rsid w:val="008F6BBD"/>
    <w:rsid w:val="008F7229"/>
    <w:rsid w:val="008F7591"/>
    <w:rsid w:val="008F7868"/>
    <w:rsid w:val="008F7869"/>
    <w:rsid w:val="009009C4"/>
    <w:rsid w:val="00900B02"/>
    <w:rsid w:val="00900E4F"/>
    <w:rsid w:val="00900F49"/>
    <w:rsid w:val="00901297"/>
    <w:rsid w:val="009013CE"/>
    <w:rsid w:val="00901EED"/>
    <w:rsid w:val="00902063"/>
    <w:rsid w:val="0090210A"/>
    <w:rsid w:val="009026C2"/>
    <w:rsid w:val="00902956"/>
    <w:rsid w:val="00902DA3"/>
    <w:rsid w:val="0090300B"/>
    <w:rsid w:val="009031B8"/>
    <w:rsid w:val="009032CB"/>
    <w:rsid w:val="0090353B"/>
    <w:rsid w:val="00903E94"/>
    <w:rsid w:val="0090414A"/>
    <w:rsid w:val="0090458E"/>
    <w:rsid w:val="00906540"/>
    <w:rsid w:val="00906B63"/>
    <w:rsid w:val="009073A9"/>
    <w:rsid w:val="009075A8"/>
    <w:rsid w:val="009078AB"/>
    <w:rsid w:val="00907944"/>
    <w:rsid w:val="00907A59"/>
    <w:rsid w:val="00907DC7"/>
    <w:rsid w:val="00910117"/>
    <w:rsid w:val="00910B16"/>
    <w:rsid w:val="00910B59"/>
    <w:rsid w:val="00910E23"/>
    <w:rsid w:val="009113A6"/>
    <w:rsid w:val="0091141F"/>
    <w:rsid w:val="009118AD"/>
    <w:rsid w:val="00911AE8"/>
    <w:rsid w:val="00911C29"/>
    <w:rsid w:val="00912072"/>
    <w:rsid w:val="00912415"/>
    <w:rsid w:val="009124BD"/>
    <w:rsid w:val="009124E2"/>
    <w:rsid w:val="0091259B"/>
    <w:rsid w:val="009129DA"/>
    <w:rsid w:val="009135F1"/>
    <w:rsid w:val="0091369F"/>
    <w:rsid w:val="009139C2"/>
    <w:rsid w:val="0091412F"/>
    <w:rsid w:val="00914224"/>
    <w:rsid w:val="00914280"/>
    <w:rsid w:val="009145C9"/>
    <w:rsid w:val="009147C7"/>
    <w:rsid w:val="00914878"/>
    <w:rsid w:val="00914BB0"/>
    <w:rsid w:val="00914C3D"/>
    <w:rsid w:val="009152E4"/>
    <w:rsid w:val="0091556A"/>
    <w:rsid w:val="00915689"/>
    <w:rsid w:val="0091568A"/>
    <w:rsid w:val="00915803"/>
    <w:rsid w:val="00915ADD"/>
    <w:rsid w:val="00915BD5"/>
    <w:rsid w:val="00915C31"/>
    <w:rsid w:val="009160E5"/>
    <w:rsid w:val="0091640B"/>
    <w:rsid w:val="009166AA"/>
    <w:rsid w:val="009168A0"/>
    <w:rsid w:val="00916E54"/>
    <w:rsid w:val="009175B9"/>
    <w:rsid w:val="0091766F"/>
    <w:rsid w:val="00917BE8"/>
    <w:rsid w:val="0092057F"/>
    <w:rsid w:val="009209F7"/>
    <w:rsid w:val="00920A5F"/>
    <w:rsid w:val="00920B6B"/>
    <w:rsid w:val="00920C10"/>
    <w:rsid w:val="00920EE8"/>
    <w:rsid w:val="00921865"/>
    <w:rsid w:val="0092192C"/>
    <w:rsid w:val="00921AF7"/>
    <w:rsid w:val="00921CF5"/>
    <w:rsid w:val="00923201"/>
    <w:rsid w:val="00923219"/>
    <w:rsid w:val="009238F7"/>
    <w:rsid w:val="00923951"/>
    <w:rsid w:val="00923D8D"/>
    <w:rsid w:val="00924176"/>
    <w:rsid w:val="0092438C"/>
    <w:rsid w:val="00924A86"/>
    <w:rsid w:val="00924ED7"/>
    <w:rsid w:val="00925167"/>
    <w:rsid w:val="00925168"/>
    <w:rsid w:val="00925314"/>
    <w:rsid w:val="00925362"/>
    <w:rsid w:val="009253DE"/>
    <w:rsid w:val="009257EE"/>
    <w:rsid w:val="00925FF6"/>
    <w:rsid w:val="0092609A"/>
    <w:rsid w:val="0092619F"/>
    <w:rsid w:val="0092624D"/>
    <w:rsid w:val="0092656C"/>
    <w:rsid w:val="00926F93"/>
    <w:rsid w:val="00927286"/>
    <w:rsid w:val="009273E1"/>
    <w:rsid w:val="0092740E"/>
    <w:rsid w:val="0092746A"/>
    <w:rsid w:val="009274BC"/>
    <w:rsid w:val="009278D4"/>
    <w:rsid w:val="009279E6"/>
    <w:rsid w:val="00927E8D"/>
    <w:rsid w:val="00927F31"/>
    <w:rsid w:val="009304FC"/>
    <w:rsid w:val="0093063C"/>
    <w:rsid w:val="00930771"/>
    <w:rsid w:val="00930AF2"/>
    <w:rsid w:val="00930B53"/>
    <w:rsid w:val="00930DB6"/>
    <w:rsid w:val="009311A0"/>
    <w:rsid w:val="009314D6"/>
    <w:rsid w:val="00931567"/>
    <w:rsid w:val="00931DE0"/>
    <w:rsid w:val="00931FD7"/>
    <w:rsid w:val="00932B48"/>
    <w:rsid w:val="00933728"/>
    <w:rsid w:val="0093437E"/>
    <w:rsid w:val="009343A4"/>
    <w:rsid w:val="0093467D"/>
    <w:rsid w:val="00934C09"/>
    <w:rsid w:val="00934D97"/>
    <w:rsid w:val="009351BB"/>
    <w:rsid w:val="0093559E"/>
    <w:rsid w:val="009357CD"/>
    <w:rsid w:val="00935AF8"/>
    <w:rsid w:val="00935CDF"/>
    <w:rsid w:val="00936261"/>
    <w:rsid w:val="00936413"/>
    <w:rsid w:val="00936466"/>
    <w:rsid w:val="0093691D"/>
    <w:rsid w:val="00936FB0"/>
    <w:rsid w:val="00936FB1"/>
    <w:rsid w:val="00937005"/>
    <w:rsid w:val="00937190"/>
    <w:rsid w:val="00937844"/>
    <w:rsid w:val="009378B6"/>
    <w:rsid w:val="00937AE1"/>
    <w:rsid w:val="00940326"/>
    <w:rsid w:val="009405DA"/>
    <w:rsid w:val="009407BB"/>
    <w:rsid w:val="00940A34"/>
    <w:rsid w:val="00941004"/>
    <w:rsid w:val="009412F0"/>
    <w:rsid w:val="009412FD"/>
    <w:rsid w:val="00941405"/>
    <w:rsid w:val="00941822"/>
    <w:rsid w:val="00941875"/>
    <w:rsid w:val="009418FD"/>
    <w:rsid w:val="00941A8F"/>
    <w:rsid w:val="00941E5D"/>
    <w:rsid w:val="00942AC8"/>
    <w:rsid w:val="00942C9F"/>
    <w:rsid w:val="00942CE6"/>
    <w:rsid w:val="0094326A"/>
    <w:rsid w:val="009435DF"/>
    <w:rsid w:val="00943609"/>
    <w:rsid w:val="00943978"/>
    <w:rsid w:val="0094419C"/>
    <w:rsid w:val="0094428C"/>
    <w:rsid w:val="009454B4"/>
    <w:rsid w:val="009454C0"/>
    <w:rsid w:val="0094564F"/>
    <w:rsid w:val="0094638C"/>
    <w:rsid w:val="00947112"/>
    <w:rsid w:val="00947205"/>
    <w:rsid w:val="009475A5"/>
    <w:rsid w:val="009478CE"/>
    <w:rsid w:val="009479AC"/>
    <w:rsid w:val="00947B85"/>
    <w:rsid w:val="009505D7"/>
    <w:rsid w:val="0095073F"/>
    <w:rsid w:val="009509C2"/>
    <w:rsid w:val="00950B2F"/>
    <w:rsid w:val="00951262"/>
    <w:rsid w:val="00951890"/>
    <w:rsid w:val="00951EB2"/>
    <w:rsid w:val="00951FA6"/>
    <w:rsid w:val="00952AD4"/>
    <w:rsid w:val="00952DF6"/>
    <w:rsid w:val="00953861"/>
    <w:rsid w:val="00953C60"/>
    <w:rsid w:val="00953C95"/>
    <w:rsid w:val="00953D6D"/>
    <w:rsid w:val="00953DCE"/>
    <w:rsid w:val="00955743"/>
    <w:rsid w:val="0095599C"/>
    <w:rsid w:val="00955BA2"/>
    <w:rsid w:val="00955FF1"/>
    <w:rsid w:val="0095639B"/>
    <w:rsid w:val="0095644E"/>
    <w:rsid w:val="009565DA"/>
    <w:rsid w:val="00956B3A"/>
    <w:rsid w:val="009577F8"/>
    <w:rsid w:val="00960003"/>
    <w:rsid w:val="009606DD"/>
    <w:rsid w:val="009607F2"/>
    <w:rsid w:val="00960948"/>
    <w:rsid w:val="00960C21"/>
    <w:rsid w:val="009612F2"/>
    <w:rsid w:val="00961E9D"/>
    <w:rsid w:val="009622E6"/>
    <w:rsid w:val="00962EC1"/>
    <w:rsid w:val="009635C9"/>
    <w:rsid w:val="00963D47"/>
    <w:rsid w:val="00964350"/>
    <w:rsid w:val="00965101"/>
    <w:rsid w:val="00965470"/>
    <w:rsid w:val="00965B5C"/>
    <w:rsid w:val="00966262"/>
    <w:rsid w:val="00966F34"/>
    <w:rsid w:val="00966F41"/>
    <w:rsid w:val="00967825"/>
    <w:rsid w:val="00971EF7"/>
    <w:rsid w:val="00971F20"/>
    <w:rsid w:val="009720D8"/>
    <w:rsid w:val="00972331"/>
    <w:rsid w:val="009728AC"/>
    <w:rsid w:val="00972EF9"/>
    <w:rsid w:val="00973D01"/>
    <w:rsid w:val="009741EF"/>
    <w:rsid w:val="00974391"/>
    <w:rsid w:val="00974721"/>
    <w:rsid w:val="00974897"/>
    <w:rsid w:val="00974B75"/>
    <w:rsid w:val="00974D64"/>
    <w:rsid w:val="00974D9F"/>
    <w:rsid w:val="009755B0"/>
    <w:rsid w:val="00975EEF"/>
    <w:rsid w:val="0097724F"/>
    <w:rsid w:val="009774DB"/>
    <w:rsid w:val="0098026B"/>
    <w:rsid w:val="00980373"/>
    <w:rsid w:val="0098061D"/>
    <w:rsid w:val="00980B96"/>
    <w:rsid w:val="00980CFC"/>
    <w:rsid w:val="009811DF"/>
    <w:rsid w:val="009815D4"/>
    <w:rsid w:val="00982023"/>
    <w:rsid w:val="00982ECA"/>
    <w:rsid w:val="009831A7"/>
    <w:rsid w:val="009834D3"/>
    <w:rsid w:val="0098366E"/>
    <w:rsid w:val="0098368A"/>
    <w:rsid w:val="00983A56"/>
    <w:rsid w:val="00983BCD"/>
    <w:rsid w:val="009840CD"/>
    <w:rsid w:val="009840F3"/>
    <w:rsid w:val="0098432B"/>
    <w:rsid w:val="00984940"/>
    <w:rsid w:val="0098495C"/>
    <w:rsid w:val="0098542C"/>
    <w:rsid w:val="009857A5"/>
    <w:rsid w:val="00985852"/>
    <w:rsid w:val="00985B6A"/>
    <w:rsid w:val="00985C80"/>
    <w:rsid w:val="009862D1"/>
    <w:rsid w:val="009867F7"/>
    <w:rsid w:val="009869A6"/>
    <w:rsid w:val="009869B1"/>
    <w:rsid w:val="00986AD8"/>
    <w:rsid w:val="00986CAA"/>
    <w:rsid w:val="0098790E"/>
    <w:rsid w:val="00990791"/>
    <w:rsid w:val="009910EC"/>
    <w:rsid w:val="00991885"/>
    <w:rsid w:val="00991B84"/>
    <w:rsid w:val="0099207D"/>
    <w:rsid w:val="0099225F"/>
    <w:rsid w:val="00992579"/>
    <w:rsid w:val="009926E1"/>
    <w:rsid w:val="00992A7F"/>
    <w:rsid w:val="00992B7E"/>
    <w:rsid w:val="00992EA2"/>
    <w:rsid w:val="009932C9"/>
    <w:rsid w:val="0099338E"/>
    <w:rsid w:val="009935AD"/>
    <w:rsid w:val="009935DF"/>
    <w:rsid w:val="009938D2"/>
    <w:rsid w:val="009942CF"/>
    <w:rsid w:val="00994E8A"/>
    <w:rsid w:val="00995328"/>
    <w:rsid w:val="009955ED"/>
    <w:rsid w:val="00995A96"/>
    <w:rsid w:val="00995D6E"/>
    <w:rsid w:val="00996C39"/>
    <w:rsid w:val="00996CD7"/>
    <w:rsid w:val="00996DC2"/>
    <w:rsid w:val="009975EF"/>
    <w:rsid w:val="009A00FB"/>
    <w:rsid w:val="009A02BD"/>
    <w:rsid w:val="009A04E9"/>
    <w:rsid w:val="009A05EB"/>
    <w:rsid w:val="009A0AB2"/>
    <w:rsid w:val="009A2357"/>
    <w:rsid w:val="009A28A5"/>
    <w:rsid w:val="009A2A80"/>
    <w:rsid w:val="009A2E09"/>
    <w:rsid w:val="009A2EA3"/>
    <w:rsid w:val="009A3785"/>
    <w:rsid w:val="009A37A3"/>
    <w:rsid w:val="009A39AB"/>
    <w:rsid w:val="009A3E5C"/>
    <w:rsid w:val="009A4524"/>
    <w:rsid w:val="009A461F"/>
    <w:rsid w:val="009A469C"/>
    <w:rsid w:val="009A4890"/>
    <w:rsid w:val="009A5C6D"/>
    <w:rsid w:val="009A5CAC"/>
    <w:rsid w:val="009A5CF7"/>
    <w:rsid w:val="009A5D90"/>
    <w:rsid w:val="009A65A4"/>
    <w:rsid w:val="009A66FD"/>
    <w:rsid w:val="009A6941"/>
    <w:rsid w:val="009A7729"/>
    <w:rsid w:val="009A7827"/>
    <w:rsid w:val="009B0AB3"/>
    <w:rsid w:val="009B0B6A"/>
    <w:rsid w:val="009B10A7"/>
    <w:rsid w:val="009B10DA"/>
    <w:rsid w:val="009B12A3"/>
    <w:rsid w:val="009B1747"/>
    <w:rsid w:val="009B1BD2"/>
    <w:rsid w:val="009B1D4F"/>
    <w:rsid w:val="009B1E61"/>
    <w:rsid w:val="009B2299"/>
    <w:rsid w:val="009B2A99"/>
    <w:rsid w:val="009B2ACE"/>
    <w:rsid w:val="009B2B6B"/>
    <w:rsid w:val="009B2BD5"/>
    <w:rsid w:val="009B30CB"/>
    <w:rsid w:val="009B3F07"/>
    <w:rsid w:val="009B4247"/>
    <w:rsid w:val="009B42C9"/>
    <w:rsid w:val="009B4740"/>
    <w:rsid w:val="009B4918"/>
    <w:rsid w:val="009B4A39"/>
    <w:rsid w:val="009B4FFB"/>
    <w:rsid w:val="009B54F8"/>
    <w:rsid w:val="009B5613"/>
    <w:rsid w:val="009B58AF"/>
    <w:rsid w:val="009B5B17"/>
    <w:rsid w:val="009B5BB2"/>
    <w:rsid w:val="009B5EAB"/>
    <w:rsid w:val="009B6583"/>
    <w:rsid w:val="009B6E4B"/>
    <w:rsid w:val="009B6E59"/>
    <w:rsid w:val="009B7257"/>
    <w:rsid w:val="009B790B"/>
    <w:rsid w:val="009B7933"/>
    <w:rsid w:val="009C0332"/>
    <w:rsid w:val="009C08BC"/>
    <w:rsid w:val="009C10C7"/>
    <w:rsid w:val="009C12B5"/>
    <w:rsid w:val="009C1357"/>
    <w:rsid w:val="009C15D5"/>
    <w:rsid w:val="009C1C09"/>
    <w:rsid w:val="009C1D94"/>
    <w:rsid w:val="009C2474"/>
    <w:rsid w:val="009C260E"/>
    <w:rsid w:val="009C28B0"/>
    <w:rsid w:val="009C29FE"/>
    <w:rsid w:val="009C3075"/>
    <w:rsid w:val="009C3261"/>
    <w:rsid w:val="009C358E"/>
    <w:rsid w:val="009C35EC"/>
    <w:rsid w:val="009C3EA1"/>
    <w:rsid w:val="009C40C3"/>
    <w:rsid w:val="009C4136"/>
    <w:rsid w:val="009C4206"/>
    <w:rsid w:val="009C457C"/>
    <w:rsid w:val="009C46F2"/>
    <w:rsid w:val="009C4756"/>
    <w:rsid w:val="009C47D2"/>
    <w:rsid w:val="009C4BA0"/>
    <w:rsid w:val="009C532F"/>
    <w:rsid w:val="009C57C3"/>
    <w:rsid w:val="009C72DE"/>
    <w:rsid w:val="009C755D"/>
    <w:rsid w:val="009C75BD"/>
    <w:rsid w:val="009C78E0"/>
    <w:rsid w:val="009C79BD"/>
    <w:rsid w:val="009D00FC"/>
    <w:rsid w:val="009D03CD"/>
    <w:rsid w:val="009D0DAA"/>
    <w:rsid w:val="009D1985"/>
    <w:rsid w:val="009D19D4"/>
    <w:rsid w:val="009D228C"/>
    <w:rsid w:val="009D26B8"/>
    <w:rsid w:val="009D2772"/>
    <w:rsid w:val="009D2810"/>
    <w:rsid w:val="009D28D4"/>
    <w:rsid w:val="009D2F29"/>
    <w:rsid w:val="009D2F36"/>
    <w:rsid w:val="009D32F3"/>
    <w:rsid w:val="009D32FA"/>
    <w:rsid w:val="009D36EE"/>
    <w:rsid w:val="009D3754"/>
    <w:rsid w:val="009D3FFD"/>
    <w:rsid w:val="009D403C"/>
    <w:rsid w:val="009D4D1F"/>
    <w:rsid w:val="009D4DFC"/>
    <w:rsid w:val="009D55AD"/>
    <w:rsid w:val="009D58E1"/>
    <w:rsid w:val="009D5CDD"/>
    <w:rsid w:val="009D5FC4"/>
    <w:rsid w:val="009D6064"/>
    <w:rsid w:val="009D6B1E"/>
    <w:rsid w:val="009D6B45"/>
    <w:rsid w:val="009D6E11"/>
    <w:rsid w:val="009D7387"/>
    <w:rsid w:val="009D7539"/>
    <w:rsid w:val="009D7646"/>
    <w:rsid w:val="009D7893"/>
    <w:rsid w:val="009E077E"/>
    <w:rsid w:val="009E0D8C"/>
    <w:rsid w:val="009E1028"/>
    <w:rsid w:val="009E16A7"/>
    <w:rsid w:val="009E1AC6"/>
    <w:rsid w:val="009E239B"/>
    <w:rsid w:val="009E24E8"/>
    <w:rsid w:val="009E260E"/>
    <w:rsid w:val="009E35DD"/>
    <w:rsid w:val="009E37E9"/>
    <w:rsid w:val="009E3B10"/>
    <w:rsid w:val="009E3CC8"/>
    <w:rsid w:val="009E3FD7"/>
    <w:rsid w:val="009E461D"/>
    <w:rsid w:val="009E4C04"/>
    <w:rsid w:val="009E4EC2"/>
    <w:rsid w:val="009E5605"/>
    <w:rsid w:val="009E567A"/>
    <w:rsid w:val="009E5916"/>
    <w:rsid w:val="009E5DE5"/>
    <w:rsid w:val="009E6715"/>
    <w:rsid w:val="009E6E06"/>
    <w:rsid w:val="009E76D8"/>
    <w:rsid w:val="009E7C60"/>
    <w:rsid w:val="009F0282"/>
    <w:rsid w:val="009F0E79"/>
    <w:rsid w:val="009F1328"/>
    <w:rsid w:val="009F13E4"/>
    <w:rsid w:val="009F1425"/>
    <w:rsid w:val="009F1476"/>
    <w:rsid w:val="009F18DE"/>
    <w:rsid w:val="009F1B0D"/>
    <w:rsid w:val="009F2464"/>
    <w:rsid w:val="009F2503"/>
    <w:rsid w:val="009F28F3"/>
    <w:rsid w:val="009F2A8F"/>
    <w:rsid w:val="009F2BD4"/>
    <w:rsid w:val="009F3748"/>
    <w:rsid w:val="009F387C"/>
    <w:rsid w:val="009F3A78"/>
    <w:rsid w:val="009F3B3E"/>
    <w:rsid w:val="009F3BC2"/>
    <w:rsid w:val="009F3C17"/>
    <w:rsid w:val="009F422E"/>
    <w:rsid w:val="009F475B"/>
    <w:rsid w:val="009F4870"/>
    <w:rsid w:val="009F495C"/>
    <w:rsid w:val="009F4AD9"/>
    <w:rsid w:val="009F4CDF"/>
    <w:rsid w:val="009F4E34"/>
    <w:rsid w:val="009F4F2C"/>
    <w:rsid w:val="009F5027"/>
    <w:rsid w:val="009F57FC"/>
    <w:rsid w:val="009F59EC"/>
    <w:rsid w:val="009F6888"/>
    <w:rsid w:val="009F6C95"/>
    <w:rsid w:val="009F72DB"/>
    <w:rsid w:val="009F73FA"/>
    <w:rsid w:val="009F79DC"/>
    <w:rsid w:val="009F7B0D"/>
    <w:rsid w:val="009F7EA5"/>
    <w:rsid w:val="00A000E9"/>
    <w:rsid w:val="00A00764"/>
    <w:rsid w:val="00A0082E"/>
    <w:rsid w:val="00A00973"/>
    <w:rsid w:val="00A00A44"/>
    <w:rsid w:val="00A00E90"/>
    <w:rsid w:val="00A012E7"/>
    <w:rsid w:val="00A01850"/>
    <w:rsid w:val="00A01AE3"/>
    <w:rsid w:val="00A01DA9"/>
    <w:rsid w:val="00A024EF"/>
    <w:rsid w:val="00A02D19"/>
    <w:rsid w:val="00A030B0"/>
    <w:rsid w:val="00A03107"/>
    <w:rsid w:val="00A03A76"/>
    <w:rsid w:val="00A047DD"/>
    <w:rsid w:val="00A04CE5"/>
    <w:rsid w:val="00A05441"/>
    <w:rsid w:val="00A0548C"/>
    <w:rsid w:val="00A0560D"/>
    <w:rsid w:val="00A0571F"/>
    <w:rsid w:val="00A057B9"/>
    <w:rsid w:val="00A05942"/>
    <w:rsid w:val="00A05A1C"/>
    <w:rsid w:val="00A05C20"/>
    <w:rsid w:val="00A05EF3"/>
    <w:rsid w:val="00A05FFD"/>
    <w:rsid w:val="00A064AB"/>
    <w:rsid w:val="00A069B8"/>
    <w:rsid w:val="00A06D26"/>
    <w:rsid w:val="00A1019B"/>
    <w:rsid w:val="00A103BC"/>
    <w:rsid w:val="00A10573"/>
    <w:rsid w:val="00A105B1"/>
    <w:rsid w:val="00A10C4B"/>
    <w:rsid w:val="00A10CE2"/>
    <w:rsid w:val="00A10CEB"/>
    <w:rsid w:val="00A11A4D"/>
    <w:rsid w:val="00A11B04"/>
    <w:rsid w:val="00A11EED"/>
    <w:rsid w:val="00A124CE"/>
    <w:rsid w:val="00A12C4E"/>
    <w:rsid w:val="00A12F46"/>
    <w:rsid w:val="00A13582"/>
    <w:rsid w:val="00A1428A"/>
    <w:rsid w:val="00A1456F"/>
    <w:rsid w:val="00A148F1"/>
    <w:rsid w:val="00A14D2E"/>
    <w:rsid w:val="00A14D5A"/>
    <w:rsid w:val="00A152B7"/>
    <w:rsid w:val="00A15391"/>
    <w:rsid w:val="00A158B7"/>
    <w:rsid w:val="00A15A19"/>
    <w:rsid w:val="00A15C7E"/>
    <w:rsid w:val="00A16222"/>
    <w:rsid w:val="00A162A8"/>
    <w:rsid w:val="00A164A0"/>
    <w:rsid w:val="00A164C2"/>
    <w:rsid w:val="00A17330"/>
    <w:rsid w:val="00A1770C"/>
    <w:rsid w:val="00A177CF"/>
    <w:rsid w:val="00A17A23"/>
    <w:rsid w:val="00A20317"/>
    <w:rsid w:val="00A2046D"/>
    <w:rsid w:val="00A204E9"/>
    <w:rsid w:val="00A20DB8"/>
    <w:rsid w:val="00A21078"/>
    <w:rsid w:val="00A211B6"/>
    <w:rsid w:val="00A214B7"/>
    <w:rsid w:val="00A21719"/>
    <w:rsid w:val="00A2193B"/>
    <w:rsid w:val="00A21E47"/>
    <w:rsid w:val="00A21FC9"/>
    <w:rsid w:val="00A2268F"/>
    <w:rsid w:val="00A22801"/>
    <w:rsid w:val="00A22A6C"/>
    <w:rsid w:val="00A22DA8"/>
    <w:rsid w:val="00A22FBF"/>
    <w:rsid w:val="00A238FA"/>
    <w:rsid w:val="00A23B37"/>
    <w:rsid w:val="00A23D26"/>
    <w:rsid w:val="00A241EC"/>
    <w:rsid w:val="00A246B4"/>
    <w:rsid w:val="00A25D72"/>
    <w:rsid w:val="00A25DEC"/>
    <w:rsid w:val="00A25FFF"/>
    <w:rsid w:val="00A26396"/>
    <w:rsid w:val="00A263AE"/>
    <w:rsid w:val="00A26524"/>
    <w:rsid w:val="00A26571"/>
    <w:rsid w:val="00A26C15"/>
    <w:rsid w:val="00A27DF2"/>
    <w:rsid w:val="00A27F4B"/>
    <w:rsid w:val="00A3023A"/>
    <w:rsid w:val="00A304D5"/>
    <w:rsid w:val="00A30641"/>
    <w:rsid w:val="00A30689"/>
    <w:rsid w:val="00A30720"/>
    <w:rsid w:val="00A309FC"/>
    <w:rsid w:val="00A30B99"/>
    <w:rsid w:val="00A30D9A"/>
    <w:rsid w:val="00A31006"/>
    <w:rsid w:val="00A31060"/>
    <w:rsid w:val="00A31086"/>
    <w:rsid w:val="00A31424"/>
    <w:rsid w:val="00A3147D"/>
    <w:rsid w:val="00A315D1"/>
    <w:rsid w:val="00A317A3"/>
    <w:rsid w:val="00A319A0"/>
    <w:rsid w:val="00A31F29"/>
    <w:rsid w:val="00A32FD7"/>
    <w:rsid w:val="00A334DB"/>
    <w:rsid w:val="00A335FC"/>
    <w:rsid w:val="00A3360B"/>
    <w:rsid w:val="00A33727"/>
    <w:rsid w:val="00A33BC5"/>
    <w:rsid w:val="00A3414C"/>
    <w:rsid w:val="00A347CF"/>
    <w:rsid w:val="00A34AF8"/>
    <w:rsid w:val="00A359FC"/>
    <w:rsid w:val="00A35DDB"/>
    <w:rsid w:val="00A36213"/>
    <w:rsid w:val="00A3632C"/>
    <w:rsid w:val="00A36852"/>
    <w:rsid w:val="00A36B09"/>
    <w:rsid w:val="00A40DB8"/>
    <w:rsid w:val="00A40F71"/>
    <w:rsid w:val="00A41178"/>
    <w:rsid w:val="00A41752"/>
    <w:rsid w:val="00A41A05"/>
    <w:rsid w:val="00A41BCE"/>
    <w:rsid w:val="00A41D3B"/>
    <w:rsid w:val="00A41EB6"/>
    <w:rsid w:val="00A42461"/>
    <w:rsid w:val="00A426AA"/>
    <w:rsid w:val="00A42FCD"/>
    <w:rsid w:val="00A4321F"/>
    <w:rsid w:val="00A43A53"/>
    <w:rsid w:val="00A43B01"/>
    <w:rsid w:val="00A43BAF"/>
    <w:rsid w:val="00A43F01"/>
    <w:rsid w:val="00A43F9D"/>
    <w:rsid w:val="00A43F9F"/>
    <w:rsid w:val="00A44001"/>
    <w:rsid w:val="00A4431A"/>
    <w:rsid w:val="00A447F8"/>
    <w:rsid w:val="00A45514"/>
    <w:rsid w:val="00A45A43"/>
    <w:rsid w:val="00A45A6B"/>
    <w:rsid w:val="00A45F5C"/>
    <w:rsid w:val="00A46295"/>
    <w:rsid w:val="00A4641B"/>
    <w:rsid w:val="00A469D3"/>
    <w:rsid w:val="00A46AB6"/>
    <w:rsid w:val="00A46C65"/>
    <w:rsid w:val="00A46FBD"/>
    <w:rsid w:val="00A4707A"/>
    <w:rsid w:val="00A47ABC"/>
    <w:rsid w:val="00A47ED0"/>
    <w:rsid w:val="00A50136"/>
    <w:rsid w:val="00A504B1"/>
    <w:rsid w:val="00A5131C"/>
    <w:rsid w:val="00A51507"/>
    <w:rsid w:val="00A51596"/>
    <w:rsid w:val="00A5167E"/>
    <w:rsid w:val="00A51965"/>
    <w:rsid w:val="00A51DAA"/>
    <w:rsid w:val="00A528E1"/>
    <w:rsid w:val="00A52BE8"/>
    <w:rsid w:val="00A52C8B"/>
    <w:rsid w:val="00A533EC"/>
    <w:rsid w:val="00A53497"/>
    <w:rsid w:val="00A53AB8"/>
    <w:rsid w:val="00A53D20"/>
    <w:rsid w:val="00A548A8"/>
    <w:rsid w:val="00A54944"/>
    <w:rsid w:val="00A54C62"/>
    <w:rsid w:val="00A54FD8"/>
    <w:rsid w:val="00A5556C"/>
    <w:rsid w:val="00A56196"/>
    <w:rsid w:val="00A56355"/>
    <w:rsid w:val="00A56461"/>
    <w:rsid w:val="00A5647E"/>
    <w:rsid w:val="00A566E0"/>
    <w:rsid w:val="00A56706"/>
    <w:rsid w:val="00A56907"/>
    <w:rsid w:val="00A56C50"/>
    <w:rsid w:val="00A56D07"/>
    <w:rsid w:val="00A5728A"/>
    <w:rsid w:val="00A5770A"/>
    <w:rsid w:val="00A5792B"/>
    <w:rsid w:val="00A57CAD"/>
    <w:rsid w:val="00A57FFA"/>
    <w:rsid w:val="00A60249"/>
    <w:rsid w:val="00A6094A"/>
    <w:rsid w:val="00A609E7"/>
    <w:rsid w:val="00A61F23"/>
    <w:rsid w:val="00A6204A"/>
    <w:rsid w:val="00A6215C"/>
    <w:rsid w:val="00A622D8"/>
    <w:rsid w:val="00A622FC"/>
    <w:rsid w:val="00A62782"/>
    <w:rsid w:val="00A630C2"/>
    <w:rsid w:val="00A63381"/>
    <w:rsid w:val="00A6391A"/>
    <w:rsid w:val="00A63CA4"/>
    <w:rsid w:val="00A64755"/>
    <w:rsid w:val="00A6491D"/>
    <w:rsid w:val="00A64AF4"/>
    <w:rsid w:val="00A64D6A"/>
    <w:rsid w:val="00A64F8F"/>
    <w:rsid w:val="00A65205"/>
    <w:rsid w:val="00A6578E"/>
    <w:rsid w:val="00A657DA"/>
    <w:rsid w:val="00A667EA"/>
    <w:rsid w:val="00A668A8"/>
    <w:rsid w:val="00A66D3B"/>
    <w:rsid w:val="00A67314"/>
    <w:rsid w:val="00A675A6"/>
    <w:rsid w:val="00A67BDB"/>
    <w:rsid w:val="00A67EB2"/>
    <w:rsid w:val="00A7027B"/>
    <w:rsid w:val="00A702A2"/>
    <w:rsid w:val="00A70433"/>
    <w:rsid w:val="00A709A2"/>
    <w:rsid w:val="00A70E66"/>
    <w:rsid w:val="00A7114F"/>
    <w:rsid w:val="00A72169"/>
    <w:rsid w:val="00A72461"/>
    <w:rsid w:val="00A726A0"/>
    <w:rsid w:val="00A729F2"/>
    <w:rsid w:val="00A72A43"/>
    <w:rsid w:val="00A72CCC"/>
    <w:rsid w:val="00A73086"/>
    <w:rsid w:val="00A73494"/>
    <w:rsid w:val="00A7366F"/>
    <w:rsid w:val="00A737E4"/>
    <w:rsid w:val="00A73FB3"/>
    <w:rsid w:val="00A74337"/>
    <w:rsid w:val="00A7458A"/>
    <w:rsid w:val="00A749AD"/>
    <w:rsid w:val="00A7557A"/>
    <w:rsid w:val="00A7565B"/>
    <w:rsid w:val="00A75719"/>
    <w:rsid w:val="00A76F1B"/>
    <w:rsid w:val="00A773A7"/>
    <w:rsid w:val="00A773FE"/>
    <w:rsid w:val="00A77525"/>
    <w:rsid w:val="00A800BF"/>
    <w:rsid w:val="00A801D8"/>
    <w:rsid w:val="00A80234"/>
    <w:rsid w:val="00A8023B"/>
    <w:rsid w:val="00A802EE"/>
    <w:rsid w:val="00A806ED"/>
    <w:rsid w:val="00A8083C"/>
    <w:rsid w:val="00A80D21"/>
    <w:rsid w:val="00A80E33"/>
    <w:rsid w:val="00A80FEA"/>
    <w:rsid w:val="00A810D1"/>
    <w:rsid w:val="00A812D4"/>
    <w:rsid w:val="00A8150E"/>
    <w:rsid w:val="00A81D7C"/>
    <w:rsid w:val="00A81E67"/>
    <w:rsid w:val="00A81F54"/>
    <w:rsid w:val="00A81FCA"/>
    <w:rsid w:val="00A82064"/>
    <w:rsid w:val="00A8212C"/>
    <w:rsid w:val="00A82525"/>
    <w:rsid w:val="00A8274B"/>
    <w:rsid w:val="00A8298C"/>
    <w:rsid w:val="00A83830"/>
    <w:rsid w:val="00A83B10"/>
    <w:rsid w:val="00A83CA2"/>
    <w:rsid w:val="00A83F90"/>
    <w:rsid w:val="00A8482B"/>
    <w:rsid w:val="00A8499D"/>
    <w:rsid w:val="00A84B0C"/>
    <w:rsid w:val="00A852AC"/>
    <w:rsid w:val="00A85846"/>
    <w:rsid w:val="00A85E0B"/>
    <w:rsid w:val="00A86B6E"/>
    <w:rsid w:val="00A86D05"/>
    <w:rsid w:val="00A86E95"/>
    <w:rsid w:val="00A86FE8"/>
    <w:rsid w:val="00A87D58"/>
    <w:rsid w:val="00A87FB9"/>
    <w:rsid w:val="00A90947"/>
    <w:rsid w:val="00A90A7E"/>
    <w:rsid w:val="00A9105F"/>
    <w:rsid w:val="00A91A0E"/>
    <w:rsid w:val="00A91AC6"/>
    <w:rsid w:val="00A91D1C"/>
    <w:rsid w:val="00A92154"/>
    <w:rsid w:val="00A9225F"/>
    <w:rsid w:val="00A9238F"/>
    <w:rsid w:val="00A92A33"/>
    <w:rsid w:val="00A9341E"/>
    <w:rsid w:val="00A93F23"/>
    <w:rsid w:val="00A9419E"/>
    <w:rsid w:val="00A941C1"/>
    <w:rsid w:val="00A94A55"/>
    <w:rsid w:val="00A94D27"/>
    <w:rsid w:val="00A95502"/>
    <w:rsid w:val="00A955B8"/>
    <w:rsid w:val="00A959E2"/>
    <w:rsid w:val="00A95CB3"/>
    <w:rsid w:val="00A9604D"/>
    <w:rsid w:val="00A96701"/>
    <w:rsid w:val="00A96ABC"/>
    <w:rsid w:val="00A96CE5"/>
    <w:rsid w:val="00A96DDE"/>
    <w:rsid w:val="00A971D9"/>
    <w:rsid w:val="00A97216"/>
    <w:rsid w:val="00A9725A"/>
    <w:rsid w:val="00A97675"/>
    <w:rsid w:val="00A978A8"/>
    <w:rsid w:val="00A97D10"/>
    <w:rsid w:val="00A97D54"/>
    <w:rsid w:val="00AA009F"/>
    <w:rsid w:val="00AA02AF"/>
    <w:rsid w:val="00AA049F"/>
    <w:rsid w:val="00AA05FA"/>
    <w:rsid w:val="00AA065A"/>
    <w:rsid w:val="00AA08FF"/>
    <w:rsid w:val="00AA0BDD"/>
    <w:rsid w:val="00AA0DAD"/>
    <w:rsid w:val="00AA1645"/>
    <w:rsid w:val="00AA1C03"/>
    <w:rsid w:val="00AA25C6"/>
    <w:rsid w:val="00AA2C98"/>
    <w:rsid w:val="00AA2E8D"/>
    <w:rsid w:val="00AA3049"/>
    <w:rsid w:val="00AA31BA"/>
    <w:rsid w:val="00AA3CD5"/>
    <w:rsid w:val="00AA40E1"/>
    <w:rsid w:val="00AA4125"/>
    <w:rsid w:val="00AA4224"/>
    <w:rsid w:val="00AA4507"/>
    <w:rsid w:val="00AA4703"/>
    <w:rsid w:val="00AA4764"/>
    <w:rsid w:val="00AA56C3"/>
    <w:rsid w:val="00AA5D60"/>
    <w:rsid w:val="00AA6231"/>
    <w:rsid w:val="00AA6B90"/>
    <w:rsid w:val="00AA6E9C"/>
    <w:rsid w:val="00AA6F85"/>
    <w:rsid w:val="00AA75DC"/>
    <w:rsid w:val="00AA76B6"/>
    <w:rsid w:val="00AA7EFF"/>
    <w:rsid w:val="00AA7F0B"/>
    <w:rsid w:val="00AB012D"/>
    <w:rsid w:val="00AB04BE"/>
    <w:rsid w:val="00AB0795"/>
    <w:rsid w:val="00AB0CF5"/>
    <w:rsid w:val="00AB10EB"/>
    <w:rsid w:val="00AB13FA"/>
    <w:rsid w:val="00AB1770"/>
    <w:rsid w:val="00AB17DB"/>
    <w:rsid w:val="00AB1936"/>
    <w:rsid w:val="00AB1A22"/>
    <w:rsid w:val="00AB1A41"/>
    <w:rsid w:val="00AB1B2B"/>
    <w:rsid w:val="00AB1EDA"/>
    <w:rsid w:val="00AB2685"/>
    <w:rsid w:val="00AB2CFF"/>
    <w:rsid w:val="00AB2D4D"/>
    <w:rsid w:val="00AB3619"/>
    <w:rsid w:val="00AB3D25"/>
    <w:rsid w:val="00AB465F"/>
    <w:rsid w:val="00AB4A25"/>
    <w:rsid w:val="00AB4EF8"/>
    <w:rsid w:val="00AB533C"/>
    <w:rsid w:val="00AB5BEC"/>
    <w:rsid w:val="00AB5E5E"/>
    <w:rsid w:val="00AB662C"/>
    <w:rsid w:val="00AB66BB"/>
    <w:rsid w:val="00AB6A1A"/>
    <w:rsid w:val="00AB6F32"/>
    <w:rsid w:val="00AB70C8"/>
    <w:rsid w:val="00AB7E16"/>
    <w:rsid w:val="00AC04A6"/>
    <w:rsid w:val="00AC06C1"/>
    <w:rsid w:val="00AC091F"/>
    <w:rsid w:val="00AC105E"/>
    <w:rsid w:val="00AC11CC"/>
    <w:rsid w:val="00AC1470"/>
    <w:rsid w:val="00AC1707"/>
    <w:rsid w:val="00AC17B3"/>
    <w:rsid w:val="00AC199D"/>
    <w:rsid w:val="00AC210E"/>
    <w:rsid w:val="00AC21B6"/>
    <w:rsid w:val="00AC2E90"/>
    <w:rsid w:val="00AC318B"/>
    <w:rsid w:val="00AC3384"/>
    <w:rsid w:val="00AC3415"/>
    <w:rsid w:val="00AC3ADB"/>
    <w:rsid w:val="00AC40F2"/>
    <w:rsid w:val="00AC40F6"/>
    <w:rsid w:val="00AC4563"/>
    <w:rsid w:val="00AC45ED"/>
    <w:rsid w:val="00AC476B"/>
    <w:rsid w:val="00AC4942"/>
    <w:rsid w:val="00AC51B0"/>
    <w:rsid w:val="00AC54D3"/>
    <w:rsid w:val="00AC573C"/>
    <w:rsid w:val="00AC58EB"/>
    <w:rsid w:val="00AC5C5A"/>
    <w:rsid w:val="00AC614B"/>
    <w:rsid w:val="00AC6536"/>
    <w:rsid w:val="00AC684C"/>
    <w:rsid w:val="00AC71AA"/>
    <w:rsid w:val="00AC7466"/>
    <w:rsid w:val="00AC76AA"/>
    <w:rsid w:val="00AC78BB"/>
    <w:rsid w:val="00AC78E9"/>
    <w:rsid w:val="00AD01DC"/>
    <w:rsid w:val="00AD0214"/>
    <w:rsid w:val="00AD023C"/>
    <w:rsid w:val="00AD0749"/>
    <w:rsid w:val="00AD0996"/>
    <w:rsid w:val="00AD0DE9"/>
    <w:rsid w:val="00AD0E5D"/>
    <w:rsid w:val="00AD0EC3"/>
    <w:rsid w:val="00AD1020"/>
    <w:rsid w:val="00AD149A"/>
    <w:rsid w:val="00AD1585"/>
    <w:rsid w:val="00AD1B73"/>
    <w:rsid w:val="00AD2221"/>
    <w:rsid w:val="00AD270B"/>
    <w:rsid w:val="00AD3388"/>
    <w:rsid w:val="00AD3BE6"/>
    <w:rsid w:val="00AD3C6A"/>
    <w:rsid w:val="00AD3E91"/>
    <w:rsid w:val="00AD4035"/>
    <w:rsid w:val="00AD42CC"/>
    <w:rsid w:val="00AD43E8"/>
    <w:rsid w:val="00AD4BE6"/>
    <w:rsid w:val="00AD4CA7"/>
    <w:rsid w:val="00AD5C13"/>
    <w:rsid w:val="00AD603F"/>
    <w:rsid w:val="00AD607E"/>
    <w:rsid w:val="00AD6592"/>
    <w:rsid w:val="00AD67CE"/>
    <w:rsid w:val="00AD6A2A"/>
    <w:rsid w:val="00AD6F93"/>
    <w:rsid w:val="00AD70DA"/>
    <w:rsid w:val="00AD7484"/>
    <w:rsid w:val="00AD7689"/>
    <w:rsid w:val="00AE03B6"/>
    <w:rsid w:val="00AE069B"/>
    <w:rsid w:val="00AE0C0E"/>
    <w:rsid w:val="00AE106F"/>
    <w:rsid w:val="00AE1159"/>
    <w:rsid w:val="00AE1349"/>
    <w:rsid w:val="00AE151B"/>
    <w:rsid w:val="00AE172E"/>
    <w:rsid w:val="00AE1B54"/>
    <w:rsid w:val="00AE208E"/>
    <w:rsid w:val="00AE20AF"/>
    <w:rsid w:val="00AE29DC"/>
    <w:rsid w:val="00AE2A9A"/>
    <w:rsid w:val="00AE2C1A"/>
    <w:rsid w:val="00AE2EC9"/>
    <w:rsid w:val="00AE3122"/>
    <w:rsid w:val="00AE3A0C"/>
    <w:rsid w:val="00AE3F1F"/>
    <w:rsid w:val="00AE400A"/>
    <w:rsid w:val="00AE445F"/>
    <w:rsid w:val="00AE449B"/>
    <w:rsid w:val="00AE46DA"/>
    <w:rsid w:val="00AE4865"/>
    <w:rsid w:val="00AE503D"/>
    <w:rsid w:val="00AE5295"/>
    <w:rsid w:val="00AE6408"/>
    <w:rsid w:val="00AF061C"/>
    <w:rsid w:val="00AF0B6B"/>
    <w:rsid w:val="00AF0F46"/>
    <w:rsid w:val="00AF11B6"/>
    <w:rsid w:val="00AF11CD"/>
    <w:rsid w:val="00AF162D"/>
    <w:rsid w:val="00AF1648"/>
    <w:rsid w:val="00AF16CF"/>
    <w:rsid w:val="00AF184F"/>
    <w:rsid w:val="00AF19E5"/>
    <w:rsid w:val="00AF1B88"/>
    <w:rsid w:val="00AF1F69"/>
    <w:rsid w:val="00AF2947"/>
    <w:rsid w:val="00AF2B3D"/>
    <w:rsid w:val="00AF2C48"/>
    <w:rsid w:val="00AF333B"/>
    <w:rsid w:val="00AF34BF"/>
    <w:rsid w:val="00AF3F4C"/>
    <w:rsid w:val="00AF3F5E"/>
    <w:rsid w:val="00AF482C"/>
    <w:rsid w:val="00AF4D9D"/>
    <w:rsid w:val="00AF4DFF"/>
    <w:rsid w:val="00AF4E14"/>
    <w:rsid w:val="00AF50EE"/>
    <w:rsid w:val="00AF5281"/>
    <w:rsid w:val="00AF52B1"/>
    <w:rsid w:val="00AF5540"/>
    <w:rsid w:val="00AF5A89"/>
    <w:rsid w:val="00AF5C1B"/>
    <w:rsid w:val="00AF5DFE"/>
    <w:rsid w:val="00AF678B"/>
    <w:rsid w:val="00AF690F"/>
    <w:rsid w:val="00AF6A61"/>
    <w:rsid w:val="00AF7BF9"/>
    <w:rsid w:val="00AF7EF8"/>
    <w:rsid w:val="00AF7F9F"/>
    <w:rsid w:val="00AF7FD5"/>
    <w:rsid w:val="00B00193"/>
    <w:rsid w:val="00B005A7"/>
    <w:rsid w:val="00B00AD0"/>
    <w:rsid w:val="00B00BF1"/>
    <w:rsid w:val="00B00E07"/>
    <w:rsid w:val="00B00F12"/>
    <w:rsid w:val="00B0107C"/>
    <w:rsid w:val="00B01582"/>
    <w:rsid w:val="00B018DB"/>
    <w:rsid w:val="00B01C41"/>
    <w:rsid w:val="00B01EF8"/>
    <w:rsid w:val="00B02372"/>
    <w:rsid w:val="00B02E5C"/>
    <w:rsid w:val="00B031E4"/>
    <w:rsid w:val="00B03814"/>
    <w:rsid w:val="00B03877"/>
    <w:rsid w:val="00B03C88"/>
    <w:rsid w:val="00B03CCA"/>
    <w:rsid w:val="00B03D51"/>
    <w:rsid w:val="00B046A2"/>
    <w:rsid w:val="00B04753"/>
    <w:rsid w:val="00B04940"/>
    <w:rsid w:val="00B04CF7"/>
    <w:rsid w:val="00B053B0"/>
    <w:rsid w:val="00B057CE"/>
    <w:rsid w:val="00B0600C"/>
    <w:rsid w:val="00B10B23"/>
    <w:rsid w:val="00B10C09"/>
    <w:rsid w:val="00B10C2E"/>
    <w:rsid w:val="00B1136C"/>
    <w:rsid w:val="00B11406"/>
    <w:rsid w:val="00B1177A"/>
    <w:rsid w:val="00B11908"/>
    <w:rsid w:val="00B11F0B"/>
    <w:rsid w:val="00B12A6E"/>
    <w:rsid w:val="00B12B3E"/>
    <w:rsid w:val="00B131C1"/>
    <w:rsid w:val="00B1325D"/>
    <w:rsid w:val="00B13303"/>
    <w:rsid w:val="00B133FE"/>
    <w:rsid w:val="00B134E6"/>
    <w:rsid w:val="00B13670"/>
    <w:rsid w:val="00B13E93"/>
    <w:rsid w:val="00B13F6F"/>
    <w:rsid w:val="00B14552"/>
    <w:rsid w:val="00B14654"/>
    <w:rsid w:val="00B14A19"/>
    <w:rsid w:val="00B14AAA"/>
    <w:rsid w:val="00B14E5D"/>
    <w:rsid w:val="00B152CB"/>
    <w:rsid w:val="00B15343"/>
    <w:rsid w:val="00B1582C"/>
    <w:rsid w:val="00B15A97"/>
    <w:rsid w:val="00B15D98"/>
    <w:rsid w:val="00B16270"/>
    <w:rsid w:val="00B162A5"/>
    <w:rsid w:val="00B162B2"/>
    <w:rsid w:val="00B16A41"/>
    <w:rsid w:val="00B16C4D"/>
    <w:rsid w:val="00B16E43"/>
    <w:rsid w:val="00B1715E"/>
    <w:rsid w:val="00B173A8"/>
    <w:rsid w:val="00B17644"/>
    <w:rsid w:val="00B17F2C"/>
    <w:rsid w:val="00B17F82"/>
    <w:rsid w:val="00B2071E"/>
    <w:rsid w:val="00B20924"/>
    <w:rsid w:val="00B2109E"/>
    <w:rsid w:val="00B22048"/>
    <w:rsid w:val="00B225C0"/>
    <w:rsid w:val="00B22672"/>
    <w:rsid w:val="00B226E4"/>
    <w:rsid w:val="00B22908"/>
    <w:rsid w:val="00B22979"/>
    <w:rsid w:val="00B22AA1"/>
    <w:rsid w:val="00B22C35"/>
    <w:rsid w:val="00B22FCB"/>
    <w:rsid w:val="00B23032"/>
    <w:rsid w:val="00B2373A"/>
    <w:rsid w:val="00B23754"/>
    <w:rsid w:val="00B2429F"/>
    <w:rsid w:val="00B244E5"/>
    <w:rsid w:val="00B24CDA"/>
    <w:rsid w:val="00B25078"/>
    <w:rsid w:val="00B2577D"/>
    <w:rsid w:val="00B26411"/>
    <w:rsid w:val="00B26911"/>
    <w:rsid w:val="00B26DAE"/>
    <w:rsid w:val="00B26DDE"/>
    <w:rsid w:val="00B26E5B"/>
    <w:rsid w:val="00B272E0"/>
    <w:rsid w:val="00B276F1"/>
    <w:rsid w:val="00B277E0"/>
    <w:rsid w:val="00B27869"/>
    <w:rsid w:val="00B27A6A"/>
    <w:rsid w:val="00B27CB5"/>
    <w:rsid w:val="00B3026D"/>
    <w:rsid w:val="00B302F2"/>
    <w:rsid w:val="00B3039E"/>
    <w:rsid w:val="00B3056A"/>
    <w:rsid w:val="00B31131"/>
    <w:rsid w:val="00B315D4"/>
    <w:rsid w:val="00B31713"/>
    <w:rsid w:val="00B319B3"/>
    <w:rsid w:val="00B31B48"/>
    <w:rsid w:val="00B31CD7"/>
    <w:rsid w:val="00B32C24"/>
    <w:rsid w:val="00B32E81"/>
    <w:rsid w:val="00B3320B"/>
    <w:rsid w:val="00B337B9"/>
    <w:rsid w:val="00B33E9E"/>
    <w:rsid w:val="00B33F91"/>
    <w:rsid w:val="00B346F6"/>
    <w:rsid w:val="00B3487A"/>
    <w:rsid w:val="00B34A7D"/>
    <w:rsid w:val="00B34B0B"/>
    <w:rsid w:val="00B34F39"/>
    <w:rsid w:val="00B34FFF"/>
    <w:rsid w:val="00B35156"/>
    <w:rsid w:val="00B35207"/>
    <w:rsid w:val="00B3532D"/>
    <w:rsid w:val="00B3533C"/>
    <w:rsid w:val="00B356FC"/>
    <w:rsid w:val="00B35A88"/>
    <w:rsid w:val="00B35C55"/>
    <w:rsid w:val="00B36752"/>
    <w:rsid w:val="00B368F7"/>
    <w:rsid w:val="00B36F91"/>
    <w:rsid w:val="00B37579"/>
    <w:rsid w:val="00B37895"/>
    <w:rsid w:val="00B37EF0"/>
    <w:rsid w:val="00B400DB"/>
    <w:rsid w:val="00B4061B"/>
    <w:rsid w:val="00B40A2F"/>
    <w:rsid w:val="00B41A26"/>
    <w:rsid w:val="00B41C1E"/>
    <w:rsid w:val="00B41C77"/>
    <w:rsid w:val="00B421D1"/>
    <w:rsid w:val="00B4220D"/>
    <w:rsid w:val="00B42436"/>
    <w:rsid w:val="00B427F6"/>
    <w:rsid w:val="00B42A1A"/>
    <w:rsid w:val="00B42C4C"/>
    <w:rsid w:val="00B42DFF"/>
    <w:rsid w:val="00B43823"/>
    <w:rsid w:val="00B43D10"/>
    <w:rsid w:val="00B43EB3"/>
    <w:rsid w:val="00B43FFE"/>
    <w:rsid w:val="00B441DC"/>
    <w:rsid w:val="00B44666"/>
    <w:rsid w:val="00B4468A"/>
    <w:rsid w:val="00B44EF7"/>
    <w:rsid w:val="00B455CB"/>
    <w:rsid w:val="00B4578B"/>
    <w:rsid w:val="00B45DCD"/>
    <w:rsid w:val="00B462A8"/>
    <w:rsid w:val="00B463CC"/>
    <w:rsid w:val="00B46938"/>
    <w:rsid w:val="00B47241"/>
    <w:rsid w:val="00B47734"/>
    <w:rsid w:val="00B4791F"/>
    <w:rsid w:val="00B5008B"/>
    <w:rsid w:val="00B500FB"/>
    <w:rsid w:val="00B504F2"/>
    <w:rsid w:val="00B5091E"/>
    <w:rsid w:val="00B50939"/>
    <w:rsid w:val="00B50B2C"/>
    <w:rsid w:val="00B50DB7"/>
    <w:rsid w:val="00B515F3"/>
    <w:rsid w:val="00B51CAE"/>
    <w:rsid w:val="00B51E9D"/>
    <w:rsid w:val="00B521B7"/>
    <w:rsid w:val="00B521D9"/>
    <w:rsid w:val="00B529DA"/>
    <w:rsid w:val="00B52A7E"/>
    <w:rsid w:val="00B530FF"/>
    <w:rsid w:val="00B531D7"/>
    <w:rsid w:val="00B53786"/>
    <w:rsid w:val="00B53889"/>
    <w:rsid w:val="00B538F7"/>
    <w:rsid w:val="00B53E64"/>
    <w:rsid w:val="00B54A64"/>
    <w:rsid w:val="00B54E37"/>
    <w:rsid w:val="00B551B8"/>
    <w:rsid w:val="00B553DB"/>
    <w:rsid w:val="00B55763"/>
    <w:rsid w:val="00B55FE6"/>
    <w:rsid w:val="00B5646D"/>
    <w:rsid w:val="00B56528"/>
    <w:rsid w:val="00B56C22"/>
    <w:rsid w:val="00B56FB7"/>
    <w:rsid w:val="00B57390"/>
    <w:rsid w:val="00B57CBC"/>
    <w:rsid w:val="00B57E1E"/>
    <w:rsid w:val="00B57FF9"/>
    <w:rsid w:val="00B6014C"/>
    <w:rsid w:val="00B6037C"/>
    <w:rsid w:val="00B60812"/>
    <w:rsid w:val="00B608EE"/>
    <w:rsid w:val="00B6091E"/>
    <w:rsid w:val="00B61454"/>
    <w:rsid w:val="00B617BA"/>
    <w:rsid w:val="00B618AF"/>
    <w:rsid w:val="00B619B3"/>
    <w:rsid w:val="00B61A45"/>
    <w:rsid w:val="00B61AE6"/>
    <w:rsid w:val="00B61C75"/>
    <w:rsid w:val="00B621A0"/>
    <w:rsid w:val="00B623AE"/>
    <w:rsid w:val="00B62523"/>
    <w:rsid w:val="00B62529"/>
    <w:rsid w:val="00B63001"/>
    <w:rsid w:val="00B6305D"/>
    <w:rsid w:val="00B6311D"/>
    <w:rsid w:val="00B63242"/>
    <w:rsid w:val="00B63347"/>
    <w:rsid w:val="00B634AF"/>
    <w:rsid w:val="00B639D8"/>
    <w:rsid w:val="00B63D1E"/>
    <w:rsid w:val="00B641D5"/>
    <w:rsid w:val="00B642BC"/>
    <w:rsid w:val="00B64C41"/>
    <w:rsid w:val="00B64D91"/>
    <w:rsid w:val="00B64FC0"/>
    <w:rsid w:val="00B65698"/>
    <w:rsid w:val="00B66427"/>
    <w:rsid w:val="00B6685D"/>
    <w:rsid w:val="00B669C7"/>
    <w:rsid w:val="00B66E60"/>
    <w:rsid w:val="00B66F82"/>
    <w:rsid w:val="00B67391"/>
    <w:rsid w:val="00B67653"/>
    <w:rsid w:val="00B67BD0"/>
    <w:rsid w:val="00B70153"/>
    <w:rsid w:val="00B701A2"/>
    <w:rsid w:val="00B70413"/>
    <w:rsid w:val="00B7054F"/>
    <w:rsid w:val="00B70565"/>
    <w:rsid w:val="00B70753"/>
    <w:rsid w:val="00B70820"/>
    <w:rsid w:val="00B70BBF"/>
    <w:rsid w:val="00B712D6"/>
    <w:rsid w:val="00B7146F"/>
    <w:rsid w:val="00B7167E"/>
    <w:rsid w:val="00B71E58"/>
    <w:rsid w:val="00B72474"/>
    <w:rsid w:val="00B72728"/>
    <w:rsid w:val="00B72962"/>
    <w:rsid w:val="00B72C8D"/>
    <w:rsid w:val="00B72D51"/>
    <w:rsid w:val="00B72D7A"/>
    <w:rsid w:val="00B73014"/>
    <w:rsid w:val="00B739A9"/>
    <w:rsid w:val="00B73B12"/>
    <w:rsid w:val="00B7413C"/>
    <w:rsid w:val="00B74296"/>
    <w:rsid w:val="00B74394"/>
    <w:rsid w:val="00B7488E"/>
    <w:rsid w:val="00B74C42"/>
    <w:rsid w:val="00B74C4D"/>
    <w:rsid w:val="00B757C4"/>
    <w:rsid w:val="00B7600B"/>
    <w:rsid w:val="00B766F9"/>
    <w:rsid w:val="00B76B2B"/>
    <w:rsid w:val="00B76E6F"/>
    <w:rsid w:val="00B76FA0"/>
    <w:rsid w:val="00B77065"/>
    <w:rsid w:val="00B7720C"/>
    <w:rsid w:val="00B7730E"/>
    <w:rsid w:val="00B773FB"/>
    <w:rsid w:val="00B7775C"/>
    <w:rsid w:val="00B777CB"/>
    <w:rsid w:val="00B77902"/>
    <w:rsid w:val="00B77992"/>
    <w:rsid w:val="00B8021D"/>
    <w:rsid w:val="00B807D4"/>
    <w:rsid w:val="00B80802"/>
    <w:rsid w:val="00B80A9A"/>
    <w:rsid w:val="00B8145C"/>
    <w:rsid w:val="00B814AD"/>
    <w:rsid w:val="00B81548"/>
    <w:rsid w:val="00B81BC9"/>
    <w:rsid w:val="00B81C9C"/>
    <w:rsid w:val="00B81DA0"/>
    <w:rsid w:val="00B82C60"/>
    <w:rsid w:val="00B837D4"/>
    <w:rsid w:val="00B83C24"/>
    <w:rsid w:val="00B83DAE"/>
    <w:rsid w:val="00B83E78"/>
    <w:rsid w:val="00B8454A"/>
    <w:rsid w:val="00B84971"/>
    <w:rsid w:val="00B84C06"/>
    <w:rsid w:val="00B84D39"/>
    <w:rsid w:val="00B8565F"/>
    <w:rsid w:val="00B85740"/>
    <w:rsid w:val="00B8585C"/>
    <w:rsid w:val="00B85AD8"/>
    <w:rsid w:val="00B85B86"/>
    <w:rsid w:val="00B864BB"/>
    <w:rsid w:val="00B865D3"/>
    <w:rsid w:val="00B86927"/>
    <w:rsid w:val="00B86A4D"/>
    <w:rsid w:val="00B86D70"/>
    <w:rsid w:val="00B87522"/>
    <w:rsid w:val="00B87EEA"/>
    <w:rsid w:val="00B900E5"/>
    <w:rsid w:val="00B90276"/>
    <w:rsid w:val="00B9029F"/>
    <w:rsid w:val="00B905E8"/>
    <w:rsid w:val="00B916F3"/>
    <w:rsid w:val="00B91A0B"/>
    <w:rsid w:val="00B9264D"/>
    <w:rsid w:val="00B927F8"/>
    <w:rsid w:val="00B92CBE"/>
    <w:rsid w:val="00B92DDD"/>
    <w:rsid w:val="00B93014"/>
    <w:rsid w:val="00B931E3"/>
    <w:rsid w:val="00B932AC"/>
    <w:rsid w:val="00B933E6"/>
    <w:rsid w:val="00B93557"/>
    <w:rsid w:val="00B94077"/>
    <w:rsid w:val="00B94140"/>
    <w:rsid w:val="00B94603"/>
    <w:rsid w:val="00B95172"/>
    <w:rsid w:val="00B95614"/>
    <w:rsid w:val="00B958C2"/>
    <w:rsid w:val="00B95ABB"/>
    <w:rsid w:val="00B95B7D"/>
    <w:rsid w:val="00B96620"/>
    <w:rsid w:val="00B96FC5"/>
    <w:rsid w:val="00B978F2"/>
    <w:rsid w:val="00B9794C"/>
    <w:rsid w:val="00B979BD"/>
    <w:rsid w:val="00B97E1D"/>
    <w:rsid w:val="00BA04CC"/>
    <w:rsid w:val="00BA04DA"/>
    <w:rsid w:val="00BA0723"/>
    <w:rsid w:val="00BA0D70"/>
    <w:rsid w:val="00BA0FA5"/>
    <w:rsid w:val="00BA1455"/>
    <w:rsid w:val="00BA188E"/>
    <w:rsid w:val="00BA1D31"/>
    <w:rsid w:val="00BA20DC"/>
    <w:rsid w:val="00BA20DE"/>
    <w:rsid w:val="00BA227D"/>
    <w:rsid w:val="00BA2D46"/>
    <w:rsid w:val="00BA3310"/>
    <w:rsid w:val="00BA343E"/>
    <w:rsid w:val="00BA3695"/>
    <w:rsid w:val="00BA3CE8"/>
    <w:rsid w:val="00BA42BC"/>
    <w:rsid w:val="00BA4368"/>
    <w:rsid w:val="00BA436D"/>
    <w:rsid w:val="00BA5564"/>
    <w:rsid w:val="00BA5BBF"/>
    <w:rsid w:val="00BA5D53"/>
    <w:rsid w:val="00BA63A6"/>
    <w:rsid w:val="00BA6B60"/>
    <w:rsid w:val="00BA7756"/>
    <w:rsid w:val="00BA7885"/>
    <w:rsid w:val="00BA7CBD"/>
    <w:rsid w:val="00BA7ED0"/>
    <w:rsid w:val="00BA7F11"/>
    <w:rsid w:val="00BB0B55"/>
    <w:rsid w:val="00BB0E2F"/>
    <w:rsid w:val="00BB0EB7"/>
    <w:rsid w:val="00BB0F04"/>
    <w:rsid w:val="00BB10E0"/>
    <w:rsid w:val="00BB1A8A"/>
    <w:rsid w:val="00BB2049"/>
    <w:rsid w:val="00BB22CE"/>
    <w:rsid w:val="00BB268D"/>
    <w:rsid w:val="00BB2A55"/>
    <w:rsid w:val="00BB2C2E"/>
    <w:rsid w:val="00BB3200"/>
    <w:rsid w:val="00BB3E43"/>
    <w:rsid w:val="00BB51F4"/>
    <w:rsid w:val="00BB521E"/>
    <w:rsid w:val="00BB524F"/>
    <w:rsid w:val="00BB542B"/>
    <w:rsid w:val="00BB5450"/>
    <w:rsid w:val="00BB579F"/>
    <w:rsid w:val="00BB62BF"/>
    <w:rsid w:val="00BB69D3"/>
    <w:rsid w:val="00BB6E01"/>
    <w:rsid w:val="00BB7118"/>
    <w:rsid w:val="00BB7C05"/>
    <w:rsid w:val="00BB7D88"/>
    <w:rsid w:val="00BB7EAA"/>
    <w:rsid w:val="00BC0155"/>
    <w:rsid w:val="00BC0204"/>
    <w:rsid w:val="00BC02BA"/>
    <w:rsid w:val="00BC083E"/>
    <w:rsid w:val="00BC0986"/>
    <w:rsid w:val="00BC0AC7"/>
    <w:rsid w:val="00BC0E87"/>
    <w:rsid w:val="00BC10DD"/>
    <w:rsid w:val="00BC1122"/>
    <w:rsid w:val="00BC1210"/>
    <w:rsid w:val="00BC1758"/>
    <w:rsid w:val="00BC1958"/>
    <w:rsid w:val="00BC1B76"/>
    <w:rsid w:val="00BC1D93"/>
    <w:rsid w:val="00BC205B"/>
    <w:rsid w:val="00BC20FA"/>
    <w:rsid w:val="00BC27E2"/>
    <w:rsid w:val="00BC2960"/>
    <w:rsid w:val="00BC296D"/>
    <w:rsid w:val="00BC2F77"/>
    <w:rsid w:val="00BC2F7B"/>
    <w:rsid w:val="00BC32C1"/>
    <w:rsid w:val="00BC44E3"/>
    <w:rsid w:val="00BC44FE"/>
    <w:rsid w:val="00BC479D"/>
    <w:rsid w:val="00BC5566"/>
    <w:rsid w:val="00BC55E0"/>
    <w:rsid w:val="00BC58D0"/>
    <w:rsid w:val="00BC596F"/>
    <w:rsid w:val="00BC5C68"/>
    <w:rsid w:val="00BC5E3D"/>
    <w:rsid w:val="00BC5F54"/>
    <w:rsid w:val="00BC6213"/>
    <w:rsid w:val="00BC657B"/>
    <w:rsid w:val="00BC6983"/>
    <w:rsid w:val="00BC6A68"/>
    <w:rsid w:val="00BC6EF7"/>
    <w:rsid w:val="00BC6FC2"/>
    <w:rsid w:val="00BC703D"/>
    <w:rsid w:val="00BC7127"/>
    <w:rsid w:val="00BD00A3"/>
    <w:rsid w:val="00BD064A"/>
    <w:rsid w:val="00BD099B"/>
    <w:rsid w:val="00BD0CCA"/>
    <w:rsid w:val="00BD0F0A"/>
    <w:rsid w:val="00BD10DB"/>
    <w:rsid w:val="00BD143D"/>
    <w:rsid w:val="00BD153E"/>
    <w:rsid w:val="00BD16E5"/>
    <w:rsid w:val="00BD1DEB"/>
    <w:rsid w:val="00BD297F"/>
    <w:rsid w:val="00BD2D0A"/>
    <w:rsid w:val="00BD2F9B"/>
    <w:rsid w:val="00BD3180"/>
    <w:rsid w:val="00BD342D"/>
    <w:rsid w:val="00BD425D"/>
    <w:rsid w:val="00BD48FE"/>
    <w:rsid w:val="00BD4C01"/>
    <w:rsid w:val="00BD4CA6"/>
    <w:rsid w:val="00BD4D0F"/>
    <w:rsid w:val="00BD5B33"/>
    <w:rsid w:val="00BD5BAB"/>
    <w:rsid w:val="00BD6E22"/>
    <w:rsid w:val="00BD7357"/>
    <w:rsid w:val="00BD739C"/>
    <w:rsid w:val="00BD7400"/>
    <w:rsid w:val="00BD7DE0"/>
    <w:rsid w:val="00BE05D1"/>
    <w:rsid w:val="00BE0ED2"/>
    <w:rsid w:val="00BE16F8"/>
    <w:rsid w:val="00BE1966"/>
    <w:rsid w:val="00BE2283"/>
    <w:rsid w:val="00BE276C"/>
    <w:rsid w:val="00BE3186"/>
    <w:rsid w:val="00BE3561"/>
    <w:rsid w:val="00BE37D9"/>
    <w:rsid w:val="00BE3BE0"/>
    <w:rsid w:val="00BE3DCF"/>
    <w:rsid w:val="00BE43F9"/>
    <w:rsid w:val="00BE49A8"/>
    <w:rsid w:val="00BE4E76"/>
    <w:rsid w:val="00BE57E2"/>
    <w:rsid w:val="00BE5D68"/>
    <w:rsid w:val="00BE5DA2"/>
    <w:rsid w:val="00BE5E6C"/>
    <w:rsid w:val="00BE5FA6"/>
    <w:rsid w:val="00BE7447"/>
    <w:rsid w:val="00BE795D"/>
    <w:rsid w:val="00BE7991"/>
    <w:rsid w:val="00BF0226"/>
    <w:rsid w:val="00BF0239"/>
    <w:rsid w:val="00BF08BE"/>
    <w:rsid w:val="00BF12A5"/>
    <w:rsid w:val="00BF2E23"/>
    <w:rsid w:val="00BF33B9"/>
    <w:rsid w:val="00BF362A"/>
    <w:rsid w:val="00BF366D"/>
    <w:rsid w:val="00BF37AC"/>
    <w:rsid w:val="00BF44F1"/>
    <w:rsid w:val="00BF4BEF"/>
    <w:rsid w:val="00BF4CC9"/>
    <w:rsid w:val="00BF5EB2"/>
    <w:rsid w:val="00BF5F43"/>
    <w:rsid w:val="00BF62C3"/>
    <w:rsid w:val="00BF6444"/>
    <w:rsid w:val="00BF64E4"/>
    <w:rsid w:val="00BF6809"/>
    <w:rsid w:val="00BF6B45"/>
    <w:rsid w:val="00BF6CAA"/>
    <w:rsid w:val="00BF6DE3"/>
    <w:rsid w:val="00BF6F95"/>
    <w:rsid w:val="00BF774D"/>
    <w:rsid w:val="00BF781A"/>
    <w:rsid w:val="00BF7854"/>
    <w:rsid w:val="00BF7DF4"/>
    <w:rsid w:val="00C00901"/>
    <w:rsid w:val="00C00B30"/>
    <w:rsid w:val="00C01209"/>
    <w:rsid w:val="00C01CBE"/>
    <w:rsid w:val="00C01EE5"/>
    <w:rsid w:val="00C01F17"/>
    <w:rsid w:val="00C01F4D"/>
    <w:rsid w:val="00C02001"/>
    <w:rsid w:val="00C022F7"/>
    <w:rsid w:val="00C03206"/>
    <w:rsid w:val="00C03681"/>
    <w:rsid w:val="00C03BC3"/>
    <w:rsid w:val="00C03D21"/>
    <w:rsid w:val="00C045C1"/>
    <w:rsid w:val="00C05186"/>
    <w:rsid w:val="00C051B6"/>
    <w:rsid w:val="00C05267"/>
    <w:rsid w:val="00C0581A"/>
    <w:rsid w:val="00C05ABC"/>
    <w:rsid w:val="00C05AEF"/>
    <w:rsid w:val="00C06567"/>
    <w:rsid w:val="00C0659E"/>
    <w:rsid w:val="00C06663"/>
    <w:rsid w:val="00C06AC3"/>
    <w:rsid w:val="00C06F94"/>
    <w:rsid w:val="00C076F4"/>
    <w:rsid w:val="00C07A60"/>
    <w:rsid w:val="00C07DBF"/>
    <w:rsid w:val="00C07F9B"/>
    <w:rsid w:val="00C107DF"/>
    <w:rsid w:val="00C1096E"/>
    <w:rsid w:val="00C109A7"/>
    <w:rsid w:val="00C110F2"/>
    <w:rsid w:val="00C111CA"/>
    <w:rsid w:val="00C11A33"/>
    <w:rsid w:val="00C11DC7"/>
    <w:rsid w:val="00C124B8"/>
    <w:rsid w:val="00C12B07"/>
    <w:rsid w:val="00C13B7E"/>
    <w:rsid w:val="00C13F6B"/>
    <w:rsid w:val="00C14603"/>
    <w:rsid w:val="00C1499B"/>
    <w:rsid w:val="00C14FBA"/>
    <w:rsid w:val="00C1536B"/>
    <w:rsid w:val="00C15519"/>
    <w:rsid w:val="00C15555"/>
    <w:rsid w:val="00C15954"/>
    <w:rsid w:val="00C15E52"/>
    <w:rsid w:val="00C16102"/>
    <w:rsid w:val="00C1612D"/>
    <w:rsid w:val="00C1617B"/>
    <w:rsid w:val="00C161E8"/>
    <w:rsid w:val="00C1654D"/>
    <w:rsid w:val="00C166AB"/>
    <w:rsid w:val="00C1670D"/>
    <w:rsid w:val="00C16BD1"/>
    <w:rsid w:val="00C1749B"/>
    <w:rsid w:val="00C17A58"/>
    <w:rsid w:val="00C17C73"/>
    <w:rsid w:val="00C17FC7"/>
    <w:rsid w:val="00C2058C"/>
    <w:rsid w:val="00C20734"/>
    <w:rsid w:val="00C20DA1"/>
    <w:rsid w:val="00C20E3D"/>
    <w:rsid w:val="00C21159"/>
    <w:rsid w:val="00C21590"/>
    <w:rsid w:val="00C219A0"/>
    <w:rsid w:val="00C219D3"/>
    <w:rsid w:val="00C21A75"/>
    <w:rsid w:val="00C21AD4"/>
    <w:rsid w:val="00C21E2A"/>
    <w:rsid w:val="00C22404"/>
    <w:rsid w:val="00C225D4"/>
    <w:rsid w:val="00C2272A"/>
    <w:rsid w:val="00C22B58"/>
    <w:rsid w:val="00C22C97"/>
    <w:rsid w:val="00C22E9D"/>
    <w:rsid w:val="00C22EF0"/>
    <w:rsid w:val="00C22FBE"/>
    <w:rsid w:val="00C2316E"/>
    <w:rsid w:val="00C23CAE"/>
    <w:rsid w:val="00C23E73"/>
    <w:rsid w:val="00C23F44"/>
    <w:rsid w:val="00C24539"/>
    <w:rsid w:val="00C24639"/>
    <w:rsid w:val="00C246BC"/>
    <w:rsid w:val="00C24B1B"/>
    <w:rsid w:val="00C24B8D"/>
    <w:rsid w:val="00C2508F"/>
    <w:rsid w:val="00C251A1"/>
    <w:rsid w:val="00C25A61"/>
    <w:rsid w:val="00C25F48"/>
    <w:rsid w:val="00C2631B"/>
    <w:rsid w:val="00C265A9"/>
    <w:rsid w:val="00C26AFD"/>
    <w:rsid w:val="00C26E1E"/>
    <w:rsid w:val="00C27023"/>
    <w:rsid w:val="00C2798D"/>
    <w:rsid w:val="00C27997"/>
    <w:rsid w:val="00C27F1A"/>
    <w:rsid w:val="00C301B0"/>
    <w:rsid w:val="00C302C8"/>
    <w:rsid w:val="00C319E5"/>
    <w:rsid w:val="00C31A51"/>
    <w:rsid w:val="00C31CFE"/>
    <w:rsid w:val="00C320CC"/>
    <w:rsid w:val="00C322C4"/>
    <w:rsid w:val="00C323A8"/>
    <w:rsid w:val="00C3244F"/>
    <w:rsid w:val="00C32550"/>
    <w:rsid w:val="00C32822"/>
    <w:rsid w:val="00C3285D"/>
    <w:rsid w:val="00C3311C"/>
    <w:rsid w:val="00C3340A"/>
    <w:rsid w:val="00C33A23"/>
    <w:rsid w:val="00C33AF7"/>
    <w:rsid w:val="00C344FF"/>
    <w:rsid w:val="00C34625"/>
    <w:rsid w:val="00C348EC"/>
    <w:rsid w:val="00C34EAE"/>
    <w:rsid w:val="00C354AB"/>
    <w:rsid w:val="00C356C5"/>
    <w:rsid w:val="00C35E4B"/>
    <w:rsid w:val="00C361E7"/>
    <w:rsid w:val="00C3693E"/>
    <w:rsid w:val="00C369D9"/>
    <w:rsid w:val="00C36F37"/>
    <w:rsid w:val="00C371F6"/>
    <w:rsid w:val="00C371F8"/>
    <w:rsid w:val="00C37216"/>
    <w:rsid w:val="00C37B2A"/>
    <w:rsid w:val="00C40524"/>
    <w:rsid w:val="00C41060"/>
    <w:rsid w:val="00C41165"/>
    <w:rsid w:val="00C412F3"/>
    <w:rsid w:val="00C42063"/>
    <w:rsid w:val="00C42622"/>
    <w:rsid w:val="00C42E8A"/>
    <w:rsid w:val="00C4306A"/>
    <w:rsid w:val="00C446A4"/>
    <w:rsid w:val="00C44ABF"/>
    <w:rsid w:val="00C44EF4"/>
    <w:rsid w:val="00C44F49"/>
    <w:rsid w:val="00C4540E"/>
    <w:rsid w:val="00C45622"/>
    <w:rsid w:val="00C4576F"/>
    <w:rsid w:val="00C457CA"/>
    <w:rsid w:val="00C45B00"/>
    <w:rsid w:val="00C45C2D"/>
    <w:rsid w:val="00C45D4E"/>
    <w:rsid w:val="00C463A1"/>
    <w:rsid w:val="00C464C6"/>
    <w:rsid w:val="00C46693"/>
    <w:rsid w:val="00C46B68"/>
    <w:rsid w:val="00C46C63"/>
    <w:rsid w:val="00C47063"/>
    <w:rsid w:val="00C47516"/>
    <w:rsid w:val="00C4791F"/>
    <w:rsid w:val="00C47CBF"/>
    <w:rsid w:val="00C47D8A"/>
    <w:rsid w:val="00C47E77"/>
    <w:rsid w:val="00C47F3A"/>
    <w:rsid w:val="00C50038"/>
    <w:rsid w:val="00C5034D"/>
    <w:rsid w:val="00C5058F"/>
    <w:rsid w:val="00C505EA"/>
    <w:rsid w:val="00C50C17"/>
    <w:rsid w:val="00C50CFD"/>
    <w:rsid w:val="00C51A13"/>
    <w:rsid w:val="00C51F2F"/>
    <w:rsid w:val="00C5232C"/>
    <w:rsid w:val="00C52793"/>
    <w:rsid w:val="00C52913"/>
    <w:rsid w:val="00C52952"/>
    <w:rsid w:val="00C52A60"/>
    <w:rsid w:val="00C5300A"/>
    <w:rsid w:val="00C53189"/>
    <w:rsid w:val="00C54848"/>
    <w:rsid w:val="00C54A1D"/>
    <w:rsid w:val="00C54B8A"/>
    <w:rsid w:val="00C54D39"/>
    <w:rsid w:val="00C54E09"/>
    <w:rsid w:val="00C5513F"/>
    <w:rsid w:val="00C55388"/>
    <w:rsid w:val="00C554E6"/>
    <w:rsid w:val="00C555C4"/>
    <w:rsid w:val="00C558F5"/>
    <w:rsid w:val="00C5592B"/>
    <w:rsid w:val="00C55F5F"/>
    <w:rsid w:val="00C56A56"/>
    <w:rsid w:val="00C56B71"/>
    <w:rsid w:val="00C56CA6"/>
    <w:rsid w:val="00C56FCA"/>
    <w:rsid w:val="00C56FE4"/>
    <w:rsid w:val="00C57123"/>
    <w:rsid w:val="00C57711"/>
    <w:rsid w:val="00C57CE8"/>
    <w:rsid w:val="00C60458"/>
    <w:rsid w:val="00C6046B"/>
    <w:rsid w:val="00C60828"/>
    <w:rsid w:val="00C60CC2"/>
    <w:rsid w:val="00C60D83"/>
    <w:rsid w:val="00C60FC8"/>
    <w:rsid w:val="00C611F2"/>
    <w:rsid w:val="00C6121B"/>
    <w:rsid w:val="00C61698"/>
    <w:rsid w:val="00C61C34"/>
    <w:rsid w:val="00C61C5E"/>
    <w:rsid w:val="00C623A7"/>
    <w:rsid w:val="00C62843"/>
    <w:rsid w:val="00C62BD4"/>
    <w:rsid w:val="00C62D68"/>
    <w:rsid w:val="00C62F36"/>
    <w:rsid w:val="00C62FE7"/>
    <w:rsid w:val="00C63440"/>
    <w:rsid w:val="00C6350D"/>
    <w:rsid w:val="00C63515"/>
    <w:rsid w:val="00C636D8"/>
    <w:rsid w:val="00C639AF"/>
    <w:rsid w:val="00C63A93"/>
    <w:rsid w:val="00C642B8"/>
    <w:rsid w:val="00C64748"/>
    <w:rsid w:val="00C650E1"/>
    <w:rsid w:val="00C65514"/>
    <w:rsid w:val="00C655B0"/>
    <w:rsid w:val="00C65635"/>
    <w:rsid w:val="00C65A10"/>
    <w:rsid w:val="00C65B41"/>
    <w:rsid w:val="00C65EFE"/>
    <w:rsid w:val="00C66238"/>
    <w:rsid w:val="00C6656E"/>
    <w:rsid w:val="00C6694F"/>
    <w:rsid w:val="00C670DB"/>
    <w:rsid w:val="00C7043A"/>
    <w:rsid w:val="00C70502"/>
    <w:rsid w:val="00C7054C"/>
    <w:rsid w:val="00C70CA3"/>
    <w:rsid w:val="00C70E6F"/>
    <w:rsid w:val="00C7177F"/>
    <w:rsid w:val="00C717F0"/>
    <w:rsid w:val="00C71821"/>
    <w:rsid w:val="00C72A04"/>
    <w:rsid w:val="00C72B10"/>
    <w:rsid w:val="00C72D41"/>
    <w:rsid w:val="00C72ECF"/>
    <w:rsid w:val="00C73CBC"/>
    <w:rsid w:val="00C74380"/>
    <w:rsid w:val="00C744E3"/>
    <w:rsid w:val="00C744ED"/>
    <w:rsid w:val="00C74D15"/>
    <w:rsid w:val="00C75DAA"/>
    <w:rsid w:val="00C76512"/>
    <w:rsid w:val="00C7676F"/>
    <w:rsid w:val="00C76F1B"/>
    <w:rsid w:val="00C7753C"/>
    <w:rsid w:val="00C77BD1"/>
    <w:rsid w:val="00C77F1A"/>
    <w:rsid w:val="00C807FE"/>
    <w:rsid w:val="00C80CD0"/>
    <w:rsid w:val="00C80D0B"/>
    <w:rsid w:val="00C812B9"/>
    <w:rsid w:val="00C815B0"/>
    <w:rsid w:val="00C81E78"/>
    <w:rsid w:val="00C8304F"/>
    <w:rsid w:val="00C8305E"/>
    <w:rsid w:val="00C8335E"/>
    <w:rsid w:val="00C8348E"/>
    <w:rsid w:val="00C83687"/>
    <w:rsid w:val="00C836C8"/>
    <w:rsid w:val="00C838CE"/>
    <w:rsid w:val="00C83E7B"/>
    <w:rsid w:val="00C84051"/>
    <w:rsid w:val="00C84293"/>
    <w:rsid w:val="00C8432C"/>
    <w:rsid w:val="00C8478F"/>
    <w:rsid w:val="00C84A80"/>
    <w:rsid w:val="00C84ADB"/>
    <w:rsid w:val="00C84BA1"/>
    <w:rsid w:val="00C84E16"/>
    <w:rsid w:val="00C856C1"/>
    <w:rsid w:val="00C857E4"/>
    <w:rsid w:val="00C858C5"/>
    <w:rsid w:val="00C85ACE"/>
    <w:rsid w:val="00C85C98"/>
    <w:rsid w:val="00C85CEB"/>
    <w:rsid w:val="00C864B0"/>
    <w:rsid w:val="00C86537"/>
    <w:rsid w:val="00C86736"/>
    <w:rsid w:val="00C86A7C"/>
    <w:rsid w:val="00C86A8D"/>
    <w:rsid w:val="00C86FF6"/>
    <w:rsid w:val="00C87940"/>
    <w:rsid w:val="00C87B7C"/>
    <w:rsid w:val="00C90447"/>
    <w:rsid w:val="00C909D7"/>
    <w:rsid w:val="00C91599"/>
    <w:rsid w:val="00C9221B"/>
    <w:rsid w:val="00C922AF"/>
    <w:rsid w:val="00C9232A"/>
    <w:rsid w:val="00C924A7"/>
    <w:rsid w:val="00C92974"/>
    <w:rsid w:val="00C9358B"/>
    <w:rsid w:val="00C93DEE"/>
    <w:rsid w:val="00C945BA"/>
    <w:rsid w:val="00C94CF1"/>
    <w:rsid w:val="00C95403"/>
    <w:rsid w:val="00C9540C"/>
    <w:rsid w:val="00C95529"/>
    <w:rsid w:val="00C9568F"/>
    <w:rsid w:val="00C95734"/>
    <w:rsid w:val="00C9626E"/>
    <w:rsid w:val="00C9672C"/>
    <w:rsid w:val="00C96840"/>
    <w:rsid w:val="00C96DCC"/>
    <w:rsid w:val="00C971E7"/>
    <w:rsid w:val="00C97228"/>
    <w:rsid w:val="00C97829"/>
    <w:rsid w:val="00C97B95"/>
    <w:rsid w:val="00CA0225"/>
    <w:rsid w:val="00CA040F"/>
    <w:rsid w:val="00CA053C"/>
    <w:rsid w:val="00CA0CEC"/>
    <w:rsid w:val="00CA0DBE"/>
    <w:rsid w:val="00CA0F42"/>
    <w:rsid w:val="00CA146A"/>
    <w:rsid w:val="00CA1621"/>
    <w:rsid w:val="00CA1C5A"/>
    <w:rsid w:val="00CA1EB9"/>
    <w:rsid w:val="00CA1FED"/>
    <w:rsid w:val="00CA21F9"/>
    <w:rsid w:val="00CA292B"/>
    <w:rsid w:val="00CA2A3F"/>
    <w:rsid w:val="00CA3058"/>
    <w:rsid w:val="00CA3388"/>
    <w:rsid w:val="00CA35AE"/>
    <w:rsid w:val="00CA4217"/>
    <w:rsid w:val="00CA424B"/>
    <w:rsid w:val="00CA4909"/>
    <w:rsid w:val="00CA4925"/>
    <w:rsid w:val="00CA52A0"/>
    <w:rsid w:val="00CA5302"/>
    <w:rsid w:val="00CA654F"/>
    <w:rsid w:val="00CA6598"/>
    <w:rsid w:val="00CA6E50"/>
    <w:rsid w:val="00CA6E96"/>
    <w:rsid w:val="00CA76C8"/>
    <w:rsid w:val="00CA7C19"/>
    <w:rsid w:val="00CA7DD5"/>
    <w:rsid w:val="00CA7F62"/>
    <w:rsid w:val="00CB042F"/>
    <w:rsid w:val="00CB05A2"/>
    <w:rsid w:val="00CB0E8E"/>
    <w:rsid w:val="00CB1470"/>
    <w:rsid w:val="00CB1DA4"/>
    <w:rsid w:val="00CB1E94"/>
    <w:rsid w:val="00CB1F98"/>
    <w:rsid w:val="00CB2305"/>
    <w:rsid w:val="00CB29B6"/>
    <w:rsid w:val="00CB2AD7"/>
    <w:rsid w:val="00CB2DC4"/>
    <w:rsid w:val="00CB2F5A"/>
    <w:rsid w:val="00CB3030"/>
    <w:rsid w:val="00CB4018"/>
    <w:rsid w:val="00CB43CD"/>
    <w:rsid w:val="00CB47E9"/>
    <w:rsid w:val="00CB4B29"/>
    <w:rsid w:val="00CB5441"/>
    <w:rsid w:val="00CB5585"/>
    <w:rsid w:val="00CB5978"/>
    <w:rsid w:val="00CB599F"/>
    <w:rsid w:val="00CB5AA6"/>
    <w:rsid w:val="00CB5E84"/>
    <w:rsid w:val="00CB5EAE"/>
    <w:rsid w:val="00CB63BD"/>
    <w:rsid w:val="00CB6480"/>
    <w:rsid w:val="00CB70CF"/>
    <w:rsid w:val="00CB7680"/>
    <w:rsid w:val="00CB78C0"/>
    <w:rsid w:val="00CB7D7D"/>
    <w:rsid w:val="00CB7FA4"/>
    <w:rsid w:val="00CC0B70"/>
    <w:rsid w:val="00CC1198"/>
    <w:rsid w:val="00CC136B"/>
    <w:rsid w:val="00CC142F"/>
    <w:rsid w:val="00CC14D0"/>
    <w:rsid w:val="00CC1CBA"/>
    <w:rsid w:val="00CC20DE"/>
    <w:rsid w:val="00CC23CE"/>
    <w:rsid w:val="00CC23E0"/>
    <w:rsid w:val="00CC297F"/>
    <w:rsid w:val="00CC29F6"/>
    <w:rsid w:val="00CC2B96"/>
    <w:rsid w:val="00CC2BDC"/>
    <w:rsid w:val="00CC2C10"/>
    <w:rsid w:val="00CC2DB9"/>
    <w:rsid w:val="00CC33F8"/>
    <w:rsid w:val="00CC45FD"/>
    <w:rsid w:val="00CC46E8"/>
    <w:rsid w:val="00CC4A35"/>
    <w:rsid w:val="00CC4B49"/>
    <w:rsid w:val="00CC5E5A"/>
    <w:rsid w:val="00CC64D5"/>
    <w:rsid w:val="00CC64E4"/>
    <w:rsid w:val="00CC68D5"/>
    <w:rsid w:val="00CC6BBD"/>
    <w:rsid w:val="00CC6BD1"/>
    <w:rsid w:val="00CC6BEA"/>
    <w:rsid w:val="00CC7235"/>
    <w:rsid w:val="00CC757B"/>
    <w:rsid w:val="00CD0062"/>
    <w:rsid w:val="00CD0153"/>
    <w:rsid w:val="00CD042D"/>
    <w:rsid w:val="00CD0583"/>
    <w:rsid w:val="00CD059B"/>
    <w:rsid w:val="00CD0F77"/>
    <w:rsid w:val="00CD131B"/>
    <w:rsid w:val="00CD1758"/>
    <w:rsid w:val="00CD2022"/>
    <w:rsid w:val="00CD25B1"/>
    <w:rsid w:val="00CD2C1A"/>
    <w:rsid w:val="00CD2CDB"/>
    <w:rsid w:val="00CD2D11"/>
    <w:rsid w:val="00CD2D3D"/>
    <w:rsid w:val="00CD2D9F"/>
    <w:rsid w:val="00CD3475"/>
    <w:rsid w:val="00CD3B57"/>
    <w:rsid w:val="00CD3EA2"/>
    <w:rsid w:val="00CD407F"/>
    <w:rsid w:val="00CD43E9"/>
    <w:rsid w:val="00CD45EC"/>
    <w:rsid w:val="00CD4AC0"/>
    <w:rsid w:val="00CD4BD5"/>
    <w:rsid w:val="00CD4E89"/>
    <w:rsid w:val="00CD51CB"/>
    <w:rsid w:val="00CD56CC"/>
    <w:rsid w:val="00CD5F3E"/>
    <w:rsid w:val="00CD60F3"/>
    <w:rsid w:val="00CD66B3"/>
    <w:rsid w:val="00CD6895"/>
    <w:rsid w:val="00CD6A76"/>
    <w:rsid w:val="00CD71CB"/>
    <w:rsid w:val="00CD7648"/>
    <w:rsid w:val="00CD7B17"/>
    <w:rsid w:val="00CD7C46"/>
    <w:rsid w:val="00CD7F74"/>
    <w:rsid w:val="00CE00B5"/>
    <w:rsid w:val="00CE05B9"/>
    <w:rsid w:val="00CE05F1"/>
    <w:rsid w:val="00CE09AA"/>
    <w:rsid w:val="00CE0A07"/>
    <w:rsid w:val="00CE0BCF"/>
    <w:rsid w:val="00CE134E"/>
    <w:rsid w:val="00CE14CD"/>
    <w:rsid w:val="00CE17F1"/>
    <w:rsid w:val="00CE1C0A"/>
    <w:rsid w:val="00CE1C51"/>
    <w:rsid w:val="00CE235B"/>
    <w:rsid w:val="00CE269C"/>
    <w:rsid w:val="00CE2CA4"/>
    <w:rsid w:val="00CE314B"/>
    <w:rsid w:val="00CE314F"/>
    <w:rsid w:val="00CE36E0"/>
    <w:rsid w:val="00CE3712"/>
    <w:rsid w:val="00CE397F"/>
    <w:rsid w:val="00CE3FE8"/>
    <w:rsid w:val="00CE4485"/>
    <w:rsid w:val="00CE473E"/>
    <w:rsid w:val="00CE474A"/>
    <w:rsid w:val="00CE4AAF"/>
    <w:rsid w:val="00CE4C26"/>
    <w:rsid w:val="00CE4C8E"/>
    <w:rsid w:val="00CE504D"/>
    <w:rsid w:val="00CE5551"/>
    <w:rsid w:val="00CE5930"/>
    <w:rsid w:val="00CE5979"/>
    <w:rsid w:val="00CE5E00"/>
    <w:rsid w:val="00CE5E6C"/>
    <w:rsid w:val="00CE60C9"/>
    <w:rsid w:val="00CE628C"/>
    <w:rsid w:val="00CE6569"/>
    <w:rsid w:val="00CE65E6"/>
    <w:rsid w:val="00CE6611"/>
    <w:rsid w:val="00CE6712"/>
    <w:rsid w:val="00CE717A"/>
    <w:rsid w:val="00CE742B"/>
    <w:rsid w:val="00CE7665"/>
    <w:rsid w:val="00CE77CF"/>
    <w:rsid w:val="00CF012D"/>
    <w:rsid w:val="00CF02A1"/>
    <w:rsid w:val="00CF0415"/>
    <w:rsid w:val="00CF099B"/>
    <w:rsid w:val="00CF0D5D"/>
    <w:rsid w:val="00CF1672"/>
    <w:rsid w:val="00CF1B3D"/>
    <w:rsid w:val="00CF2078"/>
    <w:rsid w:val="00CF237D"/>
    <w:rsid w:val="00CF31B5"/>
    <w:rsid w:val="00CF364F"/>
    <w:rsid w:val="00CF3E89"/>
    <w:rsid w:val="00CF3F36"/>
    <w:rsid w:val="00CF4083"/>
    <w:rsid w:val="00CF4510"/>
    <w:rsid w:val="00CF4B6D"/>
    <w:rsid w:val="00CF53DC"/>
    <w:rsid w:val="00CF59BE"/>
    <w:rsid w:val="00CF5A1F"/>
    <w:rsid w:val="00CF619A"/>
    <w:rsid w:val="00CF6939"/>
    <w:rsid w:val="00CF6A15"/>
    <w:rsid w:val="00CF6E16"/>
    <w:rsid w:val="00CF73C8"/>
    <w:rsid w:val="00CF752E"/>
    <w:rsid w:val="00CF7A8B"/>
    <w:rsid w:val="00CF7BAE"/>
    <w:rsid w:val="00D002D5"/>
    <w:rsid w:val="00D0101E"/>
    <w:rsid w:val="00D01196"/>
    <w:rsid w:val="00D011DD"/>
    <w:rsid w:val="00D019AE"/>
    <w:rsid w:val="00D01BC6"/>
    <w:rsid w:val="00D01E21"/>
    <w:rsid w:val="00D01EA6"/>
    <w:rsid w:val="00D02748"/>
    <w:rsid w:val="00D02898"/>
    <w:rsid w:val="00D02B53"/>
    <w:rsid w:val="00D02B7E"/>
    <w:rsid w:val="00D03104"/>
    <w:rsid w:val="00D03354"/>
    <w:rsid w:val="00D0383A"/>
    <w:rsid w:val="00D038EC"/>
    <w:rsid w:val="00D03929"/>
    <w:rsid w:val="00D03FBC"/>
    <w:rsid w:val="00D0477E"/>
    <w:rsid w:val="00D04A65"/>
    <w:rsid w:val="00D04AEF"/>
    <w:rsid w:val="00D04F2D"/>
    <w:rsid w:val="00D05353"/>
    <w:rsid w:val="00D05418"/>
    <w:rsid w:val="00D056AD"/>
    <w:rsid w:val="00D0577A"/>
    <w:rsid w:val="00D05BD3"/>
    <w:rsid w:val="00D05C8D"/>
    <w:rsid w:val="00D06001"/>
    <w:rsid w:val="00D066CB"/>
    <w:rsid w:val="00D075E9"/>
    <w:rsid w:val="00D101EE"/>
    <w:rsid w:val="00D106DA"/>
    <w:rsid w:val="00D10EC5"/>
    <w:rsid w:val="00D10ED5"/>
    <w:rsid w:val="00D110A9"/>
    <w:rsid w:val="00D11834"/>
    <w:rsid w:val="00D118F4"/>
    <w:rsid w:val="00D1195F"/>
    <w:rsid w:val="00D11AB8"/>
    <w:rsid w:val="00D121EE"/>
    <w:rsid w:val="00D12B02"/>
    <w:rsid w:val="00D12CBB"/>
    <w:rsid w:val="00D135F7"/>
    <w:rsid w:val="00D13684"/>
    <w:rsid w:val="00D13905"/>
    <w:rsid w:val="00D13ACE"/>
    <w:rsid w:val="00D14174"/>
    <w:rsid w:val="00D14499"/>
    <w:rsid w:val="00D148FB"/>
    <w:rsid w:val="00D1524D"/>
    <w:rsid w:val="00D15396"/>
    <w:rsid w:val="00D1539F"/>
    <w:rsid w:val="00D15946"/>
    <w:rsid w:val="00D15C9D"/>
    <w:rsid w:val="00D15D33"/>
    <w:rsid w:val="00D15E21"/>
    <w:rsid w:val="00D15E37"/>
    <w:rsid w:val="00D1645A"/>
    <w:rsid w:val="00D1645D"/>
    <w:rsid w:val="00D165EE"/>
    <w:rsid w:val="00D16732"/>
    <w:rsid w:val="00D16AD0"/>
    <w:rsid w:val="00D16E87"/>
    <w:rsid w:val="00D17491"/>
    <w:rsid w:val="00D20541"/>
    <w:rsid w:val="00D206EF"/>
    <w:rsid w:val="00D20720"/>
    <w:rsid w:val="00D20747"/>
    <w:rsid w:val="00D20771"/>
    <w:rsid w:val="00D2080A"/>
    <w:rsid w:val="00D20A58"/>
    <w:rsid w:val="00D21201"/>
    <w:rsid w:val="00D21330"/>
    <w:rsid w:val="00D214C7"/>
    <w:rsid w:val="00D21513"/>
    <w:rsid w:val="00D2225B"/>
    <w:rsid w:val="00D223F4"/>
    <w:rsid w:val="00D2248D"/>
    <w:rsid w:val="00D228B1"/>
    <w:rsid w:val="00D22948"/>
    <w:rsid w:val="00D22EFC"/>
    <w:rsid w:val="00D23013"/>
    <w:rsid w:val="00D235B4"/>
    <w:rsid w:val="00D23D62"/>
    <w:rsid w:val="00D23EFD"/>
    <w:rsid w:val="00D23F82"/>
    <w:rsid w:val="00D2430C"/>
    <w:rsid w:val="00D25131"/>
    <w:rsid w:val="00D251AC"/>
    <w:rsid w:val="00D25775"/>
    <w:rsid w:val="00D26D47"/>
    <w:rsid w:val="00D26F64"/>
    <w:rsid w:val="00D27409"/>
    <w:rsid w:val="00D27761"/>
    <w:rsid w:val="00D27A72"/>
    <w:rsid w:val="00D27D61"/>
    <w:rsid w:val="00D27E12"/>
    <w:rsid w:val="00D27E1E"/>
    <w:rsid w:val="00D30F5C"/>
    <w:rsid w:val="00D318D4"/>
    <w:rsid w:val="00D31BA0"/>
    <w:rsid w:val="00D328DE"/>
    <w:rsid w:val="00D329B1"/>
    <w:rsid w:val="00D329FA"/>
    <w:rsid w:val="00D32B5B"/>
    <w:rsid w:val="00D330B4"/>
    <w:rsid w:val="00D3318B"/>
    <w:rsid w:val="00D33497"/>
    <w:rsid w:val="00D3366F"/>
    <w:rsid w:val="00D33C11"/>
    <w:rsid w:val="00D33D11"/>
    <w:rsid w:val="00D344C6"/>
    <w:rsid w:val="00D348E0"/>
    <w:rsid w:val="00D34C24"/>
    <w:rsid w:val="00D34CD7"/>
    <w:rsid w:val="00D35213"/>
    <w:rsid w:val="00D3557E"/>
    <w:rsid w:val="00D3558A"/>
    <w:rsid w:val="00D356D1"/>
    <w:rsid w:val="00D359A9"/>
    <w:rsid w:val="00D35A41"/>
    <w:rsid w:val="00D35CDC"/>
    <w:rsid w:val="00D36372"/>
    <w:rsid w:val="00D37057"/>
    <w:rsid w:val="00D37352"/>
    <w:rsid w:val="00D3735F"/>
    <w:rsid w:val="00D37955"/>
    <w:rsid w:val="00D40079"/>
    <w:rsid w:val="00D40485"/>
    <w:rsid w:val="00D408E8"/>
    <w:rsid w:val="00D41103"/>
    <w:rsid w:val="00D411A5"/>
    <w:rsid w:val="00D41323"/>
    <w:rsid w:val="00D415D9"/>
    <w:rsid w:val="00D4170F"/>
    <w:rsid w:val="00D418BB"/>
    <w:rsid w:val="00D41F5C"/>
    <w:rsid w:val="00D421F1"/>
    <w:rsid w:val="00D42B43"/>
    <w:rsid w:val="00D42C7F"/>
    <w:rsid w:val="00D42F3E"/>
    <w:rsid w:val="00D43347"/>
    <w:rsid w:val="00D433C1"/>
    <w:rsid w:val="00D43754"/>
    <w:rsid w:val="00D437A5"/>
    <w:rsid w:val="00D43B8C"/>
    <w:rsid w:val="00D43D8C"/>
    <w:rsid w:val="00D43FC3"/>
    <w:rsid w:val="00D44A64"/>
    <w:rsid w:val="00D44CFA"/>
    <w:rsid w:val="00D4511C"/>
    <w:rsid w:val="00D45C57"/>
    <w:rsid w:val="00D45D4C"/>
    <w:rsid w:val="00D45F61"/>
    <w:rsid w:val="00D46236"/>
    <w:rsid w:val="00D462CC"/>
    <w:rsid w:val="00D46C0B"/>
    <w:rsid w:val="00D46FCE"/>
    <w:rsid w:val="00D47681"/>
    <w:rsid w:val="00D4788B"/>
    <w:rsid w:val="00D47E12"/>
    <w:rsid w:val="00D50347"/>
    <w:rsid w:val="00D50551"/>
    <w:rsid w:val="00D50645"/>
    <w:rsid w:val="00D50F5D"/>
    <w:rsid w:val="00D510DD"/>
    <w:rsid w:val="00D51263"/>
    <w:rsid w:val="00D517BF"/>
    <w:rsid w:val="00D51D57"/>
    <w:rsid w:val="00D5223F"/>
    <w:rsid w:val="00D522BE"/>
    <w:rsid w:val="00D522E6"/>
    <w:rsid w:val="00D52442"/>
    <w:rsid w:val="00D531D6"/>
    <w:rsid w:val="00D53413"/>
    <w:rsid w:val="00D5403D"/>
    <w:rsid w:val="00D542B5"/>
    <w:rsid w:val="00D544D7"/>
    <w:rsid w:val="00D54776"/>
    <w:rsid w:val="00D54E53"/>
    <w:rsid w:val="00D559A8"/>
    <w:rsid w:val="00D559BC"/>
    <w:rsid w:val="00D561A4"/>
    <w:rsid w:val="00D56703"/>
    <w:rsid w:val="00D570ED"/>
    <w:rsid w:val="00D574CC"/>
    <w:rsid w:val="00D5764A"/>
    <w:rsid w:val="00D608DB"/>
    <w:rsid w:val="00D60E01"/>
    <w:rsid w:val="00D6145E"/>
    <w:rsid w:val="00D619CD"/>
    <w:rsid w:val="00D6256C"/>
    <w:rsid w:val="00D62638"/>
    <w:rsid w:val="00D627E9"/>
    <w:rsid w:val="00D628C8"/>
    <w:rsid w:val="00D62D29"/>
    <w:rsid w:val="00D6350C"/>
    <w:rsid w:val="00D63D4A"/>
    <w:rsid w:val="00D63D84"/>
    <w:rsid w:val="00D6491E"/>
    <w:rsid w:val="00D649DB"/>
    <w:rsid w:val="00D64DF9"/>
    <w:rsid w:val="00D64E46"/>
    <w:rsid w:val="00D65498"/>
    <w:rsid w:val="00D65733"/>
    <w:rsid w:val="00D65896"/>
    <w:rsid w:val="00D65FBF"/>
    <w:rsid w:val="00D66147"/>
    <w:rsid w:val="00D664FD"/>
    <w:rsid w:val="00D6658F"/>
    <w:rsid w:val="00D6694F"/>
    <w:rsid w:val="00D66DD4"/>
    <w:rsid w:val="00D67223"/>
    <w:rsid w:val="00D6781E"/>
    <w:rsid w:val="00D6791A"/>
    <w:rsid w:val="00D705B7"/>
    <w:rsid w:val="00D705FE"/>
    <w:rsid w:val="00D707A9"/>
    <w:rsid w:val="00D7170E"/>
    <w:rsid w:val="00D71A24"/>
    <w:rsid w:val="00D71A92"/>
    <w:rsid w:val="00D720EF"/>
    <w:rsid w:val="00D7280C"/>
    <w:rsid w:val="00D73051"/>
    <w:rsid w:val="00D735CD"/>
    <w:rsid w:val="00D7379D"/>
    <w:rsid w:val="00D73A26"/>
    <w:rsid w:val="00D73D31"/>
    <w:rsid w:val="00D744AB"/>
    <w:rsid w:val="00D74B80"/>
    <w:rsid w:val="00D74CE8"/>
    <w:rsid w:val="00D7516B"/>
    <w:rsid w:val="00D753BE"/>
    <w:rsid w:val="00D75422"/>
    <w:rsid w:val="00D7545B"/>
    <w:rsid w:val="00D756AD"/>
    <w:rsid w:val="00D7642A"/>
    <w:rsid w:val="00D76452"/>
    <w:rsid w:val="00D76657"/>
    <w:rsid w:val="00D7683E"/>
    <w:rsid w:val="00D77584"/>
    <w:rsid w:val="00D77831"/>
    <w:rsid w:val="00D77AD5"/>
    <w:rsid w:val="00D77BA3"/>
    <w:rsid w:val="00D77DA8"/>
    <w:rsid w:val="00D80013"/>
    <w:rsid w:val="00D801C8"/>
    <w:rsid w:val="00D806BB"/>
    <w:rsid w:val="00D814D3"/>
    <w:rsid w:val="00D81A85"/>
    <w:rsid w:val="00D81B3B"/>
    <w:rsid w:val="00D81BF9"/>
    <w:rsid w:val="00D81F3F"/>
    <w:rsid w:val="00D82460"/>
    <w:rsid w:val="00D82631"/>
    <w:rsid w:val="00D828D7"/>
    <w:rsid w:val="00D82B6A"/>
    <w:rsid w:val="00D82CE5"/>
    <w:rsid w:val="00D83014"/>
    <w:rsid w:val="00D83159"/>
    <w:rsid w:val="00D831C1"/>
    <w:rsid w:val="00D835D0"/>
    <w:rsid w:val="00D83980"/>
    <w:rsid w:val="00D83A36"/>
    <w:rsid w:val="00D84353"/>
    <w:rsid w:val="00D843BF"/>
    <w:rsid w:val="00D84488"/>
    <w:rsid w:val="00D84A32"/>
    <w:rsid w:val="00D84B85"/>
    <w:rsid w:val="00D84C9A"/>
    <w:rsid w:val="00D851CB"/>
    <w:rsid w:val="00D8528E"/>
    <w:rsid w:val="00D857E4"/>
    <w:rsid w:val="00D85A58"/>
    <w:rsid w:val="00D85BD1"/>
    <w:rsid w:val="00D85BD6"/>
    <w:rsid w:val="00D85E87"/>
    <w:rsid w:val="00D85E9E"/>
    <w:rsid w:val="00D860C9"/>
    <w:rsid w:val="00D8650B"/>
    <w:rsid w:val="00D86C30"/>
    <w:rsid w:val="00D86C67"/>
    <w:rsid w:val="00D87034"/>
    <w:rsid w:val="00D877D5"/>
    <w:rsid w:val="00D87CFA"/>
    <w:rsid w:val="00D904FC"/>
    <w:rsid w:val="00D90CAD"/>
    <w:rsid w:val="00D90DAF"/>
    <w:rsid w:val="00D91422"/>
    <w:rsid w:val="00D91734"/>
    <w:rsid w:val="00D91CFA"/>
    <w:rsid w:val="00D91FAA"/>
    <w:rsid w:val="00D924B1"/>
    <w:rsid w:val="00D92A2B"/>
    <w:rsid w:val="00D93310"/>
    <w:rsid w:val="00D933BB"/>
    <w:rsid w:val="00D933F9"/>
    <w:rsid w:val="00D93806"/>
    <w:rsid w:val="00D93875"/>
    <w:rsid w:val="00D938AE"/>
    <w:rsid w:val="00D93DD0"/>
    <w:rsid w:val="00D94142"/>
    <w:rsid w:val="00D9418C"/>
    <w:rsid w:val="00D948F8"/>
    <w:rsid w:val="00D949FE"/>
    <w:rsid w:val="00D94D67"/>
    <w:rsid w:val="00D95BD7"/>
    <w:rsid w:val="00D95CCA"/>
    <w:rsid w:val="00D95E69"/>
    <w:rsid w:val="00D96251"/>
    <w:rsid w:val="00D96995"/>
    <w:rsid w:val="00D96C53"/>
    <w:rsid w:val="00D96C9B"/>
    <w:rsid w:val="00D96D31"/>
    <w:rsid w:val="00D9793A"/>
    <w:rsid w:val="00D979D9"/>
    <w:rsid w:val="00DA035A"/>
    <w:rsid w:val="00DA035C"/>
    <w:rsid w:val="00DA0670"/>
    <w:rsid w:val="00DA0961"/>
    <w:rsid w:val="00DA09D1"/>
    <w:rsid w:val="00DA0C2B"/>
    <w:rsid w:val="00DA166F"/>
    <w:rsid w:val="00DA185D"/>
    <w:rsid w:val="00DA187E"/>
    <w:rsid w:val="00DA20EA"/>
    <w:rsid w:val="00DA2897"/>
    <w:rsid w:val="00DA3235"/>
    <w:rsid w:val="00DA3CC0"/>
    <w:rsid w:val="00DA3D4D"/>
    <w:rsid w:val="00DA4759"/>
    <w:rsid w:val="00DA50F2"/>
    <w:rsid w:val="00DA53EA"/>
    <w:rsid w:val="00DA563F"/>
    <w:rsid w:val="00DA59DD"/>
    <w:rsid w:val="00DA66C4"/>
    <w:rsid w:val="00DA6A3C"/>
    <w:rsid w:val="00DA6FAC"/>
    <w:rsid w:val="00DA7073"/>
    <w:rsid w:val="00DA72CA"/>
    <w:rsid w:val="00DA7319"/>
    <w:rsid w:val="00DA78DC"/>
    <w:rsid w:val="00DA7996"/>
    <w:rsid w:val="00DA7E8F"/>
    <w:rsid w:val="00DA7F3C"/>
    <w:rsid w:val="00DB16DA"/>
    <w:rsid w:val="00DB2257"/>
    <w:rsid w:val="00DB2979"/>
    <w:rsid w:val="00DB2A03"/>
    <w:rsid w:val="00DB2A82"/>
    <w:rsid w:val="00DB34DD"/>
    <w:rsid w:val="00DB354A"/>
    <w:rsid w:val="00DB389B"/>
    <w:rsid w:val="00DB3B82"/>
    <w:rsid w:val="00DB4142"/>
    <w:rsid w:val="00DB41CC"/>
    <w:rsid w:val="00DB448E"/>
    <w:rsid w:val="00DB45A7"/>
    <w:rsid w:val="00DB47F7"/>
    <w:rsid w:val="00DB4F7D"/>
    <w:rsid w:val="00DB52AB"/>
    <w:rsid w:val="00DB5B2F"/>
    <w:rsid w:val="00DB5CE5"/>
    <w:rsid w:val="00DB60DC"/>
    <w:rsid w:val="00DB624E"/>
    <w:rsid w:val="00DB6505"/>
    <w:rsid w:val="00DB6666"/>
    <w:rsid w:val="00DB69E1"/>
    <w:rsid w:val="00DB6CC2"/>
    <w:rsid w:val="00DB71C5"/>
    <w:rsid w:val="00DB7C0D"/>
    <w:rsid w:val="00DC016F"/>
    <w:rsid w:val="00DC01F8"/>
    <w:rsid w:val="00DC06FC"/>
    <w:rsid w:val="00DC1165"/>
    <w:rsid w:val="00DC119A"/>
    <w:rsid w:val="00DC1640"/>
    <w:rsid w:val="00DC175E"/>
    <w:rsid w:val="00DC1AC9"/>
    <w:rsid w:val="00DC22D2"/>
    <w:rsid w:val="00DC25BC"/>
    <w:rsid w:val="00DC2C16"/>
    <w:rsid w:val="00DC2D2E"/>
    <w:rsid w:val="00DC3617"/>
    <w:rsid w:val="00DC40DA"/>
    <w:rsid w:val="00DC4215"/>
    <w:rsid w:val="00DC47FE"/>
    <w:rsid w:val="00DC492C"/>
    <w:rsid w:val="00DC4B41"/>
    <w:rsid w:val="00DC534E"/>
    <w:rsid w:val="00DC58C9"/>
    <w:rsid w:val="00DC5A65"/>
    <w:rsid w:val="00DC5E1C"/>
    <w:rsid w:val="00DC5F94"/>
    <w:rsid w:val="00DC6547"/>
    <w:rsid w:val="00DC65C5"/>
    <w:rsid w:val="00DC67F8"/>
    <w:rsid w:val="00DC753B"/>
    <w:rsid w:val="00DC756F"/>
    <w:rsid w:val="00DC76AC"/>
    <w:rsid w:val="00DC781C"/>
    <w:rsid w:val="00DD00EA"/>
    <w:rsid w:val="00DD02BA"/>
    <w:rsid w:val="00DD0513"/>
    <w:rsid w:val="00DD0A39"/>
    <w:rsid w:val="00DD0AA5"/>
    <w:rsid w:val="00DD0B5D"/>
    <w:rsid w:val="00DD0E97"/>
    <w:rsid w:val="00DD1571"/>
    <w:rsid w:val="00DD15FA"/>
    <w:rsid w:val="00DD1D5D"/>
    <w:rsid w:val="00DD22E4"/>
    <w:rsid w:val="00DD3196"/>
    <w:rsid w:val="00DD3216"/>
    <w:rsid w:val="00DD3221"/>
    <w:rsid w:val="00DD330A"/>
    <w:rsid w:val="00DD37F1"/>
    <w:rsid w:val="00DD3CE6"/>
    <w:rsid w:val="00DD3F9F"/>
    <w:rsid w:val="00DD419F"/>
    <w:rsid w:val="00DD421E"/>
    <w:rsid w:val="00DD488D"/>
    <w:rsid w:val="00DD4DCB"/>
    <w:rsid w:val="00DD4E51"/>
    <w:rsid w:val="00DD55F2"/>
    <w:rsid w:val="00DD5C2B"/>
    <w:rsid w:val="00DD6119"/>
    <w:rsid w:val="00DD64FF"/>
    <w:rsid w:val="00DD68D6"/>
    <w:rsid w:val="00DD694A"/>
    <w:rsid w:val="00DD71EF"/>
    <w:rsid w:val="00DD7356"/>
    <w:rsid w:val="00DD7D1D"/>
    <w:rsid w:val="00DE019B"/>
    <w:rsid w:val="00DE0919"/>
    <w:rsid w:val="00DE1515"/>
    <w:rsid w:val="00DE1DF3"/>
    <w:rsid w:val="00DE2EB8"/>
    <w:rsid w:val="00DE2F22"/>
    <w:rsid w:val="00DE3057"/>
    <w:rsid w:val="00DE3488"/>
    <w:rsid w:val="00DE3770"/>
    <w:rsid w:val="00DE391A"/>
    <w:rsid w:val="00DE3FCE"/>
    <w:rsid w:val="00DE416E"/>
    <w:rsid w:val="00DE4278"/>
    <w:rsid w:val="00DE4663"/>
    <w:rsid w:val="00DE46D8"/>
    <w:rsid w:val="00DE4956"/>
    <w:rsid w:val="00DE4DF2"/>
    <w:rsid w:val="00DE58EB"/>
    <w:rsid w:val="00DE597B"/>
    <w:rsid w:val="00DE5A67"/>
    <w:rsid w:val="00DE5E5A"/>
    <w:rsid w:val="00DE648D"/>
    <w:rsid w:val="00DE671F"/>
    <w:rsid w:val="00DE683C"/>
    <w:rsid w:val="00DE6BB2"/>
    <w:rsid w:val="00DE6F2B"/>
    <w:rsid w:val="00DE7A4E"/>
    <w:rsid w:val="00DE7BDA"/>
    <w:rsid w:val="00DE7D26"/>
    <w:rsid w:val="00DF0108"/>
    <w:rsid w:val="00DF089A"/>
    <w:rsid w:val="00DF092A"/>
    <w:rsid w:val="00DF102B"/>
    <w:rsid w:val="00DF1089"/>
    <w:rsid w:val="00DF119C"/>
    <w:rsid w:val="00DF1570"/>
    <w:rsid w:val="00DF1CF1"/>
    <w:rsid w:val="00DF1D19"/>
    <w:rsid w:val="00DF230B"/>
    <w:rsid w:val="00DF28C6"/>
    <w:rsid w:val="00DF2941"/>
    <w:rsid w:val="00DF2EB3"/>
    <w:rsid w:val="00DF2FD7"/>
    <w:rsid w:val="00DF312A"/>
    <w:rsid w:val="00DF3227"/>
    <w:rsid w:val="00DF32A5"/>
    <w:rsid w:val="00DF3ABD"/>
    <w:rsid w:val="00DF3B49"/>
    <w:rsid w:val="00DF3C70"/>
    <w:rsid w:val="00DF3E81"/>
    <w:rsid w:val="00DF447B"/>
    <w:rsid w:val="00DF456F"/>
    <w:rsid w:val="00DF47DE"/>
    <w:rsid w:val="00DF4BEB"/>
    <w:rsid w:val="00DF4CE9"/>
    <w:rsid w:val="00DF4D96"/>
    <w:rsid w:val="00DF5A78"/>
    <w:rsid w:val="00DF5EBC"/>
    <w:rsid w:val="00DF621A"/>
    <w:rsid w:val="00DF6291"/>
    <w:rsid w:val="00DF6398"/>
    <w:rsid w:val="00DF6906"/>
    <w:rsid w:val="00DF707A"/>
    <w:rsid w:val="00DF708E"/>
    <w:rsid w:val="00DF71FF"/>
    <w:rsid w:val="00DF735D"/>
    <w:rsid w:val="00DF7B3F"/>
    <w:rsid w:val="00DF7BDD"/>
    <w:rsid w:val="00DF7DB2"/>
    <w:rsid w:val="00DF7F57"/>
    <w:rsid w:val="00E0025C"/>
    <w:rsid w:val="00E003F4"/>
    <w:rsid w:val="00E00C0E"/>
    <w:rsid w:val="00E0104E"/>
    <w:rsid w:val="00E01351"/>
    <w:rsid w:val="00E01E81"/>
    <w:rsid w:val="00E02098"/>
    <w:rsid w:val="00E02260"/>
    <w:rsid w:val="00E02343"/>
    <w:rsid w:val="00E023FC"/>
    <w:rsid w:val="00E025F5"/>
    <w:rsid w:val="00E027A5"/>
    <w:rsid w:val="00E030FB"/>
    <w:rsid w:val="00E031F5"/>
    <w:rsid w:val="00E0321B"/>
    <w:rsid w:val="00E03472"/>
    <w:rsid w:val="00E03C3E"/>
    <w:rsid w:val="00E03E3F"/>
    <w:rsid w:val="00E04658"/>
    <w:rsid w:val="00E0471C"/>
    <w:rsid w:val="00E04BE3"/>
    <w:rsid w:val="00E051B7"/>
    <w:rsid w:val="00E053C2"/>
    <w:rsid w:val="00E05657"/>
    <w:rsid w:val="00E057AB"/>
    <w:rsid w:val="00E05867"/>
    <w:rsid w:val="00E05A2B"/>
    <w:rsid w:val="00E0641A"/>
    <w:rsid w:val="00E06D78"/>
    <w:rsid w:val="00E07174"/>
    <w:rsid w:val="00E07721"/>
    <w:rsid w:val="00E07E4F"/>
    <w:rsid w:val="00E07FFE"/>
    <w:rsid w:val="00E1046A"/>
    <w:rsid w:val="00E10FF0"/>
    <w:rsid w:val="00E110FC"/>
    <w:rsid w:val="00E11211"/>
    <w:rsid w:val="00E114A9"/>
    <w:rsid w:val="00E11535"/>
    <w:rsid w:val="00E1159D"/>
    <w:rsid w:val="00E119D4"/>
    <w:rsid w:val="00E11B9E"/>
    <w:rsid w:val="00E11C2D"/>
    <w:rsid w:val="00E11CCC"/>
    <w:rsid w:val="00E120C6"/>
    <w:rsid w:val="00E1211B"/>
    <w:rsid w:val="00E12164"/>
    <w:rsid w:val="00E12420"/>
    <w:rsid w:val="00E1276B"/>
    <w:rsid w:val="00E129CA"/>
    <w:rsid w:val="00E12A4C"/>
    <w:rsid w:val="00E12A95"/>
    <w:rsid w:val="00E12DC1"/>
    <w:rsid w:val="00E12E40"/>
    <w:rsid w:val="00E130CE"/>
    <w:rsid w:val="00E131BD"/>
    <w:rsid w:val="00E138D1"/>
    <w:rsid w:val="00E13982"/>
    <w:rsid w:val="00E13B33"/>
    <w:rsid w:val="00E13B73"/>
    <w:rsid w:val="00E13C76"/>
    <w:rsid w:val="00E14037"/>
    <w:rsid w:val="00E149B7"/>
    <w:rsid w:val="00E14C37"/>
    <w:rsid w:val="00E14DD6"/>
    <w:rsid w:val="00E14F64"/>
    <w:rsid w:val="00E1526E"/>
    <w:rsid w:val="00E1584A"/>
    <w:rsid w:val="00E15DA4"/>
    <w:rsid w:val="00E16568"/>
    <w:rsid w:val="00E16623"/>
    <w:rsid w:val="00E171DA"/>
    <w:rsid w:val="00E17270"/>
    <w:rsid w:val="00E172E4"/>
    <w:rsid w:val="00E178E5"/>
    <w:rsid w:val="00E1795A"/>
    <w:rsid w:val="00E17E20"/>
    <w:rsid w:val="00E205E5"/>
    <w:rsid w:val="00E20C5F"/>
    <w:rsid w:val="00E20F46"/>
    <w:rsid w:val="00E212F5"/>
    <w:rsid w:val="00E21309"/>
    <w:rsid w:val="00E213B0"/>
    <w:rsid w:val="00E21509"/>
    <w:rsid w:val="00E216D1"/>
    <w:rsid w:val="00E2173A"/>
    <w:rsid w:val="00E2194D"/>
    <w:rsid w:val="00E21FB1"/>
    <w:rsid w:val="00E22332"/>
    <w:rsid w:val="00E2244C"/>
    <w:rsid w:val="00E2254F"/>
    <w:rsid w:val="00E22846"/>
    <w:rsid w:val="00E2384D"/>
    <w:rsid w:val="00E24311"/>
    <w:rsid w:val="00E24589"/>
    <w:rsid w:val="00E2541B"/>
    <w:rsid w:val="00E259B7"/>
    <w:rsid w:val="00E261B4"/>
    <w:rsid w:val="00E263DF"/>
    <w:rsid w:val="00E264C7"/>
    <w:rsid w:val="00E26848"/>
    <w:rsid w:val="00E2719C"/>
    <w:rsid w:val="00E271AC"/>
    <w:rsid w:val="00E27495"/>
    <w:rsid w:val="00E275B2"/>
    <w:rsid w:val="00E27C90"/>
    <w:rsid w:val="00E27CC2"/>
    <w:rsid w:val="00E305BF"/>
    <w:rsid w:val="00E30A60"/>
    <w:rsid w:val="00E30EEF"/>
    <w:rsid w:val="00E311E1"/>
    <w:rsid w:val="00E3178B"/>
    <w:rsid w:val="00E32CB7"/>
    <w:rsid w:val="00E32F53"/>
    <w:rsid w:val="00E3316B"/>
    <w:rsid w:val="00E33311"/>
    <w:rsid w:val="00E33B2D"/>
    <w:rsid w:val="00E33BA2"/>
    <w:rsid w:val="00E33BF9"/>
    <w:rsid w:val="00E34630"/>
    <w:rsid w:val="00E355E7"/>
    <w:rsid w:val="00E35970"/>
    <w:rsid w:val="00E35DB5"/>
    <w:rsid w:val="00E365C8"/>
    <w:rsid w:val="00E365D0"/>
    <w:rsid w:val="00E36875"/>
    <w:rsid w:val="00E36E54"/>
    <w:rsid w:val="00E36EEE"/>
    <w:rsid w:val="00E3710F"/>
    <w:rsid w:val="00E373EF"/>
    <w:rsid w:val="00E376DB"/>
    <w:rsid w:val="00E37A87"/>
    <w:rsid w:val="00E40022"/>
    <w:rsid w:val="00E4023E"/>
    <w:rsid w:val="00E403C0"/>
    <w:rsid w:val="00E40F8A"/>
    <w:rsid w:val="00E40FB4"/>
    <w:rsid w:val="00E41454"/>
    <w:rsid w:val="00E415E2"/>
    <w:rsid w:val="00E4194E"/>
    <w:rsid w:val="00E41C07"/>
    <w:rsid w:val="00E41FB0"/>
    <w:rsid w:val="00E42153"/>
    <w:rsid w:val="00E424C6"/>
    <w:rsid w:val="00E42E0D"/>
    <w:rsid w:val="00E432E9"/>
    <w:rsid w:val="00E4360D"/>
    <w:rsid w:val="00E43835"/>
    <w:rsid w:val="00E4399A"/>
    <w:rsid w:val="00E444E1"/>
    <w:rsid w:val="00E447F9"/>
    <w:rsid w:val="00E44B3B"/>
    <w:rsid w:val="00E44FB1"/>
    <w:rsid w:val="00E454E5"/>
    <w:rsid w:val="00E45A26"/>
    <w:rsid w:val="00E463CE"/>
    <w:rsid w:val="00E46542"/>
    <w:rsid w:val="00E465EA"/>
    <w:rsid w:val="00E46631"/>
    <w:rsid w:val="00E46C0D"/>
    <w:rsid w:val="00E46F55"/>
    <w:rsid w:val="00E472CB"/>
    <w:rsid w:val="00E47542"/>
    <w:rsid w:val="00E477A3"/>
    <w:rsid w:val="00E47934"/>
    <w:rsid w:val="00E47BEC"/>
    <w:rsid w:val="00E50114"/>
    <w:rsid w:val="00E5016E"/>
    <w:rsid w:val="00E504CD"/>
    <w:rsid w:val="00E50652"/>
    <w:rsid w:val="00E50DE8"/>
    <w:rsid w:val="00E5111A"/>
    <w:rsid w:val="00E51622"/>
    <w:rsid w:val="00E51890"/>
    <w:rsid w:val="00E519AD"/>
    <w:rsid w:val="00E51B13"/>
    <w:rsid w:val="00E51E89"/>
    <w:rsid w:val="00E52024"/>
    <w:rsid w:val="00E527A5"/>
    <w:rsid w:val="00E5281C"/>
    <w:rsid w:val="00E52927"/>
    <w:rsid w:val="00E52BAA"/>
    <w:rsid w:val="00E52F1A"/>
    <w:rsid w:val="00E52F86"/>
    <w:rsid w:val="00E5306B"/>
    <w:rsid w:val="00E530DF"/>
    <w:rsid w:val="00E531A5"/>
    <w:rsid w:val="00E53597"/>
    <w:rsid w:val="00E535F9"/>
    <w:rsid w:val="00E538DD"/>
    <w:rsid w:val="00E53E74"/>
    <w:rsid w:val="00E542A5"/>
    <w:rsid w:val="00E543F9"/>
    <w:rsid w:val="00E546FA"/>
    <w:rsid w:val="00E54B02"/>
    <w:rsid w:val="00E54C35"/>
    <w:rsid w:val="00E54C89"/>
    <w:rsid w:val="00E55316"/>
    <w:rsid w:val="00E5583A"/>
    <w:rsid w:val="00E55AA4"/>
    <w:rsid w:val="00E55B17"/>
    <w:rsid w:val="00E55BB0"/>
    <w:rsid w:val="00E56859"/>
    <w:rsid w:val="00E568B8"/>
    <w:rsid w:val="00E57227"/>
    <w:rsid w:val="00E572DF"/>
    <w:rsid w:val="00E60081"/>
    <w:rsid w:val="00E603BC"/>
    <w:rsid w:val="00E603E0"/>
    <w:rsid w:val="00E60408"/>
    <w:rsid w:val="00E609B6"/>
    <w:rsid w:val="00E61059"/>
    <w:rsid w:val="00E613B6"/>
    <w:rsid w:val="00E616A7"/>
    <w:rsid w:val="00E617DD"/>
    <w:rsid w:val="00E61D43"/>
    <w:rsid w:val="00E626AD"/>
    <w:rsid w:val="00E62ED7"/>
    <w:rsid w:val="00E62FE8"/>
    <w:rsid w:val="00E63292"/>
    <w:rsid w:val="00E634ED"/>
    <w:rsid w:val="00E63739"/>
    <w:rsid w:val="00E637A1"/>
    <w:rsid w:val="00E63C1A"/>
    <w:rsid w:val="00E64151"/>
    <w:rsid w:val="00E64912"/>
    <w:rsid w:val="00E64A6F"/>
    <w:rsid w:val="00E64E73"/>
    <w:rsid w:val="00E64E87"/>
    <w:rsid w:val="00E652A3"/>
    <w:rsid w:val="00E65539"/>
    <w:rsid w:val="00E65F50"/>
    <w:rsid w:val="00E66323"/>
    <w:rsid w:val="00E66818"/>
    <w:rsid w:val="00E66C3A"/>
    <w:rsid w:val="00E66F82"/>
    <w:rsid w:val="00E6746A"/>
    <w:rsid w:val="00E6786A"/>
    <w:rsid w:val="00E67C81"/>
    <w:rsid w:val="00E67D12"/>
    <w:rsid w:val="00E67E2C"/>
    <w:rsid w:val="00E700BA"/>
    <w:rsid w:val="00E70473"/>
    <w:rsid w:val="00E7087E"/>
    <w:rsid w:val="00E70FBD"/>
    <w:rsid w:val="00E71DA9"/>
    <w:rsid w:val="00E72644"/>
    <w:rsid w:val="00E728EF"/>
    <w:rsid w:val="00E72E95"/>
    <w:rsid w:val="00E73122"/>
    <w:rsid w:val="00E73232"/>
    <w:rsid w:val="00E7342C"/>
    <w:rsid w:val="00E73823"/>
    <w:rsid w:val="00E7389B"/>
    <w:rsid w:val="00E7397B"/>
    <w:rsid w:val="00E739F7"/>
    <w:rsid w:val="00E73C19"/>
    <w:rsid w:val="00E73D22"/>
    <w:rsid w:val="00E73F66"/>
    <w:rsid w:val="00E74398"/>
    <w:rsid w:val="00E757F3"/>
    <w:rsid w:val="00E76A61"/>
    <w:rsid w:val="00E775F7"/>
    <w:rsid w:val="00E7784E"/>
    <w:rsid w:val="00E77DB9"/>
    <w:rsid w:val="00E80307"/>
    <w:rsid w:val="00E80313"/>
    <w:rsid w:val="00E804A0"/>
    <w:rsid w:val="00E8074E"/>
    <w:rsid w:val="00E80A26"/>
    <w:rsid w:val="00E811E7"/>
    <w:rsid w:val="00E811FB"/>
    <w:rsid w:val="00E8158E"/>
    <w:rsid w:val="00E81961"/>
    <w:rsid w:val="00E81B62"/>
    <w:rsid w:val="00E81CFE"/>
    <w:rsid w:val="00E8268A"/>
    <w:rsid w:val="00E82904"/>
    <w:rsid w:val="00E82A7B"/>
    <w:rsid w:val="00E82C77"/>
    <w:rsid w:val="00E82CAB"/>
    <w:rsid w:val="00E83068"/>
    <w:rsid w:val="00E8346D"/>
    <w:rsid w:val="00E83A21"/>
    <w:rsid w:val="00E83D2A"/>
    <w:rsid w:val="00E83EE5"/>
    <w:rsid w:val="00E84882"/>
    <w:rsid w:val="00E850BC"/>
    <w:rsid w:val="00E850D2"/>
    <w:rsid w:val="00E8547E"/>
    <w:rsid w:val="00E85D73"/>
    <w:rsid w:val="00E8681A"/>
    <w:rsid w:val="00E8688E"/>
    <w:rsid w:val="00E86D50"/>
    <w:rsid w:val="00E8700E"/>
    <w:rsid w:val="00E87772"/>
    <w:rsid w:val="00E87955"/>
    <w:rsid w:val="00E87A39"/>
    <w:rsid w:val="00E87CB7"/>
    <w:rsid w:val="00E90010"/>
    <w:rsid w:val="00E9069D"/>
    <w:rsid w:val="00E90A6B"/>
    <w:rsid w:val="00E90A75"/>
    <w:rsid w:val="00E90C10"/>
    <w:rsid w:val="00E90F82"/>
    <w:rsid w:val="00E914A7"/>
    <w:rsid w:val="00E914CB"/>
    <w:rsid w:val="00E915DF"/>
    <w:rsid w:val="00E9169F"/>
    <w:rsid w:val="00E91BE9"/>
    <w:rsid w:val="00E920DE"/>
    <w:rsid w:val="00E9230E"/>
    <w:rsid w:val="00E92A18"/>
    <w:rsid w:val="00E92CED"/>
    <w:rsid w:val="00E92F19"/>
    <w:rsid w:val="00E93132"/>
    <w:rsid w:val="00E931A5"/>
    <w:rsid w:val="00E93293"/>
    <w:rsid w:val="00E93577"/>
    <w:rsid w:val="00E939E1"/>
    <w:rsid w:val="00E93C1E"/>
    <w:rsid w:val="00E9439A"/>
    <w:rsid w:val="00E94431"/>
    <w:rsid w:val="00E94512"/>
    <w:rsid w:val="00E94B32"/>
    <w:rsid w:val="00E9581A"/>
    <w:rsid w:val="00E95889"/>
    <w:rsid w:val="00E9592A"/>
    <w:rsid w:val="00E9602D"/>
    <w:rsid w:val="00E96430"/>
    <w:rsid w:val="00E968AE"/>
    <w:rsid w:val="00E96BAD"/>
    <w:rsid w:val="00E96DEE"/>
    <w:rsid w:val="00E96FA5"/>
    <w:rsid w:val="00E96FB3"/>
    <w:rsid w:val="00E9700E"/>
    <w:rsid w:val="00E97084"/>
    <w:rsid w:val="00E971C4"/>
    <w:rsid w:val="00E977DA"/>
    <w:rsid w:val="00E977E5"/>
    <w:rsid w:val="00E97EE3"/>
    <w:rsid w:val="00EA0D5B"/>
    <w:rsid w:val="00EA0EF3"/>
    <w:rsid w:val="00EA117B"/>
    <w:rsid w:val="00EA15F8"/>
    <w:rsid w:val="00EA1B7D"/>
    <w:rsid w:val="00EA1C91"/>
    <w:rsid w:val="00EA1E53"/>
    <w:rsid w:val="00EA1FF8"/>
    <w:rsid w:val="00EA2217"/>
    <w:rsid w:val="00EA2301"/>
    <w:rsid w:val="00EA2454"/>
    <w:rsid w:val="00EA2664"/>
    <w:rsid w:val="00EA27CC"/>
    <w:rsid w:val="00EA2814"/>
    <w:rsid w:val="00EA28F1"/>
    <w:rsid w:val="00EA2949"/>
    <w:rsid w:val="00EA2AAC"/>
    <w:rsid w:val="00EA2DFC"/>
    <w:rsid w:val="00EA302B"/>
    <w:rsid w:val="00EA30C7"/>
    <w:rsid w:val="00EA32C6"/>
    <w:rsid w:val="00EA3340"/>
    <w:rsid w:val="00EA3709"/>
    <w:rsid w:val="00EA3873"/>
    <w:rsid w:val="00EA41E8"/>
    <w:rsid w:val="00EA4321"/>
    <w:rsid w:val="00EA454D"/>
    <w:rsid w:val="00EA55AE"/>
    <w:rsid w:val="00EA56F1"/>
    <w:rsid w:val="00EA58DF"/>
    <w:rsid w:val="00EA5B30"/>
    <w:rsid w:val="00EA624A"/>
    <w:rsid w:val="00EA62BC"/>
    <w:rsid w:val="00EA6610"/>
    <w:rsid w:val="00EA7028"/>
    <w:rsid w:val="00EA71CE"/>
    <w:rsid w:val="00EA730D"/>
    <w:rsid w:val="00EA7398"/>
    <w:rsid w:val="00EA757F"/>
    <w:rsid w:val="00EA7AC3"/>
    <w:rsid w:val="00EB01C7"/>
    <w:rsid w:val="00EB03A7"/>
    <w:rsid w:val="00EB04DD"/>
    <w:rsid w:val="00EB06F2"/>
    <w:rsid w:val="00EB0EFF"/>
    <w:rsid w:val="00EB1206"/>
    <w:rsid w:val="00EB159A"/>
    <w:rsid w:val="00EB15ED"/>
    <w:rsid w:val="00EB1938"/>
    <w:rsid w:val="00EB1C40"/>
    <w:rsid w:val="00EB1CC3"/>
    <w:rsid w:val="00EB1F27"/>
    <w:rsid w:val="00EB22BB"/>
    <w:rsid w:val="00EB22E4"/>
    <w:rsid w:val="00EB2822"/>
    <w:rsid w:val="00EB2A5B"/>
    <w:rsid w:val="00EB2BCD"/>
    <w:rsid w:val="00EB32BC"/>
    <w:rsid w:val="00EB36F4"/>
    <w:rsid w:val="00EB3BEE"/>
    <w:rsid w:val="00EB3C1A"/>
    <w:rsid w:val="00EB3E7A"/>
    <w:rsid w:val="00EB4CF2"/>
    <w:rsid w:val="00EB51E5"/>
    <w:rsid w:val="00EB51FF"/>
    <w:rsid w:val="00EB6617"/>
    <w:rsid w:val="00EB66FF"/>
    <w:rsid w:val="00EB6953"/>
    <w:rsid w:val="00EB6A04"/>
    <w:rsid w:val="00EB6DCF"/>
    <w:rsid w:val="00EB7244"/>
    <w:rsid w:val="00EB7465"/>
    <w:rsid w:val="00EB748E"/>
    <w:rsid w:val="00EB7639"/>
    <w:rsid w:val="00EB767E"/>
    <w:rsid w:val="00EB7C0B"/>
    <w:rsid w:val="00EB7CD3"/>
    <w:rsid w:val="00EC01DE"/>
    <w:rsid w:val="00EC02AA"/>
    <w:rsid w:val="00EC0730"/>
    <w:rsid w:val="00EC076F"/>
    <w:rsid w:val="00EC079A"/>
    <w:rsid w:val="00EC0954"/>
    <w:rsid w:val="00EC0D04"/>
    <w:rsid w:val="00EC1393"/>
    <w:rsid w:val="00EC27AC"/>
    <w:rsid w:val="00EC28E2"/>
    <w:rsid w:val="00EC293D"/>
    <w:rsid w:val="00EC2B9E"/>
    <w:rsid w:val="00EC37EF"/>
    <w:rsid w:val="00EC44BA"/>
    <w:rsid w:val="00EC45F8"/>
    <w:rsid w:val="00EC481C"/>
    <w:rsid w:val="00EC53C5"/>
    <w:rsid w:val="00EC5748"/>
    <w:rsid w:val="00EC6266"/>
    <w:rsid w:val="00EC67C1"/>
    <w:rsid w:val="00EC6E2B"/>
    <w:rsid w:val="00EC6EC7"/>
    <w:rsid w:val="00EC7135"/>
    <w:rsid w:val="00EC7195"/>
    <w:rsid w:val="00EC736A"/>
    <w:rsid w:val="00EC74C6"/>
    <w:rsid w:val="00EC7654"/>
    <w:rsid w:val="00EC77F0"/>
    <w:rsid w:val="00EC7B1F"/>
    <w:rsid w:val="00ED01BE"/>
    <w:rsid w:val="00ED066C"/>
    <w:rsid w:val="00ED0C73"/>
    <w:rsid w:val="00ED1050"/>
    <w:rsid w:val="00ED1C45"/>
    <w:rsid w:val="00ED208E"/>
    <w:rsid w:val="00ED25F1"/>
    <w:rsid w:val="00ED2776"/>
    <w:rsid w:val="00ED3528"/>
    <w:rsid w:val="00ED37EF"/>
    <w:rsid w:val="00ED3995"/>
    <w:rsid w:val="00ED3B49"/>
    <w:rsid w:val="00ED3BEE"/>
    <w:rsid w:val="00ED3E51"/>
    <w:rsid w:val="00ED3E77"/>
    <w:rsid w:val="00ED3F2D"/>
    <w:rsid w:val="00ED471F"/>
    <w:rsid w:val="00ED48B4"/>
    <w:rsid w:val="00ED5386"/>
    <w:rsid w:val="00ED573F"/>
    <w:rsid w:val="00ED677B"/>
    <w:rsid w:val="00ED6788"/>
    <w:rsid w:val="00ED6857"/>
    <w:rsid w:val="00ED6970"/>
    <w:rsid w:val="00ED6C28"/>
    <w:rsid w:val="00ED6C48"/>
    <w:rsid w:val="00ED770F"/>
    <w:rsid w:val="00EE00BA"/>
    <w:rsid w:val="00EE0138"/>
    <w:rsid w:val="00EE0278"/>
    <w:rsid w:val="00EE048F"/>
    <w:rsid w:val="00EE0545"/>
    <w:rsid w:val="00EE079A"/>
    <w:rsid w:val="00EE0C3A"/>
    <w:rsid w:val="00EE0E0C"/>
    <w:rsid w:val="00EE0F3C"/>
    <w:rsid w:val="00EE1228"/>
    <w:rsid w:val="00EE12E1"/>
    <w:rsid w:val="00EE13F5"/>
    <w:rsid w:val="00EE1738"/>
    <w:rsid w:val="00EE1F6D"/>
    <w:rsid w:val="00EE2476"/>
    <w:rsid w:val="00EE24BD"/>
    <w:rsid w:val="00EE2BC5"/>
    <w:rsid w:val="00EE2C81"/>
    <w:rsid w:val="00EE2FBB"/>
    <w:rsid w:val="00EE3236"/>
    <w:rsid w:val="00EE3506"/>
    <w:rsid w:val="00EE3871"/>
    <w:rsid w:val="00EE3B31"/>
    <w:rsid w:val="00EE3C4E"/>
    <w:rsid w:val="00EE46A5"/>
    <w:rsid w:val="00EE48A2"/>
    <w:rsid w:val="00EE48DA"/>
    <w:rsid w:val="00EE49AE"/>
    <w:rsid w:val="00EE49CB"/>
    <w:rsid w:val="00EE4BDF"/>
    <w:rsid w:val="00EE4C2D"/>
    <w:rsid w:val="00EE4F86"/>
    <w:rsid w:val="00EE50FB"/>
    <w:rsid w:val="00EE515E"/>
    <w:rsid w:val="00EE5B70"/>
    <w:rsid w:val="00EE6037"/>
    <w:rsid w:val="00EE610C"/>
    <w:rsid w:val="00EE61D4"/>
    <w:rsid w:val="00EE6351"/>
    <w:rsid w:val="00EE6A8B"/>
    <w:rsid w:val="00EE6F6A"/>
    <w:rsid w:val="00EF06C7"/>
    <w:rsid w:val="00EF1AAF"/>
    <w:rsid w:val="00EF1D7D"/>
    <w:rsid w:val="00EF233F"/>
    <w:rsid w:val="00EF2634"/>
    <w:rsid w:val="00EF29D0"/>
    <w:rsid w:val="00EF29F2"/>
    <w:rsid w:val="00EF2C2F"/>
    <w:rsid w:val="00EF2D24"/>
    <w:rsid w:val="00EF3545"/>
    <w:rsid w:val="00EF39C9"/>
    <w:rsid w:val="00EF3B82"/>
    <w:rsid w:val="00EF3C3B"/>
    <w:rsid w:val="00EF3D85"/>
    <w:rsid w:val="00EF446B"/>
    <w:rsid w:val="00EF4E3F"/>
    <w:rsid w:val="00EF4E5B"/>
    <w:rsid w:val="00EF4F93"/>
    <w:rsid w:val="00EF5040"/>
    <w:rsid w:val="00EF545C"/>
    <w:rsid w:val="00EF5A56"/>
    <w:rsid w:val="00EF5BC1"/>
    <w:rsid w:val="00EF6407"/>
    <w:rsid w:val="00EF671B"/>
    <w:rsid w:val="00EF6720"/>
    <w:rsid w:val="00EF68FD"/>
    <w:rsid w:val="00EF6AA7"/>
    <w:rsid w:val="00EF6B78"/>
    <w:rsid w:val="00EF6C3A"/>
    <w:rsid w:val="00EF6F86"/>
    <w:rsid w:val="00EF7925"/>
    <w:rsid w:val="00EF7CF5"/>
    <w:rsid w:val="00EF7FBF"/>
    <w:rsid w:val="00F00080"/>
    <w:rsid w:val="00F0017B"/>
    <w:rsid w:val="00F0051D"/>
    <w:rsid w:val="00F00732"/>
    <w:rsid w:val="00F00771"/>
    <w:rsid w:val="00F0085D"/>
    <w:rsid w:val="00F00C77"/>
    <w:rsid w:val="00F01046"/>
    <w:rsid w:val="00F01CD1"/>
    <w:rsid w:val="00F01DD0"/>
    <w:rsid w:val="00F0215E"/>
    <w:rsid w:val="00F021A9"/>
    <w:rsid w:val="00F02537"/>
    <w:rsid w:val="00F02820"/>
    <w:rsid w:val="00F02E06"/>
    <w:rsid w:val="00F032EB"/>
    <w:rsid w:val="00F03895"/>
    <w:rsid w:val="00F03C94"/>
    <w:rsid w:val="00F03D2D"/>
    <w:rsid w:val="00F04068"/>
    <w:rsid w:val="00F041A0"/>
    <w:rsid w:val="00F043C9"/>
    <w:rsid w:val="00F04AC2"/>
    <w:rsid w:val="00F0557A"/>
    <w:rsid w:val="00F05766"/>
    <w:rsid w:val="00F05BE8"/>
    <w:rsid w:val="00F06320"/>
    <w:rsid w:val="00F06D2B"/>
    <w:rsid w:val="00F0707F"/>
    <w:rsid w:val="00F07521"/>
    <w:rsid w:val="00F07A1E"/>
    <w:rsid w:val="00F10263"/>
    <w:rsid w:val="00F10302"/>
    <w:rsid w:val="00F109E4"/>
    <w:rsid w:val="00F10C76"/>
    <w:rsid w:val="00F10E50"/>
    <w:rsid w:val="00F111F0"/>
    <w:rsid w:val="00F11350"/>
    <w:rsid w:val="00F1135D"/>
    <w:rsid w:val="00F11665"/>
    <w:rsid w:val="00F11D07"/>
    <w:rsid w:val="00F12256"/>
    <w:rsid w:val="00F1227F"/>
    <w:rsid w:val="00F1274E"/>
    <w:rsid w:val="00F12884"/>
    <w:rsid w:val="00F12DE2"/>
    <w:rsid w:val="00F12E0F"/>
    <w:rsid w:val="00F130F5"/>
    <w:rsid w:val="00F13475"/>
    <w:rsid w:val="00F138EC"/>
    <w:rsid w:val="00F13E55"/>
    <w:rsid w:val="00F13F8C"/>
    <w:rsid w:val="00F14CA3"/>
    <w:rsid w:val="00F157DE"/>
    <w:rsid w:val="00F1586F"/>
    <w:rsid w:val="00F15D50"/>
    <w:rsid w:val="00F15F6D"/>
    <w:rsid w:val="00F160D8"/>
    <w:rsid w:val="00F16316"/>
    <w:rsid w:val="00F1638F"/>
    <w:rsid w:val="00F16587"/>
    <w:rsid w:val="00F16E06"/>
    <w:rsid w:val="00F17450"/>
    <w:rsid w:val="00F17D2B"/>
    <w:rsid w:val="00F20F35"/>
    <w:rsid w:val="00F21160"/>
    <w:rsid w:val="00F21223"/>
    <w:rsid w:val="00F21302"/>
    <w:rsid w:val="00F21B94"/>
    <w:rsid w:val="00F22055"/>
    <w:rsid w:val="00F2244E"/>
    <w:rsid w:val="00F2301F"/>
    <w:rsid w:val="00F233C4"/>
    <w:rsid w:val="00F234BD"/>
    <w:rsid w:val="00F2484B"/>
    <w:rsid w:val="00F249B7"/>
    <w:rsid w:val="00F24C35"/>
    <w:rsid w:val="00F24DCE"/>
    <w:rsid w:val="00F24FA2"/>
    <w:rsid w:val="00F254AB"/>
    <w:rsid w:val="00F258E9"/>
    <w:rsid w:val="00F25A10"/>
    <w:rsid w:val="00F25B42"/>
    <w:rsid w:val="00F25B86"/>
    <w:rsid w:val="00F25B88"/>
    <w:rsid w:val="00F25C7D"/>
    <w:rsid w:val="00F25FA2"/>
    <w:rsid w:val="00F26100"/>
    <w:rsid w:val="00F26133"/>
    <w:rsid w:val="00F26369"/>
    <w:rsid w:val="00F26376"/>
    <w:rsid w:val="00F264C3"/>
    <w:rsid w:val="00F270D3"/>
    <w:rsid w:val="00F278F0"/>
    <w:rsid w:val="00F279C3"/>
    <w:rsid w:val="00F27A6B"/>
    <w:rsid w:val="00F300DF"/>
    <w:rsid w:val="00F30492"/>
    <w:rsid w:val="00F306FE"/>
    <w:rsid w:val="00F30CEF"/>
    <w:rsid w:val="00F30E40"/>
    <w:rsid w:val="00F31032"/>
    <w:rsid w:val="00F318EC"/>
    <w:rsid w:val="00F318FC"/>
    <w:rsid w:val="00F32734"/>
    <w:rsid w:val="00F33778"/>
    <w:rsid w:val="00F339B9"/>
    <w:rsid w:val="00F33C9C"/>
    <w:rsid w:val="00F34A01"/>
    <w:rsid w:val="00F3515D"/>
    <w:rsid w:val="00F35325"/>
    <w:rsid w:val="00F3552A"/>
    <w:rsid w:val="00F35535"/>
    <w:rsid w:val="00F35A4F"/>
    <w:rsid w:val="00F35BEF"/>
    <w:rsid w:val="00F35C39"/>
    <w:rsid w:val="00F3602E"/>
    <w:rsid w:val="00F36540"/>
    <w:rsid w:val="00F365C6"/>
    <w:rsid w:val="00F37109"/>
    <w:rsid w:val="00F37B0A"/>
    <w:rsid w:val="00F37F8E"/>
    <w:rsid w:val="00F400B0"/>
    <w:rsid w:val="00F402F8"/>
    <w:rsid w:val="00F404BB"/>
    <w:rsid w:val="00F40579"/>
    <w:rsid w:val="00F4062A"/>
    <w:rsid w:val="00F40647"/>
    <w:rsid w:val="00F40967"/>
    <w:rsid w:val="00F40D47"/>
    <w:rsid w:val="00F41C8F"/>
    <w:rsid w:val="00F42467"/>
    <w:rsid w:val="00F425E8"/>
    <w:rsid w:val="00F426FD"/>
    <w:rsid w:val="00F42938"/>
    <w:rsid w:val="00F42955"/>
    <w:rsid w:val="00F429C0"/>
    <w:rsid w:val="00F43A9D"/>
    <w:rsid w:val="00F43B62"/>
    <w:rsid w:val="00F43E20"/>
    <w:rsid w:val="00F44287"/>
    <w:rsid w:val="00F4428D"/>
    <w:rsid w:val="00F4438D"/>
    <w:rsid w:val="00F4441D"/>
    <w:rsid w:val="00F44AB6"/>
    <w:rsid w:val="00F44B8C"/>
    <w:rsid w:val="00F4553E"/>
    <w:rsid w:val="00F456A1"/>
    <w:rsid w:val="00F45BB9"/>
    <w:rsid w:val="00F460E9"/>
    <w:rsid w:val="00F46412"/>
    <w:rsid w:val="00F4670B"/>
    <w:rsid w:val="00F4675A"/>
    <w:rsid w:val="00F4684A"/>
    <w:rsid w:val="00F46BB3"/>
    <w:rsid w:val="00F46D82"/>
    <w:rsid w:val="00F4712B"/>
    <w:rsid w:val="00F478F1"/>
    <w:rsid w:val="00F50521"/>
    <w:rsid w:val="00F50B13"/>
    <w:rsid w:val="00F50BC5"/>
    <w:rsid w:val="00F50DD5"/>
    <w:rsid w:val="00F513A6"/>
    <w:rsid w:val="00F51948"/>
    <w:rsid w:val="00F5195F"/>
    <w:rsid w:val="00F51E6C"/>
    <w:rsid w:val="00F52368"/>
    <w:rsid w:val="00F52657"/>
    <w:rsid w:val="00F5276B"/>
    <w:rsid w:val="00F527D8"/>
    <w:rsid w:val="00F52D8E"/>
    <w:rsid w:val="00F53259"/>
    <w:rsid w:val="00F53706"/>
    <w:rsid w:val="00F53732"/>
    <w:rsid w:val="00F53769"/>
    <w:rsid w:val="00F53E47"/>
    <w:rsid w:val="00F53E74"/>
    <w:rsid w:val="00F54348"/>
    <w:rsid w:val="00F54BA1"/>
    <w:rsid w:val="00F54CA4"/>
    <w:rsid w:val="00F5559B"/>
    <w:rsid w:val="00F555D5"/>
    <w:rsid w:val="00F55977"/>
    <w:rsid w:val="00F55D57"/>
    <w:rsid w:val="00F56017"/>
    <w:rsid w:val="00F561DA"/>
    <w:rsid w:val="00F565E6"/>
    <w:rsid w:val="00F56AAF"/>
    <w:rsid w:val="00F56C56"/>
    <w:rsid w:val="00F56D9B"/>
    <w:rsid w:val="00F57535"/>
    <w:rsid w:val="00F575EE"/>
    <w:rsid w:val="00F5772A"/>
    <w:rsid w:val="00F57DF4"/>
    <w:rsid w:val="00F57E76"/>
    <w:rsid w:val="00F60041"/>
    <w:rsid w:val="00F603E4"/>
    <w:rsid w:val="00F60AE6"/>
    <w:rsid w:val="00F60B9C"/>
    <w:rsid w:val="00F61BB8"/>
    <w:rsid w:val="00F61C69"/>
    <w:rsid w:val="00F61CF4"/>
    <w:rsid w:val="00F62064"/>
    <w:rsid w:val="00F62BFF"/>
    <w:rsid w:val="00F632E7"/>
    <w:rsid w:val="00F6334A"/>
    <w:rsid w:val="00F63736"/>
    <w:rsid w:val="00F63783"/>
    <w:rsid w:val="00F63E37"/>
    <w:rsid w:val="00F643B6"/>
    <w:rsid w:val="00F64591"/>
    <w:rsid w:val="00F64701"/>
    <w:rsid w:val="00F65F2F"/>
    <w:rsid w:val="00F6610A"/>
    <w:rsid w:val="00F662EB"/>
    <w:rsid w:val="00F66723"/>
    <w:rsid w:val="00F66F58"/>
    <w:rsid w:val="00F67452"/>
    <w:rsid w:val="00F705B3"/>
    <w:rsid w:val="00F70680"/>
    <w:rsid w:val="00F7079B"/>
    <w:rsid w:val="00F70998"/>
    <w:rsid w:val="00F7127E"/>
    <w:rsid w:val="00F71622"/>
    <w:rsid w:val="00F71777"/>
    <w:rsid w:val="00F71858"/>
    <w:rsid w:val="00F71963"/>
    <w:rsid w:val="00F71C9B"/>
    <w:rsid w:val="00F722BC"/>
    <w:rsid w:val="00F725B4"/>
    <w:rsid w:val="00F726B8"/>
    <w:rsid w:val="00F72B7C"/>
    <w:rsid w:val="00F72DF3"/>
    <w:rsid w:val="00F73030"/>
    <w:rsid w:val="00F73068"/>
    <w:rsid w:val="00F73314"/>
    <w:rsid w:val="00F73335"/>
    <w:rsid w:val="00F7368F"/>
    <w:rsid w:val="00F736F6"/>
    <w:rsid w:val="00F73DA8"/>
    <w:rsid w:val="00F73EA6"/>
    <w:rsid w:val="00F7449A"/>
    <w:rsid w:val="00F74783"/>
    <w:rsid w:val="00F754D8"/>
    <w:rsid w:val="00F7594D"/>
    <w:rsid w:val="00F76686"/>
    <w:rsid w:val="00F76DAF"/>
    <w:rsid w:val="00F76F7F"/>
    <w:rsid w:val="00F77AB6"/>
    <w:rsid w:val="00F801A9"/>
    <w:rsid w:val="00F80C26"/>
    <w:rsid w:val="00F80E2E"/>
    <w:rsid w:val="00F80E5C"/>
    <w:rsid w:val="00F8115F"/>
    <w:rsid w:val="00F81242"/>
    <w:rsid w:val="00F8178A"/>
    <w:rsid w:val="00F81BFA"/>
    <w:rsid w:val="00F83375"/>
    <w:rsid w:val="00F833B0"/>
    <w:rsid w:val="00F83600"/>
    <w:rsid w:val="00F83877"/>
    <w:rsid w:val="00F83AC7"/>
    <w:rsid w:val="00F83C2F"/>
    <w:rsid w:val="00F83C64"/>
    <w:rsid w:val="00F841AF"/>
    <w:rsid w:val="00F8425A"/>
    <w:rsid w:val="00F84418"/>
    <w:rsid w:val="00F8473D"/>
    <w:rsid w:val="00F84A06"/>
    <w:rsid w:val="00F84AC6"/>
    <w:rsid w:val="00F84AEB"/>
    <w:rsid w:val="00F84B5D"/>
    <w:rsid w:val="00F85151"/>
    <w:rsid w:val="00F857EB"/>
    <w:rsid w:val="00F8582D"/>
    <w:rsid w:val="00F85856"/>
    <w:rsid w:val="00F8594F"/>
    <w:rsid w:val="00F85E2A"/>
    <w:rsid w:val="00F86066"/>
    <w:rsid w:val="00F86366"/>
    <w:rsid w:val="00F86488"/>
    <w:rsid w:val="00F87837"/>
    <w:rsid w:val="00F8797D"/>
    <w:rsid w:val="00F879D8"/>
    <w:rsid w:val="00F87E8C"/>
    <w:rsid w:val="00F90057"/>
    <w:rsid w:val="00F90A89"/>
    <w:rsid w:val="00F90DEE"/>
    <w:rsid w:val="00F90F72"/>
    <w:rsid w:val="00F91072"/>
    <w:rsid w:val="00F910C0"/>
    <w:rsid w:val="00F915F2"/>
    <w:rsid w:val="00F916BA"/>
    <w:rsid w:val="00F91B62"/>
    <w:rsid w:val="00F91ED6"/>
    <w:rsid w:val="00F91FD6"/>
    <w:rsid w:val="00F934DF"/>
    <w:rsid w:val="00F935AF"/>
    <w:rsid w:val="00F93ACA"/>
    <w:rsid w:val="00F9403E"/>
    <w:rsid w:val="00F94182"/>
    <w:rsid w:val="00F94294"/>
    <w:rsid w:val="00F945C6"/>
    <w:rsid w:val="00F94A09"/>
    <w:rsid w:val="00F950F2"/>
    <w:rsid w:val="00F9535E"/>
    <w:rsid w:val="00F95484"/>
    <w:rsid w:val="00F9588A"/>
    <w:rsid w:val="00F95988"/>
    <w:rsid w:val="00F9601B"/>
    <w:rsid w:val="00F964EB"/>
    <w:rsid w:val="00F965CA"/>
    <w:rsid w:val="00F97037"/>
    <w:rsid w:val="00F97B5D"/>
    <w:rsid w:val="00FA03FD"/>
    <w:rsid w:val="00FA049A"/>
    <w:rsid w:val="00FA0B85"/>
    <w:rsid w:val="00FA0E8C"/>
    <w:rsid w:val="00FA0F0E"/>
    <w:rsid w:val="00FA12E5"/>
    <w:rsid w:val="00FA1E82"/>
    <w:rsid w:val="00FA20B7"/>
    <w:rsid w:val="00FA2C5D"/>
    <w:rsid w:val="00FA2D5D"/>
    <w:rsid w:val="00FA3054"/>
    <w:rsid w:val="00FA328B"/>
    <w:rsid w:val="00FA346C"/>
    <w:rsid w:val="00FA3538"/>
    <w:rsid w:val="00FA3564"/>
    <w:rsid w:val="00FA3E17"/>
    <w:rsid w:val="00FA5A12"/>
    <w:rsid w:val="00FA5AE0"/>
    <w:rsid w:val="00FA5BCC"/>
    <w:rsid w:val="00FA5F78"/>
    <w:rsid w:val="00FA6D9F"/>
    <w:rsid w:val="00FA6DBA"/>
    <w:rsid w:val="00FA6FBF"/>
    <w:rsid w:val="00FA7610"/>
    <w:rsid w:val="00FA7757"/>
    <w:rsid w:val="00FA78B6"/>
    <w:rsid w:val="00FA7C83"/>
    <w:rsid w:val="00FA7FF6"/>
    <w:rsid w:val="00FB09D4"/>
    <w:rsid w:val="00FB0BA1"/>
    <w:rsid w:val="00FB0BB8"/>
    <w:rsid w:val="00FB0D01"/>
    <w:rsid w:val="00FB0D04"/>
    <w:rsid w:val="00FB0E17"/>
    <w:rsid w:val="00FB0F0A"/>
    <w:rsid w:val="00FB180B"/>
    <w:rsid w:val="00FB20AB"/>
    <w:rsid w:val="00FB2296"/>
    <w:rsid w:val="00FB2547"/>
    <w:rsid w:val="00FB30B9"/>
    <w:rsid w:val="00FB3115"/>
    <w:rsid w:val="00FB32A9"/>
    <w:rsid w:val="00FB36AD"/>
    <w:rsid w:val="00FB3F9F"/>
    <w:rsid w:val="00FB4D13"/>
    <w:rsid w:val="00FB4D31"/>
    <w:rsid w:val="00FB4E8F"/>
    <w:rsid w:val="00FB536D"/>
    <w:rsid w:val="00FB58A2"/>
    <w:rsid w:val="00FB597E"/>
    <w:rsid w:val="00FB59F9"/>
    <w:rsid w:val="00FB5B5B"/>
    <w:rsid w:val="00FB5C75"/>
    <w:rsid w:val="00FB5CC1"/>
    <w:rsid w:val="00FB621F"/>
    <w:rsid w:val="00FB6267"/>
    <w:rsid w:val="00FB6329"/>
    <w:rsid w:val="00FB6A70"/>
    <w:rsid w:val="00FB6D17"/>
    <w:rsid w:val="00FB737C"/>
    <w:rsid w:val="00FB7ABC"/>
    <w:rsid w:val="00FB7CA4"/>
    <w:rsid w:val="00FC022C"/>
    <w:rsid w:val="00FC06FC"/>
    <w:rsid w:val="00FC119B"/>
    <w:rsid w:val="00FC15F4"/>
    <w:rsid w:val="00FC1C38"/>
    <w:rsid w:val="00FC2406"/>
    <w:rsid w:val="00FC24D6"/>
    <w:rsid w:val="00FC3433"/>
    <w:rsid w:val="00FC355E"/>
    <w:rsid w:val="00FC35D4"/>
    <w:rsid w:val="00FC38C2"/>
    <w:rsid w:val="00FC39A5"/>
    <w:rsid w:val="00FC3BF4"/>
    <w:rsid w:val="00FC3C2B"/>
    <w:rsid w:val="00FC40D8"/>
    <w:rsid w:val="00FC456F"/>
    <w:rsid w:val="00FC4D7C"/>
    <w:rsid w:val="00FC5333"/>
    <w:rsid w:val="00FC53D1"/>
    <w:rsid w:val="00FC57CB"/>
    <w:rsid w:val="00FC5904"/>
    <w:rsid w:val="00FC5C96"/>
    <w:rsid w:val="00FC5D55"/>
    <w:rsid w:val="00FC5FBA"/>
    <w:rsid w:val="00FC61AE"/>
    <w:rsid w:val="00FC664E"/>
    <w:rsid w:val="00FC6E5B"/>
    <w:rsid w:val="00FC7044"/>
    <w:rsid w:val="00FD09D3"/>
    <w:rsid w:val="00FD0F2C"/>
    <w:rsid w:val="00FD0FE6"/>
    <w:rsid w:val="00FD100B"/>
    <w:rsid w:val="00FD1518"/>
    <w:rsid w:val="00FD16A6"/>
    <w:rsid w:val="00FD183D"/>
    <w:rsid w:val="00FD18FF"/>
    <w:rsid w:val="00FD1CE8"/>
    <w:rsid w:val="00FD1DE0"/>
    <w:rsid w:val="00FD2088"/>
    <w:rsid w:val="00FD2437"/>
    <w:rsid w:val="00FD2E13"/>
    <w:rsid w:val="00FD31E5"/>
    <w:rsid w:val="00FD422E"/>
    <w:rsid w:val="00FD43EA"/>
    <w:rsid w:val="00FD4671"/>
    <w:rsid w:val="00FD4DF7"/>
    <w:rsid w:val="00FD4FAB"/>
    <w:rsid w:val="00FD51B5"/>
    <w:rsid w:val="00FD5294"/>
    <w:rsid w:val="00FD5F7E"/>
    <w:rsid w:val="00FD65CC"/>
    <w:rsid w:val="00FD6694"/>
    <w:rsid w:val="00FD6FEB"/>
    <w:rsid w:val="00FD71C4"/>
    <w:rsid w:val="00FD723B"/>
    <w:rsid w:val="00FD76C6"/>
    <w:rsid w:val="00FE05EA"/>
    <w:rsid w:val="00FE0AAF"/>
    <w:rsid w:val="00FE0D2A"/>
    <w:rsid w:val="00FE0F96"/>
    <w:rsid w:val="00FE15E5"/>
    <w:rsid w:val="00FE1641"/>
    <w:rsid w:val="00FE1C2D"/>
    <w:rsid w:val="00FE28F5"/>
    <w:rsid w:val="00FE2A43"/>
    <w:rsid w:val="00FE2A4A"/>
    <w:rsid w:val="00FE2F7F"/>
    <w:rsid w:val="00FE30F1"/>
    <w:rsid w:val="00FE36EC"/>
    <w:rsid w:val="00FE3BC6"/>
    <w:rsid w:val="00FE3EB5"/>
    <w:rsid w:val="00FE4441"/>
    <w:rsid w:val="00FE49AD"/>
    <w:rsid w:val="00FE4B4F"/>
    <w:rsid w:val="00FE528E"/>
    <w:rsid w:val="00FE5955"/>
    <w:rsid w:val="00FE5E9F"/>
    <w:rsid w:val="00FE60D2"/>
    <w:rsid w:val="00FE670E"/>
    <w:rsid w:val="00FE6749"/>
    <w:rsid w:val="00FE6E5F"/>
    <w:rsid w:val="00FE6ED9"/>
    <w:rsid w:val="00FE6F1A"/>
    <w:rsid w:val="00FE745A"/>
    <w:rsid w:val="00FE7E9F"/>
    <w:rsid w:val="00FF03CF"/>
    <w:rsid w:val="00FF0464"/>
    <w:rsid w:val="00FF07CD"/>
    <w:rsid w:val="00FF09B2"/>
    <w:rsid w:val="00FF14B8"/>
    <w:rsid w:val="00FF15EB"/>
    <w:rsid w:val="00FF1D2D"/>
    <w:rsid w:val="00FF1E3F"/>
    <w:rsid w:val="00FF2B27"/>
    <w:rsid w:val="00FF2CBB"/>
    <w:rsid w:val="00FF2DD9"/>
    <w:rsid w:val="00FF37E2"/>
    <w:rsid w:val="00FF3876"/>
    <w:rsid w:val="00FF38E1"/>
    <w:rsid w:val="00FF41C8"/>
    <w:rsid w:val="00FF461C"/>
    <w:rsid w:val="00FF4A41"/>
    <w:rsid w:val="00FF4D54"/>
    <w:rsid w:val="00FF4FF9"/>
    <w:rsid w:val="00FF593A"/>
    <w:rsid w:val="00FF61E3"/>
    <w:rsid w:val="00FF6499"/>
    <w:rsid w:val="00FF6616"/>
    <w:rsid w:val="00FF68E8"/>
    <w:rsid w:val="00FF69C4"/>
    <w:rsid w:val="00FF6A60"/>
    <w:rsid w:val="00FF706B"/>
    <w:rsid w:val="011100EF"/>
    <w:rsid w:val="012061DB"/>
    <w:rsid w:val="01222C98"/>
    <w:rsid w:val="012D5BAE"/>
    <w:rsid w:val="012E1C50"/>
    <w:rsid w:val="014063FE"/>
    <w:rsid w:val="015231FB"/>
    <w:rsid w:val="016D79FC"/>
    <w:rsid w:val="01B26760"/>
    <w:rsid w:val="01BD729C"/>
    <w:rsid w:val="01BF694A"/>
    <w:rsid w:val="02200630"/>
    <w:rsid w:val="022628B3"/>
    <w:rsid w:val="02AD1831"/>
    <w:rsid w:val="02B344BE"/>
    <w:rsid w:val="02BC2C0B"/>
    <w:rsid w:val="032A4C62"/>
    <w:rsid w:val="032E0023"/>
    <w:rsid w:val="03380365"/>
    <w:rsid w:val="034D4E02"/>
    <w:rsid w:val="0398212A"/>
    <w:rsid w:val="039E090F"/>
    <w:rsid w:val="03CC4F0C"/>
    <w:rsid w:val="03D2523E"/>
    <w:rsid w:val="03EB288A"/>
    <w:rsid w:val="03F86763"/>
    <w:rsid w:val="047C599F"/>
    <w:rsid w:val="04B81E75"/>
    <w:rsid w:val="04E56428"/>
    <w:rsid w:val="05153EF3"/>
    <w:rsid w:val="0546521D"/>
    <w:rsid w:val="05495104"/>
    <w:rsid w:val="0575419C"/>
    <w:rsid w:val="057D4AD5"/>
    <w:rsid w:val="05C72369"/>
    <w:rsid w:val="05DE4A52"/>
    <w:rsid w:val="065C1CBD"/>
    <w:rsid w:val="06A45B35"/>
    <w:rsid w:val="06A501CA"/>
    <w:rsid w:val="06A938AC"/>
    <w:rsid w:val="06A96408"/>
    <w:rsid w:val="06B31329"/>
    <w:rsid w:val="06B604E5"/>
    <w:rsid w:val="06E56437"/>
    <w:rsid w:val="071E0E7E"/>
    <w:rsid w:val="071E1F77"/>
    <w:rsid w:val="0722476B"/>
    <w:rsid w:val="07783624"/>
    <w:rsid w:val="078C659B"/>
    <w:rsid w:val="07B94E5F"/>
    <w:rsid w:val="07BF3587"/>
    <w:rsid w:val="07CD02C0"/>
    <w:rsid w:val="081049F0"/>
    <w:rsid w:val="08647D8D"/>
    <w:rsid w:val="0876560C"/>
    <w:rsid w:val="08AB142C"/>
    <w:rsid w:val="08B61348"/>
    <w:rsid w:val="08BB734B"/>
    <w:rsid w:val="0916311C"/>
    <w:rsid w:val="09524F20"/>
    <w:rsid w:val="095A7890"/>
    <w:rsid w:val="097A6FD0"/>
    <w:rsid w:val="099C58C8"/>
    <w:rsid w:val="09A43154"/>
    <w:rsid w:val="09D94D21"/>
    <w:rsid w:val="09F93145"/>
    <w:rsid w:val="0A057038"/>
    <w:rsid w:val="0A075C11"/>
    <w:rsid w:val="0A086203"/>
    <w:rsid w:val="0A222B45"/>
    <w:rsid w:val="0A2F0DBE"/>
    <w:rsid w:val="0A326B00"/>
    <w:rsid w:val="0A335653"/>
    <w:rsid w:val="0A552666"/>
    <w:rsid w:val="0A6E4E12"/>
    <w:rsid w:val="0A740701"/>
    <w:rsid w:val="0A982839"/>
    <w:rsid w:val="0AA56340"/>
    <w:rsid w:val="0AC0190F"/>
    <w:rsid w:val="0AC704D6"/>
    <w:rsid w:val="0AF3628F"/>
    <w:rsid w:val="0AF815E8"/>
    <w:rsid w:val="0B7774DD"/>
    <w:rsid w:val="0B800620"/>
    <w:rsid w:val="0B921E56"/>
    <w:rsid w:val="0B965A11"/>
    <w:rsid w:val="0BC32E3C"/>
    <w:rsid w:val="0BD9183C"/>
    <w:rsid w:val="0BDD1444"/>
    <w:rsid w:val="0BE000D8"/>
    <w:rsid w:val="0C0C0F48"/>
    <w:rsid w:val="0C22507E"/>
    <w:rsid w:val="0C254537"/>
    <w:rsid w:val="0C256591"/>
    <w:rsid w:val="0C451294"/>
    <w:rsid w:val="0C6C454B"/>
    <w:rsid w:val="0C7D071A"/>
    <w:rsid w:val="0CAD08D1"/>
    <w:rsid w:val="0CB013D2"/>
    <w:rsid w:val="0CBE7410"/>
    <w:rsid w:val="0CF47BD5"/>
    <w:rsid w:val="0CFC4A7D"/>
    <w:rsid w:val="0CFF2990"/>
    <w:rsid w:val="0D117DE9"/>
    <w:rsid w:val="0D1E1590"/>
    <w:rsid w:val="0D234914"/>
    <w:rsid w:val="0D8B6C53"/>
    <w:rsid w:val="0D981926"/>
    <w:rsid w:val="0DAD3139"/>
    <w:rsid w:val="0DB717F6"/>
    <w:rsid w:val="0DC04476"/>
    <w:rsid w:val="0E124CC9"/>
    <w:rsid w:val="0E2472B1"/>
    <w:rsid w:val="0E46294A"/>
    <w:rsid w:val="0E500796"/>
    <w:rsid w:val="0E572C71"/>
    <w:rsid w:val="0E600F27"/>
    <w:rsid w:val="0E7C492E"/>
    <w:rsid w:val="0E7E7EA4"/>
    <w:rsid w:val="0E8502EA"/>
    <w:rsid w:val="0E9C4E0F"/>
    <w:rsid w:val="0EA3269E"/>
    <w:rsid w:val="0EAB5D97"/>
    <w:rsid w:val="0EE40ABE"/>
    <w:rsid w:val="0EF10CF0"/>
    <w:rsid w:val="0F305E8E"/>
    <w:rsid w:val="0F333E6F"/>
    <w:rsid w:val="0F7300A2"/>
    <w:rsid w:val="0F9A62B1"/>
    <w:rsid w:val="0FAE09D7"/>
    <w:rsid w:val="0FDD2DA3"/>
    <w:rsid w:val="100F37D9"/>
    <w:rsid w:val="10394744"/>
    <w:rsid w:val="10520BE4"/>
    <w:rsid w:val="105312C0"/>
    <w:rsid w:val="10667485"/>
    <w:rsid w:val="106D3739"/>
    <w:rsid w:val="106F0DDE"/>
    <w:rsid w:val="10AA5642"/>
    <w:rsid w:val="10B534BE"/>
    <w:rsid w:val="10BD1037"/>
    <w:rsid w:val="10CF0134"/>
    <w:rsid w:val="10FC2D59"/>
    <w:rsid w:val="11010B90"/>
    <w:rsid w:val="1191585C"/>
    <w:rsid w:val="11996413"/>
    <w:rsid w:val="11B15797"/>
    <w:rsid w:val="11BC3071"/>
    <w:rsid w:val="11D20C42"/>
    <w:rsid w:val="11DE429A"/>
    <w:rsid w:val="11E65C31"/>
    <w:rsid w:val="11EB17AE"/>
    <w:rsid w:val="11F25B0B"/>
    <w:rsid w:val="122919D7"/>
    <w:rsid w:val="122F2EB4"/>
    <w:rsid w:val="12315F25"/>
    <w:rsid w:val="1257214A"/>
    <w:rsid w:val="125B66BA"/>
    <w:rsid w:val="126B7053"/>
    <w:rsid w:val="12991838"/>
    <w:rsid w:val="12A50971"/>
    <w:rsid w:val="12AC787C"/>
    <w:rsid w:val="12B35956"/>
    <w:rsid w:val="12D06EB6"/>
    <w:rsid w:val="12E26812"/>
    <w:rsid w:val="12FE6C66"/>
    <w:rsid w:val="131523FF"/>
    <w:rsid w:val="134E2172"/>
    <w:rsid w:val="137D5290"/>
    <w:rsid w:val="138E54CE"/>
    <w:rsid w:val="13B16720"/>
    <w:rsid w:val="13F866C4"/>
    <w:rsid w:val="140C784A"/>
    <w:rsid w:val="146F4EE8"/>
    <w:rsid w:val="147D6BCA"/>
    <w:rsid w:val="148625CF"/>
    <w:rsid w:val="14967790"/>
    <w:rsid w:val="14C137FD"/>
    <w:rsid w:val="14C770F1"/>
    <w:rsid w:val="150710FE"/>
    <w:rsid w:val="15171A24"/>
    <w:rsid w:val="153B169B"/>
    <w:rsid w:val="154C4F1A"/>
    <w:rsid w:val="15632A9B"/>
    <w:rsid w:val="15772BD9"/>
    <w:rsid w:val="15AD0D52"/>
    <w:rsid w:val="15B70E0B"/>
    <w:rsid w:val="15DA30C4"/>
    <w:rsid w:val="15E1712D"/>
    <w:rsid w:val="15EE34F8"/>
    <w:rsid w:val="161B2A19"/>
    <w:rsid w:val="161B4D57"/>
    <w:rsid w:val="1675197E"/>
    <w:rsid w:val="168850DA"/>
    <w:rsid w:val="16E12CF7"/>
    <w:rsid w:val="16E41CDD"/>
    <w:rsid w:val="16F37313"/>
    <w:rsid w:val="170A0685"/>
    <w:rsid w:val="171C65D9"/>
    <w:rsid w:val="173E6AE4"/>
    <w:rsid w:val="1749390B"/>
    <w:rsid w:val="175726A6"/>
    <w:rsid w:val="17580BC2"/>
    <w:rsid w:val="17651AB7"/>
    <w:rsid w:val="176F2460"/>
    <w:rsid w:val="178260B9"/>
    <w:rsid w:val="178D1819"/>
    <w:rsid w:val="17AC24F6"/>
    <w:rsid w:val="17B267DF"/>
    <w:rsid w:val="17EE7F6C"/>
    <w:rsid w:val="186D1161"/>
    <w:rsid w:val="187121A7"/>
    <w:rsid w:val="187577DF"/>
    <w:rsid w:val="189562F3"/>
    <w:rsid w:val="189F35B2"/>
    <w:rsid w:val="18C7014D"/>
    <w:rsid w:val="18F002B2"/>
    <w:rsid w:val="191D730F"/>
    <w:rsid w:val="1935423E"/>
    <w:rsid w:val="194D0401"/>
    <w:rsid w:val="19983B78"/>
    <w:rsid w:val="19AA37E4"/>
    <w:rsid w:val="19DA6FC4"/>
    <w:rsid w:val="1A561E63"/>
    <w:rsid w:val="1A6D2559"/>
    <w:rsid w:val="1A803466"/>
    <w:rsid w:val="1A8312A4"/>
    <w:rsid w:val="1A884D6F"/>
    <w:rsid w:val="1A971456"/>
    <w:rsid w:val="1A9938CF"/>
    <w:rsid w:val="1AC731AE"/>
    <w:rsid w:val="1AF309F4"/>
    <w:rsid w:val="1B153C25"/>
    <w:rsid w:val="1B1D75F9"/>
    <w:rsid w:val="1B2821E2"/>
    <w:rsid w:val="1B416EAA"/>
    <w:rsid w:val="1B504A62"/>
    <w:rsid w:val="1B840A40"/>
    <w:rsid w:val="1B860A5A"/>
    <w:rsid w:val="1B92247E"/>
    <w:rsid w:val="1BBC0D95"/>
    <w:rsid w:val="1BD822D7"/>
    <w:rsid w:val="1C227C2A"/>
    <w:rsid w:val="1C2A6A17"/>
    <w:rsid w:val="1C2E5379"/>
    <w:rsid w:val="1C3C76ED"/>
    <w:rsid w:val="1C3F500D"/>
    <w:rsid w:val="1C746B04"/>
    <w:rsid w:val="1C845CEE"/>
    <w:rsid w:val="1C955EFE"/>
    <w:rsid w:val="1CA918FD"/>
    <w:rsid w:val="1CB47AB9"/>
    <w:rsid w:val="1D1E3003"/>
    <w:rsid w:val="1D21088F"/>
    <w:rsid w:val="1D3976BF"/>
    <w:rsid w:val="1D6C6395"/>
    <w:rsid w:val="1D7638FA"/>
    <w:rsid w:val="1DB06D6D"/>
    <w:rsid w:val="1DE55D42"/>
    <w:rsid w:val="1E08620F"/>
    <w:rsid w:val="1E15776D"/>
    <w:rsid w:val="1E193955"/>
    <w:rsid w:val="1E59229C"/>
    <w:rsid w:val="1EC34D93"/>
    <w:rsid w:val="1F0108C6"/>
    <w:rsid w:val="1F176598"/>
    <w:rsid w:val="1F1E4556"/>
    <w:rsid w:val="1F4903A8"/>
    <w:rsid w:val="1F4A4EB7"/>
    <w:rsid w:val="1F73459A"/>
    <w:rsid w:val="1F757C8F"/>
    <w:rsid w:val="1F844893"/>
    <w:rsid w:val="1F8E3FF9"/>
    <w:rsid w:val="1F8F201A"/>
    <w:rsid w:val="1FAF4A23"/>
    <w:rsid w:val="1FC144EC"/>
    <w:rsid w:val="1FFE68EE"/>
    <w:rsid w:val="200704EC"/>
    <w:rsid w:val="20200378"/>
    <w:rsid w:val="20231F4B"/>
    <w:rsid w:val="20441A7E"/>
    <w:rsid w:val="20551BE1"/>
    <w:rsid w:val="20617958"/>
    <w:rsid w:val="20735A90"/>
    <w:rsid w:val="207E2611"/>
    <w:rsid w:val="20893A7B"/>
    <w:rsid w:val="20923858"/>
    <w:rsid w:val="20AD490A"/>
    <w:rsid w:val="20C44750"/>
    <w:rsid w:val="20CC31C2"/>
    <w:rsid w:val="20F04C2B"/>
    <w:rsid w:val="213F3B84"/>
    <w:rsid w:val="21470C8B"/>
    <w:rsid w:val="215C64E4"/>
    <w:rsid w:val="216D1A51"/>
    <w:rsid w:val="216E7EE7"/>
    <w:rsid w:val="218153F1"/>
    <w:rsid w:val="21A9702A"/>
    <w:rsid w:val="21BE7FEE"/>
    <w:rsid w:val="21DA2741"/>
    <w:rsid w:val="21DE43DB"/>
    <w:rsid w:val="21EE1107"/>
    <w:rsid w:val="2218027A"/>
    <w:rsid w:val="22605768"/>
    <w:rsid w:val="22625F46"/>
    <w:rsid w:val="22643B2A"/>
    <w:rsid w:val="227066A0"/>
    <w:rsid w:val="227F4910"/>
    <w:rsid w:val="2288192A"/>
    <w:rsid w:val="22BD1205"/>
    <w:rsid w:val="22C81958"/>
    <w:rsid w:val="22CF0CA2"/>
    <w:rsid w:val="23193B27"/>
    <w:rsid w:val="234047FB"/>
    <w:rsid w:val="234D7A8D"/>
    <w:rsid w:val="236B4CFA"/>
    <w:rsid w:val="23925234"/>
    <w:rsid w:val="23B13E78"/>
    <w:rsid w:val="23DB5B67"/>
    <w:rsid w:val="23EB70FD"/>
    <w:rsid w:val="23F72984"/>
    <w:rsid w:val="23FC5315"/>
    <w:rsid w:val="241B2B57"/>
    <w:rsid w:val="24282EAF"/>
    <w:rsid w:val="2435126F"/>
    <w:rsid w:val="2436430E"/>
    <w:rsid w:val="243A0784"/>
    <w:rsid w:val="243D7491"/>
    <w:rsid w:val="24540A05"/>
    <w:rsid w:val="24575689"/>
    <w:rsid w:val="247B1575"/>
    <w:rsid w:val="24A02E76"/>
    <w:rsid w:val="24A25455"/>
    <w:rsid w:val="24A93D28"/>
    <w:rsid w:val="24C067DA"/>
    <w:rsid w:val="24D9609E"/>
    <w:rsid w:val="24E42A36"/>
    <w:rsid w:val="25035EE8"/>
    <w:rsid w:val="25115D16"/>
    <w:rsid w:val="251610A0"/>
    <w:rsid w:val="251947EC"/>
    <w:rsid w:val="251F2D2D"/>
    <w:rsid w:val="252400D7"/>
    <w:rsid w:val="253A082D"/>
    <w:rsid w:val="253F5304"/>
    <w:rsid w:val="2553347D"/>
    <w:rsid w:val="258124B0"/>
    <w:rsid w:val="259F4BF2"/>
    <w:rsid w:val="25A25540"/>
    <w:rsid w:val="25A7281A"/>
    <w:rsid w:val="25AF6CBE"/>
    <w:rsid w:val="25CF79A9"/>
    <w:rsid w:val="25E518C1"/>
    <w:rsid w:val="26052BC0"/>
    <w:rsid w:val="261147D6"/>
    <w:rsid w:val="2667528C"/>
    <w:rsid w:val="26A52068"/>
    <w:rsid w:val="26EB531C"/>
    <w:rsid w:val="270B5457"/>
    <w:rsid w:val="27127C4E"/>
    <w:rsid w:val="273F5F9F"/>
    <w:rsid w:val="27480ED7"/>
    <w:rsid w:val="274A360B"/>
    <w:rsid w:val="275342F2"/>
    <w:rsid w:val="27785720"/>
    <w:rsid w:val="27AA05EE"/>
    <w:rsid w:val="27BB7821"/>
    <w:rsid w:val="27CB4689"/>
    <w:rsid w:val="27D16310"/>
    <w:rsid w:val="27D33586"/>
    <w:rsid w:val="27F47C97"/>
    <w:rsid w:val="282547CF"/>
    <w:rsid w:val="28681C13"/>
    <w:rsid w:val="287C21CB"/>
    <w:rsid w:val="28A434BB"/>
    <w:rsid w:val="29112DAA"/>
    <w:rsid w:val="29152DF2"/>
    <w:rsid w:val="29300AF6"/>
    <w:rsid w:val="29C70504"/>
    <w:rsid w:val="29C81536"/>
    <w:rsid w:val="29E63897"/>
    <w:rsid w:val="2A68414C"/>
    <w:rsid w:val="2A7A03B2"/>
    <w:rsid w:val="2ABA3B39"/>
    <w:rsid w:val="2ABC34C5"/>
    <w:rsid w:val="2AE412F9"/>
    <w:rsid w:val="2AED1D1B"/>
    <w:rsid w:val="2B23372B"/>
    <w:rsid w:val="2B253B60"/>
    <w:rsid w:val="2B3B2925"/>
    <w:rsid w:val="2B7F321F"/>
    <w:rsid w:val="2B8535C3"/>
    <w:rsid w:val="2BAF5A0A"/>
    <w:rsid w:val="2BB93165"/>
    <w:rsid w:val="2BC00E3F"/>
    <w:rsid w:val="2BE27F2E"/>
    <w:rsid w:val="2C320353"/>
    <w:rsid w:val="2C3C3385"/>
    <w:rsid w:val="2C69776A"/>
    <w:rsid w:val="2C7F3E5F"/>
    <w:rsid w:val="2CA6414A"/>
    <w:rsid w:val="2CAB100E"/>
    <w:rsid w:val="2CB5119F"/>
    <w:rsid w:val="2CBD1A36"/>
    <w:rsid w:val="2CC35C05"/>
    <w:rsid w:val="2CCE39C3"/>
    <w:rsid w:val="2D0E402F"/>
    <w:rsid w:val="2D6E6C3A"/>
    <w:rsid w:val="2D6F5DB1"/>
    <w:rsid w:val="2DBB340D"/>
    <w:rsid w:val="2DD438A6"/>
    <w:rsid w:val="2DDC71BD"/>
    <w:rsid w:val="2DE94467"/>
    <w:rsid w:val="2E0D18A7"/>
    <w:rsid w:val="2E2D6E98"/>
    <w:rsid w:val="2E5A68F3"/>
    <w:rsid w:val="2E5E2993"/>
    <w:rsid w:val="2E624156"/>
    <w:rsid w:val="2E8C6DE5"/>
    <w:rsid w:val="2EDA313F"/>
    <w:rsid w:val="2EE7436B"/>
    <w:rsid w:val="2EED5566"/>
    <w:rsid w:val="2EEF4086"/>
    <w:rsid w:val="2F02233A"/>
    <w:rsid w:val="2F144373"/>
    <w:rsid w:val="2F3A4F18"/>
    <w:rsid w:val="2F3B4111"/>
    <w:rsid w:val="2F437F16"/>
    <w:rsid w:val="2F471E49"/>
    <w:rsid w:val="2F5800FF"/>
    <w:rsid w:val="2F6745EE"/>
    <w:rsid w:val="2F71017C"/>
    <w:rsid w:val="2F940688"/>
    <w:rsid w:val="2FCE65FE"/>
    <w:rsid w:val="2FD21AC7"/>
    <w:rsid w:val="2FD656B4"/>
    <w:rsid w:val="2FE511E5"/>
    <w:rsid w:val="2FF72603"/>
    <w:rsid w:val="2FFC1274"/>
    <w:rsid w:val="301616C0"/>
    <w:rsid w:val="301C4EC1"/>
    <w:rsid w:val="30324E05"/>
    <w:rsid w:val="303A69A3"/>
    <w:rsid w:val="30851CF4"/>
    <w:rsid w:val="309D6271"/>
    <w:rsid w:val="30F4643D"/>
    <w:rsid w:val="314115B0"/>
    <w:rsid w:val="314E47F2"/>
    <w:rsid w:val="31523460"/>
    <w:rsid w:val="318C784B"/>
    <w:rsid w:val="319470CE"/>
    <w:rsid w:val="31A66DB7"/>
    <w:rsid w:val="31D42A70"/>
    <w:rsid w:val="32175A53"/>
    <w:rsid w:val="32285192"/>
    <w:rsid w:val="322A5797"/>
    <w:rsid w:val="32352E0B"/>
    <w:rsid w:val="32601BAD"/>
    <w:rsid w:val="327E1E99"/>
    <w:rsid w:val="3283114D"/>
    <w:rsid w:val="32B910BD"/>
    <w:rsid w:val="32F720D2"/>
    <w:rsid w:val="33210306"/>
    <w:rsid w:val="33597F69"/>
    <w:rsid w:val="33730CED"/>
    <w:rsid w:val="33790A87"/>
    <w:rsid w:val="33A9221C"/>
    <w:rsid w:val="33C67AF1"/>
    <w:rsid w:val="33D15DFC"/>
    <w:rsid w:val="33F6401E"/>
    <w:rsid w:val="341B3976"/>
    <w:rsid w:val="34215894"/>
    <w:rsid w:val="343917A7"/>
    <w:rsid w:val="344B3822"/>
    <w:rsid w:val="346A03D6"/>
    <w:rsid w:val="34A444F8"/>
    <w:rsid w:val="34F657F1"/>
    <w:rsid w:val="35056FDB"/>
    <w:rsid w:val="352430C5"/>
    <w:rsid w:val="352A1B87"/>
    <w:rsid w:val="354857DD"/>
    <w:rsid w:val="35491515"/>
    <w:rsid w:val="355002A9"/>
    <w:rsid w:val="35591191"/>
    <w:rsid w:val="355B630F"/>
    <w:rsid w:val="356C2617"/>
    <w:rsid w:val="35907231"/>
    <w:rsid w:val="35A91A40"/>
    <w:rsid w:val="35C82DCB"/>
    <w:rsid w:val="35E11C36"/>
    <w:rsid w:val="35E937D9"/>
    <w:rsid w:val="35EA1EB9"/>
    <w:rsid w:val="35EE5A12"/>
    <w:rsid w:val="36357970"/>
    <w:rsid w:val="36502880"/>
    <w:rsid w:val="36861E2A"/>
    <w:rsid w:val="36931675"/>
    <w:rsid w:val="369E4E88"/>
    <w:rsid w:val="36C3183B"/>
    <w:rsid w:val="36D57645"/>
    <w:rsid w:val="36D84169"/>
    <w:rsid w:val="36E357DD"/>
    <w:rsid w:val="36EC1C61"/>
    <w:rsid w:val="37061D90"/>
    <w:rsid w:val="3723041E"/>
    <w:rsid w:val="372C09BB"/>
    <w:rsid w:val="372E4027"/>
    <w:rsid w:val="373359BC"/>
    <w:rsid w:val="373F38EC"/>
    <w:rsid w:val="37435AD9"/>
    <w:rsid w:val="378C0ACE"/>
    <w:rsid w:val="378E3483"/>
    <w:rsid w:val="37AE07C9"/>
    <w:rsid w:val="37D32856"/>
    <w:rsid w:val="37EA0E8A"/>
    <w:rsid w:val="37F044C4"/>
    <w:rsid w:val="382756A7"/>
    <w:rsid w:val="38330ECB"/>
    <w:rsid w:val="384076A0"/>
    <w:rsid w:val="38546EE5"/>
    <w:rsid w:val="386E0B87"/>
    <w:rsid w:val="38922057"/>
    <w:rsid w:val="389649D1"/>
    <w:rsid w:val="38AF0094"/>
    <w:rsid w:val="38CD02C9"/>
    <w:rsid w:val="38D20AB2"/>
    <w:rsid w:val="38E62960"/>
    <w:rsid w:val="38F24410"/>
    <w:rsid w:val="38F878E3"/>
    <w:rsid w:val="39002C48"/>
    <w:rsid w:val="392A6571"/>
    <w:rsid w:val="392E7CBB"/>
    <w:rsid w:val="39491474"/>
    <w:rsid w:val="394F29FB"/>
    <w:rsid w:val="394F6EEF"/>
    <w:rsid w:val="395D2841"/>
    <w:rsid w:val="3962403C"/>
    <w:rsid w:val="39972389"/>
    <w:rsid w:val="39992370"/>
    <w:rsid w:val="39B623FC"/>
    <w:rsid w:val="39E41962"/>
    <w:rsid w:val="39F41C17"/>
    <w:rsid w:val="39F82E28"/>
    <w:rsid w:val="3A0D1D6D"/>
    <w:rsid w:val="3A292D35"/>
    <w:rsid w:val="3A444DD8"/>
    <w:rsid w:val="3A4E344D"/>
    <w:rsid w:val="3A566C0D"/>
    <w:rsid w:val="3A62086F"/>
    <w:rsid w:val="3A6855F4"/>
    <w:rsid w:val="3A6C2756"/>
    <w:rsid w:val="3A8831B3"/>
    <w:rsid w:val="3ABC5444"/>
    <w:rsid w:val="3AD27464"/>
    <w:rsid w:val="3AFA733F"/>
    <w:rsid w:val="3AFD61EB"/>
    <w:rsid w:val="3B0A35A1"/>
    <w:rsid w:val="3B0B3DCA"/>
    <w:rsid w:val="3B1376D3"/>
    <w:rsid w:val="3B423C35"/>
    <w:rsid w:val="3B64018B"/>
    <w:rsid w:val="3B691AD2"/>
    <w:rsid w:val="3B7C13A7"/>
    <w:rsid w:val="3BAC19BF"/>
    <w:rsid w:val="3BD90747"/>
    <w:rsid w:val="3BF127CF"/>
    <w:rsid w:val="3C1F4F04"/>
    <w:rsid w:val="3C2B3455"/>
    <w:rsid w:val="3C4452EA"/>
    <w:rsid w:val="3C464141"/>
    <w:rsid w:val="3C6978B0"/>
    <w:rsid w:val="3C7A4FBF"/>
    <w:rsid w:val="3C907C41"/>
    <w:rsid w:val="3CBE7C2A"/>
    <w:rsid w:val="3CFA149C"/>
    <w:rsid w:val="3D123350"/>
    <w:rsid w:val="3D21089D"/>
    <w:rsid w:val="3D7209B7"/>
    <w:rsid w:val="3DCD3D2E"/>
    <w:rsid w:val="3DD54B04"/>
    <w:rsid w:val="3E2E290C"/>
    <w:rsid w:val="3E593570"/>
    <w:rsid w:val="3E695620"/>
    <w:rsid w:val="3E7129E2"/>
    <w:rsid w:val="3E9C1A5E"/>
    <w:rsid w:val="3EB048E1"/>
    <w:rsid w:val="3EF73D4C"/>
    <w:rsid w:val="3F0E6C52"/>
    <w:rsid w:val="3F4A3BF3"/>
    <w:rsid w:val="3F984A9B"/>
    <w:rsid w:val="3F9C7353"/>
    <w:rsid w:val="3FA10DFB"/>
    <w:rsid w:val="3FBD6E1D"/>
    <w:rsid w:val="3FC079B0"/>
    <w:rsid w:val="3FD15600"/>
    <w:rsid w:val="3FE42B8F"/>
    <w:rsid w:val="3FEC2C74"/>
    <w:rsid w:val="40104060"/>
    <w:rsid w:val="403170D2"/>
    <w:rsid w:val="40690EF3"/>
    <w:rsid w:val="40866647"/>
    <w:rsid w:val="408C2B44"/>
    <w:rsid w:val="40A11D0E"/>
    <w:rsid w:val="40D572C9"/>
    <w:rsid w:val="40D8488C"/>
    <w:rsid w:val="41005AE4"/>
    <w:rsid w:val="41087276"/>
    <w:rsid w:val="411D7259"/>
    <w:rsid w:val="41385DCA"/>
    <w:rsid w:val="413875BE"/>
    <w:rsid w:val="414546A9"/>
    <w:rsid w:val="41763DF0"/>
    <w:rsid w:val="41833D2F"/>
    <w:rsid w:val="41867FAB"/>
    <w:rsid w:val="418D5088"/>
    <w:rsid w:val="41D42244"/>
    <w:rsid w:val="42104030"/>
    <w:rsid w:val="423F2F75"/>
    <w:rsid w:val="424741EF"/>
    <w:rsid w:val="428656E6"/>
    <w:rsid w:val="429A4C67"/>
    <w:rsid w:val="429E1CC4"/>
    <w:rsid w:val="42A93E23"/>
    <w:rsid w:val="42B126F4"/>
    <w:rsid w:val="42C955C4"/>
    <w:rsid w:val="42F02A85"/>
    <w:rsid w:val="431F6B77"/>
    <w:rsid w:val="43254E0A"/>
    <w:rsid w:val="432F6182"/>
    <w:rsid w:val="435117C9"/>
    <w:rsid w:val="43590F9F"/>
    <w:rsid w:val="43682374"/>
    <w:rsid w:val="43752C59"/>
    <w:rsid w:val="439B47F0"/>
    <w:rsid w:val="439C4B3A"/>
    <w:rsid w:val="43DA3242"/>
    <w:rsid w:val="43EC14F2"/>
    <w:rsid w:val="43F92974"/>
    <w:rsid w:val="440B20A3"/>
    <w:rsid w:val="440D50C0"/>
    <w:rsid w:val="442476DF"/>
    <w:rsid w:val="447C6FB3"/>
    <w:rsid w:val="44C549B1"/>
    <w:rsid w:val="44DA6522"/>
    <w:rsid w:val="45140605"/>
    <w:rsid w:val="45357EA7"/>
    <w:rsid w:val="45381F6A"/>
    <w:rsid w:val="453E579E"/>
    <w:rsid w:val="45742F73"/>
    <w:rsid w:val="457C56D2"/>
    <w:rsid w:val="45863281"/>
    <w:rsid w:val="45930FD8"/>
    <w:rsid w:val="460D6DBB"/>
    <w:rsid w:val="46210503"/>
    <w:rsid w:val="464718FA"/>
    <w:rsid w:val="464D7C37"/>
    <w:rsid w:val="466054DD"/>
    <w:rsid w:val="46630BE5"/>
    <w:rsid w:val="468D4D64"/>
    <w:rsid w:val="46B10A69"/>
    <w:rsid w:val="46CE00E2"/>
    <w:rsid w:val="46DF533E"/>
    <w:rsid w:val="46F72221"/>
    <w:rsid w:val="4731733A"/>
    <w:rsid w:val="474F4756"/>
    <w:rsid w:val="47635AD3"/>
    <w:rsid w:val="47714285"/>
    <w:rsid w:val="4790481A"/>
    <w:rsid w:val="47B7562E"/>
    <w:rsid w:val="480F1EC9"/>
    <w:rsid w:val="481D7ECC"/>
    <w:rsid w:val="48496975"/>
    <w:rsid w:val="48544469"/>
    <w:rsid w:val="48A524D6"/>
    <w:rsid w:val="48B107FE"/>
    <w:rsid w:val="48B55B04"/>
    <w:rsid w:val="48BE3A78"/>
    <w:rsid w:val="48D31CFC"/>
    <w:rsid w:val="48E3079F"/>
    <w:rsid w:val="48FA4DDF"/>
    <w:rsid w:val="490A3D86"/>
    <w:rsid w:val="4923197F"/>
    <w:rsid w:val="49253E0D"/>
    <w:rsid w:val="497B21FD"/>
    <w:rsid w:val="498A5FA0"/>
    <w:rsid w:val="49900E4D"/>
    <w:rsid w:val="499235A7"/>
    <w:rsid w:val="499D55DA"/>
    <w:rsid w:val="49BF787B"/>
    <w:rsid w:val="49C34AA3"/>
    <w:rsid w:val="49F106EA"/>
    <w:rsid w:val="4A1505F1"/>
    <w:rsid w:val="4A2914F0"/>
    <w:rsid w:val="4A51799A"/>
    <w:rsid w:val="4A6F2535"/>
    <w:rsid w:val="4A7624AE"/>
    <w:rsid w:val="4A8F2B15"/>
    <w:rsid w:val="4AD26874"/>
    <w:rsid w:val="4AD2726D"/>
    <w:rsid w:val="4AD37E33"/>
    <w:rsid w:val="4AEE6C7F"/>
    <w:rsid w:val="4AF02A1A"/>
    <w:rsid w:val="4AFF3C9F"/>
    <w:rsid w:val="4B1A277C"/>
    <w:rsid w:val="4B456126"/>
    <w:rsid w:val="4B486B70"/>
    <w:rsid w:val="4B590614"/>
    <w:rsid w:val="4B5E7FC8"/>
    <w:rsid w:val="4B7517C6"/>
    <w:rsid w:val="4BED333F"/>
    <w:rsid w:val="4C243FFB"/>
    <w:rsid w:val="4C340840"/>
    <w:rsid w:val="4C60248D"/>
    <w:rsid w:val="4C6D519A"/>
    <w:rsid w:val="4C757275"/>
    <w:rsid w:val="4C8B5A37"/>
    <w:rsid w:val="4C934C01"/>
    <w:rsid w:val="4CB3795B"/>
    <w:rsid w:val="4CB90A69"/>
    <w:rsid w:val="4CCE170B"/>
    <w:rsid w:val="4CCE651D"/>
    <w:rsid w:val="4CE77282"/>
    <w:rsid w:val="4CEF5BAF"/>
    <w:rsid w:val="4CF55DDD"/>
    <w:rsid w:val="4CF6653F"/>
    <w:rsid w:val="4D21197D"/>
    <w:rsid w:val="4D8E76F0"/>
    <w:rsid w:val="4D941AB6"/>
    <w:rsid w:val="4E0845BC"/>
    <w:rsid w:val="4E140649"/>
    <w:rsid w:val="4E1E674C"/>
    <w:rsid w:val="4E677F11"/>
    <w:rsid w:val="4E6860D1"/>
    <w:rsid w:val="4E7B2218"/>
    <w:rsid w:val="4E8A1358"/>
    <w:rsid w:val="4EE05A78"/>
    <w:rsid w:val="4EF922EB"/>
    <w:rsid w:val="4F1E507C"/>
    <w:rsid w:val="4F5569E7"/>
    <w:rsid w:val="4F61663F"/>
    <w:rsid w:val="4F665BF0"/>
    <w:rsid w:val="4F7F4C1F"/>
    <w:rsid w:val="4F97191D"/>
    <w:rsid w:val="4F9B5916"/>
    <w:rsid w:val="4F9C19A5"/>
    <w:rsid w:val="4FC85097"/>
    <w:rsid w:val="4FC91C15"/>
    <w:rsid w:val="4FE20C84"/>
    <w:rsid w:val="4FE453DF"/>
    <w:rsid w:val="4FF25D0D"/>
    <w:rsid w:val="50021977"/>
    <w:rsid w:val="50142147"/>
    <w:rsid w:val="50223F1C"/>
    <w:rsid w:val="50402C22"/>
    <w:rsid w:val="50AD7D73"/>
    <w:rsid w:val="51047380"/>
    <w:rsid w:val="51124B2F"/>
    <w:rsid w:val="5118337F"/>
    <w:rsid w:val="511A2CB0"/>
    <w:rsid w:val="511C3C88"/>
    <w:rsid w:val="51334A27"/>
    <w:rsid w:val="513C773E"/>
    <w:rsid w:val="51414079"/>
    <w:rsid w:val="51613C29"/>
    <w:rsid w:val="51982002"/>
    <w:rsid w:val="519D0246"/>
    <w:rsid w:val="51AF7918"/>
    <w:rsid w:val="51B1634B"/>
    <w:rsid w:val="51B955D7"/>
    <w:rsid w:val="51BE0B1B"/>
    <w:rsid w:val="51DE1E78"/>
    <w:rsid w:val="51F355B1"/>
    <w:rsid w:val="51F84318"/>
    <w:rsid w:val="520A0528"/>
    <w:rsid w:val="52521CF7"/>
    <w:rsid w:val="52564BD9"/>
    <w:rsid w:val="526669A8"/>
    <w:rsid w:val="52675B8D"/>
    <w:rsid w:val="527241AD"/>
    <w:rsid w:val="528B0206"/>
    <w:rsid w:val="52912185"/>
    <w:rsid w:val="529B6AB0"/>
    <w:rsid w:val="52B71E63"/>
    <w:rsid w:val="52D54110"/>
    <w:rsid w:val="52DD67AD"/>
    <w:rsid w:val="52EB3254"/>
    <w:rsid w:val="52F0216A"/>
    <w:rsid w:val="52F57B6D"/>
    <w:rsid w:val="534B4B65"/>
    <w:rsid w:val="537E71F5"/>
    <w:rsid w:val="53CE4211"/>
    <w:rsid w:val="53D87852"/>
    <w:rsid w:val="53E9082C"/>
    <w:rsid w:val="53EC7FFD"/>
    <w:rsid w:val="53FE630D"/>
    <w:rsid w:val="544833A9"/>
    <w:rsid w:val="5478258E"/>
    <w:rsid w:val="54880235"/>
    <w:rsid w:val="54A974FB"/>
    <w:rsid w:val="54B351DD"/>
    <w:rsid w:val="54D6063B"/>
    <w:rsid w:val="54DD4F41"/>
    <w:rsid w:val="54F46E96"/>
    <w:rsid w:val="55006861"/>
    <w:rsid w:val="55036ED6"/>
    <w:rsid w:val="555D5DAC"/>
    <w:rsid w:val="55701B80"/>
    <w:rsid w:val="55AF5AA4"/>
    <w:rsid w:val="55D83373"/>
    <w:rsid w:val="55DC74FE"/>
    <w:rsid w:val="55EC6DB5"/>
    <w:rsid w:val="55F313CB"/>
    <w:rsid w:val="55FF6024"/>
    <w:rsid w:val="560A6E01"/>
    <w:rsid w:val="56194AE8"/>
    <w:rsid w:val="56222B52"/>
    <w:rsid w:val="56503B63"/>
    <w:rsid w:val="56585942"/>
    <w:rsid w:val="567F4314"/>
    <w:rsid w:val="568E5C3E"/>
    <w:rsid w:val="56B93A91"/>
    <w:rsid w:val="56CF056A"/>
    <w:rsid w:val="56E86E32"/>
    <w:rsid w:val="56EB24D4"/>
    <w:rsid w:val="57801E13"/>
    <w:rsid w:val="57895F76"/>
    <w:rsid w:val="57C05BB6"/>
    <w:rsid w:val="57FD67FD"/>
    <w:rsid w:val="58107E5B"/>
    <w:rsid w:val="582155A3"/>
    <w:rsid w:val="58B73A25"/>
    <w:rsid w:val="58E37F7D"/>
    <w:rsid w:val="58E95BA9"/>
    <w:rsid w:val="591E60D4"/>
    <w:rsid w:val="593911D9"/>
    <w:rsid w:val="59402DF8"/>
    <w:rsid w:val="59467416"/>
    <w:rsid w:val="59C07DE9"/>
    <w:rsid w:val="5A19592A"/>
    <w:rsid w:val="5A1E4797"/>
    <w:rsid w:val="5A511C57"/>
    <w:rsid w:val="5A5135DB"/>
    <w:rsid w:val="5A54256A"/>
    <w:rsid w:val="5A81166F"/>
    <w:rsid w:val="5AE64834"/>
    <w:rsid w:val="5AF244C1"/>
    <w:rsid w:val="5B322018"/>
    <w:rsid w:val="5B3E3803"/>
    <w:rsid w:val="5B842E95"/>
    <w:rsid w:val="5B916BCE"/>
    <w:rsid w:val="5BE82147"/>
    <w:rsid w:val="5C0576C3"/>
    <w:rsid w:val="5C301505"/>
    <w:rsid w:val="5C501215"/>
    <w:rsid w:val="5C684390"/>
    <w:rsid w:val="5C9B5DFF"/>
    <w:rsid w:val="5CA91F7D"/>
    <w:rsid w:val="5CC26E3C"/>
    <w:rsid w:val="5CD66E65"/>
    <w:rsid w:val="5CF254AC"/>
    <w:rsid w:val="5CFC3B45"/>
    <w:rsid w:val="5D435D1D"/>
    <w:rsid w:val="5D526F36"/>
    <w:rsid w:val="5D632EFA"/>
    <w:rsid w:val="5D690E75"/>
    <w:rsid w:val="5D7063C4"/>
    <w:rsid w:val="5D9C0081"/>
    <w:rsid w:val="5DAB08CE"/>
    <w:rsid w:val="5DD75C21"/>
    <w:rsid w:val="5E117EE7"/>
    <w:rsid w:val="5E1B0E78"/>
    <w:rsid w:val="5E2762C8"/>
    <w:rsid w:val="5E302281"/>
    <w:rsid w:val="5E4C006B"/>
    <w:rsid w:val="5E547B8C"/>
    <w:rsid w:val="5E76340E"/>
    <w:rsid w:val="5E940988"/>
    <w:rsid w:val="5E960581"/>
    <w:rsid w:val="5E961EBA"/>
    <w:rsid w:val="5ECB256E"/>
    <w:rsid w:val="5EFA2901"/>
    <w:rsid w:val="5F083D22"/>
    <w:rsid w:val="5F50013D"/>
    <w:rsid w:val="5F812FDF"/>
    <w:rsid w:val="5FB52C88"/>
    <w:rsid w:val="60232682"/>
    <w:rsid w:val="60245373"/>
    <w:rsid w:val="60663A3F"/>
    <w:rsid w:val="60677969"/>
    <w:rsid w:val="608B572B"/>
    <w:rsid w:val="60C96466"/>
    <w:rsid w:val="60CC7E86"/>
    <w:rsid w:val="6118702B"/>
    <w:rsid w:val="612A65A7"/>
    <w:rsid w:val="61310D3F"/>
    <w:rsid w:val="615C7B9A"/>
    <w:rsid w:val="615E15D5"/>
    <w:rsid w:val="61730705"/>
    <w:rsid w:val="6188055B"/>
    <w:rsid w:val="61A66D2D"/>
    <w:rsid w:val="61C26A62"/>
    <w:rsid w:val="61C27CFA"/>
    <w:rsid w:val="61E6537B"/>
    <w:rsid w:val="61EF6237"/>
    <w:rsid w:val="61FC06FB"/>
    <w:rsid w:val="62635BBE"/>
    <w:rsid w:val="62A212A9"/>
    <w:rsid w:val="62B44E59"/>
    <w:rsid w:val="62DD64D1"/>
    <w:rsid w:val="62F84A04"/>
    <w:rsid w:val="62FB2665"/>
    <w:rsid w:val="632E2B36"/>
    <w:rsid w:val="633A096E"/>
    <w:rsid w:val="633F7151"/>
    <w:rsid w:val="63BF6D95"/>
    <w:rsid w:val="63E7596B"/>
    <w:rsid w:val="642312EE"/>
    <w:rsid w:val="645647B2"/>
    <w:rsid w:val="6463038A"/>
    <w:rsid w:val="64B55A0B"/>
    <w:rsid w:val="65023F39"/>
    <w:rsid w:val="65273CE0"/>
    <w:rsid w:val="653F6E81"/>
    <w:rsid w:val="65B14310"/>
    <w:rsid w:val="65CF2D67"/>
    <w:rsid w:val="65DC6546"/>
    <w:rsid w:val="66232F4B"/>
    <w:rsid w:val="66480B51"/>
    <w:rsid w:val="66CA69AA"/>
    <w:rsid w:val="66E25E96"/>
    <w:rsid w:val="66F03D00"/>
    <w:rsid w:val="66F0420C"/>
    <w:rsid w:val="66F10E76"/>
    <w:rsid w:val="671320F4"/>
    <w:rsid w:val="6744015F"/>
    <w:rsid w:val="678D4320"/>
    <w:rsid w:val="67AB7F2B"/>
    <w:rsid w:val="67D16185"/>
    <w:rsid w:val="67D37DB1"/>
    <w:rsid w:val="67E04216"/>
    <w:rsid w:val="67EB673F"/>
    <w:rsid w:val="680A6878"/>
    <w:rsid w:val="681B1547"/>
    <w:rsid w:val="683D381B"/>
    <w:rsid w:val="68531D93"/>
    <w:rsid w:val="68703BF0"/>
    <w:rsid w:val="68712388"/>
    <w:rsid w:val="68A005A3"/>
    <w:rsid w:val="68AC5DC4"/>
    <w:rsid w:val="68BF2DA5"/>
    <w:rsid w:val="68DE1FDB"/>
    <w:rsid w:val="69004F74"/>
    <w:rsid w:val="69006D1A"/>
    <w:rsid w:val="69145F46"/>
    <w:rsid w:val="692E1A82"/>
    <w:rsid w:val="6938470E"/>
    <w:rsid w:val="693A2F24"/>
    <w:rsid w:val="69567DE6"/>
    <w:rsid w:val="6959639C"/>
    <w:rsid w:val="69711DBA"/>
    <w:rsid w:val="699072CB"/>
    <w:rsid w:val="699F0F33"/>
    <w:rsid w:val="69C30066"/>
    <w:rsid w:val="69FA5E67"/>
    <w:rsid w:val="6A024730"/>
    <w:rsid w:val="6A29714A"/>
    <w:rsid w:val="6A4F3BAC"/>
    <w:rsid w:val="6A5E2899"/>
    <w:rsid w:val="6A6131FB"/>
    <w:rsid w:val="6A6E23B2"/>
    <w:rsid w:val="6A99722F"/>
    <w:rsid w:val="6AA30BEA"/>
    <w:rsid w:val="6AB75A8A"/>
    <w:rsid w:val="6ADE0BE1"/>
    <w:rsid w:val="6AF1554A"/>
    <w:rsid w:val="6AF96151"/>
    <w:rsid w:val="6B121D07"/>
    <w:rsid w:val="6B230FCF"/>
    <w:rsid w:val="6B420424"/>
    <w:rsid w:val="6B431CCB"/>
    <w:rsid w:val="6B514BE8"/>
    <w:rsid w:val="6B851F3D"/>
    <w:rsid w:val="6B8D3935"/>
    <w:rsid w:val="6B8E4AB3"/>
    <w:rsid w:val="6BD230C3"/>
    <w:rsid w:val="6BF323FE"/>
    <w:rsid w:val="6C0C59DE"/>
    <w:rsid w:val="6C1F082A"/>
    <w:rsid w:val="6C292A34"/>
    <w:rsid w:val="6C3500F4"/>
    <w:rsid w:val="6C3513D9"/>
    <w:rsid w:val="6C3F3EB3"/>
    <w:rsid w:val="6C4A7498"/>
    <w:rsid w:val="6C63355F"/>
    <w:rsid w:val="6C7A12F1"/>
    <w:rsid w:val="6CF40EC1"/>
    <w:rsid w:val="6D093C1F"/>
    <w:rsid w:val="6D556BD6"/>
    <w:rsid w:val="6D8B60AB"/>
    <w:rsid w:val="6D9D3836"/>
    <w:rsid w:val="6DC24A00"/>
    <w:rsid w:val="6DE8485D"/>
    <w:rsid w:val="6E2C56E3"/>
    <w:rsid w:val="6E3B7248"/>
    <w:rsid w:val="6E576610"/>
    <w:rsid w:val="6E610EC9"/>
    <w:rsid w:val="6E6F10A8"/>
    <w:rsid w:val="6E7361E8"/>
    <w:rsid w:val="6E967982"/>
    <w:rsid w:val="6F5C359D"/>
    <w:rsid w:val="6F871A46"/>
    <w:rsid w:val="6F8A080E"/>
    <w:rsid w:val="6F9667EC"/>
    <w:rsid w:val="6FC751D3"/>
    <w:rsid w:val="70583B73"/>
    <w:rsid w:val="706A1E47"/>
    <w:rsid w:val="707438A2"/>
    <w:rsid w:val="70964B8A"/>
    <w:rsid w:val="70D00087"/>
    <w:rsid w:val="70D4565A"/>
    <w:rsid w:val="70DE2800"/>
    <w:rsid w:val="70F413AC"/>
    <w:rsid w:val="7104137A"/>
    <w:rsid w:val="710A7B35"/>
    <w:rsid w:val="712E63F7"/>
    <w:rsid w:val="716B6153"/>
    <w:rsid w:val="716F3D9D"/>
    <w:rsid w:val="719025AC"/>
    <w:rsid w:val="71BD14D5"/>
    <w:rsid w:val="72240A52"/>
    <w:rsid w:val="72643038"/>
    <w:rsid w:val="726A023C"/>
    <w:rsid w:val="72936E68"/>
    <w:rsid w:val="729B4E2C"/>
    <w:rsid w:val="729C7F7F"/>
    <w:rsid w:val="72A15258"/>
    <w:rsid w:val="72B86275"/>
    <w:rsid w:val="72CF21F8"/>
    <w:rsid w:val="730310CB"/>
    <w:rsid w:val="730438B3"/>
    <w:rsid w:val="73203E18"/>
    <w:rsid w:val="73403702"/>
    <w:rsid w:val="735062C9"/>
    <w:rsid w:val="73535179"/>
    <w:rsid w:val="739D5C0B"/>
    <w:rsid w:val="73C117A4"/>
    <w:rsid w:val="73C1441C"/>
    <w:rsid w:val="73FC72A6"/>
    <w:rsid w:val="74054C49"/>
    <w:rsid w:val="74153E19"/>
    <w:rsid w:val="742A26DD"/>
    <w:rsid w:val="742D5398"/>
    <w:rsid w:val="744724CD"/>
    <w:rsid w:val="744A5760"/>
    <w:rsid w:val="7494020B"/>
    <w:rsid w:val="74CA64F2"/>
    <w:rsid w:val="74E76961"/>
    <w:rsid w:val="74EE23C0"/>
    <w:rsid w:val="751C40DC"/>
    <w:rsid w:val="753A5D56"/>
    <w:rsid w:val="75595132"/>
    <w:rsid w:val="758F17DD"/>
    <w:rsid w:val="75DA2568"/>
    <w:rsid w:val="75EB0D5A"/>
    <w:rsid w:val="75EE302C"/>
    <w:rsid w:val="76017DE7"/>
    <w:rsid w:val="7603307C"/>
    <w:rsid w:val="760D6D52"/>
    <w:rsid w:val="76112F5D"/>
    <w:rsid w:val="761D3A6A"/>
    <w:rsid w:val="7634159E"/>
    <w:rsid w:val="7681189A"/>
    <w:rsid w:val="7718792D"/>
    <w:rsid w:val="77200891"/>
    <w:rsid w:val="772A2D24"/>
    <w:rsid w:val="7754614B"/>
    <w:rsid w:val="775912C9"/>
    <w:rsid w:val="777E6D8B"/>
    <w:rsid w:val="77BA09E4"/>
    <w:rsid w:val="77C8728B"/>
    <w:rsid w:val="77CB2BF1"/>
    <w:rsid w:val="77D82736"/>
    <w:rsid w:val="77E41285"/>
    <w:rsid w:val="77F61467"/>
    <w:rsid w:val="7820785D"/>
    <w:rsid w:val="782642CC"/>
    <w:rsid w:val="786F3A93"/>
    <w:rsid w:val="788C04C4"/>
    <w:rsid w:val="788D6005"/>
    <w:rsid w:val="789D748E"/>
    <w:rsid w:val="789F3998"/>
    <w:rsid w:val="78B2336B"/>
    <w:rsid w:val="78CF3F6F"/>
    <w:rsid w:val="78D05E9D"/>
    <w:rsid w:val="78DE11E3"/>
    <w:rsid w:val="79057F72"/>
    <w:rsid w:val="79316AFC"/>
    <w:rsid w:val="79490272"/>
    <w:rsid w:val="795A432C"/>
    <w:rsid w:val="796F1558"/>
    <w:rsid w:val="797F2719"/>
    <w:rsid w:val="79B80649"/>
    <w:rsid w:val="79BE7CBF"/>
    <w:rsid w:val="79D77A8E"/>
    <w:rsid w:val="79E9739A"/>
    <w:rsid w:val="79F92D1C"/>
    <w:rsid w:val="7A371CF6"/>
    <w:rsid w:val="7A3F7733"/>
    <w:rsid w:val="7A534C58"/>
    <w:rsid w:val="7A546ECE"/>
    <w:rsid w:val="7A9B7BE3"/>
    <w:rsid w:val="7AB61088"/>
    <w:rsid w:val="7AC409DF"/>
    <w:rsid w:val="7AC455C0"/>
    <w:rsid w:val="7AD54EB9"/>
    <w:rsid w:val="7AD9148D"/>
    <w:rsid w:val="7AD9480A"/>
    <w:rsid w:val="7B0E4B1D"/>
    <w:rsid w:val="7B185334"/>
    <w:rsid w:val="7B333DEB"/>
    <w:rsid w:val="7B3470AC"/>
    <w:rsid w:val="7B424AF3"/>
    <w:rsid w:val="7B5E6BA8"/>
    <w:rsid w:val="7B812A4B"/>
    <w:rsid w:val="7B924FA9"/>
    <w:rsid w:val="7BBA1080"/>
    <w:rsid w:val="7BD72DE9"/>
    <w:rsid w:val="7BED2B25"/>
    <w:rsid w:val="7C0105B4"/>
    <w:rsid w:val="7C013085"/>
    <w:rsid w:val="7C192179"/>
    <w:rsid w:val="7C36649C"/>
    <w:rsid w:val="7C7E3E3A"/>
    <w:rsid w:val="7C8152D7"/>
    <w:rsid w:val="7CB40E8D"/>
    <w:rsid w:val="7CB658B6"/>
    <w:rsid w:val="7CB974BC"/>
    <w:rsid w:val="7CC024DE"/>
    <w:rsid w:val="7CC145C3"/>
    <w:rsid w:val="7CC660BA"/>
    <w:rsid w:val="7CD50824"/>
    <w:rsid w:val="7D000C82"/>
    <w:rsid w:val="7D0C6202"/>
    <w:rsid w:val="7D113C66"/>
    <w:rsid w:val="7D1608E0"/>
    <w:rsid w:val="7D1A7BF6"/>
    <w:rsid w:val="7D2770F1"/>
    <w:rsid w:val="7D364FB1"/>
    <w:rsid w:val="7D542219"/>
    <w:rsid w:val="7D6A5F20"/>
    <w:rsid w:val="7D6F463D"/>
    <w:rsid w:val="7DDC3527"/>
    <w:rsid w:val="7E13277D"/>
    <w:rsid w:val="7E3A2B7C"/>
    <w:rsid w:val="7E413C0D"/>
    <w:rsid w:val="7E595A4C"/>
    <w:rsid w:val="7E5C6DED"/>
    <w:rsid w:val="7E6F0414"/>
    <w:rsid w:val="7E823A55"/>
    <w:rsid w:val="7E9F4263"/>
    <w:rsid w:val="7ED947BF"/>
    <w:rsid w:val="7EE618CE"/>
    <w:rsid w:val="7EF56908"/>
    <w:rsid w:val="7F241427"/>
    <w:rsid w:val="7F4058E8"/>
    <w:rsid w:val="7F5A4E76"/>
    <w:rsid w:val="7F7A10FC"/>
    <w:rsid w:val="7F8B3BC5"/>
    <w:rsid w:val="7FD42946"/>
    <w:rsid w:val="7FF56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0" w:name="index 2"/>
    <w:lsdException w:uiPriority="0" w:name="index 3"/>
    <w:lsdException w:qFormat="1"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29" w:semiHidden="0" w:name="Quote"/>
    <w:lsdException w:qFormat="1"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3">
    <w:name w:val="heading 1"/>
    <w:basedOn w:val="1"/>
    <w:next w:val="1"/>
    <w:link w:val="265"/>
    <w:qFormat/>
    <w:uiPriority w:val="9"/>
    <w:pPr>
      <w:keepNext/>
      <w:keepLines/>
      <w:numPr>
        <w:ilvl w:val="0"/>
        <w:numId w:val="1"/>
      </w:numPr>
      <w:adjustRightInd w:val="0"/>
      <w:spacing w:before="120"/>
      <w:textAlignment w:val="baseline"/>
      <w:outlineLvl w:val="0"/>
    </w:pPr>
    <w:rPr>
      <w:rFonts w:eastAsia="黑体"/>
      <w:b/>
      <w:kern w:val="44"/>
      <w:sz w:val="28"/>
      <w:szCs w:val="20"/>
    </w:rPr>
  </w:style>
  <w:style w:type="paragraph" w:styleId="4">
    <w:name w:val="heading 2"/>
    <w:basedOn w:val="1"/>
    <w:next w:val="1"/>
    <w:link w:val="270"/>
    <w:qFormat/>
    <w:uiPriority w:val="9"/>
    <w:pPr>
      <w:keepNext/>
      <w:numPr>
        <w:ilvl w:val="1"/>
        <w:numId w:val="1"/>
      </w:numPr>
      <w:tabs>
        <w:tab w:val="left" w:pos="360"/>
      </w:tabs>
      <w:adjustRightInd w:val="0"/>
      <w:spacing w:before="120"/>
      <w:textAlignment w:val="baseline"/>
      <w:outlineLvl w:val="1"/>
    </w:pPr>
    <w:rPr>
      <w:rFonts w:eastAsia="黑体"/>
      <w:b/>
      <w:kern w:val="0"/>
      <w:sz w:val="28"/>
      <w:szCs w:val="20"/>
    </w:rPr>
  </w:style>
  <w:style w:type="paragraph" w:styleId="5">
    <w:name w:val="heading 3"/>
    <w:basedOn w:val="1"/>
    <w:next w:val="1"/>
    <w:link w:val="253"/>
    <w:qFormat/>
    <w:uiPriority w:val="9"/>
    <w:pPr>
      <w:numPr>
        <w:ilvl w:val="2"/>
        <w:numId w:val="1"/>
      </w:numPr>
      <w:tabs>
        <w:tab w:val="left" w:pos="360"/>
        <w:tab w:val="left" w:pos="900"/>
      </w:tabs>
      <w:adjustRightInd w:val="0"/>
      <w:spacing w:before="120"/>
      <w:textAlignment w:val="baseline"/>
      <w:outlineLvl w:val="2"/>
    </w:pPr>
    <w:rPr>
      <w:rFonts w:eastAsia="黑体"/>
      <w:b/>
      <w:kern w:val="0"/>
      <w:sz w:val="28"/>
      <w:szCs w:val="20"/>
    </w:rPr>
  </w:style>
  <w:style w:type="paragraph" w:styleId="6">
    <w:name w:val="heading 4"/>
    <w:basedOn w:val="1"/>
    <w:next w:val="1"/>
    <w:link w:val="267"/>
    <w:qFormat/>
    <w:uiPriority w:val="9"/>
    <w:pPr>
      <w:numPr>
        <w:ilvl w:val="3"/>
        <w:numId w:val="1"/>
      </w:numPr>
      <w:adjustRightInd w:val="0"/>
      <w:spacing w:before="120"/>
      <w:textAlignment w:val="baseline"/>
      <w:outlineLvl w:val="3"/>
    </w:pPr>
    <w:rPr>
      <w:rFonts w:ascii="Arial" w:hAnsi="Arial" w:eastAsia="黑体"/>
      <w:kern w:val="0"/>
      <w:sz w:val="28"/>
      <w:szCs w:val="20"/>
    </w:rPr>
  </w:style>
  <w:style w:type="paragraph" w:styleId="7">
    <w:name w:val="heading 5"/>
    <w:basedOn w:val="1"/>
    <w:next w:val="1"/>
    <w:link w:val="290"/>
    <w:qFormat/>
    <w:uiPriority w:val="9"/>
    <w:pPr>
      <w:keepNext/>
      <w:keepLines/>
      <w:numPr>
        <w:ilvl w:val="4"/>
        <w:numId w:val="2"/>
      </w:numPr>
      <w:adjustRightInd w:val="0"/>
      <w:spacing w:before="280" w:after="290" w:line="376" w:lineRule="atLeast"/>
      <w:textAlignment w:val="baseline"/>
      <w:outlineLvl w:val="4"/>
    </w:pPr>
    <w:rPr>
      <w:b/>
      <w:kern w:val="0"/>
      <w:sz w:val="28"/>
    </w:rPr>
  </w:style>
  <w:style w:type="paragraph" w:styleId="8">
    <w:name w:val="heading 6"/>
    <w:basedOn w:val="1"/>
    <w:next w:val="1"/>
    <w:link w:val="322"/>
    <w:qFormat/>
    <w:uiPriority w:val="9"/>
    <w:pPr>
      <w:keepNext/>
      <w:keepLines/>
      <w:tabs>
        <w:tab w:val="left" w:pos="1152"/>
      </w:tabs>
      <w:spacing w:before="240" w:after="64" w:line="320" w:lineRule="auto"/>
      <w:ind w:left="1152" w:hanging="1152"/>
      <w:outlineLvl w:val="5"/>
    </w:pPr>
    <w:rPr>
      <w:rFonts w:ascii="Cambria" w:hAnsi="Cambria" w:cs="Cambria"/>
      <w:b/>
      <w:bCs/>
      <w:sz w:val="24"/>
    </w:rPr>
  </w:style>
  <w:style w:type="paragraph" w:styleId="9">
    <w:name w:val="heading 7"/>
    <w:basedOn w:val="1"/>
    <w:next w:val="1"/>
    <w:link w:val="323"/>
    <w:qFormat/>
    <w:uiPriority w:val="9"/>
    <w:pPr>
      <w:keepNext/>
      <w:keepLines/>
      <w:tabs>
        <w:tab w:val="left" w:pos="1296"/>
      </w:tabs>
      <w:spacing w:before="240" w:after="64" w:line="320" w:lineRule="auto"/>
      <w:ind w:left="1296" w:hanging="1296"/>
      <w:outlineLvl w:val="6"/>
    </w:pPr>
    <w:rPr>
      <w:rFonts w:ascii="Calibri" w:hAnsi="Calibri" w:cs="Calibri"/>
      <w:b/>
      <w:bCs/>
      <w:sz w:val="24"/>
    </w:rPr>
  </w:style>
  <w:style w:type="paragraph" w:styleId="10">
    <w:name w:val="heading 8"/>
    <w:basedOn w:val="1"/>
    <w:next w:val="1"/>
    <w:link w:val="324"/>
    <w:qFormat/>
    <w:uiPriority w:val="9"/>
    <w:pPr>
      <w:keepNext/>
      <w:keepLines/>
      <w:tabs>
        <w:tab w:val="left" w:pos="1440"/>
      </w:tabs>
      <w:spacing w:before="240" w:after="64" w:line="320" w:lineRule="auto"/>
      <w:ind w:left="1440" w:hanging="1440"/>
      <w:outlineLvl w:val="7"/>
    </w:pPr>
    <w:rPr>
      <w:rFonts w:ascii="Cambria" w:hAnsi="Cambria" w:cs="Cambria"/>
      <w:sz w:val="24"/>
    </w:rPr>
  </w:style>
  <w:style w:type="paragraph" w:styleId="11">
    <w:name w:val="heading 9"/>
    <w:basedOn w:val="1"/>
    <w:next w:val="1"/>
    <w:link w:val="325"/>
    <w:qFormat/>
    <w:uiPriority w:val="9"/>
    <w:pPr>
      <w:keepNext/>
      <w:keepLines/>
      <w:tabs>
        <w:tab w:val="left" w:pos="1584"/>
      </w:tabs>
      <w:spacing w:before="240" w:after="64" w:line="320" w:lineRule="auto"/>
      <w:ind w:left="1584" w:hanging="1584"/>
      <w:outlineLvl w:val="8"/>
    </w:pPr>
    <w:rPr>
      <w:rFonts w:ascii="Cambria" w:hAnsi="Cambria" w:cs="Cambria"/>
      <w:szCs w:val="21"/>
    </w:rPr>
  </w:style>
  <w:style w:type="character" w:default="1" w:styleId="46">
    <w:name w:val="Default Paragraph Font"/>
    <w:semiHidden/>
    <w:unhideWhenUsed/>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89"/>
    <w:qFormat/>
    <w:uiPriority w:val="0"/>
    <w:rPr>
      <w:rFonts w:ascii="金山简黑体" w:hAnsi="金山简黑体"/>
      <w:b/>
      <w:spacing w:val="-8"/>
      <w:szCs w:val="20"/>
    </w:rPr>
  </w:style>
  <w:style w:type="paragraph" w:styleId="12">
    <w:name w:val="toc 7"/>
    <w:basedOn w:val="1"/>
    <w:next w:val="1"/>
    <w:qFormat/>
    <w:uiPriority w:val="0"/>
    <w:pPr>
      <w:ind w:left="1260"/>
      <w:jc w:val="left"/>
    </w:pPr>
    <w:rPr>
      <w:sz w:val="18"/>
      <w:szCs w:val="18"/>
    </w:rPr>
  </w:style>
  <w:style w:type="paragraph" w:styleId="13">
    <w:name w:val="List Number 2"/>
    <w:basedOn w:val="1"/>
    <w:qFormat/>
    <w:uiPriority w:val="0"/>
    <w:pPr>
      <w:numPr>
        <w:ilvl w:val="0"/>
        <w:numId w:val="3"/>
      </w:numPr>
      <w:tabs>
        <w:tab w:val="left" w:pos="780"/>
      </w:tabs>
    </w:pPr>
    <w:rPr>
      <w:rFonts w:ascii="Times New Roman" w:hAnsi="Times New Roman"/>
      <w:szCs w:val="20"/>
    </w:rPr>
  </w:style>
  <w:style w:type="paragraph" w:styleId="14">
    <w:name w:val="Normal Indent"/>
    <w:basedOn w:val="1"/>
    <w:link w:val="294"/>
    <w:qFormat/>
    <w:uiPriority w:val="0"/>
    <w:pPr>
      <w:ind w:firstLine="420"/>
    </w:pPr>
    <w:rPr>
      <w:szCs w:val="21"/>
    </w:rPr>
  </w:style>
  <w:style w:type="paragraph" w:styleId="15">
    <w:name w:val="Document Map"/>
    <w:basedOn w:val="1"/>
    <w:link w:val="279"/>
    <w:qFormat/>
    <w:uiPriority w:val="0"/>
    <w:pPr>
      <w:shd w:val="clear" w:color="auto" w:fill="000080"/>
    </w:pPr>
  </w:style>
  <w:style w:type="paragraph" w:styleId="16">
    <w:name w:val="annotation text"/>
    <w:basedOn w:val="1"/>
    <w:link w:val="263"/>
    <w:qFormat/>
    <w:uiPriority w:val="0"/>
    <w:pPr>
      <w:jc w:val="left"/>
    </w:pPr>
  </w:style>
  <w:style w:type="paragraph" w:styleId="17">
    <w:name w:val="Body Text 3"/>
    <w:basedOn w:val="1"/>
    <w:link w:val="298"/>
    <w:qFormat/>
    <w:uiPriority w:val="0"/>
    <w:rPr>
      <w:sz w:val="24"/>
    </w:rPr>
  </w:style>
  <w:style w:type="paragraph" w:styleId="18">
    <w:name w:val="Body Text Indent"/>
    <w:basedOn w:val="1"/>
    <w:next w:val="19"/>
    <w:link w:val="261"/>
    <w:qFormat/>
    <w:uiPriority w:val="0"/>
    <w:pPr>
      <w:spacing w:line="200" w:lineRule="exact"/>
      <w:ind w:firstLine="301"/>
    </w:pPr>
    <w:rPr>
      <w:spacing w:val="-4"/>
      <w:sz w:val="18"/>
      <w:szCs w:val="20"/>
    </w:rPr>
  </w:style>
  <w:style w:type="paragraph" w:styleId="19">
    <w:name w:val="Body Text First Indent 2"/>
    <w:basedOn w:val="18"/>
    <w:link w:val="333"/>
    <w:qFormat/>
    <w:uiPriority w:val="0"/>
    <w:pPr>
      <w:ind w:firstLine="420"/>
    </w:pPr>
  </w:style>
  <w:style w:type="paragraph" w:styleId="20">
    <w:name w:val="index 4"/>
    <w:basedOn w:val="1"/>
    <w:next w:val="1"/>
    <w:unhideWhenUsed/>
    <w:qFormat/>
    <w:uiPriority w:val="0"/>
    <w:pPr>
      <w:ind w:left="600" w:leftChars="600"/>
    </w:pPr>
    <w:rPr>
      <w:rFonts w:ascii="Times New Roman" w:hAnsi="Times New Roman" w:cs="Calibri"/>
    </w:rPr>
  </w:style>
  <w:style w:type="paragraph" w:styleId="21">
    <w:name w:val="toc 5"/>
    <w:basedOn w:val="1"/>
    <w:next w:val="1"/>
    <w:qFormat/>
    <w:uiPriority w:val="39"/>
    <w:pPr>
      <w:ind w:left="840"/>
      <w:jc w:val="left"/>
    </w:pPr>
    <w:rPr>
      <w:sz w:val="18"/>
      <w:szCs w:val="18"/>
    </w:rPr>
  </w:style>
  <w:style w:type="paragraph" w:styleId="22">
    <w:name w:val="toc 3"/>
    <w:basedOn w:val="1"/>
    <w:next w:val="1"/>
    <w:qFormat/>
    <w:uiPriority w:val="39"/>
    <w:pPr>
      <w:ind w:firstLine="400" w:firstLineChars="400"/>
      <w:jc w:val="left"/>
    </w:pPr>
    <w:rPr>
      <w:i/>
      <w:iCs/>
      <w:sz w:val="20"/>
      <w:szCs w:val="20"/>
    </w:rPr>
  </w:style>
  <w:style w:type="paragraph" w:styleId="23">
    <w:name w:val="Plain Text"/>
    <w:basedOn w:val="1"/>
    <w:next w:val="1"/>
    <w:link w:val="258"/>
    <w:qFormat/>
    <w:uiPriority w:val="0"/>
    <w:rPr>
      <w:szCs w:val="20"/>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77"/>
    <w:qFormat/>
    <w:uiPriority w:val="0"/>
    <w:pPr>
      <w:ind w:left="100" w:leftChars="2500"/>
    </w:pPr>
  </w:style>
  <w:style w:type="paragraph" w:styleId="26">
    <w:name w:val="Body Text Indent 2"/>
    <w:basedOn w:val="1"/>
    <w:link w:val="283"/>
    <w:qFormat/>
    <w:uiPriority w:val="0"/>
    <w:pPr>
      <w:spacing w:after="120" w:line="480" w:lineRule="auto"/>
      <w:ind w:left="200" w:leftChars="200"/>
    </w:pPr>
  </w:style>
  <w:style w:type="paragraph" w:styleId="27">
    <w:name w:val="Balloon Text"/>
    <w:basedOn w:val="1"/>
    <w:link w:val="248"/>
    <w:qFormat/>
    <w:uiPriority w:val="0"/>
    <w:rPr>
      <w:sz w:val="18"/>
      <w:szCs w:val="18"/>
    </w:rPr>
  </w:style>
  <w:style w:type="paragraph" w:styleId="28">
    <w:name w:val="footer"/>
    <w:basedOn w:val="1"/>
    <w:link w:val="281"/>
    <w:qFormat/>
    <w:uiPriority w:val="99"/>
    <w:pPr>
      <w:tabs>
        <w:tab w:val="center" w:pos="4153"/>
        <w:tab w:val="right" w:pos="8306"/>
      </w:tabs>
      <w:snapToGrid w:val="0"/>
      <w:jc w:val="left"/>
    </w:pPr>
    <w:rPr>
      <w:sz w:val="18"/>
      <w:szCs w:val="20"/>
    </w:rPr>
  </w:style>
  <w:style w:type="paragraph" w:styleId="29">
    <w:name w:val="header"/>
    <w:basedOn w:val="1"/>
    <w:link w:val="255"/>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9072"/>
      </w:tabs>
      <w:ind w:firstLine="74" w:firstLineChars="74"/>
      <w:jc w:val="left"/>
    </w:pPr>
    <w:rPr>
      <w:b/>
      <w:bCs/>
      <w:caps/>
      <w:sz w:val="20"/>
      <w:szCs w:val="20"/>
    </w:rPr>
  </w:style>
  <w:style w:type="paragraph" w:styleId="31">
    <w:name w:val="toc 4"/>
    <w:basedOn w:val="1"/>
    <w:next w:val="1"/>
    <w:qFormat/>
    <w:uiPriority w:val="39"/>
    <w:pPr>
      <w:ind w:left="630"/>
      <w:jc w:val="left"/>
    </w:pPr>
    <w:rPr>
      <w:sz w:val="18"/>
      <w:szCs w:val="18"/>
    </w:rPr>
  </w:style>
  <w:style w:type="paragraph" w:styleId="32">
    <w:name w:val="Subtitle"/>
    <w:basedOn w:val="1"/>
    <w:next w:val="1"/>
    <w:link w:val="278"/>
    <w:qFormat/>
    <w:uiPriority w:val="11"/>
    <w:pPr>
      <w:tabs>
        <w:tab w:val="left" w:pos="360"/>
      </w:tabs>
      <w:ind w:left="284" w:hanging="284"/>
      <w:jc w:val="left"/>
      <w:outlineLvl w:val="1"/>
    </w:pPr>
    <w:rPr>
      <w:rFonts w:ascii="Century Gothic" w:hAnsi="Century Gothic"/>
      <w:kern w:val="28"/>
      <w:szCs w:val="21"/>
    </w:rPr>
  </w:style>
  <w:style w:type="paragraph" w:styleId="33">
    <w:name w:val="toc 6"/>
    <w:basedOn w:val="1"/>
    <w:next w:val="1"/>
    <w:qFormat/>
    <w:uiPriority w:val="39"/>
    <w:pPr>
      <w:ind w:left="1050"/>
      <w:jc w:val="left"/>
    </w:pPr>
    <w:rPr>
      <w:sz w:val="18"/>
      <w:szCs w:val="18"/>
    </w:rPr>
  </w:style>
  <w:style w:type="paragraph" w:styleId="34">
    <w:name w:val="Body Text Indent 3"/>
    <w:basedOn w:val="1"/>
    <w:link w:val="338"/>
    <w:qFormat/>
    <w:uiPriority w:val="0"/>
    <w:pPr>
      <w:spacing w:line="400" w:lineRule="exact"/>
      <w:ind w:left="360"/>
    </w:pPr>
    <w:rPr>
      <w:sz w:val="24"/>
    </w:rPr>
  </w:style>
  <w:style w:type="paragraph" w:styleId="35">
    <w:name w:val="toc 2"/>
    <w:basedOn w:val="1"/>
    <w:next w:val="1"/>
    <w:qFormat/>
    <w:uiPriority w:val="39"/>
    <w:pPr>
      <w:tabs>
        <w:tab w:val="right" w:leader="dot" w:pos="9072"/>
      </w:tabs>
      <w:ind w:firstLine="200" w:firstLineChars="200"/>
      <w:jc w:val="left"/>
    </w:pPr>
    <w:rPr>
      <w:smallCaps/>
      <w:sz w:val="20"/>
      <w:szCs w:val="20"/>
    </w:rPr>
  </w:style>
  <w:style w:type="paragraph" w:styleId="36">
    <w:name w:val="toc 9"/>
    <w:basedOn w:val="1"/>
    <w:next w:val="1"/>
    <w:qFormat/>
    <w:uiPriority w:val="39"/>
    <w:pPr>
      <w:ind w:left="1680"/>
      <w:jc w:val="left"/>
    </w:pPr>
    <w:rPr>
      <w:sz w:val="18"/>
      <w:szCs w:val="18"/>
    </w:rPr>
  </w:style>
  <w:style w:type="paragraph" w:styleId="37">
    <w:name w:val="Body Text 2"/>
    <w:basedOn w:val="1"/>
    <w:link w:val="297"/>
    <w:qFormat/>
    <w:uiPriority w:val="0"/>
    <w:rPr>
      <w:sz w:val="13"/>
      <w:szCs w:val="20"/>
    </w:rPr>
  </w:style>
  <w:style w:type="paragraph" w:styleId="38">
    <w:name w:val="HTML Preformatted"/>
    <w:basedOn w:val="1"/>
    <w:link w:val="3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rPr>
  </w:style>
  <w:style w:type="paragraph" w:styleId="39">
    <w:name w:val="Normal (Web)"/>
    <w:basedOn w:val="1"/>
    <w:qFormat/>
    <w:uiPriority w:val="99"/>
    <w:pPr>
      <w:widowControl/>
      <w:spacing w:before="100" w:beforeAutospacing="1" w:after="100" w:afterAutospacing="1"/>
      <w:jc w:val="left"/>
    </w:pPr>
    <w:rPr>
      <w:rFonts w:ascii="Arial Unicode MS" w:hAnsi="Arial Unicode MS" w:eastAsia="Arial Unicode MS" w:cs="华文仿宋"/>
      <w:kern w:val="0"/>
      <w:sz w:val="24"/>
    </w:rPr>
  </w:style>
  <w:style w:type="paragraph" w:styleId="40">
    <w:name w:val="index 1"/>
    <w:basedOn w:val="1"/>
    <w:next w:val="1"/>
    <w:qFormat/>
    <w:uiPriority w:val="0"/>
    <w:pPr>
      <w:tabs>
        <w:tab w:val="left" w:pos="780"/>
      </w:tabs>
      <w:ind w:left="780" w:hanging="360"/>
    </w:pPr>
    <w:rPr>
      <w:szCs w:val="20"/>
    </w:rPr>
  </w:style>
  <w:style w:type="paragraph" w:styleId="41">
    <w:name w:val="Title"/>
    <w:basedOn w:val="1"/>
    <w:next w:val="1"/>
    <w:link w:val="269"/>
    <w:qFormat/>
    <w:uiPriority w:val="10"/>
    <w:pPr>
      <w:spacing w:before="240" w:after="60"/>
      <w:jc w:val="center"/>
      <w:outlineLvl w:val="0"/>
    </w:pPr>
    <w:rPr>
      <w:rFonts w:ascii="Cambria" w:hAnsi="Cambria"/>
      <w:b/>
      <w:bCs/>
      <w:kern w:val="0"/>
      <w:sz w:val="32"/>
      <w:szCs w:val="32"/>
    </w:rPr>
  </w:style>
  <w:style w:type="paragraph" w:styleId="42">
    <w:name w:val="annotation subject"/>
    <w:basedOn w:val="16"/>
    <w:next w:val="16"/>
    <w:link w:val="254"/>
    <w:qFormat/>
    <w:uiPriority w:val="0"/>
    <w:rPr>
      <w:b/>
      <w:bCs/>
    </w:rPr>
  </w:style>
  <w:style w:type="paragraph" w:styleId="43">
    <w:name w:val="Body Text First Indent"/>
    <w:basedOn w:val="2"/>
    <w:link w:val="381"/>
    <w:qFormat/>
    <w:uiPriority w:val="0"/>
    <w:pPr>
      <w:ind w:firstLine="420" w:firstLineChars="100"/>
    </w:p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bCs/>
    </w:r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Emphasis"/>
    <w:qFormat/>
    <w:uiPriority w:val="0"/>
    <w:rPr>
      <w:color w:val="CC0033"/>
    </w:rPr>
  </w:style>
  <w:style w:type="character" w:styleId="51">
    <w:name w:val="Hyperlink"/>
    <w:basedOn w:val="46"/>
    <w:qFormat/>
    <w:uiPriority w:val="99"/>
    <w:rPr>
      <w:color w:val="0000FF"/>
      <w:u w:val="single"/>
    </w:rPr>
  </w:style>
  <w:style w:type="character" w:styleId="52">
    <w:name w:val="annotation reference"/>
    <w:qFormat/>
    <w:uiPriority w:val="0"/>
    <w:rPr>
      <w:sz w:val="21"/>
      <w:szCs w:val="21"/>
    </w:rPr>
  </w:style>
  <w:style w:type="paragraph" w:customStyle="1" w:styleId="53">
    <w:name w:val="无间隔1"/>
    <w:qFormat/>
    <w:uiPriority w:val="1"/>
    <w:pPr>
      <w:widowControl w:val="0"/>
      <w:jc w:val="both"/>
    </w:pPr>
    <w:rPr>
      <w:rFonts w:ascii="Calibri" w:hAnsi="Calibri" w:eastAsia="宋体" w:cs="黑体"/>
      <w:kern w:val="2"/>
      <w:sz w:val="21"/>
      <w:szCs w:val="22"/>
      <w:lang w:val="en-US" w:eastAsia="zh-CN" w:bidi="ar-SA"/>
    </w:rPr>
  </w:style>
  <w:style w:type="paragraph" w:customStyle="1" w:styleId="54">
    <w:name w:val="表格"/>
    <w:basedOn w:val="1"/>
    <w:qFormat/>
    <w:uiPriority w:val="0"/>
    <w:pPr>
      <w:tabs>
        <w:tab w:val="left" w:pos="1200"/>
      </w:tabs>
      <w:spacing w:line="500" w:lineRule="exact"/>
      <w:jc w:val="center"/>
    </w:pPr>
    <w:rPr>
      <w:sz w:val="24"/>
      <w:szCs w:val="18"/>
    </w:rPr>
  </w:style>
  <w:style w:type="paragraph" w:customStyle="1" w:styleId="55">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56">
    <w:name w:val="样式4"/>
    <w:basedOn w:val="29"/>
    <w:link w:val="272"/>
    <w:qFormat/>
    <w:uiPriority w:val="0"/>
    <w:pPr>
      <w:pBdr>
        <w:bottom w:val="thickThinSmallGap" w:color="auto" w:sz="12" w:space="1"/>
      </w:pBdr>
      <w:jc w:val="both"/>
    </w:pPr>
    <w:rPr>
      <w:bCs/>
    </w:rPr>
  </w:style>
  <w:style w:type="paragraph" w:customStyle="1" w:styleId="57">
    <w:name w:val="xl140"/>
    <w:basedOn w:val="1"/>
    <w:qFormat/>
    <w:uiPriority w:val="0"/>
    <w:pPr>
      <w:widowControl/>
      <w:spacing w:before="100" w:beforeAutospacing="1" w:after="100" w:afterAutospacing="1"/>
      <w:jc w:val="center"/>
    </w:pPr>
    <w:rPr>
      <w:rFonts w:cs="宋体"/>
      <w:kern w:val="0"/>
      <w:sz w:val="22"/>
      <w:szCs w:val="22"/>
    </w:rPr>
  </w:style>
  <w:style w:type="paragraph" w:customStyle="1" w:styleId="5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59">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60">
    <w:name w:val="xl23"/>
    <w:next w:val="36"/>
    <w:qFormat/>
    <w:uiPriority w:val="0"/>
    <w:pPr>
      <w:spacing w:before="100" w:beforeAutospacing="1" w:after="100" w:afterAutospacing="1"/>
      <w:jc w:val="center"/>
    </w:pPr>
    <w:rPr>
      <w:rFonts w:ascii="Arial Unicode MS" w:hAnsi="Arial Unicode MS" w:eastAsia="Arial Unicode MS" w:cs="Times New Roman"/>
      <w:kern w:val="2"/>
      <w:sz w:val="24"/>
      <w:szCs w:val="21"/>
      <w:lang w:val="en-US" w:eastAsia="zh-CN" w:bidi="ar-SA"/>
    </w:rPr>
  </w:style>
  <w:style w:type="paragraph" w:customStyle="1" w:styleId="61">
    <w:name w:val="Char"/>
    <w:basedOn w:val="1"/>
    <w:qFormat/>
    <w:uiPriority w:val="0"/>
    <w:rPr>
      <w:rFonts w:ascii="Tahoma" w:hAnsi="Tahoma"/>
      <w:sz w:val="24"/>
      <w:szCs w:val="20"/>
    </w:rPr>
  </w:style>
  <w:style w:type="paragraph" w:customStyle="1" w:styleId="62">
    <w:name w:val="副标题 New"/>
    <w:basedOn w:val="1"/>
    <w:next w:val="1"/>
    <w:qFormat/>
    <w:uiPriority w:val="0"/>
    <w:pPr>
      <w:numPr>
        <w:ilvl w:val="0"/>
        <w:numId w:val="4"/>
      </w:numPr>
      <w:jc w:val="left"/>
      <w:outlineLvl w:val="1"/>
    </w:pPr>
    <w:rPr>
      <w:rFonts w:ascii="Century Gothic" w:hAnsi="Century Gothic" w:cs="Century Gothic"/>
      <w:kern w:val="28"/>
      <w:szCs w:val="21"/>
    </w:rPr>
  </w:style>
  <w:style w:type="paragraph" w:customStyle="1" w:styleId="63">
    <w:name w:val="纯文本 New"/>
    <w:basedOn w:val="64"/>
    <w:qFormat/>
    <w:uiPriority w:val="0"/>
    <w:pPr>
      <w:widowControl/>
      <w:spacing w:before="100" w:beforeAutospacing="1" w:after="100" w:afterAutospacing="1"/>
      <w:jc w:val="left"/>
    </w:pPr>
    <w:rPr>
      <w:rFonts w:cs="宋体"/>
      <w:sz w:val="24"/>
      <w:szCs w:val="24"/>
    </w:rPr>
  </w:style>
  <w:style w:type="paragraph" w:customStyle="1" w:styleId="64">
    <w:name w:val="正文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6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66">
    <w:name w:val="普通(网站) New"/>
    <w:basedOn w:val="58"/>
    <w:qFormat/>
    <w:uiPriority w:val="0"/>
    <w:pPr>
      <w:widowControl/>
      <w:spacing w:before="100" w:beforeAutospacing="1" w:after="100" w:afterAutospacing="1"/>
      <w:jc w:val="left"/>
    </w:pPr>
    <w:rPr>
      <w:kern w:val="0"/>
      <w:sz w:val="24"/>
      <w:szCs w:val="24"/>
    </w:rPr>
  </w:style>
  <w:style w:type="paragraph" w:customStyle="1" w:styleId="67">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68">
    <w:name w:val="xl141"/>
    <w:basedOn w:val="1"/>
    <w:qFormat/>
    <w:uiPriority w:val="0"/>
    <w:pPr>
      <w:widowControl/>
      <w:shd w:val="clear" w:color="000000" w:fill="FFFFFF"/>
      <w:spacing w:before="100" w:beforeAutospacing="1" w:after="100" w:afterAutospacing="1"/>
      <w:jc w:val="center"/>
    </w:pPr>
    <w:rPr>
      <w:rFonts w:cs="宋体"/>
      <w:kern w:val="0"/>
      <w:sz w:val="22"/>
      <w:szCs w:val="22"/>
    </w:rPr>
  </w:style>
  <w:style w:type="paragraph" w:customStyle="1" w:styleId="6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0">
    <w:name w:val="xl138"/>
    <w:basedOn w:val="1"/>
    <w:qFormat/>
    <w:uiPriority w:val="0"/>
    <w:pPr>
      <w:widowControl/>
      <w:spacing w:before="100" w:beforeAutospacing="1" w:after="100" w:afterAutospacing="1"/>
      <w:jc w:val="center"/>
    </w:pPr>
    <w:rPr>
      <w:rFonts w:cs="宋体"/>
      <w:b/>
      <w:bCs/>
      <w:kern w:val="0"/>
      <w:sz w:val="22"/>
      <w:szCs w:val="22"/>
    </w:rPr>
  </w:style>
  <w:style w:type="paragraph" w:customStyle="1" w:styleId="71">
    <w:name w:val="列出段落1"/>
    <w:basedOn w:val="1"/>
    <w:qFormat/>
    <w:uiPriority w:val="0"/>
    <w:pPr>
      <w:ind w:firstLine="420" w:firstLineChars="200"/>
    </w:pPr>
    <w:rPr>
      <w:szCs w:val="20"/>
    </w:rPr>
  </w:style>
  <w:style w:type="paragraph" w:customStyle="1" w:styleId="72">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73">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4">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kern w:val="0"/>
      <w:sz w:val="24"/>
    </w:rPr>
  </w:style>
  <w:style w:type="paragraph" w:customStyle="1" w:styleId="7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76">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7">
    <w:name w:val="xl143"/>
    <w:basedOn w:val="1"/>
    <w:qFormat/>
    <w:uiPriority w:val="0"/>
    <w:pPr>
      <w:widowControl/>
      <w:spacing w:before="100" w:beforeAutospacing="1" w:after="100" w:afterAutospacing="1"/>
      <w:jc w:val="center"/>
    </w:pPr>
    <w:rPr>
      <w:rFonts w:cs="宋体"/>
      <w:color w:val="FF0000"/>
      <w:kern w:val="0"/>
      <w:sz w:val="22"/>
      <w:szCs w:val="22"/>
    </w:rPr>
  </w:style>
  <w:style w:type="paragraph" w:customStyle="1" w:styleId="78">
    <w:name w:val="样式1"/>
    <w:basedOn w:val="4"/>
    <w:qFormat/>
    <w:uiPriority w:val="0"/>
  </w:style>
  <w:style w:type="paragraph" w:customStyle="1" w:styleId="79">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80">
    <w:name w:val="样式 黑体 居中 首行缩进:  0.35 厘米 行距: 1.5 倍行距"/>
    <w:basedOn w:val="1"/>
    <w:qFormat/>
    <w:uiPriority w:val="0"/>
    <w:pPr>
      <w:widowControl/>
      <w:jc w:val="center"/>
    </w:pPr>
    <w:rPr>
      <w:rFonts w:ascii="黑体" w:hAnsi="黑体" w:eastAsia="黑体"/>
      <w:kern w:val="0"/>
      <w:sz w:val="24"/>
      <w:szCs w:val="20"/>
    </w:rPr>
  </w:style>
  <w:style w:type="paragraph" w:customStyle="1" w:styleId="81">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2">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83">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4">
    <w:name w:val="g3"/>
    <w:basedOn w:val="1"/>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85">
    <w:name w:val="Absatz2AL"/>
    <w:basedOn w:val="2"/>
    <w:next w:val="1"/>
    <w:qFormat/>
    <w:uiPriority w:val="0"/>
    <w:pPr>
      <w:widowControl/>
      <w:overflowPunct w:val="0"/>
      <w:autoSpaceDE w:val="0"/>
      <w:autoSpaceDN w:val="0"/>
      <w:adjustRightInd w:val="0"/>
      <w:textAlignment w:val="baseline"/>
    </w:pPr>
    <w:rPr>
      <w:rFonts w:ascii="Times New Roman" w:hAnsi="Times New Roman"/>
      <w:b w:val="0"/>
      <w:spacing w:val="0"/>
      <w:kern w:val="0"/>
      <w:lang w:val="de-DE" w:eastAsia="de-DE"/>
    </w:rPr>
  </w:style>
  <w:style w:type="paragraph" w:customStyle="1" w:styleId="86">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87">
    <w:name w:val="Char Char3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8">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b/>
      <w:bCs/>
      <w:kern w:val="0"/>
      <w:sz w:val="20"/>
      <w:szCs w:val="20"/>
    </w:rPr>
  </w:style>
  <w:style w:type="paragraph" w:customStyle="1" w:styleId="8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90">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color w:val="000000"/>
      <w:kern w:val="0"/>
      <w:sz w:val="24"/>
    </w:rPr>
  </w:style>
  <w:style w:type="paragraph" w:customStyle="1" w:styleId="91">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92">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3">
    <w:name w:val="抬头"/>
    <w:basedOn w:val="1"/>
    <w:qFormat/>
    <w:uiPriority w:val="0"/>
    <w:pPr>
      <w:spacing w:beforeLines="50"/>
    </w:pPr>
    <w:rPr>
      <w:sz w:val="24"/>
    </w:rPr>
  </w:style>
  <w:style w:type="paragraph" w:customStyle="1" w:styleId="94">
    <w:name w:val="样式5"/>
    <w:basedOn w:val="23"/>
    <w:link w:val="244"/>
    <w:qFormat/>
    <w:uiPriority w:val="0"/>
    <w:pPr>
      <w:pBdr>
        <w:bottom w:val="thickThinSmallGap" w:color="auto" w:sz="12" w:space="1"/>
      </w:pBdr>
      <w:tabs>
        <w:tab w:val="center" w:pos="4535"/>
      </w:tabs>
      <w:jc w:val="center"/>
    </w:pPr>
    <w:rPr>
      <w:u w:val="single"/>
    </w:rPr>
  </w:style>
  <w:style w:type="paragraph" w:customStyle="1" w:styleId="95">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6">
    <w:name w:val="注"/>
    <w:basedOn w:val="1"/>
    <w:qFormat/>
    <w:uiPriority w:val="0"/>
    <w:pPr>
      <w:ind w:left="200" w:hanging="200" w:hangingChars="200"/>
    </w:pPr>
    <w:rPr>
      <w:b/>
    </w:rPr>
  </w:style>
  <w:style w:type="paragraph" w:customStyle="1" w:styleId="97">
    <w:name w:val="Default"/>
    <w:qFormat/>
    <w:uiPriority w:val="0"/>
    <w:pPr>
      <w:widowControl w:val="0"/>
      <w:autoSpaceDE w:val="0"/>
      <w:autoSpaceDN w:val="0"/>
      <w:adjustRightInd w:val="0"/>
    </w:pPr>
    <w:rPr>
      <w:rFonts w:ascii="宋体" w:hAnsi="宋体" w:eastAsia="宋体" w:cs="Times New Roman"/>
      <w:color w:val="000000"/>
      <w:kern w:val="2"/>
      <w:sz w:val="24"/>
      <w:szCs w:val="24"/>
      <w:lang w:val="en-US" w:eastAsia="zh-CN" w:bidi="ar-SA"/>
    </w:rPr>
  </w:style>
  <w:style w:type="paragraph" w:customStyle="1" w:styleId="98">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9">
    <w:name w:val="para"/>
    <w:basedOn w:val="1"/>
    <w:qFormat/>
    <w:uiPriority w:val="0"/>
    <w:pPr>
      <w:widowControl/>
      <w:adjustRightInd w:val="0"/>
      <w:spacing w:before="160"/>
      <w:ind w:firstLine="425"/>
      <w:textAlignment w:val="baseline"/>
    </w:pPr>
    <w:rPr>
      <w:kern w:val="0"/>
      <w:sz w:val="24"/>
      <w:szCs w:val="20"/>
      <w:lang w:eastAsia="en-US"/>
    </w:rPr>
  </w:style>
  <w:style w:type="paragraph" w:customStyle="1" w:styleId="100">
    <w:name w:val="Char Char Char Char Char Char Char Char Char Char"/>
    <w:basedOn w:val="1"/>
    <w:qFormat/>
    <w:uiPriority w:val="0"/>
    <w:pPr>
      <w:tabs>
        <w:tab w:val="left" w:pos="360"/>
      </w:tabs>
      <w:ind w:left="360" w:hanging="360" w:hangingChars="200"/>
    </w:pPr>
    <w:rPr>
      <w:szCs w:val="20"/>
    </w:rPr>
  </w:style>
  <w:style w:type="paragraph" w:customStyle="1" w:styleId="101">
    <w:name w:val="xl139"/>
    <w:basedOn w:val="1"/>
    <w:qFormat/>
    <w:uiPriority w:val="0"/>
    <w:pPr>
      <w:widowControl/>
      <w:shd w:val="clear" w:color="000000" w:fill="FFFFFF"/>
      <w:spacing w:before="100" w:beforeAutospacing="1" w:after="100" w:afterAutospacing="1"/>
      <w:jc w:val="center"/>
    </w:pPr>
    <w:rPr>
      <w:rFonts w:cs="宋体"/>
      <w:b/>
      <w:bCs/>
      <w:kern w:val="0"/>
      <w:sz w:val="22"/>
      <w:szCs w:val="22"/>
    </w:rPr>
  </w:style>
  <w:style w:type="paragraph" w:customStyle="1" w:styleId="102">
    <w:name w:val="xl145"/>
    <w:basedOn w:val="1"/>
    <w:qFormat/>
    <w:uiPriority w:val="0"/>
    <w:pPr>
      <w:widowControl/>
      <w:spacing w:before="100" w:beforeAutospacing="1" w:after="100" w:afterAutospacing="1"/>
      <w:jc w:val="left"/>
    </w:pPr>
    <w:rPr>
      <w:rFonts w:cs="宋体"/>
      <w:kern w:val="0"/>
      <w:sz w:val="24"/>
    </w:rPr>
  </w:style>
  <w:style w:type="paragraph" w:customStyle="1" w:styleId="103">
    <w:name w:val="Char Char Char"/>
    <w:basedOn w:val="1"/>
    <w:qFormat/>
    <w:uiPriority w:val="0"/>
    <w:pPr>
      <w:ind w:firstLine="200" w:firstLineChars="200"/>
    </w:pPr>
    <w:rPr>
      <w:sz w:val="24"/>
    </w:rPr>
  </w:style>
  <w:style w:type="paragraph" w:customStyle="1" w:styleId="104">
    <w:name w:val="Char Char Char Char Char Char Char Char Char Char Char Char"/>
    <w:basedOn w:val="1"/>
    <w:qFormat/>
    <w:uiPriority w:val="0"/>
    <w:pPr>
      <w:tabs>
        <w:tab w:val="right" w:pos="-2120"/>
      </w:tabs>
      <w:snapToGrid w:val="0"/>
    </w:pPr>
    <w:rPr>
      <w:rFonts w:ascii="Tahoma" w:hAnsi="Tahoma"/>
      <w:spacing w:val="6"/>
      <w:sz w:val="24"/>
      <w:szCs w:val="20"/>
    </w:rPr>
  </w:style>
  <w:style w:type="paragraph" w:customStyle="1" w:styleId="105">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6">
    <w:name w:val="题目"/>
    <w:basedOn w:val="1"/>
    <w:qFormat/>
    <w:uiPriority w:val="0"/>
    <w:pPr>
      <w:snapToGrid w:val="0"/>
      <w:spacing w:line="480" w:lineRule="auto"/>
      <w:jc w:val="center"/>
    </w:pPr>
    <w:rPr>
      <w:rFonts w:ascii="方正小标宋_GBK" w:eastAsia="方正小标宋_GBK"/>
      <w:sz w:val="44"/>
      <w:szCs w:val="44"/>
    </w:rPr>
  </w:style>
  <w:style w:type="paragraph" w:customStyle="1" w:styleId="107">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8">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09">
    <w:name w:val="Char1"/>
    <w:basedOn w:val="1"/>
    <w:qFormat/>
    <w:uiPriority w:val="0"/>
    <w:rPr>
      <w:szCs w:val="20"/>
    </w:rPr>
  </w:style>
  <w:style w:type="paragraph" w:customStyle="1" w:styleId="110">
    <w:name w:val="xl146"/>
    <w:basedOn w:val="1"/>
    <w:qFormat/>
    <w:uiPriority w:val="0"/>
    <w:pPr>
      <w:widowControl/>
      <w:spacing w:before="100" w:beforeAutospacing="1" w:after="100" w:afterAutospacing="1"/>
      <w:jc w:val="center"/>
    </w:pPr>
    <w:rPr>
      <w:rFonts w:cs="宋体"/>
      <w:kern w:val="0"/>
      <w:sz w:val="24"/>
    </w:rPr>
  </w:style>
  <w:style w:type="paragraph" w:customStyle="1" w:styleId="11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2">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13">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114">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5">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6">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cs="宋体"/>
      <w:kern w:val="0"/>
      <w:sz w:val="20"/>
      <w:szCs w:val="20"/>
    </w:rPr>
  </w:style>
  <w:style w:type="paragraph" w:customStyle="1" w:styleId="117">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1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cs="宋体"/>
      <w:kern w:val="0"/>
      <w:sz w:val="24"/>
    </w:rPr>
  </w:style>
  <w:style w:type="paragraph" w:customStyle="1" w:styleId="119">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0">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21">
    <w:name w:val="样式2"/>
    <w:basedOn w:val="4"/>
    <w:qFormat/>
    <w:uiPriority w:val="0"/>
    <w:pPr>
      <w:spacing w:line="440" w:lineRule="exact"/>
      <w:jc w:val="center"/>
    </w:pPr>
    <w:rPr>
      <w:b w:val="0"/>
      <w:sz w:val="32"/>
    </w:rPr>
  </w:style>
  <w:style w:type="paragraph" w:customStyle="1" w:styleId="122">
    <w:name w:val="样式7"/>
    <w:basedOn w:val="29"/>
    <w:link w:val="245"/>
    <w:qFormat/>
    <w:uiPriority w:val="0"/>
    <w:pPr>
      <w:pBdr>
        <w:top w:val="single" w:color="auto" w:sz="6" w:space="1"/>
        <w:left w:val="single" w:color="auto" w:sz="6" w:space="4"/>
        <w:bottom w:val="thickThinSmallGap" w:color="auto" w:sz="12" w:space="1"/>
        <w:right w:val="single" w:color="auto" w:sz="6" w:space="4"/>
      </w:pBdr>
    </w:pPr>
  </w:style>
  <w:style w:type="paragraph" w:customStyle="1" w:styleId="12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4">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125">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32"/>
      <w:szCs w:val="32"/>
    </w:rPr>
  </w:style>
  <w:style w:type="paragraph" w:customStyle="1" w:styleId="1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b/>
      <w:bCs/>
      <w:kern w:val="0"/>
      <w:sz w:val="22"/>
      <w:szCs w:val="22"/>
    </w:rPr>
  </w:style>
  <w:style w:type="paragraph" w:customStyle="1" w:styleId="1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128">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29">
    <w:name w:val="font5"/>
    <w:basedOn w:val="1"/>
    <w:qFormat/>
    <w:uiPriority w:val="0"/>
    <w:pPr>
      <w:widowControl/>
      <w:spacing w:before="100" w:beforeAutospacing="1" w:after="100" w:afterAutospacing="1"/>
      <w:jc w:val="left"/>
    </w:pPr>
    <w:rPr>
      <w:rFonts w:cs="宋体"/>
      <w:color w:val="000000"/>
      <w:kern w:val="0"/>
      <w:sz w:val="24"/>
    </w:rPr>
  </w:style>
  <w:style w:type="paragraph" w:customStyle="1" w:styleId="130">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color w:val="000000"/>
      <w:kern w:val="0"/>
      <w:sz w:val="24"/>
    </w:rPr>
  </w:style>
  <w:style w:type="paragraph" w:customStyle="1" w:styleId="131">
    <w:name w:val="Char2"/>
    <w:basedOn w:val="1"/>
    <w:qFormat/>
    <w:uiPriority w:val="0"/>
    <w:pPr>
      <w:widowControl/>
      <w:spacing w:after="160" w:line="240" w:lineRule="exact"/>
      <w:jc w:val="left"/>
    </w:pPr>
    <w:rPr>
      <w:szCs w:val="20"/>
    </w:rPr>
  </w:style>
  <w:style w:type="paragraph" w:customStyle="1" w:styleId="132">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3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6">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7">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9">
    <w:name w:val="xl142"/>
    <w:basedOn w:val="1"/>
    <w:qFormat/>
    <w:uiPriority w:val="0"/>
    <w:pPr>
      <w:widowControl/>
      <w:shd w:val="clear" w:color="000000" w:fill="FFFFFF"/>
      <w:spacing w:before="100" w:beforeAutospacing="1" w:after="100" w:afterAutospacing="1"/>
      <w:jc w:val="left"/>
    </w:pPr>
    <w:rPr>
      <w:rFonts w:cs="宋体"/>
      <w:kern w:val="0"/>
      <w:sz w:val="22"/>
      <w:szCs w:val="22"/>
    </w:rPr>
  </w:style>
  <w:style w:type="paragraph" w:customStyle="1" w:styleId="140">
    <w:name w:val="样式3"/>
    <w:basedOn w:val="29"/>
    <w:link w:val="252"/>
    <w:qFormat/>
    <w:uiPriority w:val="0"/>
    <w:pPr>
      <w:pBdr>
        <w:bottom w:val="thickThinSmallGap" w:color="auto" w:sz="12" w:space="1"/>
      </w:pBdr>
      <w:jc w:val="left"/>
    </w:pPr>
    <w:rPr>
      <w:rFonts w:ascii="黑体" w:hAnsi="黑体" w:eastAsia="黑体"/>
      <w:bCs/>
    </w:rPr>
  </w:style>
  <w:style w:type="paragraph" w:customStyle="1" w:styleId="141">
    <w:name w:val="正文五号"/>
    <w:basedOn w:val="1"/>
    <w:qFormat/>
    <w:uiPriority w:val="0"/>
    <w:rPr>
      <w:rFonts w:hint="eastAsia" w:eastAsia="仿宋_GB2312"/>
      <w:szCs w:val="20"/>
    </w:rPr>
  </w:style>
  <w:style w:type="paragraph" w:customStyle="1" w:styleId="142">
    <w:name w:val="xl144"/>
    <w:basedOn w:val="1"/>
    <w:qFormat/>
    <w:uiPriority w:val="0"/>
    <w:pPr>
      <w:widowControl/>
      <w:spacing w:before="100" w:beforeAutospacing="1" w:after="100" w:afterAutospacing="1"/>
      <w:jc w:val="left"/>
      <w:textAlignment w:val="top"/>
    </w:pPr>
    <w:rPr>
      <w:rFonts w:cs="宋体"/>
      <w:kern w:val="0"/>
      <w:sz w:val="24"/>
    </w:rPr>
  </w:style>
  <w:style w:type="paragraph" w:customStyle="1" w:styleId="143">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4">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5">
    <w:name w:val="说明"/>
    <w:basedOn w:val="1"/>
    <w:qFormat/>
    <w:uiPriority w:val="0"/>
    <w:pPr>
      <w:ind w:left="1" w:leftChars="-52" w:hanging="110" w:hangingChars="61"/>
      <w:jc w:val="center"/>
    </w:pPr>
    <w:rPr>
      <w:szCs w:val="20"/>
    </w:rPr>
  </w:style>
  <w:style w:type="paragraph" w:customStyle="1" w:styleId="146">
    <w:name w:val="副标题 New New"/>
    <w:basedOn w:val="1"/>
    <w:next w:val="1"/>
    <w:qFormat/>
    <w:uiPriority w:val="0"/>
    <w:pPr>
      <w:tabs>
        <w:tab w:val="left" w:pos="840"/>
      </w:tabs>
      <w:ind w:left="840" w:hanging="420"/>
      <w:jc w:val="left"/>
      <w:outlineLvl w:val="1"/>
    </w:pPr>
    <w:rPr>
      <w:rFonts w:ascii="Century Gothic" w:hAnsi="Century Gothic" w:cs="Century Gothic"/>
      <w:kern w:val="28"/>
      <w:szCs w:val="21"/>
    </w:rPr>
  </w:style>
  <w:style w:type="paragraph" w:customStyle="1" w:styleId="147">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8">
    <w:name w:val="副标题 New New New"/>
    <w:basedOn w:val="149"/>
    <w:next w:val="149"/>
    <w:qFormat/>
    <w:uiPriority w:val="0"/>
    <w:pPr>
      <w:numPr>
        <w:ilvl w:val="0"/>
        <w:numId w:val="5"/>
      </w:numPr>
      <w:jc w:val="left"/>
      <w:outlineLvl w:val="1"/>
    </w:pPr>
    <w:rPr>
      <w:rFonts w:ascii="Century Gothic" w:hAnsi="Century Gothic"/>
      <w:bCs/>
      <w:kern w:val="28"/>
      <w:szCs w:val="32"/>
    </w:rPr>
  </w:style>
  <w:style w:type="paragraph" w:customStyle="1" w:styleId="149">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0">
    <w:name w:val="xl147"/>
    <w:basedOn w:val="1"/>
    <w:qFormat/>
    <w:uiPriority w:val="0"/>
    <w:pPr>
      <w:widowControl/>
      <w:spacing w:before="100" w:beforeAutospacing="1" w:after="100" w:afterAutospacing="1"/>
      <w:jc w:val="left"/>
    </w:pPr>
    <w:rPr>
      <w:rFonts w:cs="宋体"/>
      <w:kern w:val="0"/>
      <w:sz w:val="20"/>
      <w:szCs w:val="20"/>
    </w:rPr>
  </w:style>
  <w:style w:type="paragraph" w:customStyle="1" w:styleId="151">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53">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kern w:val="0"/>
      <w:sz w:val="24"/>
    </w:rPr>
  </w:style>
  <w:style w:type="paragraph" w:customStyle="1" w:styleId="154">
    <w:name w:val="font6"/>
    <w:basedOn w:val="1"/>
    <w:qFormat/>
    <w:uiPriority w:val="0"/>
    <w:pPr>
      <w:widowControl/>
      <w:spacing w:before="100" w:beforeAutospacing="1" w:after="100" w:afterAutospacing="1"/>
      <w:jc w:val="left"/>
    </w:pPr>
    <w:rPr>
      <w:rFonts w:cs="宋体"/>
      <w:kern w:val="0"/>
      <w:sz w:val="20"/>
      <w:szCs w:val="20"/>
    </w:rPr>
  </w:style>
  <w:style w:type="paragraph" w:customStyle="1" w:styleId="155">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kern w:val="0"/>
      <w:sz w:val="24"/>
    </w:rPr>
  </w:style>
  <w:style w:type="paragraph" w:customStyle="1" w:styleId="156">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57">
    <w:name w:val="样式6"/>
    <w:basedOn w:val="29"/>
    <w:link w:val="268"/>
    <w:qFormat/>
    <w:uiPriority w:val="0"/>
    <w:pPr>
      <w:pBdr>
        <w:bottom w:val="thickThinSmallGap" w:color="auto" w:sz="12" w:space="1"/>
      </w:pBdr>
      <w:jc w:val="both"/>
    </w:pPr>
  </w:style>
  <w:style w:type="paragraph" w:customStyle="1" w:styleId="158">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5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60">
    <w:name w:val="纯文本 New New New"/>
    <w:basedOn w:val="123"/>
    <w:qFormat/>
    <w:uiPriority w:val="0"/>
  </w:style>
  <w:style w:type="paragraph" w:customStyle="1" w:styleId="161">
    <w:name w:val="纯文本 New New"/>
    <w:basedOn w:val="162"/>
    <w:qFormat/>
    <w:uiPriority w:val="0"/>
    <w:pPr>
      <w:widowControl/>
      <w:spacing w:before="100" w:beforeAutospacing="1" w:after="100" w:afterAutospacing="1"/>
      <w:jc w:val="left"/>
    </w:pPr>
    <w:rPr>
      <w:rFonts w:cs="宋体"/>
      <w:sz w:val="24"/>
      <w:szCs w:val="24"/>
    </w:rPr>
  </w:style>
  <w:style w:type="paragraph" w:customStyle="1" w:styleId="16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63">
    <w:name w:val="文档正文"/>
    <w:basedOn w:val="1"/>
    <w:qFormat/>
    <w:uiPriority w:val="0"/>
    <w:pPr>
      <w:adjustRightInd w:val="0"/>
      <w:snapToGrid w:val="0"/>
      <w:ind w:left="13" w:leftChars="-45" w:hanging="107" w:hangingChars="51"/>
    </w:pPr>
    <w:rPr>
      <w:color w:val="FF0000"/>
      <w:kern w:val="0"/>
      <w:szCs w:val="20"/>
    </w:rPr>
  </w:style>
  <w:style w:type="paragraph" w:customStyle="1" w:styleId="164">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styleId="165">
    <w:name w:val="List Paragraph"/>
    <w:basedOn w:val="1"/>
    <w:link w:val="292"/>
    <w:qFormat/>
    <w:uiPriority w:val="34"/>
    <w:pPr>
      <w:ind w:firstLine="420" w:firstLineChars="200"/>
    </w:pPr>
    <w:rPr>
      <w:szCs w:val="21"/>
    </w:rPr>
  </w:style>
  <w:style w:type="paragraph" w:customStyle="1" w:styleId="166">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67">
    <w:name w:val="正文1"/>
    <w:basedOn w:val="1"/>
    <w:qFormat/>
    <w:uiPriority w:val="0"/>
    <w:pPr>
      <w:ind w:firstLine="200" w:firstLineChars="200"/>
    </w:pPr>
    <w:rPr>
      <w:rFonts w:cs="宋体"/>
      <w:kern w:val="0"/>
      <w:szCs w:val="20"/>
      <w:lang w:eastAsia="en-US"/>
    </w:rPr>
  </w:style>
  <w:style w:type="paragraph" w:customStyle="1" w:styleId="168">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kern w:val="0"/>
      <w:sz w:val="22"/>
      <w:szCs w:val="22"/>
    </w:rPr>
  </w:style>
  <w:style w:type="paragraph" w:customStyle="1" w:styleId="169">
    <w:name w:val="样式8"/>
    <w:basedOn w:val="122"/>
    <w:link w:val="249"/>
    <w:qFormat/>
    <w:uiPriority w:val="0"/>
    <w:pPr>
      <w:pBdr>
        <w:top w:val="none" w:color="auto" w:sz="0" w:space="0"/>
        <w:left w:val="none" w:color="auto" w:sz="0" w:space="0"/>
        <w:right w:val="none" w:color="auto" w:sz="0" w:space="0"/>
      </w:pBdr>
    </w:pPr>
  </w:style>
  <w:style w:type="paragraph" w:customStyle="1" w:styleId="170">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1">
    <w:name w:val="default"/>
    <w:basedOn w:val="1"/>
    <w:qFormat/>
    <w:uiPriority w:val="0"/>
    <w:pPr>
      <w:widowControl/>
      <w:spacing w:before="100" w:beforeAutospacing="1" w:after="100" w:afterAutospacing="1"/>
      <w:jc w:val="left"/>
    </w:pPr>
    <w:rPr>
      <w:rFonts w:cs="宋体"/>
      <w:kern w:val="0"/>
      <w:sz w:val="24"/>
    </w:rPr>
  </w:style>
  <w:style w:type="paragraph" w:customStyle="1" w:styleId="17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3">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4">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75">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kern w:val="0"/>
      <w:sz w:val="24"/>
    </w:rPr>
  </w:style>
  <w:style w:type="paragraph" w:customStyle="1" w:styleId="176">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7">
    <w:name w:val="font7"/>
    <w:basedOn w:val="1"/>
    <w:qFormat/>
    <w:uiPriority w:val="0"/>
    <w:pPr>
      <w:widowControl/>
      <w:spacing w:before="100" w:beforeAutospacing="1" w:after="100" w:afterAutospacing="1"/>
      <w:jc w:val="left"/>
    </w:pPr>
    <w:rPr>
      <w:rFonts w:cs="宋体"/>
      <w:kern w:val="0"/>
      <w:sz w:val="18"/>
      <w:szCs w:val="18"/>
    </w:rPr>
  </w:style>
  <w:style w:type="paragraph" w:customStyle="1" w:styleId="178">
    <w:name w:val="xl65"/>
    <w:basedOn w:val="1"/>
    <w:qFormat/>
    <w:uiPriority w:val="0"/>
    <w:pPr>
      <w:widowControl/>
      <w:spacing w:before="100" w:beforeAutospacing="1" w:after="100" w:afterAutospacing="1"/>
      <w:jc w:val="left"/>
      <w:textAlignment w:val="center"/>
    </w:pPr>
    <w:rPr>
      <w:rFonts w:cs="宋体"/>
      <w:kern w:val="0"/>
      <w:sz w:val="24"/>
    </w:rPr>
  </w:style>
  <w:style w:type="paragraph" w:customStyle="1" w:styleId="17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4">
    <w:name w:val="xl71"/>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18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b/>
      <w:bCs/>
      <w:kern w:val="0"/>
      <w:sz w:val="20"/>
      <w:szCs w:val="20"/>
    </w:rPr>
  </w:style>
  <w:style w:type="paragraph" w:customStyle="1" w:styleId="19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193">
    <w:name w:val="xl80"/>
    <w:basedOn w:val="1"/>
    <w:qFormat/>
    <w:uiPriority w:val="0"/>
    <w:pPr>
      <w:widowControl/>
      <w:spacing w:before="100" w:beforeAutospacing="1" w:after="100" w:afterAutospacing="1"/>
      <w:jc w:val="center"/>
      <w:textAlignment w:val="center"/>
    </w:pPr>
    <w:rPr>
      <w:rFonts w:cs="宋体"/>
      <w:kern w:val="0"/>
      <w:sz w:val="20"/>
      <w:szCs w:val="20"/>
    </w:rPr>
  </w:style>
  <w:style w:type="paragraph" w:customStyle="1" w:styleId="19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9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1">
    <w:name w:val="xl8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7">
    <w:name w:val="xl94"/>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9">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10">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11">
    <w:name w:val="xl9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12">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b/>
      <w:bCs/>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5">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17">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kern w:val="0"/>
      <w:sz w:val="20"/>
      <w:szCs w:val="20"/>
    </w:rPr>
  </w:style>
  <w:style w:type="paragraph" w:customStyle="1" w:styleId="218">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1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20">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2">
    <w:name w:val="xl109"/>
    <w:basedOn w:val="1"/>
    <w:qFormat/>
    <w:uiPriority w:val="0"/>
    <w:pPr>
      <w:widowControl/>
      <w:spacing w:before="100" w:beforeAutospacing="1" w:after="100" w:afterAutospacing="1"/>
      <w:jc w:val="left"/>
      <w:textAlignment w:val="center"/>
    </w:pPr>
    <w:rPr>
      <w:rFonts w:cs="宋体"/>
      <w:color w:val="FF0000"/>
      <w:kern w:val="0"/>
      <w:sz w:val="20"/>
      <w:szCs w:val="20"/>
    </w:rPr>
  </w:style>
  <w:style w:type="paragraph" w:customStyle="1" w:styleId="223">
    <w:name w:val="Char Char Char Char Char Char Char Char Char Char Char Char1"/>
    <w:basedOn w:val="1"/>
    <w:qFormat/>
    <w:uiPriority w:val="0"/>
    <w:pPr>
      <w:tabs>
        <w:tab w:val="right" w:pos="-2120"/>
      </w:tabs>
      <w:snapToGrid w:val="0"/>
    </w:pPr>
    <w:rPr>
      <w:rFonts w:ascii="Tahoma" w:hAnsi="Tahoma"/>
      <w:spacing w:val="6"/>
      <w:sz w:val="24"/>
      <w:szCs w:val="20"/>
    </w:rPr>
  </w:style>
  <w:style w:type="paragraph" w:customStyle="1" w:styleId="224">
    <w:name w:val="Char Char1 Char Char"/>
    <w:basedOn w:val="1"/>
    <w:qFormat/>
    <w:uiPriority w:val="0"/>
    <w:pPr>
      <w:tabs>
        <w:tab w:val="left" w:pos="360"/>
      </w:tabs>
    </w:pPr>
    <w:rPr>
      <w:szCs w:val="20"/>
    </w:rPr>
  </w:style>
  <w:style w:type="paragraph" w:customStyle="1" w:styleId="225">
    <w:name w:val="列出段落11"/>
    <w:basedOn w:val="1"/>
    <w:qFormat/>
    <w:uiPriority w:val="0"/>
    <w:pPr>
      <w:ind w:firstLine="420" w:firstLineChars="200"/>
    </w:pPr>
    <w:rPr>
      <w:szCs w:val="21"/>
    </w:rPr>
  </w:style>
  <w:style w:type="paragraph" w:customStyle="1" w:styleId="226">
    <w:name w:val="缺省文本"/>
    <w:basedOn w:val="1"/>
    <w:qFormat/>
    <w:uiPriority w:val="0"/>
    <w:pPr>
      <w:autoSpaceDE w:val="0"/>
      <w:autoSpaceDN w:val="0"/>
      <w:adjustRightInd w:val="0"/>
      <w:jc w:val="left"/>
    </w:pPr>
    <w:rPr>
      <w:kern w:val="0"/>
      <w:sz w:val="24"/>
      <w:szCs w:val="20"/>
    </w:rPr>
  </w:style>
  <w:style w:type="paragraph" w:customStyle="1" w:styleId="227">
    <w:name w:val="Char Char Char1"/>
    <w:basedOn w:val="1"/>
    <w:qFormat/>
    <w:uiPriority w:val="0"/>
    <w:pPr>
      <w:ind w:firstLine="200" w:firstLineChars="200"/>
    </w:pPr>
    <w:rPr>
      <w:sz w:val="24"/>
    </w:rPr>
  </w:style>
  <w:style w:type="paragraph" w:customStyle="1" w:styleId="228">
    <w:name w:val="Char13"/>
    <w:basedOn w:val="1"/>
    <w:qFormat/>
    <w:uiPriority w:val="0"/>
  </w:style>
  <w:style w:type="paragraph" w:customStyle="1" w:styleId="229">
    <w:name w:val="p0"/>
    <w:basedOn w:val="1"/>
    <w:qFormat/>
    <w:uiPriority w:val="0"/>
    <w:pPr>
      <w:widowControl/>
    </w:pPr>
    <w:rPr>
      <w:kern w:val="0"/>
      <w:szCs w:val="21"/>
    </w:rPr>
  </w:style>
  <w:style w:type="paragraph" w:customStyle="1" w:styleId="230">
    <w:name w:val="5"/>
    <w:basedOn w:val="1"/>
    <w:qFormat/>
    <w:uiPriority w:val="0"/>
    <w:pPr>
      <w:tabs>
        <w:tab w:val="right" w:pos="-2120"/>
      </w:tabs>
      <w:snapToGrid w:val="0"/>
    </w:pPr>
    <w:rPr>
      <w:rFonts w:ascii="Tahoma" w:hAnsi="Tahoma"/>
      <w:spacing w:val="6"/>
      <w:sz w:val="24"/>
      <w:szCs w:val="20"/>
    </w:rPr>
  </w:style>
  <w:style w:type="paragraph" w:customStyle="1" w:styleId="231">
    <w:name w:val="Char2 Char Char Char Char Char Char"/>
    <w:basedOn w:val="15"/>
    <w:qFormat/>
    <w:uiPriority w:val="0"/>
    <w:rPr>
      <w:rFonts w:ascii="Tahoma" w:hAnsi="Tahoma"/>
      <w:sz w:val="24"/>
    </w:rPr>
  </w:style>
  <w:style w:type="paragraph" w:customStyle="1" w:styleId="232">
    <w:name w:val="日期1"/>
    <w:basedOn w:val="1"/>
    <w:next w:val="1"/>
    <w:link w:val="295"/>
    <w:qFormat/>
    <w:uiPriority w:val="0"/>
    <w:rPr>
      <w:szCs w:val="20"/>
    </w:rPr>
  </w:style>
  <w:style w:type="paragraph" w:customStyle="1" w:styleId="233">
    <w:name w:val="Char Char Char Char Char Char"/>
    <w:basedOn w:val="1"/>
    <w:qFormat/>
    <w:uiPriority w:val="0"/>
    <w:rPr>
      <w:rFonts w:ascii="Tahoma" w:hAnsi="Tahoma"/>
      <w:sz w:val="24"/>
      <w:szCs w:val="20"/>
    </w:rPr>
  </w:style>
  <w:style w:type="paragraph" w:styleId="234">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35">
    <w:name w:val="承康医疗"/>
    <w:basedOn w:val="1"/>
    <w:link w:val="299"/>
    <w:qFormat/>
    <w:uiPriority w:val="0"/>
    <w:pPr>
      <w:widowControl/>
      <w:jc w:val="left"/>
    </w:pPr>
    <w:rPr>
      <w:rFonts w:ascii="微软雅黑" w:hAnsi="微软雅黑" w:eastAsia="微软雅黑"/>
      <w:kern w:val="0"/>
      <w:szCs w:val="21"/>
    </w:rPr>
  </w:style>
  <w:style w:type="paragraph" w:customStyle="1" w:styleId="236">
    <w:name w:val="无间隔11"/>
    <w:basedOn w:val="1"/>
    <w:qFormat/>
    <w:uiPriority w:val="0"/>
    <w:pPr>
      <w:widowControl/>
      <w:jc w:val="left"/>
    </w:pPr>
    <w:rPr>
      <w:kern w:val="0"/>
      <w:sz w:val="22"/>
      <w:szCs w:val="20"/>
      <w:lang w:eastAsia="en-US" w:bidi="en-US"/>
    </w:rPr>
  </w:style>
  <w:style w:type="paragraph" w:customStyle="1" w:styleId="237">
    <w:name w:val="彩色列表 - 强调文字颜色 11"/>
    <w:basedOn w:val="1"/>
    <w:qFormat/>
    <w:uiPriority w:val="34"/>
    <w:pPr>
      <w:ind w:firstLine="420" w:firstLineChars="200"/>
    </w:pPr>
    <w:rPr>
      <w:rFonts w:ascii="Cambria" w:hAnsi="Cambria"/>
      <w:sz w:val="24"/>
    </w:rPr>
  </w:style>
  <w:style w:type="paragraph" w:customStyle="1" w:styleId="238">
    <w:name w:val="清單段落"/>
    <w:basedOn w:val="1"/>
    <w:qFormat/>
    <w:uiPriority w:val="99"/>
    <w:pPr>
      <w:ind w:left="480" w:leftChars="200"/>
    </w:pPr>
  </w:style>
  <w:style w:type="paragraph" w:customStyle="1" w:styleId="239">
    <w:name w:val="清單段落1"/>
    <w:basedOn w:val="1"/>
    <w:qFormat/>
    <w:uiPriority w:val="34"/>
    <w:pPr>
      <w:ind w:left="720"/>
      <w:contextualSpacing/>
    </w:pPr>
  </w:style>
  <w:style w:type="paragraph" w:customStyle="1" w:styleId="240">
    <w:name w:val="列出段落2"/>
    <w:basedOn w:val="1"/>
    <w:qFormat/>
    <w:uiPriority w:val="0"/>
    <w:pPr>
      <w:ind w:firstLine="420" w:firstLineChars="200"/>
    </w:pPr>
    <w:rPr>
      <w:rFonts w:ascii="Calibri" w:hAnsi="Calibri"/>
      <w:szCs w:val="22"/>
    </w:rPr>
  </w:style>
  <w:style w:type="paragraph" w:customStyle="1" w:styleId="241">
    <w:name w:val="列表段落1"/>
    <w:basedOn w:val="1"/>
    <w:link w:val="331"/>
    <w:qFormat/>
    <w:uiPriority w:val="34"/>
    <w:pPr>
      <w:ind w:firstLine="420" w:firstLineChars="200"/>
    </w:pPr>
  </w:style>
  <w:style w:type="paragraph" w:customStyle="1" w:styleId="242">
    <w:name w:val="列表段落2"/>
    <w:basedOn w:val="1"/>
    <w:qFormat/>
    <w:uiPriority w:val="0"/>
    <w:pPr>
      <w:ind w:firstLine="420" w:firstLineChars="200"/>
    </w:pPr>
    <w:rPr>
      <w:rFonts w:ascii="Calibri" w:hAnsi="Calibri"/>
      <w:szCs w:val="22"/>
    </w:rPr>
  </w:style>
  <w:style w:type="paragraph" w:customStyle="1" w:styleId="243">
    <w:name w:val="Table Paragraph"/>
    <w:basedOn w:val="1"/>
    <w:qFormat/>
    <w:uiPriority w:val="1"/>
    <w:pPr>
      <w:widowControl/>
      <w:spacing w:before="40"/>
      <w:ind w:left="327"/>
      <w:jc w:val="left"/>
    </w:pPr>
    <w:rPr>
      <w:rFonts w:cs="宋体"/>
      <w:kern w:val="0"/>
      <w:sz w:val="24"/>
      <w:szCs w:val="20"/>
      <w:lang w:val="zh-CN" w:bidi="zh-CN"/>
    </w:rPr>
  </w:style>
  <w:style w:type="character" w:customStyle="1" w:styleId="244">
    <w:name w:val="样式5 Char"/>
    <w:link w:val="94"/>
    <w:qFormat/>
    <w:uiPriority w:val="0"/>
    <w:rPr>
      <w:rFonts w:ascii="宋体"/>
      <w:kern w:val="2"/>
      <w:sz w:val="21"/>
      <w:u w:val="single"/>
    </w:rPr>
  </w:style>
  <w:style w:type="character" w:customStyle="1" w:styleId="245">
    <w:name w:val="样式7 Char"/>
    <w:link w:val="122"/>
    <w:qFormat/>
    <w:uiPriority w:val="0"/>
    <w:rPr>
      <w:kern w:val="2"/>
      <w:sz w:val="18"/>
      <w:szCs w:val="18"/>
    </w:rPr>
  </w:style>
  <w:style w:type="character" w:customStyle="1" w:styleId="246">
    <w:name w:val="Char Char2"/>
    <w:qFormat/>
    <w:uiPriority w:val="0"/>
    <w:rPr>
      <w:rFonts w:eastAsia="宋体"/>
      <w:kern w:val="2"/>
      <w:sz w:val="18"/>
      <w:szCs w:val="18"/>
      <w:lang w:val="en-US" w:eastAsia="zh-CN" w:bidi="ar-SA"/>
    </w:rPr>
  </w:style>
  <w:style w:type="character" w:customStyle="1" w:styleId="247">
    <w:name w:val="标题 Char1"/>
    <w:qFormat/>
    <w:uiPriority w:val="0"/>
    <w:rPr>
      <w:rFonts w:ascii="Calibri Light" w:hAnsi="Calibri Light" w:cs="Times New Roman"/>
      <w:b/>
      <w:bCs/>
      <w:kern w:val="2"/>
      <w:sz w:val="32"/>
      <w:szCs w:val="32"/>
    </w:rPr>
  </w:style>
  <w:style w:type="character" w:customStyle="1" w:styleId="248">
    <w:name w:val="批注框文本 字符"/>
    <w:link w:val="27"/>
    <w:qFormat/>
    <w:uiPriority w:val="0"/>
    <w:rPr>
      <w:kern w:val="2"/>
      <w:sz w:val="18"/>
      <w:szCs w:val="18"/>
    </w:rPr>
  </w:style>
  <w:style w:type="character" w:customStyle="1" w:styleId="249">
    <w:name w:val="样式8 Char"/>
    <w:link w:val="169"/>
    <w:qFormat/>
    <w:uiPriority w:val="0"/>
    <w:rPr>
      <w:kern w:val="2"/>
      <w:sz w:val="18"/>
      <w:szCs w:val="18"/>
    </w:rPr>
  </w:style>
  <w:style w:type="character" w:customStyle="1" w:styleId="250">
    <w:name w:val="grame"/>
    <w:qFormat/>
    <w:uiPriority w:val="0"/>
  </w:style>
  <w:style w:type="character" w:customStyle="1" w:styleId="251">
    <w:name w:val="Char Char"/>
    <w:qFormat/>
    <w:uiPriority w:val="0"/>
    <w:rPr>
      <w:rFonts w:ascii="Century Gothic" w:hAnsi="Century Gothic"/>
      <w:bCs/>
      <w:kern w:val="28"/>
      <w:sz w:val="21"/>
      <w:szCs w:val="32"/>
    </w:rPr>
  </w:style>
  <w:style w:type="character" w:customStyle="1" w:styleId="252">
    <w:name w:val="样式3 Char"/>
    <w:link w:val="140"/>
    <w:qFormat/>
    <w:uiPriority w:val="0"/>
    <w:rPr>
      <w:rFonts w:ascii="黑体" w:hAnsi="黑体" w:eastAsia="黑体"/>
      <w:bCs/>
      <w:kern w:val="2"/>
      <w:sz w:val="18"/>
      <w:szCs w:val="18"/>
    </w:rPr>
  </w:style>
  <w:style w:type="character" w:customStyle="1" w:styleId="253">
    <w:name w:val="标题 3 字符"/>
    <w:link w:val="5"/>
    <w:qFormat/>
    <w:uiPriority w:val="9"/>
    <w:rPr>
      <w:rFonts w:ascii="宋体" w:hAnsi="宋体" w:eastAsia="黑体"/>
      <w:b/>
      <w:sz w:val="28"/>
    </w:rPr>
  </w:style>
  <w:style w:type="character" w:customStyle="1" w:styleId="254">
    <w:name w:val="批注主题 字符"/>
    <w:link w:val="42"/>
    <w:qFormat/>
    <w:uiPriority w:val="0"/>
    <w:rPr>
      <w:b/>
      <w:bCs/>
      <w:kern w:val="2"/>
      <w:sz w:val="21"/>
      <w:szCs w:val="24"/>
    </w:rPr>
  </w:style>
  <w:style w:type="character" w:customStyle="1" w:styleId="255">
    <w:name w:val="页眉 字符"/>
    <w:link w:val="29"/>
    <w:qFormat/>
    <w:uiPriority w:val="99"/>
    <w:rPr>
      <w:kern w:val="2"/>
      <w:sz w:val="18"/>
      <w:szCs w:val="18"/>
    </w:rPr>
  </w:style>
  <w:style w:type="character" w:customStyle="1" w:styleId="256">
    <w:name w:val="font51"/>
    <w:qFormat/>
    <w:uiPriority w:val="0"/>
    <w:rPr>
      <w:rFonts w:hint="eastAsia" w:ascii="宋体" w:hAnsi="宋体" w:eastAsia="宋体"/>
      <w:b/>
      <w:bCs/>
      <w:color w:val="000000"/>
      <w:sz w:val="20"/>
      <w:szCs w:val="20"/>
      <w:u w:val="none"/>
    </w:rPr>
  </w:style>
  <w:style w:type="character" w:customStyle="1" w:styleId="257">
    <w:name w:val="font21"/>
    <w:qFormat/>
    <w:uiPriority w:val="0"/>
    <w:rPr>
      <w:rFonts w:hint="default" w:ascii="Times New Roman" w:hAnsi="Times New Roman" w:cs="Times New Roman"/>
      <w:color w:val="000000"/>
      <w:sz w:val="20"/>
      <w:szCs w:val="20"/>
      <w:u w:val="none"/>
    </w:rPr>
  </w:style>
  <w:style w:type="character" w:customStyle="1" w:styleId="258">
    <w:name w:val="纯文本 字符2"/>
    <w:link w:val="23"/>
    <w:qFormat/>
    <w:uiPriority w:val="0"/>
    <w:rPr>
      <w:rFonts w:ascii="宋体"/>
      <w:kern w:val="2"/>
      <w:sz w:val="21"/>
    </w:rPr>
  </w:style>
  <w:style w:type="character" w:customStyle="1" w:styleId="259">
    <w:name w:val="样式3 Char Char"/>
    <w:qFormat/>
    <w:uiPriority w:val="0"/>
    <w:rPr>
      <w:rFonts w:ascii="Century Gothic" w:hAnsi="Century Gothic" w:eastAsia="宋体"/>
      <w:kern w:val="2"/>
      <w:sz w:val="21"/>
      <w:szCs w:val="21"/>
      <w:lang w:val="en-US" w:eastAsia="zh-CN" w:bidi="ar-SA"/>
    </w:rPr>
  </w:style>
  <w:style w:type="character" w:customStyle="1" w:styleId="260">
    <w:name w:val="font61"/>
    <w:qFormat/>
    <w:uiPriority w:val="0"/>
    <w:rPr>
      <w:rFonts w:hint="default" w:ascii="宋体" w:hAnsi="宋体"/>
      <w:color w:val="000000"/>
      <w:sz w:val="18"/>
      <w:szCs w:val="18"/>
      <w:u w:val="none"/>
    </w:rPr>
  </w:style>
  <w:style w:type="character" w:customStyle="1" w:styleId="261">
    <w:name w:val="正文文本缩进 字符"/>
    <w:link w:val="18"/>
    <w:qFormat/>
    <w:uiPriority w:val="0"/>
    <w:rPr>
      <w:rFonts w:ascii="宋体"/>
      <w:spacing w:val="-4"/>
      <w:kern w:val="2"/>
      <w:sz w:val="18"/>
    </w:rPr>
  </w:style>
  <w:style w:type="character" w:customStyle="1" w:styleId="262">
    <w:name w:val="font81"/>
    <w:qFormat/>
    <w:uiPriority w:val="0"/>
    <w:rPr>
      <w:rFonts w:hint="default" w:ascii="宋体" w:hAnsi="宋体"/>
      <w:color w:val="000000"/>
      <w:sz w:val="24"/>
      <w:szCs w:val="24"/>
      <w:u w:val="none"/>
    </w:rPr>
  </w:style>
  <w:style w:type="character" w:customStyle="1" w:styleId="263">
    <w:name w:val="批注文字 字符"/>
    <w:link w:val="16"/>
    <w:qFormat/>
    <w:uiPriority w:val="0"/>
    <w:rPr>
      <w:kern w:val="2"/>
      <w:sz w:val="21"/>
      <w:szCs w:val="24"/>
    </w:rPr>
  </w:style>
  <w:style w:type="character" w:customStyle="1" w:styleId="264">
    <w:name w:val="font01"/>
    <w:qFormat/>
    <w:uiPriority w:val="0"/>
    <w:rPr>
      <w:rFonts w:hint="eastAsia" w:ascii="宋体" w:hAnsi="宋体" w:eastAsia="宋体"/>
      <w:color w:val="000000"/>
      <w:sz w:val="20"/>
      <w:szCs w:val="20"/>
      <w:u w:val="none"/>
    </w:rPr>
  </w:style>
  <w:style w:type="character" w:customStyle="1" w:styleId="265">
    <w:name w:val="标题 1 字符"/>
    <w:link w:val="3"/>
    <w:qFormat/>
    <w:uiPriority w:val="9"/>
    <w:rPr>
      <w:rFonts w:ascii="宋体" w:hAnsi="宋体" w:eastAsia="黑体"/>
      <w:b/>
      <w:kern w:val="44"/>
      <w:sz w:val="28"/>
    </w:rPr>
  </w:style>
  <w:style w:type="character" w:customStyle="1" w:styleId="266">
    <w:name w:val="font91"/>
    <w:qFormat/>
    <w:uiPriority w:val="0"/>
    <w:rPr>
      <w:rFonts w:hint="eastAsia" w:ascii="华文楷体" w:eastAsia="华文楷体"/>
      <w:color w:val="000000"/>
      <w:sz w:val="20"/>
      <w:szCs w:val="20"/>
      <w:u w:val="none"/>
    </w:rPr>
  </w:style>
  <w:style w:type="character" w:customStyle="1" w:styleId="267">
    <w:name w:val="标题 4 字符"/>
    <w:link w:val="6"/>
    <w:qFormat/>
    <w:uiPriority w:val="9"/>
    <w:rPr>
      <w:rFonts w:ascii="Arial" w:hAnsi="Arial" w:eastAsia="黑体"/>
      <w:sz w:val="28"/>
    </w:rPr>
  </w:style>
  <w:style w:type="character" w:customStyle="1" w:styleId="268">
    <w:name w:val="样式6 Char"/>
    <w:link w:val="157"/>
    <w:qFormat/>
    <w:uiPriority w:val="0"/>
    <w:rPr>
      <w:kern w:val="2"/>
      <w:sz w:val="18"/>
      <w:szCs w:val="18"/>
    </w:rPr>
  </w:style>
  <w:style w:type="character" w:customStyle="1" w:styleId="269">
    <w:name w:val="标题 字符"/>
    <w:link w:val="41"/>
    <w:qFormat/>
    <w:uiPriority w:val="10"/>
    <w:rPr>
      <w:rFonts w:ascii="Cambria" w:hAnsi="Cambria" w:cs="黑体"/>
      <w:b/>
      <w:bCs/>
      <w:sz w:val="32"/>
      <w:szCs w:val="32"/>
    </w:rPr>
  </w:style>
  <w:style w:type="character" w:customStyle="1" w:styleId="270">
    <w:name w:val="标题 2 字符"/>
    <w:link w:val="4"/>
    <w:qFormat/>
    <w:uiPriority w:val="9"/>
    <w:rPr>
      <w:rFonts w:ascii="宋体" w:hAnsi="宋体" w:eastAsia="黑体"/>
      <w:b/>
      <w:sz w:val="28"/>
    </w:rPr>
  </w:style>
  <w:style w:type="character" w:customStyle="1" w:styleId="271">
    <w:name w:val="px12h161"/>
    <w:qFormat/>
    <w:uiPriority w:val="0"/>
    <w:rPr>
      <w:sz w:val="14"/>
      <w:szCs w:val="14"/>
    </w:rPr>
  </w:style>
  <w:style w:type="character" w:customStyle="1" w:styleId="272">
    <w:name w:val="样式4 Char"/>
    <w:link w:val="56"/>
    <w:qFormat/>
    <w:uiPriority w:val="0"/>
    <w:rPr>
      <w:bCs/>
      <w:kern w:val="2"/>
      <w:sz w:val="18"/>
      <w:szCs w:val="18"/>
    </w:rPr>
  </w:style>
  <w:style w:type="character" w:customStyle="1" w:styleId="273">
    <w:name w:val="font41"/>
    <w:qFormat/>
    <w:uiPriority w:val="0"/>
    <w:rPr>
      <w:rFonts w:hint="default" w:ascii="Times New Roman" w:hAnsi="Times New Roman" w:cs="Times New Roman"/>
      <w:b/>
      <w:bCs/>
      <w:color w:val="000000"/>
      <w:sz w:val="20"/>
      <w:szCs w:val="20"/>
      <w:u w:val="none"/>
    </w:rPr>
  </w:style>
  <w:style w:type="character" w:customStyle="1" w:styleId="274">
    <w:name w:val="_Style 265"/>
    <w:qFormat/>
    <w:uiPriority w:val="0"/>
    <w:rPr>
      <w:rFonts w:eastAsia="仿宋_GB2312"/>
      <w:iCs/>
      <w:color w:val="auto"/>
      <w:sz w:val="24"/>
    </w:rPr>
  </w:style>
  <w:style w:type="character" w:customStyle="1" w:styleId="275">
    <w:name w:val="副标题 Char1"/>
    <w:qFormat/>
    <w:uiPriority w:val="0"/>
    <w:rPr>
      <w:rFonts w:ascii="Cambria" w:hAnsi="Cambria" w:cs="Times New Roman"/>
      <w:b/>
      <w:bCs/>
      <w:kern w:val="28"/>
      <w:sz w:val="32"/>
      <w:szCs w:val="32"/>
    </w:rPr>
  </w:style>
  <w:style w:type="character" w:customStyle="1" w:styleId="276">
    <w:name w:val="font71"/>
    <w:qFormat/>
    <w:uiPriority w:val="0"/>
    <w:rPr>
      <w:rFonts w:hint="eastAsia" w:ascii="宋体" w:hAnsi="宋体" w:eastAsia="宋体"/>
      <w:b/>
      <w:bCs/>
      <w:color w:val="000000"/>
      <w:sz w:val="24"/>
      <w:szCs w:val="24"/>
      <w:u w:val="none"/>
    </w:rPr>
  </w:style>
  <w:style w:type="character" w:customStyle="1" w:styleId="277">
    <w:name w:val="日期 字符"/>
    <w:link w:val="25"/>
    <w:qFormat/>
    <w:uiPriority w:val="0"/>
    <w:rPr>
      <w:kern w:val="2"/>
      <w:sz w:val="21"/>
      <w:szCs w:val="24"/>
    </w:rPr>
  </w:style>
  <w:style w:type="character" w:customStyle="1" w:styleId="278">
    <w:name w:val="副标题 字符"/>
    <w:link w:val="32"/>
    <w:qFormat/>
    <w:uiPriority w:val="11"/>
    <w:rPr>
      <w:rFonts w:ascii="Century Gothic" w:hAnsi="Century Gothic" w:cs="Century Gothic"/>
      <w:kern w:val="28"/>
      <w:sz w:val="21"/>
      <w:szCs w:val="21"/>
    </w:rPr>
  </w:style>
  <w:style w:type="character" w:customStyle="1" w:styleId="279">
    <w:name w:val="文档结构图 字符"/>
    <w:link w:val="15"/>
    <w:qFormat/>
    <w:uiPriority w:val="0"/>
    <w:rPr>
      <w:kern w:val="2"/>
      <w:sz w:val="21"/>
      <w:szCs w:val="24"/>
      <w:shd w:val="clear" w:color="auto" w:fill="000080"/>
    </w:rPr>
  </w:style>
  <w:style w:type="character" w:customStyle="1" w:styleId="280">
    <w:name w:val="普通文字1 Char1"/>
    <w:qFormat/>
    <w:uiPriority w:val="0"/>
    <w:rPr>
      <w:rFonts w:ascii="宋体" w:eastAsia="宋体"/>
      <w:kern w:val="2"/>
      <w:sz w:val="21"/>
      <w:lang w:val="en-US" w:eastAsia="zh-CN" w:bidi="ar-SA"/>
    </w:rPr>
  </w:style>
  <w:style w:type="character" w:customStyle="1" w:styleId="281">
    <w:name w:val="页脚 字符1"/>
    <w:link w:val="28"/>
    <w:qFormat/>
    <w:uiPriority w:val="99"/>
    <w:rPr>
      <w:rFonts w:ascii="宋体"/>
      <w:kern w:val="2"/>
      <w:sz w:val="18"/>
    </w:rPr>
  </w:style>
  <w:style w:type="character" w:customStyle="1" w:styleId="282">
    <w:name w:val="_Style 273"/>
    <w:qFormat/>
    <w:uiPriority w:val="32"/>
    <w:rPr>
      <w:b/>
      <w:bCs/>
      <w:smallCaps/>
      <w:color w:val="C0504D"/>
      <w:spacing w:val="5"/>
      <w:u w:val="single"/>
    </w:rPr>
  </w:style>
  <w:style w:type="character" w:customStyle="1" w:styleId="283">
    <w:name w:val="正文文本缩进 2 字符"/>
    <w:link w:val="26"/>
    <w:qFormat/>
    <w:uiPriority w:val="0"/>
    <w:rPr>
      <w:kern w:val="2"/>
      <w:sz w:val="21"/>
      <w:szCs w:val="24"/>
    </w:rPr>
  </w:style>
  <w:style w:type="character" w:customStyle="1" w:styleId="284">
    <w:name w:val="纯文本 字符"/>
    <w:qFormat/>
    <w:uiPriority w:val="99"/>
    <w:rPr>
      <w:rFonts w:ascii="宋体"/>
      <w:kern w:val="2"/>
      <w:sz w:val="21"/>
    </w:rPr>
  </w:style>
  <w:style w:type="character" w:customStyle="1" w:styleId="285">
    <w:name w:val="纯文本 Char2"/>
    <w:qFormat/>
    <w:uiPriority w:val="0"/>
    <w:rPr>
      <w:rFonts w:ascii="宋体" w:hAnsi="Times New Roman" w:eastAsia="宋体" w:cs="Times New Roman"/>
      <w:kern w:val="2"/>
      <w:sz w:val="21"/>
      <w:lang w:val="en-US" w:eastAsia="zh-CN" w:bidi="ar-SA"/>
    </w:rPr>
  </w:style>
  <w:style w:type="character" w:customStyle="1" w:styleId="286">
    <w:name w:val="标题 5 字符"/>
    <w:qFormat/>
    <w:uiPriority w:val="9"/>
    <w:rPr>
      <w:b/>
      <w:bCs/>
      <w:kern w:val="2"/>
      <w:sz w:val="28"/>
      <w:szCs w:val="28"/>
    </w:rPr>
  </w:style>
  <w:style w:type="character" w:customStyle="1" w:styleId="287">
    <w:name w:val="标题 3 Char2"/>
    <w:qFormat/>
    <w:uiPriority w:val="0"/>
    <w:rPr>
      <w:rFonts w:eastAsia="黑体"/>
      <w:b/>
      <w:sz w:val="28"/>
    </w:rPr>
  </w:style>
  <w:style w:type="character" w:customStyle="1" w:styleId="288">
    <w:name w:val="纯文本 Char1"/>
    <w:qFormat/>
    <w:uiPriority w:val="0"/>
    <w:rPr>
      <w:rFonts w:ascii="宋体" w:eastAsia="宋体"/>
      <w:kern w:val="2"/>
      <w:sz w:val="21"/>
      <w:lang w:val="en-US" w:eastAsia="zh-CN" w:bidi="ar-SA"/>
    </w:rPr>
  </w:style>
  <w:style w:type="character" w:customStyle="1" w:styleId="289">
    <w:name w:val="正文文本 字符"/>
    <w:link w:val="2"/>
    <w:qFormat/>
    <w:uiPriority w:val="0"/>
    <w:rPr>
      <w:rFonts w:ascii="金山简黑体" w:hAnsi="金山简黑体"/>
      <w:b/>
      <w:spacing w:val="-8"/>
      <w:kern w:val="2"/>
      <w:sz w:val="21"/>
    </w:rPr>
  </w:style>
  <w:style w:type="character" w:customStyle="1" w:styleId="290">
    <w:name w:val="标题 5 字符1"/>
    <w:link w:val="7"/>
    <w:qFormat/>
    <w:uiPriority w:val="9"/>
    <w:rPr>
      <w:rFonts w:ascii="宋体" w:hAnsi="宋体"/>
      <w:b/>
      <w:sz w:val="28"/>
      <w:szCs w:val="24"/>
    </w:rPr>
  </w:style>
  <w:style w:type="character" w:customStyle="1" w:styleId="291">
    <w:name w:val="标题 3 Char1"/>
    <w:qFormat/>
    <w:uiPriority w:val="0"/>
    <w:rPr>
      <w:rFonts w:eastAsia="宋体"/>
      <w:b/>
      <w:bCs/>
      <w:kern w:val="2"/>
      <w:sz w:val="32"/>
      <w:szCs w:val="32"/>
      <w:lang w:val="en-US" w:eastAsia="zh-CN" w:bidi="ar-SA"/>
    </w:rPr>
  </w:style>
  <w:style w:type="character" w:customStyle="1" w:styleId="292">
    <w:name w:val="列表段落 字符"/>
    <w:link w:val="165"/>
    <w:qFormat/>
    <w:uiPriority w:val="34"/>
    <w:rPr>
      <w:kern w:val="2"/>
      <w:sz w:val="21"/>
      <w:szCs w:val="21"/>
    </w:rPr>
  </w:style>
  <w:style w:type="character" w:customStyle="1" w:styleId="293">
    <w:name w:val="dy_biao_content1"/>
    <w:qFormat/>
    <w:uiPriority w:val="0"/>
    <w:rPr>
      <w:rFonts w:hint="eastAsia" w:ascii="宋体" w:hAnsi="宋体" w:eastAsia="宋体"/>
      <w:sz w:val="24"/>
      <w:szCs w:val="24"/>
    </w:rPr>
  </w:style>
  <w:style w:type="character" w:customStyle="1" w:styleId="294">
    <w:name w:val="正文缩进 字符"/>
    <w:link w:val="14"/>
    <w:qFormat/>
    <w:uiPriority w:val="0"/>
    <w:rPr>
      <w:kern w:val="2"/>
      <w:sz w:val="21"/>
      <w:szCs w:val="21"/>
    </w:rPr>
  </w:style>
  <w:style w:type="character" w:customStyle="1" w:styleId="295">
    <w:name w:val="Date Char Char"/>
    <w:link w:val="232"/>
    <w:qFormat/>
    <w:uiPriority w:val="0"/>
    <w:rPr>
      <w:kern w:val="2"/>
      <w:sz w:val="21"/>
    </w:rPr>
  </w:style>
  <w:style w:type="character" w:customStyle="1" w:styleId="296">
    <w:name w:val="页脚 字符"/>
    <w:qFormat/>
    <w:uiPriority w:val="99"/>
    <w:rPr>
      <w:kern w:val="2"/>
      <w:sz w:val="18"/>
      <w:szCs w:val="18"/>
    </w:rPr>
  </w:style>
  <w:style w:type="character" w:customStyle="1" w:styleId="297">
    <w:name w:val="正文文本 2 字符1"/>
    <w:link w:val="37"/>
    <w:qFormat/>
    <w:uiPriority w:val="0"/>
    <w:rPr>
      <w:rFonts w:ascii="宋体"/>
      <w:kern w:val="2"/>
      <w:sz w:val="13"/>
    </w:rPr>
  </w:style>
  <w:style w:type="character" w:customStyle="1" w:styleId="298">
    <w:name w:val="正文文本 3 字符1"/>
    <w:link w:val="17"/>
    <w:qFormat/>
    <w:uiPriority w:val="0"/>
    <w:rPr>
      <w:kern w:val="2"/>
      <w:sz w:val="24"/>
      <w:szCs w:val="24"/>
    </w:rPr>
  </w:style>
  <w:style w:type="character" w:customStyle="1" w:styleId="299">
    <w:name w:val="承康医疗 Char"/>
    <w:link w:val="235"/>
    <w:qFormat/>
    <w:uiPriority w:val="0"/>
    <w:rPr>
      <w:rFonts w:ascii="微软雅黑" w:hAnsi="微软雅黑" w:eastAsia="微软雅黑"/>
      <w:sz w:val="21"/>
      <w:szCs w:val="21"/>
    </w:rPr>
  </w:style>
  <w:style w:type="character" w:customStyle="1" w:styleId="300">
    <w:name w:val="纯文本 字符1"/>
    <w:qFormat/>
    <w:uiPriority w:val="0"/>
    <w:rPr>
      <w:rFonts w:ascii="宋体" w:eastAsia="宋体"/>
      <w:kern w:val="2"/>
      <w:sz w:val="21"/>
      <w:lang w:val="en-US" w:eastAsia="zh-CN" w:bidi="ar-SA"/>
    </w:rPr>
  </w:style>
  <w:style w:type="character" w:customStyle="1" w:styleId="301">
    <w:name w:val="列出段落 字符"/>
    <w:uiPriority w:val="0"/>
    <w:rPr>
      <w:rFonts w:ascii="Times New Roman" w:hAnsi="Times New Roman" w:eastAsia="宋体" w:cs="Times New Roman"/>
      <w:kern w:val="2"/>
      <w:sz w:val="21"/>
      <w:szCs w:val="24"/>
    </w:rPr>
  </w:style>
  <w:style w:type="character" w:customStyle="1" w:styleId="302">
    <w:name w:val="正文文本 2 字符"/>
    <w:qFormat/>
    <w:uiPriority w:val="0"/>
    <w:rPr>
      <w:kern w:val="2"/>
      <w:sz w:val="21"/>
      <w:szCs w:val="24"/>
    </w:rPr>
  </w:style>
  <w:style w:type="character" w:customStyle="1" w:styleId="303">
    <w:name w:val="正文文本 3 字符"/>
    <w:qFormat/>
    <w:uiPriority w:val="0"/>
    <w:rPr>
      <w:kern w:val="2"/>
      <w:sz w:val="16"/>
      <w:szCs w:val="16"/>
    </w:rPr>
  </w:style>
  <w:style w:type="character" w:customStyle="1" w:styleId="304">
    <w:name w:val="未处理的提及1"/>
    <w:basedOn w:val="46"/>
    <w:semiHidden/>
    <w:unhideWhenUsed/>
    <w:qFormat/>
    <w:uiPriority w:val="99"/>
    <w:rPr>
      <w:color w:val="605E5C"/>
      <w:shd w:val="clear" w:color="auto" w:fill="E1DFDD"/>
    </w:rPr>
  </w:style>
  <w:style w:type="paragraph" w:customStyle="1" w:styleId="305">
    <w:name w:val="修订1"/>
    <w:hidden/>
    <w:semiHidden/>
    <w:qFormat/>
    <w:uiPriority w:val="99"/>
    <w:rPr>
      <w:rFonts w:ascii="宋体" w:hAnsi="宋体" w:eastAsia="宋体" w:cs="Times New Roman"/>
      <w:kern w:val="2"/>
      <w:sz w:val="21"/>
      <w:szCs w:val="24"/>
      <w:lang w:val="en-US" w:eastAsia="zh-CN" w:bidi="ar-SA"/>
    </w:rPr>
  </w:style>
  <w:style w:type="character" w:customStyle="1" w:styleId="306">
    <w:name w:val="未处理的提及2"/>
    <w:basedOn w:val="46"/>
    <w:semiHidden/>
    <w:unhideWhenUsed/>
    <w:qFormat/>
    <w:uiPriority w:val="99"/>
    <w:rPr>
      <w:color w:val="605E5C"/>
      <w:shd w:val="clear" w:color="auto" w:fill="E1DFDD"/>
    </w:rPr>
  </w:style>
  <w:style w:type="character" w:customStyle="1" w:styleId="307">
    <w:name w:val="纯文本 字符4"/>
    <w:qFormat/>
    <w:uiPriority w:val="0"/>
    <w:rPr>
      <w:rFonts w:ascii="宋体"/>
      <w:kern w:val="2"/>
      <w:sz w:val="21"/>
    </w:rPr>
  </w:style>
  <w:style w:type="character" w:customStyle="1" w:styleId="308">
    <w:name w:val="font31"/>
    <w:basedOn w:val="46"/>
    <w:qFormat/>
    <w:uiPriority w:val="0"/>
    <w:rPr>
      <w:rFonts w:hint="eastAsia" w:ascii="宋体" w:hAnsi="宋体" w:eastAsia="宋体" w:cs="宋体"/>
      <w:color w:val="000000"/>
      <w:sz w:val="18"/>
      <w:szCs w:val="18"/>
      <w:u w:val="none"/>
    </w:rPr>
  </w:style>
  <w:style w:type="character" w:customStyle="1" w:styleId="309">
    <w:name w:val="font112"/>
    <w:basedOn w:val="46"/>
    <w:qFormat/>
    <w:uiPriority w:val="0"/>
    <w:rPr>
      <w:rFonts w:ascii="Wingdings" w:hAnsi="Wingdings" w:cs="Wingdings"/>
      <w:color w:val="000000"/>
      <w:sz w:val="18"/>
      <w:szCs w:val="18"/>
      <w:u w:val="none"/>
    </w:rPr>
  </w:style>
  <w:style w:type="character" w:customStyle="1" w:styleId="310">
    <w:name w:val="font121"/>
    <w:basedOn w:val="46"/>
    <w:qFormat/>
    <w:uiPriority w:val="0"/>
    <w:rPr>
      <w:rFonts w:hint="default" w:ascii="Arial" w:hAnsi="Arial" w:cs="Arial"/>
      <w:color w:val="000000"/>
      <w:sz w:val="18"/>
      <w:szCs w:val="18"/>
      <w:u w:val="none"/>
    </w:rPr>
  </w:style>
  <w:style w:type="character" w:customStyle="1" w:styleId="311">
    <w:name w:val="font151"/>
    <w:basedOn w:val="46"/>
    <w:qFormat/>
    <w:uiPriority w:val="0"/>
    <w:rPr>
      <w:rFonts w:ascii="Calibri" w:hAnsi="Calibri" w:cs="Calibri"/>
      <w:color w:val="000000"/>
      <w:sz w:val="18"/>
      <w:szCs w:val="18"/>
      <w:u w:val="none"/>
    </w:rPr>
  </w:style>
  <w:style w:type="character" w:customStyle="1" w:styleId="312">
    <w:name w:val="font141"/>
    <w:basedOn w:val="46"/>
    <w:qFormat/>
    <w:uiPriority w:val="0"/>
    <w:rPr>
      <w:rFonts w:ascii="Cambria Math" w:hAnsi="Cambria Math" w:eastAsia="Cambria Math" w:cs="Cambria Math"/>
      <w:color w:val="000000"/>
      <w:sz w:val="18"/>
      <w:szCs w:val="18"/>
      <w:u w:val="none"/>
    </w:rPr>
  </w:style>
  <w:style w:type="character" w:customStyle="1" w:styleId="313">
    <w:name w:val="font131"/>
    <w:basedOn w:val="46"/>
    <w:qFormat/>
    <w:uiPriority w:val="0"/>
    <w:rPr>
      <w:rFonts w:ascii="Tahoma" w:hAnsi="Tahoma" w:eastAsia="Tahoma" w:cs="Tahoma"/>
      <w:color w:val="000000"/>
      <w:sz w:val="18"/>
      <w:szCs w:val="18"/>
      <w:u w:val="none"/>
    </w:rPr>
  </w:style>
  <w:style w:type="paragraph" w:customStyle="1" w:styleId="314">
    <w:name w:val="列出段落3"/>
    <w:basedOn w:val="1"/>
    <w:qFormat/>
    <w:uiPriority w:val="34"/>
    <w:pPr>
      <w:ind w:firstLine="420" w:firstLineChars="200"/>
    </w:pPr>
    <w:rPr>
      <w:rFonts w:ascii="Calibri" w:hAnsi="Calibri"/>
      <w:szCs w:val="22"/>
    </w:rPr>
  </w:style>
  <w:style w:type="paragraph" w:customStyle="1" w:styleId="315">
    <w:name w:val="列表段落3"/>
    <w:basedOn w:val="1"/>
    <w:qFormat/>
    <w:uiPriority w:val="0"/>
    <w:pPr>
      <w:ind w:firstLine="420" w:firstLineChars="200"/>
    </w:pPr>
    <w:rPr>
      <w:rFonts w:ascii="Calibri" w:hAnsi="Calibri"/>
      <w:szCs w:val="22"/>
    </w:rPr>
  </w:style>
  <w:style w:type="character" w:customStyle="1" w:styleId="316">
    <w:name w:val="未处理的提及3"/>
    <w:basedOn w:val="46"/>
    <w:semiHidden/>
    <w:unhideWhenUsed/>
    <w:qFormat/>
    <w:uiPriority w:val="99"/>
    <w:rPr>
      <w:color w:val="605E5C"/>
      <w:shd w:val="clear" w:color="auto" w:fill="E1DFDD"/>
    </w:rPr>
  </w:style>
  <w:style w:type="paragraph" w:customStyle="1" w:styleId="317">
    <w:name w:val="彩色列表 - 强调文字颜色 12"/>
    <w:basedOn w:val="1"/>
    <w:qFormat/>
    <w:uiPriority w:val="34"/>
    <w:pPr>
      <w:ind w:firstLine="420" w:firstLineChars="200"/>
    </w:pPr>
    <w:rPr>
      <w:rFonts w:ascii="Calibri" w:hAnsi="Calibri"/>
      <w:szCs w:val="22"/>
    </w:rPr>
  </w:style>
  <w:style w:type="paragraph" w:customStyle="1" w:styleId="318">
    <w:name w:val="纯文本1"/>
    <w:basedOn w:val="1"/>
    <w:qFormat/>
    <w:uiPriority w:val="0"/>
    <w:rPr>
      <w:rFonts w:hAnsi="Courier New"/>
      <w:szCs w:val="22"/>
    </w:rPr>
  </w:style>
  <w:style w:type="paragraph" w:customStyle="1" w:styleId="319">
    <w:name w:val="正文缩进1"/>
    <w:basedOn w:val="1"/>
    <w:qFormat/>
    <w:uiPriority w:val="0"/>
    <w:pPr>
      <w:autoSpaceDE w:val="0"/>
      <w:autoSpaceDN w:val="0"/>
      <w:adjustRightInd w:val="0"/>
      <w:ind w:firstLine="420"/>
      <w:jc w:val="left"/>
    </w:pPr>
    <w:rPr>
      <w:rFonts w:hAnsi="Calibri"/>
      <w:sz w:val="24"/>
      <w:szCs w:val="22"/>
    </w:rPr>
  </w:style>
  <w:style w:type="paragraph" w:customStyle="1" w:styleId="320">
    <w:name w:val="TOC 标题1"/>
    <w:basedOn w:val="3"/>
    <w:next w:val="1"/>
    <w:unhideWhenUsed/>
    <w:qFormat/>
    <w:uiPriority w:val="39"/>
    <w:pPr>
      <w:widowControl/>
      <w:numPr>
        <w:numId w:val="0"/>
      </w:numPr>
      <w:adjustRightInd/>
      <w:spacing w:before="240" w:line="259" w:lineRule="auto"/>
      <w:jc w:val="left"/>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321">
    <w:name w:val="未处理的提及4"/>
    <w:basedOn w:val="46"/>
    <w:semiHidden/>
    <w:unhideWhenUsed/>
    <w:uiPriority w:val="99"/>
    <w:rPr>
      <w:color w:val="605E5C"/>
      <w:shd w:val="clear" w:color="auto" w:fill="E1DFDD"/>
    </w:rPr>
  </w:style>
  <w:style w:type="character" w:customStyle="1" w:styleId="322">
    <w:name w:val="标题 6 字符"/>
    <w:basedOn w:val="46"/>
    <w:link w:val="8"/>
    <w:qFormat/>
    <w:uiPriority w:val="9"/>
    <w:rPr>
      <w:rFonts w:ascii="Cambria" w:hAnsi="Cambria" w:cs="Cambria"/>
      <w:b/>
      <w:bCs/>
      <w:kern w:val="2"/>
      <w:sz w:val="24"/>
      <w:szCs w:val="24"/>
    </w:rPr>
  </w:style>
  <w:style w:type="character" w:customStyle="1" w:styleId="323">
    <w:name w:val="标题 7 字符"/>
    <w:basedOn w:val="46"/>
    <w:link w:val="9"/>
    <w:qFormat/>
    <w:uiPriority w:val="9"/>
    <w:rPr>
      <w:rFonts w:ascii="Calibri" w:hAnsi="Calibri" w:cs="Calibri"/>
      <w:b/>
      <w:bCs/>
      <w:kern w:val="2"/>
      <w:sz w:val="24"/>
      <w:szCs w:val="24"/>
    </w:rPr>
  </w:style>
  <w:style w:type="character" w:customStyle="1" w:styleId="324">
    <w:name w:val="标题 8 字符"/>
    <w:basedOn w:val="46"/>
    <w:link w:val="10"/>
    <w:qFormat/>
    <w:uiPriority w:val="9"/>
    <w:rPr>
      <w:rFonts w:ascii="Cambria" w:hAnsi="Cambria" w:cs="Cambria"/>
      <w:kern w:val="2"/>
      <w:sz w:val="24"/>
      <w:szCs w:val="24"/>
    </w:rPr>
  </w:style>
  <w:style w:type="character" w:customStyle="1" w:styleId="325">
    <w:name w:val="标题 9 字符"/>
    <w:basedOn w:val="46"/>
    <w:link w:val="11"/>
    <w:qFormat/>
    <w:uiPriority w:val="9"/>
    <w:rPr>
      <w:rFonts w:ascii="Cambria" w:hAnsi="Cambria" w:cs="Cambria"/>
      <w:kern w:val="2"/>
      <w:sz w:val="21"/>
      <w:szCs w:val="21"/>
    </w:rPr>
  </w:style>
  <w:style w:type="character" w:customStyle="1" w:styleId="326">
    <w:name w:val="标题 1 字符1"/>
    <w:qFormat/>
    <w:locked/>
    <w:uiPriority w:val="9"/>
    <w:rPr>
      <w:rFonts w:ascii="Calibri" w:hAnsi="Calibri" w:cs="Calibri"/>
      <w:b/>
      <w:bCs/>
      <w:kern w:val="44"/>
      <w:sz w:val="44"/>
      <w:szCs w:val="44"/>
    </w:rPr>
  </w:style>
  <w:style w:type="character" w:customStyle="1" w:styleId="327">
    <w:name w:val="批注文字 字符1"/>
    <w:qFormat/>
    <w:uiPriority w:val="0"/>
    <w:rPr>
      <w:rFonts w:ascii="Calibri" w:hAnsi="Calibri" w:cs="Calibri"/>
      <w:kern w:val="2"/>
      <w:sz w:val="21"/>
      <w:szCs w:val="21"/>
    </w:rPr>
  </w:style>
  <w:style w:type="character" w:customStyle="1" w:styleId="328">
    <w:name w:val="正文首行缩进1(Crlf+Shift+M) Char"/>
    <w:link w:val="329"/>
    <w:qFormat/>
    <w:uiPriority w:val="0"/>
    <w:rPr>
      <w:rFonts w:ascii="Arial" w:hAnsi="Arial"/>
      <w:kern w:val="2"/>
      <w:sz w:val="21"/>
      <w:szCs w:val="24"/>
    </w:rPr>
  </w:style>
  <w:style w:type="paragraph" w:customStyle="1" w:styleId="329">
    <w:name w:val="正文首行缩进1(Crlf+Shift+M)"/>
    <w:link w:val="328"/>
    <w:qFormat/>
    <w:uiPriority w:val="0"/>
    <w:pPr>
      <w:spacing w:before="120" w:after="120" w:line="360" w:lineRule="auto"/>
      <w:ind w:firstLine="420" w:firstLineChars="200"/>
    </w:pPr>
    <w:rPr>
      <w:rFonts w:ascii="Arial" w:hAnsi="Arial" w:eastAsia="宋体" w:cs="Times New Roman"/>
      <w:kern w:val="2"/>
      <w:sz w:val="21"/>
      <w:szCs w:val="24"/>
      <w:lang w:val="en-US" w:eastAsia="zh-CN" w:bidi="ar-SA"/>
    </w:rPr>
  </w:style>
  <w:style w:type="character" w:customStyle="1" w:styleId="330">
    <w:name w:val="正文文本 字符1"/>
    <w:qFormat/>
    <w:uiPriority w:val="0"/>
    <w:rPr>
      <w:kern w:val="2"/>
      <w:sz w:val="21"/>
      <w:szCs w:val="24"/>
    </w:rPr>
  </w:style>
  <w:style w:type="character" w:customStyle="1" w:styleId="331">
    <w:name w:val="列表段落 字符1"/>
    <w:link w:val="241"/>
    <w:qFormat/>
    <w:locked/>
    <w:uiPriority w:val="34"/>
    <w:rPr>
      <w:rFonts w:ascii="宋体" w:hAnsi="宋体"/>
      <w:kern w:val="2"/>
      <w:sz w:val="21"/>
      <w:szCs w:val="24"/>
    </w:rPr>
  </w:style>
  <w:style w:type="character" w:customStyle="1" w:styleId="332">
    <w:name w:val="正文文本缩进 字符1"/>
    <w:qFormat/>
    <w:uiPriority w:val="0"/>
    <w:rPr>
      <w:rFonts w:ascii="Calibri" w:hAnsi="Calibri" w:cs="Calibri"/>
      <w:kern w:val="2"/>
      <w:sz w:val="21"/>
      <w:szCs w:val="21"/>
    </w:rPr>
  </w:style>
  <w:style w:type="character" w:customStyle="1" w:styleId="333">
    <w:name w:val="正文文本首行缩进 2 字符2"/>
    <w:link w:val="19"/>
    <w:qFormat/>
    <w:uiPriority w:val="0"/>
    <w:rPr>
      <w:rFonts w:ascii="宋体" w:hAnsi="宋体"/>
      <w:spacing w:val="-4"/>
      <w:kern w:val="2"/>
      <w:sz w:val="18"/>
    </w:rPr>
  </w:style>
  <w:style w:type="character" w:customStyle="1" w:styleId="334">
    <w:name w:val="标题 3 字符2"/>
    <w:qFormat/>
    <w:locked/>
    <w:uiPriority w:val="9"/>
    <w:rPr>
      <w:rFonts w:ascii="Calibri" w:hAnsi="Calibri" w:cs="Calibri"/>
      <w:b/>
      <w:bCs/>
      <w:kern w:val="2"/>
      <w:sz w:val="32"/>
      <w:szCs w:val="32"/>
    </w:rPr>
  </w:style>
  <w:style w:type="character" w:customStyle="1" w:styleId="335">
    <w:name w:val="Bid_正文 Char"/>
    <w:link w:val="336"/>
    <w:qFormat/>
    <w:locked/>
    <w:uiPriority w:val="0"/>
    <w:rPr>
      <w:kern w:val="2"/>
      <w:sz w:val="24"/>
    </w:rPr>
  </w:style>
  <w:style w:type="paragraph" w:customStyle="1" w:styleId="336">
    <w:name w:val="Bid_正文"/>
    <w:basedOn w:val="14"/>
    <w:link w:val="335"/>
    <w:qFormat/>
    <w:uiPriority w:val="0"/>
    <w:pPr>
      <w:ind w:firstLine="480" w:firstLineChars="200"/>
    </w:pPr>
    <w:rPr>
      <w:rFonts w:ascii="Times New Roman" w:hAnsi="Times New Roman"/>
      <w:sz w:val="24"/>
      <w:szCs w:val="20"/>
    </w:rPr>
  </w:style>
  <w:style w:type="character" w:customStyle="1" w:styleId="337">
    <w:name w:val="文档结构图 字符1"/>
    <w:qFormat/>
    <w:uiPriority w:val="0"/>
    <w:rPr>
      <w:rFonts w:ascii="Heiti SC Light" w:hAnsi="Calibri" w:eastAsia="Heiti SC Light" w:cs="Calibri"/>
      <w:kern w:val="2"/>
      <w:sz w:val="24"/>
      <w:szCs w:val="24"/>
    </w:rPr>
  </w:style>
  <w:style w:type="character" w:customStyle="1" w:styleId="338">
    <w:name w:val="正文文本缩进 3 字符1"/>
    <w:link w:val="34"/>
    <w:qFormat/>
    <w:uiPriority w:val="0"/>
    <w:rPr>
      <w:rFonts w:ascii="宋体" w:hAnsi="宋体"/>
      <w:kern w:val="2"/>
      <w:sz w:val="24"/>
      <w:szCs w:val="24"/>
    </w:rPr>
  </w:style>
  <w:style w:type="character" w:customStyle="1" w:styleId="339">
    <w:name w:val="正文文本缩进 3 字符"/>
    <w:semiHidden/>
    <w:qFormat/>
    <w:uiPriority w:val="99"/>
    <w:rPr>
      <w:rFonts w:ascii="Calibri" w:hAnsi="Calibri" w:cs="Calibri"/>
      <w:kern w:val="2"/>
      <w:sz w:val="16"/>
      <w:szCs w:val="16"/>
    </w:rPr>
  </w:style>
  <w:style w:type="character" w:customStyle="1" w:styleId="340">
    <w:name w:val="批注框文本 字符1"/>
    <w:qFormat/>
    <w:uiPriority w:val="0"/>
    <w:rPr>
      <w:rFonts w:ascii="Calibri" w:hAnsi="Calibri" w:cs="Calibri"/>
      <w:kern w:val="2"/>
      <w:sz w:val="18"/>
      <w:szCs w:val="18"/>
    </w:rPr>
  </w:style>
  <w:style w:type="character" w:customStyle="1" w:styleId="341">
    <w:name w:val="正文文本缩进 2 字符1"/>
    <w:qFormat/>
    <w:uiPriority w:val="0"/>
    <w:rPr>
      <w:kern w:val="2"/>
      <w:sz w:val="21"/>
      <w:szCs w:val="24"/>
    </w:rPr>
  </w:style>
  <w:style w:type="character" w:customStyle="1" w:styleId="342">
    <w:name w:val="标题 2 字符1"/>
    <w:qFormat/>
    <w:locked/>
    <w:uiPriority w:val="0"/>
    <w:rPr>
      <w:rFonts w:ascii="Cambria" w:hAnsi="Cambria" w:cs="Cambria"/>
      <w:kern w:val="2"/>
      <w:sz w:val="32"/>
      <w:szCs w:val="32"/>
    </w:rPr>
  </w:style>
  <w:style w:type="character" w:customStyle="1" w:styleId="343">
    <w:name w:val="页眉 字符1"/>
    <w:qFormat/>
    <w:uiPriority w:val="0"/>
    <w:rPr>
      <w:rFonts w:ascii="Calibri" w:hAnsi="Calibri" w:cs="Calibri"/>
      <w:kern w:val="2"/>
      <w:sz w:val="18"/>
      <w:szCs w:val="18"/>
    </w:rPr>
  </w:style>
  <w:style w:type="character" w:customStyle="1" w:styleId="344">
    <w:name w:val="标题 3 字符1"/>
    <w:qFormat/>
    <w:locked/>
    <w:uiPriority w:val="9"/>
    <w:rPr>
      <w:rFonts w:ascii="Calibri" w:hAnsi="Calibri" w:cs="Calibri"/>
      <w:kern w:val="2"/>
      <w:sz w:val="32"/>
      <w:szCs w:val="32"/>
    </w:rPr>
  </w:style>
  <w:style w:type="character" w:customStyle="1" w:styleId="345">
    <w:name w:val="批注主题 字符1"/>
    <w:qFormat/>
    <w:uiPriority w:val="0"/>
    <w:rPr>
      <w:rFonts w:ascii="Calibri" w:hAnsi="Calibri" w:cs="Calibri"/>
      <w:kern w:val="2"/>
      <w:sz w:val="21"/>
      <w:szCs w:val="21"/>
    </w:rPr>
  </w:style>
  <w:style w:type="character" w:customStyle="1" w:styleId="346">
    <w:name w:val="副标题 字符1"/>
    <w:qFormat/>
    <w:uiPriority w:val="0"/>
    <w:rPr>
      <w:rFonts w:ascii="Calibri Light" w:hAnsi="Calibri Light"/>
      <w:kern w:val="28"/>
      <w:sz w:val="32"/>
      <w:szCs w:val="32"/>
    </w:rPr>
  </w:style>
  <w:style w:type="character" w:customStyle="1" w:styleId="347">
    <w:name w:val="正文文本首行缩进 2 字符"/>
    <w:semiHidden/>
    <w:qFormat/>
    <w:uiPriority w:val="99"/>
    <w:rPr>
      <w:rFonts w:ascii="Calibri" w:hAnsi="Calibri" w:cs="Calibri"/>
      <w:kern w:val="2"/>
      <w:sz w:val="21"/>
      <w:szCs w:val="21"/>
    </w:rPr>
  </w:style>
  <w:style w:type="character" w:customStyle="1" w:styleId="348">
    <w:name w:val="正文文本首行缩进 2 字符1"/>
    <w:semiHidden/>
    <w:qFormat/>
    <w:uiPriority w:val="99"/>
  </w:style>
  <w:style w:type="character" w:customStyle="1" w:styleId="349">
    <w:name w:val="批注文字 Char"/>
    <w:qFormat/>
    <w:uiPriority w:val="0"/>
    <w:rPr>
      <w:rFonts w:ascii="Calibri" w:hAnsi="Calibri" w:cs="Calibri"/>
      <w:kern w:val="2"/>
      <w:sz w:val="21"/>
      <w:szCs w:val="21"/>
    </w:rPr>
  </w:style>
  <w:style w:type="paragraph" w:customStyle="1" w:styleId="3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1">
    <w:name w:val="自标02"/>
    <w:basedOn w:val="4"/>
    <w:next w:val="1"/>
    <w:qFormat/>
    <w:uiPriority w:val="0"/>
    <w:pPr>
      <w:keepLines/>
      <w:numPr>
        <w:numId w:val="6"/>
      </w:numPr>
      <w:tabs>
        <w:tab w:val="clear" w:pos="596"/>
      </w:tabs>
      <w:adjustRightInd/>
      <w:spacing w:before="50" w:beforeLines="50" w:after="50" w:afterLines="50"/>
      <w:textAlignment w:val="auto"/>
    </w:pPr>
    <w:rPr>
      <w:rFonts w:eastAsia="宋体" w:cs="Times New Roman (标题 CS)"/>
      <w:bCs/>
      <w:kern w:val="2"/>
      <w:sz w:val="30"/>
      <w:szCs w:val="32"/>
    </w:rPr>
  </w:style>
  <w:style w:type="paragraph" w:customStyle="1" w:styleId="352">
    <w:name w:val="彩色列表 - 着色 11"/>
    <w:basedOn w:val="1"/>
    <w:qFormat/>
    <w:uiPriority w:val="34"/>
    <w:pPr>
      <w:spacing w:line="240" w:lineRule="auto"/>
      <w:ind w:firstLine="420" w:firstLineChars="200"/>
    </w:pPr>
    <w:rPr>
      <w:rFonts w:ascii="Calibri" w:hAnsi="Calibri" w:cs="Calibri"/>
      <w:szCs w:val="21"/>
    </w:rPr>
  </w:style>
  <w:style w:type="paragraph" w:customStyle="1" w:styleId="353">
    <w:name w:val="中等深浅网格 1 - 着色 21"/>
    <w:basedOn w:val="1"/>
    <w:qFormat/>
    <w:uiPriority w:val="34"/>
    <w:pPr>
      <w:widowControl/>
      <w:spacing w:before="200" w:after="200" w:line="276" w:lineRule="auto"/>
      <w:ind w:left="720"/>
      <w:contextualSpacing/>
      <w:jc w:val="left"/>
    </w:pPr>
    <w:rPr>
      <w:rFonts w:ascii="Calibri" w:hAnsi="Calibri"/>
      <w:kern w:val="0"/>
      <w:sz w:val="20"/>
      <w:szCs w:val="20"/>
    </w:rPr>
  </w:style>
  <w:style w:type="paragraph" w:customStyle="1" w:styleId="354">
    <w:name w:val="列表段落11"/>
    <w:basedOn w:val="1"/>
    <w:qFormat/>
    <w:uiPriority w:val="0"/>
    <w:pPr>
      <w:spacing w:line="240" w:lineRule="auto"/>
      <w:ind w:firstLine="420" w:firstLineChars="200"/>
    </w:pPr>
    <w:rPr>
      <w:rFonts w:ascii="Calibri" w:hAnsi="Calibri" w:cs="Calibri"/>
      <w:szCs w:val="21"/>
    </w:rPr>
  </w:style>
  <w:style w:type="paragraph" w:customStyle="1" w:styleId="355">
    <w:name w:val="自标01"/>
    <w:basedOn w:val="3"/>
    <w:next w:val="1"/>
    <w:qFormat/>
    <w:uiPriority w:val="0"/>
    <w:pPr>
      <w:numPr>
        <w:ilvl w:val="0"/>
        <w:numId w:val="6"/>
      </w:numPr>
      <w:tabs>
        <w:tab w:val="left" w:pos="432"/>
      </w:tabs>
      <w:adjustRightInd/>
      <w:spacing w:before="211" w:beforeLines="50" w:after="211" w:afterLines="50"/>
      <w:ind w:left="0" w:firstLine="0"/>
      <w:textAlignment w:val="auto"/>
    </w:pPr>
    <w:rPr>
      <w:rFonts w:eastAsia="宋体" w:cs="Times New Roman (正文 CS 字体)"/>
      <w:bCs/>
      <w:sz w:val="32"/>
      <w:szCs w:val="44"/>
    </w:rPr>
  </w:style>
  <w:style w:type="paragraph" w:customStyle="1" w:styleId="356">
    <w:name w:val="正文首行缩进两字符"/>
    <w:basedOn w:val="1"/>
    <w:qFormat/>
    <w:uiPriority w:val="99"/>
    <w:pPr>
      <w:ind w:firstLine="200" w:firstLineChars="200"/>
    </w:pPr>
    <w:rPr>
      <w:rFonts w:ascii="Times New Roman" w:hAnsi="Times New Roman"/>
    </w:rPr>
  </w:style>
  <w:style w:type="paragraph" w:customStyle="1" w:styleId="357">
    <w:name w:val="自标03"/>
    <w:basedOn w:val="5"/>
    <w:next w:val="1"/>
    <w:qFormat/>
    <w:uiPriority w:val="0"/>
    <w:pPr>
      <w:keepNext/>
      <w:keepLines/>
      <w:numPr>
        <w:numId w:val="6"/>
      </w:numPr>
      <w:tabs>
        <w:tab w:val="clear" w:pos="900"/>
        <w:tab w:val="clear" w:pos="1588"/>
      </w:tabs>
      <w:adjustRightInd/>
      <w:spacing w:before="50" w:beforeLines="50" w:after="50" w:afterLines="50"/>
      <w:textAlignment w:val="auto"/>
    </w:pPr>
    <w:rPr>
      <w:rFonts w:eastAsia="宋体" w:cs="Times New Roman (正文 CS 字体)"/>
      <w:bCs/>
      <w:kern w:val="2"/>
      <w:szCs w:val="32"/>
    </w:rPr>
  </w:style>
  <w:style w:type="paragraph" w:customStyle="1" w:styleId="358">
    <w:name w:val="自标07"/>
    <w:basedOn w:val="359"/>
    <w:next w:val="1"/>
    <w:qFormat/>
    <w:uiPriority w:val="0"/>
    <w:pPr>
      <w:numPr>
        <w:ilvl w:val="6"/>
      </w:numPr>
      <w:tabs>
        <w:tab w:val="left" w:pos="360"/>
        <w:tab w:val="left" w:pos="1152"/>
      </w:tabs>
      <w:ind w:left="0" w:firstLine="0"/>
      <w:outlineLvl w:val="6"/>
    </w:pPr>
  </w:style>
  <w:style w:type="paragraph" w:customStyle="1" w:styleId="359">
    <w:name w:val="自标06"/>
    <w:basedOn w:val="8"/>
    <w:next w:val="1"/>
    <w:qFormat/>
    <w:uiPriority w:val="0"/>
    <w:pPr>
      <w:numPr>
        <w:ilvl w:val="5"/>
        <w:numId w:val="6"/>
      </w:numPr>
      <w:tabs>
        <w:tab w:val="left" w:pos="360"/>
      </w:tabs>
      <w:spacing w:before="50" w:beforeLines="50" w:after="50" w:afterLines="50" w:line="240" w:lineRule="auto"/>
    </w:pPr>
    <w:rPr>
      <w:rFonts w:ascii="宋体" w:hAnsi="等线 Light" w:cs="Times New Roman (标题 CS)"/>
    </w:rPr>
  </w:style>
  <w:style w:type="paragraph" w:customStyle="1" w:styleId="360">
    <w:name w:val="自标04"/>
    <w:basedOn w:val="6"/>
    <w:next w:val="1"/>
    <w:qFormat/>
    <w:uiPriority w:val="0"/>
    <w:pPr>
      <w:keepNext/>
      <w:keepLines/>
      <w:numPr>
        <w:numId w:val="6"/>
      </w:numPr>
      <w:tabs>
        <w:tab w:val="left" w:pos="360"/>
        <w:tab w:val="left" w:pos="432"/>
        <w:tab w:val="left" w:pos="864"/>
        <w:tab w:val="clear" w:pos="2155"/>
      </w:tabs>
      <w:adjustRightInd/>
      <w:spacing w:before="50" w:beforeLines="50" w:after="50" w:afterLines="50" w:line="240" w:lineRule="auto"/>
      <w:textAlignment w:val="auto"/>
    </w:pPr>
    <w:rPr>
      <w:rFonts w:ascii="宋体" w:hAnsi="等线 Light" w:eastAsia="宋体" w:cs="Times New Roman (标题 CS)"/>
      <w:b/>
      <w:bCs/>
      <w:kern w:val="2"/>
      <w:szCs w:val="28"/>
    </w:rPr>
  </w:style>
  <w:style w:type="paragraph" w:customStyle="1" w:styleId="361">
    <w:name w:val="自标05"/>
    <w:basedOn w:val="7"/>
    <w:next w:val="1"/>
    <w:qFormat/>
    <w:uiPriority w:val="0"/>
    <w:pPr>
      <w:numPr>
        <w:numId w:val="6"/>
      </w:numPr>
      <w:tabs>
        <w:tab w:val="left" w:pos="360"/>
        <w:tab w:val="left" w:pos="432"/>
        <w:tab w:val="left" w:pos="1008"/>
      </w:tabs>
      <w:adjustRightInd/>
      <w:spacing w:before="50" w:beforeLines="50" w:after="50" w:afterLines="50" w:line="240" w:lineRule="auto"/>
      <w:textAlignment w:val="auto"/>
    </w:pPr>
    <w:rPr>
      <w:rFonts w:hAnsi="等线" w:cs="Times New Roman (正文 CS 字体)"/>
      <w:bCs/>
      <w:kern w:val="2"/>
      <w:sz w:val="24"/>
      <w:szCs w:val="28"/>
    </w:rPr>
  </w:style>
  <w:style w:type="paragraph" w:customStyle="1" w:styleId="362">
    <w:name w:val="自正01"/>
    <w:basedOn w:val="1"/>
    <w:qFormat/>
    <w:uiPriority w:val="0"/>
    <w:pPr>
      <w:ind w:firstLine="200" w:firstLineChars="200"/>
    </w:pPr>
    <w:rPr>
      <w:rFonts w:cs="微软雅黑"/>
      <w:sz w:val="24"/>
    </w:rPr>
  </w:style>
  <w:style w:type="paragraph" w:customStyle="1" w:styleId="363">
    <w:name w:val="_正文"/>
    <w:qFormat/>
    <w:uiPriority w:val="0"/>
    <w:pPr>
      <w:widowControl w:val="0"/>
      <w:spacing w:line="360" w:lineRule="auto"/>
      <w:jc w:val="both"/>
    </w:pPr>
    <w:rPr>
      <w:rFonts w:ascii="宋体" w:hAnsi="宋体" w:eastAsia="宋体" w:cs="宋体"/>
      <w:bCs/>
      <w:kern w:val="2"/>
      <w:sz w:val="21"/>
      <w:szCs w:val="36"/>
      <w:lang w:val="en-US" w:eastAsia="zh-CN" w:bidi="ar-SA"/>
    </w:rPr>
  </w:style>
  <w:style w:type="paragraph" w:customStyle="1" w:styleId="364">
    <w:name w:val="WPSOffice手动目录 1"/>
    <w:qFormat/>
    <w:uiPriority w:val="0"/>
    <w:rPr>
      <w:rFonts w:ascii="Times New Roman" w:hAnsi="Times New Roman" w:eastAsia="宋体" w:cs="Times New Roman"/>
      <w:lang w:val="en-US" w:eastAsia="zh-CN" w:bidi="ar-SA"/>
    </w:rPr>
  </w:style>
  <w:style w:type="table" w:customStyle="1" w:styleId="365">
    <w:name w:val="Table Normal"/>
    <w:unhideWhenUsed/>
    <w:qFormat/>
    <w:uiPriority w:val="0"/>
    <w:tblPr>
      <w:tblCellMar>
        <w:top w:w="0" w:type="dxa"/>
        <w:left w:w="0" w:type="dxa"/>
        <w:bottom w:w="0" w:type="dxa"/>
        <w:right w:w="0" w:type="dxa"/>
      </w:tblCellMar>
    </w:tblPr>
  </w:style>
  <w:style w:type="table" w:customStyle="1" w:styleId="366">
    <w:name w:val="_Style 32"/>
    <w:basedOn w:val="44"/>
    <w:qFormat/>
    <w:uiPriority w:val="0"/>
    <w:rPr>
      <w:rFonts w:ascii="Calibri" w:hAnsi="Calibri" w:eastAsia="等线" w:cs="Calibri"/>
    </w:rPr>
    <w:tblPr>
      <w:tblCellMar>
        <w:left w:w="115" w:type="dxa"/>
        <w:right w:w="115" w:type="dxa"/>
      </w:tblCellMar>
    </w:tblPr>
  </w:style>
  <w:style w:type="table" w:customStyle="1" w:styleId="367">
    <w:name w:val="网格型1"/>
    <w:basedOn w:val="44"/>
    <w:qFormat/>
    <w:uiPriority w:val="0"/>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8">
    <w:name w:val="font11"/>
    <w:basedOn w:val="46"/>
    <w:qFormat/>
    <w:uiPriority w:val="0"/>
    <w:rPr>
      <w:rFonts w:hint="eastAsia" w:ascii="宋体" w:hAnsi="宋体" w:eastAsia="宋体" w:cs="宋体"/>
      <w:color w:val="000000"/>
      <w:sz w:val="22"/>
      <w:szCs w:val="22"/>
      <w:u w:val="none"/>
    </w:rPr>
  </w:style>
  <w:style w:type="character" w:customStyle="1" w:styleId="369">
    <w:name w:val="Unresolved Mention"/>
    <w:basedOn w:val="46"/>
    <w:semiHidden/>
    <w:unhideWhenUsed/>
    <w:qFormat/>
    <w:uiPriority w:val="99"/>
    <w:rPr>
      <w:color w:val="605E5C"/>
      <w:shd w:val="clear" w:color="auto" w:fill="E1DFDD"/>
    </w:rPr>
  </w:style>
  <w:style w:type="paragraph" w:customStyle="1" w:styleId="370">
    <w:name w:val="引用1"/>
    <w:basedOn w:val="1"/>
    <w:next w:val="1"/>
    <w:qFormat/>
    <w:uiPriority w:val="29"/>
    <w:pPr>
      <w:spacing w:before="160" w:after="160" w:line="278" w:lineRule="auto"/>
      <w:jc w:val="center"/>
    </w:pPr>
    <w:rPr>
      <w:rFonts w:ascii="等线" w:hAnsi="等线" w:eastAsia="等线"/>
      <w:i/>
      <w:iCs/>
      <w:color w:val="404040"/>
      <w:sz w:val="22"/>
      <w14:ligatures w14:val="standardContextual"/>
    </w:rPr>
  </w:style>
  <w:style w:type="character" w:customStyle="1" w:styleId="371">
    <w:name w:val="引用 字符"/>
    <w:basedOn w:val="46"/>
    <w:link w:val="372"/>
    <w:qFormat/>
    <w:uiPriority w:val="29"/>
    <w:rPr>
      <w:i/>
      <w:iCs/>
      <w:color w:val="404040"/>
    </w:rPr>
  </w:style>
  <w:style w:type="paragraph" w:styleId="372">
    <w:name w:val="Quote"/>
    <w:basedOn w:val="1"/>
    <w:next w:val="1"/>
    <w:link w:val="371"/>
    <w:unhideWhenUsed/>
    <w:qFormat/>
    <w:uiPriority w:val="29"/>
    <w:pPr>
      <w:spacing w:before="200" w:after="160"/>
      <w:ind w:left="864" w:right="864"/>
      <w:jc w:val="center"/>
    </w:pPr>
    <w:rPr>
      <w:rFonts w:ascii="Times New Roman" w:hAnsi="Times New Roman"/>
      <w:i/>
      <w:iCs/>
      <w:color w:val="404040"/>
      <w:kern w:val="0"/>
      <w:sz w:val="20"/>
      <w:szCs w:val="20"/>
    </w:rPr>
  </w:style>
  <w:style w:type="character" w:customStyle="1" w:styleId="373">
    <w:name w:val="明显强调1"/>
    <w:basedOn w:val="46"/>
    <w:qFormat/>
    <w:uiPriority w:val="21"/>
    <w:rPr>
      <w:i/>
      <w:iCs/>
      <w:color w:val="0F4761"/>
    </w:rPr>
  </w:style>
  <w:style w:type="paragraph" w:customStyle="1" w:styleId="374">
    <w:name w:val="明显引用1"/>
    <w:basedOn w:val="1"/>
    <w:next w:val="1"/>
    <w:qFormat/>
    <w:uiPriority w:val="30"/>
    <w:pPr>
      <w:pBdr>
        <w:top w:val="single" w:color="0F4761" w:sz="4" w:space="10"/>
        <w:bottom w:val="single" w:color="0F4761" w:sz="4" w:space="10"/>
      </w:pBdr>
      <w:spacing w:before="360" w:after="360" w:line="278" w:lineRule="auto"/>
      <w:ind w:left="864" w:right="864"/>
      <w:jc w:val="center"/>
    </w:pPr>
    <w:rPr>
      <w:rFonts w:ascii="等线" w:hAnsi="等线" w:eastAsia="等线"/>
      <w:i/>
      <w:iCs/>
      <w:color w:val="0F4761"/>
      <w:sz w:val="22"/>
      <w14:ligatures w14:val="standardContextual"/>
    </w:rPr>
  </w:style>
  <w:style w:type="character" w:customStyle="1" w:styleId="375">
    <w:name w:val="明显引用 字符"/>
    <w:basedOn w:val="46"/>
    <w:link w:val="376"/>
    <w:qFormat/>
    <w:uiPriority w:val="30"/>
    <w:rPr>
      <w:i/>
      <w:iCs/>
      <w:color w:val="0F4761"/>
    </w:rPr>
  </w:style>
  <w:style w:type="paragraph" w:styleId="376">
    <w:name w:val="Intense Quote"/>
    <w:basedOn w:val="1"/>
    <w:next w:val="1"/>
    <w:link w:val="375"/>
    <w:unhideWhenUsed/>
    <w:qFormat/>
    <w:uiPriority w:val="30"/>
    <w:pPr>
      <w:pBdr>
        <w:top w:val="single" w:color="4F81BD" w:themeColor="accent1" w:sz="4" w:space="10"/>
        <w:bottom w:val="single" w:color="4F81BD" w:themeColor="accent1" w:sz="4" w:space="10"/>
      </w:pBdr>
      <w:spacing w:before="360" w:after="360"/>
      <w:ind w:left="864" w:right="864"/>
      <w:jc w:val="center"/>
    </w:pPr>
    <w:rPr>
      <w:rFonts w:ascii="Times New Roman" w:hAnsi="Times New Roman"/>
      <w:i/>
      <w:iCs/>
      <w:color w:val="0F4761"/>
      <w:kern w:val="0"/>
      <w:sz w:val="20"/>
      <w:szCs w:val="20"/>
    </w:rPr>
  </w:style>
  <w:style w:type="character" w:customStyle="1" w:styleId="377">
    <w:name w:val="明显参考1"/>
    <w:basedOn w:val="46"/>
    <w:qFormat/>
    <w:uiPriority w:val="32"/>
    <w:rPr>
      <w:b/>
      <w:bCs/>
      <w:smallCaps/>
      <w:color w:val="0F4761"/>
      <w:spacing w:val="5"/>
    </w:rPr>
  </w:style>
  <w:style w:type="character" w:customStyle="1" w:styleId="378">
    <w:name w:val="引用 字符1"/>
    <w:basedOn w:val="46"/>
    <w:qFormat/>
    <w:uiPriority w:val="99"/>
    <w:rPr>
      <w:rFonts w:ascii="宋体" w:hAnsi="宋体"/>
      <w:i/>
      <w:iCs/>
      <w:color w:val="404040" w:themeColor="text1" w:themeTint="BF"/>
      <w:kern w:val="2"/>
      <w:sz w:val="21"/>
      <w:szCs w:val="24"/>
      <w14:textFill>
        <w14:solidFill>
          <w14:schemeClr w14:val="tx1">
            <w14:lumMod w14:val="75000"/>
            <w14:lumOff w14:val="25000"/>
          </w14:schemeClr>
        </w14:solidFill>
      </w14:textFill>
    </w:rPr>
  </w:style>
  <w:style w:type="character" w:customStyle="1" w:styleId="379">
    <w:name w:val="明显引用 字符1"/>
    <w:basedOn w:val="46"/>
    <w:qFormat/>
    <w:uiPriority w:val="99"/>
    <w:rPr>
      <w:rFonts w:ascii="宋体" w:hAnsi="宋体"/>
      <w:i/>
      <w:iCs/>
      <w:color w:val="4F81BD" w:themeColor="accent1"/>
      <w:kern w:val="2"/>
      <w:sz w:val="21"/>
      <w:szCs w:val="24"/>
      <w14:textFill>
        <w14:solidFill>
          <w14:schemeClr w14:val="accent1"/>
        </w14:solidFill>
      </w14:textFill>
    </w:rPr>
  </w:style>
  <w:style w:type="character" w:customStyle="1" w:styleId="380">
    <w:name w:val="HTML 预设格式 字符"/>
    <w:basedOn w:val="46"/>
    <w:link w:val="38"/>
    <w:qFormat/>
    <w:uiPriority w:val="99"/>
    <w:rPr>
      <w:rFonts w:ascii="宋体" w:hAnsi="宋体" w:cs="宋体"/>
      <w:sz w:val="24"/>
      <w:szCs w:val="24"/>
    </w:rPr>
  </w:style>
  <w:style w:type="character" w:customStyle="1" w:styleId="381">
    <w:name w:val="正文文本首行缩进 字符"/>
    <w:basedOn w:val="289"/>
    <w:link w:val="43"/>
    <w:qFormat/>
    <w:uiPriority w:val="0"/>
    <w:rPr>
      <w:rFonts w:ascii="金山简黑体" w:hAnsi="金山简黑体"/>
      <w:spacing w:val="-8"/>
      <w:kern w:val="2"/>
      <w:sz w:val="21"/>
    </w:rPr>
  </w:style>
  <w:style w:type="character" w:customStyle="1" w:styleId="382">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4A36-CFED-4F3F-8C70-1458053DD2B5}">
  <ds:schemaRefs/>
</ds:datastoreItem>
</file>

<file path=docProps/app.xml><?xml version="1.0" encoding="utf-8"?>
<Properties xmlns="http://schemas.openxmlformats.org/officeDocument/2006/extended-properties" xmlns:vt="http://schemas.openxmlformats.org/officeDocument/2006/docPropsVTypes">
  <Template>Normal.dotm</Template>
  <Company>云南招标股份有限公司</Company>
  <Pages>123</Pages>
  <Words>14075</Words>
  <Characters>15617</Characters>
  <Lines>546</Lines>
  <Paragraphs>153</Paragraphs>
  <TotalTime>0</TotalTime>
  <ScaleCrop>false</ScaleCrop>
  <LinksUpToDate>false</LinksUpToDate>
  <CharactersWithSpaces>15760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2023-04-28T03:19:00Z</dcterms:created>
  <dc:creator>云南招标股份有限公司</dc:creator>
  <cp:lastModifiedBy>哔哩哩</cp:lastModifiedBy>
  <cp:lastPrinted>2022-07-11T03:36:00Z</cp:lastPrinted>
  <dcterms:modified xsi:type="dcterms:W3CDTF">2026-05-21T06:34:26Z</dcterms:modified>
  <dc:title>政府采购招标文件</dc:title>
  <cp:revision>2584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0C3A149E61E64C078D76F677ABCC30E4_13</vt:lpwstr>
  </property>
  <property fmtid="{D5CDD505-2E9C-101B-9397-08002B2CF9AE}" pid="3" name="KSOProductBuildVer">
    <vt:lpwstr>2052-12.1.0.26375</vt:lpwstr>
  </property>
  <property fmtid="{D5CDD505-2E9C-101B-9397-08002B2CF9AE}" pid="4" name="commondata">
    <vt:lpwstr>eyJoZGlkIjoiOTRlZDU2NDdjZWE2ZTM4NmE3NjY0YWUzM2NhMzVhOGMifQ==</vt:lpwstr>
  </property>
  <property fmtid="{D5CDD505-2E9C-101B-9397-08002B2CF9AE}" pid="5" name="KSOTemplateDocerSaveRecord">
    <vt:lpwstr>eyJoZGlkIjoiNWM3ZTg3ZTk5ZWUyNDVhZTc3NzA5MjkxYzUzYjU2NTIiLCJ1c2VySWQiOiI0MDc0NzkxMjgifQ==</vt:lpwstr>
  </property>
</Properties>
</file>