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A5307">
      <w:pPr>
        <w:pStyle w:val="13"/>
        <w:rPr>
          <w:rFonts w:hint="eastAsia" w:ascii="宋体" w:hAnsi="宋体" w:eastAsia="宋体" w:cs="宋体"/>
          <w:color w:val="auto"/>
          <w:highlight w:val="none"/>
          <w:lang w:eastAsia="zh-CN"/>
        </w:rPr>
      </w:pPr>
      <w:r>
        <w:rPr>
          <w:rFonts w:hint="eastAsia" w:ascii="宋体" w:hAnsi="宋体" w:cs="宋体"/>
          <w:color w:val="auto"/>
          <w:sz w:val="28"/>
          <w:szCs w:val="28"/>
          <w:highlight w:val="none"/>
        </w:rPr>
        <w:t xml:space="preserve">   </w:t>
      </w:r>
      <w:r>
        <w:rPr>
          <w:rFonts w:hint="eastAsia" w:ascii="宋体" w:hAnsi="宋体" w:cs="宋体"/>
          <w:color w:val="auto"/>
          <w:sz w:val="44"/>
          <w:szCs w:val="44"/>
          <w:highlight w:val="none"/>
        </w:rPr>
        <w:drawing>
          <wp:inline distT="0" distB="0" distL="114300" distR="114300">
            <wp:extent cx="860425" cy="920750"/>
            <wp:effectExtent l="0" t="0" r="15875" b="12700"/>
            <wp:docPr id="3" name="图片 2"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透明logo"/>
                    <pic:cNvPicPr>
                      <a:picLocks noChangeAspect="1"/>
                    </pic:cNvPicPr>
                  </pic:nvPicPr>
                  <pic:blipFill>
                    <a:blip r:embed="rId25"/>
                    <a:stretch>
                      <a:fillRect/>
                    </a:stretch>
                  </pic:blipFill>
                  <pic:spPr>
                    <a:xfrm>
                      <a:off x="0" y="0"/>
                      <a:ext cx="860425" cy="920750"/>
                    </a:xfrm>
                    <a:prstGeom prst="rect">
                      <a:avLst/>
                    </a:prstGeom>
                    <a:noFill/>
                    <a:ln>
                      <a:noFill/>
                    </a:ln>
                  </pic:spPr>
                </pic:pic>
              </a:graphicData>
            </a:graphic>
          </wp:inline>
        </w:drawing>
      </w:r>
      <w:r>
        <w:rPr>
          <w:rFonts w:hint="eastAsia" w:ascii="宋体" w:hAnsi="宋体" w:cs="宋体"/>
          <w:color w:val="auto"/>
          <w:sz w:val="28"/>
          <w:szCs w:val="28"/>
          <w:highlight w:val="none"/>
        </w:rPr>
        <w:t xml:space="preserve">                       </w:t>
      </w:r>
      <w:r>
        <w:rPr>
          <w:rFonts w:hint="eastAsia" w:ascii="宋体" w:hAnsi="宋体" w:cs="宋体"/>
          <w:b/>
          <w:bCs/>
          <w:color w:val="auto"/>
          <w:sz w:val="24"/>
          <w:highlight w:val="none"/>
        </w:rPr>
        <w:t>招标编号：</w:t>
      </w:r>
      <w:r>
        <w:rPr>
          <w:rFonts w:hint="eastAsia" w:ascii="宋体" w:hAnsi="宋体" w:cs="宋体"/>
          <w:b/>
          <w:bCs/>
          <w:color w:val="auto"/>
          <w:sz w:val="24"/>
          <w:highlight w:val="none"/>
          <w:lang w:eastAsia="zh-CN"/>
        </w:rPr>
        <w:t>YNZC2026-G1-02563-YYZX-0230</w:t>
      </w:r>
    </w:p>
    <w:p w14:paraId="2B7499CD">
      <w:pPr>
        <w:rPr>
          <w:rFonts w:hint="eastAsia" w:ascii="宋体" w:hAnsi="宋体" w:cs="宋体"/>
          <w:color w:val="auto"/>
          <w:sz w:val="44"/>
          <w:szCs w:val="44"/>
          <w:highlight w:val="none"/>
        </w:rPr>
      </w:pPr>
      <w:r>
        <w:rPr>
          <w:rFonts w:hint="eastAsia" w:ascii="宋体" w:hAnsi="宋体" w:cs="宋体"/>
          <w:color w:val="auto"/>
          <w:sz w:val="44"/>
          <w:szCs w:val="44"/>
          <w:highlight w:val="none"/>
        </w:rPr>
        <w:t xml:space="preserve">                         </w:t>
      </w:r>
    </w:p>
    <w:p w14:paraId="1E106722">
      <w:pPr>
        <w:jc w:val="center"/>
        <w:rPr>
          <w:rFonts w:hint="eastAsia" w:ascii="宋体" w:hAnsi="宋体" w:cs="宋体"/>
          <w:b/>
          <w:bCs/>
          <w:color w:val="auto"/>
          <w:sz w:val="48"/>
          <w:szCs w:val="48"/>
          <w:highlight w:val="none"/>
          <w:u w:val="single"/>
        </w:rPr>
      </w:pPr>
    </w:p>
    <w:p w14:paraId="5B5CF671">
      <w:pPr>
        <w:jc w:val="center"/>
        <w:rPr>
          <w:rFonts w:hint="eastAsia" w:ascii="宋体" w:hAnsi="宋体" w:eastAsia="宋体" w:cs="宋体"/>
          <w:b/>
          <w:bCs/>
          <w:color w:val="auto"/>
          <w:sz w:val="40"/>
          <w:szCs w:val="40"/>
          <w:highlight w:val="none"/>
          <w:lang w:eastAsia="zh-CN"/>
        </w:rPr>
      </w:pPr>
      <w:r>
        <w:rPr>
          <w:rFonts w:hint="eastAsia" w:ascii="宋体" w:hAnsi="宋体" w:cs="宋体"/>
          <w:b/>
          <w:bCs/>
          <w:color w:val="auto"/>
          <w:sz w:val="36"/>
          <w:szCs w:val="36"/>
          <w:highlight w:val="none"/>
          <w:lang w:eastAsia="zh-CN"/>
        </w:rPr>
        <w:t>昆明医科大学第二附属医院高质量发展重点医疗设备更新项目-超声内镜系统</w:t>
      </w:r>
    </w:p>
    <w:p w14:paraId="69D2F6BB">
      <w:pPr>
        <w:jc w:val="center"/>
        <w:rPr>
          <w:rFonts w:hint="eastAsia" w:ascii="宋体" w:hAnsi="宋体" w:cs="宋体"/>
          <w:color w:val="auto"/>
          <w:sz w:val="28"/>
          <w:szCs w:val="28"/>
          <w:highlight w:val="none"/>
        </w:rPr>
      </w:pPr>
      <w:r>
        <w:rPr>
          <w:rFonts w:hint="eastAsia" w:ascii="宋体" w:hAnsi="宋体" w:cs="宋体"/>
          <w:b/>
          <w:bCs/>
          <w:color w:val="auto"/>
          <w:sz w:val="30"/>
          <w:szCs w:val="30"/>
          <w:highlight w:val="none"/>
        </w:rPr>
        <w:t>（代理公司自有编号：YDC</w:t>
      </w:r>
      <w:bookmarkStart w:id="428" w:name="_GoBack"/>
      <w:bookmarkEnd w:id="428"/>
      <w:r>
        <w:rPr>
          <w:rFonts w:hint="eastAsia" w:ascii="宋体" w:hAnsi="宋体" w:cs="宋体"/>
          <w:b/>
          <w:bCs/>
          <w:color w:val="auto"/>
          <w:sz w:val="30"/>
          <w:szCs w:val="30"/>
          <w:highlight w:val="none"/>
        </w:rPr>
        <w:t>OH</w:t>
      </w:r>
      <w:r>
        <w:rPr>
          <w:rFonts w:hint="eastAsia" w:ascii="宋体" w:hAnsi="宋体" w:cs="宋体"/>
          <w:b/>
          <w:bCs/>
          <w:color w:val="auto"/>
          <w:sz w:val="30"/>
          <w:szCs w:val="30"/>
          <w:highlight w:val="none"/>
          <w:lang w:eastAsia="zh-CN"/>
        </w:rPr>
        <w:t>20260730</w:t>
      </w:r>
      <w:r>
        <w:rPr>
          <w:rFonts w:hint="eastAsia" w:ascii="宋体" w:hAnsi="宋体" w:cs="宋体"/>
          <w:b/>
          <w:bCs/>
          <w:color w:val="auto"/>
          <w:sz w:val="30"/>
          <w:szCs w:val="30"/>
          <w:highlight w:val="none"/>
        </w:rPr>
        <w:t>）</w:t>
      </w:r>
    </w:p>
    <w:p w14:paraId="70282D10">
      <w:pPr>
        <w:pStyle w:val="13"/>
        <w:rPr>
          <w:rFonts w:hint="eastAsia" w:ascii="宋体" w:hAnsi="宋体" w:cs="宋体"/>
          <w:color w:val="auto"/>
          <w:sz w:val="28"/>
          <w:szCs w:val="28"/>
          <w:highlight w:val="none"/>
        </w:rPr>
      </w:pPr>
    </w:p>
    <w:p w14:paraId="5945A1FC">
      <w:pPr>
        <w:pStyle w:val="13"/>
        <w:rPr>
          <w:rFonts w:hint="eastAsia" w:ascii="宋体" w:hAnsi="宋体" w:cs="宋体"/>
          <w:color w:val="auto"/>
          <w:sz w:val="28"/>
          <w:szCs w:val="28"/>
          <w:highlight w:val="none"/>
        </w:rPr>
      </w:pPr>
    </w:p>
    <w:p w14:paraId="4496BF0C">
      <w:pPr>
        <w:pStyle w:val="13"/>
        <w:rPr>
          <w:rFonts w:hint="eastAsia" w:ascii="宋体" w:hAnsi="宋体" w:cs="宋体"/>
          <w:color w:val="auto"/>
          <w:sz w:val="28"/>
          <w:szCs w:val="28"/>
          <w:highlight w:val="none"/>
        </w:rPr>
      </w:pPr>
    </w:p>
    <w:p w14:paraId="408D9FA8">
      <w:pPr>
        <w:jc w:val="center"/>
        <w:rPr>
          <w:rFonts w:hint="eastAsia" w:ascii="宋体" w:hAnsi="宋体" w:cs="宋体"/>
          <w:color w:val="auto"/>
          <w:sz w:val="28"/>
          <w:szCs w:val="28"/>
          <w:highlight w:val="none"/>
        </w:rPr>
      </w:pPr>
      <w:r>
        <w:rPr>
          <w:rFonts w:hint="eastAsia" w:ascii="宋体" w:hAnsi="宋体" w:cs="宋体"/>
          <w:b/>
          <w:bCs/>
          <w:color w:val="auto"/>
          <w:sz w:val="96"/>
          <w:szCs w:val="96"/>
          <w:highlight w:val="none"/>
        </w:rPr>
        <w:t>招标文件</w:t>
      </w:r>
    </w:p>
    <w:p w14:paraId="53FF10E0">
      <w:pPr>
        <w:pStyle w:val="13"/>
        <w:rPr>
          <w:rFonts w:hint="eastAsia" w:ascii="宋体" w:hAnsi="宋体" w:cs="宋体"/>
          <w:color w:val="auto"/>
          <w:sz w:val="28"/>
          <w:szCs w:val="28"/>
          <w:highlight w:val="none"/>
        </w:rPr>
      </w:pPr>
    </w:p>
    <w:p w14:paraId="3916B020">
      <w:pPr>
        <w:pStyle w:val="13"/>
        <w:rPr>
          <w:rFonts w:hint="eastAsia" w:ascii="宋体" w:hAnsi="宋体" w:cs="宋体"/>
          <w:color w:val="auto"/>
          <w:sz w:val="28"/>
          <w:szCs w:val="28"/>
          <w:highlight w:val="none"/>
        </w:rPr>
      </w:pPr>
    </w:p>
    <w:p w14:paraId="60BFAA69">
      <w:pPr>
        <w:pStyle w:val="13"/>
        <w:rPr>
          <w:rFonts w:hint="eastAsia" w:ascii="宋体" w:hAnsi="宋体" w:cs="宋体"/>
          <w:color w:val="auto"/>
          <w:sz w:val="28"/>
          <w:szCs w:val="28"/>
          <w:highlight w:val="none"/>
        </w:rPr>
      </w:pPr>
    </w:p>
    <w:p w14:paraId="42BAFFE7">
      <w:pPr>
        <w:pStyle w:val="13"/>
        <w:ind w:firstLine="2327" w:firstLineChars="644"/>
        <w:rPr>
          <w:rFonts w:hint="eastAsia" w:ascii="宋体" w:hAnsi="宋体" w:cs="宋体"/>
          <w:b/>
          <w:color w:val="auto"/>
          <w:sz w:val="36"/>
          <w:szCs w:val="36"/>
          <w:highlight w:val="none"/>
        </w:rPr>
      </w:pPr>
    </w:p>
    <w:p w14:paraId="27D85E81">
      <w:pPr>
        <w:pStyle w:val="14"/>
        <w:rPr>
          <w:rFonts w:hint="eastAsia"/>
          <w:highlight w:val="none"/>
        </w:rPr>
      </w:pPr>
    </w:p>
    <w:p w14:paraId="5786CC22">
      <w:pPr>
        <w:pStyle w:val="13"/>
        <w:ind w:firstLine="1446" w:firstLineChars="400"/>
        <w:rPr>
          <w:rFonts w:hint="eastAsia" w:ascii="宋体" w:hAnsi="宋体" w:eastAsia="宋体" w:cs="宋体"/>
          <w:b/>
          <w:color w:val="auto"/>
          <w:sz w:val="36"/>
          <w:szCs w:val="36"/>
          <w:highlight w:val="none"/>
          <w:u w:val="single"/>
          <w:lang w:eastAsia="zh-CN"/>
        </w:rPr>
      </w:pPr>
      <w:r>
        <w:rPr>
          <w:rFonts w:hint="eastAsia" w:ascii="宋体" w:hAnsi="宋体" w:cs="宋体"/>
          <w:b/>
          <w:color w:val="auto"/>
          <w:sz w:val="36"/>
          <w:szCs w:val="36"/>
          <w:highlight w:val="none"/>
        </w:rPr>
        <w:t>采购人：</w:t>
      </w:r>
      <w:r>
        <w:rPr>
          <w:rFonts w:hint="eastAsia" w:ascii="宋体" w:hAnsi="宋体" w:cs="宋体"/>
          <w:b/>
          <w:color w:val="auto"/>
          <w:sz w:val="36"/>
          <w:szCs w:val="36"/>
          <w:highlight w:val="none"/>
          <w:u w:val="single"/>
          <w:lang w:eastAsia="zh-CN"/>
        </w:rPr>
        <w:t>昆明医科大学第二附属医院</w:t>
      </w:r>
    </w:p>
    <w:p w14:paraId="2728E317">
      <w:pPr>
        <w:pStyle w:val="13"/>
        <w:ind w:firstLine="1446" w:firstLineChars="400"/>
        <w:rPr>
          <w:rFonts w:hint="eastAsia" w:ascii="宋体" w:hAnsi="宋体" w:cs="宋体"/>
          <w:bCs/>
          <w:color w:val="auto"/>
          <w:sz w:val="36"/>
          <w:szCs w:val="36"/>
          <w:highlight w:val="none"/>
        </w:rPr>
      </w:pPr>
      <w:r>
        <w:rPr>
          <w:rFonts w:hint="eastAsia" w:ascii="宋体" w:hAnsi="宋体" w:cs="宋体"/>
          <w:b/>
          <w:color w:val="auto"/>
          <w:sz w:val="36"/>
          <w:szCs w:val="36"/>
          <w:highlight w:val="none"/>
        </w:rPr>
        <w:t>采购代理机构：</w:t>
      </w:r>
      <w:r>
        <w:rPr>
          <w:rFonts w:hint="eastAsia" w:ascii="宋体" w:hAnsi="宋体" w:cs="宋体"/>
          <w:b/>
          <w:color w:val="auto"/>
          <w:sz w:val="36"/>
          <w:szCs w:val="36"/>
          <w:highlight w:val="none"/>
          <w:u w:val="single"/>
        </w:rPr>
        <w:t>云南元大工程咨询有限责任公司</w:t>
      </w:r>
    </w:p>
    <w:p w14:paraId="34B1F9D1">
      <w:pPr>
        <w:pStyle w:val="13"/>
        <w:ind w:firstLine="1446" w:firstLineChars="400"/>
        <w:rPr>
          <w:rFonts w:hint="eastAsia" w:ascii="宋体" w:hAnsi="宋体" w:eastAsia="宋体" w:cs="宋体"/>
          <w:color w:val="auto"/>
          <w:sz w:val="28"/>
          <w:szCs w:val="28"/>
          <w:highlight w:val="none"/>
          <w:lang w:eastAsia="zh-CN"/>
        </w:rPr>
        <w:sectPr>
          <w:headerReference r:id="rId4" w:type="first"/>
          <w:headerReference r:id="rId3" w:type="default"/>
          <w:pgSz w:w="11906" w:h="16838"/>
          <w:pgMar w:top="1191" w:right="1191" w:bottom="1191" w:left="1304" w:header="851" w:footer="992" w:gutter="0"/>
          <w:pgNumType w:fmt="numberInDash" w:start="1"/>
          <w:cols w:space="720" w:num="1"/>
          <w:titlePg/>
          <w:docGrid w:type="lines" w:linePitch="317" w:charSpace="0"/>
        </w:sectPr>
      </w:pPr>
      <w:r>
        <w:rPr>
          <w:rFonts w:hint="eastAsia" w:ascii="宋体" w:hAnsi="宋体" w:cs="宋体"/>
          <w:b/>
          <w:color w:val="auto"/>
          <w:sz w:val="36"/>
          <w:szCs w:val="36"/>
          <w:highlight w:val="none"/>
        </w:rPr>
        <w:t>日期：</w:t>
      </w:r>
      <w:r>
        <w:rPr>
          <w:rFonts w:hint="eastAsia" w:ascii="宋体" w:hAnsi="宋体" w:cs="宋体"/>
          <w:b/>
          <w:color w:val="auto"/>
          <w:sz w:val="36"/>
          <w:szCs w:val="36"/>
          <w:highlight w:val="none"/>
          <w:u w:val="single"/>
          <w:lang w:eastAsia="zh-CN"/>
        </w:rPr>
        <w:t>2026年5月</w:t>
      </w:r>
    </w:p>
    <w:p w14:paraId="5457B156">
      <w:pPr>
        <w:pStyle w:val="20"/>
        <w:tabs>
          <w:tab w:val="right" w:leader="dot" w:pos="9411"/>
        </w:tabs>
        <w:jc w:val="center"/>
        <w:rPr>
          <w:rFonts w:hint="eastAsia" w:ascii="宋体" w:hAnsi="宋体" w:eastAsia="宋体" w:cs="宋体"/>
          <w:bCs/>
          <w:i w:val="0"/>
          <w:iCs w:val="0"/>
          <w:caps/>
          <w:color w:val="auto"/>
          <w:sz w:val="22"/>
          <w:szCs w:val="22"/>
          <w:highlight w:val="none"/>
          <w:lang w:val="en-US" w:eastAsia="zh-CN" w:bidi="ar-SA"/>
        </w:rPr>
      </w:pPr>
      <w:r>
        <w:rPr>
          <w:rFonts w:hint="eastAsia" w:ascii="宋体" w:hAnsi="宋体" w:cs="宋体"/>
          <w:b/>
          <w:bCs/>
          <w:i w:val="0"/>
          <w:iCs w:val="0"/>
          <w:color w:val="auto"/>
          <w:sz w:val="44"/>
          <w:szCs w:val="44"/>
          <w:highlight w:val="none"/>
        </w:rPr>
        <w:t>目  录</w:t>
      </w:r>
      <w:r>
        <w:rPr>
          <w:rFonts w:hint="eastAsia" w:ascii="宋体" w:hAnsi="宋体" w:cs="宋体"/>
          <w:b/>
          <w:bCs/>
          <w:i w:val="0"/>
          <w:iCs w:val="0"/>
          <w:caps/>
          <w:color w:val="auto"/>
          <w:sz w:val="22"/>
          <w:szCs w:val="22"/>
          <w:highlight w:val="none"/>
        </w:rPr>
        <w:fldChar w:fldCharType="begin"/>
      </w:r>
      <w:r>
        <w:rPr>
          <w:rFonts w:hint="eastAsia" w:ascii="宋体" w:hAnsi="宋体" w:cs="宋体"/>
          <w:b/>
          <w:bCs/>
          <w:i w:val="0"/>
          <w:iCs w:val="0"/>
          <w:caps/>
          <w:color w:val="auto"/>
          <w:sz w:val="22"/>
          <w:szCs w:val="22"/>
          <w:highlight w:val="none"/>
        </w:rPr>
        <w:instrText xml:space="preserve"> TOC \o "1-3" \h \z \u </w:instrText>
      </w:r>
      <w:r>
        <w:rPr>
          <w:rFonts w:hint="eastAsia" w:ascii="宋体" w:hAnsi="宋体" w:cs="宋体"/>
          <w:b/>
          <w:bCs/>
          <w:i w:val="0"/>
          <w:iCs w:val="0"/>
          <w:caps/>
          <w:color w:val="auto"/>
          <w:sz w:val="22"/>
          <w:szCs w:val="22"/>
          <w:highlight w:val="none"/>
        </w:rPr>
        <w:fldChar w:fldCharType="separate"/>
      </w:r>
    </w:p>
    <w:p w14:paraId="261219E0">
      <w:pPr>
        <w:pStyle w:val="27"/>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_Toc25396 </w:instrText>
      </w:r>
      <w:r>
        <w:rPr>
          <w:rFonts w:hint="eastAsia" w:ascii="宋体" w:hAnsi="宋体" w:cs="宋体"/>
          <w:bCs/>
          <w:i w:val="0"/>
          <w:iCs w:val="0"/>
          <w:caps/>
          <w:szCs w:val="22"/>
          <w:highlight w:val="none"/>
        </w:rPr>
        <w:fldChar w:fldCharType="separate"/>
      </w:r>
      <w:r>
        <w:rPr>
          <w:rFonts w:hint="eastAsia" w:ascii="宋体" w:hAnsi="宋体" w:cs="宋体"/>
          <w:i w:val="0"/>
          <w:iCs w:val="0"/>
          <w:highlight w:val="none"/>
        </w:rPr>
        <w:t>第一章 招标公告</w:t>
      </w:r>
      <w:r>
        <w:rPr>
          <w:i w:val="0"/>
          <w:iCs w:val="0"/>
        </w:rPr>
        <w:tab/>
      </w:r>
      <w:r>
        <w:rPr>
          <w:i w:val="0"/>
          <w:iCs w:val="0"/>
        </w:rPr>
        <w:fldChar w:fldCharType="begin"/>
      </w:r>
      <w:r>
        <w:rPr>
          <w:i w:val="0"/>
          <w:iCs w:val="0"/>
        </w:rPr>
        <w:instrText xml:space="preserve"> PAGEREF _Toc25396 \h </w:instrText>
      </w:r>
      <w:r>
        <w:rPr>
          <w:i w:val="0"/>
          <w:iCs w:val="0"/>
        </w:rPr>
        <w:fldChar w:fldCharType="separate"/>
      </w:r>
      <w:r>
        <w:rPr>
          <w:i w:val="0"/>
          <w:iCs w:val="0"/>
        </w:rPr>
        <w:t>- 1 -</w:t>
      </w:r>
      <w:r>
        <w:rPr>
          <w:i w:val="0"/>
          <w:iCs w:val="0"/>
        </w:rPr>
        <w:fldChar w:fldCharType="end"/>
      </w:r>
      <w:r>
        <w:rPr>
          <w:rFonts w:hint="eastAsia" w:ascii="宋体" w:hAnsi="宋体" w:cs="宋体"/>
          <w:bCs/>
          <w:i w:val="0"/>
          <w:iCs w:val="0"/>
          <w:caps/>
          <w:color w:val="auto"/>
          <w:szCs w:val="22"/>
          <w:highlight w:val="none"/>
        </w:rPr>
        <w:fldChar w:fldCharType="end"/>
      </w:r>
    </w:p>
    <w:p w14:paraId="0E5425F6">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_Toc12505 </w:instrText>
      </w:r>
      <w:r>
        <w:rPr>
          <w:rFonts w:hint="eastAsia" w:ascii="宋体" w:hAnsi="宋体" w:cs="宋体"/>
          <w:bCs/>
          <w:i w:val="0"/>
          <w:iCs w:val="0"/>
          <w:caps/>
          <w:szCs w:val="22"/>
          <w:highlight w:val="none"/>
        </w:rPr>
        <w:fldChar w:fldCharType="separate"/>
      </w:r>
      <w:r>
        <w:rPr>
          <w:rFonts w:hint="eastAsia" w:ascii="宋体" w:hAnsi="宋体" w:eastAsia="宋体" w:cs="宋体"/>
          <w:bCs w:val="0"/>
          <w:i w:val="0"/>
          <w:iCs w:val="0"/>
          <w:szCs w:val="24"/>
          <w:highlight w:val="none"/>
        </w:rPr>
        <w:t>一、项目基本情况</w:t>
      </w:r>
      <w:r>
        <w:rPr>
          <w:i w:val="0"/>
          <w:iCs w:val="0"/>
        </w:rPr>
        <w:tab/>
      </w:r>
      <w:r>
        <w:rPr>
          <w:i w:val="0"/>
          <w:iCs w:val="0"/>
        </w:rPr>
        <w:fldChar w:fldCharType="begin"/>
      </w:r>
      <w:r>
        <w:rPr>
          <w:i w:val="0"/>
          <w:iCs w:val="0"/>
        </w:rPr>
        <w:instrText xml:space="preserve"> PAGEREF _Toc12505 \h </w:instrText>
      </w:r>
      <w:r>
        <w:rPr>
          <w:i w:val="0"/>
          <w:iCs w:val="0"/>
        </w:rPr>
        <w:fldChar w:fldCharType="separate"/>
      </w:r>
      <w:r>
        <w:rPr>
          <w:i w:val="0"/>
          <w:iCs w:val="0"/>
        </w:rPr>
        <w:t>- 1 -</w:t>
      </w:r>
      <w:r>
        <w:rPr>
          <w:i w:val="0"/>
          <w:iCs w:val="0"/>
        </w:rPr>
        <w:fldChar w:fldCharType="end"/>
      </w:r>
      <w:r>
        <w:rPr>
          <w:rFonts w:hint="eastAsia" w:ascii="宋体" w:hAnsi="宋体" w:cs="宋体"/>
          <w:bCs/>
          <w:i w:val="0"/>
          <w:iCs w:val="0"/>
          <w:caps/>
          <w:color w:val="auto"/>
          <w:szCs w:val="22"/>
          <w:highlight w:val="none"/>
        </w:rPr>
        <w:fldChar w:fldCharType="end"/>
      </w:r>
    </w:p>
    <w:p w14:paraId="76EAA77B">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_Toc16291 </w:instrText>
      </w:r>
      <w:r>
        <w:rPr>
          <w:rFonts w:hint="eastAsia" w:ascii="宋体" w:hAnsi="宋体" w:cs="宋体"/>
          <w:bCs/>
          <w:i w:val="0"/>
          <w:iCs w:val="0"/>
          <w:caps/>
          <w:szCs w:val="22"/>
          <w:highlight w:val="none"/>
        </w:rPr>
        <w:fldChar w:fldCharType="separate"/>
      </w:r>
      <w:r>
        <w:rPr>
          <w:rFonts w:hint="eastAsia" w:ascii="宋体" w:hAnsi="宋体" w:eastAsia="宋体" w:cs="宋体"/>
          <w:bCs w:val="0"/>
          <w:i w:val="0"/>
          <w:iCs w:val="0"/>
          <w:szCs w:val="24"/>
          <w:highlight w:val="none"/>
        </w:rPr>
        <w:t>二、</w:t>
      </w:r>
      <w:r>
        <w:rPr>
          <w:rFonts w:hint="eastAsia" w:ascii="宋体" w:hAnsi="宋体" w:eastAsia="宋体" w:cs="宋体"/>
          <w:bCs w:val="0"/>
          <w:i w:val="0"/>
          <w:iCs w:val="0"/>
          <w:szCs w:val="24"/>
          <w:highlight w:val="none"/>
          <w:lang w:eastAsia="zh-CN"/>
        </w:rPr>
        <w:t>申请人的资格要求</w:t>
      </w:r>
      <w:r>
        <w:rPr>
          <w:i w:val="0"/>
          <w:iCs w:val="0"/>
        </w:rPr>
        <w:tab/>
      </w:r>
      <w:r>
        <w:rPr>
          <w:i w:val="0"/>
          <w:iCs w:val="0"/>
        </w:rPr>
        <w:fldChar w:fldCharType="begin"/>
      </w:r>
      <w:r>
        <w:rPr>
          <w:i w:val="0"/>
          <w:iCs w:val="0"/>
        </w:rPr>
        <w:instrText xml:space="preserve"> PAGEREF _Toc16291 \h </w:instrText>
      </w:r>
      <w:r>
        <w:rPr>
          <w:i w:val="0"/>
          <w:iCs w:val="0"/>
        </w:rPr>
        <w:fldChar w:fldCharType="separate"/>
      </w:r>
      <w:r>
        <w:rPr>
          <w:i w:val="0"/>
          <w:iCs w:val="0"/>
        </w:rPr>
        <w:t>- 1 -</w:t>
      </w:r>
      <w:r>
        <w:rPr>
          <w:i w:val="0"/>
          <w:iCs w:val="0"/>
        </w:rPr>
        <w:fldChar w:fldCharType="end"/>
      </w:r>
      <w:r>
        <w:rPr>
          <w:rFonts w:hint="eastAsia" w:ascii="宋体" w:hAnsi="宋体" w:cs="宋体"/>
          <w:bCs/>
          <w:i w:val="0"/>
          <w:iCs w:val="0"/>
          <w:caps/>
          <w:color w:val="auto"/>
          <w:szCs w:val="22"/>
          <w:highlight w:val="none"/>
        </w:rPr>
        <w:fldChar w:fldCharType="end"/>
      </w:r>
    </w:p>
    <w:p w14:paraId="6D21C6B2">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_Toc3140 </w:instrText>
      </w:r>
      <w:r>
        <w:rPr>
          <w:rFonts w:hint="eastAsia" w:ascii="宋体" w:hAnsi="宋体" w:cs="宋体"/>
          <w:bCs/>
          <w:i w:val="0"/>
          <w:iCs w:val="0"/>
          <w:caps/>
          <w:szCs w:val="22"/>
          <w:highlight w:val="none"/>
        </w:rPr>
        <w:fldChar w:fldCharType="separate"/>
      </w:r>
      <w:r>
        <w:rPr>
          <w:rFonts w:hint="eastAsia" w:ascii="宋体" w:hAnsi="宋体" w:eastAsia="宋体" w:cs="宋体"/>
          <w:bCs w:val="0"/>
          <w:i w:val="0"/>
          <w:iCs w:val="0"/>
          <w:szCs w:val="24"/>
          <w:highlight w:val="none"/>
        </w:rPr>
        <w:t>三、获取招标文件</w:t>
      </w:r>
      <w:r>
        <w:rPr>
          <w:i w:val="0"/>
          <w:iCs w:val="0"/>
        </w:rPr>
        <w:tab/>
      </w:r>
      <w:r>
        <w:rPr>
          <w:i w:val="0"/>
          <w:iCs w:val="0"/>
        </w:rPr>
        <w:fldChar w:fldCharType="begin"/>
      </w:r>
      <w:r>
        <w:rPr>
          <w:i w:val="0"/>
          <w:iCs w:val="0"/>
        </w:rPr>
        <w:instrText xml:space="preserve"> PAGEREF _Toc3140 \h </w:instrText>
      </w:r>
      <w:r>
        <w:rPr>
          <w:i w:val="0"/>
          <w:iCs w:val="0"/>
        </w:rPr>
        <w:fldChar w:fldCharType="separate"/>
      </w:r>
      <w:r>
        <w:rPr>
          <w:i w:val="0"/>
          <w:iCs w:val="0"/>
        </w:rPr>
        <w:t>- 3 -</w:t>
      </w:r>
      <w:r>
        <w:rPr>
          <w:i w:val="0"/>
          <w:iCs w:val="0"/>
        </w:rPr>
        <w:fldChar w:fldCharType="end"/>
      </w:r>
      <w:r>
        <w:rPr>
          <w:rFonts w:hint="eastAsia" w:ascii="宋体" w:hAnsi="宋体" w:cs="宋体"/>
          <w:bCs/>
          <w:i w:val="0"/>
          <w:iCs w:val="0"/>
          <w:caps/>
          <w:color w:val="auto"/>
          <w:szCs w:val="22"/>
          <w:highlight w:val="none"/>
        </w:rPr>
        <w:fldChar w:fldCharType="end"/>
      </w:r>
    </w:p>
    <w:p w14:paraId="28700168">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_Toc23246 </w:instrText>
      </w:r>
      <w:r>
        <w:rPr>
          <w:rFonts w:hint="eastAsia" w:ascii="宋体" w:hAnsi="宋体" w:cs="宋体"/>
          <w:bCs/>
          <w:i w:val="0"/>
          <w:iCs w:val="0"/>
          <w:caps/>
          <w:szCs w:val="22"/>
          <w:highlight w:val="none"/>
        </w:rPr>
        <w:fldChar w:fldCharType="separate"/>
      </w:r>
      <w:r>
        <w:rPr>
          <w:rFonts w:hint="eastAsia" w:ascii="宋体" w:hAnsi="宋体" w:eastAsia="宋体" w:cs="宋体"/>
          <w:bCs w:val="0"/>
          <w:i w:val="0"/>
          <w:iCs w:val="0"/>
          <w:szCs w:val="24"/>
          <w:highlight w:val="none"/>
        </w:rPr>
        <w:t>四、提交投标文件截止时间、开标时间和地点</w:t>
      </w:r>
      <w:r>
        <w:rPr>
          <w:i w:val="0"/>
          <w:iCs w:val="0"/>
        </w:rPr>
        <w:tab/>
      </w:r>
      <w:r>
        <w:rPr>
          <w:i w:val="0"/>
          <w:iCs w:val="0"/>
        </w:rPr>
        <w:fldChar w:fldCharType="begin"/>
      </w:r>
      <w:r>
        <w:rPr>
          <w:i w:val="0"/>
          <w:iCs w:val="0"/>
        </w:rPr>
        <w:instrText xml:space="preserve"> PAGEREF _Toc23246 \h </w:instrText>
      </w:r>
      <w:r>
        <w:rPr>
          <w:i w:val="0"/>
          <w:iCs w:val="0"/>
        </w:rPr>
        <w:fldChar w:fldCharType="separate"/>
      </w:r>
      <w:r>
        <w:rPr>
          <w:i w:val="0"/>
          <w:iCs w:val="0"/>
        </w:rPr>
        <w:t>- 3 -</w:t>
      </w:r>
      <w:r>
        <w:rPr>
          <w:i w:val="0"/>
          <w:iCs w:val="0"/>
        </w:rPr>
        <w:fldChar w:fldCharType="end"/>
      </w:r>
      <w:r>
        <w:rPr>
          <w:rFonts w:hint="eastAsia" w:ascii="宋体" w:hAnsi="宋体" w:cs="宋体"/>
          <w:bCs/>
          <w:i w:val="0"/>
          <w:iCs w:val="0"/>
          <w:caps/>
          <w:color w:val="auto"/>
          <w:szCs w:val="22"/>
          <w:highlight w:val="none"/>
        </w:rPr>
        <w:fldChar w:fldCharType="end"/>
      </w:r>
    </w:p>
    <w:p w14:paraId="684C0FC4">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_Toc13211 </w:instrText>
      </w:r>
      <w:r>
        <w:rPr>
          <w:rFonts w:hint="eastAsia" w:ascii="宋体" w:hAnsi="宋体" w:cs="宋体"/>
          <w:bCs/>
          <w:i w:val="0"/>
          <w:iCs w:val="0"/>
          <w:caps/>
          <w:szCs w:val="22"/>
          <w:highlight w:val="none"/>
        </w:rPr>
        <w:fldChar w:fldCharType="separate"/>
      </w:r>
      <w:r>
        <w:rPr>
          <w:rFonts w:hint="eastAsia" w:ascii="宋体" w:hAnsi="宋体" w:eastAsia="宋体" w:cs="宋体"/>
          <w:bCs w:val="0"/>
          <w:i w:val="0"/>
          <w:iCs w:val="0"/>
          <w:szCs w:val="24"/>
          <w:highlight w:val="none"/>
        </w:rPr>
        <w:t>五、公告期限</w:t>
      </w:r>
      <w:r>
        <w:rPr>
          <w:i w:val="0"/>
          <w:iCs w:val="0"/>
        </w:rPr>
        <w:tab/>
      </w:r>
      <w:r>
        <w:rPr>
          <w:i w:val="0"/>
          <w:iCs w:val="0"/>
        </w:rPr>
        <w:fldChar w:fldCharType="begin"/>
      </w:r>
      <w:r>
        <w:rPr>
          <w:i w:val="0"/>
          <w:iCs w:val="0"/>
        </w:rPr>
        <w:instrText xml:space="preserve"> PAGEREF _Toc13211 \h </w:instrText>
      </w:r>
      <w:r>
        <w:rPr>
          <w:i w:val="0"/>
          <w:iCs w:val="0"/>
        </w:rPr>
        <w:fldChar w:fldCharType="separate"/>
      </w:r>
      <w:r>
        <w:rPr>
          <w:i w:val="0"/>
          <w:iCs w:val="0"/>
        </w:rPr>
        <w:t>- 3 -</w:t>
      </w:r>
      <w:r>
        <w:rPr>
          <w:i w:val="0"/>
          <w:iCs w:val="0"/>
        </w:rPr>
        <w:fldChar w:fldCharType="end"/>
      </w:r>
      <w:r>
        <w:rPr>
          <w:rFonts w:hint="eastAsia" w:ascii="宋体" w:hAnsi="宋体" w:cs="宋体"/>
          <w:bCs/>
          <w:i w:val="0"/>
          <w:iCs w:val="0"/>
          <w:caps/>
          <w:color w:val="auto"/>
          <w:szCs w:val="22"/>
          <w:highlight w:val="none"/>
        </w:rPr>
        <w:fldChar w:fldCharType="end"/>
      </w:r>
    </w:p>
    <w:p w14:paraId="306E4FEC">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_Toc30439 </w:instrText>
      </w:r>
      <w:r>
        <w:rPr>
          <w:rFonts w:hint="eastAsia" w:ascii="宋体" w:hAnsi="宋体" w:cs="宋体"/>
          <w:bCs/>
          <w:i w:val="0"/>
          <w:iCs w:val="0"/>
          <w:caps/>
          <w:szCs w:val="22"/>
          <w:highlight w:val="none"/>
        </w:rPr>
        <w:fldChar w:fldCharType="separate"/>
      </w:r>
      <w:r>
        <w:rPr>
          <w:rFonts w:hint="eastAsia" w:ascii="宋体" w:hAnsi="宋体" w:eastAsia="宋体" w:cs="宋体"/>
          <w:bCs w:val="0"/>
          <w:i w:val="0"/>
          <w:iCs w:val="0"/>
          <w:szCs w:val="24"/>
          <w:highlight w:val="none"/>
        </w:rPr>
        <w:t>六、其他补充事宜</w:t>
      </w:r>
      <w:r>
        <w:rPr>
          <w:i w:val="0"/>
          <w:iCs w:val="0"/>
        </w:rPr>
        <w:tab/>
      </w:r>
      <w:r>
        <w:rPr>
          <w:i w:val="0"/>
          <w:iCs w:val="0"/>
        </w:rPr>
        <w:fldChar w:fldCharType="begin"/>
      </w:r>
      <w:r>
        <w:rPr>
          <w:i w:val="0"/>
          <w:iCs w:val="0"/>
        </w:rPr>
        <w:instrText xml:space="preserve"> PAGEREF _Toc30439 \h </w:instrText>
      </w:r>
      <w:r>
        <w:rPr>
          <w:i w:val="0"/>
          <w:iCs w:val="0"/>
        </w:rPr>
        <w:fldChar w:fldCharType="separate"/>
      </w:r>
      <w:r>
        <w:rPr>
          <w:i w:val="0"/>
          <w:iCs w:val="0"/>
        </w:rPr>
        <w:t>- 4 -</w:t>
      </w:r>
      <w:r>
        <w:rPr>
          <w:i w:val="0"/>
          <w:iCs w:val="0"/>
        </w:rPr>
        <w:fldChar w:fldCharType="end"/>
      </w:r>
      <w:r>
        <w:rPr>
          <w:rFonts w:hint="eastAsia" w:ascii="宋体" w:hAnsi="宋体" w:cs="宋体"/>
          <w:bCs/>
          <w:i w:val="0"/>
          <w:iCs w:val="0"/>
          <w:caps/>
          <w:color w:val="auto"/>
          <w:szCs w:val="22"/>
          <w:highlight w:val="none"/>
        </w:rPr>
        <w:fldChar w:fldCharType="end"/>
      </w:r>
    </w:p>
    <w:p w14:paraId="4902049D">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_Toc13085 </w:instrText>
      </w:r>
      <w:r>
        <w:rPr>
          <w:rFonts w:hint="eastAsia" w:ascii="宋体" w:hAnsi="宋体" w:cs="宋体"/>
          <w:bCs/>
          <w:i w:val="0"/>
          <w:iCs w:val="0"/>
          <w:caps/>
          <w:szCs w:val="22"/>
          <w:highlight w:val="none"/>
        </w:rPr>
        <w:fldChar w:fldCharType="separate"/>
      </w:r>
      <w:r>
        <w:rPr>
          <w:rFonts w:hint="eastAsia" w:ascii="宋体" w:hAnsi="宋体" w:eastAsia="宋体" w:cs="宋体"/>
          <w:bCs w:val="0"/>
          <w:i w:val="0"/>
          <w:iCs w:val="0"/>
          <w:szCs w:val="24"/>
          <w:highlight w:val="none"/>
        </w:rPr>
        <w:t>七、对本次招标提出询问，请按以下方式联系</w:t>
      </w:r>
      <w:r>
        <w:rPr>
          <w:i w:val="0"/>
          <w:iCs w:val="0"/>
        </w:rPr>
        <w:tab/>
      </w:r>
      <w:r>
        <w:rPr>
          <w:i w:val="0"/>
          <w:iCs w:val="0"/>
        </w:rPr>
        <w:fldChar w:fldCharType="begin"/>
      </w:r>
      <w:r>
        <w:rPr>
          <w:i w:val="0"/>
          <w:iCs w:val="0"/>
        </w:rPr>
        <w:instrText xml:space="preserve"> PAGEREF _Toc13085 \h </w:instrText>
      </w:r>
      <w:r>
        <w:rPr>
          <w:i w:val="0"/>
          <w:iCs w:val="0"/>
        </w:rPr>
        <w:fldChar w:fldCharType="separate"/>
      </w:r>
      <w:r>
        <w:rPr>
          <w:i w:val="0"/>
          <w:iCs w:val="0"/>
        </w:rPr>
        <w:t>- 4 -</w:t>
      </w:r>
      <w:r>
        <w:rPr>
          <w:i w:val="0"/>
          <w:iCs w:val="0"/>
        </w:rPr>
        <w:fldChar w:fldCharType="end"/>
      </w:r>
      <w:r>
        <w:rPr>
          <w:rFonts w:hint="eastAsia" w:ascii="宋体" w:hAnsi="宋体" w:cs="宋体"/>
          <w:bCs/>
          <w:i w:val="0"/>
          <w:iCs w:val="0"/>
          <w:caps/>
          <w:color w:val="auto"/>
          <w:szCs w:val="22"/>
          <w:highlight w:val="none"/>
        </w:rPr>
        <w:fldChar w:fldCharType="end"/>
      </w:r>
    </w:p>
    <w:p w14:paraId="0642E185">
      <w:pPr>
        <w:pStyle w:val="27"/>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_Toc24219 </w:instrText>
      </w:r>
      <w:r>
        <w:rPr>
          <w:rFonts w:hint="eastAsia" w:ascii="宋体" w:hAnsi="宋体" w:cs="宋体"/>
          <w:bCs/>
          <w:i w:val="0"/>
          <w:iCs w:val="0"/>
          <w:caps/>
          <w:szCs w:val="22"/>
          <w:highlight w:val="none"/>
        </w:rPr>
        <w:fldChar w:fldCharType="separate"/>
      </w:r>
      <w:r>
        <w:rPr>
          <w:rFonts w:hint="eastAsia" w:ascii="宋体" w:hAnsi="宋体" w:cs="宋体"/>
          <w:bCs w:val="0"/>
          <w:i w:val="0"/>
          <w:iCs w:val="0"/>
          <w:highlight w:val="none"/>
        </w:rPr>
        <w:t>第二章 投标人须知</w:t>
      </w:r>
      <w:r>
        <w:rPr>
          <w:i w:val="0"/>
          <w:iCs w:val="0"/>
        </w:rPr>
        <w:tab/>
      </w:r>
      <w:r>
        <w:rPr>
          <w:i w:val="0"/>
          <w:iCs w:val="0"/>
        </w:rPr>
        <w:fldChar w:fldCharType="begin"/>
      </w:r>
      <w:r>
        <w:rPr>
          <w:i w:val="0"/>
          <w:iCs w:val="0"/>
        </w:rPr>
        <w:instrText xml:space="preserve"> PAGEREF _Toc24219 \h </w:instrText>
      </w:r>
      <w:r>
        <w:rPr>
          <w:i w:val="0"/>
          <w:iCs w:val="0"/>
        </w:rPr>
        <w:fldChar w:fldCharType="separate"/>
      </w:r>
      <w:r>
        <w:rPr>
          <w:i w:val="0"/>
          <w:iCs w:val="0"/>
        </w:rPr>
        <w:t>- 6 -</w:t>
      </w:r>
      <w:r>
        <w:rPr>
          <w:i w:val="0"/>
          <w:iCs w:val="0"/>
        </w:rPr>
        <w:fldChar w:fldCharType="end"/>
      </w:r>
      <w:r>
        <w:rPr>
          <w:rFonts w:hint="eastAsia" w:ascii="宋体" w:hAnsi="宋体" w:cs="宋体"/>
          <w:bCs/>
          <w:i w:val="0"/>
          <w:iCs w:val="0"/>
          <w:caps/>
          <w:color w:val="auto"/>
          <w:szCs w:val="22"/>
          <w:highlight w:val="none"/>
        </w:rPr>
        <w:fldChar w:fldCharType="end"/>
      </w:r>
    </w:p>
    <w:p w14:paraId="4BA1966C">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_Toc9323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投标人须知前附表</w:t>
      </w:r>
      <w:r>
        <w:rPr>
          <w:i w:val="0"/>
          <w:iCs w:val="0"/>
        </w:rPr>
        <w:tab/>
      </w:r>
      <w:r>
        <w:rPr>
          <w:i w:val="0"/>
          <w:iCs w:val="0"/>
        </w:rPr>
        <w:fldChar w:fldCharType="begin"/>
      </w:r>
      <w:r>
        <w:rPr>
          <w:i w:val="0"/>
          <w:iCs w:val="0"/>
        </w:rPr>
        <w:instrText xml:space="preserve"> PAGEREF _Toc9323 \h </w:instrText>
      </w:r>
      <w:r>
        <w:rPr>
          <w:i w:val="0"/>
          <w:iCs w:val="0"/>
        </w:rPr>
        <w:fldChar w:fldCharType="separate"/>
      </w:r>
      <w:r>
        <w:rPr>
          <w:i w:val="0"/>
          <w:iCs w:val="0"/>
        </w:rPr>
        <w:t>- 6 -</w:t>
      </w:r>
      <w:r>
        <w:rPr>
          <w:i w:val="0"/>
          <w:iCs w:val="0"/>
        </w:rPr>
        <w:fldChar w:fldCharType="end"/>
      </w:r>
      <w:r>
        <w:rPr>
          <w:rFonts w:hint="eastAsia" w:ascii="宋体" w:hAnsi="宋体" w:cs="宋体"/>
          <w:bCs/>
          <w:i w:val="0"/>
          <w:iCs w:val="0"/>
          <w:caps/>
          <w:color w:val="auto"/>
          <w:szCs w:val="22"/>
          <w:highlight w:val="none"/>
        </w:rPr>
        <w:fldChar w:fldCharType="end"/>
      </w:r>
    </w:p>
    <w:p w14:paraId="28385881">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_Toc17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1. 总则</w:t>
      </w:r>
      <w:r>
        <w:rPr>
          <w:i w:val="0"/>
          <w:iCs w:val="0"/>
        </w:rPr>
        <w:tab/>
      </w:r>
      <w:r>
        <w:rPr>
          <w:i w:val="0"/>
          <w:iCs w:val="0"/>
        </w:rPr>
        <w:fldChar w:fldCharType="begin"/>
      </w:r>
      <w:r>
        <w:rPr>
          <w:i w:val="0"/>
          <w:iCs w:val="0"/>
        </w:rPr>
        <w:instrText xml:space="preserve"> PAGEREF _Toc17 \h </w:instrText>
      </w:r>
      <w:r>
        <w:rPr>
          <w:i w:val="0"/>
          <w:iCs w:val="0"/>
        </w:rPr>
        <w:fldChar w:fldCharType="separate"/>
      </w:r>
      <w:r>
        <w:rPr>
          <w:i w:val="0"/>
          <w:iCs w:val="0"/>
        </w:rPr>
        <w:t>- 13 -</w:t>
      </w:r>
      <w:r>
        <w:rPr>
          <w:i w:val="0"/>
          <w:iCs w:val="0"/>
        </w:rPr>
        <w:fldChar w:fldCharType="end"/>
      </w:r>
      <w:r>
        <w:rPr>
          <w:rFonts w:hint="eastAsia" w:ascii="宋体" w:hAnsi="宋体" w:cs="宋体"/>
          <w:bCs/>
          <w:i w:val="0"/>
          <w:iCs w:val="0"/>
          <w:caps/>
          <w:color w:val="auto"/>
          <w:szCs w:val="22"/>
          <w:highlight w:val="none"/>
        </w:rPr>
        <w:fldChar w:fldCharType="end"/>
      </w:r>
    </w:p>
    <w:p w14:paraId="0D8DB60A">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_Toc5133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2. 招标文件</w:t>
      </w:r>
      <w:r>
        <w:rPr>
          <w:i w:val="0"/>
          <w:iCs w:val="0"/>
        </w:rPr>
        <w:tab/>
      </w:r>
      <w:r>
        <w:rPr>
          <w:i w:val="0"/>
          <w:iCs w:val="0"/>
        </w:rPr>
        <w:fldChar w:fldCharType="begin"/>
      </w:r>
      <w:r>
        <w:rPr>
          <w:i w:val="0"/>
          <w:iCs w:val="0"/>
        </w:rPr>
        <w:instrText xml:space="preserve"> PAGEREF _Toc5133 \h </w:instrText>
      </w:r>
      <w:r>
        <w:rPr>
          <w:i w:val="0"/>
          <w:iCs w:val="0"/>
        </w:rPr>
        <w:fldChar w:fldCharType="separate"/>
      </w:r>
      <w:r>
        <w:rPr>
          <w:i w:val="0"/>
          <w:iCs w:val="0"/>
        </w:rPr>
        <w:t>- 14 -</w:t>
      </w:r>
      <w:r>
        <w:rPr>
          <w:i w:val="0"/>
          <w:iCs w:val="0"/>
        </w:rPr>
        <w:fldChar w:fldCharType="end"/>
      </w:r>
      <w:r>
        <w:rPr>
          <w:rFonts w:hint="eastAsia" w:ascii="宋体" w:hAnsi="宋体" w:cs="宋体"/>
          <w:bCs/>
          <w:i w:val="0"/>
          <w:iCs w:val="0"/>
          <w:caps/>
          <w:color w:val="auto"/>
          <w:szCs w:val="22"/>
          <w:highlight w:val="none"/>
        </w:rPr>
        <w:fldChar w:fldCharType="end"/>
      </w:r>
    </w:p>
    <w:p w14:paraId="6F10CCAE">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_Toc6334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3. 投标文件</w:t>
      </w:r>
      <w:r>
        <w:rPr>
          <w:i w:val="0"/>
          <w:iCs w:val="0"/>
        </w:rPr>
        <w:tab/>
      </w:r>
      <w:r>
        <w:rPr>
          <w:i w:val="0"/>
          <w:iCs w:val="0"/>
        </w:rPr>
        <w:fldChar w:fldCharType="begin"/>
      </w:r>
      <w:r>
        <w:rPr>
          <w:i w:val="0"/>
          <w:iCs w:val="0"/>
        </w:rPr>
        <w:instrText xml:space="preserve"> PAGEREF _Toc6334 \h </w:instrText>
      </w:r>
      <w:r>
        <w:rPr>
          <w:i w:val="0"/>
          <w:iCs w:val="0"/>
        </w:rPr>
        <w:fldChar w:fldCharType="separate"/>
      </w:r>
      <w:r>
        <w:rPr>
          <w:i w:val="0"/>
          <w:iCs w:val="0"/>
        </w:rPr>
        <w:t>- 14 -</w:t>
      </w:r>
      <w:r>
        <w:rPr>
          <w:i w:val="0"/>
          <w:iCs w:val="0"/>
        </w:rPr>
        <w:fldChar w:fldCharType="end"/>
      </w:r>
      <w:r>
        <w:rPr>
          <w:rFonts w:hint="eastAsia" w:ascii="宋体" w:hAnsi="宋体" w:cs="宋体"/>
          <w:bCs/>
          <w:i w:val="0"/>
          <w:iCs w:val="0"/>
          <w:caps/>
          <w:color w:val="auto"/>
          <w:szCs w:val="22"/>
          <w:highlight w:val="none"/>
        </w:rPr>
        <w:fldChar w:fldCharType="end"/>
      </w:r>
    </w:p>
    <w:p w14:paraId="07ADD76C">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_Toc26734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4. 投标</w:t>
      </w:r>
      <w:r>
        <w:rPr>
          <w:i w:val="0"/>
          <w:iCs w:val="0"/>
        </w:rPr>
        <w:tab/>
      </w:r>
      <w:r>
        <w:rPr>
          <w:i w:val="0"/>
          <w:iCs w:val="0"/>
        </w:rPr>
        <w:fldChar w:fldCharType="begin"/>
      </w:r>
      <w:r>
        <w:rPr>
          <w:i w:val="0"/>
          <w:iCs w:val="0"/>
        </w:rPr>
        <w:instrText xml:space="preserve"> PAGEREF _Toc26734 \h </w:instrText>
      </w:r>
      <w:r>
        <w:rPr>
          <w:i w:val="0"/>
          <w:iCs w:val="0"/>
        </w:rPr>
        <w:fldChar w:fldCharType="separate"/>
      </w:r>
      <w:r>
        <w:rPr>
          <w:i w:val="0"/>
          <w:iCs w:val="0"/>
        </w:rPr>
        <w:t>- 16 -</w:t>
      </w:r>
      <w:r>
        <w:rPr>
          <w:i w:val="0"/>
          <w:iCs w:val="0"/>
        </w:rPr>
        <w:fldChar w:fldCharType="end"/>
      </w:r>
      <w:r>
        <w:rPr>
          <w:rFonts w:hint="eastAsia" w:ascii="宋体" w:hAnsi="宋体" w:cs="宋体"/>
          <w:bCs/>
          <w:i w:val="0"/>
          <w:iCs w:val="0"/>
          <w:caps/>
          <w:color w:val="auto"/>
          <w:szCs w:val="22"/>
          <w:highlight w:val="none"/>
        </w:rPr>
        <w:fldChar w:fldCharType="end"/>
      </w:r>
    </w:p>
    <w:p w14:paraId="741ECCC1">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_Toc16644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5. 开标</w:t>
      </w:r>
      <w:r>
        <w:rPr>
          <w:i w:val="0"/>
          <w:iCs w:val="0"/>
        </w:rPr>
        <w:tab/>
      </w:r>
      <w:r>
        <w:rPr>
          <w:i w:val="0"/>
          <w:iCs w:val="0"/>
        </w:rPr>
        <w:fldChar w:fldCharType="begin"/>
      </w:r>
      <w:r>
        <w:rPr>
          <w:i w:val="0"/>
          <w:iCs w:val="0"/>
        </w:rPr>
        <w:instrText xml:space="preserve"> PAGEREF _Toc16644 \h </w:instrText>
      </w:r>
      <w:r>
        <w:rPr>
          <w:i w:val="0"/>
          <w:iCs w:val="0"/>
        </w:rPr>
        <w:fldChar w:fldCharType="separate"/>
      </w:r>
      <w:r>
        <w:rPr>
          <w:i w:val="0"/>
          <w:iCs w:val="0"/>
        </w:rPr>
        <w:t>- 16 -</w:t>
      </w:r>
      <w:r>
        <w:rPr>
          <w:i w:val="0"/>
          <w:iCs w:val="0"/>
        </w:rPr>
        <w:fldChar w:fldCharType="end"/>
      </w:r>
      <w:r>
        <w:rPr>
          <w:rFonts w:hint="eastAsia" w:ascii="宋体" w:hAnsi="宋体" w:cs="宋体"/>
          <w:bCs/>
          <w:i w:val="0"/>
          <w:iCs w:val="0"/>
          <w:caps/>
          <w:color w:val="auto"/>
          <w:szCs w:val="22"/>
          <w:highlight w:val="none"/>
        </w:rPr>
        <w:fldChar w:fldCharType="end"/>
      </w:r>
    </w:p>
    <w:p w14:paraId="018BFDFA">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_Toc32128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6. 资格审查</w:t>
      </w:r>
      <w:r>
        <w:rPr>
          <w:i w:val="0"/>
          <w:iCs w:val="0"/>
        </w:rPr>
        <w:tab/>
      </w:r>
      <w:r>
        <w:rPr>
          <w:i w:val="0"/>
          <w:iCs w:val="0"/>
        </w:rPr>
        <w:fldChar w:fldCharType="begin"/>
      </w:r>
      <w:r>
        <w:rPr>
          <w:i w:val="0"/>
          <w:iCs w:val="0"/>
        </w:rPr>
        <w:instrText xml:space="preserve"> PAGEREF _Toc32128 \h </w:instrText>
      </w:r>
      <w:r>
        <w:rPr>
          <w:i w:val="0"/>
          <w:iCs w:val="0"/>
        </w:rPr>
        <w:fldChar w:fldCharType="separate"/>
      </w:r>
      <w:r>
        <w:rPr>
          <w:i w:val="0"/>
          <w:iCs w:val="0"/>
        </w:rPr>
        <w:t>- 17 -</w:t>
      </w:r>
      <w:r>
        <w:rPr>
          <w:i w:val="0"/>
          <w:iCs w:val="0"/>
        </w:rPr>
        <w:fldChar w:fldCharType="end"/>
      </w:r>
      <w:r>
        <w:rPr>
          <w:rFonts w:hint="eastAsia" w:ascii="宋体" w:hAnsi="宋体" w:cs="宋体"/>
          <w:bCs/>
          <w:i w:val="0"/>
          <w:iCs w:val="0"/>
          <w:caps/>
          <w:color w:val="auto"/>
          <w:szCs w:val="22"/>
          <w:highlight w:val="none"/>
        </w:rPr>
        <w:fldChar w:fldCharType="end"/>
      </w:r>
    </w:p>
    <w:p w14:paraId="6F37DDC2">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_Toc23998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7. 评标</w:t>
      </w:r>
      <w:r>
        <w:rPr>
          <w:i w:val="0"/>
          <w:iCs w:val="0"/>
        </w:rPr>
        <w:tab/>
      </w:r>
      <w:r>
        <w:rPr>
          <w:i w:val="0"/>
          <w:iCs w:val="0"/>
        </w:rPr>
        <w:fldChar w:fldCharType="begin"/>
      </w:r>
      <w:r>
        <w:rPr>
          <w:i w:val="0"/>
          <w:iCs w:val="0"/>
        </w:rPr>
        <w:instrText xml:space="preserve"> PAGEREF _Toc23998 \h </w:instrText>
      </w:r>
      <w:r>
        <w:rPr>
          <w:i w:val="0"/>
          <w:iCs w:val="0"/>
        </w:rPr>
        <w:fldChar w:fldCharType="separate"/>
      </w:r>
      <w:r>
        <w:rPr>
          <w:i w:val="0"/>
          <w:iCs w:val="0"/>
        </w:rPr>
        <w:t>- 17 -</w:t>
      </w:r>
      <w:r>
        <w:rPr>
          <w:i w:val="0"/>
          <w:iCs w:val="0"/>
        </w:rPr>
        <w:fldChar w:fldCharType="end"/>
      </w:r>
      <w:r>
        <w:rPr>
          <w:rFonts w:hint="eastAsia" w:ascii="宋体" w:hAnsi="宋体" w:cs="宋体"/>
          <w:bCs/>
          <w:i w:val="0"/>
          <w:iCs w:val="0"/>
          <w:caps/>
          <w:color w:val="auto"/>
          <w:szCs w:val="22"/>
          <w:highlight w:val="none"/>
        </w:rPr>
        <w:fldChar w:fldCharType="end"/>
      </w:r>
    </w:p>
    <w:p w14:paraId="533832EE">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_Toc671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8. 中标和合同</w:t>
      </w:r>
      <w:r>
        <w:rPr>
          <w:i w:val="0"/>
          <w:iCs w:val="0"/>
        </w:rPr>
        <w:tab/>
      </w:r>
      <w:r>
        <w:rPr>
          <w:i w:val="0"/>
          <w:iCs w:val="0"/>
        </w:rPr>
        <w:fldChar w:fldCharType="begin"/>
      </w:r>
      <w:r>
        <w:rPr>
          <w:i w:val="0"/>
          <w:iCs w:val="0"/>
        </w:rPr>
        <w:instrText xml:space="preserve"> PAGEREF _Toc671 \h </w:instrText>
      </w:r>
      <w:r>
        <w:rPr>
          <w:i w:val="0"/>
          <w:iCs w:val="0"/>
        </w:rPr>
        <w:fldChar w:fldCharType="separate"/>
      </w:r>
      <w:r>
        <w:rPr>
          <w:i w:val="0"/>
          <w:iCs w:val="0"/>
        </w:rPr>
        <w:t>- 18 -</w:t>
      </w:r>
      <w:r>
        <w:rPr>
          <w:i w:val="0"/>
          <w:iCs w:val="0"/>
        </w:rPr>
        <w:fldChar w:fldCharType="end"/>
      </w:r>
      <w:r>
        <w:rPr>
          <w:rFonts w:hint="eastAsia" w:ascii="宋体" w:hAnsi="宋体" w:cs="宋体"/>
          <w:bCs/>
          <w:i w:val="0"/>
          <w:iCs w:val="0"/>
          <w:caps/>
          <w:color w:val="auto"/>
          <w:szCs w:val="22"/>
          <w:highlight w:val="none"/>
        </w:rPr>
        <w:fldChar w:fldCharType="end"/>
      </w:r>
    </w:p>
    <w:p w14:paraId="557113DB">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_Toc28446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9. 询问与答复</w:t>
      </w:r>
      <w:r>
        <w:rPr>
          <w:i w:val="0"/>
          <w:iCs w:val="0"/>
        </w:rPr>
        <w:tab/>
      </w:r>
      <w:r>
        <w:rPr>
          <w:i w:val="0"/>
          <w:iCs w:val="0"/>
        </w:rPr>
        <w:fldChar w:fldCharType="begin"/>
      </w:r>
      <w:r>
        <w:rPr>
          <w:i w:val="0"/>
          <w:iCs w:val="0"/>
        </w:rPr>
        <w:instrText xml:space="preserve"> PAGEREF _Toc28446 \h </w:instrText>
      </w:r>
      <w:r>
        <w:rPr>
          <w:i w:val="0"/>
          <w:iCs w:val="0"/>
        </w:rPr>
        <w:fldChar w:fldCharType="separate"/>
      </w:r>
      <w:r>
        <w:rPr>
          <w:i w:val="0"/>
          <w:iCs w:val="0"/>
        </w:rPr>
        <w:t>- 18 -</w:t>
      </w:r>
      <w:r>
        <w:rPr>
          <w:i w:val="0"/>
          <w:iCs w:val="0"/>
        </w:rPr>
        <w:fldChar w:fldCharType="end"/>
      </w:r>
      <w:r>
        <w:rPr>
          <w:rFonts w:hint="eastAsia" w:ascii="宋体" w:hAnsi="宋体" w:cs="宋体"/>
          <w:bCs/>
          <w:i w:val="0"/>
          <w:iCs w:val="0"/>
          <w:caps/>
          <w:color w:val="auto"/>
          <w:szCs w:val="22"/>
          <w:highlight w:val="none"/>
        </w:rPr>
        <w:fldChar w:fldCharType="end"/>
      </w:r>
    </w:p>
    <w:p w14:paraId="3C3C0ABE">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_Toc21614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10. 质疑接收、回复</w:t>
      </w:r>
      <w:r>
        <w:rPr>
          <w:i w:val="0"/>
          <w:iCs w:val="0"/>
        </w:rPr>
        <w:tab/>
      </w:r>
      <w:r>
        <w:rPr>
          <w:i w:val="0"/>
          <w:iCs w:val="0"/>
        </w:rPr>
        <w:fldChar w:fldCharType="begin"/>
      </w:r>
      <w:r>
        <w:rPr>
          <w:i w:val="0"/>
          <w:iCs w:val="0"/>
        </w:rPr>
        <w:instrText xml:space="preserve"> PAGEREF _Toc21614 \h </w:instrText>
      </w:r>
      <w:r>
        <w:rPr>
          <w:i w:val="0"/>
          <w:iCs w:val="0"/>
        </w:rPr>
        <w:fldChar w:fldCharType="separate"/>
      </w:r>
      <w:r>
        <w:rPr>
          <w:i w:val="0"/>
          <w:iCs w:val="0"/>
        </w:rPr>
        <w:t>- 19 -</w:t>
      </w:r>
      <w:r>
        <w:rPr>
          <w:i w:val="0"/>
          <w:iCs w:val="0"/>
        </w:rPr>
        <w:fldChar w:fldCharType="end"/>
      </w:r>
      <w:r>
        <w:rPr>
          <w:rFonts w:hint="eastAsia" w:ascii="宋体" w:hAnsi="宋体" w:cs="宋体"/>
          <w:bCs/>
          <w:i w:val="0"/>
          <w:iCs w:val="0"/>
          <w:caps/>
          <w:color w:val="auto"/>
          <w:szCs w:val="22"/>
          <w:highlight w:val="none"/>
        </w:rPr>
        <w:fldChar w:fldCharType="end"/>
      </w:r>
    </w:p>
    <w:p w14:paraId="600BBA35">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_Toc12169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11. 纪律和监督</w:t>
      </w:r>
      <w:r>
        <w:rPr>
          <w:i w:val="0"/>
          <w:iCs w:val="0"/>
        </w:rPr>
        <w:tab/>
      </w:r>
      <w:r>
        <w:rPr>
          <w:i w:val="0"/>
          <w:iCs w:val="0"/>
        </w:rPr>
        <w:fldChar w:fldCharType="begin"/>
      </w:r>
      <w:r>
        <w:rPr>
          <w:i w:val="0"/>
          <w:iCs w:val="0"/>
        </w:rPr>
        <w:instrText xml:space="preserve"> PAGEREF _Toc12169 \h </w:instrText>
      </w:r>
      <w:r>
        <w:rPr>
          <w:i w:val="0"/>
          <w:iCs w:val="0"/>
        </w:rPr>
        <w:fldChar w:fldCharType="separate"/>
      </w:r>
      <w:r>
        <w:rPr>
          <w:i w:val="0"/>
          <w:iCs w:val="0"/>
        </w:rPr>
        <w:t>- 19 -</w:t>
      </w:r>
      <w:r>
        <w:rPr>
          <w:i w:val="0"/>
          <w:iCs w:val="0"/>
        </w:rPr>
        <w:fldChar w:fldCharType="end"/>
      </w:r>
      <w:r>
        <w:rPr>
          <w:rFonts w:hint="eastAsia" w:ascii="宋体" w:hAnsi="宋体" w:cs="宋体"/>
          <w:bCs/>
          <w:i w:val="0"/>
          <w:iCs w:val="0"/>
          <w:caps/>
          <w:color w:val="auto"/>
          <w:szCs w:val="22"/>
          <w:highlight w:val="none"/>
        </w:rPr>
        <w:fldChar w:fldCharType="end"/>
      </w:r>
    </w:p>
    <w:p w14:paraId="7E25FB0C">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_Toc6852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rPr>
        <w:t>12.需要补充的其他内容</w:t>
      </w:r>
      <w:r>
        <w:rPr>
          <w:i w:val="0"/>
          <w:iCs w:val="0"/>
        </w:rPr>
        <w:tab/>
      </w:r>
      <w:r>
        <w:rPr>
          <w:i w:val="0"/>
          <w:iCs w:val="0"/>
        </w:rPr>
        <w:fldChar w:fldCharType="begin"/>
      </w:r>
      <w:r>
        <w:rPr>
          <w:i w:val="0"/>
          <w:iCs w:val="0"/>
        </w:rPr>
        <w:instrText xml:space="preserve"> PAGEREF _Toc6852 \h </w:instrText>
      </w:r>
      <w:r>
        <w:rPr>
          <w:i w:val="0"/>
          <w:iCs w:val="0"/>
        </w:rPr>
        <w:fldChar w:fldCharType="separate"/>
      </w:r>
      <w:r>
        <w:rPr>
          <w:i w:val="0"/>
          <w:iCs w:val="0"/>
        </w:rPr>
        <w:t>- 20 -</w:t>
      </w:r>
      <w:r>
        <w:rPr>
          <w:i w:val="0"/>
          <w:iCs w:val="0"/>
        </w:rPr>
        <w:fldChar w:fldCharType="end"/>
      </w:r>
      <w:r>
        <w:rPr>
          <w:rFonts w:hint="eastAsia" w:ascii="宋体" w:hAnsi="宋体" w:cs="宋体"/>
          <w:bCs/>
          <w:i w:val="0"/>
          <w:iCs w:val="0"/>
          <w:caps/>
          <w:color w:val="auto"/>
          <w:szCs w:val="22"/>
          <w:highlight w:val="none"/>
        </w:rPr>
        <w:fldChar w:fldCharType="end"/>
      </w:r>
    </w:p>
    <w:p w14:paraId="6EDB7C22">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_Toc19037 </w:instrText>
      </w:r>
      <w:r>
        <w:rPr>
          <w:rFonts w:hint="eastAsia" w:ascii="宋体" w:hAnsi="宋体" w:cs="宋体"/>
          <w:bCs/>
          <w:i w:val="0"/>
          <w:iCs w:val="0"/>
          <w:caps/>
          <w:szCs w:val="22"/>
          <w:highlight w:val="none"/>
        </w:rPr>
        <w:fldChar w:fldCharType="separate"/>
      </w:r>
      <w:r>
        <w:rPr>
          <w:rFonts w:ascii="宋体" w:hAnsi="宋体" w:eastAsia="宋体"/>
          <w:i w:val="0"/>
          <w:iCs w:val="0"/>
          <w:szCs w:val="28"/>
          <w:highlight w:val="none"/>
        </w:rPr>
        <w:t>13.中小企业、监狱企业及残疾人福利性单位</w:t>
      </w:r>
      <w:r>
        <w:rPr>
          <w:i w:val="0"/>
          <w:iCs w:val="0"/>
        </w:rPr>
        <w:tab/>
      </w:r>
      <w:r>
        <w:rPr>
          <w:i w:val="0"/>
          <w:iCs w:val="0"/>
        </w:rPr>
        <w:fldChar w:fldCharType="begin"/>
      </w:r>
      <w:r>
        <w:rPr>
          <w:i w:val="0"/>
          <w:iCs w:val="0"/>
        </w:rPr>
        <w:instrText xml:space="preserve"> PAGEREF _Toc19037 \h </w:instrText>
      </w:r>
      <w:r>
        <w:rPr>
          <w:i w:val="0"/>
          <w:iCs w:val="0"/>
        </w:rPr>
        <w:fldChar w:fldCharType="separate"/>
      </w:r>
      <w:r>
        <w:rPr>
          <w:i w:val="0"/>
          <w:iCs w:val="0"/>
        </w:rPr>
        <w:t>- 21 -</w:t>
      </w:r>
      <w:r>
        <w:rPr>
          <w:i w:val="0"/>
          <w:iCs w:val="0"/>
        </w:rPr>
        <w:fldChar w:fldCharType="end"/>
      </w:r>
      <w:r>
        <w:rPr>
          <w:rFonts w:hint="eastAsia" w:ascii="宋体" w:hAnsi="宋体" w:cs="宋体"/>
          <w:bCs/>
          <w:i w:val="0"/>
          <w:iCs w:val="0"/>
          <w:caps/>
          <w:color w:val="auto"/>
          <w:szCs w:val="22"/>
          <w:highlight w:val="none"/>
        </w:rPr>
        <w:fldChar w:fldCharType="end"/>
      </w:r>
    </w:p>
    <w:p w14:paraId="46E90660">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_Toc29415 </w:instrText>
      </w:r>
      <w:r>
        <w:rPr>
          <w:rFonts w:hint="eastAsia" w:ascii="宋体" w:hAnsi="宋体" w:cs="宋体"/>
          <w:bCs/>
          <w:i w:val="0"/>
          <w:iCs w:val="0"/>
          <w:caps/>
          <w:szCs w:val="22"/>
          <w:highlight w:val="none"/>
        </w:rPr>
        <w:fldChar w:fldCharType="separate"/>
      </w:r>
      <w:r>
        <w:rPr>
          <w:rFonts w:ascii="宋体" w:hAnsi="宋体" w:eastAsia="宋体"/>
          <w:i w:val="0"/>
          <w:iCs w:val="0"/>
          <w:szCs w:val="28"/>
          <w:highlight w:val="none"/>
        </w:rPr>
        <w:t>1</w:t>
      </w:r>
      <w:r>
        <w:rPr>
          <w:rFonts w:hint="eastAsia" w:ascii="宋体" w:hAnsi="宋体" w:eastAsia="宋体"/>
          <w:i w:val="0"/>
          <w:iCs w:val="0"/>
          <w:szCs w:val="28"/>
          <w:highlight w:val="none"/>
          <w:lang w:val="en-US" w:eastAsia="zh-CN"/>
        </w:rPr>
        <w:t>4</w:t>
      </w:r>
      <w:r>
        <w:rPr>
          <w:rFonts w:ascii="宋体" w:hAnsi="宋体" w:eastAsia="宋体"/>
          <w:i w:val="0"/>
          <w:iCs w:val="0"/>
          <w:szCs w:val="28"/>
          <w:highlight w:val="none"/>
        </w:rPr>
        <w:t>.</w:t>
      </w:r>
      <w:r>
        <w:rPr>
          <w:rFonts w:hint="eastAsia" w:ascii="宋体" w:hAnsi="宋体" w:eastAsia="宋体"/>
          <w:i w:val="0"/>
          <w:iCs w:val="0"/>
          <w:szCs w:val="28"/>
          <w:highlight w:val="none"/>
        </w:rPr>
        <w:t>对本国产品的支持政策</w:t>
      </w:r>
      <w:r>
        <w:rPr>
          <w:i w:val="0"/>
          <w:iCs w:val="0"/>
        </w:rPr>
        <w:tab/>
      </w:r>
      <w:r>
        <w:rPr>
          <w:i w:val="0"/>
          <w:iCs w:val="0"/>
        </w:rPr>
        <w:fldChar w:fldCharType="begin"/>
      </w:r>
      <w:r>
        <w:rPr>
          <w:i w:val="0"/>
          <w:iCs w:val="0"/>
        </w:rPr>
        <w:instrText xml:space="preserve"> PAGEREF _Toc29415 \h </w:instrText>
      </w:r>
      <w:r>
        <w:rPr>
          <w:i w:val="0"/>
          <w:iCs w:val="0"/>
        </w:rPr>
        <w:fldChar w:fldCharType="separate"/>
      </w:r>
      <w:r>
        <w:rPr>
          <w:i w:val="0"/>
          <w:iCs w:val="0"/>
        </w:rPr>
        <w:t>- 28 -</w:t>
      </w:r>
      <w:r>
        <w:rPr>
          <w:i w:val="0"/>
          <w:iCs w:val="0"/>
        </w:rPr>
        <w:fldChar w:fldCharType="end"/>
      </w:r>
      <w:r>
        <w:rPr>
          <w:rFonts w:hint="eastAsia" w:ascii="宋体" w:hAnsi="宋体" w:cs="宋体"/>
          <w:bCs/>
          <w:i w:val="0"/>
          <w:iCs w:val="0"/>
          <w:caps/>
          <w:color w:val="auto"/>
          <w:szCs w:val="22"/>
          <w:highlight w:val="none"/>
        </w:rPr>
        <w:fldChar w:fldCharType="end"/>
      </w:r>
    </w:p>
    <w:p w14:paraId="060C0DC2">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_Toc29113 </w:instrText>
      </w:r>
      <w:r>
        <w:rPr>
          <w:rFonts w:hint="eastAsia" w:ascii="宋体" w:hAnsi="宋体" w:cs="宋体"/>
          <w:bCs/>
          <w:i w:val="0"/>
          <w:iCs w:val="0"/>
          <w:caps/>
          <w:szCs w:val="22"/>
          <w:highlight w:val="none"/>
        </w:rPr>
        <w:fldChar w:fldCharType="separate"/>
      </w:r>
      <w:r>
        <w:rPr>
          <w:rFonts w:ascii="宋体" w:hAnsi="宋体" w:eastAsia="宋体"/>
          <w:i w:val="0"/>
          <w:iCs w:val="0"/>
          <w:szCs w:val="28"/>
          <w:highlight w:val="none"/>
        </w:rPr>
        <w:t>1</w:t>
      </w:r>
      <w:r>
        <w:rPr>
          <w:rFonts w:hint="eastAsia" w:ascii="宋体" w:hAnsi="宋体" w:eastAsia="宋体"/>
          <w:i w:val="0"/>
          <w:iCs w:val="0"/>
          <w:szCs w:val="28"/>
          <w:highlight w:val="none"/>
          <w:lang w:val="en-US" w:eastAsia="zh-CN"/>
        </w:rPr>
        <w:t>5</w:t>
      </w:r>
      <w:r>
        <w:rPr>
          <w:rFonts w:ascii="宋体" w:hAnsi="宋体" w:eastAsia="宋体"/>
          <w:i w:val="0"/>
          <w:iCs w:val="0"/>
          <w:szCs w:val="28"/>
          <w:highlight w:val="none"/>
        </w:rPr>
        <w:t>.政府采购节能产品、环境标志产品</w:t>
      </w:r>
      <w:r>
        <w:rPr>
          <w:i w:val="0"/>
          <w:iCs w:val="0"/>
        </w:rPr>
        <w:tab/>
      </w:r>
      <w:r>
        <w:rPr>
          <w:i w:val="0"/>
          <w:iCs w:val="0"/>
        </w:rPr>
        <w:fldChar w:fldCharType="begin"/>
      </w:r>
      <w:r>
        <w:rPr>
          <w:i w:val="0"/>
          <w:iCs w:val="0"/>
        </w:rPr>
        <w:instrText xml:space="preserve"> PAGEREF _Toc29113 \h </w:instrText>
      </w:r>
      <w:r>
        <w:rPr>
          <w:i w:val="0"/>
          <w:iCs w:val="0"/>
        </w:rPr>
        <w:fldChar w:fldCharType="separate"/>
      </w:r>
      <w:r>
        <w:rPr>
          <w:i w:val="0"/>
          <w:iCs w:val="0"/>
        </w:rPr>
        <w:t>- 30 -</w:t>
      </w:r>
      <w:r>
        <w:rPr>
          <w:i w:val="0"/>
          <w:iCs w:val="0"/>
        </w:rPr>
        <w:fldChar w:fldCharType="end"/>
      </w:r>
      <w:r>
        <w:rPr>
          <w:rFonts w:hint="eastAsia" w:ascii="宋体" w:hAnsi="宋体" w:cs="宋体"/>
          <w:bCs/>
          <w:i w:val="0"/>
          <w:iCs w:val="0"/>
          <w:caps/>
          <w:color w:val="auto"/>
          <w:szCs w:val="22"/>
          <w:highlight w:val="none"/>
        </w:rPr>
        <w:fldChar w:fldCharType="end"/>
      </w:r>
    </w:p>
    <w:p w14:paraId="1E365DE5">
      <w:pPr>
        <w:pStyle w:val="27"/>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_Toc28833 </w:instrText>
      </w:r>
      <w:r>
        <w:rPr>
          <w:rFonts w:hint="eastAsia" w:ascii="宋体" w:hAnsi="宋体" w:cs="宋体"/>
          <w:bCs/>
          <w:i w:val="0"/>
          <w:iCs w:val="0"/>
          <w:caps/>
          <w:szCs w:val="22"/>
          <w:highlight w:val="none"/>
        </w:rPr>
        <w:fldChar w:fldCharType="separate"/>
      </w:r>
      <w:r>
        <w:rPr>
          <w:rFonts w:hint="eastAsia" w:ascii="宋体" w:hAnsi="宋体" w:cs="宋体"/>
          <w:bCs/>
          <w:i w:val="0"/>
          <w:iCs w:val="0"/>
          <w:szCs w:val="44"/>
          <w:highlight w:val="none"/>
        </w:rPr>
        <w:t>第三章 资格审查</w:t>
      </w:r>
      <w:r>
        <w:rPr>
          <w:i w:val="0"/>
          <w:iCs w:val="0"/>
        </w:rPr>
        <w:tab/>
      </w:r>
      <w:r>
        <w:rPr>
          <w:i w:val="0"/>
          <w:iCs w:val="0"/>
        </w:rPr>
        <w:fldChar w:fldCharType="begin"/>
      </w:r>
      <w:r>
        <w:rPr>
          <w:i w:val="0"/>
          <w:iCs w:val="0"/>
        </w:rPr>
        <w:instrText xml:space="preserve"> PAGEREF _Toc28833 \h </w:instrText>
      </w:r>
      <w:r>
        <w:rPr>
          <w:i w:val="0"/>
          <w:iCs w:val="0"/>
        </w:rPr>
        <w:fldChar w:fldCharType="separate"/>
      </w:r>
      <w:r>
        <w:rPr>
          <w:i w:val="0"/>
          <w:iCs w:val="0"/>
        </w:rPr>
        <w:t>- 31 -</w:t>
      </w:r>
      <w:r>
        <w:rPr>
          <w:i w:val="0"/>
          <w:iCs w:val="0"/>
        </w:rPr>
        <w:fldChar w:fldCharType="end"/>
      </w:r>
      <w:r>
        <w:rPr>
          <w:rFonts w:hint="eastAsia" w:ascii="宋体" w:hAnsi="宋体" w:cs="宋体"/>
          <w:bCs/>
          <w:i w:val="0"/>
          <w:iCs w:val="0"/>
          <w:caps/>
          <w:color w:val="auto"/>
          <w:szCs w:val="22"/>
          <w:highlight w:val="none"/>
        </w:rPr>
        <w:fldChar w:fldCharType="end"/>
      </w:r>
    </w:p>
    <w:p w14:paraId="16498E53">
      <w:pPr>
        <w:pStyle w:val="27"/>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_Toc5062 </w:instrText>
      </w:r>
      <w:r>
        <w:rPr>
          <w:rFonts w:hint="eastAsia" w:ascii="宋体" w:hAnsi="宋体" w:cs="宋体"/>
          <w:bCs/>
          <w:i w:val="0"/>
          <w:iCs w:val="0"/>
          <w:caps/>
          <w:szCs w:val="22"/>
          <w:highlight w:val="none"/>
        </w:rPr>
        <w:fldChar w:fldCharType="separate"/>
      </w:r>
      <w:r>
        <w:rPr>
          <w:rFonts w:hint="eastAsia" w:ascii="宋体" w:hAnsi="宋体" w:cs="宋体"/>
          <w:i w:val="0"/>
          <w:iCs w:val="0"/>
          <w:highlight w:val="none"/>
        </w:rPr>
        <w:t>第四章 评标办法(综合评分法)</w:t>
      </w:r>
      <w:r>
        <w:rPr>
          <w:i w:val="0"/>
          <w:iCs w:val="0"/>
        </w:rPr>
        <w:tab/>
      </w:r>
      <w:r>
        <w:rPr>
          <w:i w:val="0"/>
          <w:iCs w:val="0"/>
        </w:rPr>
        <w:fldChar w:fldCharType="begin"/>
      </w:r>
      <w:r>
        <w:rPr>
          <w:i w:val="0"/>
          <w:iCs w:val="0"/>
        </w:rPr>
        <w:instrText xml:space="preserve"> PAGEREF _Toc5062 \h </w:instrText>
      </w:r>
      <w:r>
        <w:rPr>
          <w:i w:val="0"/>
          <w:iCs w:val="0"/>
        </w:rPr>
        <w:fldChar w:fldCharType="separate"/>
      </w:r>
      <w:r>
        <w:rPr>
          <w:i w:val="0"/>
          <w:iCs w:val="0"/>
        </w:rPr>
        <w:t>- 33 -</w:t>
      </w:r>
      <w:r>
        <w:rPr>
          <w:i w:val="0"/>
          <w:iCs w:val="0"/>
        </w:rPr>
        <w:fldChar w:fldCharType="end"/>
      </w:r>
      <w:r>
        <w:rPr>
          <w:rFonts w:hint="eastAsia" w:ascii="宋体" w:hAnsi="宋体" w:cs="宋体"/>
          <w:bCs/>
          <w:i w:val="0"/>
          <w:iCs w:val="0"/>
          <w:caps/>
          <w:color w:val="auto"/>
          <w:szCs w:val="22"/>
          <w:highlight w:val="none"/>
        </w:rPr>
        <w:fldChar w:fldCharType="end"/>
      </w:r>
    </w:p>
    <w:p w14:paraId="207B04BC">
      <w:pPr>
        <w:pStyle w:val="27"/>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_Toc21744 </w:instrText>
      </w:r>
      <w:r>
        <w:rPr>
          <w:rFonts w:hint="eastAsia" w:ascii="宋体" w:hAnsi="宋体" w:cs="宋体"/>
          <w:bCs/>
          <w:i w:val="0"/>
          <w:iCs w:val="0"/>
          <w:caps/>
          <w:szCs w:val="22"/>
          <w:highlight w:val="none"/>
        </w:rPr>
        <w:fldChar w:fldCharType="separate"/>
      </w:r>
      <w:r>
        <w:rPr>
          <w:rFonts w:hint="eastAsia" w:ascii="宋体" w:hAnsi="宋体" w:cs="宋体"/>
          <w:i w:val="0"/>
          <w:iCs w:val="0"/>
          <w:highlight w:val="none"/>
        </w:rPr>
        <w:t>第五章 合同条款及格式</w:t>
      </w:r>
      <w:r>
        <w:rPr>
          <w:i w:val="0"/>
          <w:iCs w:val="0"/>
        </w:rPr>
        <w:tab/>
      </w:r>
      <w:r>
        <w:rPr>
          <w:i w:val="0"/>
          <w:iCs w:val="0"/>
        </w:rPr>
        <w:fldChar w:fldCharType="begin"/>
      </w:r>
      <w:r>
        <w:rPr>
          <w:i w:val="0"/>
          <w:iCs w:val="0"/>
        </w:rPr>
        <w:instrText xml:space="preserve"> PAGEREF _Toc21744 \h </w:instrText>
      </w:r>
      <w:r>
        <w:rPr>
          <w:i w:val="0"/>
          <w:iCs w:val="0"/>
        </w:rPr>
        <w:fldChar w:fldCharType="separate"/>
      </w:r>
      <w:r>
        <w:rPr>
          <w:i w:val="0"/>
          <w:iCs w:val="0"/>
        </w:rPr>
        <w:t>- 41 -</w:t>
      </w:r>
      <w:r>
        <w:rPr>
          <w:i w:val="0"/>
          <w:iCs w:val="0"/>
        </w:rPr>
        <w:fldChar w:fldCharType="end"/>
      </w:r>
      <w:r>
        <w:rPr>
          <w:rFonts w:hint="eastAsia" w:ascii="宋体" w:hAnsi="宋体" w:cs="宋体"/>
          <w:bCs/>
          <w:i w:val="0"/>
          <w:iCs w:val="0"/>
          <w:caps/>
          <w:color w:val="auto"/>
          <w:szCs w:val="22"/>
          <w:highlight w:val="none"/>
        </w:rPr>
        <w:fldChar w:fldCharType="end"/>
      </w:r>
    </w:p>
    <w:p w14:paraId="75068F73">
      <w:pPr>
        <w:pStyle w:val="27"/>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_Toc13077 </w:instrText>
      </w:r>
      <w:r>
        <w:rPr>
          <w:rFonts w:hint="eastAsia" w:ascii="宋体" w:hAnsi="宋体" w:cs="宋体"/>
          <w:bCs/>
          <w:i w:val="0"/>
          <w:iCs w:val="0"/>
          <w:caps/>
          <w:szCs w:val="22"/>
          <w:highlight w:val="none"/>
        </w:rPr>
        <w:fldChar w:fldCharType="separate"/>
      </w:r>
      <w:r>
        <w:rPr>
          <w:rFonts w:hint="eastAsia" w:ascii="宋体" w:hAnsi="宋体" w:cs="宋体"/>
          <w:i w:val="0"/>
          <w:iCs w:val="0"/>
          <w:highlight w:val="none"/>
        </w:rPr>
        <w:t>第六章 招标内容及要求</w:t>
      </w:r>
      <w:r>
        <w:rPr>
          <w:i w:val="0"/>
          <w:iCs w:val="0"/>
        </w:rPr>
        <w:tab/>
      </w:r>
      <w:r>
        <w:rPr>
          <w:i w:val="0"/>
          <w:iCs w:val="0"/>
        </w:rPr>
        <w:fldChar w:fldCharType="begin"/>
      </w:r>
      <w:r>
        <w:rPr>
          <w:i w:val="0"/>
          <w:iCs w:val="0"/>
        </w:rPr>
        <w:instrText xml:space="preserve"> PAGEREF _Toc13077 \h </w:instrText>
      </w:r>
      <w:r>
        <w:rPr>
          <w:i w:val="0"/>
          <w:iCs w:val="0"/>
        </w:rPr>
        <w:fldChar w:fldCharType="separate"/>
      </w:r>
      <w:r>
        <w:rPr>
          <w:i w:val="0"/>
          <w:iCs w:val="0"/>
        </w:rPr>
        <w:t>- 55 -</w:t>
      </w:r>
      <w:r>
        <w:rPr>
          <w:i w:val="0"/>
          <w:iCs w:val="0"/>
        </w:rPr>
        <w:fldChar w:fldCharType="end"/>
      </w:r>
      <w:r>
        <w:rPr>
          <w:rFonts w:hint="eastAsia" w:ascii="宋体" w:hAnsi="宋体" w:cs="宋体"/>
          <w:bCs/>
          <w:i w:val="0"/>
          <w:iCs w:val="0"/>
          <w:caps/>
          <w:color w:val="auto"/>
          <w:szCs w:val="22"/>
          <w:highlight w:val="none"/>
        </w:rPr>
        <w:fldChar w:fldCharType="end"/>
      </w:r>
    </w:p>
    <w:p w14:paraId="50710D07">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_Toc3947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一、货物需求一览表</w:t>
      </w:r>
      <w:r>
        <w:rPr>
          <w:i w:val="0"/>
          <w:iCs w:val="0"/>
        </w:rPr>
        <w:tab/>
      </w:r>
      <w:r>
        <w:rPr>
          <w:i w:val="0"/>
          <w:iCs w:val="0"/>
        </w:rPr>
        <w:fldChar w:fldCharType="begin"/>
      </w:r>
      <w:r>
        <w:rPr>
          <w:i w:val="0"/>
          <w:iCs w:val="0"/>
        </w:rPr>
        <w:instrText xml:space="preserve"> PAGEREF _Toc3947 \h </w:instrText>
      </w:r>
      <w:r>
        <w:rPr>
          <w:i w:val="0"/>
          <w:iCs w:val="0"/>
        </w:rPr>
        <w:fldChar w:fldCharType="separate"/>
      </w:r>
      <w:r>
        <w:rPr>
          <w:i w:val="0"/>
          <w:iCs w:val="0"/>
        </w:rPr>
        <w:t>- 56 -</w:t>
      </w:r>
      <w:r>
        <w:rPr>
          <w:i w:val="0"/>
          <w:iCs w:val="0"/>
        </w:rPr>
        <w:fldChar w:fldCharType="end"/>
      </w:r>
      <w:r>
        <w:rPr>
          <w:rFonts w:hint="eastAsia" w:ascii="宋体" w:hAnsi="宋体" w:cs="宋体"/>
          <w:bCs/>
          <w:i w:val="0"/>
          <w:iCs w:val="0"/>
          <w:caps/>
          <w:color w:val="auto"/>
          <w:szCs w:val="22"/>
          <w:highlight w:val="none"/>
        </w:rPr>
        <w:fldChar w:fldCharType="end"/>
      </w:r>
    </w:p>
    <w:p w14:paraId="36CEC917">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_Toc17159 </w:instrText>
      </w:r>
      <w:r>
        <w:rPr>
          <w:rFonts w:hint="eastAsia" w:ascii="宋体" w:hAnsi="宋体" w:cs="宋体"/>
          <w:bCs/>
          <w:i w:val="0"/>
          <w:iCs w:val="0"/>
          <w:caps/>
          <w:szCs w:val="22"/>
          <w:highlight w:val="none"/>
        </w:rPr>
        <w:fldChar w:fldCharType="separate"/>
      </w:r>
      <w:r>
        <w:rPr>
          <w:rFonts w:hint="eastAsia" w:ascii="Times New Roman" w:hAnsi="Times New Roman" w:eastAsia="宋体" w:cs="Times New Roman"/>
          <w:bCs/>
          <w:i w:val="0"/>
          <w:iCs w:val="0"/>
          <w:szCs w:val="28"/>
          <w:highlight w:val="none"/>
          <w:lang w:val="en-US" w:eastAsia="zh-CN"/>
        </w:rPr>
        <w:t>二、技术要求</w:t>
      </w:r>
      <w:r>
        <w:rPr>
          <w:i w:val="0"/>
          <w:iCs w:val="0"/>
        </w:rPr>
        <w:tab/>
      </w:r>
      <w:r>
        <w:rPr>
          <w:i w:val="0"/>
          <w:iCs w:val="0"/>
        </w:rPr>
        <w:fldChar w:fldCharType="begin"/>
      </w:r>
      <w:r>
        <w:rPr>
          <w:i w:val="0"/>
          <w:iCs w:val="0"/>
        </w:rPr>
        <w:instrText xml:space="preserve"> PAGEREF _Toc17159 \h </w:instrText>
      </w:r>
      <w:r>
        <w:rPr>
          <w:i w:val="0"/>
          <w:iCs w:val="0"/>
        </w:rPr>
        <w:fldChar w:fldCharType="separate"/>
      </w:r>
      <w:r>
        <w:rPr>
          <w:i w:val="0"/>
          <w:iCs w:val="0"/>
        </w:rPr>
        <w:t>- 57 -</w:t>
      </w:r>
      <w:r>
        <w:rPr>
          <w:i w:val="0"/>
          <w:iCs w:val="0"/>
        </w:rPr>
        <w:fldChar w:fldCharType="end"/>
      </w:r>
      <w:r>
        <w:rPr>
          <w:rFonts w:hint="eastAsia" w:ascii="宋体" w:hAnsi="宋体" w:cs="宋体"/>
          <w:bCs/>
          <w:i w:val="0"/>
          <w:iCs w:val="0"/>
          <w:caps/>
          <w:color w:val="auto"/>
          <w:szCs w:val="22"/>
          <w:highlight w:val="none"/>
        </w:rPr>
        <w:fldChar w:fldCharType="end"/>
      </w:r>
    </w:p>
    <w:p w14:paraId="53393858">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_Toc1933 </w:instrText>
      </w:r>
      <w:r>
        <w:rPr>
          <w:rFonts w:hint="eastAsia" w:ascii="宋体" w:hAnsi="宋体" w:cs="宋体"/>
          <w:bCs/>
          <w:i w:val="0"/>
          <w:iCs w:val="0"/>
          <w:caps/>
          <w:szCs w:val="22"/>
          <w:highlight w:val="none"/>
        </w:rPr>
        <w:fldChar w:fldCharType="separate"/>
      </w:r>
      <w:r>
        <w:rPr>
          <w:rFonts w:hint="eastAsia" w:ascii="Times New Roman" w:hAnsi="Times New Roman" w:eastAsia="宋体" w:cs="Times New Roman"/>
          <w:bCs/>
          <w:i w:val="0"/>
          <w:iCs w:val="0"/>
          <w:szCs w:val="28"/>
          <w:highlight w:val="none"/>
          <w:lang w:val="en-US" w:eastAsia="zh-CN"/>
        </w:rPr>
        <w:t>三、</w:t>
      </w:r>
      <w:r>
        <w:rPr>
          <w:rFonts w:hint="eastAsia" w:ascii="宋体" w:hAnsi="宋体" w:eastAsia="宋体" w:cs="宋体"/>
          <w:bCs/>
          <w:i w:val="0"/>
          <w:iCs w:val="0"/>
          <w:szCs w:val="28"/>
          <w:highlight w:val="none"/>
          <w:lang w:val="en-US" w:eastAsia="zh-CN"/>
        </w:rPr>
        <w:t>★</w:t>
      </w:r>
      <w:r>
        <w:rPr>
          <w:rFonts w:hint="eastAsia" w:ascii="Times New Roman" w:hAnsi="Times New Roman" w:eastAsia="宋体" w:cs="Times New Roman"/>
          <w:bCs/>
          <w:i w:val="0"/>
          <w:iCs w:val="0"/>
          <w:szCs w:val="28"/>
          <w:highlight w:val="none"/>
          <w:lang w:val="en-US" w:eastAsia="zh-CN"/>
        </w:rPr>
        <w:t>单套配置清单要求</w:t>
      </w:r>
      <w:r>
        <w:rPr>
          <w:i w:val="0"/>
          <w:iCs w:val="0"/>
        </w:rPr>
        <w:tab/>
      </w:r>
      <w:r>
        <w:rPr>
          <w:i w:val="0"/>
          <w:iCs w:val="0"/>
        </w:rPr>
        <w:fldChar w:fldCharType="begin"/>
      </w:r>
      <w:r>
        <w:rPr>
          <w:i w:val="0"/>
          <w:iCs w:val="0"/>
        </w:rPr>
        <w:instrText xml:space="preserve"> PAGEREF _Toc1933 \h </w:instrText>
      </w:r>
      <w:r>
        <w:rPr>
          <w:i w:val="0"/>
          <w:iCs w:val="0"/>
        </w:rPr>
        <w:fldChar w:fldCharType="separate"/>
      </w:r>
      <w:r>
        <w:rPr>
          <w:i w:val="0"/>
          <w:iCs w:val="0"/>
        </w:rPr>
        <w:t>- 58 -</w:t>
      </w:r>
      <w:r>
        <w:rPr>
          <w:i w:val="0"/>
          <w:iCs w:val="0"/>
        </w:rPr>
        <w:fldChar w:fldCharType="end"/>
      </w:r>
      <w:r>
        <w:rPr>
          <w:rFonts w:hint="eastAsia" w:ascii="宋体" w:hAnsi="宋体" w:cs="宋体"/>
          <w:bCs/>
          <w:i w:val="0"/>
          <w:iCs w:val="0"/>
          <w:caps/>
          <w:color w:val="auto"/>
          <w:szCs w:val="22"/>
          <w:highlight w:val="none"/>
        </w:rPr>
        <w:fldChar w:fldCharType="end"/>
      </w:r>
    </w:p>
    <w:p w14:paraId="1012CC35">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_Toc12379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lang w:val="en-US" w:eastAsia="zh-CN"/>
        </w:rPr>
        <w:t>四</w:t>
      </w:r>
      <w:r>
        <w:rPr>
          <w:rFonts w:hint="eastAsia" w:ascii="宋体" w:hAnsi="宋体" w:eastAsia="宋体" w:cs="宋体"/>
          <w:i w:val="0"/>
          <w:iCs w:val="0"/>
          <w:szCs w:val="28"/>
          <w:highlight w:val="none"/>
        </w:rPr>
        <w:t>、商务要求</w:t>
      </w:r>
      <w:r>
        <w:rPr>
          <w:i w:val="0"/>
          <w:iCs w:val="0"/>
        </w:rPr>
        <w:tab/>
      </w:r>
      <w:r>
        <w:rPr>
          <w:i w:val="0"/>
          <w:iCs w:val="0"/>
        </w:rPr>
        <w:fldChar w:fldCharType="begin"/>
      </w:r>
      <w:r>
        <w:rPr>
          <w:i w:val="0"/>
          <w:iCs w:val="0"/>
        </w:rPr>
        <w:instrText xml:space="preserve"> PAGEREF _Toc12379 \h </w:instrText>
      </w:r>
      <w:r>
        <w:rPr>
          <w:i w:val="0"/>
          <w:iCs w:val="0"/>
        </w:rPr>
        <w:fldChar w:fldCharType="separate"/>
      </w:r>
      <w:r>
        <w:rPr>
          <w:i w:val="0"/>
          <w:iCs w:val="0"/>
        </w:rPr>
        <w:t>- 59 -</w:t>
      </w:r>
      <w:r>
        <w:rPr>
          <w:i w:val="0"/>
          <w:iCs w:val="0"/>
        </w:rPr>
        <w:fldChar w:fldCharType="end"/>
      </w:r>
      <w:r>
        <w:rPr>
          <w:rFonts w:hint="eastAsia" w:ascii="宋体" w:hAnsi="宋体" w:cs="宋体"/>
          <w:bCs/>
          <w:i w:val="0"/>
          <w:iCs w:val="0"/>
          <w:caps/>
          <w:color w:val="auto"/>
          <w:szCs w:val="22"/>
          <w:highlight w:val="none"/>
        </w:rPr>
        <w:fldChar w:fldCharType="end"/>
      </w:r>
    </w:p>
    <w:p w14:paraId="0D978E12">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_Toc21887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lang w:val="en-US" w:eastAsia="zh-CN"/>
        </w:rPr>
        <w:t>五、其他要求</w:t>
      </w:r>
      <w:r>
        <w:rPr>
          <w:i w:val="0"/>
          <w:iCs w:val="0"/>
        </w:rPr>
        <w:tab/>
      </w:r>
      <w:r>
        <w:rPr>
          <w:i w:val="0"/>
          <w:iCs w:val="0"/>
        </w:rPr>
        <w:fldChar w:fldCharType="begin"/>
      </w:r>
      <w:r>
        <w:rPr>
          <w:i w:val="0"/>
          <w:iCs w:val="0"/>
        </w:rPr>
        <w:instrText xml:space="preserve"> PAGEREF _Toc21887 \h </w:instrText>
      </w:r>
      <w:r>
        <w:rPr>
          <w:i w:val="0"/>
          <w:iCs w:val="0"/>
        </w:rPr>
        <w:fldChar w:fldCharType="separate"/>
      </w:r>
      <w:r>
        <w:rPr>
          <w:i w:val="0"/>
          <w:iCs w:val="0"/>
        </w:rPr>
        <w:t>- 60 -</w:t>
      </w:r>
      <w:r>
        <w:rPr>
          <w:i w:val="0"/>
          <w:iCs w:val="0"/>
        </w:rPr>
        <w:fldChar w:fldCharType="end"/>
      </w:r>
      <w:r>
        <w:rPr>
          <w:rFonts w:hint="eastAsia" w:ascii="宋体" w:hAnsi="宋体" w:cs="宋体"/>
          <w:bCs/>
          <w:i w:val="0"/>
          <w:iCs w:val="0"/>
          <w:caps/>
          <w:color w:val="auto"/>
          <w:szCs w:val="22"/>
          <w:highlight w:val="none"/>
        </w:rPr>
        <w:fldChar w:fldCharType="end"/>
      </w:r>
    </w:p>
    <w:p w14:paraId="2153776B">
      <w:pPr>
        <w:pStyle w:val="27"/>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_Toc16219 </w:instrText>
      </w:r>
      <w:r>
        <w:rPr>
          <w:rFonts w:hint="eastAsia" w:ascii="宋体" w:hAnsi="宋体" w:cs="宋体"/>
          <w:bCs/>
          <w:i w:val="0"/>
          <w:iCs w:val="0"/>
          <w:caps/>
          <w:szCs w:val="22"/>
          <w:highlight w:val="none"/>
        </w:rPr>
        <w:fldChar w:fldCharType="separate"/>
      </w:r>
      <w:r>
        <w:rPr>
          <w:rFonts w:hint="eastAsia" w:ascii="宋体" w:hAnsi="宋体" w:cs="宋体"/>
          <w:i w:val="0"/>
          <w:iCs w:val="0"/>
          <w:highlight w:val="none"/>
        </w:rPr>
        <w:t>第七章 投标文件格式</w:t>
      </w:r>
      <w:r>
        <w:rPr>
          <w:i w:val="0"/>
          <w:iCs w:val="0"/>
        </w:rPr>
        <w:tab/>
      </w:r>
      <w:r>
        <w:rPr>
          <w:i w:val="0"/>
          <w:iCs w:val="0"/>
        </w:rPr>
        <w:fldChar w:fldCharType="begin"/>
      </w:r>
      <w:r>
        <w:rPr>
          <w:i w:val="0"/>
          <w:iCs w:val="0"/>
        </w:rPr>
        <w:instrText xml:space="preserve"> PAGEREF _Toc16219 \h </w:instrText>
      </w:r>
      <w:r>
        <w:rPr>
          <w:i w:val="0"/>
          <w:iCs w:val="0"/>
        </w:rPr>
        <w:fldChar w:fldCharType="separate"/>
      </w:r>
      <w:r>
        <w:rPr>
          <w:i w:val="0"/>
          <w:iCs w:val="0"/>
        </w:rPr>
        <w:t>- 61 -</w:t>
      </w:r>
      <w:r>
        <w:rPr>
          <w:i w:val="0"/>
          <w:iCs w:val="0"/>
        </w:rPr>
        <w:fldChar w:fldCharType="end"/>
      </w:r>
      <w:r>
        <w:rPr>
          <w:rFonts w:hint="eastAsia" w:ascii="宋体" w:hAnsi="宋体" w:cs="宋体"/>
          <w:bCs/>
          <w:i w:val="0"/>
          <w:iCs w:val="0"/>
          <w:caps/>
          <w:color w:val="auto"/>
          <w:szCs w:val="22"/>
          <w:highlight w:val="none"/>
        </w:rPr>
        <w:fldChar w:fldCharType="end"/>
      </w:r>
    </w:p>
    <w:p w14:paraId="573C28A1">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_Toc3615 </w:instrText>
      </w:r>
      <w:r>
        <w:rPr>
          <w:rFonts w:hint="eastAsia" w:ascii="宋体" w:hAnsi="宋体" w:cs="宋体"/>
          <w:bCs/>
          <w:i w:val="0"/>
          <w:iCs w:val="0"/>
          <w:caps/>
          <w:szCs w:val="22"/>
          <w:highlight w:val="none"/>
        </w:rPr>
        <w:fldChar w:fldCharType="separate"/>
      </w:r>
      <w:r>
        <w:rPr>
          <w:rFonts w:hint="eastAsia" w:ascii="宋体" w:hAnsi="宋体" w:cs="宋体"/>
          <w:bCs/>
          <w:i w:val="0"/>
          <w:iCs w:val="0"/>
          <w:szCs w:val="32"/>
          <w:highlight w:val="none"/>
        </w:rPr>
        <w:t>资格审查部分</w:t>
      </w:r>
      <w:r>
        <w:rPr>
          <w:i w:val="0"/>
          <w:iCs w:val="0"/>
        </w:rPr>
        <w:tab/>
      </w:r>
      <w:r>
        <w:rPr>
          <w:i w:val="0"/>
          <w:iCs w:val="0"/>
        </w:rPr>
        <w:fldChar w:fldCharType="begin"/>
      </w:r>
      <w:r>
        <w:rPr>
          <w:i w:val="0"/>
          <w:iCs w:val="0"/>
        </w:rPr>
        <w:instrText xml:space="preserve"> PAGEREF _Toc3615 \h </w:instrText>
      </w:r>
      <w:r>
        <w:rPr>
          <w:i w:val="0"/>
          <w:iCs w:val="0"/>
        </w:rPr>
        <w:fldChar w:fldCharType="separate"/>
      </w:r>
      <w:r>
        <w:rPr>
          <w:i w:val="0"/>
          <w:iCs w:val="0"/>
        </w:rPr>
        <w:t>- 61 -</w:t>
      </w:r>
      <w:r>
        <w:rPr>
          <w:i w:val="0"/>
          <w:iCs w:val="0"/>
        </w:rPr>
        <w:fldChar w:fldCharType="end"/>
      </w:r>
      <w:r>
        <w:rPr>
          <w:rFonts w:hint="eastAsia" w:ascii="宋体" w:hAnsi="宋体" w:cs="宋体"/>
          <w:bCs/>
          <w:i w:val="0"/>
          <w:iCs w:val="0"/>
          <w:caps/>
          <w:color w:val="auto"/>
          <w:szCs w:val="22"/>
          <w:highlight w:val="none"/>
        </w:rPr>
        <w:fldChar w:fldCharType="end"/>
      </w:r>
    </w:p>
    <w:p w14:paraId="54240698">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_Toc29757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一、具有独立承担民事责任的能力</w:t>
      </w:r>
      <w:r>
        <w:rPr>
          <w:i w:val="0"/>
          <w:iCs w:val="0"/>
        </w:rPr>
        <w:tab/>
      </w:r>
      <w:r>
        <w:rPr>
          <w:i w:val="0"/>
          <w:iCs w:val="0"/>
        </w:rPr>
        <w:fldChar w:fldCharType="begin"/>
      </w:r>
      <w:r>
        <w:rPr>
          <w:i w:val="0"/>
          <w:iCs w:val="0"/>
        </w:rPr>
        <w:instrText xml:space="preserve"> PAGEREF _Toc29757 \h </w:instrText>
      </w:r>
      <w:r>
        <w:rPr>
          <w:i w:val="0"/>
          <w:iCs w:val="0"/>
        </w:rPr>
        <w:fldChar w:fldCharType="separate"/>
      </w:r>
      <w:r>
        <w:rPr>
          <w:i w:val="0"/>
          <w:iCs w:val="0"/>
        </w:rPr>
        <w:t>- 62 -</w:t>
      </w:r>
      <w:r>
        <w:rPr>
          <w:i w:val="0"/>
          <w:iCs w:val="0"/>
        </w:rPr>
        <w:fldChar w:fldCharType="end"/>
      </w:r>
      <w:r>
        <w:rPr>
          <w:rFonts w:hint="eastAsia" w:ascii="宋体" w:hAnsi="宋体" w:cs="宋体"/>
          <w:bCs/>
          <w:i w:val="0"/>
          <w:iCs w:val="0"/>
          <w:caps/>
          <w:color w:val="auto"/>
          <w:szCs w:val="22"/>
          <w:highlight w:val="none"/>
        </w:rPr>
        <w:fldChar w:fldCharType="end"/>
      </w:r>
    </w:p>
    <w:p w14:paraId="01DF8A65">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_Toc9300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二、具有良好的商业信誉和健全的财务会计制度</w:t>
      </w:r>
      <w:r>
        <w:rPr>
          <w:i w:val="0"/>
          <w:iCs w:val="0"/>
        </w:rPr>
        <w:tab/>
      </w:r>
      <w:r>
        <w:rPr>
          <w:i w:val="0"/>
          <w:iCs w:val="0"/>
        </w:rPr>
        <w:fldChar w:fldCharType="begin"/>
      </w:r>
      <w:r>
        <w:rPr>
          <w:i w:val="0"/>
          <w:iCs w:val="0"/>
        </w:rPr>
        <w:instrText xml:space="preserve"> PAGEREF _Toc9300 \h </w:instrText>
      </w:r>
      <w:r>
        <w:rPr>
          <w:i w:val="0"/>
          <w:iCs w:val="0"/>
        </w:rPr>
        <w:fldChar w:fldCharType="separate"/>
      </w:r>
      <w:r>
        <w:rPr>
          <w:i w:val="0"/>
          <w:iCs w:val="0"/>
        </w:rPr>
        <w:t>- 62 -</w:t>
      </w:r>
      <w:r>
        <w:rPr>
          <w:i w:val="0"/>
          <w:iCs w:val="0"/>
        </w:rPr>
        <w:fldChar w:fldCharType="end"/>
      </w:r>
      <w:r>
        <w:rPr>
          <w:rFonts w:hint="eastAsia" w:ascii="宋体" w:hAnsi="宋体" w:cs="宋体"/>
          <w:bCs/>
          <w:i w:val="0"/>
          <w:iCs w:val="0"/>
          <w:caps/>
          <w:color w:val="auto"/>
          <w:szCs w:val="22"/>
          <w:highlight w:val="none"/>
        </w:rPr>
        <w:fldChar w:fldCharType="end"/>
      </w:r>
    </w:p>
    <w:p w14:paraId="73D0EF11">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_Toc8110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三、具有履行合同所必需的设备和专业技术能力</w:t>
      </w:r>
      <w:r>
        <w:rPr>
          <w:i w:val="0"/>
          <w:iCs w:val="0"/>
        </w:rPr>
        <w:tab/>
      </w:r>
      <w:r>
        <w:rPr>
          <w:i w:val="0"/>
          <w:iCs w:val="0"/>
        </w:rPr>
        <w:fldChar w:fldCharType="begin"/>
      </w:r>
      <w:r>
        <w:rPr>
          <w:i w:val="0"/>
          <w:iCs w:val="0"/>
        </w:rPr>
        <w:instrText xml:space="preserve"> PAGEREF _Toc8110 \h </w:instrText>
      </w:r>
      <w:r>
        <w:rPr>
          <w:i w:val="0"/>
          <w:iCs w:val="0"/>
        </w:rPr>
        <w:fldChar w:fldCharType="separate"/>
      </w:r>
      <w:r>
        <w:rPr>
          <w:i w:val="0"/>
          <w:iCs w:val="0"/>
        </w:rPr>
        <w:t>- 62 -</w:t>
      </w:r>
      <w:r>
        <w:rPr>
          <w:i w:val="0"/>
          <w:iCs w:val="0"/>
        </w:rPr>
        <w:fldChar w:fldCharType="end"/>
      </w:r>
      <w:r>
        <w:rPr>
          <w:rFonts w:hint="eastAsia" w:ascii="宋体" w:hAnsi="宋体" w:cs="宋体"/>
          <w:bCs/>
          <w:i w:val="0"/>
          <w:iCs w:val="0"/>
          <w:caps/>
          <w:color w:val="auto"/>
          <w:szCs w:val="22"/>
          <w:highlight w:val="none"/>
        </w:rPr>
        <w:fldChar w:fldCharType="end"/>
      </w:r>
    </w:p>
    <w:p w14:paraId="4AFC4671">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_Toc12784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四、有依法缴纳税收和社会保障资金的良好记录</w:t>
      </w:r>
      <w:r>
        <w:rPr>
          <w:i w:val="0"/>
          <w:iCs w:val="0"/>
        </w:rPr>
        <w:tab/>
      </w:r>
      <w:r>
        <w:rPr>
          <w:i w:val="0"/>
          <w:iCs w:val="0"/>
        </w:rPr>
        <w:fldChar w:fldCharType="begin"/>
      </w:r>
      <w:r>
        <w:rPr>
          <w:i w:val="0"/>
          <w:iCs w:val="0"/>
        </w:rPr>
        <w:instrText xml:space="preserve"> PAGEREF _Toc12784 \h </w:instrText>
      </w:r>
      <w:r>
        <w:rPr>
          <w:i w:val="0"/>
          <w:iCs w:val="0"/>
        </w:rPr>
        <w:fldChar w:fldCharType="separate"/>
      </w:r>
      <w:r>
        <w:rPr>
          <w:i w:val="0"/>
          <w:iCs w:val="0"/>
        </w:rPr>
        <w:t>- 63 -</w:t>
      </w:r>
      <w:r>
        <w:rPr>
          <w:i w:val="0"/>
          <w:iCs w:val="0"/>
        </w:rPr>
        <w:fldChar w:fldCharType="end"/>
      </w:r>
      <w:r>
        <w:rPr>
          <w:rFonts w:hint="eastAsia" w:ascii="宋体" w:hAnsi="宋体" w:cs="宋体"/>
          <w:bCs/>
          <w:i w:val="0"/>
          <w:iCs w:val="0"/>
          <w:caps/>
          <w:color w:val="auto"/>
          <w:szCs w:val="22"/>
          <w:highlight w:val="none"/>
        </w:rPr>
        <w:fldChar w:fldCharType="end"/>
      </w:r>
    </w:p>
    <w:p w14:paraId="64071D29">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_Toc14505 </w:instrText>
      </w:r>
      <w:r>
        <w:rPr>
          <w:rFonts w:hint="eastAsia" w:ascii="宋体" w:hAnsi="宋体" w:cs="宋体"/>
          <w:bCs/>
          <w:i w:val="0"/>
          <w:iCs w:val="0"/>
          <w:caps/>
          <w:szCs w:val="22"/>
          <w:highlight w:val="none"/>
        </w:rPr>
        <w:fldChar w:fldCharType="separate"/>
      </w:r>
      <w:r>
        <w:rPr>
          <w:rFonts w:hint="eastAsia" w:ascii="宋体" w:hAnsi="宋体" w:cs="宋体"/>
          <w:i w:val="0"/>
          <w:iCs w:val="0"/>
          <w:highlight w:val="none"/>
        </w:rPr>
        <w:t>五、</w:t>
      </w:r>
      <w:r>
        <w:rPr>
          <w:rFonts w:hint="eastAsia" w:ascii="宋体" w:hAnsi="宋体" w:cs="宋体"/>
          <w:i w:val="0"/>
          <w:iCs w:val="0"/>
          <w:szCs w:val="28"/>
          <w:highlight w:val="none"/>
        </w:rPr>
        <w:t>参加政府采购活动前三年内，在经营活动中没有重大违法记录</w:t>
      </w:r>
      <w:r>
        <w:rPr>
          <w:i w:val="0"/>
          <w:iCs w:val="0"/>
        </w:rPr>
        <w:tab/>
      </w:r>
      <w:r>
        <w:rPr>
          <w:i w:val="0"/>
          <w:iCs w:val="0"/>
        </w:rPr>
        <w:fldChar w:fldCharType="begin"/>
      </w:r>
      <w:r>
        <w:rPr>
          <w:i w:val="0"/>
          <w:iCs w:val="0"/>
        </w:rPr>
        <w:instrText xml:space="preserve"> PAGEREF _Toc14505 \h </w:instrText>
      </w:r>
      <w:r>
        <w:rPr>
          <w:i w:val="0"/>
          <w:iCs w:val="0"/>
        </w:rPr>
        <w:fldChar w:fldCharType="separate"/>
      </w:r>
      <w:r>
        <w:rPr>
          <w:i w:val="0"/>
          <w:iCs w:val="0"/>
        </w:rPr>
        <w:t>- 64 -</w:t>
      </w:r>
      <w:r>
        <w:rPr>
          <w:i w:val="0"/>
          <w:iCs w:val="0"/>
        </w:rPr>
        <w:fldChar w:fldCharType="end"/>
      </w:r>
      <w:r>
        <w:rPr>
          <w:rFonts w:hint="eastAsia" w:ascii="宋体" w:hAnsi="宋体" w:cs="宋体"/>
          <w:bCs/>
          <w:i w:val="0"/>
          <w:iCs w:val="0"/>
          <w:caps/>
          <w:color w:val="auto"/>
          <w:szCs w:val="22"/>
          <w:highlight w:val="none"/>
        </w:rPr>
        <w:fldChar w:fldCharType="end"/>
      </w:r>
    </w:p>
    <w:p w14:paraId="3A7EBC6A">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_Toc19630 </w:instrText>
      </w:r>
      <w:r>
        <w:rPr>
          <w:rFonts w:hint="eastAsia" w:ascii="宋体" w:hAnsi="宋体" w:cs="宋体"/>
          <w:bCs/>
          <w:i w:val="0"/>
          <w:iCs w:val="0"/>
          <w:caps/>
          <w:szCs w:val="22"/>
          <w:highlight w:val="none"/>
        </w:rPr>
        <w:fldChar w:fldCharType="separate"/>
      </w:r>
      <w:r>
        <w:rPr>
          <w:rFonts w:hint="eastAsia" w:ascii="宋体" w:hAnsi="宋体" w:cs="宋体"/>
          <w:i w:val="0"/>
          <w:iCs w:val="0"/>
          <w:highlight w:val="none"/>
          <w:lang w:val="en-US" w:eastAsia="zh-CN"/>
        </w:rPr>
        <w:t>六</w:t>
      </w:r>
      <w:r>
        <w:rPr>
          <w:rFonts w:hint="eastAsia" w:ascii="宋体" w:hAnsi="宋体" w:cs="宋体"/>
          <w:i w:val="0"/>
          <w:iCs w:val="0"/>
          <w:highlight w:val="none"/>
        </w:rPr>
        <w:t>、其他</w:t>
      </w:r>
      <w:r>
        <w:rPr>
          <w:i w:val="0"/>
          <w:iCs w:val="0"/>
        </w:rPr>
        <w:tab/>
      </w:r>
      <w:r>
        <w:rPr>
          <w:i w:val="0"/>
          <w:iCs w:val="0"/>
        </w:rPr>
        <w:fldChar w:fldCharType="begin"/>
      </w:r>
      <w:r>
        <w:rPr>
          <w:i w:val="0"/>
          <w:iCs w:val="0"/>
        </w:rPr>
        <w:instrText xml:space="preserve"> PAGEREF _Toc19630 \h </w:instrText>
      </w:r>
      <w:r>
        <w:rPr>
          <w:i w:val="0"/>
          <w:iCs w:val="0"/>
        </w:rPr>
        <w:fldChar w:fldCharType="separate"/>
      </w:r>
      <w:r>
        <w:rPr>
          <w:i w:val="0"/>
          <w:iCs w:val="0"/>
        </w:rPr>
        <w:t>- 65 -</w:t>
      </w:r>
      <w:r>
        <w:rPr>
          <w:i w:val="0"/>
          <w:iCs w:val="0"/>
        </w:rPr>
        <w:fldChar w:fldCharType="end"/>
      </w:r>
      <w:r>
        <w:rPr>
          <w:rFonts w:hint="eastAsia" w:ascii="宋体" w:hAnsi="宋体" w:cs="宋体"/>
          <w:bCs/>
          <w:i w:val="0"/>
          <w:iCs w:val="0"/>
          <w:caps/>
          <w:color w:val="auto"/>
          <w:szCs w:val="22"/>
          <w:highlight w:val="none"/>
        </w:rPr>
        <w:fldChar w:fldCharType="end"/>
      </w:r>
    </w:p>
    <w:p w14:paraId="3477B23A">
      <w:pPr>
        <w:pStyle w:val="31"/>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_Toc13826 </w:instrText>
      </w:r>
      <w:r>
        <w:rPr>
          <w:rFonts w:hint="eastAsia" w:ascii="宋体" w:hAnsi="宋体" w:cs="宋体"/>
          <w:bCs/>
          <w:i w:val="0"/>
          <w:iCs w:val="0"/>
          <w:caps/>
          <w:szCs w:val="22"/>
          <w:highlight w:val="none"/>
        </w:rPr>
        <w:fldChar w:fldCharType="separate"/>
      </w:r>
      <w:r>
        <w:rPr>
          <w:rFonts w:hint="eastAsia" w:ascii="宋体" w:hAnsi="宋体" w:cs="宋体"/>
          <w:bCs/>
          <w:i w:val="0"/>
          <w:iCs w:val="0"/>
          <w:szCs w:val="32"/>
          <w:highlight w:val="none"/>
        </w:rPr>
        <w:t>商务技术部分</w:t>
      </w:r>
      <w:r>
        <w:rPr>
          <w:i w:val="0"/>
          <w:iCs w:val="0"/>
        </w:rPr>
        <w:tab/>
      </w:r>
      <w:r>
        <w:rPr>
          <w:i w:val="0"/>
          <w:iCs w:val="0"/>
        </w:rPr>
        <w:fldChar w:fldCharType="begin"/>
      </w:r>
      <w:r>
        <w:rPr>
          <w:i w:val="0"/>
          <w:iCs w:val="0"/>
        </w:rPr>
        <w:instrText xml:space="preserve"> PAGEREF _Toc13826 \h </w:instrText>
      </w:r>
      <w:r>
        <w:rPr>
          <w:i w:val="0"/>
          <w:iCs w:val="0"/>
        </w:rPr>
        <w:fldChar w:fldCharType="separate"/>
      </w:r>
      <w:r>
        <w:rPr>
          <w:i w:val="0"/>
          <w:iCs w:val="0"/>
        </w:rPr>
        <w:t>- 66 -</w:t>
      </w:r>
      <w:r>
        <w:rPr>
          <w:i w:val="0"/>
          <w:iCs w:val="0"/>
        </w:rPr>
        <w:fldChar w:fldCharType="end"/>
      </w:r>
      <w:r>
        <w:rPr>
          <w:rFonts w:hint="eastAsia" w:ascii="宋体" w:hAnsi="宋体" w:cs="宋体"/>
          <w:bCs/>
          <w:i w:val="0"/>
          <w:iCs w:val="0"/>
          <w:caps/>
          <w:color w:val="auto"/>
          <w:szCs w:val="22"/>
          <w:highlight w:val="none"/>
        </w:rPr>
        <w:fldChar w:fldCharType="end"/>
      </w:r>
    </w:p>
    <w:p w14:paraId="5EE72E7E">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_Toc28685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一、开标一览表</w:t>
      </w:r>
      <w:r>
        <w:rPr>
          <w:i w:val="0"/>
          <w:iCs w:val="0"/>
        </w:rPr>
        <w:tab/>
      </w:r>
      <w:r>
        <w:rPr>
          <w:i w:val="0"/>
          <w:iCs w:val="0"/>
        </w:rPr>
        <w:fldChar w:fldCharType="begin"/>
      </w:r>
      <w:r>
        <w:rPr>
          <w:i w:val="0"/>
          <w:iCs w:val="0"/>
        </w:rPr>
        <w:instrText xml:space="preserve"> PAGEREF _Toc28685 \h </w:instrText>
      </w:r>
      <w:r>
        <w:rPr>
          <w:i w:val="0"/>
          <w:iCs w:val="0"/>
        </w:rPr>
        <w:fldChar w:fldCharType="separate"/>
      </w:r>
      <w:r>
        <w:rPr>
          <w:i w:val="0"/>
          <w:iCs w:val="0"/>
        </w:rPr>
        <w:t>- 67 -</w:t>
      </w:r>
      <w:r>
        <w:rPr>
          <w:i w:val="0"/>
          <w:iCs w:val="0"/>
        </w:rPr>
        <w:fldChar w:fldCharType="end"/>
      </w:r>
      <w:r>
        <w:rPr>
          <w:rFonts w:hint="eastAsia" w:ascii="宋体" w:hAnsi="宋体" w:cs="宋体"/>
          <w:bCs/>
          <w:i w:val="0"/>
          <w:iCs w:val="0"/>
          <w:caps/>
          <w:color w:val="auto"/>
          <w:szCs w:val="22"/>
          <w:highlight w:val="none"/>
        </w:rPr>
        <w:fldChar w:fldCharType="end"/>
      </w:r>
    </w:p>
    <w:p w14:paraId="262F43AB">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_Toc27981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二、投标函</w:t>
      </w:r>
      <w:r>
        <w:rPr>
          <w:i w:val="0"/>
          <w:iCs w:val="0"/>
        </w:rPr>
        <w:tab/>
      </w:r>
      <w:r>
        <w:rPr>
          <w:i w:val="0"/>
          <w:iCs w:val="0"/>
        </w:rPr>
        <w:fldChar w:fldCharType="begin"/>
      </w:r>
      <w:r>
        <w:rPr>
          <w:i w:val="0"/>
          <w:iCs w:val="0"/>
        </w:rPr>
        <w:instrText xml:space="preserve"> PAGEREF _Toc27981 \h </w:instrText>
      </w:r>
      <w:r>
        <w:rPr>
          <w:i w:val="0"/>
          <w:iCs w:val="0"/>
        </w:rPr>
        <w:fldChar w:fldCharType="separate"/>
      </w:r>
      <w:r>
        <w:rPr>
          <w:i w:val="0"/>
          <w:iCs w:val="0"/>
        </w:rPr>
        <w:t>- 68 -</w:t>
      </w:r>
      <w:r>
        <w:rPr>
          <w:i w:val="0"/>
          <w:iCs w:val="0"/>
        </w:rPr>
        <w:fldChar w:fldCharType="end"/>
      </w:r>
      <w:r>
        <w:rPr>
          <w:rFonts w:hint="eastAsia" w:ascii="宋体" w:hAnsi="宋体" w:cs="宋体"/>
          <w:bCs/>
          <w:i w:val="0"/>
          <w:iCs w:val="0"/>
          <w:caps/>
          <w:color w:val="auto"/>
          <w:szCs w:val="22"/>
          <w:highlight w:val="none"/>
        </w:rPr>
        <w:fldChar w:fldCharType="end"/>
      </w:r>
    </w:p>
    <w:p w14:paraId="33EE10EA">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_Toc2837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三、法定代表人(单位负责人)身份证明书</w:t>
      </w:r>
      <w:r>
        <w:rPr>
          <w:i w:val="0"/>
          <w:iCs w:val="0"/>
        </w:rPr>
        <w:tab/>
      </w:r>
      <w:r>
        <w:rPr>
          <w:i w:val="0"/>
          <w:iCs w:val="0"/>
        </w:rPr>
        <w:fldChar w:fldCharType="begin"/>
      </w:r>
      <w:r>
        <w:rPr>
          <w:i w:val="0"/>
          <w:iCs w:val="0"/>
        </w:rPr>
        <w:instrText xml:space="preserve"> PAGEREF _Toc2837 \h </w:instrText>
      </w:r>
      <w:r>
        <w:rPr>
          <w:i w:val="0"/>
          <w:iCs w:val="0"/>
        </w:rPr>
        <w:fldChar w:fldCharType="separate"/>
      </w:r>
      <w:r>
        <w:rPr>
          <w:i w:val="0"/>
          <w:iCs w:val="0"/>
        </w:rPr>
        <w:t>- 69 -</w:t>
      </w:r>
      <w:r>
        <w:rPr>
          <w:i w:val="0"/>
          <w:iCs w:val="0"/>
        </w:rPr>
        <w:fldChar w:fldCharType="end"/>
      </w:r>
      <w:r>
        <w:rPr>
          <w:rFonts w:hint="eastAsia" w:ascii="宋体" w:hAnsi="宋体" w:cs="宋体"/>
          <w:bCs/>
          <w:i w:val="0"/>
          <w:iCs w:val="0"/>
          <w:caps/>
          <w:color w:val="auto"/>
          <w:szCs w:val="22"/>
          <w:highlight w:val="none"/>
        </w:rPr>
        <w:fldChar w:fldCharType="end"/>
      </w:r>
    </w:p>
    <w:p w14:paraId="6E256FE7">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_Toc27153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四、授权委托书</w:t>
      </w:r>
      <w:r>
        <w:rPr>
          <w:i w:val="0"/>
          <w:iCs w:val="0"/>
        </w:rPr>
        <w:tab/>
      </w:r>
      <w:r>
        <w:rPr>
          <w:i w:val="0"/>
          <w:iCs w:val="0"/>
        </w:rPr>
        <w:fldChar w:fldCharType="begin"/>
      </w:r>
      <w:r>
        <w:rPr>
          <w:i w:val="0"/>
          <w:iCs w:val="0"/>
        </w:rPr>
        <w:instrText xml:space="preserve"> PAGEREF _Toc27153 \h </w:instrText>
      </w:r>
      <w:r>
        <w:rPr>
          <w:i w:val="0"/>
          <w:iCs w:val="0"/>
        </w:rPr>
        <w:fldChar w:fldCharType="separate"/>
      </w:r>
      <w:r>
        <w:rPr>
          <w:i w:val="0"/>
          <w:iCs w:val="0"/>
        </w:rPr>
        <w:t>- 70 -</w:t>
      </w:r>
      <w:r>
        <w:rPr>
          <w:i w:val="0"/>
          <w:iCs w:val="0"/>
        </w:rPr>
        <w:fldChar w:fldCharType="end"/>
      </w:r>
      <w:r>
        <w:rPr>
          <w:rFonts w:hint="eastAsia" w:ascii="宋体" w:hAnsi="宋体" w:cs="宋体"/>
          <w:bCs/>
          <w:i w:val="0"/>
          <w:iCs w:val="0"/>
          <w:caps/>
          <w:color w:val="auto"/>
          <w:szCs w:val="22"/>
          <w:highlight w:val="none"/>
        </w:rPr>
        <w:fldChar w:fldCharType="end"/>
      </w:r>
    </w:p>
    <w:p w14:paraId="6A0595D2">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_Toc31060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五、投标人基本情况表</w:t>
      </w:r>
      <w:r>
        <w:rPr>
          <w:i w:val="0"/>
          <w:iCs w:val="0"/>
        </w:rPr>
        <w:tab/>
      </w:r>
      <w:r>
        <w:rPr>
          <w:i w:val="0"/>
          <w:iCs w:val="0"/>
        </w:rPr>
        <w:fldChar w:fldCharType="begin"/>
      </w:r>
      <w:r>
        <w:rPr>
          <w:i w:val="0"/>
          <w:iCs w:val="0"/>
        </w:rPr>
        <w:instrText xml:space="preserve"> PAGEREF _Toc31060 \h </w:instrText>
      </w:r>
      <w:r>
        <w:rPr>
          <w:i w:val="0"/>
          <w:iCs w:val="0"/>
        </w:rPr>
        <w:fldChar w:fldCharType="separate"/>
      </w:r>
      <w:r>
        <w:rPr>
          <w:i w:val="0"/>
          <w:iCs w:val="0"/>
        </w:rPr>
        <w:t>- 71 -</w:t>
      </w:r>
      <w:r>
        <w:rPr>
          <w:i w:val="0"/>
          <w:iCs w:val="0"/>
        </w:rPr>
        <w:fldChar w:fldCharType="end"/>
      </w:r>
      <w:r>
        <w:rPr>
          <w:rFonts w:hint="eastAsia" w:ascii="宋体" w:hAnsi="宋体" w:cs="宋体"/>
          <w:bCs/>
          <w:i w:val="0"/>
          <w:iCs w:val="0"/>
          <w:caps/>
          <w:color w:val="auto"/>
          <w:szCs w:val="22"/>
          <w:highlight w:val="none"/>
        </w:rPr>
        <w:fldChar w:fldCharType="end"/>
      </w:r>
    </w:p>
    <w:p w14:paraId="2CD92F1F">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_Toc1883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六、投标保证金</w:t>
      </w:r>
      <w:r>
        <w:rPr>
          <w:i w:val="0"/>
          <w:iCs w:val="0"/>
        </w:rPr>
        <w:tab/>
      </w:r>
      <w:r>
        <w:rPr>
          <w:i w:val="0"/>
          <w:iCs w:val="0"/>
        </w:rPr>
        <w:fldChar w:fldCharType="begin"/>
      </w:r>
      <w:r>
        <w:rPr>
          <w:i w:val="0"/>
          <w:iCs w:val="0"/>
        </w:rPr>
        <w:instrText xml:space="preserve"> PAGEREF _Toc1883 \h </w:instrText>
      </w:r>
      <w:r>
        <w:rPr>
          <w:i w:val="0"/>
          <w:iCs w:val="0"/>
        </w:rPr>
        <w:fldChar w:fldCharType="separate"/>
      </w:r>
      <w:r>
        <w:rPr>
          <w:i w:val="0"/>
          <w:iCs w:val="0"/>
        </w:rPr>
        <w:t>- 72 -</w:t>
      </w:r>
      <w:r>
        <w:rPr>
          <w:i w:val="0"/>
          <w:iCs w:val="0"/>
        </w:rPr>
        <w:fldChar w:fldCharType="end"/>
      </w:r>
      <w:r>
        <w:rPr>
          <w:rFonts w:hint="eastAsia" w:ascii="宋体" w:hAnsi="宋体" w:cs="宋体"/>
          <w:bCs/>
          <w:i w:val="0"/>
          <w:iCs w:val="0"/>
          <w:caps/>
          <w:color w:val="auto"/>
          <w:szCs w:val="22"/>
          <w:highlight w:val="none"/>
        </w:rPr>
        <w:fldChar w:fldCharType="end"/>
      </w:r>
    </w:p>
    <w:p w14:paraId="79ED684E">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_Toc10374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七、商务</w:t>
      </w:r>
      <w:r>
        <w:rPr>
          <w:rFonts w:hint="eastAsia" w:ascii="宋体" w:hAnsi="宋体" w:cs="宋体"/>
          <w:i w:val="0"/>
          <w:iCs w:val="0"/>
          <w:szCs w:val="28"/>
          <w:highlight w:val="none"/>
          <w:lang w:val="en-US" w:eastAsia="zh-CN"/>
        </w:rPr>
        <w:t>及配置</w:t>
      </w:r>
      <w:r>
        <w:rPr>
          <w:rFonts w:hint="eastAsia" w:ascii="宋体" w:hAnsi="宋体" w:cs="宋体"/>
          <w:i w:val="0"/>
          <w:iCs w:val="0"/>
          <w:szCs w:val="28"/>
          <w:highlight w:val="none"/>
        </w:rPr>
        <w:t>偏离表</w:t>
      </w:r>
      <w:r>
        <w:rPr>
          <w:i w:val="0"/>
          <w:iCs w:val="0"/>
        </w:rPr>
        <w:tab/>
      </w:r>
      <w:r>
        <w:rPr>
          <w:i w:val="0"/>
          <w:iCs w:val="0"/>
        </w:rPr>
        <w:fldChar w:fldCharType="begin"/>
      </w:r>
      <w:r>
        <w:rPr>
          <w:i w:val="0"/>
          <w:iCs w:val="0"/>
        </w:rPr>
        <w:instrText xml:space="preserve"> PAGEREF _Toc10374 \h </w:instrText>
      </w:r>
      <w:r>
        <w:rPr>
          <w:i w:val="0"/>
          <w:iCs w:val="0"/>
        </w:rPr>
        <w:fldChar w:fldCharType="separate"/>
      </w:r>
      <w:r>
        <w:rPr>
          <w:i w:val="0"/>
          <w:iCs w:val="0"/>
        </w:rPr>
        <w:t>- 73 -</w:t>
      </w:r>
      <w:r>
        <w:rPr>
          <w:i w:val="0"/>
          <w:iCs w:val="0"/>
        </w:rPr>
        <w:fldChar w:fldCharType="end"/>
      </w:r>
      <w:r>
        <w:rPr>
          <w:rFonts w:hint="eastAsia" w:ascii="宋体" w:hAnsi="宋体" w:cs="宋体"/>
          <w:bCs/>
          <w:i w:val="0"/>
          <w:iCs w:val="0"/>
          <w:caps/>
          <w:color w:val="auto"/>
          <w:szCs w:val="22"/>
          <w:highlight w:val="none"/>
        </w:rPr>
        <w:fldChar w:fldCharType="end"/>
      </w:r>
    </w:p>
    <w:p w14:paraId="0562F710">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_Toc10035 </w:instrText>
      </w:r>
      <w:r>
        <w:rPr>
          <w:rFonts w:hint="eastAsia" w:ascii="宋体" w:hAnsi="宋体" w:cs="宋体"/>
          <w:bCs/>
          <w:i w:val="0"/>
          <w:iCs w:val="0"/>
          <w:caps/>
          <w:szCs w:val="22"/>
          <w:highlight w:val="none"/>
        </w:rPr>
        <w:fldChar w:fldCharType="separate"/>
      </w:r>
      <w:r>
        <w:rPr>
          <w:rFonts w:hint="eastAsia" w:ascii="宋体" w:hAnsi="宋体" w:cs="宋体"/>
          <w:bCs w:val="0"/>
          <w:i w:val="0"/>
          <w:iCs w:val="0"/>
          <w:szCs w:val="28"/>
          <w:highlight w:val="none"/>
          <w:lang w:val="en-US" w:eastAsia="zh-CN"/>
        </w:rPr>
        <w:t>八、</w:t>
      </w:r>
      <w:r>
        <w:rPr>
          <w:rFonts w:hint="eastAsia" w:ascii="宋体" w:hAnsi="宋体" w:eastAsia="宋体" w:cs="宋体"/>
          <w:i w:val="0"/>
          <w:iCs w:val="0"/>
          <w:szCs w:val="28"/>
          <w:highlight w:val="none"/>
        </w:rPr>
        <w:t>技术规格偏离表</w:t>
      </w:r>
      <w:r>
        <w:rPr>
          <w:i w:val="0"/>
          <w:iCs w:val="0"/>
        </w:rPr>
        <w:tab/>
      </w:r>
      <w:r>
        <w:rPr>
          <w:i w:val="0"/>
          <w:iCs w:val="0"/>
        </w:rPr>
        <w:fldChar w:fldCharType="begin"/>
      </w:r>
      <w:r>
        <w:rPr>
          <w:i w:val="0"/>
          <w:iCs w:val="0"/>
        </w:rPr>
        <w:instrText xml:space="preserve"> PAGEREF _Toc10035 \h </w:instrText>
      </w:r>
      <w:r>
        <w:rPr>
          <w:i w:val="0"/>
          <w:iCs w:val="0"/>
        </w:rPr>
        <w:fldChar w:fldCharType="separate"/>
      </w:r>
      <w:r>
        <w:rPr>
          <w:i w:val="0"/>
          <w:iCs w:val="0"/>
        </w:rPr>
        <w:t>- 76 -</w:t>
      </w:r>
      <w:r>
        <w:rPr>
          <w:i w:val="0"/>
          <w:iCs w:val="0"/>
        </w:rPr>
        <w:fldChar w:fldCharType="end"/>
      </w:r>
      <w:r>
        <w:rPr>
          <w:rFonts w:hint="eastAsia" w:ascii="宋体" w:hAnsi="宋体" w:cs="宋体"/>
          <w:bCs/>
          <w:i w:val="0"/>
          <w:iCs w:val="0"/>
          <w:caps/>
          <w:color w:val="auto"/>
          <w:szCs w:val="22"/>
          <w:highlight w:val="none"/>
        </w:rPr>
        <w:fldChar w:fldCharType="end"/>
      </w:r>
    </w:p>
    <w:p w14:paraId="550775FB">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_Toc30925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lang w:val="en-US" w:eastAsia="zh-CN"/>
        </w:rPr>
        <w:t>九、</w:t>
      </w:r>
      <w:r>
        <w:rPr>
          <w:rFonts w:hint="eastAsia" w:ascii="宋体" w:hAnsi="宋体" w:eastAsia="宋体" w:cs="宋体"/>
          <w:i w:val="0"/>
          <w:iCs w:val="0"/>
          <w:szCs w:val="28"/>
          <w:highlight w:val="none"/>
        </w:rPr>
        <w:t>技术支持资料</w:t>
      </w:r>
      <w:r>
        <w:rPr>
          <w:i w:val="0"/>
          <w:iCs w:val="0"/>
        </w:rPr>
        <w:tab/>
      </w:r>
      <w:r>
        <w:rPr>
          <w:i w:val="0"/>
          <w:iCs w:val="0"/>
        </w:rPr>
        <w:fldChar w:fldCharType="begin"/>
      </w:r>
      <w:r>
        <w:rPr>
          <w:i w:val="0"/>
          <w:iCs w:val="0"/>
        </w:rPr>
        <w:instrText xml:space="preserve"> PAGEREF _Toc30925 \h </w:instrText>
      </w:r>
      <w:r>
        <w:rPr>
          <w:i w:val="0"/>
          <w:iCs w:val="0"/>
        </w:rPr>
        <w:fldChar w:fldCharType="separate"/>
      </w:r>
      <w:r>
        <w:rPr>
          <w:i w:val="0"/>
          <w:iCs w:val="0"/>
        </w:rPr>
        <w:t>- 77 -</w:t>
      </w:r>
      <w:r>
        <w:rPr>
          <w:i w:val="0"/>
          <w:iCs w:val="0"/>
        </w:rPr>
        <w:fldChar w:fldCharType="end"/>
      </w:r>
      <w:r>
        <w:rPr>
          <w:rFonts w:hint="eastAsia" w:ascii="宋体" w:hAnsi="宋体" w:cs="宋体"/>
          <w:bCs/>
          <w:i w:val="0"/>
          <w:iCs w:val="0"/>
          <w:caps/>
          <w:color w:val="auto"/>
          <w:szCs w:val="22"/>
          <w:highlight w:val="none"/>
        </w:rPr>
        <w:fldChar w:fldCharType="end"/>
      </w:r>
    </w:p>
    <w:p w14:paraId="462BE189">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_Toc32393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szCs w:val="28"/>
          <w:highlight w:val="none"/>
          <w:lang w:val="en-US" w:eastAsia="zh-CN"/>
        </w:rPr>
        <w:t>十、技术文件</w:t>
      </w:r>
      <w:r>
        <w:rPr>
          <w:i w:val="0"/>
          <w:iCs w:val="0"/>
        </w:rPr>
        <w:tab/>
      </w:r>
      <w:r>
        <w:rPr>
          <w:i w:val="0"/>
          <w:iCs w:val="0"/>
        </w:rPr>
        <w:fldChar w:fldCharType="begin"/>
      </w:r>
      <w:r>
        <w:rPr>
          <w:i w:val="0"/>
          <w:iCs w:val="0"/>
        </w:rPr>
        <w:instrText xml:space="preserve"> PAGEREF _Toc32393 \h </w:instrText>
      </w:r>
      <w:r>
        <w:rPr>
          <w:i w:val="0"/>
          <w:iCs w:val="0"/>
        </w:rPr>
        <w:fldChar w:fldCharType="separate"/>
      </w:r>
      <w:r>
        <w:rPr>
          <w:i w:val="0"/>
          <w:iCs w:val="0"/>
        </w:rPr>
        <w:t>- 78 -</w:t>
      </w:r>
      <w:r>
        <w:rPr>
          <w:i w:val="0"/>
          <w:iCs w:val="0"/>
        </w:rPr>
        <w:fldChar w:fldCharType="end"/>
      </w:r>
      <w:r>
        <w:rPr>
          <w:rFonts w:hint="eastAsia" w:ascii="宋体" w:hAnsi="宋体" w:cs="宋体"/>
          <w:bCs/>
          <w:i w:val="0"/>
          <w:iCs w:val="0"/>
          <w:caps/>
          <w:color w:val="auto"/>
          <w:szCs w:val="22"/>
          <w:highlight w:val="none"/>
        </w:rPr>
        <w:fldChar w:fldCharType="end"/>
      </w:r>
    </w:p>
    <w:p w14:paraId="2C49CB2C">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_Toc4968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highlight w:val="none"/>
          <w:lang w:val="en-US" w:eastAsia="zh-CN"/>
        </w:rPr>
        <w:t>十一、</w:t>
      </w:r>
      <w:r>
        <w:rPr>
          <w:rFonts w:hint="eastAsia" w:ascii="宋体" w:hAnsi="宋体" w:eastAsia="宋体" w:cs="宋体"/>
          <w:i w:val="0"/>
          <w:iCs w:val="0"/>
          <w:highlight w:val="none"/>
        </w:rPr>
        <w:t>无串通投标行为的承诺函</w:t>
      </w:r>
      <w:r>
        <w:rPr>
          <w:i w:val="0"/>
          <w:iCs w:val="0"/>
        </w:rPr>
        <w:tab/>
      </w:r>
      <w:r>
        <w:rPr>
          <w:i w:val="0"/>
          <w:iCs w:val="0"/>
        </w:rPr>
        <w:fldChar w:fldCharType="begin"/>
      </w:r>
      <w:r>
        <w:rPr>
          <w:i w:val="0"/>
          <w:iCs w:val="0"/>
        </w:rPr>
        <w:instrText xml:space="preserve"> PAGEREF _Toc4968 \h </w:instrText>
      </w:r>
      <w:r>
        <w:rPr>
          <w:i w:val="0"/>
          <w:iCs w:val="0"/>
        </w:rPr>
        <w:fldChar w:fldCharType="separate"/>
      </w:r>
      <w:r>
        <w:rPr>
          <w:i w:val="0"/>
          <w:iCs w:val="0"/>
        </w:rPr>
        <w:t>- 79 -</w:t>
      </w:r>
      <w:r>
        <w:rPr>
          <w:i w:val="0"/>
          <w:iCs w:val="0"/>
        </w:rPr>
        <w:fldChar w:fldCharType="end"/>
      </w:r>
      <w:r>
        <w:rPr>
          <w:rFonts w:hint="eastAsia" w:ascii="宋体" w:hAnsi="宋体" w:cs="宋体"/>
          <w:bCs/>
          <w:i w:val="0"/>
          <w:iCs w:val="0"/>
          <w:caps/>
          <w:color w:val="auto"/>
          <w:szCs w:val="22"/>
          <w:highlight w:val="none"/>
        </w:rPr>
        <w:fldChar w:fldCharType="end"/>
      </w:r>
    </w:p>
    <w:p w14:paraId="473CC5C4">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_Toc24963 </w:instrText>
      </w:r>
      <w:r>
        <w:rPr>
          <w:rFonts w:hint="eastAsia" w:ascii="宋体" w:hAnsi="宋体" w:cs="宋体"/>
          <w:bCs/>
          <w:i w:val="0"/>
          <w:iCs w:val="0"/>
          <w:caps/>
          <w:szCs w:val="22"/>
          <w:highlight w:val="none"/>
        </w:rPr>
        <w:fldChar w:fldCharType="separate"/>
      </w:r>
      <w:r>
        <w:rPr>
          <w:rFonts w:hint="eastAsia" w:ascii="宋体" w:hAnsi="宋体" w:eastAsia="宋体" w:cs="宋体"/>
          <w:i w:val="0"/>
          <w:iCs w:val="0"/>
          <w:highlight w:val="none"/>
          <w:lang w:val="en-US" w:eastAsia="zh-CN"/>
        </w:rPr>
        <w:t>十二</w:t>
      </w:r>
      <w:r>
        <w:rPr>
          <w:rFonts w:hint="eastAsia" w:ascii="宋体" w:hAnsi="宋体" w:eastAsia="宋体" w:cs="Times New Roman"/>
          <w:bCs/>
          <w:i w:val="0"/>
          <w:iCs w:val="0"/>
          <w:szCs w:val="28"/>
          <w:highlight w:val="none"/>
          <w:lang w:val="en-US" w:eastAsia="zh-CN"/>
        </w:rPr>
        <w:t>、</w:t>
      </w:r>
      <w:r>
        <w:rPr>
          <w:rFonts w:ascii="宋体" w:hAnsi="宋体"/>
          <w:i w:val="0"/>
          <w:iCs w:val="0"/>
          <w:szCs w:val="28"/>
          <w:highlight w:val="none"/>
        </w:rPr>
        <w:t>投</w:t>
      </w:r>
      <w:r>
        <w:rPr>
          <w:rFonts w:hint="eastAsia" w:ascii="宋体" w:hAnsi="宋体" w:cs="微软雅黑"/>
          <w:i w:val="0"/>
          <w:iCs w:val="0"/>
          <w:szCs w:val="28"/>
          <w:highlight w:val="none"/>
        </w:rPr>
        <w:t>标</w:t>
      </w:r>
      <w:r>
        <w:rPr>
          <w:rFonts w:hint="eastAsia" w:ascii="宋体" w:hAnsi="宋体" w:cs="Malgun Gothic"/>
          <w:i w:val="0"/>
          <w:iCs w:val="0"/>
          <w:szCs w:val="28"/>
          <w:highlight w:val="none"/>
        </w:rPr>
        <w:t>人</w:t>
      </w:r>
      <w:r>
        <w:rPr>
          <w:rFonts w:hint="eastAsia" w:ascii="宋体" w:hAnsi="宋体"/>
          <w:i w:val="0"/>
          <w:iCs w:val="0"/>
          <w:szCs w:val="28"/>
          <w:highlight w:val="none"/>
        </w:rPr>
        <w:t>在</w:t>
      </w:r>
      <w:r>
        <w:rPr>
          <w:rFonts w:hint="eastAsia" w:ascii="宋体" w:hAnsi="宋体" w:cs="微软雅黑"/>
          <w:i w:val="0"/>
          <w:iCs w:val="0"/>
          <w:szCs w:val="28"/>
          <w:highlight w:val="none"/>
        </w:rPr>
        <w:t>职</w:t>
      </w:r>
      <w:r>
        <w:rPr>
          <w:rFonts w:ascii="宋体" w:hAnsi="宋体"/>
          <w:i w:val="0"/>
          <w:iCs w:val="0"/>
          <w:szCs w:val="28"/>
          <w:highlight w:val="none"/>
        </w:rPr>
        <w:t>人</w:t>
      </w:r>
      <w:r>
        <w:rPr>
          <w:rFonts w:hint="eastAsia" w:ascii="宋体" w:hAnsi="宋体" w:cs="微软雅黑"/>
          <w:i w:val="0"/>
          <w:iCs w:val="0"/>
          <w:szCs w:val="28"/>
          <w:highlight w:val="none"/>
        </w:rPr>
        <w:t>员</w:t>
      </w:r>
      <w:r>
        <w:rPr>
          <w:rFonts w:hint="eastAsia" w:ascii="宋体" w:hAnsi="宋体" w:cs="Malgun Gothic"/>
          <w:i w:val="0"/>
          <w:iCs w:val="0"/>
          <w:szCs w:val="28"/>
          <w:highlight w:val="none"/>
        </w:rPr>
        <w:t>情</w:t>
      </w:r>
      <w:r>
        <w:rPr>
          <w:rFonts w:hint="eastAsia" w:ascii="宋体" w:hAnsi="宋体" w:cs="微软雅黑"/>
          <w:i w:val="0"/>
          <w:iCs w:val="0"/>
          <w:szCs w:val="28"/>
          <w:highlight w:val="none"/>
        </w:rPr>
        <w:t>况</w:t>
      </w:r>
      <w:r>
        <w:rPr>
          <w:rFonts w:hint="eastAsia" w:ascii="宋体" w:hAnsi="宋体" w:cs="Malgun Gothic"/>
          <w:i w:val="0"/>
          <w:iCs w:val="0"/>
          <w:szCs w:val="28"/>
          <w:highlight w:val="none"/>
        </w:rPr>
        <w:t>表</w:t>
      </w:r>
      <w:r>
        <w:rPr>
          <w:i w:val="0"/>
          <w:iCs w:val="0"/>
        </w:rPr>
        <w:tab/>
      </w:r>
      <w:r>
        <w:rPr>
          <w:i w:val="0"/>
          <w:iCs w:val="0"/>
        </w:rPr>
        <w:fldChar w:fldCharType="begin"/>
      </w:r>
      <w:r>
        <w:rPr>
          <w:i w:val="0"/>
          <w:iCs w:val="0"/>
        </w:rPr>
        <w:instrText xml:space="preserve"> PAGEREF _Toc24963 \h </w:instrText>
      </w:r>
      <w:r>
        <w:rPr>
          <w:i w:val="0"/>
          <w:iCs w:val="0"/>
        </w:rPr>
        <w:fldChar w:fldCharType="separate"/>
      </w:r>
      <w:r>
        <w:rPr>
          <w:i w:val="0"/>
          <w:iCs w:val="0"/>
        </w:rPr>
        <w:t>- 80 -</w:t>
      </w:r>
      <w:r>
        <w:rPr>
          <w:i w:val="0"/>
          <w:iCs w:val="0"/>
        </w:rPr>
        <w:fldChar w:fldCharType="end"/>
      </w:r>
      <w:r>
        <w:rPr>
          <w:rFonts w:hint="eastAsia" w:ascii="宋体" w:hAnsi="宋体" w:cs="宋体"/>
          <w:bCs/>
          <w:i w:val="0"/>
          <w:iCs w:val="0"/>
          <w:caps/>
          <w:color w:val="auto"/>
          <w:szCs w:val="22"/>
          <w:highlight w:val="none"/>
        </w:rPr>
        <w:fldChar w:fldCharType="end"/>
      </w:r>
    </w:p>
    <w:p w14:paraId="7F9F66DE">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_Toc5182 </w:instrText>
      </w:r>
      <w:r>
        <w:rPr>
          <w:rFonts w:hint="eastAsia" w:ascii="宋体" w:hAnsi="宋体" w:cs="宋体"/>
          <w:bCs/>
          <w:i w:val="0"/>
          <w:iCs w:val="0"/>
          <w:caps/>
          <w:szCs w:val="22"/>
          <w:highlight w:val="none"/>
        </w:rPr>
        <w:fldChar w:fldCharType="separate"/>
      </w:r>
      <w:r>
        <w:rPr>
          <w:rFonts w:hint="eastAsia" w:ascii="宋体" w:hAnsi="宋体"/>
          <w:i w:val="0"/>
          <w:iCs w:val="0"/>
          <w:szCs w:val="21"/>
          <w:highlight w:val="none"/>
          <w:lang w:val="en-US" w:eastAsia="zh-CN"/>
        </w:rPr>
        <w:t>十三、</w:t>
      </w:r>
      <w:r>
        <w:rPr>
          <w:rFonts w:hint="eastAsia" w:ascii="宋体" w:hAnsi="宋体" w:cs="宋体"/>
          <w:i w:val="0"/>
          <w:iCs w:val="0"/>
          <w:szCs w:val="28"/>
          <w:highlight w:val="none"/>
        </w:rPr>
        <w:t>分项报价表</w:t>
      </w:r>
      <w:r>
        <w:rPr>
          <w:i w:val="0"/>
          <w:iCs w:val="0"/>
        </w:rPr>
        <w:tab/>
      </w:r>
      <w:r>
        <w:rPr>
          <w:i w:val="0"/>
          <w:iCs w:val="0"/>
        </w:rPr>
        <w:fldChar w:fldCharType="begin"/>
      </w:r>
      <w:r>
        <w:rPr>
          <w:i w:val="0"/>
          <w:iCs w:val="0"/>
        </w:rPr>
        <w:instrText xml:space="preserve"> PAGEREF _Toc5182 \h </w:instrText>
      </w:r>
      <w:r>
        <w:rPr>
          <w:i w:val="0"/>
          <w:iCs w:val="0"/>
        </w:rPr>
        <w:fldChar w:fldCharType="separate"/>
      </w:r>
      <w:r>
        <w:rPr>
          <w:i w:val="0"/>
          <w:iCs w:val="0"/>
        </w:rPr>
        <w:t>- 81 -</w:t>
      </w:r>
      <w:r>
        <w:rPr>
          <w:i w:val="0"/>
          <w:iCs w:val="0"/>
        </w:rPr>
        <w:fldChar w:fldCharType="end"/>
      </w:r>
      <w:r>
        <w:rPr>
          <w:rFonts w:hint="eastAsia" w:ascii="宋体" w:hAnsi="宋体" w:cs="宋体"/>
          <w:bCs/>
          <w:i w:val="0"/>
          <w:iCs w:val="0"/>
          <w:caps/>
          <w:color w:val="auto"/>
          <w:szCs w:val="22"/>
          <w:highlight w:val="none"/>
        </w:rPr>
        <w:fldChar w:fldCharType="end"/>
      </w:r>
    </w:p>
    <w:p w14:paraId="3CE262C3">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_Toc7005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lang w:val="en-US" w:eastAsia="zh-CN"/>
        </w:rPr>
        <w:t>十四、</w:t>
      </w:r>
      <w:r>
        <w:rPr>
          <w:rFonts w:hint="eastAsia" w:ascii="宋体" w:hAnsi="宋体" w:eastAsia="宋体" w:cs="宋体"/>
          <w:i w:val="0"/>
          <w:iCs w:val="0"/>
          <w:szCs w:val="28"/>
          <w:highlight w:val="none"/>
        </w:rPr>
        <w:t>节能环保产品清单</w:t>
      </w:r>
      <w:r>
        <w:rPr>
          <w:i w:val="0"/>
          <w:iCs w:val="0"/>
        </w:rPr>
        <w:tab/>
      </w:r>
      <w:r>
        <w:rPr>
          <w:i w:val="0"/>
          <w:iCs w:val="0"/>
        </w:rPr>
        <w:fldChar w:fldCharType="begin"/>
      </w:r>
      <w:r>
        <w:rPr>
          <w:i w:val="0"/>
          <w:iCs w:val="0"/>
        </w:rPr>
        <w:instrText xml:space="preserve"> PAGEREF _Toc7005 \h </w:instrText>
      </w:r>
      <w:r>
        <w:rPr>
          <w:i w:val="0"/>
          <w:iCs w:val="0"/>
        </w:rPr>
        <w:fldChar w:fldCharType="separate"/>
      </w:r>
      <w:r>
        <w:rPr>
          <w:i w:val="0"/>
          <w:iCs w:val="0"/>
        </w:rPr>
        <w:t>- 82 -</w:t>
      </w:r>
      <w:r>
        <w:rPr>
          <w:i w:val="0"/>
          <w:iCs w:val="0"/>
        </w:rPr>
        <w:fldChar w:fldCharType="end"/>
      </w:r>
      <w:r>
        <w:rPr>
          <w:rFonts w:hint="eastAsia" w:ascii="宋体" w:hAnsi="宋体" w:cs="宋体"/>
          <w:bCs/>
          <w:i w:val="0"/>
          <w:iCs w:val="0"/>
          <w:caps/>
          <w:color w:val="auto"/>
          <w:szCs w:val="22"/>
          <w:highlight w:val="none"/>
        </w:rPr>
        <w:fldChar w:fldCharType="end"/>
      </w:r>
    </w:p>
    <w:p w14:paraId="25BECB8C">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_Toc1217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lang w:val="en-US" w:eastAsia="zh-CN"/>
        </w:rPr>
        <w:t>十五</w:t>
      </w:r>
      <w:r>
        <w:rPr>
          <w:rFonts w:hint="eastAsia" w:ascii="宋体" w:hAnsi="宋体" w:cs="宋体"/>
          <w:i w:val="0"/>
          <w:iCs w:val="0"/>
          <w:szCs w:val="28"/>
          <w:highlight w:val="none"/>
        </w:rPr>
        <w:t>、类似项目业绩表</w:t>
      </w:r>
      <w:r>
        <w:rPr>
          <w:rFonts w:hint="eastAsia" w:ascii="宋体" w:hAnsi="宋体" w:cs="宋体"/>
          <w:i w:val="0"/>
          <w:iCs w:val="0"/>
          <w:szCs w:val="28"/>
          <w:highlight w:val="none"/>
          <w:lang w:eastAsia="zh-CN"/>
        </w:rPr>
        <w:t>（</w:t>
      </w:r>
      <w:r>
        <w:rPr>
          <w:rFonts w:hint="eastAsia" w:ascii="宋体" w:hAnsi="宋体" w:cs="宋体"/>
          <w:i w:val="0"/>
          <w:iCs w:val="0"/>
          <w:szCs w:val="28"/>
          <w:highlight w:val="none"/>
          <w:lang w:val="en-US" w:eastAsia="zh-CN"/>
        </w:rPr>
        <w:t>如有</w:t>
      </w:r>
      <w:r>
        <w:rPr>
          <w:rFonts w:hint="eastAsia" w:ascii="宋体" w:hAnsi="宋体" w:cs="宋体"/>
          <w:i w:val="0"/>
          <w:iCs w:val="0"/>
          <w:szCs w:val="28"/>
          <w:highlight w:val="none"/>
          <w:lang w:eastAsia="zh-CN"/>
        </w:rPr>
        <w:t>）</w:t>
      </w:r>
      <w:r>
        <w:rPr>
          <w:i w:val="0"/>
          <w:iCs w:val="0"/>
        </w:rPr>
        <w:tab/>
      </w:r>
      <w:r>
        <w:rPr>
          <w:i w:val="0"/>
          <w:iCs w:val="0"/>
        </w:rPr>
        <w:fldChar w:fldCharType="begin"/>
      </w:r>
      <w:r>
        <w:rPr>
          <w:i w:val="0"/>
          <w:iCs w:val="0"/>
        </w:rPr>
        <w:instrText xml:space="preserve"> PAGEREF _Toc1217 \h </w:instrText>
      </w:r>
      <w:r>
        <w:rPr>
          <w:i w:val="0"/>
          <w:iCs w:val="0"/>
        </w:rPr>
        <w:fldChar w:fldCharType="separate"/>
      </w:r>
      <w:r>
        <w:rPr>
          <w:i w:val="0"/>
          <w:iCs w:val="0"/>
        </w:rPr>
        <w:t>- 83 -</w:t>
      </w:r>
      <w:r>
        <w:rPr>
          <w:i w:val="0"/>
          <w:iCs w:val="0"/>
        </w:rPr>
        <w:fldChar w:fldCharType="end"/>
      </w:r>
      <w:r>
        <w:rPr>
          <w:rFonts w:hint="eastAsia" w:ascii="宋体" w:hAnsi="宋体" w:cs="宋体"/>
          <w:bCs/>
          <w:i w:val="0"/>
          <w:iCs w:val="0"/>
          <w:caps/>
          <w:color w:val="auto"/>
          <w:szCs w:val="22"/>
          <w:highlight w:val="none"/>
        </w:rPr>
        <w:fldChar w:fldCharType="end"/>
      </w:r>
    </w:p>
    <w:p w14:paraId="033F8DF5">
      <w:pPr>
        <w:pStyle w:val="20"/>
        <w:tabs>
          <w:tab w:val="right" w:leader="underscore" w:pos="9411"/>
        </w:tabs>
        <w:rPr>
          <w:i w:val="0"/>
          <w:iCs w:val="0"/>
        </w:rPr>
      </w:pPr>
      <w:r>
        <w:rPr>
          <w:rFonts w:hint="eastAsia" w:ascii="宋体" w:hAnsi="宋体" w:cs="宋体"/>
          <w:bCs/>
          <w:i w:val="0"/>
          <w:iCs w:val="0"/>
          <w:caps/>
          <w:color w:val="auto"/>
          <w:szCs w:val="22"/>
          <w:highlight w:val="none"/>
        </w:rPr>
        <w:fldChar w:fldCharType="begin"/>
      </w:r>
      <w:r>
        <w:rPr>
          <w:rFonts w:hint="eastAsia" w:ascii="宋体" w:hAnsi="宋体" w:cs="宋体"/>
          <w:bCs/>
          <w:i w:val="0"/>
          <w:iCs w:val="0"/>
          <w:caps/>
          <w:szCs w:val="22"/>
          <w:highlight w:val="none"/>
        </w:rPr>
        <w:instrText xml:space="preserve"> HYPERLINK \l _Toc30269 </w:instrText>
      </w:r>
      <w:r>
        <w:rPr>
          <w:rFonts w:hint="eastAsia" w:ascii="宋体" w:hAnsi="宋体" w:cs="宋体"/>
          <w:bCs/>
          <w:i w:val="0"/>
          <w:iCs w:val="0"/>
          <w:caps/>
          <w:szCs w:val="22"/>
          <w:highlight w:val="none"/>
        </w:rPr>
        <w:fldChar w:fldCharType="separate"/>
      </w:r>
      <w:r>
        <w:rPr>
          <w:rFonts w:hint="eastAsia" w:ascii="宋体" w:hAnsi="宋体" w:cs="宋体"/>
          <w:i w:val="0"/>
          <w:iCs w:val="0"/>
          <w:szCs w:val="28"/>
          <w:highlight w:val="none"/>
        </w:rPr>
        <w:t>十</w:t>
      </w:r>
      <w:r>
        <w:rPr>
          <w:rFonts w:hint="eastAsia" w:ascii="宋体" w:hAnsi="宋体" w:cs="宋体"/>
          <w:i w:val="0"/>
          <w:iCs w:val="0"/>
          <w:szCs w:val="28"/>
          <w:highlight w:val="none"/>
          <w:lang w:val="en-US" w:eastAsia="zh-CN"/>
        </w:rPr>
        <w:t>六</w:t>
      </w:r>
      <w:r>
        <w:rPr>
          <w:rFonts w:hint="eastAsia" w:ascii="宋体" w:hAnsi="宋体" w:cs="宋体"/>
          <w:i w:val="0"/>
          <w:iCs w:val="0"/>
          <w:szCs w:val="28"/>
          <w:highlight w:val="none"/>
        </w:rPr>
        <w:t>、其他资料</w:t>
      </w:r>
      <w:r>
        <w:rPr>
          <w:i w:val="0"/>
          <w:iCs w:val="0"/>
        </w:rPr>
        <w:tab/>
      </w:r>
      <w:r>
        <w:rPr>
          <w:i w:val="0"/>
          <w:iCs w:val="0"/>
        </w:rPr>
        <w:fldChar w:fldCharType="begin"/>
      </w:r>
      <w:r>
        <w:rPr>
          <w:i w:val="0"/>
          <w:iCs w:val="0"/>
        </w:rPr>
        <w:instrText xml:space="preserve"> PAGEREF _Toc30269 \h </w:instrText>
      </w:r>
      <w:r>
        <w:rPr>
          <w:i w:val="0"/>
          <w:iCs w:val="0"/>
        </w:rPr>
        <w:fldChar w:fldCharType="separate"/>
      </w:r>
      <w:r>
        <w:rPr>
          <w:i w:val="0"/>
          <w:iCs w:val="0"/>
        </w:rPr>
        <w:t>- 84 -</w:t>
      </w:r>
      <w:r>
        <w:rPr>
          <w:i w:val="0"/>
          <w:iCs w:val="0"/>
        </w:rPr>
        <w:fldChar w:fldCharType="end"/>
      </w:r>
      <w:r>
        <w:rPr>
          <w:rFonts w:hint="eastAsia" w:ascii="宋体" w:hAnsi="宋体" w:cs="宋体"/>
          <w:bCs/>
          <w:i w:val="0"/>
          <w:iCs w:val="0"/>
          <w:caps/>
          <w:color w:val="auto"/>
          <w:szCs w:val="22"/>
          <w:highlight w:val="none"/>
        </w:rPr>
        <w:fldChar w:fldCharType="end"/>
      </w:r>
    </w:p>
    <w:p w14:paraId="530180D1">
      <w:pPr>
        <w:pStyle w:val="20"/>
        <w:tabs>
          <w:tab w:val="right" w:leader="underscore" w:pos="9411"/>
        </w:tabs>
        <w:jc w:val="center"/>
        <w:rPr>
          <w:rFonts w:hint="eastAsia" w:ascii="宋体" w:hAnsi="宋体" w:cs="宋体"/>
          <w:i w:val="0"/>
          <w:iCs w:val="0"/>
          <w:color w:val="auto"/>
          <w:sz w:val="24"/>
          <w:szCs w:val="24"/>
          <w:highlight w:val="none"/>
        </w:rPr>
      </w:pPr>
      <w:r>
        <w:rPr>
          <w:rFonts w:hint="eastAsia" w:ascii="宋体" w:hAnsi="宋体" w:cs="宋体"/>
          <w:bCs/>
          <w:i w:val="0"/>
          <w:iCs w:val="0"/>
          <w:caps/>
          <w:color w:val="auto"/>
          <w:sz w:val="22"/>
          <w:szCs w:val="22"/>
          <w:highlight w:val="none"/>
        </w:rPr>
        <w:fldChar w:fldCharType="end"/>
      </w:r>
      <w:bookmarkStart w:id="0" w:name="_Toc29067"/>
      <w:bookmarkEnd w:id="0"/>
      <w:bookmarkStart w:id="1" w:name="_Toc25108"/>
      <w:bookmarkEnd w:id="1"/>
    </w:p>
    <w:p w14:paraId="15A95B40">
      <w:pPr>
        <w:spacing w:line="400" w:lineRule="exact"/>
        <w:rPr>
          <w:rFonts w:hint="eastAsia" w:ascii="宋体" w:hAnsi="宋体" w:cs="宋体"/>
          <w:i w:val="0"/>
          <w:iCs w:val="0"/>
          <w:color w:val="auto"/>
          <w:highlight w:val="none"/>
        </w:rPr>
        <w:sectPr>
          <w:footerReference r:id="rId5" w:type="default"/>
          <w:pgSz w:w="11906" w:h="16838"/>
          <w:pgMar w:top="1191" w:right="1191" w:bottom="1191" w:left="1304" w:header="851" w:footer="992" w:gutter="0"/>
          <w:pgNumType w:fmt="numberInDash" w:start="1"/>
          <w:cols w:space="720" w:num="1"/>
          <w:docGrid w:type="lines" w:linePitch="317" w:charSpace="0"/>
        </w:sectPr>
      </w:pPr>
      <w:bookmarkStart w:id="2" w:name="_Toc12916"/>
      <w:bookmarkEnd w:id="2"/>
      <w:bookmarkStart w:id="3" w:name="_Toc3039"/>
      <w:bookmarkEnd w:id="3"/>
      <w:bookmarkStart w:id="4" w:name="_Toc24776"/>
    </w:p>
    <w:p w14:paraId="328A9886">
      <w:pPr>
        <w:pStyle w:val="2"/>
        <w:spacing w:before="0" w:after="0" w:line="360" w:lineRule="auto"/>
        <w:jc w:val="center"/>
        <w:rPr>
          <w:rFonts w:hint="eastAsia" w:ascii="宋体" w:hAnsi="宋体" w:cs="宋体"/>
          <w:color w:val="auto"/>
          <w:highlight w:val="none"/>
        </w:rPr>
      </w:pPr>
      <w:bookmarkStart w:id="5" w:name="_Toc25396"/>
      <w:bookmarkStart w:id="6" w:name="_Toc26505"/>
      <w:r>
        <w:rPr>
          <w:rFonts w:hint="eastAsia" w:ascii="宋体" w:hAnsi="宋体" w:cs="宋体"/>
          <w:color w:val="auto"/>
          <w:highlight w:val="none"/>
        </w:rPr>
        <w:t>第一章 招标公告</w:t>
      </w:r>
      <w:bookmarkEnd w:id="4"/>
      <w:bookmarkEnd w:id="5"/>
      <w:bookmarkEnd w:id="6"/>
    </w:p>
    <w:p w14:paraId="346870EC">
      <w:pPr>
        <w:rPr>
          <w:rFonts w:hint="eastAsia" w:ascii="宋体" w:hAnsi="宋体" w:cs="宋体"/>
          <w:color w:val="auto"/>
          <w:highlight w:val="none"/>
        </w:rPr>
      </w:pPr>
    </w:p>
    <w:p w14:paraId="61A77A84">
      <w:pPr>
        <w:spacing w:line="360" w:lineRule="auto"/>
        <w:jc w:val="cente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lang w:eastAsia="zh-CN"/>
        </w:rPr>
        <w:t>昆明医科大学第二附属医院高质量发展重点医疗设备更新项目-超声内镜系统</w:t>
      </w:r>
    </w:p>
    <w:p w14:paraId="740226AD">
      <w:pPr>
        <w:spacing w:line="360" w:lineRule="auto"/>
        <w:jc w:val="center"/>
        <w:rPr>
          <w:rFonts w:hint="eastAsia" w:ascii="宋体" w:hAnsi="宋体" w:cs="宋体"/>
          <w:color w:val="auto"/>
          <w:sz w:val="24"/>
          <w:szCs w:val="24"/>
          <w:highlight w:val="none"/>
        </w:rPr>
      </w:pPr>
      <w:r>
        <w:rPr>
          <w:rFonts w:hint="eastAsia" w:ascii="宋体" w:hAnsi="宋体" w:cs="宋体"/>
          <w:b/>
          <w:color w:val="auto"/>
          <w:sz w:val="32"/>
          <w:szCs w:val="32"/>
          <w:highlight w:val="none"/>
        </w:rPr>
        <w:t>招标公告</w:t>
      </w:r>
    </w:p>
    <w:p w14:paraId="2148AB91">
      <w:pPr>
        <w:pStyle w:val="13"/>
        <w:rPr>
          <w:rFonts w:hint="eastAsia" w:ascii="宋体" w:hAnsi="宋体" w:cs="宋体"/>
          <w:color w:val="auto"/>
          <w:highlight w:val="none"/>
        </w:rPr>
      </w:pPr>
      <w:bookmarkStart w:id="7" w:name="_Toc32031"/>
      <w:bookmarkEnd w:id="7"/>
      <w:bookmarkStart w:id="8" w:name="_Toc29108"/>
      <w:bookmarkEnd w:id="8"/>
    </w:p>
    <w:p w14:paraId="15DBE1C0">
      <w:pPr>
        <w:widowControl w:val="0"/>
        <w:pBdr>
          <w:top w:val="single" w:color="auto" w:sz="4" w:space="1"/>
          <w:left w:val="single" w:color="auto" w:sz="4" w:space="4"/>
          <w:bottom w:val="single" w:color="auto" w:sz="4" w:space="1"/>
          <w:right w:val="single" w:color="auto" w:sz="4" w:space="4"/>
        </w:pBdr>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项目概况</w:t>
      </w:r>
    </w:p>
    <w:p w14:paraId="5352265C">
      <w:pPr>
        <w:widowControl w:val="0"/>
        <w:pBdr>
          <w:top w:val="single" w:color="auto" w:sz="4" w:space="1"/>
          <w:left w:val="single" w:color="auto" w:sz="4" w:space="4"/>
          <w:bottom w:val="single" w:color="auto" w:sz="4" w:space="1"/>
          <w:right w:val="single" w:color="auto" w:sz="4" w:space="4"/>
        </w:pBdr>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u w:val="single"/>
          <w:lang w:eastAsia="zh-CN"/>
        </w:rPr>
        <w:t>昆明医科大学第二附属医院高质量发展重点医疗设备更新项目-超声内镜系统</w:t>
      </w:r>
      <w:r>
        <w:rPr>
          <w:rFonts w:hint="eastAsia" w:ascii="宋体" w:hAnsi="宋体" w:cs="宋体"/>
          <w:color w:val="auto"/>
          <w:kern w:val="2"/>
          <w:sz w:val="24"/>
          <w:szCs w:val="24"/>
          <w:highlight w:val="none"/>
        </w:rPr>
        <w:t>招标项目的潜在投标人应在</w:t>
      </w:r>
      <w:r>
        <w:rPr>
          <w:rFonts w:hint="eastAsia" w:ascii="宋体" w:hAnsi="宋体" w:cs="宋体"/>
          <w:color w:val="auto"/>
          <w:sz w:val="24"/>
          <w:szCs w:val="24"/>
          <w:highlight w:val="none"/>
          <w:u w:val="single"/>
        </w:rPr>
        <w:t>政采云平台（</w:t>
      </w:r>
      <w:r>
        <w:rPr>
          <w:rFonts w:hint="eastAsia" w:ascii="宋体" w:hAnsi="宋体" w:cs="宋体"/>
          <w:color w:val="auto"/>
          <w:sz w:val="24"/>
          <w:szCs w:val="24"/>
          <w:highlight w:val="none"/>
          <w:u w:val="single"/>
        </w:rPr>
        <w:fldChar w:fldCharType="begin"/>
      </w:r>
      <w:r>
        <w:rPr>
          <w:rFonts w:hint="eastAsia" w:ascii="宋体" w:hAnsi="宋体" w:cs="宋体"/>
          <w:color w:val="auto"/>
          <w:sz w:val="24"/>
          <w:szCs w:val="24"/>
          <w:highlight w:val="none"/>
          <w:u w:val="single"/>
        </w:rPr>
        <w:instrText xml:space="preserve">HYPERLINK "https://www.zcygov.cn/）获取（下载）</w:instrText>
      </w:r>
      <w:r>
        <w:rPr>
          <w:rFonts w:hint="eastAsia" w:ascii="宋体" w:hAnsi="宋体" w:cs="宋体"/>
          <w:color w:val="auto"/>
          <w:kern w:val="2"/>
          <w:sz w:val="24"/>
          <w:szCs w:val="24"/>
          <w:highlight w:val="none"/>
          <w:u w:val="single"/>
          <w:lang w:bidi="ar"/>
        </w:rPr>
        <w:instrText xml:space="preserve">获取招标文件，并于2025</w:instrText>
      </w:r>
      <w:r>
        <w:rPr>
          <w:rFonts w:hint="eastAsia" w:ascii="宋体" w:hAnsi="宋体" w:cs="宋体"/>
          <w:bCs/>
          <w:color w:val="auto"/>
          <w:kern w:val="2"/>
          <w:sz w:val="24"/>
          <w:szCs w:val="24"/>
          <w:highlight w:val="none"/>
          <w:u w:val="single"/>
          <w:lang w:bidi="ar"/>
        </w:rPr>
        <w:instrText xml:space="preserve">年</w:instrText>
      </w:r>
      <w:r>
        <w:rPr>
          <w:rFonts w:hint="eastAsia" w:ascii="宋体" w:hAnsi="宋体" w:cs="宋体"/>
          <w:color w:val="auto"/>
          <w:sz w:val="24"/>
          <w:szCs w:val="24"/>
          <w:highlight w:val="none"/>
          <w:u w:val="single"/>
        </w:rPr>
        <w:instrText xml:space="preserve">"</w:instrText>
      </w:r>
      <w:r>
        <w:rPr>
          <w:rFonts w:hint="eastAsia" w:ascii="宋体" w:hAnsi="宋体" w:cs="宋体"/>
          <w:color w:val="auto"/>
          <w:sz w:val="24"/>
          <w:szCs w:val="24"/>
          <w:highlight w:val="none"/>
          <w:u w:val="single"/>
        </w:rPr>
        <w:fldChar w:fldCharType="separate"/>
      </w:r>
      <w:r>
        <w:rPr>
          <w:rStyle w:val="43"/>
          <w:rFonts w:hint="eastAsia" w:ascii="宋体" w:hAnsi="宋体" w:cs="宋体"/>
          <w:color w:val="auto"/>
          <w:sz w:val="24"/>
          <w:szCs w:val="24"/>
          <w:highlight w:val="none"/>
        </w:rPr>
        <w:t>https://www.zcygov.cn/）获取（下载）</w:t>
      </w:r>
      <w:r>
        <w:rPr>
          <w:rStyle w:val="43"/>
          <w:rFonts w:hint="eastAsia" w:ascii="宋体" w:hAnsi="宋体" w:cs="宋体"/>
          <w:color w:val="auto"/>
          <w:kern w:val="2"/>
          <w:sz w:val="24"/>
          <w:szCs w:val="24"/>
          <w:highlight w:val="none"/>
          <w:lang w:bidi="ar"/>
        </w:rPr>
        <w:t>获取招标文件，并于</w:t>
      </w:r>
      <w:r>
        <w:rPr>
          <w:rStyle w:val="43"/>
          <w:rFonts w:hint="eastAsia" w:ascii="宋体" w:hAnsi="宋体" w:cs="宋体"/>
          <w:color w:val="auto"/>
          <w:kern w:val="2"/>
          <w:sz w:val="24"/>
          <w:szCs w:val="24"/>
          <w:highlight w:val="none"/>
          <w:u w:val="single"/>
          <w:lang w:bidi="ar"/>
        </w:rPr>
        <w:t>202</w:t>
      </w:r>
      <w:r>
        <w:rPr>
          <w:rStyle w:val="43"/>
          <w:rFonts w:hint="eastAsia" w:ascii="宋体" w:hAnsi="宋体" w:cs="宋体"/>
          <w:color w:val="auto"/>
          <w:kern w:val="2"/>
          <w:sz w:val="24"/>
          <w:szCs w:val="24"/>
          <w:highlight w:val="none"/>
          <w:u w:val="single"/>
          <w:lang w:val="en-US" w:eastAsia="zh-CN" w:bidi="ar"/>
        </w:rPr>
        <w:t>6</w:t>
      </w:r>
      <w:r>
        <w:rPr>
          <w:rStyle w:val="43"/>
          <w:rFonts w:hint="eastAsia" w:ascii="宋体" w:hAnsi="宋体" w:cs="宋体"/>
          <w:bCs/>
          <w:color w:val="auto"/>
          <w:kern w:val="2"/>
          <w:sz w:val="24"/>
          <w:szCs w:val="24"/>
          <w:highlight w:val="none"/>
          <w:u w:val="single"/>
          <w:lang w:bidi="ar"/>
        </w:rPr>
        <w:t>年</w:t>
      </w:r>
      <w:r>
        <w:rPr>
          <w:rFonts w:hint="eastAsia" w:ascii="宋体" w:hAnsi="宋体" w:cs="宋体"/>
          <w:color w:val="auto"/>
          <w:sz w:val="24"/>
          <w:szCs w:val="24"/>
          <w:highlight w:val="none"/>
          <w:u w:val="single"/>
        </w:rPr>
        <w:fldChar w:fldCharType="end"/>
      </w:r>
      <w:r>
        <w:rPr>
          <w:rFonts w:hint="eastAsia" w:ascii="宋体" w:hAnsi="宋体" w:cs="宋体"/>
          <w:color w:val="auto"/>
          <w:sz w:val="24"/>
          <w:szCs w:val="24"/>
          <w:highlight w:val="none"/>
          <w:u w:val="single"/>
          <w:lang w:val="en-US" w:eastAsia="zh-CN"/>
        </w:rPr>
        <w:t>6</w:t>
      </w:r>
      <w:r>
        <w:rPr>
          <w:rFonts w:hint="eastAsia" w:ascii="宋体" w:hAnsi="宋体" w:cs="宋体"/>
          <w:color w:val="auto"/>
          <w:highlight w:val="none"/>
          <w:u w:val="single"/>
        </w:rPr>
        <w:fldChar w:fldCharType="begin"/>
      </w:r>
      <w:r>
        <w:rPr>
          <w:rFonts w:hint="eastAsia" w:ascii="宋体" w:hAnsi="宋体" w:cs="宋体"/>
          <w:color w:val="auto"/>
          <w:highlight w:val="none"/>
          <w:u w:val="single"/>
        </w:rPr>
        <w:instrText xml:space="preserve"> HYPERLINK "http://ggzy.yn.gov.cn/" \l "/homePag）获取招标文件，并于2023年   月" </w:instrText>
      </w:r>
      <w:r>
        <w:rPr>
          <w:rFonts w:hint="eastAsia" w:ascii="宋体" w:hAnsi="宋体" w:cs="宋体"/>
          <w:color w:val="auto"/>
          <w:highlight w:val="none"/>
          <w:u w:val="single"/>
        </w:rPr>
        <w:fldChar w:fldCharType="separate"/>
      </w:r>
      <w:r>
        <w:rPr>
          <w:rStyle w:val="43"/>
          <w:rFonts w:hint="eastAsia" w:ascii="宋体" w:hAnsi="宋体" w:cs="宋体"/>
          <w:color w:val="auto"/>
          <w:kern w:val="2"/>
          <w:sz w:val="24"/>
          <w:szCs w:val="24"/>
          <w:highlight w:val="none"/>
          <w:u w:val="single"/>
        </w:rPr>
        <w:t>月</w:t>
      </w:r>
      <w:r>
        <w:rPr>
          <w:rStyle w:val="43"/>
          <w:rFonts w:hint="eastAsia" w:ascii="宋体" w:hAnsi="宋体" w:cs="宋体"/>
          <w:color w:val="auto"/>
          <w:kern w:val="2"/>
          <w:sz w:val="24"/>
          <w:szCs w:val="24"/>
          <w:highlight w:val="none"/>
          <w:u w:val="single"/>
        </w:rPr>
        <w:fldChar w:fldCharType="end"/>
      </w:r>
      <w:r>
        <w:rPr>
          <w:rStyle w:val="43"/>
          <w:rFonts w:hint="eastAsia" w:ascii="宋体" w:hAnsi="宋体" w:cs="宋体"/>
          <w:color w:val="auto"/>
          <w:kern w:val="2"/>
          <w:sz w:val="24"/>
          <w:szCs w:val="24"/>
          <w:highlight w:val="none"/>
          <w:u w:val="single"/>
          <w:lang w:val="en-US" w:eastAsia="zh-CN"/>
        </w:rPr>
        <w:t>11</w:t>
      </w:r>
      <w:r>
        <w:rPr>
          <w:rFonts w:hint="eastAsia" w:ascii="宋体" w:hAnsi="宋体" w:cs="宋体"/>
          <w:color w:val="auto"/>
          <w:kern w:val="2"/>
          <w:sz w:val="24"/>
          <w:szCs w:val="24"/>
          <w:highlight w:val="none"/>
          <w:u w:val="single"/>
        </w:rPr>
        <w:t>日</w:t>
      </w:r>
      <w:r>
        <w:rPr>
          <w:rFonts w:hint="eastAsia" w:ascii="宋体" w:hAnsi="宋体" w:cs="宋体"/>
          <w:color w:val="auto"/>
          <w:kern w:val="2"/>
          <w:sz w:val="24"/>
          <w:szCs w:val="24"/>
          <w:highlight w:val="none"/>
          <w:u w:val="single"/>
          <w:lang w:val="en-US" w:eastAsia="zh-CN"/>
        </w:rPr>
        <w:t>14</w:t>
      </w:r>
      <w:r>
        <w:rPr>
          <w:rFonts w:hint="eastAsia" w:ascii="宋体" w:hAnsi="宋体" w:cs="宋体"/>
          <w:color w:val="auto"/>
          <w:kern w:val="2"/>
          <w:sz w:val="24"/>
          <w:szCs w:val="24"/>
          <w:highlight w:val="none"/>
          <w:u w:val="single"/>
        </w:rPr>
        <w:t>点</w:t>
      </w:r>
      <w:r>
        <w:rPr>
          <w:rFonts w:hint="eastAsia" w:ascii="宋体" w:hAnsi="宋体" w:cs="宋体"/>
          <w:color w:val="auto"/>
          <w:kern w:val="2"/>
          <w:sz w:val="24"/>
          <w:szCs w:val="24"/>
          <w:highlight w:val="none"/>
          <w:u w:val="single"/>
          <w:lang w:val="en-US" w:eastAsia="zh-CN"/>
        </w:rPr>
        <w:t>30</w:t>
      </w:r>
      <w:r>
        <w:rPr>
          <w:rFonts w:hint="eastAsia" w:ascii="宋体" w:hAnsi="宋体" w:cs="宋体"/>
          <w:color w:val="auto"/>
          <w:kern w:val="2"/>
          <w:sz w:val="24"/>
          <w:szCs w:val="24"/>
          <w:highlight w:val="none"/>
          <w:u w:val="single"/>
        </w:rPr>
        <w:t>分</w:t>
      </w:r>
      <w:r>
        <w:rPr>
          <w:rFonts w:hint="eastAsia" w:ascii="宋体" w:hAnsi="宋体" w:cs="宋体"/>
          <w:bCs/>
          <w:color w:val="auto"/>
          <w:kern w:val="2"/>
          <w:sz w:val="24"/>
          <w:szCs w:val="24"/>
          <w:highlight w:val="none"/>
          <w:u w:val="single"/>
        </w:rPr>
        <w:t>（</w:t>
      </w:r>
      <w:r>
        <w:rPr>
          <w:rFonts w:hint="eastAsia" w:ascii="宋体" w:hAnsi="宋体" w:cs="宋体"/>
          <w:bCs/>
          <w:color w:val="auto"/>
          <w:kern w:val="2"/>
          <w:sz w:val="24"/>
          <w:szCs w:val="24"/>
          <w:highlight w:val="none"/>
        </w:rPr>
        <w:t>北京时间）前递交投标文件</w:t>
      </w:r>
      <w:r>
        <w:rPr>
          <w:rFonts w:hint="eastAsia" w:ascii="宋体" w:hAnsi="宋体" w:cs="宋体"/>
          <w:color w:val="auto"/>
          <w:kern w:val="2"/>
          <w:sz w:val="24"/>
          <w:szCs w:val="24"/>
          <w:highlight w:val="none"/>
        </w:rPr>
        <w:t>。</w:t>
      </w:r>
    </w:p>
    <w:p w14:paraId="72756B0D">
      <w:pPr>
        <w:pStyle w:val="13"/>
        <w:rPr>
          <w:rFonts w:hint="eastAsia" w:ascii="宋体" w:hAnsi="宋体" w:cs="宋体"/>
          <w:color w:val="auto"/>
          <w:sz w:val="24"/>
          <w:highlight w:val="none"/>
        </w:rPr>
      </w:pPr>
    </w:p>
    <w:p w14:paraId="4480A52A">
      <w:pPr>
        <w:pStyle w:val="3"/>
        <w:widowControl/>
        <w:spacing w:before="0" w:after="0" w:line="360" w:lineRule="auto"/>
        <w:rPr>
          <w:rFonts w:hint="eastAsia" w:ascii="宋体" w:hAnsi="宋体" w:eastAsia="宋体" w:cs="宋体"/>
          <w:color w:val="auto"/>
          <w:highlight w:val="none"/>
        </w:rPr>
      </w:pPr>
      <w:bookmarkStart w:id="9" w:name="_Toc24846"/>
      <w:bookmarkStart w:id="10" w:name="_Toc12505"/>
      <w:bookmarkStart w:id="11" w:name="_Toc28359079"/>
      <w:bookmarkStart w:id="12" w:name="_Toc35393790"/>
      <w:bookmarkStart w:id="13" w:name="_Toc26334"/>
      <w:bookmarkStart w:id="14" w:name="_Toc23839"/>
      <w:bookmarkStart w:id="15" w:name="_Toc28359002"/>
      <w:bookmarkStart w:id="16" w:name="_Toc35393621"/>
      <w:bookmarkStart w:id="17" w:name="_Hlk24379207"/>
      <w:r>
        <w:rPr>
          <w:rFonts w:hint="eastAsia" w:ascii="宋体" w:hAnsi="宋体" w:eastAsia="宋体" w:cs="宋体"/>
          <w:bCs w:val="0"/>
          <w:color w:val="auto"/>
          <w:sz w:val="24"/>
          <w:szCs w:val="24"/>
          <w:highlight w:val="none"/>
        </w:rPr>
        <w:t>一、项目基本情况</w:t>
      </w:r>
      <w:bookmarkEnd w:id="9"/>
      <w:bookmarkEnd w:id="10"/>
      <w:bookmarkEnd w:id="11"/>
      <w:bookmarkEnd w:id="12"/>
      <w:bookmarkEnd w:id="13"/>
      <w:bookmarkEnd w:id="14"/>
      <w:bookmarkEnd w:id="15"/>
      <w:bookmarkEnd w:id="16"/>
    </w:p>
    <w:p w14:paraId="7391211C">
      <w:pPr>
        <w:widowControl w:val="0"/>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cs="宋体"/>
          <w:color w:val="auto"/>
          <w:kern w:val="2"/>
          <w:sz w:val="24"/>
          <w:szCs w:val="24"/>
          <w:highlight w:val="none"/>
          <w:lang w:bidi="ar"/>
        </w:rPr>
        <w:t>招标编号：</w:t>
      </w:r>
      <w:r>
        <w:rPr>
          <w:rFonts w:hint="eastAsia" w:ascii="宋体" w:hAnsi="宋体" w:cs="宋体"/>
          <w:color w:val="auto"/>
          <w:kern w:val="2"/>
          <w:sz w:val="24"/>
          <w:szCs w:val="24"/>
          <w:highlight w:val="none"/>
          <w:lang w:eastAsia="zh-CN" w:bidi="ar"/>
        </w:rPr>
        <w:t>YNZC2026-G1-02563-YYZX-0230</w:t>
      </w:r>
    </w:p>
    <w:p w14:paraId="016EFB66">
      <w:pPr>
        <w:widowControl w:val="0"/>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cs="宋体"/>
          <w:color w:val="auto"/>
          <w:kern w:val="2"/>
          <w:sz w:val="24"/>
          <w:szCs w:val="24"/>
          <w:highlight w:val="none"/>
          <w:lang w:bidi="ar"/>
        </w:rPr>
        <w:t>项目名称：</w:t>
      </w:r>
      <w:r>
        <w:rPr>
          <w:rFonts w:hint="eastAsia" w:ascii="宋体" w:hAnsi="宋体" w:cs="宋体"/>
          <w:color w:val="auto"/>
          <w:kern w:val="2"/>
          <w:sz w:val="24"/>
          <w:szCs w:val="24"/>
          <w:highlight w:val="none"/>
          <w:lang w:eastAsia="zh-CN" w:bidi="ar"/>
        </w:rPr>
        <w:t>昆明医科大学第二附属医院高质量发展重点医疗设备更新项目-超声内镜系统</w:t>
      </w:r>
    </w:p>
    <w:bookmarkEnd w:id="17"/>
    <w:p w14:paraId="62DD1650">
      <w:pPr>
        <w:widowControl w:val="0"/>
        <w:tabs>
          <w:tab w:val="left" w:pos="4200"/>
        </w:tabs>
        <w:spacing w:line="360" w:lineRule="auto"/>
        <w:ind w:firstLine="480" w:firstLineChars="200"/>
        <w:jc w:val="both"/>
        <w:rPr>
          <w:rFonts w:hint="default" w:ascii="宋体" w:hAnsi="宋体" w:eastAsia="宋体" w:cs="宋体"/>
          <w:color w:val="auto"/>
          <w:sz w:val="24"/>
          <w:szCs w:val="24"/>
          <w:highlight w:val="none"/>
          <w:lang w:val="en-US" w:eastAsia="zh-CN"/>
        </w:rPr>
      </w:pPr>
      <w:r>
        <w:rPr>
          <w:rFonts w:hint="eastAsia" w:ascii="宋体" w:hAnsi="宋体" w:cs="宋体"/>
          <w:color w:val="auto"/>
          <w:kern w:val="2"/>
          <w:sz w:val="24"/>
          <w:szCs w:val="24"/>
          <w:highlight w:val="none"/>
          <w:lang w:bidi="ar"/>
        </w:rPr>
        <w:t>预算金额：</w:t>
      </w:r>
      <w:r>
        <w:rPr>
          <w:rFonts w:hint="eastAsia" w:ascii="宋体" w:hAnsi="宋体" w:cs="宋体"/>
          <w:color w:val="auto"/>
          <w:kern w:val="2"/>
          <w:sz w:val="24"/>
          <w:szCs w:val="24"/>
          <w:highlight w:val="none"/>
          <w:lang w:val="en-US" w:eastAsia="zh-CN" w:bidi="ar"/>
        </w:rPr>
        <w:t>200万元</w:t>
      </w:r>
    </w:p>
    <w:p w14:paraId="28D95C5C">
      <w:pPr>
        <w:widowControl w:val="0"/>
        <w:tabs>
          <w:tab w:val="left" w:pos="5040"/>
        </w:tabs>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cs="宋体"/>
          <w:color w:val="auto"/>
          <w:kern w:val="2"/>
          <w:sz w:val="24"/>
          <w:szCs w:val="24"/>
          <w:highlight w:val="none"/>
          <w:lang w:bidi="ar"/>
        </w:rPr>
        <w:t>最高限价：</w:t>
      </w:r>
      <w:r>
        <w:rPr>
          <w:rFonts w:hint="eastAsia" w:ascii="宋体" w:hAnsi="宋体" w:cs="宋体"/>
          <w:color w:val="auto"/>
          <w:kern w:val="2"/>
          <w:sz w:val="24"/>
          <w:szCs w:val="24"/>
          <w:highlight w:val="none"/>
          <w:lang w:val="en-US" w:eastAsia="zh-CN" w:bidi="ar"/>
        </w:rPr>
        <w:t>200万元</w:t>
      </w:r>
    </w:p>
    <w:p w14:paraId="37025AD5">
      <w:pPr>
        <w:widowControl w:val="0"/>
        <w:spacing w:line="360" w:lineRule="auto"/>
        <w:ind w:firstLine="480" w:firstLineChars="200"/>
        <w:jc w:val="both"/>
        <w:rPr>
          <w:rFonts w:hint="eastAsia" w:ascii="宋体" w:hAnsi="宋体" w:cs="宋体"/>
          <w:color w:val="auto"/>
          <w:kern w:val="2"/>
          <w:sz w:val="24"/>
          <w:szCs w:val="24"/>
          <w:highlight w:val="none"/>
        </w:rPr>
      </w:pPr>
      <w:r>
        <w:rPr>
          <w:rFonts w:hint="eastAsia" w:ascii="宋体" w:hAnsi="宋体" w:cs="宋体"/>
          <w:color w:val="auto"/>
          <w:sz w:val="24"/>
          <w:szCs w:val="24"/>
          <w:highlight w:val="none"/>
        </w:rPr>
        <w:t>采购需求：</w:t>
      </w:r>
      <w:r>
        <w:rPr>
          <w:rFonts w:hint="eastAsia" w:ascii="宋体" w:hAnsi="宋体" w:cs="宋体"/>
          <w:color w:val="auto"/>
          <w:sz w:val="24"/>
          <w:szCs w:val="24"/>
          <w:highlight w:val="none"/>
          <w:lang w:eastAsia="zh-CN"/>
        </w:rPr>
        <w:t>本项目划分为</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个标段</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采购</w:t>
      </w:r>
      <w:r>
        <w:rPr>
          <w:rFonts w:hint="eastAsia" w:ascii="宋体" w:hAnsi="宋体" w:cs="宋体"/>
          <w:color w:val="auto"/>
          <w:sz w:val="24"/>
          <w:szCs w:val="24"/>
          <w:highlight w:val="none"/>
          <w:lang w:val="en-US" w:eastAsia="zh-CN"/>
        </w:rPr>
        <w:t>超声内镜系统1套</w:t>
      </w:r>
      <w:r>
        <w:rPr>
          <w:rFonts w:hint="eastAsia" w:ascii="宋体" w:hAnsi="宋体" w:cs="宋体"/>
          <w:color w:val="auto"/>
          <w:sz w:val="24"/>
          <w:szCs w:val="24"/>
          <w:highlight w:val="none"/>
        </w:rPr>
        <w:t>。</w:t>
      </w:r>
      <w:r>
        <w:rPr>
          <w:rFonts w:hint="eastAsia" w:ascii="宋体" w:hAnsi="宋体" w:cs="宋体"/>
          <w:color w:val="auto"/>
          <w:kern w:val="2"/>
          <w:sz w:val="24"/>
          <w:szCs w:val="24"/>
          <w:highlight w:val="none"/>
        </w:rPr>
        <w:t>本次招标允许进口产品投标。进口产品是指通过中国海关报关验放进入中国境内且产自关境外的产品。</w:t>
      </w:r>
    </w:p>
    <w:tbl>
      <w:tblPr>
        <w:tblStyle w:val="37"/>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3"/>
        <w:gridCol w:w="872"/>
        <w:gridCol w:w="872"/>
        <w:gridCol w:w="1788"/>
        <w:gridCol w:w="629"/>
        <w:gridCol w:w="1359"/>
        <w:gridCol w:w="1784"/>
        <w:gridCol w:w="1527"/>
      </w:tblGrid>
      <w:tr w14:paraId="45255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07"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0F95D5D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1977815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标段代码</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0439F44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是否允许进口</w:t>
            </w:r>
          </w:p>
        </w:tc>
        <w:tc>
          <w:tcPr>
            <w:tcW w:w="929"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515026D8">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项目名称</w:t>
            </w:r>
          </w:p>
        </w:tc>
        <w:tc>
          <w:tcPr>
            <w:tcW w:w="327"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773C3B3E">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706"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4E29F8C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计量单位</w:t>
            </w:r>
          </w:p>
        </w:tc>
        <w:tc>
          <w:tcPr>
            <w:tcW w:w="927"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7E92195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预算单价(元)</w:t>
            </w:r>
          </w:p>
        </w:tc>
        <w:tc>
          <w:tcPr>
            <w:tcW w:w="793"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7A4E11C0">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cs="宋体"/>
                <w:b/>
                <w:bCs/>
                <w:i w:val="0"/>
                <w:iCs w:val="0"/>
                <w:color w:val="000000"/>
                <w:kern w:val="0"/>
                <w:sz w:val="24"/>
                <w:szCs w:val="24"/>
                <w:highlight w:val="none"/>
                <w:u w:val="none"/>
                <w:lang w:val="en-US" w:eastAsia="zh-CN" w:bidi="ar"/>
              </w:rPr>
              <w:t>最高单价限价</w:t>
            </w:r>
            <w:r>
              <w:rPr>
                <w:rFonts w:hint="eastAsia" w:ascii="宋体" w:hAnsi="宋体" w:eastAsia="宋体" w:cs="宋体"/>
                <w:b/>
                <w:bCs/>
                <w:i w:val="0"/>
                <w:iCs w:val="0"/>
                <w:color w:val="000000"/>
                <w:kern w:val="0"/>
                <w:sz w:val="24"/>
                <w:szCs w:val="24"/>
                <w:highlight w:val="none"/>
                <w:u w:val="none"/>
                <w:lang w:val="en-US" w:eastAsia="zh-CN" w:bidi="ar"/>
              </w:rPr>
              <w:t>(元)</w:t>
            </w:r>
          </w:p>
        </w:tc>
      </w:tr>
      <w:tr w14:paraId="57B8A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07"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6893F96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1</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64767E4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1BB422F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是</w:t>
            </w:r>
          </w:p>
        </w:tc>
        <w:tc>
          <w:tcPr>
            <w:tcW w:w="929"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416100D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sz w:val="24"/>
                <w:szCs w:val="24"/>
                <w:highlight w:val="none"/>
                <w:u w:val="none"/>
                <w:lang w:val="en-US" w:eastAsia="zh-CN"/>
              </w:rPr>
              <w:t>超声内镜系统</w:t>
            </w:r>
          </w:p>
        </w:tc>
        <w:tc>
          <w:tcPr>
            <w:tcW w:w="327"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7230CB7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1</w:t>
            </w:r>
          </w:p>
        </w:tc>
        <w:tc>
          <w:tcPr>
            <w:tcW w:w="706"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1BA0894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套</w:t>
            </w:r>
          </w:p>
        </w:tc>
        <w:tc>
          <w:tcPr>
            <w:tcW w:w="927"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23FB150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2000000</w:t>
            </w:r>
          </w:p>
        </w:tc>
        <w:tc>
          <w:tcPr>
            <w:tcW w:w="793"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1C88BCA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rPr>
              <w:t>2000000</w:t>
            </w:r>
          </w:p>
        </w:tc>
      </w:tr>
    </w:tbl>
    <w:p w14:paraId="7974A9A4">
      <w:pPr>
        <w:widowControl w:val="0"/>
        <w:spacing w:line="360" w:lineRule="auto"/>
        <w:ind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cs="宋体"/>
          <w:color w:val="auto"/>
          <w:kern w:val="2"/>
          <w:sz w:val="24"/>
          <w:szCs w:val="24"/>
          <w:highlight w:val="none"/>
        </w:rPr>
        <w:t>合同履行期限：</w:t>
      </w:r>
      <w:r>
        <w:rPr>
          <w:rFonts w:hint="eastAsia" w:ascii="宋体" w:hAnsi="宋体" w:cs="宋体"/>
          <w:color w:val="auto"/>
          <w:kern w:val="2"/>
          <w:sz w:val="24"/>
          <w:szCs w:val="24"/>
          <w:highlight w:val="none"/>
          <w:lang w:eastAsia="zh-CN"/>
        </w:rPr>
        <w:t>交货期不超过30个工作日。</w:t>
      </w:r>
    </w:p>
    <w:p w14:paraId="710CD76F">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本项目不接受联合体投标。</w:t>
      </w:r>
    </w:p>
    <w:p w14:paraId="54430AB4">
      <w:pPr>
        <w:pStyle w:val="3"/>
        <w:widowControl/>
        <w:spacing w:before="0" w:after="0" w:line="360" w:lineRule="auto"/>
        <w:rPr>
          <w:rFonts w:hint="eastAsia" w:ascii="宋体" w:hAnsi="宋体" w:eastAsia="宋体" w:cs="宋体"/>
          <w:bCs w:val="0"/>
          <w:color w:val="auto"/>
          <w:sz w:val="24"/>
          <w:szCs w:val="24"/>
          <w:highlight w:val="none"/>
          <w:lang w:eastAsia="zh-CN"/>
        </w:rPr>
      </w:pPr>
      <w:bookmarkStart w:id="18" w:name="_Toc35393622"/>
      <w:bookmarkStart w:id="19" w:name="_Toc13757"/>
      <w:bookmarkStart w:id="20" w:name="_Toc28359003"/>
      <w:bookmarkStart w:id="21" w:name="_Toc12972"/>
      <w:bookmarkStart w:id="22" w:name="_Toc28359080"/>
      <w:bookmarkStart w:id="23" w:name="_Toc35393791"/>
      <w:bookmarkStart w:id="24" w:name="_Toc2051"/>
      <w:bookmarkStart w:id="25" w:name="_Toc16291"/>
      <w:r>
        <w:rPr>
          <w:rFonts w:hint="eastAsia" w:ascii="宋体" w:hAnsi="宋体" w:eastAsia="宋体" w:cs="宋体"/>
          <w:bCs w:val="0"/>
          <w:color w:val="auto"/>
          <w:sz w:val="24"/>
          <w:szCs w:val="24"/>
          <w:highlight w:val="none"/>
        </w:rPr>
        <w:t>二、</w:t>
      </w:r>
      <w:bookmarkEnd w:id="18"/>
      <w:bookmarkEnd w:id="19"/>
      <w:bookmarkEnd w:id="20"/>
      <w:bookmarkEnd w:id="21"/>
      <w:bookmarkEnd w:id="22"/>
      <w:bookmarkEnd w:id="23"/>
      <w:bookmarkEnd w:id="24"/>
      <w:r>
        <w:rPr>
          <w:rFonts w:hint="eastAsia" w:ascii="宋体" w:hAnsi="宋体" w:eastAsia="宋体" w:cs="宋体"/>
          <w:bCs w:val="0"/>
          <w:color w:val="auto"/>
          <w:sz w:val="24"/>
          <w:szCs w:val="24"/>
          <w:highlight w:val="none"/>
          <w:lang w:eastAsia="zh-CN"/>
        </w:rPr>
        <w:t>申请人的资格要求</w:t>
      </w:r>
      <w:bookmarkEnd w:id="25"/>
    </w:p>
    <w:p w14:paraId="2BB00115">
      <w:pPr>
        <w:widowControl w:val="0"/>
        <w:spacing w:line="360" w:lineRule="auto"/>
        <w:ind w:firstLine="480" w:firstLineChars="200"/>
        <w:jc w:val="both"/>
        <w:rPr>
          <w:rFonts w:hint="eastAsia" w:ascii="宋体" w:hAnsi="宋体" w:eastAsia="宋体" w:cs="宋体"/>
          <w:color w:val="auto"/>
          <w:kern w:val="2"/>
          <w:sz w:val="24"/>
          <w:szCs w:val="24"/>
          <w:highlight w:val="none"/>
        </w:rPr>
      </w:pPr>
      <w:bookmarkStart w:id="26" w:name="_Toc28359081"/>
      <w:bookmarkStart w:id="27" w:name="_Toc15801"/>
      <w:bookmarkStart w:id="28" w:name="_Toc35393792"/>
      <w:bookmarkStart w:id="29" w:name="_Toc35393623"/>
      <w:bookmarkStart w:id="30" w:name="_Toc28359004"/>
      <w:bookmarkStart w:id="31" w:name="_Toc29745"/>
      <w:bookmarkStart w:id="32" w:name="_Toc21827"/>
      <w:r>
        <w:rPr>
          <w:rFonts w:hint="eastAsia" w:ascii="宋体" w:hAnsi="宋体" w:eastAsia="宋体" w:cs="宋体"/>
          <w:color w:val="auto"/>
          <w:kern w:val="2"/>
          <w:sz w:val="24"/>
          <w:szCs w:val="24"/>
          <w:highlight w:val="none"/>
        </w:rPr>
        <w:t>1.满足《中华</w:t>
      </w:r>
      <w:r>
        <w:rPr>
          <w:rFonts w:hint="eastAsia" w:ascii="宋体" w:hAnsi="宋体" w:cs="宋体"/>
          <w:color w:val="auto"/>
          <w:kern w:val="2"/>
          <w:sz w:val="24"/>
          <w:szCs w:val="24"/>
          <w:highlight w:val="none"/>
          <w:lang w:eastAsia="zh-CN"/>
        </w:rPr>
        <w:t>4EBA</w:t>
      </w:r>
      <w:r>
        <w:rPr>
          <w:rFonts w:hint="eastAsia" w:ascii="宋体" w:hAnsi="宋体" w:eastAsia="宋体" w:cs="宋体"/>
          <w:color w:val="auto"/>
          <w:kern w:val="2"/>
          <w:sz w:val="24"/>
          <w:szCs w:val="24"/>
          <w:highlight w:val="none"/>
        </w:rPr>
        <w:t>民共和国政府采购法》第二十二条规定；</w:t>
      </w:r>
    </w:p>
    <w:p w14:paraId="28DBF508">
      <w:pPr>
        <w:widowControl w:val="0"/>
        <w:spacing w:line="360" w:lineRule="auto"/>
        <w:ind w:firstLine="480" w:firstLineChars="200"/>
        <w:jc w:val="both"/>
        <w:rPr>
          <w:rFonts w:hint="eastAsia" w:ascii="宋体" w:hAnsi="宋体" w:eastAsia="宋体" w:cs="宋体"/>
          <w:color w:val="auto"/>
          <w:kern w:val="2"/>
          <w:sz w:val="24"/>
          <w:szCs w:val="24"/>
          <w:highlight w:val="none"/>
          <w:lang w:eastAsia="zh-CN" w:bidi="ar"/>
        </w:rPr>
      </w:pPr>
      <w:r>
        <w:rPr>
          <w:rFonts w:hint="eastAsia" w:ascii="宋体" w:hAnsi="宋体" w:cs="宋体"/>
          <w:color w:val="auto"/>
          <w:kern w:val="2"/>
          <w:sz w:val="24"/>
          <w:szCs w:val="24"/>
          <w:highlight w:val="none"/>
          <w:lang w:bidi="ar"/>
        </w:rPr>
        <w:t>1.1具有独立承担民事责任的能力。提供法人或者其他组织</w:t>
      </w:r>
      <w:r>
        <w:rPr>
          <w:rFonts w:hint="eastAsia" w:ascii="宋体" w:hAnsi="宋体" w:cs="宋体"/>
          <w:color w:val="auto"/>
          <w:kern w:val="2"/>
          <w:sz w:val="24"/>
          <w:szCs w:val="24"/>
          <w:highlight w:val="none"/>
          <w:lang w:val="en-US" w:eastAsia="zh-CN" w:bidi="ar"/>
        </w:rPr>
        <w:t>或自然人</w:t>
      </w:r>
      <w:r>
        <w:rPr>
          <w:rFonts w:hint="eastAsia" w:ascii="宋体" w:hAnsi="宋体" w:cs="宋体"/>
          <w:color w:val="auto"/>
          <w:kern w:val="2"/>
          <w:sz w:val="24"/>
          <w:szCs w:val="24"/>
          <w:highlight w:val="none"/>
          <w:lang w:eastAsia="zh-CN" w:bidi="ar"/>
        </w:rPr>
        <w:t>的有效的营业执照或同等证明文件。</w:t>
      </w:r>
    </w:p>
    <w:p w14:paraId="76FAD65B">
      <w:pPr>
        <w:widowControl w:val="0"/>
        <w:spacing w:line="360" w:lineRule="auto"/>
        <w:ind w:firstLine="480" w:firstLineChars="20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1.2具有良好的商业信誉和健全的财务会计制度。投标人须提供财务状况报告，内容可为以下</w:t>
      </w:r>
      <w:r>
        <w:rPr>
          <w:rFonts w:hint="eastAsia" w:ascii="宋体" w:hAnsi="宋体" w:cs="宋体"/>
          <w:color w:val="auto"/>
          <w:kern w:val="2"/>
          <w:sz w:val="24"/>
          <w:szCs w:val="24"/>
          <w:highlight w:val="none"/>
          <w:lang w:val="en-US" w:eastAsia="zh-CN" w:bidi="ar"/>
        </w:rPr>
        <w:t>三</w:t>
      </w:r>
      <w:r>
        <w:rPr>
          <w:rFonts w:hint="eastAsia" w:ascii="宋体" w:hAnsi="宋体" w:cs="宋体"/>
          <w:color w:val="auto"/>
          <w:kern w:val="2"/>
          <w:sz w:val="24"/>
          <w:szCs w:val="24"/>
          <w:highlight w:val="none"/>
          <w:lang w:bidi="ar"/>
        </w:rPr>
        <w:t xml:space="preserve">者之一： </w:t>
      </w:r>
    </w:p>
    <w:p w14:paraId="6590C3BA">
      <w:pPr>
        <w:widowControl w:val="0"/>
        <w:spacing w:line="360" w:lineRule="auto"/>
        <w:ind w:firstLine="480" w:firstLineChars="20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①提供2024年至今任意一年度经审计的财务报告</w:t>
      </w:r>
      <w:r>
        <w:rPr>
          <w:rFonts w:hint="eastAsia" w:ascii="宋体" w:hAnsi="宋体" w:cs="宋体"/>
          <w:b/>
          <w:bCs/>
          <w:color w:val="auto"/>
          <w:kern w:val="2"/>
          <w:sz w:val="24"/>
          <w:szCs w:val="24"/>
          <w:highlight w:val="none"/>
          <w:lang w:bidi="ar"/>
        </w:rPr>
        <w:t>（包括资产负债表、利润表、现金流量表、</w:t>
      </w:r>
      <w:r>
        <w:rPr>
          <w:rFonts w:hint="eastAsia" w:ascii="宋体" w:hAnsi="宋体" w:cs="宋体"/>
          <w:b/>
          <w:bCs/>
          <w:color w:val="auto"/>
          <w:kern w:val="2"/>
          <w:sz w:val="24"/>
          <w:szCs w:val="24"/>
          <w:highlight w:val="none"/>
          <w:lang w:eastAsia="zh-CN" w:bidi="ar"/>
        </w:rPr>
        <w:t>所有者权益变动表及其附注（执行小企业会计准则的可不提供所有者权益变动表）</w:t>
      </w:r>
      <w:r>
        <w:rPr>
          <w:rFonts w:hint="eastAsia" w:ascii="宋体" w:hAnsi="宋体" w:cs="宋体"/>
          <w:b/>
          <w:bCs/>
          <w:color w:val="auto"/>
          <w:kern w:val="2"/>
          <w:sz w:val="24"/>
          <w:szCs w:val="24"/>
          <w:highlight w:val="none"/>
          <w:lang w:bidi="ar"/>
        </w:rPr>
        <w:t>）</w:t>
      </w:r>
      <w:r>
        <w:rPr>
          <w:rFonts w:hint="eastAsia" w:ascii="宋体" w:hAnsi="宋体" w:cs="宋体"/>
          <w:color w:val="auto"/>
          <w:kern w:val="2"/>
          <w:sz w:val="24"/>
          <w:szCs w:val="24"/>
          <w:highlight w:val="none"/>
          <w:lang w:bidi="ar"/>
        </w:rPr>
        <w:t>，2025年1月1日至今成立的投标人</w:t>
      </w:r>
      <w:r>
        <w:rPr>
          <w:rFonts w:hint="eastAsia" w:ascii="宋体" w:hAnsi="宋体" w:cs="宋体"/>
          <w:color w:val="auto"/>
          <w:kern w:val="2"/>
          <w:sz w:val="24"/>
          <w:szCs w:val="24"/>
          <w:highlight w:val="none"/>
          <w:lang w:val="en-US" w:eastAsia="zh-CN" w:bidi="ar"/>
        </w:rPr>
        <w:t>可</w:t>
      </w:r>
      <w:r>
        <w:rPr>
          <w:rFonts w:hint="eastAsia" w:ascii="宋体" w:hAnsi="宋体" w:cs="宋体"/>
          <w:color w:val="auto"/>
          <w:kern w:val="2"/>
          <w:sz w:val="24"/>
          <w:szCs w:val="24"/>
          <w:highlight w:val="none"/>
          <w:lang w:bidi="ar"/>
        </w:rPr>
        <w:t>提供自成立至今</w:t>
      </w:r>
      <w:r>
        <w:rPr>
          <w:rFonts w:hint="eastAsia" w:ascii="宋体" w:hAnsi="宋体" w:cs="宋体"/>
          <w:color w:val="auto"/>
          <w:kern w:val="2"/>
          <w:sz w:val="24"/>
          <w:szCs w:val="24"/>
          <w:highlight w:val="none"/>
          <w:lang w:val="en-US" w:eastAsia="zh-CN" w:bidi="ar"/>
        </w:rPr>
        <w:t>自行编制</w:t>
      </w:r>
      <w:r>
        <w:rPr>
          <w:rFonts w:hint="eastAsia" w:ascii="宋体" w:hAnsi="宋体" w:cs="宋体"/>
          <w:color w:val="auto"/>
          <w:kern w:val="2"/>
          <w:sz w:val="24"/>
          <w:szCs w:val="24"/>
          <w:highlight w:val="none"/>
          <w:lang w:bidi="ar"/>
        </w:rPr>
        <w:t>的财务报表；</w:t>
      </w:r>
    </w:p>
    <w:p w14:paraId="7D21F532">
      <w:pPr>
        <w:widowControl w:val="0"/>
        <w:spacing w:line="360" w:lineRule="auto"/>
        <w:ind w:firstLine="480" w:firstLineChars="200"/>
        <w:jc w:val="both"/>
        <w:rPr>
          <w:rFonts w:hint="eastAsia"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bidi="ar"/>
        </w:rPr>
        <w:t>②提供自投标文件提交截止时间前三个月内基本开户银行出具的资信证明。</w:t>
      </w:r>
    </w:p>
    <w:p w14:paraId="59AE19C1">
      <w:pPr>
        <w:widowControl w:val="0"/>
        <w:spacing w:line="360" w:lineRule="auto"/>
        <w:ind w:firstLine="480" w:firstLineChars="200"/>
        <w:jc w:val="both"/>
        <w:rPr>
          <w:rFonts w:hint="eastAsia"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bidi="ar"/>
        </w:rPr>
        <w:t>③财政部门认可的政府采购专业担保机构出具的投标担保函，须同时提供专业担保机构经财政部门认可的证明文件。</w:t>
      </w:r>
    </w:p>
    <w:p w14:paraId="7773ADEA">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1.3具有履行合同所必需的设备和专业技术能力。提供具备履行合同所必需的设备和专业技术能力的证明材料</w:t>
      </w:r>
      <w:r>
        <w:rPr>
          <w:rFonts w:hint="eastAsia" w:ascii="宋体" w:hAnsi="宋体" w:cs="宋体"/>
          <w:color w:val="auto"/>
          <w:kern w:val="2"/>
          <w:sz w:val="24"/>
          <w:szCs w:val="24"/>
          <w:highlight w:val="none"/>
          <w:lang w:val="en-US" w:eastAsia="zh-CN" w:bidi="ar"/>
        </w:rPr>
        <w:t>或书面声明</w:t>
      </w:r>
      <w:r>
        <w:rPr>
          <w:rFonts w:hint="eastAsia" w:ascii="宋体" w:hAnsi="宋体" w:cs="宋体"/>
          <w:color w:val="auto"/>
          <w:kern w:val="2"/>
          <w:sz w:val="24"/>
          <w:szCs w:val="24"/>
          <w:highlight w:val="none"/>
          <w:lang w:bidi="ar"/>
        </w:rPr>
        <w:t>。</w:t>
      </w:r>
    </w:p>
    <w:p w14:paraId="5109AAF0">
      <w:pPr>
        <w:spacing w:line="360" w:lineRule="auto"/>
        <w:ind w:firstLine="480" w:firstLineChars="20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1.4有依法缴纳税收和社会保障资金的良好记录。</w:t>
      </w:r>
      <w:r>
        <w:rPr>
          <w:rFonts w:hint="eastAsia" w:ascii="宋体" w:hAnsi="宋体" w:cs="宋体"/>
          <w:color w:val="auto"/>
          <w:sz w:val="24"/>
          <w:szCs w:val="24"/>
          <w:highlight w:val="none"/>
        </w:rPr>
        <w:t>提供</w:t>
      </w:r>
      <w:r>
        <w:rPr>
          <w:rFonts w:hint="eastAsia" w:ascii="宋体" w:hAnsi="宋体" w:cs="宋体"/>
          <w:color w:val="auto"/>
          <w:sz w:val="24"/>
          <w:szCs w:val="24"/>
          <w:highlight w:val="none"/>
          <w:lang w:eastAsia="zh-CN"/>
        </w:rPr>
        <w:t>2025年5月至今任意</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个月</w:t>
      </w:r>
      <w:r>
        <w:rPr>
          <w:rFonts w:hint="eastAsia" w:ascii="宋体" w:hAnsi="宋体" w:cs="宋体"/>
          <w:color w:val="auto"/>
          <w:sz w:val="24"/>
          <w:szCs w:val="24"/>
          <w:highlight w:val="none"/>
        </w:rPr>
        <w:t>依法缴纳税收和缴纳社会保障资金的证明（</w:t>
      </w:r>
      <w:r>
        <w:rPr>
          <w:rFonts w:hint="eastAsia" w:ascii="宋体" w:hAnsi="宋体" w:cs="宋体"/>
          <w:color w:val="auto"/>
          <w:sz w:val="24"/>
          <w:szCs w:val="24"/>
          <w:highlight w:val="none"/>
          <w:lang w:eastAsia="zh-CN"/>
        </w:rPr>
        <w:t>成立未满2个月的提供成立以来的税收和社会保障资金缴纳凭据或相关情况说明</w:t>
      </w:r>
      <w:r>
        <w:rPr>
          <w:rFonts w:hint="eastAsia" w:ascii="宋体" w:hAnsi="宋体" w:cs="宋体"/>
          <w:color w:val="auto"/>
          <w:sz w:val="24"/>
          <w:szCs w:val="24"/>
          <w:highlight w:val="none"/>
        </w:rPr>
        <w:t>；依法免税或不需要缴纳社会保障资金的投标人，应提供相应文件证明其依法免税或不需要缴纳社会保障资金）。</w:t>
      </w:r>
    </w:p>
    <w:p w14:paraId="30E052A1">
      <w:pPr>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1.5参加政府采购活动前三年内，在经营活动中没有重大违法记录。提供参加政府采购活动前三年内在经营活动中没有重大违法记录的书面声明。</w:t>
      </w:r>
    </w:p>
    <w:p w14:paraId="1A78AC63">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1.6法律、行政法规规定的其他条件。</w:t>
      </w:r>
    </w:p>
    <w:p w14:paraId="0EA391AF">
      <w:pPr>
        <w:pStyle w:val="13"/>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1.6.1单位负责人为同一人或者存在直接控股、管理关系的不同供应商，不得参加同一合同项下的政府采购活动。</w:t>
      </w:r>
    </w:p>
    <w:p w14:paraId="1A1A26B0">
      <w:pPr>
        <w:pStyle w:val="13"/>
        <w:tabs>
          <w:tab w:val="left" w:pos="5250"/>
        </w:tabs>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为采购项目提供整体设计、规范编制或者项目管理、监理、检测等服务的供应商，不得再参加该采购项目的其他采购活动。</w:t>
      </w:r>
    </w:p>
    <w:p w14:paraId="084D8E58">
      <w:pPr>
        <w:pStyle w:val="13"/>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1.6.2投标人应在“信用中国”网站（www.creditchina.gov.cn）未被列入失信被执行人记录、重大税收违法失信主体且在中国政府采购网（www.ccgp.gov.cn）没有政府采购严重违法失信行</w:t>
      </w:r>
      <w:r>
        <w:rPr>
          <w:rFonts w:hint="eastAsia" w:ascii="宋体" w:hAnsi="宋体" w:eastAsia="宋体" w:cs="宋体"/>
          <w:color w:val="auto"/>
          <w:kern w:val="0"/>
          <w:sz w:val="24"/>
          <w:highlight w:val="none"/>
        </w:rPr>
        <w:t>为记录</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本项由</w:t>
      </w:r>
      <w:r>
        <w:rPr>
          <w:rFonts w:hint="eastAsia" w:ascii="宋体" w:hAnsi="宋体" w:eastAsia="宋体" w:cs="宋体"/>
          <w:color w:val="auto"/>
          <w:kern w:val="0"/>
          <w:sz w:val="24"/>
          <w:highlight w:val="none"/>
        </w:rPr>
        <w:t>代理机构在项目开标后评标会议开始前查询、存档</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w:t>
      </w:r>
    </w:p>
    <w:p w14:paraId="1BC3B995">
      <w:pPr>
        <w:widowControl/>
        <w:spacing w:line="360" w:lineRule="auto"/>
        <w:ind w:firstLine="484" w:firstLineChars="202"/>
        <w:jc w:val="left"/>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2.落实政府采购政策需满足的资格要求：</w:t>
      </w:r>
      <w:r>
        <w:rPr>
          <w:rFonts w:hint="eastAsia" w:ascii="宋体" w:hAnsi="宋体" w:eastAsia="宋体" w:cs="宋体"/>
          <w:color w:val="auto"/>
          <w:kern w:val="2"/>
          <w:sz w:val="24"/>
          <w:szCs w:val="24"/>
          <w:highlight w:val="none"/>
          <w:lang w:eastAsia="zh-CN"/>
        </w:rPr>
        <w:t>本项目不属于专门面向中小企业采购的项目。</w:t>
      </w:r>
    </w:p>
    <w:p w14:paraId="61AB16A5">
      <w:pPr>
        <w:widowControl w:val="0"/>
        <w:spacing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3.本项目的特定资格要求：</w:t>
      </w:r>
    </w:p>
    <w:p w14:paraId="7271078F">
      <w:pPr>
        <w:widowControl w:val="0"/>
        <w:spacing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3.1投标人如果是代理商或经销商且所投产品为医疗器械，须提供医疗器械经营许可/备案证，所投产品制造商医疗器械生产许可证（制造商工商注册地在中华人民共和国境外的，不做此要求）、所投产品的医疗器械注册证；投标人如果是制造商且所投产品为医疗器械，须提供医疗器械生产许可证（制造商工商注册地在中华人民共和国境外的，不做此要求）、所投产品的医疗器械注册证。医疗器械生产或经营许可证生产或经营范围须覆盖所投第二、三类医疗器械（根据中华人民共和国国务院令第739号《医疗器械监督管理条例》和国家药品监督管理局《医疗器械分类目录》的规定，在《医疗器械分类目录》内的产品必须按照《医疗器械监督管理条例》的要求提供，其他不在《医疗器械分类目录》内的不作强行要求）</w:t>
      </w:r>
      <w:r>
        <w:rPr>
          <w:rFonts w:hint="eastAsia" w:ascii="宋体" w:hAnsi="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 xml:space="preserve"> </w:t>
      </w:r>
    </w:p>
    <w:p w14:paraId="567E693D">
      <w:pPr>
        <w:widowControl w:val="0"/>
        <w:spacing w:line="360" w:lineRule="auto"/>
        <w:ind w:firstLine="480" w:firstLineChars="200"/>
        <w:jc w:val="both"/>
        <w:rPr>
          <w:rFonts w:hint="default"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3.2</w:t>
      </w:r>
      <w:r>
        <w:rPr>
          <w:rFonts w:hint="eastAsia" w:ascii="宋体" w:hAnsi="宋体" w:cs="宋体"/>
          <w:color w:val="auto"/>
          <w:kern w:val="0"/>
          <w:sz w:val="24"/>
          <w:highlight w:val="none"/>
        </w:rPr>
        <w:t>若供应商所投产品为进口货物的，供应商是一级经销商的，应得到货物制造商厂家的有效授权文件（如授权函或长期代理协议或制造商资格声明等）；投标人是次级经销商的，则必须提供上一级经销商的有效授权文件和货物制造厂家对上一级经销商的有效授权，若授权中明确规定不能转授权的，转授权无效。</w:t>
      </w:r>
    </w:p>
    <w:p w14:paraId="7F4E0570">
      <w:pPr>
        <w:widowControl w:val="0"/>
        <w:spacing w:line="360" w:lineRule="auto"/>
        <w:ind w:firstLine="480" w:firstLineChars="200"/>
        <w:jc w:val="both"/>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w:t>
      </w:r>
      <w:r>
        <w:rPr>
          <w:rFonts w:hint="eastAsia" w:ascii="宋体" w:hAnsi="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lang w:val="en-US" w:eastAsia="zh-CN"/>
        </w:rPr>
        <w:t>本项目不接受联合体投标。</w:t>
      </w:r>
    </w:p>
    <w:p w14:paraId="5C485B6C">
      <w:pPr>
        <w:pStyle w:val="3"/>
        <w:widowControl/>
        <w:spacing w:before="0" w:after="0" w:line="360" w:lineRule="auto"/>
        <w:rPr>
          <w:rFonts w:hint="eastAsia" w:ascii="宋体" w:hAnsi="宋体" w:eastAsia="宋体" w:cs="宋体"/>
          <w:bCs w:val="0"/>
          <w:color w:val="auto"/>
          <w:sz w:val="24"/>
          <w:szCs w:val="24"/>
          <w:highlight w:val="none"/>
        </w:rPr>
      </w:pPr>
      <w:bookmarkStart w:id="33" w:name="_Toc3140"/>
      <w:r>
        <w:rPr>
          <w:rFonts w:hint="eastAsia" w:ascii="宋体" w:hAnsi="宋体" w:eastAsia="宋体" w:cs="宋体"/>
          <w:bCs w:val="0"/>
          <w:color w:val="auto"/>
          <w:sz w:val="24"/>
          <w:szCs w:val="24"/>
          <w:highlight w:val="none"/>
        </w:rPr>
        <w:t>三、获取招标文件</w:t>
      </w:r>
      <w:bookmarkEnd w:id="26"/>
      <w:bookmarkEnd w:id="27"/>
      <w:bookmarkEnd w:id="28"/>
      <w:bookmarkEnd w:id="29"/>
      <w:bookmarkEnd w:id="30"/>
      <w:bookmarkEnd w:id="31"/>
      <w:bookmarkEnd w:id="32"/>
      <w:bookmarkEnd w:id="33"/>
      <w:r>
        <w:rPr>
          <w:rFonts w:hint="eastAsia" w:ascii="宋体" w:hAnsi="宋体" w:eastAsia="宋体" w:cs="宋体"/>
          <w:bCs w:val="0"/>
          <w:color w:val="auto"/>
          <w:sz w:val="24"/>
          <w:szCs w:val="24"/>
          <w:highlight w:val="none"/>
        </w:rPr>
        <w:t xml:space="preserve"> </w:t>
      </w:r>
    </w:p>
    <w:p w14:paraId="19E6742B">
      <w:pPr>
        <w:widowControl w:val="0"/>
        <w:spacing w:line="360" w:lineRule="auto"/>
        <w:ind w:firstLine="540"/>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时间：</w:t>
      </w:r>
      <w:r>
        <w:rPr>
          <w:rFonts w:hint="eastAsia" w:ascii="宋体" w:hAnsi="宋体" w:cs="宋体"/>
          <w:color w:val="auto"/>
          <w:kern w:val="2"/>
          <w:sz w:val="24"/>
          <w:szCs w:val="24"/>
          <w:highlight w:val="none"/>
          <w:u w:val="single"/>
          <w:lang w:eastAsia="zh-CN"/>
        </w:rPr>
        <w:t>2026年</w:t>
      </w:r>
      <w:r>
        <w:rPr>
          <w:rFonts w:hint="eastAsia" w:ascii="宋体" w:hAnsi="宋体" w:cs="宋体"/>
          <w:color w:val="auto"/>
          <w:kern w:val="2"/>
          <w:sz w:val="24"/>
          <w:szCs w:val="24"/>
          <w:highlight w:val="none"/>
          <w:u w:val="single"/>
          <w:lang w:val="en-US" w:eastAsia="zh-CN"/>
        </w:rPr>
        <w:t>5</w:t>
      </w:r>
      <w:r>
        <w:rPr>
          <w:rFonts w:hint="eastAsia" w:ascii="宋体" w:hAnsi="宋体" w:cs="宋体"/>
          <w:color w:val="auto"/>
          <w:kern w:val="2"/>
          <w:sz w:val="24"/>
          <w:szCs w:val="24"/>
          <w:highlight w:val="none"/>
          <w:u w:val="single"/>
          <w:lang w:eastAsia="zh-CN"/>
        </w:rPr>
        <w:t>月</w:t>
      </w:r>
      <w:r>
        <w:rPr>
          <w:rFonts w:hint="eastAsia" w:ascii="宋体" w:hAnsi="宋体" w:cs="宋体"/>
          <w:color w:val="auto"/>
          <w:kern w:val="2"/>
          <w:sz w:val="24"/>
          <w:szCs w:val="24"/>
          <w:highlight w:val="none"/>
          <w:u w:val="single"/>
          <w:lang w:val="en-US" w:eastAsia="zh-CN"/>
        </w:rPr>
        <w:t>20</w:t>
      </w:r>
      <w:r>
        <w:rPr>
          <w:rFonts w:hint="eastAsia" w:ascii="宋体" w:hAnsi="宋体" w:cs="宋体"/>
          <w:color w:val="auto"/>
          <w:kern w:val="2"/>
          <w:sz w:val="24"/>
          <w:szCs w:val="24"/>
          <w:highlight w:val="none"/>
          <w:u w:val="single"/>
        </w:rPr>
        <w:t>日</w:t>
      </w:r>
      <w:r>
        <w:rPr>
          <w:rFonts w:hint="eastAsia" w:ascii="宋体" w:hAnsi="宋体" w:cs="宋体"/>
          <w:color w:val="auto"/>
          <w:kern w:val="2"/>
          <w:sz w:val="24"/>
          <w:szCs w:val="24"/>
          <w:highlight w:val="none"/>
        </w:rPr>
        <w:t>至</w:t>
      </w:r>
      <w:r>
        <w:rPr>
          <w:rFonts w:hint="eastAsia" w:ascii="宋体" w:hAnsi="宋体" w:cs="宋体"/>
          <w:color w:val="auto"/>
          <w:kern w:val="2"/>
          <w:sz w:val="24"/>
          <w:szCs w:val="24"/>
          <w:highlight w:val="none"/>
          <w:u w:val="single"/>
          <w:lang w:eastAsia="zh-CN"/>
        </w:rPr>
        <w:t>202</w:t>
      </w:r>
      <w:r>
        <w:rPr>
          <w:rFonts w:hint="eastAsia" w:ascii="宋体" w:hAnsi="宋体" w:cs="宋体"/>
          <w:color w:val="auto"/>
          <w:kern w:val="2"/>
          <w:sz w:val="24"/>
          <w:szCs w:val="24"/>
          <w:highlight w:val="none"/>
          <w:u w:val="single"/>
          <w:lang w:val="en-US" w:eastAsia="zh-CN"/>
        </w:rPr>
        <w:t>6</w:t>
      </w:r>
      <w:r>
        <w:rPr>
          <w:rFonts w:hint="eastAsia" w:ascii="宋体" w:hAnsi="宋体" w:cs="宋体"/>
          <w:color w:val="auto"/>
          <w:kern w:val="2"/>
          <w:sz w:val="24"/>
          <w:szCs w:val="24"/>
          <w:highlight w:val="none"/>
          <w:u w:val="single"/>
          <w:lang w:eastAsia="zh-CN"/>
        </w:rPr>
        <w:t>年</w:t>
      </w:r>
      <w:r>
        <w:rPr>
          <w:rFonts w:hint="eastAsia" w:ascii="宋体" w:hAnsi="宋体" w:cs="宋体"/>
          <w:color w:val="auto"/>
          <w:kern w:val="2"/>
          <w:sz w:val="24"/>
          <w:szCs w:val="24"/>
          <w:highlight w:val="none"/>
          <w:u w:val="single"/>
          <w:lang w:val="en-US" w:eastAsia="zh-CN"/>
        </w:rPr>
        <w:t>5</w:t>
      </w:r>
      <w:r>
        <w:rPr>
          <w:rFonts w:hint="eastAsia" w:ascii="宋体" w:hAnsi="宋体" w:cs="宋体"/>
          <w:color w:val="auto"/>
          <w:kern w:val="2"/>
          <w:sz w:val="24"/>
          <w:szCs w:val="24"/>
          <w:highlight w:val="none"/>
          <w:u w:val="single"/>
          <w:lang w:eastAsia="zh-CN"/>
        </w:rPr>
        <w:t>月</w:t>
      </w:r>
      <w:r>
        <w:rPr>
          <w:rFonts w:hint="eastAsia" w:ascii="宋体" w:hAnsi="宋体" w:cs="宋体"/>
          <w:color w:val="auto"/>
          <w:kern w:val="2"/>
          <w:sz w:val="24"/>
          <w:szCs w:val="24"/>
          <w:highlight w:val="none"/>
          <w:u w:val="single"/>
          <w:lang w:val="en-US" w:eastAsia="zh-CN"/>
        </w:rPr>
        <w:t>27</w:t>
      </w:r>
      <w:r>
        <w:rPr>
          <w:rFonts w:hint="eastAsia" w:ascii="宋体" w:hAnsi="宋体" w:cs="宋体"/>
          <w:color w:val="auto"/>
          <w:kern w:val="2"/>
          <w:sz w:val="24"/>
          <w:szCs w:val="24"/>
          <w:highlight w:val="none"/>
          <w:u w:val="single"/>
        </w:rPr>
        <w:t>日</w:t>
      </w:r>
      <w:r>
        <w:rPr>
          <w:rFonts w:hint="eastAsia" w:ascii="宋体" w:hAnsi="宋体" w:cs="宋体"/>
          <w:color w:val="auto"/>
          <w:kern w:val="2"/>
          <w:sz w:val="24"/>
          <w:szCs w:val="24"/>
          <w:highlight w:val="none"/>
        </w:rPr>
        <w:t>，每天上午</w:t>
      </w:r>
      <w:r>
        <w:rPr>
          <w:rFonts w:hint="eastAsia" w:ascii="宋体" w:hAnsi="宋体" w:cs="宋体"/>
          <w:color w:val="auto"/>
          <w:kern w:val="2"/>
          <w:sz w:val="24"/>
          <w:szCs w:val="24"/>
          <w:highlight w:val="none"/>
          <w:u w:val="single"/>
        </w:rPr>
        <w:t>06:00</w:t>
      </w:r>
      <w:r>
        <w:rPr>
          <w:rFonts w:hint="eastAsia" w:ascii="宋体" w:hAnsi="宋体" w:cs="宋体"/>
          <w:color w:val="auto"/>
          <w:kern w:val="2"/>
          <w:sz w:val="24"/>
          <w:szCs w:val="24"/>
          <w:highlight w:val="none"/>
        </w:rPr>
        <w:t>至</w:t>
      </w:r>
      <w:r>
        <w:rPr>
          <w:rFonts w:hint="eastAsia" w:ascii="宋体" w:hAnsi="宋体" w:cs="宋体"/>
          <w:color w:val="auto"/>
          <w:kern w:val="2"/>
          <w:sz w:val="24"/>
          <w:szCs w:val="24"/>
          <w:highlight w:val="none"/>
          <w:u w:val="single"/>
        </w:rPr>
        <w:t>12:00</w:t>
      </w:r>
      <w:r>
        <w:rPr>
          <w:rFonts w:hint="eastAsia" w:ascii="宋体" w:hAnsi="宋体" w:cs="宋体"/>
          <w:color w:val="auto"/>
          <w:kern w:val="2"/>
          <w:sz w:val="24"/>
          <w:szCs w:val="24"/>
          <w:highlight w:val="none"/>
        </w:rPr>
        <w:t>，下午</w:t>
      </w:r>
      <w:r>
        <w:rPr>
          <w:rFonts w:hint="eastAsia" w:ascii="宋体" w:hAnsi="宋体" w:cs="宋体"/>
          <w:color w:val="auto"/>
          <w:kern w:val="2"/>
          <w:sz w:val="24"/>
          <w:szCs w:val="24"/>
          <w:highlight w:val="none"/>
          <w:u w:val="single"/>
        </w:rPr>
        <w:t>12:00</w:t>
      </w:r>
      <w:r>
        <w:rPr>
          <w:rFonts w:hint="eastAsia" w:ascii="宋体" w:hAnsi="宋体" w:cs="宋体"/>
          <w:color w:val="auto"/>
          <w:kern w:val="2"/>
          <w:sz w:val="24"/>
          <w:szCs w:val="24"/>
          <w:highlight w:val="none"/>
        </w:rPr>
        <w:t>至</w:t>
      </w:r>
      <w:r>
        <w:rPr>
          <w:rFonts w:hint="eastAsia" w:ascii="宋体" w:hAnsi="宋体" w:cs="宋体"/>
          <w:color w:val="auto"/>
          <w:kern w:val="2"/>
          <w:sz w:val="24"/>
          <w:szCs w:val="24"/>
          <w:highlight w:val="none"/>
          <w:u w:val="single"/>
        </w:rPr>
        <w:t>23:59</w:t>
      </w:r>
      <w:r>
        <w:rPr>
          <w:rFonts w:hint="eastAsia" w:ascii="宋体" w:hAnsi="宋体" w:cs="宋体"/>
          <w:color w:val="auto"/>
          <w:kern w:val="2"/>
          <w:sz w:val="24"/>
          <w:szCs w:val="24"/>
          <w:highlight w:val="none"/>
        </w:rPr>
        <w:t>（北京时间，法定节假日除外）</w:t>
      </w:r>
    </w:p>
    <w:p w14:paraId="73177A31">
      <w:pPr>
        <w:widowControl w:val="0"/>
        <w:spacing w:line="360" w:lineRule="auto"/>
        <w:ind w:firstLine="54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地点：供应商可自行在“政采云”平台（http：//www.zcygov.cn）下载采购文件（操作路径：登录“政采云”平台-项目采购-获取采购文件-找到本项目-点击“申请获取采购文件”），电子投标文件制作需要基于“政采云”平台（http：//www.zcygov.cn）获取的采购文件编制。</w:t>
      </w:r>
    </w:p>
    <w:p w14:paraId="5B2C614F">
      <w:pPr>
        <w:widowControl w:val="0"/>
        <w:spacing w:line="360" w:lineRule="auto"/>
        <w:ind w:firstLine="54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方式：凡有意参加投标者，须在政采云平台办理数字证书（CA），并在政采云绑定数字证书（CA）后线上获取采购文件及其它采购资料。CA申领链接：https://middle.zcygov.cn/ca/apply/list?_app_=zcy.sys，CA申领后需登陆政采云平台完成数字证书（CA）绑定才可以使用，数字证书（CA）详见其办理流程。</w:t>
      </w:r>
    </w:p>
    <w:p w14:paraId="567E6AAB">
      <w:pPr>
        <w:widowControl w:val="0"/>
        <w:spacing w:line="360" w:lineRule="auto"/>
        <w:ind w:firstLine="54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rPr>
        <w:t>售价：0元</w:t>
      </w:r>
    </w:p>
    <w:p w14:paraId="6C78B5CD">
      <w:pPr>
        <w:pStyle w:val="3"/>
        <w:widowControl/>
        <w:spacing w:before="0" w:after="0" w:line="360" w:lineRule="auto"/>
        <w:rPr>
          <w:rFonts w:hint="eastAsia" w:ascii="宋体" w:hAnsi="宋体" w:eastAsia="宋体" w:cs="宋体"/>
          <w:bCs w:val="0"/>
          <w:color w:val="auto"/>
          <w:sz w:val="24"/>
          <w:szCs w:val="24"/>
          <w:highlight w:val="none"/>
        </w:rPr>
      </w:pPr>
      <w:bookmarkStart w:id="34" w:name="_Toc28359005"/>
      <w:bookmarkStart w:id="35" w:name="_Toc28359082"/>
      <w:bookmarkStart w:id="36" w:name="_Toc35393624"/>
      <w:bookmarkStart w:id="37" w:name="_Toc23246"/>
      <w:bookmarkStart w:id="38" w:name="_Toc26119"/>
      <w:bookmarkStart w:id="39" w:name="_Toc21084"/>
      <w:bookmarkStart w:id="40" w:name="_Toc35393793"/>
      <w:bookmarkStart w:id="41" w:name="_Toc30316"/>
      <w:r>
        <w:rPr>
          <w:rFonts w:hint="eastAsia" w:ascii="宋体" w:hAnsi="宋体" w:eastAsia="宋体" w:cs="宋体"/>
          <w:bCs w:val="0"/>
          <w:color w:val="auto"/>
          <w:sz w:val="24"/>
          <w:szCs w:val="24"/>
          <w:highlight w:val="none"/>
        </w:rPr>
        <w:t>四、提交投标文件</w:t>
      </w:r>
      <w:bookmarkEnd w:id="34"/>
      <w:bookmarkEnd w:id="35"/>
      <w:r>
        <w:rPr>
          <w:rFonts w:hint="eastAsia" w:ascii="宋体" w:hAnsi="宋体" w:eastAsia="宋体" w:cs="宋体"/>
          <w:bCs w:val="0"/>
          <w:color w:val="auto"/>
          <w:sz w:val="24"/>
          <w:szCs w:val="24"/>
          <w:highlight w:val="none"/>
        </w:rPr>
        <w:t>截止时间、开标时间和地点</w:t>
      </w:r>
      <w:bookmarkEnd w:id="36"/>
      <w:bookmarkEnd w:id="37"/>
      <w:bookmarkEnd w:id="38"/>
      <w:bookmarkEnd w:id="39"/>
      <w:bookmarkEnd w:id="40"/>
      <w:bookmarkEnd w:id="41"/>
    </w:p>
    <w:p w14:paraId="17915198">
      <w:pPr>
        <w:widowControl w:val="0"/>
        <w:spacing w:line="360" w:lineRule="auto"/>
        <w:ind w:firstLine="480" w:firstLineChars="200"/>
        <w:jc w:val="both"/>
        <w:rPr>
          <w:rFonts w:hint="eastAsia" w:ascii="宋体" w:hAnsi="宋体" w:cs="宋体"/>
          <w:bCs/>
          <w:color w:val="auto"/>
          <w:sz w:val="24"/>
          <w:szCs w:val="24"/>
          <w:highlight w:val="none"/>
          <w:u w:val="single"/>
        </w:rPr>
      </w:pPr>
      <w:r>
        <w:rPr>
          <w:rFonts w:hint="eastAsia" w:ascii="宋体" w:hAnsi="宋体" w:cs="宋体"/>
          <w:color w:val="auto"/>
          <w:kern w:val="2"/>
          <w:sz w:val="24"/>
          <w:szCs w:val="24"/>
          <w:highlight w:val="none"/>
          <w:u w:val="single"/>
          <w:lang w:eastAsia="zh-CN"/>
        </w:rPr>
        <w:t>2026年</w:t>
      </w:r>
      <w:r>
        <w:rPr>
          <w:rFonts w:hint="eastAsia" w:ascii="宋体" w:hAnsi="宋体" w:cs="宋体"/>
          <w:color w:val="auto"/>
          <w:kern w:val="2"/>
          <w:sz w:val="24"/>
          <w:szCs w:val="24"/>
          <w:highlight w:val="none"/>
          <w:u w:val="single"/>
          <w:lang w:val="en-US" w:eastAsia="zh-CN"/>
        </w:rPr>
        <w:t>6</w:t>
      </w:r>
      <w:r>
        <w:rPr>
          <w:rFonts w:hint="eastAsia" w:ascii="宋体" w:hAnsi="宋体" w:cs="宋体"/>
          <w:color w:val="auto"/>
          <w:kern w:val="2"/>
          <w:sz w:val="24"/>
          <w:szCs w:val="24"/>
          <w:highlight w:val="none"/>
          <w:u w:val="single"/>
          <w:lang w:eastAsia="zh-CN"/>
        </w:rPr>
        <w:t>月</w:t>
      </w:r>
      <w:r>
        <w:rPr>
          <w:rFonts w:hint="eastAsia" w:ascii="宋体" w:hAnsi="宋体" w:cs="宋体"/>
          <w:color w:val="auto"/>
          <w:kern w:val="2"/>
          <w:sz w:val="24"/>
          <w:szCs w:val="24"/>
          <w:highlight w:val="none"/>
          <w:u w:val="single"/>
          <w:lang w:val="en-US" w:eastAsia="zh-CN"/>
        </w:rPr>
        <w:t>11</w:t>
      </w:r>
      <w:r>
        <w:rPr>
          <w:rFonts w:hint="eastAsia" w:ascii="宋体" w:hAnsi="宋体" w:cs="宋体"/>
          <w:color w:val="auto"/>
          <w:kern w:val="2"/>
          <w:sz w:val="24"/>
          <w:szCs w:val="24"/>
          <w:highlight w:val="none"/>
          <w:u w:val="single"/>
        </w:rPr>
        <w:t>日</w:t>
      </w:r>
      <w:r>
        <w:rPr>
          <w:rFonts w:hint="eastAsia" w:ascii="宋体" w:hAnsi="宋体" w:cs="宋体"/>
          <w:color w:val="auto"/>
          <w:kern w:val="2"/>
          <w:sz w:val="24"/>
          <w:szCs w:val="24"/>
          <w:highlight w:val="none"/>
          <w:u w:val="single"/>
          <w:lang w:val="en-US" w:eastAsia="zh-CN"/>
        </w:rPr>
        <w:t>14</w:t>
      </w:r>
      <w:r>
        <w:rPr>
          <w:rFonts w:hint="eastAsia" w:ascii="宋体" w:hAnsi="宋体" w:cs="宋体"/>
          <w:color w:val="auto"/>
          <w:kern w:val="2"/>
          <w:sz w:val="24"/>
          <w:szCs w:val="24"/>
          <w:highlight w:val="none"/>
          <w:u w:val="single"/>
        </w:rPr>
        <w:t>点</w:t>
      </w:r>
      <w:r>
        <w:rPr>
          <w:rFonts w:hint="eastAsia" w:ascii="宋体" w:hAnsi="宋体" w:cs="宋体"/>
          <w:color w:val="auto"/>
          <w:kern w:val="2"/>
          <w:sz w:val="24"/>
          <w:szCs w:val="24"/>
          <w:highlight w:val="none"/>
          <w:u w:val="single"/>
          <w:lang w:val="en-US" w:eastAsia="zh-CN"/>
        </w:rPr>
        <w:t>30</w:t>
      </w:r>
      <w:r>
        <w:rPr>
          <w:rFonts w:hint="eastAsia" w:ascii="宋体" w:hAnsi="宋体" w:cs="宋体"/>
          <w:color w:val="auto"/>
          <w:kern w:val="2"/>
          <w:sz w:val="24"/>
          <w:szCs w:val="24"/>
          <w:highlight w:val="none"/>
          <w:u w:val="single"/>
        </w:rPr>
        <w:t>分</w:t>
      </w:r>
      <w:r>
        <w:rPr>
          <w:rFonts w:hint="eastAsia" w:ascii="宋体" w:hAnsi="宋体" w:cs="宋体"/>
          <w:bCs/>
          <w:color w:val="auto"/>
          <w:kern w:val="2"/>
          <w:sz w:val="24"/>
          <w:szCs w:val="24"/>
          <w:highlight w:val="none"/>
        </w:rPr>
        <w:t>（北京时间）</w:t>
      </w:r>
    </w:p>
    <w:p w14:paraId="54BA741D">
      <w:pPr>
        <w:widowControl w:val="0"/>
        <w:spacing w:line="360" w:lineRule="auto"/>
        <w:ind w:firstLine="480" w:firstLineChars="200"/>
        <w:jc w:val="both"/>
        <w:rPr>
          <w:rFonts w:hint="eastAsia" w:ascii="宋体" w:hAnsi="宋体" w:cs="宋体"/>
          <w:bCs/>
          <w:color w:val="auto"/>
          <w:sz w:val="24"/>
          <w:szCs w:val="24"/>
          <w:highlight w:val="none"/>
          <w:u w:val="single"/>
        </w:rPr>
      </w:pPr>
      <w:r>
        <w:rPr>
          <w:rFonts w:hint="eastAsia" w:ascii="宋体" w:hAnsi="宋体" w:cs="宋体"/>
          <w:color w:val="auto"/>
          <w:sz w:val="24"/>
          <w:highlight w:val="none"/>
        </w:rPr>
        <w:t>地点：</w:t>
      </w:r>
      <w:r>
        <w:rPr>
          <w:rFonts w:hint="eastAsia" w:ascii="宋体" w:hAnsi="宋体" w:cs="宋体"/>
          <w:color w:val="auto"/>
          <w:kern w:val="2"/>
          <w:sz w:val="24"/>
          <w:szCs w:val="24"/>
          <w:highlight w:val="none"/>
          <w:lang w:bidi="ar"/>
        </w:rPr>
        <w:t>供应商应按照本项目采购文件和“政采云”平台的要求编制、加密后在</w:t>
      </w:r>
      <w:r>
        <w:rPr>
          <w:rFonts w:hint="eastAsia" w:ascii="宋体" w:hAnsi="宋体" w:cs="宋体"/>
          <w:color w:val="auto"/>
          <w:sz w:val="24"/>
          <w:szCs w:val="24"/>
          <w:highlight w:val="none"/>
        </w:rPr>
        <w:t>投标文件</w:t>
      </w:r>
      <w:r>
        <w:rPr>
          <w:rFonts w:hint="eastAsia" w:ascii="宋体" w:hAnsi="宋体" w:cs="宋体"/>
          <w:color w:val="auto"/>
          <w:kern w:val="2"/>
          <w:sz w:val="24"/>
          <w:szCs w:val="24"/>
          <w:highlight w:val="none"/>
          <w:lang w:bidi="ar"/>
        </w:rPr>
        <w:t>提交截止时间前上传至“政采云”平台，</w:t>
      </w:r>
      <w:r>
        <w:rPr>
          <w:rFonts w:hint="eastAsia" w:ascii="宋体" w:hAnsi="宋体" w:cs="宋体"/>
          <w:color w:val="auto"/>
          <w:sz w:val="24"/>
          <w:szCs w:val="24"/>
          <w:highlight w:val="none"/>
        </w:rPr>
        <w:t>投标文件</w:t>
      </w:r>
      <w:r>
        <w:rPr>
          <w:rFonts w:hint="eastAsia" w:ascii="宋体" w:hAnsi="宋体" w:cs="宋体"/>
          <w:color w:val="auto"/>
          <w:kern w:val="2"/>
          <w:sz w:val="24"/>
          <w:szCs w:val="24"/>
          <w:highlight w:val="none"/>
          <w:lang w:bidi="ar"/>
        </w:rPr>
        <w:t>提交截止时间前未完成</w:t>
      </w:r>
      <w:r>
        <w:rPr>
          <w:rFonts w:hint="eastAsia" w:ascii="宋体" w:hAnsi="宋体" w:cs="宋体"/>
          <w:color w:val="auto"/>
          <w:sz w:val="24"/>
          <w:szCs w:val="24"/>
          <w:highlight w:val="none"/>
        </w:rPr>
        <w:t>投标文件</w:t>
      </w:r>
      <w:r>
        <w:rPr>
          <w:rFonts w:hint="eastAsia" w:ascii="宋体" w:hAnsi="宋体" w:cs="宋体"/>
          <w:color w:val="auto"/>
          <w:kern w:val="2"/>
          <w:sz w:val="24"/>
          <w:szCs w:val="24"/>
          <w:highlight w:val="none"/>
          <w:lang w:bidi="ar"/>
        </w:rPr>
        <w:t>上传的，视为撤回</w:t>
      </w:r>
      <w:r>
        <w:rPr>
          <w:rFonts w:hint="eastAsia" w:ascii="宋体" w:hAnsi="宋体" w:cs="宋体"/>
          <w:color w:val="auto"/>
          <w:sz w:val="24"/>
          <w:szCs w:val="24"/>
          <w:highlight w:val="none"/>
        </w:rPr>
        <w:t>投标文件</w:t>
      </w:r>
      <w:r>
        <w:rPr>
          <w:rFonts w:hint="eastAsia" w:ascii="宋体" w:hAnsi="宋体" w:cs="宋体"/>
          <w:color w:val="auto"/>
          <w:kern w:val="2"/>
          <w:sz w:val="24"/>
          <w:szCs w:val="24"/>
          <w:highlight w:val="none"/>
          <w:lang w:bidi="ar"/>
        </w:rPr>
        <w:t>。供应商在“政采云”平台提交电子版</w:t>
      </w:r>
      <w:r>
        <w:rPr>
          <w:rFonts w:hint="eastAsia" w:ascii="宋体" w:hAnsi="宋体" w:cs="宋体"/>
          <w:color w:val="auto"/>
          <w:sz w:val="24"/>
          <w:szCs w:val="24"/>
          <w:highlight w:val="none"/>
        </w:rPr>
        <w:t>投标文件</w:t>
      </w:r>
      <w:r>
        <w:rPr>
          <w:rFonts w:hint="eastAsia" w:ascii="宋体" w:hAnsi="宋体" w:cs="宋体"/>
          <w:color w:val="auto"/>
          <w:kern w:val="2"/>
          <w:sz w:val="24"/>
          <w:szCs w:val="24"/>
          <w:highlight w:val="none"/>
          <w:lang w:bidi="ar"/>
        </w:rPr>
        <w:t>时，请填写参加远程采购活动经办人联系方式。开标地点：“政采云”平台开标大厅。</w:t>
      </w:r>
    </w:p>
    <w:p w14:paraId="491ED7D4">
      <w:pPr>
        <w:pStyle w:val="3"/>
        <w:widowControl/>
        <w:spacing w:before="0" w:after="0" w:line="360" w:lineRule="auto"/>
        <w:rPr>
          <w:rFonts w:hint="eastAsia" w:ascii="宋体" w:hAnsi="宋体" w:eastAsia="宋体" w:cs="宋体"/>
          <w:bCs w:val="0"/>
          <w:color w:val="auto"/>
          <w:sz w:val="24"/>
          <w:szCs w:val="24"/>
          <w:highlight w:val="none"/>
        </w:rPr>
      </w:pPr>
      <w:bookmarkStart w:id="42" w:name="_Toc28359007"/>
      <w:bookmarkStart w:id="43" w:name="_Toc28359084"/>
      <w:bookmarkStart w:id="44" w:name="_Toc13211"/>
      <w:bookmarkStart w:id="45" w:name="_Toc13971"/>
      <w:bookmarkStart w:id="46" w:name="_Toc35393794"/>
      <w:bookmarkStart w:id="47" w:name="_Toc27369"/>
      <w:bookmarkStart w:id="48" w:name="_Toc35393625"/>
      <w:bookmarkStart w:id="49" w:name="_Toc3857"/>
      <w:r>
        <w:rPr>
          <w:rFonts w:hint="eastAsia" w:ascii="宋体" w:hAnsi="宋体" w:eastAsia="宋体" w:cs="宋体"/>
          <w:bCs w:val="0"/>
          <w:color w:val="auto"/>
          <w:sz w:val="24"/>
          <w:szCs w:val="24"/>
          <w:highlight w:val="none"/>
        </w:rPr>
        <w:t>五、公告期限</w:t>
      </w:r>
      <w:bookmarkEnd w:id="42"/>
      <w:bookmarkEnd w:id="43"/>
      <w:bookmarkEnd w:id="44"/>
      <w:bookmarkEnd w:id="45"/>
      <w:bookmarkEnd w:id="46"/>
      <w:bookmarkEnd w:id="47"/>
      <w:bookmarkEnd w:id="48"/>
      <w:bookmarkEnd w:id="49"/>
    </w:p>
    <w:p w14:paraId="2A21FB06">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自本公告发布之日起5个工作日。</w:t>
      </w:r>
    </w:p>
    <w:p w14:paraId="5CF61C42">
      <w:pPr>
        <w:pStyle w:val="3"/>
        <w:widowControl/>
        <w:spacing w:before="0" w:after="0" w:line="360" w:lineRule="auto"/>
        <w:rPr>
          <w:rFonts w:hint="eastAsia" w:ascii="宋体" w:hAnsi="宋体" w:eastAsia="宋体" w:cs="宋体"/>
          <w:bCs w:val="0"/>
          <w:color w:val="auto"/>
          <w:sz w:val="24"/>
          <w:szCs w:val="24"/>
          <w:highlight w:val="none"/>
        </w:rPr>
      </w:pPr>
      <w:bookmarkStart w:id="50" w:name="_Toc14132"/>
      <w:bookmarkStart w:id="51" w:name="_Toc30439"/>
      <w:bookmarkStart w:id="52" w:name="_Toc35393795"/>
      <w:bookmarkStart w:id="53" w:name="_Toc35393626"/>
      <w:bookmarkStart w:id="54" w:name="_Toc7893"/>
      <w:bookmarkStart w:id="55" w:name="_Toc30309"/>
      <w:r>
        <w:rPr>
          <w:rFonts w:hint="eastAsia" w:ascii="宋体" w:hAnsi="宋体" w:eastAsia="宋体" w:cs="宋体"/>
          <w:bCs w:val="0"/>
          <w:color w:val="auto"/>
          <w:sz w:val="24"/>
          <w:szCs w:val="24"/>
          <w:highlight w:val="none"/>
        </w:rPr>
        <w:t>六、其他补充事宜</w:t>
      </w:r>
      <w:bookmarkEnd w:id="50"/>
      <w:bookmarkEnd w:id="51"/>
      <w:bookmarkEnd w:id="52"/>
      <w:bookmarkEnd w:id="53"/>
      <w:bookmarkEnd w:id="54"/>
      <w:bookmarkEnd w:id="55"/>
    </w:p>
    <w:p w14:paraId="62C4A365">
      <w:pPr>
        <w:widowControl w:val="0"/>
        <w:spacing w:line="360" w:lineRule="auto"/>
        <w:ind w:firstLine="480" w:firstLineChars="200"/>
        <w:rPr>
          <w:rFonts w:hint="eastAsia" w:ascii="宋体" w:hAnsi="宋体" w:cs="宋体"/>
          <w:color w:val="auto"/>
          <w:sz w:val="24"/>
          <w:szCs w:val="24"/>
          <w:highlight w:val="none"/>
          <w:u w:val="single"/>
        </w:rPr>
      </w:pPr>
      <w:bookmarkStart w:id="56" w:name="_Toc28979"/>
      <w:bookmarkStart w:id="57" w:name="_Toc28359008"/>
      <w:bookmarkStart w:id="58" w:name="_Toc28359085"/>
      <w:bookmarkStart w:id="59" w:name="_Toc35393796"/>
      <w:bookmarkStart w:id="60" w:name="_Toc35393627"/>
      <w:r>
        <w:rPr>
          <w:rFonts w:hint="eastAsia" w:ascii="宋体" w:hAnsi="宋体" w:cs="宋体"/>
          <w:color w:val="auto"/>
          <w:sz w:val="24"/>
          <w:szCs w:val="24"/>
          <w:highlight w:val="none"/>
        </w:rPr>
        <w:t>1.开标方式：网上开标</w:t>
      </w:r>
    </w:p>
    <w:p w14:paraId="09770576">
      <w:pPr>
        <w:widowControl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2.是否需要缴纳投标保证金：是</w:t>
      </w:r>
    </w:p>
    <w:p w14:paraId="58E813C6">
      <w:pPr>
        <w:widowControl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3.保证金缴纳金额：</w:t>
      </w:r>
      <w:r>
        <w:rPr>
          <w:rFonts w:hint="eastAsia" w:ascii="宋体" w:hAnsi="宋体" w:cs="宋体"/>
          <w:color w:val="auto"/>
          <w:kern w:val="2"/>
          <w:sz w:val="24"/>
          <w:szCs w:val="24"/>
          <w:highlight w:val="none"/>
          <w:lang w:val="en-US" w:eastAsia="zh-CN" w:bidi="ar"/>
        </w:rPr>
        <w:t>20000元</w:t>
      </w:r>
    </w:p>
    <w:p w14:paraId="63B0E9E5">
      <w:pPr>
        <w:widowControl w:val="0"/>
        <w:spacing w:line="360" w:lineRule="auto"/>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4.保证金缴纳方式：</w:t>
      </w:r>
      <w:r>
        <w:rPr>
          <w:rFonts w:hint="eastAsia" w:ascii="宋体" w:hAnsi="宋体" w:cs="宋体"/>
          <w:color w:val="auto"/>
          <w:sz w:val="24"/>
          <w:highlight w:val="none"/>
        </w:rPr>
        <w:t>支票、汇票、本票、保函、转账、网银、电汇等非现金形式</w:t>
      </w:r>
    </w:p>
    <w:p w14:paraId="099FA1BE">
      <w:pPr>
        <w:widowControl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5.保证金缴纳截止时间：</w:t>
      </w:r>
      <w:r>
        <w:rPr>
          <w:rFonts w:hint="eastAsia" w:ascii="宋体" w:hAnsi="宋体" w:cs="宋体"/>
          <w:color w:val="auto"/>
          <w:kern w:val="2"/>
          <w:sz w:val="24"/>
          <w:szCs w:val="24"/>
          <w:highlight w:val="none"/>
          <w:u w:val="single"/>
          <w:lang w:eastAsia="zh-CN"/>
        </w:rPr>
        <w:t>2026年</w:t>
      </w:r>
      <w:r>
        <w:rPr>
          <w:rFonts w:hint="eastAsia" w:ascii="宋体" w:hAnsi="宋体" w:cs="宋体"/>
          <w:color w:val="auto"/>
          <w:kern w:val="2"/>
          <w:sz w:val="24"/>
          <w:szCs w:val="24"/>
          <w:highlight w:val="none"/>
          <w:u w:val="single"/>
          <w:lang w:val="en-US" w:eastAsia="zh-CN"/>
        </w:rPr>
        <w:t>6</w:t>
      </w:r>
      <w:r>
        <w:rPr>
          <w:rFonts w:hint="eastAsia" w:ascii="宋体" w:hAnsi="宋体" w:cs="宋体"/>
          <w:color w:val="auto"/>
          <w:kern w:val="2"/>
          <w:sz w:val="24"/>
          <w:szCs w:val="24"/>
          <w:highlight w:val="none"/>
          <w:u w:val="single"/>
          <w:lang w:eastAsia="zh-CN"/>
        </w:rPr>
        <w:t>月</w:t>
      </w:r>
      <w:r>
        <w:rPr>
          <w:rFonts w:hint="eastAsia" w:ascii="宋体" w:hAnsi="宋体" w:cs="宋体"/>
          <w:color w:val="auto"/>
          <w:kern w:val="2"/>
          <w:sz w:val="24"/>
          <w:szCs w:val="24"/>
          <w:highlight w:val="none"/>
          <w:u w:val="single"/>
          <w:lang w:val="en-US" w:eastAsia="zh-CN"/>
        </w:rPr>
        <w:t>11</w:t>
      </w:r>
      <w:r>
        <w:rPr>
          <w:rFonts w:hint="eastAsia" w:ascii="宋体" w:hAnsi="宋体" w:cs="宋体"/>
          <w:color w:val="auto"/>
          <w:kern w:val="2"/>
          <w:sz w:val="24"/>
          <w:szCs w:val="24"/>
          <w:highlight w:val="none"/>
          <w:u w:val="single"/>
        </w:rPr>
        <w:t>日</w:t>
      </w:r>
      <w:r>
        <w:rPr>
          <w:rFonts w:hint="eastAsia" w:ascii="宋体" w:hAnsi="宋体" w:cs="宋体"/>
          <w:color w:val="auto"/>
          <w:kern w:val="2"/>
          <w:sz w:val="24"/>
          <w:szCs w:val="24"/>
          <w:highlight w:val="none"/>
          <w:u w:val="single"/>
          <w:lang w:val="en-US" w:eastAsia="zh-CN"/>
        </w:rPr>
        <w:t>14</w:t>
      </w:r>
      <w:r>
        <w:rPr>
          <w:rFonts w:hint="eastAsia" w:ascii="宋体" w:hAnsi="宋体" w:cs="宋体"/>
          <w:color w:val="auto"/>
          <w:kern w:val="2"/>
          <w:sz w:val="24"/>
          <w:szCs w:val="24"/>
          <w:highlight w:val="none"/>
          <w:u w:val="single"/>
        </w:rPr>
        <w:t>点</w:t>
      </w:r>
      <w:r>
        <w:rPr>
          <w:rFonts w:hint="eastAsia" w:ascii="宋体" w:hAnsi="宋体" w:cs="宋体"/>
          <w:color w:val="auto"/>
          <w:kern w:val="2"/>
          <w:sz w:val="24"/>
          <w:szCs w:val="24"/>
          <w:highlight w:val="none"/>
          <w:u w:val="single"/>
          <w:lang w:val="en-US" w:eastAsia="zh-CN"/>
        </w:rPr>
        <w:t>30</w:t>
      </w:r>
      <w:r>
        <w:rPr>
          <w:rFonts w:hint="eastAsia" w:ascii="宋体" w:hAnsi="宋体" w:cs="宋体"/>
          <w:color w:val="auto"/>
          <w:kern w:val="2"/>
          <w:sz w:val="24"/>
          <w:szCs w:val="24"/>
          <w:highlight w:val="none"/>
          <w:u w:val="single"/>
        </w:rPr>
        <w:t>分</w:t>
      </w:r>
    </w:p>
    <w:p w14:paraId="763E039A">
      <w:pPr>
        <w:widowControl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6.其他：</w:t>
      </w:r>
    </w:p>
    <w:p w14:paraId="60F81D88">
      <w:pPr>
        <w:widowControl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6.1本次招标公告在《云南省政府采购网》上发布，公告内容和时间以云南省政府采购网发布的信息为准。</w:t>
      </w:r>
    </w:p>
    <w:p w14:paraId="2E9CB3EF">
      <w:pPr>
        <w:widowControl w:val="0"/>
        <w:spacing w:line="360" w:lineRule="auto"/>
        <w:ind w:firstLine="54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6.2本项目执行政府采购促进中小企业发展、支持监狱企业、促进残疾人就业、强制采购和优先采购节能、环保产品</w:t>
      </w:r>
      <w:r>
        <w:rPr>
          <w:rFonts w:hint="eastAsia" w:ascii="宋体" w:hAnsi="宋体" w:cs="宋体"/>
          <w:i w:val="0"/>
          <w:iCs w:val="0"/>
          <w:color w:val="auto"/>
          <w:sz w:val="24"/>
          <w:szCs w:val="24"/>
          <w:highlight w:val="none"/>
          <w:u w:val="none"/>
          <w:lang w:val="en-US" w:eastAsia="zh-CN"/>
        </w:rPr>
        <w:t>、对本国产品的支持政策</w:t>
      </w:r>
      <w:r>
        <w:rPr>
          <w:rFonts w:hint="eastAsia" w:ascii="宋体" w:hAnsi="宋体" w:cs="宋体"/>
          <w:color w:val="auto"/>
          <w:sz w:val="24"/>
          <w:szCs w:val="24"/>
          <w:highlight w:val="none"/>
        </w:rPr>
        <w:t>等政府采购政策。</w:t>
      </w:r>
    </w:p>
    <w:p w14:paraId="4CA8D56E">
      <w:pPr>
        <w:widowControl w:val="0"/>
        <w:spacing w:line="360" w:lineRule="auto"/>
        <w:ind w:firstLine="54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6.3获取招标文件的方式：有意参加投标的供应商需要在政采云平台办理数字证书（CA）。完成数字证书（CA）办理后，供应商需要在政采云平台绑定数字证书(CA)，并在平台上获取采购文件和其他相关采购资料。</w:t>
      </w:r>
    </w:p>
    <w:p w14:paraId="05D99CBB">
      <w:pPr>
        <w:widowControl w:val="0"/>
        <w:spacing w:line="360" w:lineRule="auto"/>
        <w:ind w:firstLine="54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注：CA办理链接：http://yzt.ynsmartcert.cn/cms/yztmdkj.html或者https://middle.zcygov.cn/ca/apply/list?_app_=zcy.sys</w:t>
      </w:r>
    </w:p>
    <w:p w14:paraId="264FAA89">
      <w:pPr>
        <w:widowControl w:val="0"/>
        <w:spacing w:line="360" w:lineRule="auto"/>
        <w:ind w:firstLine="480" w:firstLineChars="200"/>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需要注意的是，如果供应商之前已经在云南CA在线数字证书办理网注册并办理了企业数字证书（CA），则可以直接进行绑定，无需重复办理。此外，供应商在政采云平台办理的其他CA也可以直接使用，无需重复办理。如有问题可拨打政采云客户服务热线95763进行咨询，数字证书问题可咨询云南壹证通CA：0871-67276028（紧急可拨19988166369）。</w:t>
      </w:r>
    </w:p>
    <w:p w14:paraId="694D79C8">
      <w:pPr>
        <w:widowControl w:val="0"/>
        <w:spacing w:line="360" w:lineRule="auto"/>
        <w:ind w:firstLine="480" w:firstLineChars="200"/>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6.4为支持和促进中小企业发展，进一步发挥政府采购政策功能，鼓励投标人使用电子保险/保函替代投标、履约保证金，支持中标人基于成交项目进行合同融资。申请人可登录【云南省政府采购金融支撑服务平台】进行了解办理，或致电95763，如您有紧急需求的可联系13732226998(谢工)。直达链接:https://jinrong.zcygov.cn/luban/finance/yunnan。</w:t>
      </w:r>
    </w:p>
    <w:p w14:paraId="446D5B57">
      <w:pPr>
        <w:pStyle w:val="3"/>
        <w:widowControl/>
        <w:spacing w:before="0" w:after="0" w:line="360" w:lineRule="auto"/>
        <w:rPr>
          <w:rFonts w:hint="eastAsia" w:ascii="宋体" w:hAnsi="宋体" w:eastAsia="宋体" w:cs="宋体"/>
          <w:bCs w:val="0"/>
          <w:color w:val="auto"/>
          <w:sz w:val="24"/>
          <w:szCs w:val="24"/>
          <w:highlight w:val="none"/>
        </w:rPr>
      </w:pPr>
      <w:bookmarkStart w:id="61" w:name="_Toc1653"/>
      <w:bookmarkStart w:id="62" w:name="_Toc15526"/>
      <w:bookmarkStart w:id="63" w:name="_Toc13085"/>
      <w:r>
        <w:rPr>
          <w:rFonts w:hint="eastAsia" w:ascii="宋体" w:hAnsi="宋体" w:eastAsia="宋体" w:cs="宋体"/>
          <w:bCs w:val="0"/>
          <w:color w:val="auto"/>
          <w:sz w:val="24"/>
          <w:szCs w:val="24"/>
          <w:highlight w:val="none"/>
        </w:rPr>
        <w:t>七、对本次招标提出询问，请按以下方式联系</w:t>
      </w:r>
      <w:bookmarkEnd w:id="56"/>
      <w:bookmarkEnd w:id="57"/>
      <w:bookmarkEnd w:id="58"/>
      <w:bookmarkEnd w:id="59"/>
      <w:bookmarkEnd w:id="60"/>
      <w:bookmarkEnd w:id="61"/>
      <w:bookmarkEnd w:id="62"/>
      <w:bookmarkEnd w:id="63"/>
    </w:p>
    <w:p w14:paraId="7ECE95E0">
      <w:pPr>
        <w:widowControl w:val="0"/>
        <w:spacing w:line="360" w:lineRule="auto"/>
        <w:ind w:firstLine="480" w:firstLineChars="200"/>
        <w:rPr>
          <w:rFonts w:ascii="宋体" w:hAnsi="宋体" w:cs="宋体"/>
          <w:color w:val="auto"/>
          <w:sz w:val="24"/>
          <w:szCs w:val="24"/>
          <w:highlight w:val="none"/>
        </w:rPr>
      </w:pPr>
      <w:bookmarkStart w:id="64" w:name="_Toc28359097"/>
      <w:bookmarkStart w:id="65" w:name="_Toc35393638"/>
      <w:bookmarkStart w:id="66" w:name="_Toc35393807"/>
      <w:bookmarkStart w:id="67" w:name="_Toc28359020"/>
      <w:r>
        <w:rPr>
          <w:rFonts w:hint="eastAsia" w:ascii="宋体" w:hAnsi="宋体" w:cs="宋体"/>
          <w:color w:val="auto"/>
          <w:sz w:val="24"/>
          <w:szCs w:val="24"/>
          <w:highlight w:val="none"/>
        </w:rPr>
        <w:t>1.采购人信息</w:t>
      </w:r>
    </w:p>
    <w:p w14:paraId="4D4B69A2">
      <w:pPr>
        <w:widowControl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lang w:eastAsia="zh-CN"/>
        </w:rPr>
        <w:t>昆明医科大学第二附属医院</w:t>
      </w:r>
    </w:p>
    <w:p w14:paraId="5C7BA2A0">
      <w:pPr>
        <w:widowControl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昆明市五华区滇缅大道374号</w:t>
      </w:r>
    </w:p>
    <w:p w14:paraId="620140C9">
      <w:pPr>
        <w:widowControl w:val="0"/>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rPr>
        <w:t>0871-634022</w:t>
      </w:r>
      <w:r>
        <w:rPr>
          <w:rFonts w:hint="eastAsia" w:ascii="宋体" w:hAnsi="宋体" w:eastAsia="宋体" w:cs="宋体"/>
          <w:color w:val="auto"/>
          <w:sz w:val="24"/>
          <w:szCs w:val="24"/>
          <w:highlight w:val="none"/>
          <w:u w:val="single"/>
          <w:lang w:val="en-US" w:eastAsia="zh-CN"/>
        </w:rPr>
        <w:t>40</w:t>
      </w:r>
    </w:p>
    <w:p w14:paraId="4959D9B2">
      <w:pPr>
        <w:widowControl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2.采购代理机构信息</w:t>
      </w:r>
      <w:bookmarkEnd w:id="64"/>
      <w:bookmarkEnd w:id="65"/>
      <w:bookmarkEnd w:id="66"/>
      <w:bookmarkEnd w:id="67"/>
    </w:p>
    <w:p w14:paraId="23C184B3">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名 称：</w:t>
      </w:r>
      <w:r>
        <w:rPr>
          <w:rFonts w:hint="eastAsia" w:ascii="宋体" w:hAnsi="宋体" w:cs="宋体"/>
          <w:color w:val="auto"/>
          <w:kern w:val="2"/>
          <w:sz w:val="24"/>
          <w:szCs w:val="24"/>
          <w:highlight w:val="none"/>
          <w:u w:val="single"/>
          <w:lang w:bidi="ar"/>
        </w:rPr>
        <w:t>云南元大工程咨询有限责任公司</w:t>
      </w:r>
    </w:p>
    <w:p w14:paraId="187B2F37">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地　址：</w:t>
      </w:r>
      <w:r>
        <w:rPr>
          <w:rFonts w:hint="eastAsia" w:ascii="宋体" w:hAnsi="宋体" w:cs="宋体"/>
          <w:color w:val="auto"/>
          <w:kern w:val="2"/>
          <w:sz w:val="24"/>
          <w:szCs w:val="24"/>
          <w:highlight w:val="none"/>
          <w:u w:val="single"/>
          <w:lang w:bidi="ar"/>
        </w:rPr>
        <w:t>云南省昆明市盘龙区联盟路与万宏路交汇处万宏嘉园沣苑（地块三）B座15楼（奥斯迪商务中心B座15楼）</w:t>
      </w:r>
    </w:p>
    <w:p w14:paraId="03B87D58">
      <w:pPr>
        <w:widowControl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联系方式：</w:t>
      </w:r>
      <w:r>
        <w:rPr>
          <w:rFonts w:hint="eastAsia" w:ascii="宋体" w:hAnsi="宋体" w:cs="宋体"/>
          <w:color w:val="auto"/>
          <w:kern w:val="2"/>
          <w:sz w:val="24"/>
          <w:szCs w:val="24"/>
          <w:highlight w:val="none"/>
          <w:u w:val="single"/>
          <w:lang w:bidi="ar"/>
        </w:rPr>
        <w:t>李波琼、杨晨、黎泽龙、王博冰</w:t>
      </w:r>
      <w:r>
        <w:rPr>
          <w:rFonts w:hint="eastAsia" w:ascii="宋体" w:hAnsi="宋体" w:cs="宋体"/>
          <w:color w:val="auto"/>
          <w:sz w:val="24"/>
          <w:szCs w:val="24"/>
          <w:highlight w:val="none"/>
          <w:u w:val="single"/>
        </w:rPr>
        <w:t>0871-63338509</w:t>
      </w:r>
    </w:p>
    <w:p w14:paraId="5CEEFA9A">
      <w:pPr>
        <w:widowControl w:val="0"/>
        <w:spacing w:line="360" w:lineRule="auto"/>
        <w:ind w:firstLine="480" w:firstLineChars="200"/>
        <w:rPr>
          <w:rFonts w:hint="eastAsia" w:ascii="宋体" w:hAnsi="宋体" w:cs="宋体"/>
          <w:color w:val="auto"/>
          <w:sz w:val="24"/>
          <w:szCs w:val="24"/>
          <w:highlight w:val="none"/>
        </w:rPr>
      </w:pPr>
      <w:bookmarkStart w:id="68" w:name="_Toc35393808"/>
      <w:bookmarkStart w:id="69" w:name="_Toc35393639"/>
      <w:bookmarkStart w:id="70" w:name="_Toc28359021"/>
      <w:bookmarkStart w:id="71" w:name="_Toc28359098"/>
      <w:r>
        <w:rPr>
          <w:rFonts w:hint="eastAsia" w:ascii="宋体" w:hAnsi="宋体" w:cs="宋体"/>
          <w:color w:val="auto"/>
          <w:sz w:val="24"/>
          <w:szCs w:val="24"/>
          <w:highlight w:val="none"/>
        </w:rPr>
        <w:t>3.项目联系方式</w:t>
      </w:r>
      <w:bookmarkEnd w:id="68"/>
      <w:bookmarkEnd w:id="69"/>
      <w:bookmarkEnd w:id="70"/>
      <w:bookmarkEnd w:id="71"/>
    </w:p>
    <w:p w14:paraId="0582BB9C">
      <w:pPr>
        <w:pStyle w:val="34"/>
        <w:widowControl w:val="0"/>
        <w:spacing w:before="0" w:beforeAutospacing="0" w:after="0" w:afterAutospacing="0" w:line="360" w:lineRule="auto"/>
        <w:ind w:firstLine="480" w:firstLineChars="200"/>
        <w:jc w:val="both"/>
        <w:rPr>
          <w:rFonts w:hint="eastAsia" w:ascii="宋体" w:hAnsi="宋体" w:eastAsia="宋体" w:cs="宋体"/>
          <w:color w:val="auto"/>
          <w:highlight w:val="none"/>
          <w:u w:val="single"/>
          <w:lang w:eastAsia="zh-CN"/>
        </w:rPr>
      </w:pPr>
      <w:r>
        <w:rPr>
          <w:rFonts w:hint="eastAsia" w:ascii="宋体" w:hAnsi="宋体" w:cs="宋体"/>
          <w:color w:val="auto"/>
          <w:kern w:val="2"/>
          <w:highlight w:val="none"/>
          <w:lang w:bidi="ar"/>
        </w:rPr>
        <w:t>项目联系人：</w:t>
      </w:r>
      <w:r>
        <w:rPr>
          <w:rFonts w:hint="eastAsia" w:ascii="宋体" w:hAnsi="宋体" w:cs="宋体"/>
          <w:color w:val="auto"/>
          <w:kern w:val="2"/>
          <w:highlight w:val="none"/>
          <w:u w:val="single"/>
          <w:lang w:bidi="ar"/>
        </w:rPr>
        <w:t>李波琼、杨晨、黎泽龙、王博冰</w:t>
      </w:r>
    </w:p>
    <w:p w14:paraId="61B344BF">
      <w:pPr>
        <w:widowControl w:val="0"/>
        <w:spacing w:line="360" w:lineRule="auto"/>
        <w:ind w:firstLine="480" w:firstLineChars="200"/>
        <w:jc w:val="both"/>
        <w:rPr>
          <w:rFonts w:hint="eastAsia" w:ascii="宋体" w:hAnsi="宋体" w:cs="宋体"/>
          <w:color w:val="auto"/>
          <w:sz w:val="24"/>
          <w:szCs w:val="24"/>
          <w:highlight w:val="none"/>
          <w:u w:val="single"/>
        </w:rPr>
      </w:pPr>
      <w:r>
        <w:rPr>
          <w:rFonts w:hint="eastAsia" w:ascii="宋体" w:hAnsi="宋体" w:cs="宋体"/>
          <w:color w:val="auto"/>
          <w:sz w:val="24"/>
          <w:highlight w:val="none"/>
          <w:lang w:bidi="ar"/>
        </w:rPr>
        <w:t>电　话：</w:t>
      </w:r>
      <w:r>
        <w:rPr>
          <w:rFonts w:hint="eastAsia" w:ascii="宋体" w:hAnsi="宋体" w:cs="宋体"/>
          <w:color w:val="auto"/>
          <w:sz w:val="24"/>
          <w:highlight w:val="none"/>
          <w:u w:val="single"/>
        </w:rPr>
        <w:t>0871-63338509</w:t>
      </w:r>
    </w:p>
    <w:p w14:paraId="5BC8FF53">
      <w:pPr>
        <w:pStyle w:val="2"/>
        <w:tabs>
          <w:tab w:val="left" w:pos="3570"/>
        </w:tabs>
        <w:spacing w:before="0" w:after="0" w:line="360" w:lineRule="auto"/>
        <w:jc w:val="center"/>
        <w:rPr>
          <w:rStyle w:val="58"/>
          <w:rFonts w:hint="eastAsia" w:ascii="宋体" w:hAnsi="宋体" w:cs="宋体"/>
          <w:b w:val="0"/>
          <w:bCs w:val="0"/>
          <w:color w:val="auto"/>
          <w:highlight w:val="none"/>
        </w:rPr>
      </w:pPr>
      <w:r>
        <w:rPr>
          <w:rFonts w:hint="eastAsia" w:ascii="宋体" w:hAnsi="宋体" w:cs="宋体"/>
          <w:color w:val="auto"/>
          <w:highlight w:val="none"/>
        </w:rPr>
        <w:br w:type="page"/>
      </w:r>
      <w:bookmarkStart w:id="72" w:name="_Toc5498"/>
      <w:bookmarkEnd w:id="72"/>
      <w:bookmarkStart w:id="73" w:name="_Toc13994"/>
      <w:bookmarkEnd w:id="73"/>
      <w:bookmarkStart w:id="74" w:name="_Toc8120"/>
      <w:bookmarkEnd w:id="74"/>
      <w:bookmarkStart w:id="75" w:name="_Toc16794"/>
      <w:bookmarkEnd w:id="75"/>
      <w:bookmarkStart w:id="76" w:name="_Toc23419"/>
      <w:bookmarkEnd w:id="76"/>
      <w:bookmarkStart w:id="77" w:name="_Toc26856"/>
      <w:bookmarkStart w:id="78" w:name="_Toc24219"/>
      <w:bookmarkStart w:id="79" w:name="_Toc18212"/>
      <w:bookmarkStart w:id="80" w:name="_Toc11593"/>
      <w:r>
        <w:rPr>
          <w:rStyle w:val="58"/>
          <w:rFonts w:hint="eastAsia" w:ascii="宋体" w:hAnsi="宋体" w:cs="宋体"/>
          <w:b w:val="0"/>
          <w:bCs w:val="0"/>
          <w:color w:val="auto"/>
          <w:highlight w:val="none"/>
        </w:rPr>
        <w:t>第二章 投标人须知</w:t>
      </w:r>
      <w:bookmarkEnd w:id="77"/>
      <w:bookmarkEnd w:id="78"/>
      <w:bookmarkEnd w:id="79"/>
      <w:bookmarkEnd w:id="80"/>
    </w:p>
    <w:p w14:paraId="5B9DC13F">
      <w:pPr>
        <w:pStyle w:val="3"/>
        <w:spacing w:before="0" w:after="0" w:line="360" w:lineRule="auto"/>
        <w:ind w:firstLine="420"/>
        <w:jc w:val="center"/>
        <w:rPr>
          <w:rFonts w:hint="eastAsia" w:ascii="宋体" w:hAnsi="宋体" w:eastAsia="宋体" w:cs="宋体"/>
          <w:color w:val="auto"/>
          <w:sz w:val="28"/>
          <w:szCs w:val="28"/>
          <w:highlight w:val="none"/>
        </w:rPr>
      </w:pPr>
      <w:bookmarkStart w:id="81" w:name="_Toc21714"/>
      <w:bookmarkEnd w:id="81"/>
      <w:bookmarkStart w:id="82" w:name="_Toc13590"/>
      <w:bookmarkEnd w:id="82"/>
      <w:bookmarkStart w:id="83" w:name="_Toc19227"/>
      <w:bookmarkStart w:id="84" w:name="_Toc10443"/>
      <w:bookmarkStart w:id="85" w:name="_Toc26144"/>
      <w:bookmarkStart w:id="86" w:name="_Toc9323"/>
      <w:r>
        <w:rPr>
          <w:rFonts w:hint="eastAsia" w:ascii="宋体" w:hAnsi="宋体" w:eastAsia="宋体" w:cs="宋体"/>
          <w:color w:val="auto"/>
          <w:sz w:val="28"/>
          <w:szCs w:val="28"/>
          <w:highlight w:val="none"/>
        </w:rPr>
        <w:t>投标人须知前附表</w:t>
      </w:r>
      <w:bookmarkEnd w:id="83"/>
      <w:bookmarkEnd w:id="84"/>
      <w:bookmarkEnd w:id="85"/>
      <w:bookmarkEnd w:id="86"/>
    </w:p>
    <w:p w14:paraId="22B038E2">
      <w:pPr>
        <w:spacing w:line="200" w:lineRule="exact"/>
        <w:rPr>
          <w:rFonts w:hint="eastAsia" w:ascii="宋体" w:hAnsi="宋体" w:cs="宋体"/>
          <w:color w:val="auto"/>
          <w:highlight w:val="none"/>
        </w:rPr>
      </w:pPr>
      <w:r>
        <w:rPr>
          <w:rFonts w:hint="eastAsia" w:ascii="宋体" w:hAnsi="宋体" w:cs="宋体"/>
          <w:color w:val="auto"/>
          <w:highlight w:val="none"/>
        </w:rPr>
        <w:t xml:space="preserve"> </w:t>
      </w:r>
    </w:p>
    <w:tbl>
      <w:tblPr>
        <w:tblStyle w:val="37"/>
        <w:tblW w:w="9882" w:type="dxa"/>
        <w:jc w:val="center"/>
        <w:tblLayout w:type="fixed"/>
        <w:tblCellMar>
          <w:top w:w="0" w:type="dxa"/>
          <w:left w:w="0" w:type="dxa"/>
          <w:bottom w:w="0" w:type="dxa"/>
          <w:right w:w="0" w:type="dxa"/>
        </w:tblCellMar>
      </w:tblPr>
      <w:tblGrid>
        <w:gridCol w:w="1047"/>
        <w:gridCol w:w="2009"/>
        <w:gridCol w:w="6826"/>
      </w:tblGrid>
      <w:tr w14:paraId="6F47D2D6">
        <w:tblPrEx>
          <w:tblCellMar>
            <w:top w:w="0" w:type="dxa"/>
            <w:left w:w="0" w:type="dxa"/>
            <w:bottom w:w="0" w:type="dxa"/>
            <w:right w:w="0" w:type="dxa"/>
          </w:tblCellMar>
        </w:tblPrEx>
        <w:trPr>
          <w:trHeight w:val="390" w:hRule="atLeast"/>
          <w:tblHeader/>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3280DB9">
            <w:pPr>
              <w:spacing w:line="460" w:lineRule="exact"/>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条款号</w:t>
            </w:r>
          </w:p>
        </w:tc>
        <w:tc>
          <w:tcPr>
            <w:tcW w:w="2009" w:type="dxa"/>
            <w:tcBorders>
              <w:top w:val="single" w:color="auto" w:sz="8" w:space="0"/>
              <w:left w:val="nil"/>
              <w:bottom w:val="single" w:color="auto" w:sz="8" w:space="0"/>
              <w:right w:val="single" w:color="auto" w:sz="8" w:space="0"/>
            </w:tcBorders>
            <w:noWrap w:val="0"/>
            <w:vAlign w:val="bottom"/>
          </w:tcPr>
          <w:p w14:paraId="2F72DFB5">
            <w:pPr>
              <w:spacing w:line="460" w:lineRule="exact"/>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条 款 名 称</w:t>
            </w:r>
          </w:p>
        </w:tc>
        <w:tc>
          <w:tcPr>
            <w:tcW w:w="6826" w:type="dxa"/>
            <w:tcBorders>
              <w:top w:val="single" w:color="auto" w:sz="8" w:space="0"/>
              <w:left w:val="nil"/>
              <w:bottom w:val="single" w:color="auto" w:sz="8" w:space="0"/>
              <w:right w:val="single" w:color="auto" w:sz="8" w:space="0"/>
            </w:tcBorders>
            <w:noWrap w:val="0"/>
            <w:vAlign w:val="bottom"/>
          </w:tcPr>
          <w:p w14:paraId="238F2E01">
            <w:pPr>
              <w:spacing w:line="460" w:lineRule="exact"/>
              <w:ind w:left="1680"/>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编 列 内 容</w:t>
            </w:r>
          </w:p>
        </w:tc>
      </w:tr>
      <w:tr w14:paraId="319FC05C">
        <w:tblPrEx>
          <w:tblCellMar>
            <w:top w:w="0" w:type="dxa"/>
            <w:left w:w="0" w:type="dxa"/>
            <w:bottom w:w="0" w:type="dxa"/>
            <w:right w:w="0" w:type="dxa"/>
          </w:tblCellMar>
        </w:tblPrEx>
        <w:trPr>
          <w:trHeight w:val="46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00EC284">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1.1.2</w:t>
            </w:r>
          </w:p>
        </w:tc>
        <w:tc>
          <w:tcPr>
            <w:tcW w:w="2009" w:type="dxa"/>
            <w:tcBorders>
              <w:top w:val="single" w:color="auto" w:sz="8" w:space="0"/>
              <w:left w:val="nil"/>
              <w:bottom w:val="single" w:color="auto" w:sz="8" w:space="0"/>
              <w:right w:val="single" w:color="auto" w:sz="8" w:space="0"/>
            </w:tcBorders>
            <w:noWrap w:val="0"/>
            <w:vAlign w:val="center"/>
          </w:tcPr>
          <w:p w14:paraId="557C592A">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采购人</w:t>
            </w:r>
          </w:p>
        </w:tc>
        <w:tc>
          <w:tcPr>
            <w:tcW w:w="6826" w:type="dxa"/>
            <w:tcBorders>
              <w:top w:val="single" w:color="auto" w:sz="8" w:space="0"/>
              <w:left w:val="nil"/>
              <w:bottom w:val="single" w:color="auto" w:sz="8" w:space="0"/>
              <w:right w:val="single" w:color="auto" w:sz="8" w:space="0"/>
            </w:tcBorders>
            <w:noWrap w:val="0"/>
            <w:vAlign w:val="center"/>
          </w:tcPr>
          <w:p w14:paraId="05F79E8D">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详见第一章“招标公告”</w:t>
            </w:r>
          </w:p>
        </w:tc>
      </w:tr>
      <w:tr w14:paraId="6A4551AC">
        <w:tblPrEx>
          <w:tblCellMar>
            <w:top w:w="0" w:type="dxa"/>
            <w:left w:w="0" w:type="dxa"/>
            <w:bottom w:w="0" w:type="dxa"/>
            <w:right w:w="0" w:type="dxa"/>
          </w:tblCellMar>
        </w:tblPrEx>
        <w:trPr>
          <w:trHeight w:val="518"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EF4D512">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1.1.3</w:t>
            </w:r>
          </w:p>
        </w:tc>
        <w:tc>
          <w:tcPr>
            <w:tcW w:w="2009" w:type="dxa"/>
            <w:tcBorders>
              <w:top w:val="single" w:color="auto" w:sz="8" w:space="0"/>
              <w:left w:val="nil"/>
              <w:bottom w:val="single" w:color="auto" w:sz="8" w:space="0"/>
              <w:right w:val="single" w:color="auto" w:sz="8" w:space="0"/>
            </w:tcBorders>
            <w:noWrap w:val="0"/>
            <w:vAlign w:val="center"/>
          </w:tcPr>
          <w:p w14:paraId="2D32687D">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采购代理机构</w:t>
            </w:r>
          </w:p>
        </w:tc>
        <w:tc>
          <w:tcPr>
            <w:tcW w:w="6826" w:type="dxa"/>
            <w:tcBorders>
              <w:top w:val="single" w:color="auto" w:sz="8" w:space="0"/>
              <w:left w:val="nil"/>
              <w:bottom w:val="single" w:color="auto" w:sz="8" w:space="0"/>
              <w:right w:val="single" w:color="auto" w:sz="8" w:space="0"/>
            </w:tcBorders>
            <w:noWrap w:val="0"/>
            <w:vAlign w:val="center"/>
          </w:tcPr>
          <w:p w14:paraId="3B394EDA">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详见第一章“招标公告”</w:t>
            </w:r>
          </w:p>
        </w:tc>
      </w:tr>
      <w:tr w14:paraId="54D743F3">
        <w:tblPrEx>
          <w:tblCellMar>
            <w:top w:w="0" w:type="dxa"/>
            <w:left w:w="0" w:type="dxa"/>
            <w:bottom w:w="0" w:type="dxa"/>
            <w:right w:w="0" w:type="dxa"/>
          </w:tblCellMar>
        </w:tblPrEx>
        <w:trPr>
          <w:trHeight w:val="47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5E0B5F8">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1.1.4</w:t>
            </w:r>
          </w:p>
        </w:tc>
        <w:tc>
          <w:tcPr>
            <w:tcW w:w="2009" w:type="dxa"/>
            <w:tcBorders>
              <w:top w:val="single" w:color="auto" w:sz="8" w:space="0"/>
              <w:left w:val="nil"/>
              <w:bottom w:val="single" w:color="auto" w:sz="8" w:space="0"/>
              <w:right w:val="single" w:color="auto" w:sz="8" w:space="0"/>
            </w:tcBorders>
            <w:noWrap w:val="0"/>
            <w:vAlign w:val="center"/>
          </w:tcPr>
          <w:p w14:paraId="6E1BECE9">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项目名称</w:t>
            </w:r>
          </w:p>
        </w:tc>
        <w:tc>
          <w:tcPr>
            <w:tcW w:w="6826" w:type="dxa"/>
            <w:tcBorders>
              <w:top w:val="single" w:color="auto" w:sz="8" w:space="0"/>
              <w:left w:val="nil"/>
              <w:bottom w:val="single" w:color="auto" w:sz="8" w:space="0"/>
              <w:right w:val="single" w:color="auto" w:sz="8" w:space="0"/>
            </w:tcBorders>
            <w:noWrap w:val="0"/>
            <w:vAlign w:val="center"/>
          </w:tcPr>
          <w:p w14:paraId="622DF09F">
            <w:pPr>
              <w:spacing w:line="38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详见第一章“招标公告”</w:t>
            </w:r>
          </w:p>
        </w:tc>
      </w:tr>
      <w:tr w14:paraId="365768BB">
        <w:tblPrEx>
          <w:tblCellMar>
            <w:top w:w="0" w:type="dxa"/>
            <w:left w:w="0" w:type="dxa"/>
            <w:bottom w:w="0" w:type="dxa"/>
            <w:right w:w="0" w:type="dxa"/>
          </w:tblCellMar>
        </w:tblPrEx>
        <w:trPr>
          <w:trHeight w:val="6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FB9C7AE">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1.2.1</w:t>
            </w:r>
          </w:p>
        </w:tc>
        <w:tc>
          <w:tcPr>
            <w:tcW w:w="2009" w:type="dxa"/>
            <w:tcBorders>
              <w:top w:val="single" w:color="auto" w:sz="8" w:space="0"/>
              <w:left w:val="nil"/>
              <w:bottom w:val="single" w:color="auto" w:sz="8" w:space="0"/>
              <w:right w:val="single" w:color="auto" w:sz="8" w:space="0"/>
            </w:tcBorders>
            <w:noWrap w:val="0"/>
            <w:vAlign w:val="center"/>
          </w:tcPr>
          <w:p w14:paraId="1E91BC3D">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资金落实情况</w:t>
            </w:r>
          </w:p>
        </w:tc>
        <w:tc>
          <w:tcPr>
            <w:tcW w:w="6826" w:type="dxa"/>
            <w:tcBorders>
              <w:top w:val="single" w:color="auto" w:sz="8" w:space="0"/>
              <w:left w:val="nil"/>
              <w:bottom w:val="single" w:color="auto" w:sz="8" w:space="0"/>
              <w:right w:val="single" w:color="auto" w:sz="8" w:space="0"/>
            </w:tcBorders>
            <w:noWrap w:val="0"/>
            <w:vAlign w:val="center"/>
          </w:tcPr>
          <w:p w14:paraId="6E8A30D2">
            <w:pPr>
              <w:spacing w:line="38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财政资金，已落实</w:t>
            </w:r>
          </w:p>
        </w:tc>
      </w:tr>
      <w:tr w14:paraId="42BD3DB9">
        <w:tblPrEx>
          <w:tblCellMar>
            <w:top w:w="0" w:type="dxa"/>
            <w:left w:w="0" w:type="dxa"/>
            <w:bottom w:w="0" w:type="dxa"/>
            <w:right w:w="0" w:type="dxa"/>
          </w:tblCellMar>
        </w:tblPrEx>
        <w:trPr>
          <w:trHeight w:val="643"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C62BADB">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1.2.2</w:t>
            </w:r>
          </w:p>
        </w:tc>
        <w:tc>
          <w:tcPr>
            <w:tcW w:w="2009" w:type="dxa"/>
            <w:tcBorders>
              <w:top w:val="single" w:color="auto" w:sz="8" w:space="0"/>
              <w:left w:val="nil"/>
              <w:bottom w:val="single" w:color="auto" w:sz="8" w:space="0"/>
              <w:right w:val="single" w:color="auto" w:sz="8" w:space="0"/>
            </w:tcBorders>
            <w:noWrap w:val="0"/>
            <w:vAlign w:val="center"/>
          </w:tcPr>
          <w:p w14:paraId="38DA3073">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预算金额</w:t>
            </w:r>
          </w:p>
        </w:tc>
        <w:tc>
          <w:tcPr>
            <w:tcW w:w="6826" w:type="dxa"/>
            <w:tcBorders>
              <w:top w:val="single" w:color="auto" w:sz="8" w:space="0"/>
              <w:left w:val="nil"/>
              <w:bottom w:val="single" w:color="auto" w:sz="8" w:space="0"/>
              <w:right w:val="single" w:color="auto" w:sz="8" w:space="0"/>
            </w:tcBorders>
            <w:noWrap w:val="0"/>
            <w:vAlign w:val="center"/>
          </w:tcPr>
          <w:p w14:paraId="74F899AD">
            <w:pPr>
              <w:spacing w:line="38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详见第一章“招标公告”</w:t>
            </w:r>
          </w:p>
        </w:tc>
      </w:tr>
      <w:tr w14:paraId="483912B1">
        <w:tblPrEx>
          <w:tblCellMar>
            <w:top w:w="0" w:type="dxa"/>
            <w:left w:w="0" w:type="dxa"/>
            <w:bottom w:w="0" w:type="dxa"/>
            <w:right w:w="0" w:type="dxa"/>
          </w:tblCellMar>
        </w:tblPrEx>
        <w:trPr>
          <w:trHeight w:val="601"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23BEDF8">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1.3.1</w:t>
            </w:r>
          </w:p>
        </w:tc>
        <w:tc>
          <w:tcPr>
            <w:tcW w:w="2009" w:type="dxa"/>
            <w:tcBorders>
              <w:top w:val="single" w:color="auto" w:sz="8" w:space="0"/>
              <w:left w:val="nil"/>
              <w:bottom w:val="single" w:color="auto" w:sz="8" w:space="0"/>
              <w:right w:val="single" w:color="auto" w:sz="8" w:space="0"/>
            </w:tcBorders>
            <w:noWrap w:val="0"/>
            <w:vAlign w:val="center"/>
          </w:tcPr>
          <w:p w14:paraId="7CCDFE24">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采购内容</w:t>
            </w:r>
          </w:p>
        </w:tc>
        <w:tc>
          <w:tcPr>
            <w:tcW w:w="6826" w:type="dxa"/>
            <w:tcBorders>
              <w:top w:val="single" w:color="auto" w:sz="8" w:space="0"/>
              <w:left w:val="nil"/>
              <w:bottom w:val="single" w:color="auto" w:sz="8" w:space="0"/>
              <w:right w:val="single" w:color="auto" w:sz="8" w:space="0"/>
            </w:tcBorders>
            <w:noWrap w:val="0"/>
            <w:vAlign w:val="center"/>
          </w:tcPr>
          <w:p w14:paraId="123A28B8">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详见第六章《招标内容及要求》的具体内容</w:t>
            </w:r>
          </w:p>
        </w:tc>
      </w:tr>
      <w:tr w14:paraId="1469A91B">
        <w:tblPrEx>
          <w:tblCellMar>
            <w:top w:w="0" w:type="dxa"/>
            <w:left w:w="0" w:type="dxa"/>
            <w:bottom w:w="0" w:type="dxa"/>
            <w:right w:w="0" w:type="dxa"/>
          </w:tblCellMar>
        </w:tblPrEx>
        <w:trPr>
          <w:trHeight w:val="432"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B4445BC">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1.3.2</w:t>
            </w:r>
          </w:p>
        </w:tc>
        <w:tc>
          <w:tcPr>
            <w:tcW w:w="2009" w:type="dxa"/>
            <w:tcBorders>
              <w:top w:val="single" w:color="auto" w:sz="8" w:space="0"/>
              <w:left w:val="nil"/>
              <w:bottom w:val="single" w:color="auto" w:sz="8" w:space="0"/>
              <w:right w:val="single" w:color="auto" w:sz="8" w:space="0"/>
            </w:tcBorders>
            <w:noWrap w:val="0"/>
            <w:vAlign w:val="center"/>
          </w:tcPr>
          <w:p w14:paraId="2AE9FD1B">
            <w:pPr>
              <w:spacing w:line="380" w:lineRule="exact"/>
              <w:rPr>
                <w:rFonts w:hint="eastAsia" w:ascii="宋体" w:hAnsi="宋体" w:eastAsia="宋体" w:cs="宋体"/>
                <w:b/>
                <w:color w:val="auto"/>
                <w:kern w:val="2"/>
                <w:sz w:val="24"/>
                <w:szCs w:val="24"/>
                <w:highlight w:val="none"/>
              </w:rPr>
            </w:pPr>
            <w:r>
              <w:rPr>
                <w:rFonts w:hint="eastAsia" w:ascii="宋体" w:hAnsi="宋体" w:eastAsia="宋体" w:cs="宋体"/>
                <w:b/>
                <w:color w:val="auto"/>
                <w:kern w:val="2"/>
                <w:sz w:val="24"/>
                <w:szCs w:val="24"/>
                <w:highlight w:val="none"/>
              </w:rPr>
              <w:t>交货期、质保期</w:t>
            </w:r>
          </w:p>
        </w:tc>
        <w:tc>
          <w:tcPr>
            <w:tcW w:w="6826" w:type="dxa"/>
            <w:tcBorders>
              <w:top w:val="single" w:color="auto" w:sz="8" w:space="0"/>
              <w:left w:val="nil"/>
              <w:bottom w:val="single" w:color="auto" w:sz="8" w:space="0"/>
              <w:right w:val="single" w:color="auto" w:sz="8" w:space="0"/>
            </w:tcBorders>
            <w:noWrap w:val="0"/>
            <w:vAlign w:val="top"/>
          </w:tcPr>
          <w:p w14:paraId="46F2542D">
            <w:pPr>
              <w:spacing w:line="380" w:lineRule="exact"/>
              <w:jc w:val="both"/>
              <w:rPr>
                <w:rFonts w:hint="eastAsia" w:ascii="宋体" w:hAnsi="宋体" w:eastAsia="宋体" w:cs="宋体"/>
                <w:b/>
                <w:color w:val="auto"/>
                <w:kern w:val="2"/>
                <w:sz w:val="24"/>
                <w:szCs w:val="24"/>
                <w:highlight w:val="none"/>
                <w:lang w:eastAsia="zh-CN"/>
              </w:rPr>
            </w:pPr>
            <w:r>
              <w:rPr>
                <w:rFonts w:hint="eastAsia" w:ascii="宋体" w:hAnsi="宋体" w:eastAsia="宋体" w:cs="宋体"/>
                <w:b/>
                <w:color w:val="auto"/>
                <w:kern w:val="2"/>
                <w:sz w:val="24"/>
                <w:szCs w:val="24"/>
                <w:highlight w:val="none"/>
              </w:rPr>
              <w:t>交货期：</w:t>
            </w:r>
            <w:r>
              <w:rPr>
                <w:rFonts w:hint="eastAsia" w:ascii="宋体" w:hAnsi="宋体" w:cs="宋体"/>
                <w:b/>
                <w:color w:val="auto"/>
                <w:kern w:val="2"/>
                <w:sz w:val="24"/>
                <w:szCs w:val="24"/>
                <w:highlight w:val="none"/>
                <w:lang w:eastAsia="zh-CN"/>
              </w:rPr>
              <w:t>交货期不超过30个工作日</w:t>
            </w:r>
          </w:p>
          <w:p w14:paraId="31E8C3A2">
            <w:pPr>
              <w:spacing w:line="380" w:lineRule="exact"/>
              <w:jc w:val="both"/>
              <w:rPr>
                <w:rFonts w:hint="eastAsia" w:ascii="宋体" w:hAnsi="宋体" w:eastAsia="宋体" w:cs="宋体"/>
                <w:b/>
                <w:color w:val="auto"/>
                <w:kern w:val="2"/>
                <w:sz w:val="24"/>
                <w:szCs w:val="24"/>
                <w:highlight w:val="none"/>
                <w:lang w:eastAsia="zh-CN"/>
              </w:rPr>
            </w:pPr>
            <w:r>
              <w:rPr>
                <w:rFonts w:hint="eastAsia" w:ascii="宋体" w:hAnsi="宋体" w:eastAsia="宋体" w:cs="宋体"/>
                <w:b/>
                <w:color w:val="auto"/>
                <w:kern w:val="2"/>
                <w:sz w:val="24"/>
                <w:szCs w:val="24"/>
                <w:highlight w:val="none"/>
              </w:rPr>
              <w:t>质保期：主机及电子上、下消化道治疗镜质保≥5年，超声小探头(超声内镜下用于观察组织层次结构)质保≥</w:t>
            </w:r>
            <w:r>
              <w:rPr>
                <w:rFonts w:hint="eastAsia" w:ascii="宋体" w:hAnsi="宋体" w:cs="宋体"/>
                <w:b/>
                <w:color w:val="auto"/>
                <w:kern w:val="2"/>
                <w:sz w:val="24"/>
                <w:szCs w:val="24"/>
                <w:highlight w:val="none"/>
                <w:lang w:val="en-US" w:eastAsia="zh-CN"/>
              </w:rPr>
              <w:t>1</w:t>
            </w:r>
            <w:r>
              <w:rPr>
                <w:rFonts w:hint="eastAsia" w:ascii="宋体" w:hAnsi="宋体" w:eastAsia="宋体" w:cs="宋体"/>
                <w:b/>
                <w:color w:val="auto"/>
                <w:kern w:val="2"/>
                <w:sz w:val="24"/>
                <w:szCs w:val="24"/>
                <w:highlight w:val="none"/>
              </w:rPr>
              <w:t>年</w:t>
            </w:r>
            <w:r>
              <w:rPr>
                <w:rFonts w:hint="eastAsia" w:ascii="宋体" w:hAnsi="宋体" w:cs="宋体"/>
                <w:b/>
                <w:color w:val="auto"/>
                <w:kern w:val="2"/>
                <w:sz w:val="24"/>
                <w:szCs w:val="24"/>
                <w:highlight w:val="none"/>
                <w:lang w:val="en-US" w:eastAsia="zh-CN"/>
              </w:rPr>
              <w:t>或使用频次</w:t>
            </w:r>
            <w:r>
              <w:rPr>
                <w:rFonts w:hint="eastAsia" w:ascii="宋体" w:hAnsi="宋体" w:eastAsia="宋体" w:cs="宋体"/>
                <w:b/>
                <w:color w:val="auto"/>
                <w:kern w:val="2"/>
                <w:sz w:val="24"/>
                <w:szCs w:val="24"/>
                <w:highlight w:val="none"/>
              </w:rPr>
              <w:t>≥</w:t>
            </w:r>
            <w:r>
              <w:rPr>
                <w:rFonts w:hint="eastAsia" w:ascii="宋体" w:hAnsi="宋体" w:cs="宋体"/>
                <w:b/>
                <w:color w:val="auto"/>
                <w:kern w:val="2"/>
                <w:sz w:val="24"/>
                <w:szCs w:val="24"/>
                <w:highlight w:val="none"/>
                <w:lang w:val="en-US" w:eastAsia="zh-CN"/>
              </w:rPr>
              <w:t>100次</w:t>
            </w:r>
          </w:p>
        </w:tc>
      </w:tr>
      <w:tr w14:paraId="409141EA">
        <w:tblPrEx>
          <w:tblCellMar>
            <w:top w:w="0" w:type="dxa"/>
            <w:left w:w="0" w:type="dxa"/>
            <w:bottom w:w="0" w:type="dxa"/>
            <w:right w:w="0" w:type="dxa"/>
          </w:tblCellMar>
        </w:tblPrEx>
        <w:trPr>
          <w:trHeight w:val="1081"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41EE2CB">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1.3.3</w:t>
            </w:r>
          </w:p>
        </w:tc>
        <w:tc>
          <w:tcPr>
            <w:tcW w:w="2009" w:type="dxa"/>
            <w:tcBorders>
              <w:top w:val="single" w:color="auto" w:sz="8" w:space="0"/>
              <w:left w:val="nil"/>
              <w:bottom w:val="single" w:color="auto" w:sz="8" w:space="0"/>
              <w:right w:val="single" w:color="auto" w:sz="8" w:space="0"/>
            </w:tcBorders>
            <w:noWrap w:val="0"/>
            <w:vAlign w:val="center"/>
          </w:tcPr>
          <w:p w14:paraId="38D67F24">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交货地点、交货方式</w:t>
            </w:r>
          </w:p>
        </w:tc>
        <w:tc>
          <w:tcPr>
            <w:tcW w:w="6826" w:type="dxa"/>
            <w:tcBorders>
              <w:top w:val="single" w:color="auto" w:sz="8" w:space="0"/>
              <w:left w:val="nil"/>
              <w:bottom w:val="single" w:color="auto" w:sz="8" w:space="0"/>
              <w:right w:val="single" w:color="auto" w:sz="8" w:space="0"/>
            </w:tcBorders>
            <w:noWrap w:val="0"/>
            <w:vAlign w:val="bottom"/>
          </w:tcPr>
          <w:p w14:paraId="0B50CD5C">
            <w:pPr>
              <w:spacing w:line="38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交货地点：</w:t>
            </w:r>
            <w:r>
              <w:rPr>
                <w:rFonts w:hint="eastAsia" w:ascii="宋体" w:hAnsi="宋体" w:cs="宋体"/>
                <w:color w:val="auto"/>
                <w:sz w:val="24"/>
                <w:szCs w:val="24"/>
                <w:highlight w:val="none"/>
                <w:u w:val="single"/>
                <w:lang w:eastAsia="zh-CN"/>
              </w:rPr>
              <w:t>昆明医科大学第二附属医院指定地点</w:t>
            </w:r>
          </w:p>
          <w:p w14:paraId="3FA27AA1">
            <w:pPr>
              <w:pStyle w:val="13"/>
              <w:rPr>
                <w:rFonts w:hint="eastAsia" w:ascii="宋体" w:hAnsi="宋体" w:cs="宋体"/>
                <w:color w:val="auto"/>
                <w:sz w:val="24"/>
                <w:highlight w:val="none"/>
                <w:u w:val="single"/>
              </w:rPr>
            </w:pPr>
            <w:r>
              <w:rPr>
                <w:rFonts w:hint="eastAsia" w:ascii="宋体" w:hAnsi="宋体" w:cs="宋体"/>
                <w:color w:val="auto"/>
                <w:sz w:val="24"/>
                <w:highlight w:val="none"/>
              </w:rPr>
              <w:t>交货方式：</w:t>
            </w:r>
            <w:r>
              <w:rPr>
                <w:rFonts w:hint="eastAsia" w:ascii="宋体" w:hAnsi="宋体" w:cs="宋体"/>
                <w:color w:val="auto"/>
                <w:sz w:val="24"/>
                <w:highlight w:val="none"/>
                <w:u w:val="single"/>
              </w:rPr>
              <w:t>现场交货安装验收完成</w:t>
            </w:r>
          </w:p>
        </w:tc>
      </w:tr>
      <w:tr w14:paraId="4C61936A">
        <w:tblPrEx>
          <w:tblCellMar>
            <w:top w:w="0" w:type="dxa"/>
            <w:left w:w="0" w:type="dxa"/>
            <w:bottom w:w="0" w:type="dxa"/>
            <w:right w:w="0" w:type="dxa"/>
          </w:tblCellMar>
        </w:tblPrEx>
        <w:trPr>
          <w:trHeight w:val="90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1CF1AA9">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1.4.1</w:t>
            </w:r>
          </w:p>
        </w:tc>
        <w:tc>
          <w:tcPr>
            <w:tcW w:w="2009" w:type="dxa"/>
            <w:tcBorders>
              <w:top w:val="single" w:color="auto" w:sz="8" w:space="0"/>
              <w:left w:val="nil"/>
              <w:bottom w:val="single" w:color="auto" w:sz="8" w:space="0"/>
              <w:right w:val="single" w:color="auto" w:sz="8" w:space="0"/>
            </w:tcBorders>
            <w:noWrap w:val="0"/>
            <w:vAlign w:val="center"/>
          </w:tcPr>
          <w:p w14:paraId="30F5307A">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投标人资格要求</w:t>
            </w:r>
          </w:p>
        </w:tc>
        <w:tc>
          <w:tcPr>
            <w:tcW w:w="6826" w:type="dxa"/>
            <w:tcBorders>
              <w:top w:val="single" w:color="auto" w:sz="8" w:space="0"/>
              <w:left w:val="nil"/>
              <w:bottom w:val="single" w:color="auto" w:sz="8" w:space="0"/>
              <w:right w:val="single" w:color="auto" w:sz="8" w:space="0"/>
            </w:tcBorders>
            <w:noWrap w:val="0"/>
            <w:vAlign w:val="center"/>
          </w:tcPr>
          <w:p w14:paraId="458744B8">
            <w:pPr>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详见“第一章 招标公告</w:t>
            </w:r>
            <w:r>
              <w:rPr>
                <w:rFonts w:hint="eastAsia" w:ascii="宋体" w:hAnsi="宋体" w:eastAsia="宋体" w:cs="宋体"/>
                <w:bCs/>
                <w:color w:val="auto"/>
                <w:sz w:val="24"/>
                <w:szCs w:val="24"/>
                <w:highlight w:val="none"/>
              </w:rPr>
              <w:t>二、</w:t>
            </w:r>
            <w:r>
              <w:rPr>
                <w:rFonts w:hint="eastAsia" w:ascii="宋体" w:hAnsi="宋体" w:eastAsia="宋体" w:cs="宋体"/>
                <w:bCs/>
                <w:color w:val="auto"/>
                <w:sz w:val="24"/>
                <w:szCs w:val="24"/>
                <w:highlight w:val="none"/>
                <w:lang w:eastAsia="zh-CN"/>
              </w:rPr>
              <w:t>申请人的资格要求</w:t>
            </w:r>
            <w:r>
              <w:rPr>
                <w:rFonts w:hint="eastAsia" w:ascii="宋体" w:hAnsi="宋体" w:eastAsia="宋体" w:cs="宋体"/>
                <w:color w:val="auto"/>
                <w:sz w:val="24"/>
                <w:szCs w:val="24"/>
                <w:highlight w:val="none"/>
              </w:rPr>
              <w:t>”</w:t>
            </w:r>
          </w:p>
        </w:tc>
      </w:tr>
      <w:tr w14:paraId="49AFC27F">
        <w:tblPrEx>
          <w:tblCellMar>
            <w:top w:w="0" w:type="dxa"/>
            <w:left w:w="0" w:type="dxa"/>
            <w:bottom w:w="0" w:type="dxa"/>
            <w:right w:w="0" w:type="dxa"/>
          </w:tblCellMar>
        </w:tblPrEx>
        <w:trPr>
          <w:trHeight w:val="61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6787919">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1.4.2</w:t>
            </w:r>
          </w:p>
        </w:tc>
        <w:tc>
          <w:tcPr>
            <w:tcW w:w="2009" w:type="dxa"/>
            <w:tcBorders>
              <w:top w:val="single" w:color="auto" w:sz="8" w:space="0"/>
              <w:left w:val="nil"/>
              <w:bottom w:val="single" w:color="auto" w:sz="8" w:space="0"/>
              <w:right w:val="single" w:color="auto" w:sz="8" w:space="0"/>
            </w:tcBorders>
            <w:noWrap w:val="0"/>
            <w:vAlign w:val="center"/>
          </w:tcPr>
          <w:p w14:paraId="0CA5DD94">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是否接受联合体投标</w:t>
            </w:r>
          </w:p>
        </w:tc>
        <w:tc>
          <w:tcPr>
            <w:tcW w:w="6826" w:type="dxa"/>
            <w:tcBorders>
              <w:top w:val="single" w:color="auto" w:sz="8" w:space="0"/>
              <w:left w:val="nil"/>
              <w:bottom w:val="single" w:color="auto" w:sz="8" w:space="0"/>
              <w:right w:val="single" w:color="auto" w:sz="8" w:space="0"/>
            </w:tcBorders>
            <w:noWrap w:val="0"/>
            <w:vAlign w:val="bottom"/>
          </w:tcPr>
          <w:p w14:paraId="16CA4035">
            <w:pPr>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☑不接受</w:t>
            </w:r>
          </w:p>
          <w:p w14:paraId="6A8726C1">
            <w:pPr>
              <w:spacing w:line="360" w:lineRule="auto"/>
              <w:rPr>
                <w:rFonts w:hint="eastAsia" w:ascii="宋体" w:hAnsi="宋体" w:eastAsia="宋体" w:cs="宋体"/>
                <w:color w:val="auto"/>
                <w:highlight w:val="none"/>
              </w:rPr>
            </w:pPr>
            <w:r>
              <w:rPr>
                <w:rFonts w:hint="eastAsia" w:ascii="宋体" w:hAnsi="宋体" w:eastAsia="宋体" w:cs="宋体"/>
                <w:color w:val="auto"/>
                <w:sz w:val="24"/>
                <w:szCs w:val="24"/>
                <w:highlight w:val="none"/>
              </w:rPr>
              <w:t>□接受</w:t>
            </w:r>
          </w:p>
        </w:tc>
      </w:tr>
      <w:tr w14:paraId="5E00544A">
        <w:tblPrEx>
          <w:tblCellMar>
            <w:top w:w="0" w:type="dxa"/>
            <w:left w:w="0" w:type="dxa"/>
            <w:bottom w:w="0" w:type="dxa"/>
            <w:right w:w="0" w:type="dxa"/>
          </w:tblCellMar>
        </w:tblPrEx>
        <w:trPr>
          <w:trHeight w:val="88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76347AD">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1.9</w:t>
            </w:r>
          </w:p>
        </w:tc>
        <w:tc>
          <w:tcPr>
            <w:tcW w:w="2009" w:type="dxa"/>
            <w:tcBorders>
              <w:top w:val="single" w:color="auto" w:sz="8" w:space="0"/>
              <w:left w:val="nil"/>
              <w:bottom w:val="single" w:color="auto" w:sz="8" w:space="0"/>
              <w:right w:val="single" w:color="auto" w:sz="8" w:space="0"/>
            </w:tcBorders>
            <w:noWrap w:val="0"/>
            <w:vAlign w:val="center"/>
          </w:tcPr>
          <w:p w14:paraId="3891E997">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现场考察</w:t>
            </w:r>
          </w:p>
        </w:tc>
        <w:tc>
          <w:tcPr>
            <w:tcW w:w="6826" w:type="dxa"/>
            <w:tcBorders>
              <w:top w:val="single" w:color="auto" w:sz="8" w:space="0"/>
              <w:left w:val="nil"/>
              <w:bottom w:val="single" w:color="auto" w:sz="8" w:space="0"/>
              <w:right w:val="single" w:color="auto" w:sz="8" w:space="0"/>
            </w:tcBorders>
            <w:noWrap w:val="0"/>
            <w:vAlign w:val="center"/>
          </w:tcPr>
          <w:p w14:paraId="1A66BBAF">
            <w:pPr>
              <w:pStyle w:val="12"/>
              <w:topLinePunct/>
              <w:spacing w:line="380" w:lineRule="exact"/>
              <w:rPr>
                <w:rFonts w:hint="eastAsia" w:hAnsi="宋体" w:cs="宋体"/>
                <w:color w:val="auto"/>
                <w:kern w:val="2"/>
                <w:highlight w:val="none"/>
              </w:rPr>
            </w:pPr>
            <w:r>
              <w:rPr>
                <w:rFonts w:hint="eastAsia" w:hAnsi="宋体" w:cs="宋体"/>
                <w:color w:val="auto"/>
                <w:kern w:val="2"/>
                <w:highlight w:val="none"/>
              </w:rPr>
              <w:t>☑不组织</w:t>
            </w:r>
          </w:p>
          <w:p w14:paraId="496D1DEC">
            <w:pPr>
              <w:spacing w:line="380" w:lineRule="exact"/>
              <w:ind w:left="991" w:hanging="991" w:hangingChars="413"/>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□组织</w:t>
            </w:r>
          </w:p>
        </w:tc>
      </w:tr>
      <w:tr w14:paraId="1B7A15B8">
        <w:tblPrEx>
          <w:tblCellMar>
            <w:top w:w="0" w:type="dxa"/>
            <w:left w:w="0" w:type="dxa"/>
            <w:bottom w:w="0" w:type="dxa"/>
            <w:right w:w="0" w:type="dxa"/>
          </w:tblCellMar>
        </w:tblPrEx>
        <w:trPr>
          <w:trHeight w:val="52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EDB9052">
            <w:pPr>
              <w:spacing w:line="380" w:lineRule="exact"/>
              <w:jc w:val="center"/>
              <w:rPr>
                <w:rFonts w:hint="eastAsia" w:ascii="宋体" w:hAnsi="宋体" w:eastAsia="宋体" w:cs="宋体"/>
                <w:color w:val="auto"/>
                <w:kern w:val="2"/>
                <w:sz w:val="24"/>
                <w:szCs w:val="24"/>
                <w:highlight w:val="none"/>
              </w:rPr>
            </w:pPr>
            <w:bookmarkStart w:id="87" w:name="page17"/>
            <w:bookmarkEnd w:id="87"/>
            <w:r>
              <w:rPr>
                <w:rFonts w:hint="eastAsia" w:ascii="宋体" w:hAnsi="宋体" w:eastAsia="宋体" w:cs="宋体"/>
                <w:color w:val="auto"/>
                <w:kern w:val="2"/>
                <w:sz w:val="24"/>
                <w:szCs w:val="24"/>
                <w:highlight w:val="none"/>
              </w:rPr>
              <w:t>2.2.3</w:t>
            </w:r>
          </w:p>
        </w:tc>
        <w:tc>
          <w:tcPr>
            <w:tcW w:w="2009" w:type="dxa"/>
            <w:tcBorders>
              <w:top w:val="single" w:color="auto" w:sz="8" w:space="0"/>
              <w:left w:val="nil"/>
              <w:bottom w:val="single" w:color="auto" w:sz="8" w:space="0"/>
              <w:right w:val="single" w:color="auto" w:sz="8" w:space="0"/>
            </w:tcBorders>
            <w:noWrap w:val="0"/>
            <w:vAlign w:val="center"/>
          </w:tcPr>
          <w:p w14:paraId="1405695A">
            <w:pPr>
              <w:pStyle w:val="59"/>
              <w:spacing w:line="360" w:lineRule="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招标文件澄清或者修改发出的形式</w:t>
            </w:r>
          </w:p>
        </w:tc>
        <w:tc>
          <w:tcPr>
            <w:tcW w:w="6826" w:type="dxa"/>
            <w:tcBorders>
              <w:top w:val="single" w:color="auto" w:sz="8" w:space="0"/>
              <w:left w:val="nil"/>
              <w:bottom w:val="single" w:color="auto" w:sz="8" w:space="0"/>
              <w:right w:val="single" w:color="auto" w:sz="8" w:space="0"/>
            </w:tcBorders>
            <w:noWrap w:val="0"/>
            <w:vAlign w:val="center"/>
          </w:tcPr>
          <w:p w14:paraId="17385024">
            <w:pPr>
              <w:pStyle w:val="59"/>
              <w:spacing w:line="360" w:lineRule="auto"/>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在原公告发布媒体上发布更正公告</w:t>
            </w:r>
          </w:p>
        </w:tc>
      </w:tr>
      <w:tr w14:paraId="303BD4DC">
        <w:tblPrEx>
          <w:tblCellMar>
            <w:top w:w="0" w:type="dxa"/>
            <w:left w:w="0" w:type="dxa"/>
            <w:bottom w:w="0" w:type="dxa"/>
            <w:right w:w="0" w:type="dxa"/>
          </w:tblCellMar>
        </w:tblPrEx>
        <w:trPr>
          <w:trHeight w:val="8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C03BC90">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3.2.3</w:t>
            </w:r>
          </w:p>
        </w:tc>
        <w:tc>
          <w:tcPr>
            <w:tcW w:w="2009" w:type="dxa"/>
            <w:tcBorders>
              <w:top w:val="single" w:color="auto" w:sz="8" w:space="0"/>
              <w:left w:val="nil"/>
              <w:bottom w:val="single" w:color="auto" w:sz="8" w:space="0"/>
              <w:right w:val="single" w:color="auto" w:sz="8" w:space="0"/>
            </w:tcBorders>
            <w:noWrap w:val="0"/>
            <w:vAlign w:val="center"/>
          </w:tcPr>
          <w:p w14:paraId="2091ACC5">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最高限价</w:t>
            </w:r>
          </w:p>
        </w:tc>
        <w:tc>
          <w:tcPr>
            <w:tcW w:w="6826" w:type="dxa"/>
            <w:tcBorders>
              <w:top w:val="single" w:color="auto" w:sz="8" w:space="0"/>
              <w:left w:val="nil"/>
              <w:bottom w:val="single" w:color="auto" w:sz="8" w:space="0"/>
              <w:right w:val="single" w:color="auto" w:sz="8" w:space="0"/>
            </w:tcBorders>
            <w:noWrap w:val="0"/>
            <w:vAlign w:val="center"/>
          </w:tcPr>
          <w:p w14:paraId="2FFBB646">
            <w:pPr>
              <w:pStyle w:val="59"/>
              <w:spacing w:line="380" w:lineRule="exact"/>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□无</w:t>
            </w:r>
          </w:p>
          <w:p w14:paraId="4BC558B7">
            <w:pPr>
              <w:pStyle w:val="59"/>
              <w:spacing w:line="380" w:lineRule="exact"/>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☑有，最高限价：详见第一章“招标公告”</w:t>
            </w:r>
          </w:p>
        </w:tc>
      </w:tr>
      <w:tr w14:paraId="44152297">
        <w:tblPrEx>
          <w:tblCellMar>
            <w:top w:w="0" w:type="dxa"/>
            <w:left w:w="0" w:type="dxa"/>
            <w:bottom w:w="0" w:type="dxa"/>
            <w:right w:w="0" w:type="dxa"/>
          </w:tblCellMar>
        </w:tblPrEx>
        <w:trPr>
          <w:trHeight w:val="49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CEDFE98">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3.2.4</w:t>
            </w:r>
          </w:p>
        </w:tc>
        <w:tc>
          <w:tcPr>
            <w:tcW w:w="2009" w:type="dxa"/>
            <w:tcBorders>
              <w:top w:val="single" w:color="auto" w:sz="8" w:space="0"/>
              <w:left w:val="nil"/>
              <w:bottom w:val="single" w:color="auto" w:sz="8" w:space="0"/>
              <w:right w:val="single" w:color="auto" w:sz="8" w:space="0"/>
            </w:tcBorders>
            <w:noWrap w:val="0"/>
            <w:vAlign w:val="center"/>
          </w:tcPr>
          <w:p w14:paraId="226C1DB2">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投标报价的其他要求</w:t>
            </w:r>
          </w:p>
        </w:tc>
        <w:tc>
          <w:tcPr>
            <w:tcW w:w="6826" w:type="dxa"/>
            <w:tcBorders>
              <w:top w:val="single" w:color="auto" w:sz="8" w:space="0"/>
              <w:left w:val="nil"/>
              <w:bottom w:val="single" w:color="auto" w:sz="8" w:space="0"/>
              <w:right w:val="single" w:color="auto" w:sz="8" w:space="0"/>
            </w:tcBorders>
            <w:noWrap w:val="0"/>
            <w:vAlign w:val="center"/>
          </w:tcPr>
          <w:p w14:paraId="59B27EAF">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(1)本次投标报价为综合报价，报价应为人民币含税价（元），包含但不限于设备（含选购件）价款、安装、运输、保险、调试、培训、质保、税金</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接口费、软件升级</w:t>
            </w:r>
            <w:r>
              <w:rPr>
                <w:rFonts w:hint="eastAsia" w:ascii="宋体" w:hAnsi="宋体" w:eastAsia="宋体" w:cs="宋体"/>
                <w:color w:val="auto"/>
                <w:sz w:val="24"/>
                <w:szCs w:val="24"/>
                <w:highlight w:val="none"/>
              </w:rPr>
              <w:t>等全部费用。</w:t>
            </w:r>
          </w:p>
          <w:p w14:paraId="0DD9764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(2)投标人应承担所有与参加投标有关的自身的所有费用，不论采购的结果如何，采购代理机构和采购人在任何情况下均无义务和责任承担这些费用。</w:t>
            </w:r>
          </w:p>
          <w:p w14:paraId="539BD029">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(3)中标服</w:t>
            </w:r>
            <w:r>
              <w:rPr>
                <w:rFonts w:hint="eastAsia" w:ascii="宋体" w:hAnsi="宋体" w:eastAsia="宋体" w:cs="宋体"/>
                <w:color w:val="auto"/>
                <w:kern w:val="2"/>
                <w:sz w:val="24"/>
                <w:szCs w:val="24"/>
                <w:highlight w:val="none"/>
              </w:rPr>
              <w:t>务费：以本项目中标价为计费基数，按照下表中货物类收费标准计算后下浮30%，由中标人向云南元大工程咨询有限责任公司交纳。见下表</w:t>
            </w:r>
          </w:p>
          <w:p w14:paraId="31C6CB68">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招标代理服务收费标准</w:t>
            </w:r>
          </w:p>
          <w:tbl>
            <w:tblPr>
              <w:tblStyle w:val="37"/>
              <w:tblW w:w="6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1279"/>
              <w:gridCol w:w="1346"/>
              <w:gridCol w:w="1125"/>
            </w:tblGrid>
            <w:tr w14:paraId="12FE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2883" w:type="dxa"/>
                  <w:noWrap w:val="0"/>
                  <w:vAlign w:val="top"/>
                </w:tcPr>
                <w:p w14:paraId="5182B9E3">
                  <w:pPr>
                    <w:ind w:firstLine="1205" w:firstLineChars="5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250190</wp:posOffset>
                            </wp:positionH>
                            <wp:positionV relativeFrom="paragraph">
                              <wp:posOffset>635</wp:posOffset>
                            </wp:positionV>
                            <wp:extent cx="1510665" cy="1209675"/>
                            <wp:effectExtent l="3175" t="3810" r="10160" b="5715"/>
                            <wp:wrapNone/>
                            <wp:docPr id="2" name="直接连接符 4"/>
                            <wp:cNvGraphicFramePr/>
                            <a:graphic xmlns:a="http://schemas.openxmlformats.org/drawingml/2006/main">
                              <a:graphicData uri="http://schemas.microsoft.com/office/word/2010/wordprocessingShape">
                                <wps:wsp>
                                  <wps:cNvCnPr/>
                                  <wps:spPr>
                                    <a:xfrm>
                                      <a:off x="0" y="0"/>
                                      <a:ext cx="1510665" cy="12096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连接符 4" o:spid="_x0000_s1026" o:spt="32" type="#_x0000_t32" style="position:absolute;left:0pt;margin-left:19.7pt;margin-top:0.05pt;height:95.25pt;width:118.95pt;z-index:251661312;mso-width-relative:page;mso-height-relative:page;" filled="f" stroked="t" coordsize="21600,21600" o:gfxdata="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uqCRnVAAAABwEAAA8AAAAAAAAAAQAgAAAAIgAAAGRycy9kb3ducmV2LnhtbFBL&#10;AQIUABQAAAAIAIdO4kAin4VX+QEAAOwDAAAOAAAAAAAAAAEAIAAAACQBAABkcnMvZTJvRG9jLnht&#10;bFBLBQYAAAAABgAGAFkBAACPBQAAAAA=&#10;">
                            <v:fill on="f" focussize="0,0"/>
                            <v:stroke color="#000000" joinstyle="round"/>
                            <v:imagedata o:title=""/>
                            <o:lock v:ext="edit" aspectratio="f"/>
                          </v:shape>
                        </w:pict>
                      </mc:Fallback>
                    </mc:AlternateContent>
                  </w:r>
                  <w:r>
                    <w:rPr>
                      <w:rFonts w:hint="eastAsia" w:ascii="宋体" w:hAnsi="宋体" w:eastAsia="宋体" w:cs="宋体"/>
                      <w:b/>
                      <w:bCs/>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-6350</wp:posOffset>
                            </wp:positionV>
                            <wp:extent cx="635" cy="0"/>
                            <wp:effectExtent l="0" t="4445" r="0" b="5080"/>
                            <wp:wrapNone/>
                            <wp:docPr id="6" name="直接连接符 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pt;margin-top:-0.5pt;height:0pt;width:0.05pt;z-index:251659264;mso-width-relative:page;mso-height-relative:page;" filled="f" stroked="t" coordsize="21600,21600"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uR&#10;037VAAAACQEAAA8AAAAAAAAAAQAgAAAAIgAAAGRycy9kb3ducmV2LnhtbFBLAQIUABQAAAAIAIdO&#10;4kCu2b0a7QEAAOIDAAAOAAAAAAAAAAEAIAAAACQBAABkcnMvZTJvRG9jLnhtbFBLBQYAAAAABgAG&#10;AFkBAACDBQAAAAA=&#10;">
                            <v:fill on="f" focussize="0,0"/>
                            <v:stroke color="#000000" joinstyle="round"/>
                            <v:imagedata o:title=""/>
                            <o:lock v:ext="edit" aspectratio="f"/>
                          </v:line>
                        </w:pict>
                      </mc:Fallback>
                    </mc:AlternateContent>
                  </w:r>
                  <w:r>
                    <w:rPr>
                      <w:rFonts w:hint="eastAsia" w:ascii="宋体" w:hAnsi="宋体" w:eastAsia="宋体" w:cs="宋体"/>
                      <w:b/>
                      <w:bCs/>
                      <w:color w:val="auto"/>
                      <w:sz w:val="24"/>
                      <w:szCs w:val="24"/>
                      <w:highlight w:val="none"/>
                    </w:rPr>
                    <w:t>服</w:t>
                  </w:r>
                </w:p>
                <w:p w14:paraId="1FD5D937">
                  <w:pPr>
                    <w:ind w:firstLine="241" w:firstLineChars="1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费　　　　 务</w:t>
                  </w:r>
                </w:p>
                <w:p w14:paraId="217CD909">
                  <w:pPr>
                    <w:ind w:firstLine="1205" w:firstLineChars="5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74930</wp:posOffset>
                            </wp:positionV>
                            <wp:extent cx="1828165" cy="739140"/>
                            <wp:effectExtent l="1905" t="4445" r="17780" b="18415"/>
                            <wp:wrapNone/>
                            <wp:docPr id="1" name="直接连接符 14"/>
                            <wp:cNvGraphicFramePr/>
                            <a:graphic xmlns:a="http://schemas.openxmlformats.org/drawingml/2006/main">
                              <a:graphicData uri="http://schemas.microsoft.com/office/word/2010/wordprocessingShape">
                                <wps:wsp>
                                  <wps:cNvCnPr/>
                                  <wps:spPr>
                                    <a:xfrm>
                                      <a:off x="0" y="0"/>
                                      <a:ext cx="1828165" cy="7391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连接符 14" o:spid="_x0000_s1026" o:spt="32" type="#_x0000_t32" style="position:absolute;left:0pt;margin-left:-4.85pt;margin-top:5.9pt;height:58.2pt;width:143.95pt;z-index:251660288;mso-width-relative:page;mso-height-relative:page;" filled="f" stroked="t" coordsize="21600,21600" o:gfxdata="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oBt3NYAAAAJAQAADwAAAAAAAAABACAAAAAiAAAAZHJzL2Rvd25yZXYu&#10;eG1sUEsBAhQAFAAAAAgAh07iQFz9gZz9AQAA7AMAAA4AAAAAAAAAAQAgAAAAJQEAAGRycy9lMm9E&#10;b2MueG1sUEsFBgAAAAAGAAYAWQEAAJQFAAAAAA==&#10;">
                            <v:fill on="f" focussize="0,0"/>
                            <v:stroke color="#000000" joinstyle="round"/>
                            <v:imagedata o:title=""/>
                            <o:lock v:ext="edit" aspectratio="f"/>
                          </v:shape>
                        </w:pict>
                      </mc:Fallback>
                    </mc:AlternateContent>
                  </w:r>
                  <w:r>
                    <w:rPr>
                      <w:rFonts w:hint="eastAsia" w:ascii="宋体" w:hAnsi="宋体" w:eastAsia="宋体" w:cs="宋体"/>
                      <w:b/>
                      <w:bCs/>
                      <w:color w:val="auto"/>
                      <w:sz w:val="24"/>
                      <w:szCs w:val="24"/>
                      <w:highlight w:val="none"/>
                    </w:rPr>
                    <w:t>　　  类</w:t>
                  </w:r>
                </w:p>
                <w:p w14:paraId="0AAA050B">
                  <w:pPr>
                    <w:ind w:firstLine="1205" w:firstLineChars="5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率　　    型</w:t>
                  </w:r>
                </w:p>
                <w:p w14:paraId="551AF11F">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中标金额</w:t>
                  </w:r>
                </w:p>
                <w:p w14:paraId="7B095156">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（万元）</w:t>
                  </w:r>
                </w:p>
              </w:tc>
              <w:tc>
                <w:tcPr>
                  <w:tcW w:w="1279" w:type="dxa"/>
                  <w:noWrap w:val="0"/>
                  <w:vAlign w:val="center"/>
                </w:tcPr>
                <w:p w14:paraId="05787BC9">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货物招标</w:t>
                  </w:r>
                </w:p>
              </w:tc>
              <w:tc>
                <w:tcPr>
                  <w:tcW w:w="1346" w:type="dxa"/>
                  <w:noWrap w:val="0"/>
                  <w:vAlign w:val="center"/>
                </w:tcPr>
                <w:p w14:paraId="34AFB15D">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服务招标</w:t>
                  </w:r>
                </w:p>
              </w:tc>
              <w:tc>
                <w:tcPr>
                  <w:tcW w:w="1125" w:type="dxa"/>
                  <w:noWrap w:val="0"/>
                  <w:vAlign w:val="center"/>
                </w:tcPr>
                <w:p w14:paraId="0BEF1FFE">
                  <w:pPr>
                    <w:ind w:right="-149" w:rightChars="-71"/>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工程招标</w:t>
                  </w:r>
                </w:p>
              </w:tc>
            </w:tr>
            <w:tr w14:paraId="5D3D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14692080">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100以下</w:t>
                  </w:r>
                </w:p>
              </w:tc>
              <w:tc>
                <w:tcPr>
                  <w:tcW w:w="1279" w:type="dxa"/>
                  <w:noWrap w:val="0"/>
                  <w:vAlign w:val="top"/>
                </w:tcPr>
                <w:p w14:paraId="566318E7">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346" w:type="dxa"/>
                  <w:noWrap w:val="0"/>
                  <w:vAlign w:val="top"/>
                </w:tcPr>
                <w:p w14:paraId="3CBFBA80">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125" w:type="dxa"/>
                  <w:noWrap w:val="0"/>
                  <w:vAlign w:val="top"/>
                </w:tcPr>
                <w:p w14:paraId="068F3F59">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r>
            <w:tr w14:paraId="38B0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5B371C0D">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100-500</w:t>
                  </w:r>
                </w:p>
              </w:tc>
              <w:tc>
                <w:tcPr>
                  <w:tcW w:w="1279" w:type="dxa"/>
                  <w:noWrap w:val="0"/>
                  <w:vAlign w:val="top"/>
                </w:tcPr>
                <w:p w14:paraId="312B7888">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346" w:type="dxa"/>
                  <w:noWrap w:val="0"/>
                  <w:vAlign w:val="top"/>
                </w:tcPr>
                <w:p w14:paraId="16756276">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w:t>
                  </w:r>
                </w:p>
              </w:tc>
              <w:tc>
                <w:tcPr>
                  <w:tcW w:w="1125" w:type="dxa"/>
                  <w:noWrap w:val="0"/>
                  <w:vAlign w:val="top"/>
                </w:tcPr>
                <w:p w14:paraId="7B492E71">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0.7%</w:t>
                  </w:r>
                </w:p>
              </w:tc>
            </w:tr>
            <w:tr w14:paraId="0CD8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731F2F07">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500-1000</w:t>
                  </w:r>
                </w:p>
              </w:tc>
              <w:tc>
                <w:tcPr>
                  <w:tcW w:w="1279" w:type="dxa"/>
                  <w:noWrap w:val="0"/>
                  <w:vAlign w:val="top"/>
                </w:tcPr>
                <w:p w14:paraId="3C5B363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0.8%</w:t>
                  </w:r>
                </w:p>
              </w:tc>
              <w:tc>
                <w:tcPr>
                  <w:tcW w:w="1346" w:type="dxa"/>
                  <w:noWrap w:val="0"/>
                  <w:vAlign w:val="top"/>
                </w:tcPr>
                <w:p w14:paraId="507C4E14">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0.45%</w:t>
                  </w:r>
                </w:p>
              </w:tc>
              <w:tc>
                <w:tcPr>
                  <w:tcW w:w="1125" w:type="dxa"/>
                  <w:noWrap w:val="0"/>
                  <w:vAlign w:val="top"/>
                </w:tcPr>
                <w:p w14:paraId="44BB1F70">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0.55%</w:t>
                  </w:r>
                </w:p>
              </w:tc>
            </w:tr>
            <w:tr w14:paraId="57CE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4B0E2506">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1000-5000</w:t>
                  </w:r>
                </w:p>
              </w:tc>
              <w:tc>
                <w:tcPr>
                  <w:tcW w:w="1279" w:type="dxa"/>
                  <w:noWrap w:val="0"/>
                  <w:vAlign w:val="top"/>
                </w:tcPr>
                <w:p w14:paraId="67401F08">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0.5%</w:t>
                  </w:r>
                </w:p>
              </w:tc>
              <w:tc>
                <w:tcPr>
                  <w:tcW w:w="1346" w:type="dxa"/>
                  <w:noWrap w:val="0"/>
                  <w:vAlign w:val="top"/>
                </w:tcPr>
                <w:p w14:paraId="481FB391">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1125" w:type="dxa"/>
                  <w:noWrap w:val="0"/>
                  <w:vAlign w:val="top"/>
                </w:tcPr>
                <w:p w14:paraId="79282A26">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0.35%</w:t>
                  </w:r>
                </w:p>
              </w:tc>
            </w:tr>
            <w:tr w14:paraId="4DAA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68589606">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5000-10000</w:t>
                  </w:r>
                </w:p>
              </w:tc>
              <w:tc>
                <w:tcPr>
                  <w:tcW w:w="1279" w:type="dxa"/>
                  <w:noWrap w:val="0"/>
                  <w:vAlign w:val="top"/>
                </w:tcPr>
                <w:p w14:paraId="408842F8">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0.25%</w:t>
                  </w:r>
                </w:p>
              </w:tc>
              <w:tc>
                <w:tcPr>
                  <w:tcW w:w="1346" w:type="dxa"/>
                  <w:noWrap w:val="0"/>
                  <w:vAlign w:val="top"/>
                </w:tcPr>
                <w:p w14:paraId="559D37B1">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0.1%</w:t>
                  </w:r>
                </w:p>
              </w:tc>
              <w:tc>
                <w:tcPr>
                  <w:tcW w:w="1125" w:type="dxa"/>
                  <w:noWrap w:val="0"/>
                  <w:vAlign w:val="top"/>
                </w:tcPr>
                <w:p w14:paraId="27C8AD17">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0.2%</w:t>
                  </w:r>
                </w:p>
              </w:tc>
            </w:tr>
            <w:tr w14:paraId="0B49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0C489679">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10000-100000</w:t>
                  </w:r>
                </w:p>
              </w:tc>
              <w:tc>
                <w:tcPr>
                  <w:tcW w:w="1279" w:type="dxa"/>
                  <w:noWrap w:val="0"/>
                  <w:vAlign w:val="top"/>
                </w:tcPr>
                <w:p w14:paraId="6B3BB243">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1346" w:type="dxa"/>
                  <w:noWrap w:val="0"/>
                  <w:vAlign w:val="top"/>
                </w:tcPr>
                <w:p w14:paraId="79A7BB12">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c>
                <w:tcPr>
                  <w:tcW w:w="1125" w:type="dxa"/>
                  <w:noWrap w:val="0"/>
                  <w:vAlign w:val="top"/>
                </w:tcPr>
                <w:p w14:paraId="7E6ADBB5">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0.05%</w:t>
                  </w:r>
                </w:p>
              </w:tc>
            </w:tr>
            <w:tr w14:paraId="1846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noWrap w:val="0"/>
                  <w:vAlign w:val="top"/>
                </w:tcPr>
                <w:p w14:paraId="56509F89">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1000000以上</w:t>
                  </w:r>
                </w:p>
              </w:tc>
              <w:tc>
                <w:tcPr>
                  <w:tcW w:w="1279" w:type="dxa"/>
                  <w:noWrap w:val="0"/>
                  <w:vAlign w:val="top"/>
                </w:tcPr>
                <w:p w14:paraId="5F80A24C">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w:t>
                  </w:r>
                </w:p>
              </w:tc>
              <w:tc>
                <w:tcPr>
                  <w:tcW w:w="1346" w:type="dxa"/>
                  <w:noWrap w:val="0"/>
                  <w:vAlign w:val="top"/>
                </w:tcPr>
                <w:p w14:paraId="634FA97B">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w:t>
                  </w:r>
                </w:p>
              </w:tc>
              <w:tc>
                <w:tcPr>
                  <w:tcW w:w="1125" w:type="dxa"/>
                  <w:noWrap w:val="0"/>
                  <w:vAlign w:val="top"/>
                </w:tcPr>
                <w:p w14:paraId="430A78B3">
                  <w:pPr>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0.01%</w:t>
                  </w:r>
                </w:p>
              </w:tc>
            </w:tr>
          </w:tbl>
          <w:p w14:paraId="0141B7BC">
            <w:pPr>
              <w:rPr>
                <w:rFonts w:hint="eastAsia" w:ascii="宋体" w:hAnsi="宋体" w:eastAsia="宋体" w:cs="宋体"/>
                <w:color w:val="auto"/>
                <w:kern w:val="2"/>
                <w:sz w:val="24"/>
                <w:szCs w:val="24"/>
                <w:highlight w:val="none"/>
                <w:u w:val="single"/>
              </w:rPr>
            </w:pPr>
          </w:p>
          <w:p w14:paraId="350479D5">
            <w:pPr>
              <w:autoSpaceDE w:val="0"/>
              <w:autoSpaceDN w:val="0"/>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账户名称：云南元大工程咨询有限责任公司</w:t>
            </w:r>
          </w:p>
          <w:p w14:paraId="4165009F">
            <w:pPr>
              <w:autoSpaceDE w:val="0"/>
              <w:autoSpaceDN w:val="0"/>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开户银行：中国工商银行</w:t>
            </w:r>
            <w:r>
              <w:rPr>
                <w:rFonts w:hint="eastAsia" w:ascii="宋体" w:hAnsi="宋体" w:eastAsia="宋体" w:cs="宋体"/>
                <w:color w:val="auto"/>
                <w:kern w:val="2"/>
                <w:sz w:val="24"/>
                <w:szCs w:val="24"/>
                <w:highlight w:val="none"/>
                <w:lang w:val="en-US" w:eastAsia="zh-CN"/>
              </w:rPr>
              <w:t>股份有限公司</w:t>
            </w:r>
            <w:r>
              <w:rPr>
                <w:rFonts w:hint="eastAsia" w:ascii="宋体" w:hAnsi="宋体" w:eastAsia="宋体" w:cs="宋体"/>
                <w:color w:val="auto"/>
                <w:kern w:val="2"/>
                <w:sz w:val="24"/>
                <w:szCs w:val="24"/>
                <w:highlight w:val="none"/>
              </w:rPr>
              <w:t>昆明汇通支行</w:t>
            </w:r>
          </w:p>
          <w:p w14:paraId="7068E0BE">
            <w:pPr>
              <w:autoSpaceDE w:val="0"/>
              <w:autoSpaceDN w:val="0"/>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账    号：2502038009024579141</w:t>
            </w:r>
          </w:p>
          <w:p w14:paraId="713B7BF9">
            <w:pPr>
              <w:pStyle w:val="59"/>
              <w:spacing w:line="380" w:lineRule="exact"/>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财务电话：(0871)63338592</w:t>
            </w:r>
          </w:p>
        </w:tc>
      </w:tr>
      <w:tr w14:paraId="73D59F1C">
        <w:tblPrEx>
          <w:tblCellMar>
            <w:top w:w="0" w:type="dxa"/>
            <w:left w:w="0" w:type="dxa"/>
            <w:bottom w:w="0" w:type="dxa"/>
            <w:right w:w="0" w:type="dxa"/>
          </w:tblCellMar>
        </w:tblPrEx>
        <w:trPr>
          <w:trHeight w:val="8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CF1DFED">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3.3.1</w:t>
            </w:r>
          </w:p>
        </w:tc>
        <w:tc>
          <w:tcPr>
            <w:tcW w:w="2009" w:type="dxa"/>
            <w:tcBorders>
              <w:top w:val="single" w:color="auto" w:sz="8" w:space="0"/>
              <w:left w:val="nil"/>
              <w:bottom w:val="single" w:color="auto" w:sz="8" w:space="0"/>
              <w:right w:val="single" w:color="auto" w:sz="8" w:space="0"/>
            </w:tcBorders>
            <w:noWrap w:val="0"/>
            <w:vAlign w:val="center"/>
          </w:tcPr>
          <w:p w14:paraId="0DD939B2">
            <w:pPr>
              <w:spacing w:line="38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投标有效期</w:t>
            </w:r>
          </w:p>
        </w:tc>
        <w:tc>
          <w:tcPr>
            <w:tcW w:w="6826" w:type="dxa"/>
            <w:tcBorders>
              <w:top w:val="single" w:color="auto" w:sz="8" w:space="0"/>
              <w:left w:val="nil"/>
              <w:bottom w:val="single" w:color="auto" w:sz="8" w:space="0"/>
              <w:right w:val="single" w:color="auto" w:sz="8" w:space="0"/>
            </w:tcBorders>
            <w:noWrap w:val="0"/>
            <w:vAlign w:val="center"/>
          </w:tcPr>
          <w:p w14:paraId="7AADD420">
            <w:pPr>
              <w:pStyle w:val="59"/>
              <w:spacing w:line="380" w:lineRule="exact"/>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投标有效期为</w:t>
            </w:r>
            <w:r>
              <w:rPr>
                <w:rFonts w:hint="eastAsia" w:ascii="宋体" w:hAnsi="宋体" w:cs="宋体"/>
                <w:color w:val="auto"/>
                <w:kern w:val="2"/>
                <w:sz w:val="24"/>
                <w:szCs w:val="24"/>
                <w:highlight w:val="none"/>
                <w:u w:val="single"/>
              </w:rPr>
              <w:t>90</w:t>
            </w:r>
            <w:r>
              <w:rPr>
                <w:rFonts w:hint="eastAsia" w:ascii="宋体" w:hAnsi="宋体" w:cs="宋体"/>
                <w:color w:val="auto"/>
                <w:kern w:val="2"/>
                <w:sz w:val="24"/>
                <w:szCs w:val="24"/>
                <w:highlight w:val="none"/>
              </w:rPr>
              <w:t>日历天</w:t>
            </w:r>
            <w:r>
              <w:rPr>
                <w:rFonts w:hint="eastAsia" w:ascii="宋体" w:hAnsi="宋体" w:cs="宋体"/>
                <w:color w:val="auto"/>
                <w:sz w:val="24"/>
                <w:szCs w:val="24"/>
                <w:highlight w:val="none"/>
              </w:rPr>
              <w:t>(从投标截止之日算起)</w:t>
            </w:r>
            <w:r>
              <w:rPr>
                <w:rFonts w:hint="eastAsia" w:ascii="宋体" w:hAnsi="宋体" w:cs="宋体"/>
                <w:color w:val="auto"/>
                <w:kern w:val="2"/>
                <w:sz w:val="24"/>
                <w:szCs w:val="24"/>
                <w:highlight w:val="none"/>
              </w:rPr>
              <w:t>。</w:t>
            </w:r>
          </w:p>
        </w:tc>
      </w:tr>
      <w:tr w14:paraId="1D3D1B0E">
        <w:tblPrEx>
          <w:tblCellMar>
            <w:top w:w="0" w:type="dxa"/>
            <w:left w:w="0" w:type="dxa"/>
            <w:bottom w:w="0" w:type="dxa"/>
            <w:right w:w="0" w:type="dxa"/>
          </w:tblCellMar>
        </w:tblPrEx>
        <w:trPr>
          <w:trHeight w:val="7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38EBEC3">
            <w:pPr>
              <w:spacing w:line="38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3.4.1</w:t>
            </w:r>
          </w:p>
        </w:tc>
        <w:tc>
          <w:tcPr>
            <w:tcW w:w="2009" w:type="dxa"/>
            <w:tcBorders>
              <w:top w:val="single" w:color="auto" w:sz="8" w:space="0"/>
              <w:left w:val="nil"/>
              <w:bottom w:val="single" w:color="auto" w:sz="8" w:space="0"/>
              <w:right w:val="single" w:color="auto" w:sz="8" w:space="0"/>
            </w:tcBorders>
            <w:noWrap w:val="0"/>
            <w:vAlign w:val="center"/>
          </w:tcPr>
          <w:p w14:paraId="18E1091F">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投标保证金</w:t>
            </w:r>
          </w:p>
        </w:tc>
        <w:tc>
          <w:tcPr>
            <w:tcW w:w="6826" w:type="dxa"/>
            <w:tcBorders>
              <w:top w:val="single" w:color="auto" w:sz="8" w:space="0"/>
              <w:left w:val="nil"/>
              <w:bottom w:val="single" w:color="auto" w:sz="8" w:space="0"/>
              <w:right w:val="single" w:color="auto" w:sz="8" w:space="0"/>
            </w:tcBorders>
            <w:noWrap w:val="0"/>
            <w:vAlign w:val="center"/>
          </w:tcPr>
          <w:p w14:paraId="527F8FF1">
            <w:pPr>
              <w:widowControl w:val="0"/>
              <w:spacing w:line="360" w:lineRule="auto"/>
              <w:rPr>
                <w:rFonts w:hint="eastAsia" w:ascii="宋体" w:hAnsi="宋体" w:eastAsia="宋体" w:cs="宋体"/>
                <w:color w:val="auto"/>
                <w:sz w:val="24"/>
                <w:szCs w:val="24"/>
                <w:highlight w:val="none"/>
                <w:u w:val="single"/>
              </w:rPr>
            </w:pPr>
            <w:r>
              <w:rPr>
                <w:rFonts w:hint="eastAsia" w:ascii="宋体" w:hAnsi="宋体" w:eastAsia="宋体" w:cs="宋体"/>
                <w:b/>
                <w:bCs/>
                <w:color w:val="auto"/>
                <w:kern w:val="2"/>
                <w:sz w:val="24"/>
                <w:szCs w:val="24"/>
                <w:highlight w:val="none"/>
              </w:rPr>
              <w:t>(1)投标保证金的金额：</w:t>
            </w:r>
            <w:r>
              <w:rPr>
                <w:rFonts w:hint="eastAsia" w:ascii="宋体" w:hAnsi="宋体" w:cs="宋体"/>
                <w:b/>
                <w:bCs/>
                <w:color w:val="auto"/>
                <w:kern w:val="2"/>
                <w:sz w:val="24"/>
                <w:szCs w:val="24"/>
                <w:highlight w:val="none"/>
                <w:lang w:val="en-US" w:eastAsia="zh-CN"/>
              </w:rPr>
              <w:t>200</w:t>
            </w:r>
            <w:r>
              <w:rPr>
                <w:rFonts w:hint="eastAsia" w:ascii="宋体" w:hAnsi="宋体" w:eastAsia="宋体" w:cs="宋体"/>
                <w:b/>
                <w:bCs/>
                <w:color w:val="auto"/>
                <w:kern w:val="2"/>
                <w:sz w:val="24"/>
                <w:szCs w:val="24"/>
                <w:highlight w:val="none"/>
              </w:rPr>
              <w:t>00</w:t>
            </w:r>
            <w:r>
              <w:rPr>
                <w:rFonts w:hint="eastAsia" w:ascii="宋体" w:hAnsi="宋体" w:cs="宋体"/>
                <w:b/>
                <w:bCs/>
                <w:color w:val="auto"/>
                <w:kern w:val="2"/>
                <w:sz w:val="24"/>
                <w:szCs w:val="24"/>
                <w:highlight w:val="none"/>
                <w:lang w:val="en-US" w:eastAsia="zh-CN" w:bidi="ar"/>
              </w:rPr>
              <w:t>元</w:t>
            </w:r>
          </w:p>
          <w:p w14:paraId="6206E778">
            <w:pPr>
              <w:pStyle w:val="59"/>
              <w:spacing w:line="360" w:lineRule="auto"/>
              <w:rPr>
                <w:rFonts w:hint="eastAsia" w:ascii="宋体" w:hAnsi="宋体" w:cs="宋体"/>
                <w:color w:val="auto"/>
                <w:kern w:val="2"/>
                <w:sz w:val="24"/>
                <w:szCs w:val="24"/>
                <w:highlight w:val="none"/>
              </w:rPr>
            </w:pPr>
            <w:r>
              <w:rPr>
                <w:rFonts w:hint="eastAsia" w:ascii="宋体" w:hAnsi="宋体" w:cs="宋体"/>
                <w:b/>
                <w:bCs/>
                <w:color w:val="auto"/>
                <w:kern w:val="2"/>
                <w:sz w:val="24"/>
                <w:szCs w:val="24"/>
                <w:highlight w:val="none"/>
              </w:rPr>
              <w:t>(2)账户名称：</w:t>
            </w:r>
            <w:r>
              <w:rPr>
                <w:rFonts w:hint="eastAsia" w:ascii="宋体" w:hAnsi="宋体" w:cs="宋体"/>
                <w:color w:val="auto"/>
                <w:kern w:val="2"/>
                <w:sz w:val="24"/>
                <w:szCs w:val="24"/>
                <w:highlight w:val="none"/>
              </w:rPr>
              <w:t>云南元大工程咨询有限责任公司。</w:t>
            </w:r>
          </w:p>
          <w:p w14:paraId="3FB92EF5">
            <w:pPr>
              <w:pStyle w:val="59"/>
              <w:spacing w:line="360" w:lineRule="auto"/>
              <w:rPr>
                <w:rFonts w:hint="eastAsia" w:ascii="宋体" w:hAnsi="宋体" w:cs="宋体"/>
                <w:color w:val="auto"/>
                <w:kern w:val="2"/>
                <w:sz w:val="24"/>
                <w:szCs w:val="24"/>
                <w:highlight w:val="none"/>
              </w:rPr>
            </w:pPr>
            <w:r>
              <w:rPr>
                <w:rFonts w:hint="eastAsia" w:ascii="宋体" w:hAnsi="宋体" w:cs="宋体"/>
                <w:b/>
                <w:bCs/>
                <w:color w:val="auto"/>
                <w:kern w:val="2"/>
                <w:sz w:val="24"/>
                <w:szCs w:val="24"/>
                <w:highlight w:val="none"/>
              </w:rPr>
              <w:t>(3)开 户 行</w:t>
            </w:r>
            <w:r>
              <w:rPr>
                <w:rFonts w:hint="eastAsia" w:ascii="宋体" w:hAnsi="宋体" w:cs="宋体"/>
                <w:color w:val="auto"/>
                <w:kern w:val="2"/>
                <w:sz w:val="24"/>
                <w:szCs w:val="24"/>
                <w:highlight w:val="none"/>
              </w:rPr>
              <w:t>：招商银行昆明联盟路支行。</w:t>
            </w:r>
          </w:p>
          <w:p w14:paraId="0D703FAD">
            <w:pPr>
              <w:pStyle w:val="59"/>
              <w:spacing w:line="360" w:lineRule="auto"/>
              <w:rPr>
                <w:rFonts w:hint="eastAsia" w:ascii="宋体" w:hAnsi="宋体" w:cs="宋体"/>
                <w:b/>
                <w:bCs/>
                <w:color w:val="auto"/>
                <w:kern w:val="2"/>
                <w:sz w:val="24"/>
                <w:szCs w:val="24"/>
                <w:highlight w:val="none"/>
                <w:lang w:val="en-US" w:eastAsia="zh-CN" w:bidi="ar"/>
              </w:rPr>
            </w:pPr>
            <w:r>
              <w:rPr>
                <w:rFonts w:hint="eastAsia" w:ascii="宋体" w:hAnsi="宋体" w:cs="宋体"/>
                <w:b/>
                <w:bCs/>
                <w:color w:val="auto"/>
                <w:kern w:val="2"/>
                <w:sz w:val="24"/>
                <w:szCs w:val="24"/>
                <w:highlight w:val="none"/>
              </w:rPr>
              <w:t>(4)账    号：8719067136100092607300001</w:t>
            </w:r>
          </w:p>
          <w:p w14:paraId="703DA602">
            <w:pPr>
              <w:pStyle w:val="59"/>
              <w:spacing w:line="360" w:lineRule="auto"/>
              <w:rPr>
                <w:rFonts w:hint="eastAsia" w:ascii="宋体" w:hAnsi="宋体" w:cs="宋体"/>
                <w:color w:val="auto"/>
                <w:kern w:val="2"/>
                <w:sz w:val="24"/>
                <w:szCs w:val="24"/>
                <w:highlight w:val="none"/>
              </w:rPr>
            </w:pPr>
            <w:r>
              <w:rPr>
                <w:rFonts w:hint="eastAsia" w:ascii="宋体" w:hAnsi="宋体" w:cs="宋体"/>
                <w:b/>
                <w:bCs/>
                <w:color w:val="auto"/>
                <w:kern w:val="2"/>
                <w:sz w:val="24"/>
                <w:szCs w:val="24"/>
                <w:highlight w:val="none"/>
              </w:rPr>
              <w:t>(5)财务电话：</w:t>
            </w:r>
            <w:r>
              <w:rPr>
                <w:rFonts w:hint="eastAsia" w:ascii="宋体" w:hAnsi="宋体" w:cs="宋体"/>
                <w:color w:val="auto"/>
                <w:kern w:val="2"/>
                <w:sz w:val="24"/>
                <w:szCs w:val="24"/>
                <w:highlight w:val="none"/>
              </w:rPr>
              <w:t>(0871)63338592。</w:t>
            </w:r>
          </w:p>
          <w:p w14:paraId="3E020D3F">
            <w:pPr>
              <w:pStyle w:val="59"/>
              <w:spacing w:line="360" w:lineRule="auto"/>
              <w:rPr>
                <w:rFonts w:hint="eastAsia" w:ascii="宋体" w:hAnsi="宋体" w:cs="宋体"/>
                <w:color w:val="auto"/>
                <w:kern w:val="2"/>
                <w:sz w:val="24"/>
                <w:szCs w:val="24"/>
                <w:highlight w:val="none"/>
              </w:rPr>
            </w:pPr>
            <w:r>
              <w:rPr>
                <w:rFonts w:hint="eastAsia" w:ascii="宋体" w:hAnsi="宋体" w:cs="宋体"/>
                <w:b/>
                <w:bCs/>
                <w:color w:val="auto"/>
                <w:kern w:val="2"/>
                <w:sz w:val="24"/>
                <w:szCs w:val="24"/>
                <w:highlight w:val="none"/>
              </w:rPr>
              <w:t>(6)提交截止时间：</w:t>
            </w:r>
            <w:r>
              <w:rPr>
                <w:rFonts w:hint="eastAsia" w:ascii="宋体" w:hAnsi="宋体" w:cs="宋体"/>
                <w:color w:val="auto"/>
                <w:kern w:val="2"/>
                <w:sz w:val="24"/>
                <w:szCs w:val="24"/>
                <w:highlight w:val="none"/>
              </w:rPr>
              <w:t>同投标文件递交截止时间。</w:t>
            </w:r>
          </w:p>
          <w:p w14:paraId="668073CC">
            <w:pPr>
              <w:pStyle w:val="59"/>
              <w:spacing w:line="360" w:lineRule="auto"/>
              <w:rPr>
                <w:rFonts w:hint="eastAsia" w:ascii="宋体" w:hAnsi="宋体" w:cs="宋体"/>
                <w:color w:val="auto"/>
                <w:kern w:val="2"/>
                <w:sz w:val="24"/>
                <w:szCs w:val="24"/>
                <w:highlight w:val="none"/>
              </w:rPr>
            </w:pPr>
            <w:r>
              <w:rPr>
                <w:rFonts w:hint="eastAsia" w:ascii="宋体" w:hAnsi="宋体" w:cs="宋体"/>
                <w:b/>
                <w:bCs/>
                <w:color w:val="auto"/>
                <w:kern w:val="2"/>
                <w:sz w:val="24"/>
                <w:szCs w:val="24"/>
                <w:highlight w:val="none"/>
              </w:rPr>
              <w:t>(7)提交方式：</w:t>
            </w:r>
            <w:r>
              <w:rPr>
                <w:rFonts w:hint="eastAsia" w:ascii="宋体" w:hAnsi="宋体" w:cs="宋体"/>
                <w:color w:val="auto"/>
                <w:sz w:val="24"/>
                <w:szCs w:val="24"/>
                <w:highlight w:val="none"/>
                <w:u w:val="single"/>
              </w:rPr>
              <w:t>支票、汇票、本票、保函、银行转账、电汇等非现金形式</w:t>
            </w:r>
            <w:r>
              <w:rPr>
                <w:rFonts w:hint="eastAsia" w:ascii="宋体" w:hAnsi="宋体" w:cs="宋体"/>
                <w:color w:val="auto"/>
                <w:kern w:val="2"/>
                <w:sz w:val="24"/>
                <w:szCs w:val="24"/>
                <w:highlight w:val="none"/>
              </w:rPr>
              <w:t>。</w:t>
            </w:r>
          </w:p>
          <w:p w14:paraId="4D904F56">
            <w:pPr>
              <w:pStyle w:val="59"/>
              <w:spacing w:line="360" w:lineRule="auto"/>
              <w:rPr>
                <w:rFonts w:hint="eastAsia" w:ascii="宋体" w:hAnsi="宋体" w:cs="宋体"/>
                <w:color w:val="auto"/>
                <w:kern w:val="2"/>
                <w:sz w:val="24"/>
                <w:szCs w:val="24"/>
                <w:highlight w:val="none"/>
              </w:rPr>
            </w:pPr>
            <w:r>
              <w:rPr>
                <w:rFonts w:hint="eastAsia" w:ascii="宋体" w:hAnsi="宋体" w:cs="宋体"/>
                <w:b/>
                <w:bCs/>
                <w:color w:val="auto"/>
                <w:kern w:val="2"/>
                <w:sz w:val="24"/>
                <w:szCs w:val="24"/>
                <w:highlight w:val="none"/>
              </w:rPr>
              <w:t>(8)有效期限：</w:t>
            </w:r>
            <w:r>
              <w:rPr>
                <w:rFonts w:hint="eastAsia" w:ascii="宋体" w:hAnsi="宋体" w:cs="宋体"/>
                <w:color w:val="auto"/>
                <w:kern w:val="2"/>
                <w:sz w:val="24"/>
                <w:szCs w:val="24"/>
                <w:highlight w:val="none"/>
              </w:rPr>
              <w:t>投标保证金在投标有效期内保持有效。</w:t>
            </w:r>
          </w:p>
          <w:p w14:paraId="21AF9703">
            <w:pPr>
              <w:autoSpaceDE w:val="0"/>
              <w:autoSpaceDN w:val="0"/>
              <w:spacing w:line="360" w:lineRule="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(9)注意事项：</w:t>
            </w:r>
          </w:p>
          <w:p w14:paraId="1F5D786C">
            <w:pPr>
              <w:autoSpaceDE w:val="0"/>
              <w:autoSpaceDN w:val="0"/>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汇款时在“摘要”或“用途”栏目内填入“保</w:t>
            </w:r>
            <w:r>
              <w:rPr>
                <w:rFonts w:hint="eastAsia" w:ascii="宋体" w:hAnsi="宋体" w:cs="宋体"/>
                <w:color w:val="auto"/>
                <w:kern w:val="2"/>
                <w:sz w:val="24"/>
                <w:szCs w:val="24"/>
                <w:highlight w:val="none"/>
                <w:lang w:eastAsia="zh-CN" w:bidi="ar"/>
              </w:rPr>
              <w:t>20260730</w:t>
            </w:r>
            <w:r>
              <w:rPr>
                <w:rFonts w:hint="eastAsia" w:ascii="宋体" w:hAnsi="宋体" w:eastAsia="宋体" w:cs="宋体"/>
                <w:color w:val="auto"/>
                <w:kern w:val="2"/>
                <w:sz w:val="24"/>
                <w:szCs w:val="24"/>
                <w:highlight w:val="none"/>
              </w:rPr>
              <w:t>”。</w:t>
            </w:r>
          </w:p>
          <w:p w14:paraId="4A8BE978">
            <w:pPr>
              <w:autoSpaceDE w:val="0"/>
              <w:autoSpaceDN w:val="0"/>
              <w:spacing w:line="360" w:lineRule="auto"/>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(10)投标保证金的退还要求：</w:t>
            </w:r>
          </w:p>
          <w:p w14:paraId="13973D39">
            <w:pPr>
              <w:autoSpaceDE w:val="0"/>
              <w:autoSpaceDN w:val="0"/>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①未中标人的投标保证金在中标通知书发出之日起5个工作日内退还；由采购代理机构财务部直接办理投标保证金的退还事宜，未中标人无需到采购代理机构现场办理；</w:t>
            </w:r>
          </w:p>
          <w:p w14:paraId="327CE3EC">
            <w:pPr>
              <w:autoSpaceDE w:val="0"/>
              <w:autoSpaceDN w:val="0"/>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②中标人的投标保证金自采购合同签订之日起5个工作日内退还中标人的投标保证金；请中标人及时将与采购人签订的合同书扫描件发至采购代理机构，由采购代理机构财务部直接办理投标保证金的退还事宜，中标人无需到采购代理机构现场办理。</w:t>
            </w:r>
          </w:p>
        </w:tc>
      </w:tr>
      <w:tr w14:paraId="7D74EE71">
        <w:tblPrEx>
          <w:tblCellMar>
            <w:top w:w="0" w:type="dxa"/>
            <w:left w:w="0" w:type="dxa"/>
            <w:bottom w:w="0" w:type="dxa"/>
            <w:right w:w="0" w:type="dxa"/>
          </w:tblCellMar>
        </w:tblPrEx>
        <w:trPr>
          <w:trHeight w:val="7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6D42D0F">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3.5.2</w:t>
            </w:r>
          </w:p>
        </w:tc>
        <w:tc>
          <w:tcPr>
            <w:tcW w:w="2009" w:type="dxa"/>
            <w:tcBorders>
              <w:top w:val="single" w:color="auto" w:sz="8" w:space="0"/>
              <w:left w:val="nil"/>
              <w:bottom w:val="single" w:color="auto" w:sz="8" w:space="0"/>
              <w:right w:val="single" w:color="auto" w:sz="8" w:space="0"/>
            </w:tcBorders>
            <w:noWrap w:val="0"/>
            <w:vAlign w:val="center"/>
          </w:tcPr>
          <w:p w14:paraId="7527535B">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投标文件所附证书证件要求、投标文件签字或盖章要求</w:t>
            </w:r>
          </w:p>
        </w:tc>
        <w:tc>
          <w:tcPr>
            <w:tcW w:w="6826" w:type="dxa"/>
            <w:tcBorders>
              <w:top w:val="single" w:color="auto" w:sz="8" w:space="0"/>
              <w:left w:val="nil"/>
              <w:bottom w:val="single" w:color="auto" w:sz="8" w:space="0"/>
              <w:right w:val="single" w:color="auto" w:sz="8" w:space="0"/>
            </w:tcBorders>
            <w:noWrap w:val="0"/>
            <w:vAlign w:val="center"/>
          </w:tcPr>
          <w:p w14:paraId="5F9FEA81">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投标文件所附证书证件要求：原件扫描件</w:t>
            </w:r>
          </w:p>
          <w:p w14:paraId="5B4365F6">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投标文件签字或盖章要求：签字或加盖</w:t>
            </w:r>
            <w:r>
              <w:rPr>
                <w:rFonts w:hint="eastAsia" w:ascii="宋体" w:hAnsi="宋体" w:eastAsia="宋体" w:cs="宋体"/>
                <w:color w:val="auto"/>
                <w:sz w:val="24"/>
                <w:highlight w:val="none"/>
              </w:rPr>
              <w:t>电子签名</w:t>
            </w:r>
          </w:p>
        </w:tc>
      </w:tr>
      <w:tr w14:paraId="22CE400C">
        <w:tblPrEx>
          <w:tblCellMar>
            <w:top w:w="0" w:type="dxa"/>
            <w:left w:w="0" w:type="dxa"/>
            <w:bottom w:w="0" w:type="dxa"/>
            <w:right w:w="0" w:type="dxa"/>
          </w:tblCellMar>
        </w:tblPrEx>
        <w:trPr>
          <w:trHeight w:val="7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007ABFD">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3.5.3</w:t>
            </w:r>
          </w:p>
        </w:tc>
        <w:tc>
          <w:tcPr>
            <w:tcW w:w="2009" w:type="dxa"/>
            <w:tcBorders>
              <w:top w:val="single" w:color="auto" w:sz="8" w:space="0"/>
              <w:left w:val="nil"/>
              <w:bottom w:val="single" w:color="auto" w:sz="8" w:space="0"/>
              <w:right w:val="single" w:color="auto" w:sz="8" w:space="0"/>
            </w:tcBorders>
            <w:noWrap w:val="0"/>
            <w:vAlign w:val="center"/>
          </w:tcPr>
          <w:p w14:paraId="02ACE449">
            <w:pPr>
              <w:widowControl w:val="0"/>
              <w:spacing w:line="360" w:lineRule="auto"/>
              <w:jc w:val="both"/>
              <w:rPr>
                <w:rFonts w:hint="eastAsia" w:ascii="宋体" w:hAnsi="宋体" w:eastAsia="宋体" w:cs="宋体"/>
                <w:color w:val="auto"/>
                <w:kern w:val="2"/>
                <w:sz w:val="24"/>
                <w:szCs w:val="24"/>
                <w:highlight w:val="none"/>
              </w:rPr>
            </w:pPr>
            <w:r>
              <w:rPr>
                <w:rFonts w:hint="eastAsia" w:ascii="宋体" w:hAnsi="宋体" w:cs="宋体"/>
                <w:b/>
                <w:bCs/>
                <w:color w:val="auto"/>
                <w:sz w:val="24"/>
                <w:szCs w:val="24"/>
                <w:highlight w:val="none"/>
              </w:rPr>
              <w:t>投标文件编制的其他要求</w:t>
            </w:r>
          </w:p>
        </w:tc>
        <w:tc>
          <w:tcPr>
            <w:tcW w:w="6826" w:type="dxa"/>
            <w:tcBorders>
              <w:top w:val="single" w:color="auto" w:sz="8" w:space="0"/>
              <w:left w:val="nil"/>
              <w:bottom w:val="single" w:color="auto" w:sz="8" w:space="0"/>
              <w:right w:val="single" w:color="auto" w:sz="8" w:space="0"/>
            </w:tcBorders>
            <w:noWrap w:val="0"/>
            <w:vAlign w:val="center"/>
          </w:tcPr>
          <w:p w14:paraId="39437087">
            <w:pPr>
              <w:widowControl w:val="0"/>
              <w:spacing w:line="360" w:lineRule="auto"/>
              <w:jc w:val="both"/>
              <w:rPr>
                <w:rFonts w:hint="eastAsia" w:ascii="宋体" w:hAnsi="宋体" w:cs="宋体"/>
                <w:b/>
                <w:bCs/>
                <w:color w:val="auto"/>
                <w:kern w:val="2"/>
                <w:sz w:val="24"/>
                <w:szCs w:val="24"/>
                <w:highlight w:val="none"/>
              </w:rPr>
            </w:pPr>
            <w:r>
              <w:rPr>
                <w:rFonts w:hint="eastAsia" w:ascii="宋体" w:hAnsi="宋体" w:cs="宋体"/>
                <w:b/>
                <w:bCs/>
                <w:color w:val="auto"/>
                <w:kern w:val="2"/>
                <w:sz w:val="24"/>
                <w:szCs w:val="24"/>
                <w:highlight w:val="none"/>
              </w:rPr>
              <w:t>(1)投标文件全部采用电子文档，投标人应安装客户端软件—“政采云电子交易客户端”，并按照招标文件和政采云电子交易平台的要求编制，编制后应进行电子签章、签名及加密；</w:t>
            </w:r>
          </w:p>
          <w:p w14:paraId="7C56DCF6">
            <w:pPr>
              <w:widowControl w:val="0"/>
              <w:spacing w:line="360" w:lineRule="auto"/>
              <w:jc w:val="both"/>
              <w:rPr>
                <w:rFonts w:hint="eastAsia" w:ascii="宋体" w:hAnsi="宋体" w:cs="宋体"/>
                <w:b/>
                <w:bCs/>
                <w:color w:val="auto"/>
                <w:kern w:val="2"/>
                <w:sz w:val="24"/>
                <w:szCs w:val="24"/>
                <w:highlight w:val="none"/>
              </w:rPr>
            </w:pPr>
            <w:r>
              <w:rPr>
                <w:rFonts w:hint="eastAsia" w:ascii="宋体" w:hAnsi="宋体" w:cs="宋体"/>
                <w:b/>
                <w:bCs/>
                <w:color w:val="auto"/>
                <w:kern w:val="2"/>
                <w:sz w:val="24"/>
                <w:szCs w:val="24"/>
                <w:highlight w:val="none"/>
              </w:rPr>
              <w:t xml:space="preserve">(2)如投标人提交的电子标书未按招标文件要求或开标时无法读取导入或解密，其投标文件将不予受理； </w:t>
            </w:r>
          </w:p>
          <w:p w14:paraId="22161F52">
            <w:pPr>
              <w:widowControl w:val="0"/>
              <w:spacing w:line="360" w:lineRule="auto"/>
              <w:jc w:val="both"/>
              <w:rPr>
                <w:rFonts w:hint="default" w:ascii="宋体" w:hAnsi="宋体" w:cs="宋体"/>
                <w:b/>
                <w:bCs/>
                <w:color w:val="auto"/>
                <w:kern w:val="2"/>
                <w:sz w:val="24"/>
                <w:szCs w:val="24"/>
                <w:highlight w:val="none"/>
                <w:lang w:val="en-US" w:eastAsia="zh-CN"/>
              </w:rPr>
            </w:pPr>
            <w:r>
              <w:rPr>
                <w:rFonts w:hint="eastAsia" w:ascii="宋体" w:hAnsi="宋体" w:cs="宋体"/>
                <w:b/>
                <w:bCs/>
                <w:color w:val="auto"/>
                <w:kern w:val="2"/>
                <w:sz w:val="24"/>
                <w:szCs w:val="24"/>
                <w:highlight w:val="none"/>
              </w:rPr>
              <w:t>(3)投标文件中提供的资料(扫描件)，内容必须清晰可辨，若内容模糊，无法辨识，均视为未提供。</w:t>
            </w:r>
          </w:p>
        </w:tc>
      </w:tr>
      <w:tr w14:paraId="3925ABA7">
        <w:tblPrEx>
          <w:tblCellMar>
            <w:top w:w="0" w:type="dxa"/>
            <w:left w:w="0" w:type="dxa"/>
            <w:bottom w:w="0" w:type="dxa"/>
            <w:right w:w="0" w:type="dxa"/>
          </w:tblCellMar>
        </w:tblPrEx>
        <w:trPr>
          <w:trHeight w:val="76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6E5DEE0">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4.1.1</w:t>
            </w:r>
          </w:p>
        </w:tc>
        <w:tc>
          <w:tcPr>
            <w:tcW w:w="2009" w:type="dxa"/>
            <w:tcBorders>
              <w:top w:val="single" w:color="auto" w:sz="8" w:space="0"/>
              <w:left w:val="nil"/>
              <w:bottom w:val="single" w:color="auto" w:sz="8" w:space="0"/>
              <w:right w:val="single" w:color="auto" w:sz="8" w:space="0"/>
            </w:tcBorders>
            <w:noWrap w:val="0"/>
            <w:vAlign w:val="center"/>
          </w:tcPr>
          <w:p w14:paraId="67E18D78">
            <w:pPr>
              <w:spacing w:line="360" w:lineRule="auto"/>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投标文件的加密</w:t>
            </w:r>
          </w:p>
        </w:tc>
        <w:tc>
          <w:tcPr>
            <w:tcW w:w="6826" w:type="dxa"/>
            <w:tcBorders>
              <w:top w:val="single" w:color="auto" w:sz="8" w:space="0"/>
              <w:left w:val="nil"/>
              <w:bottom w:val="single" w:color="auto" w:sz="8" w:space="0"/>
              <w:right w:val="single" w:color="auto" w:sz="8" w:space="0"/>
            </w:tcBorders>
            <w:noWrap w:val="0"/>
            <w:vAlign w:val="center"/>
          </w:tcPr>
          <w:p w14:paraId="371C61FB">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（1）供应商进行电子交易应安装客户端软件—“政采云电子交易客户端”，并按照招标文件和电子交易平台的要求编制并加密</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2"/>
                <w:sz w:val="24"/>
                <w:szCs w:val="24"/>
                <w:highlight w:val="none"/>
              </w:rPr>
              <w:t>。供应商未按规定加密的</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2"/>
                <w:sz w:val="24"/>
                <w:szCs w:val="24"/>
                <w:highlight w:val="none"/>
              </w:rPr>
              <w:t xml:space="preserve">，电子交易平台将拒收并提示； </w:t>
            </w:r>
          </w:p>
          <w:p w14:paraId="2DD0D796">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 xml:space="preserve">（2）使用“政采云电子交易客户端”需要提前申领 CA 数字证书，申领流程见该项目采购公告附件； </w:t>
            </w:r>
          </w:p>
          <w:p w14:paraId="196066E7">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（3）为确保网上操作合法、有效和安全，供应商应当在</w:t>
            </w:r>
            <w:r>
              <w:rPr>
                <w:rFonts w:hint="eastAsia" w:ascii="宋体" w:hAnsi="宋体" w:eastAsia="宋体" w:cs="宋体"/>
                <w:color w:val="auto"/>
                <w:sz w:val="24"/>
                <w:szCs w:val="24"/>
                <w:highlight w:val="none"/>
              </w:rPr>
              <w:t>投标文件</w:t>
            </w:r>
            <w:r>
              <w:rPr>
                <w:rFonts w:hint="eastAsia" w:ascii="宋体" w:hAnsi="宋体" w:eastAsia="宋体" w:cs="宋体"/>
                <w:color w:val="auto"/>
                <w:kern w:val="2"/>
                <w:sz w:val="24"/>
                <w:szCs w:val="24"/>
                <w:highlight w:val="none"/>
              </w:rPr>
              <w:t xml:space="preserve">提交截止时间前完成在“政府采购云平台”的身份认证，确保在电子交易过程中能够对相关数据电文进行加密和使用电子签名。 </w:t>
            </w:r>
          </w:p>
        </w:tc>
      </w:tr>
      <w:tr w14:paraId="2F02B17D">
        <w:tblPrEx>
          <w:tblCellMar>
            <w:top w:w="0" w:type="dxa"/>
            <w:left w:w="0" w:type="dxa"/>
            <w:bottom w:w="0" w:type="dxa"/>
            <w:right w:w="0" w:type="dxa"/>
          </w:tblCellMar>
        </w:tblPrEx>
        <w:trPr>
          <w:trHeight w:val="542"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9899C56">
            <w:pPr>
              <w:spacing w:line="400" w:lineRule="exact"/>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4.2.1</w:t>
            </w:r>
          </w:p>
        </w:tc>
        <w:tc>
          <w:tcPr>
            <w:tcW w:w="2009" w:type="dxa"/>
            <w:tcBorders>
              <w:top w:val="single" w:color="auto" w:sz="8" w:space="0"/>
              <w:left w:val="nil"/>
              <w:bottom w:val="single" w:color="auto" w:sz="8" w:space="0"/>
              <w:right w:val="single" w:color="auto" w:sz="8" w:space="0"/>
            </w:tcBorders>
            <w:noWrap w:val="0"/>
            <w:vAlign w:val="center"/>
          </w:tcPr>
          <w:p w14:paraId="4BC320FA">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投标截止时间</w:t>
            </w:r>
          </w:p>
        </w:tc>
        <w:tc>
          <w:tcPr>
            <w:tcW w:w="6826" w:type="dxa"/>
            <w:tcBorders>
              <w:top w:val="single" w:color="auto" w:sz="8" w:space="0"/>
              <w:left w:val="nil"/>
              <w:bottom w:val="single" w:color="auto" w:sz="8" w:space="0"/>
              <w:right w:val="single" w:color="auto" w:sz="8" w:space="0"/>
            </w:tcBorders>
            <w:noWrap w:val="0"/>
            <w:vAlign w:val="center"/>
          </w:tcPr>
          <w:p w14:paraId="36D75AEC">
            <w:pPr>
              <w:spacing w:line="40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详见第一章 “招标公告”</w:t>
            </w:r>
          </w:p>
        </w:tc>
      </w:tr>
      <w:tr w14:paraId="6025AE87">
        <w:tblPrEx>
          <w:tblCellMar>
            <w:top w:w="0" w:type="dxa"/>
            <w:left w:w="0" w:type="dxa"/>
            <w:bottom w:w="0" w:type="dxa"/>
            <w:right w:w="0" w:type="dxa"/>
          </w:tblCellMar>
        </w:tblPrEx>
        <w:trPr>
          <w:trHeight w:val="91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EC5DCC9">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4.2.2</w:t>
            </w:r>
          </w:p>
        </w:tc>
        <w:tc>
          <w:tcPr>
            <w:tcW w:w="2009" w:type="dxa"/>
            <w:tcBorders>
              <w:top w:val="single" w:color="auto" w:sz="8" w:space="0"/>
              <w:left w:val="nil"/>
              <w:bottom w:val="single" w:color="auto" w:sz="8" w:space="0"/>
              <w:right w:val="single" w:color="auto" w:sz="8" w:space="0"/>
            </w:tcBorders>
            <w:noWrap w:val="0"/>
            <w:vAlign w:val="center"/>
          </w:tcPr>
          <w:p w14:paraId="4DD77BC8">
            <w:pPr>
              <w:spacing w:line="400" w:lineRule="exact"/>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lang w:val="en-US" w:eastAsia="zh-CN"/>
              </w:rPr>
              <w:t>提交</w:t>
            </w:r>
            <w:r>
              <w:rPr>
                <w:rFonts w:hint="eastAsia" w:ascii="宋体" w:hAnsi="宋体" w:eastAsia="宋体" w:cs="宋体"/>
                <w:color w:val="auto"/>
                <w:kern w:val="2"/>
                <w:sz w:val="24"/>
                <w:szCs w:val="24"/>
                <w:highlight w:val="none"/>
              </w:rPr>
              <w:t>投标文件</w:t>
            </w:r>
            <w:r>
              <w:rPr>
                <w:rFonts w:hint="eastAsia" w:ascii="宋体" w:hAnsi="宋体" w:eastAsia="宋体" w:cs="宋体"/>
                <w:color w:val="auto"/>
                <w:kern w:val="2"/>
                <w:sz w:val="24"/>
                <w:szCs w:val="24"/>
                <w:highlight w:val="none"/>
                <w:lang w:val="en-US" w:eastAsia="zh-CN"/>
              </w:rPr>
              <w:t>截止</w:t>
            </w:r>
            <w:r>
              <w:rPr>
                <w:rFonts w:hint="eastAsia" w:ascii="宋体" w:hAnsi="宋体" w:eastAsia="宋体" w:cs="宋体"/>
                <w:color w:val="auto"/>
                <w:kern w:val="2"/>
                <w:sz w:val="24"/>
                <w:szCs w:val="24"/>
                <w:highlight w:val="none"/>
              </w:rPr>
              <w:t>时间和地点</w:t>
            </w:r>
          </w:p>
        </w:tc>
        <w:tc>
          <w:tcPr>
            <w:tcW w:w="6826" w:type="dxa"/>
            <w:tcBorders>
              <w:top w:val="single" w:color="auto" w:sz="8" w:space="0"/>
              <w:left w:val="nil"/>
              <w:bottom w:val="single" w:color="auto" w:sz="8" w:space="0"/>
              <w:right w:val="single" w:color="auto" w:sz="8" w:space="0"/>
            </w:tcBorders>
            <w:noWrap w:val="0"/>
            <w:vAlign w:val="center"/>
          </w:tcPr>
          <w:p w14:paraId="484A34AC">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u w:val="none"/>
                <w:lang w:val="en-US" w:eastAsia="zh-CN"/>
              </w:rPr>
              <w:t>详见第一章 “招标公告”</w:t>
            </w:r>
          </w:p>
        </w:tc>
      </w:tr>
      <w:tr w14:paraId="432F29D2">
        <w:tblPrEx>
          <w:tblCellMar>
            <w:top w:w="0" w:type="dxa"/>
            <w:left w:w="0" w:type="dxa"/>
            <w:bottom w:w="0" w:type="dxa"/>
            <w:right w:w="0" w:type="dxa"/>
          </w:tblCellMar>
        </w:tblPrEx>
        <w:trPr>
          <w:trHeight w:val="902"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9C3AAB5">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5.1</w:t>
            </w:r>
          </w:p>
        </w:tc>
        <w:tc>
          <w:tcPr>
            <w:tcW w:w="2009" w:type="dxa"/>
            <w:tcBorders>
              <w:top w:val="single" w:color="auto" w:sz="8" w:space="0"/>
              <w:left w:val="nil"/>
              <w:bottom w:val="single" w:color="auto" w:sz="8" w:space="0"/>
              <w:right w:val="single" w:color="auto" w:sz="8" w:space="0"/>
            </w:tcBorders>
            <w:noWrap w:val="0"/>
            <w:vAlign w:val="center"/>
          </w:tcPr>
          <w:p w14:paraId="360322C6">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开标时间和地点</w:t>
            </w:r>
          </w:p>
        </w:tc>
        <w:tc>
          <w:tcPr>
            <w:tcW w:w="6826" w:type="dxa"/>
            <w:tcBorders>
              <w:top w:val="single" w:color="auto" w:sz="8" w:space="0"/>
              <w:left w:val="nil"/>
              <w:bottom w:val="single" w:color="auto" w:sz="8" w:space="0"/>
              <w:right w:val="single" w:color="auto" w:sz="8" w:space="0"/>
            </w:tcBorders>
            <w:noWrap w:val="0"/>
            <w:vAlign w:val="center"/>
          </w:tcPr>
          <w:p w14:paraId="2002F973">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开标时间：同投标截止时间</w:t>
            </w:r>
          </w:p>
          <w:p w14:paraId="246637A7">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开标地点：同投标文件递交地点</w:t>
            </w:r>
          </w:p>
        </w:tc>
      </w:tr>
      <w:tr w14:paraId="28D93C0F">
        <w:tblPrEx>
          <w:tblCellMar>
            <w:top w:w="0" w:type="dxa"/>
            <w:left w:w="0" w:type="dxa"/>
            <w:bottom w:w="0" w:type="dxa"/>
            <w:right w:w="0" w:type="dxa"/>
          </w:tblCellMar>
        </w:tblPrEx>
        <w:trPr>
          <w:trHeight w:val="902"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82714E3">
            <w:pPr>
              <w:spacing w:line="360" w:lineRule="auto"/>
              <w:jc w:val="center"/>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rPr>
              <w:t>5.</w:t>
            </w:r>
            <w:r>
              <w:rPr>
                <w:rFonts w:hint="eastAsia" w:ascii="宋体" w:hAnsi="宋体" w:cs="宋体"/>
                <w:color w:val="auto"/>
                <w:kern w:val="2"/>
                <w:sz w:val="24"/>
                <w:szCs w:val="24"/>
                <w:highlight w:val="none"/>
                <w:lang w:val="en-US" w:eastAsia="zh-CN"/>
              </w:rPr>
              <w:t>3</w:t>
            </w:r>
          </w:p>
        </w:tc>
        <w:tc>
          <w:tcPr>
            <w:tcW w:w="2009" w:type="dxa"/>
            <w:tcBorders>
              <w:top w:val="single" w:color="auto" w:sz="8" w:space="0"/>
              <w:left w:val="nil"/>
              <w:bottom w:val="single" w:color="auto" w:sz="8" w:space="0"/>
              <w:right w:val="single" w:color="auto" w:sz="8" w:space="0"/>
            </w:tcBorders>
            <w:noWrap w:val="0"/>
            <w:vAlign w:val="center"/>
          </w:tcPr>
          <w:p w14:paraId="0C69A39B">
            <w:pPr>
              <w:spacing w:line="360" w:lineRule="auto"/>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rPr>
              <w:t>开标程序</w:t>
            </w:r>
          </w:p>
        </w:tc>
        <w:tc>
          <w:tcPr>
            <w:tcW w:w="6826" w:type="dxa"/>
            <w:tcBorders>
              <w:top w:val="single" w:color="auto" w:sz="8" w:space="0"/>
              <w:left w:val="nil"/>
              <w:bottom w:val="single" w:color="auto" w:sz="8" w:space="0"/>
              <w:right w:val="single" w:color="auto" w:sz="8" w:space="0"/>
            </w:tcBorders>
            <w:noWrap w:val="0"/>
            <w:vAlign w:val="center"/>
          </w:tcPr>
          <w:p w14:paraId="3143120B">
            <w:pPr>
              <w:widowControl w:val="0"/>
              <w:spacing w:line="360" w:lineRule="auto"/>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 xml:space="preserve">(1)采购代理机构将在“投标人须知前附表”规定的开启时间通过电子交易平台组织投标文件开启，采购代理机构依托电子交易平台发起开始解密指令，投标人的法定代表人或其委托代理人须携带加密时所用的CA锁按平台提示和招标文件的规定登录到“政采云”平台电子开标大厅签到，并在发起解密指令之时起60分钟内完成对电子投标文件在线解密。发起解密指令之时起5分钟内供应商还未进行解密的，采购代理机构可通知投标人，投标人没预留联系方式或预留联系方式无效，导致代理机构无法联系到投标人进行解密的，视为撤回投标文件。 如投标人成功解密投标文件，但未在“政采云”电子开标大厅参加开标的，视同认可开标过程和结果，由此产生的后果由投标人自行负责。 </w:t>
            </w:r>
          </w:p>
          <w:p w14:paraId="443FF54F">
            <w:pPr>
              <w:widowControl w:val="0"/>
              <w:spacing w:line="360" w:lineRule="auto"/>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(2)电子交易活动的中止</w:t>
            </w:r>
          </w:p>
          <w:p w14:paraId="261EB78C">
            <w:pPr>
              <w:widowControl w:val="0"/>
              <w:spacing w:line="360" w:lineRule="auto"/>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 xml:space="preserve">采购过程中出现以下情形，导致电子交易平台无法正常运行，或者无法保证电子交易的公平、公正和安全时，采购代理机构可中止电子交易活动： </w:t>
            </w:r>
          </w:p>
          <w:p w14:paraId="4618C0B8">
            <w:pPr>
              <w:widowControl w:val="0"/>
              <w:spacing w:line="360" w:lineRule="auto"/>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 xml:space="preserve">1)电子交易平台发生故障而无法登录访问的； </w:t>
            </w:r>
          </w:p>
          <w:p w14:paraId="1A955F16">
            <w:pPr>
              <w:widowControl w:val="0"/>
              <w:spacing w:line="360" w:lineRule="auto"/>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 xml:space="preserve">2)电子交易平台应用或数据库出现错误，不能进行正常操作的； </w:t>
            </w:r>
          </w:p>
          <w:p w14:paraId="5AF8BDAB">
            <w:pPr>
              <w:widowControl w:val="0"/>
              <w:spacing w:line="360" w:lineRule="auto"/>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 xml:space="preserve">3)电子交易平台发现严重安全漏洞，有潜在泄密危险的； </w:t>
            </w:r>
          </w:p>
          <w:p w14:paraId="43EF4F36">
            <w:pPr>
              <w:widowControl w:val="0"/>
              <w:spacing w:line="360" w:lineRule="auto"/>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 xml:space="preserve">4)病毒发作导致不能进行正常操作的； </w:t>
            </w:r>
          </w:p>
          <w:p w14:paraId="018DA191">
            <w:pPr>
              <w:spacing w:line="360" w:lineRule="auto"/>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rPr>
              <w:t>5)其他无法保证电子交易的公平、公正和安全的情况。</w:t>
            </w:r>
          </w:p>
        </w:tc>
      </w:tr>
      <w:tr w14:paraId="56B7C399">
        <w:tblPrEx>
          <w:tblCellMar>
            <w:top w:w="0" w:type="dxa"/>
            <w:left w:w="0" w:type="dxa"/>
            <w:bottom w:w="0" w:type="dxa"/>
            <w:right w:w="0" w:type="dxa"/>
          </w:tblCellMar>
        </w:tblPrEx>
        <w:trPr>
          <w:trHeight w:val="129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690DB20">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7.1.1</w:t>
            </w:r>
          </w:p>
        </w:tc>
        <w:tc>
          <w:tcPr>
            <w:tcW w:w="2009" w:type="dxa"/>
            <w:tcBorders>
              <w:top w:val="single" w:color="auto" w:sz="8" w:space="0"/>
              <w:left w:val="nil"/>
              <w:bottom w:val="single" w:color="auto" w:sz="8" w:space="0"/>
              <w:right w:val="single" w:color="auto" w:sz="8" w:space="0"/>
            </w:tcBorders>
            <w:noWrap w:val="0"/>
            <w:vAlign w:val="center"/>
          </w:tcPr>
          <w:p w14:paraId="405C8906">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评标委员会的组成</w:t>
            </w:r>
          </w:p>
        </w:tc>
        <w:tc>
          <w:tcPr>
            <w:tcW w:w="6826" w:type="dxa"/>
            <w:tcBorders>
              <w:top w:val="single" w:color="auto" w:sz="8" w:space="0"/>
              <w:left w:val="nil"/>
              <w:bottom w:val="single" w:color="auto" w:sz="8" w:space="0"/>
              <w:right w:val="single" w:color="auto" w:sz="8" w:space="0"/>
            </w:tcBorders>
            <w:noWrap w:val="0"/>
            <w:vAlign w:val="center"/>
          </w:tcPr>
          <w:p w14:paraId="7CEB4310">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评标委员会由采购人代表和评审专家组成，成员人数为</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人及以上单数。</w:t>
            </w:r>
          </w:p>
        </w:tc>
      </w:tr>
      <w:tr w14:paraId="6BEA1413">
        <w:tblPrEx>
          <w:tblCellMar>
            <w:top w:w="0" w:type="dxa"/>
            <w:left w:w="0" w:type="dxa"/>
            <w:bottom w:w="0" w:type="dxa"/>
            <w:right w:w="0" w:type="dxa"/>
          </w:tblCellMar>
        </w:tblPrEx>
        <w:trPr>
          <w:trHeight w:val="865"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B562940">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7.3.2</w:t>
            </w:r>
          </w:p>
        </w:tc>
        <w:tc>
          <w:tcPr>
            <w:tcW w:w="2009" w:type="dxa"/>
            <w:tcBorders>
              <w:top w:val="single" w:color="auto" w:sz="8" w:space="0"/>
              <w:left w:val="nil"/>
              <w:bottom w:val="single" w:color="auto" w:sz="8" w:space="0"/>
              <w:right w:val="single" w:color="auto" w:sz="8" w:space="0"/>
            </w:tcBorders>
            <w:noWrap w:val="0"/>
            <w:vAlign w:val="center"/>
          </w:tcPr>
          <w:p w14:paraId="77DC437F">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评标委员会推荐中标候选人的人数</w:t>
            </w:r>
          </w:p>
        </w:tc>
        <w:tc>
          <w:tcPr>
            <w:tcW w:w="6826" w:type="dxa"/>
            <w:tcBorders>
              <w:top w:val="single" w:color="auto" w:sz="8" w:space="0"/>
              <w:left w:val="nil"/>
              <w:bottom w:val="single" w:color="auto" w:sz="8" w:space="0"/>
              <w:right w:val="single" w:color="auto" w:sz="8" w:space="0"/>
            </w:tcBorders>
            <w:noWrap w:val="0"/>
            <w:vAlign w:val="center"/>
          </w:tcPr>
          <w:p w14:paraId="17859F2F">
            <w:pPr>
              <w:pStyle w:val="59"/>
              <w:spacing w:line="400" w:lineRule="exact"/>
              <w:jc w:val="both"/>
              <w:rPr>
                <w:rFonts w:hint="eastAsia" w:ascii="宋体" w:hAnsi="宋体" w:cs="宋体"/>
                <w:color w:val="auto"/>
                <w:kern w:val="2"/>
                <w:sz w:val="24"/>
                <w:szCs w:val="24"/>
                <w:highlight w:val="none"/>
              </w:rPr>
            </w:pPr>
            <w:r>
              <w:rPr>
                <w:rFonts w:hint="eastAsia" w:ascii="宋体" w:hAnsi="宋体" w:cs="宋体"/>
                <w:color w:val="auto"/>
                <w:sz w:val="24"/>
                <w:szCs w:val="24"/>
                <w:highlight w:val="none"/>
                <w:u w:val="single"/>
              </w:rPr>
              <w:t>3名</w:t>
            </w:r>
          </w:p>
        </w:tc>
      </w:tr>
      <w:tr w14:paraId="23B08B45">
        <w:tblPrEx>
          <w:tblCellMar>
            <w:top w:w="0" w:type="dxa"/>
            <w:left w:w="0" w:type="dxa"/>
            <w:bottom w:w="0" w:type="dxa"/>
            <w:right w:w="0" w:type="dxa"/>
          </w:tblCellMar>
        </w:tblPrEx>
        <w:trPr>
          <w:trHeight w:val="827"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69234AA5">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8.1</w:t>
            </w:r>
          </w:p>
        </w:tc>
        <w:tc>
          <w:tcPr>
            <w:tcW w:w="2009" w:type="dxa"/>
            <w:tcBorders>
              <w:top w:val="single" w:color="auto" w:sz="8" w:space="0"/>
              <w:left w:val="nil"/>
              <w:bottom w:val="single" w:color="auto" w:sz="8" w:space="0"/>
              <w:right w:val="single" w:color="auto" w:sz="8" w:space="0"/>
            </w:tcBorders>
            <w:noWrap w:val="0"/>
            <w:vAlign w:val="center"/>
          </w:tcPr>
          <w:p w14:paraId="1EF3F036">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是否授权评标委员会确定中标人</w:t>
            </w:r>
          </w:p>
        </w:tc>
        <w:tc>
          <w:tcPr>
            <w:tcW w:w="6826" w:type="dxa"/>
            <w:tcBorders>
              <w:top w:val="single" w:color="auto" w:sz="8" w:space="0"/>
              <w:left w:val="nil"/>
              <w:bottom w:val="single" w:color="auto" w:sz="8" w:space="0"/>
              <w:right w:val="single" w:color="auto" w:sz="8" w:space="0"/>
            </w:tcBorders>
            <w:noWrap w:val="0"/>
            <w:vAlign w:val="center"/>
          </w:tcPr>
          <w:p w14:paraId="490F7CF2">
            <w:pPr>
              <w:spacing w:line="40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sym w:font="Wingdings 2" w:char="00A3"/>
            </w:r>
            <w:r>
              <w:rPr>
                <w:rFonts w:hint="eastAsia" w:ascii="宋体" w:hAnsi="宋体" w:eastAsia="宋体" w:cs="宋体"/>
                <w:color w:val="auto"/>
                <w:kern w:val="2"/>
                <w:sz w:val="24"/>
                <w:szCs w:val="24"/>
                <w:highlight w:val="none"/>
              </w:rPr>
              <w:t>是</w:t>
            </w:r>
          </w:p>
          <w:p w14:paraId="47AE625A">
            <w:pPr>
              <w:spacing w:line="40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☑否</w:t>
            </w:r>
          </w:p>
        </w:tc>
      </w:tr>
      <w:tr w14:paraId="2D85C89C">
        <w:tblPrEx>
          <w:tblCellMar>
            <w:top w:w="0" w:type="dxa"/>
            <w:left w:w="0" w:type="dxa"/>
            <w:bottom w:w="0" w:type="dxa"/>
            <w:right w:w="0" w:type="dxa"/>
          </w:tblCellMar>
        </w:tblPrEx>
        <w:trPr>
          <w:trHeight w:val="846"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4BB71496">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8.2</w:t>
            </w:r>
          </w:p>
        </w:tc>
        <w:tc>
          <w:tcPr>
            <w:tcW w:w="2009" w:type="dxa"/>
            <w:tcBorders>
              <w:top w:val="single" w:color="auto" w:sz="8" w:space="0"/>
              <w:left w:val="nil"/>
              <w:bottom w:val="single" w:color="auto" w:sz="8" w:space="0"/>
              <w:right w:val="single" w:color="auto" w:sz="8" w:space="0"/>
            </w:tcBorders>
            <w:noWrap w:val="0"/>
            <w:vAlign w:val="center"/>
          </w:tcPr>
          <w:p w14:paraId="0975184D">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中标公告媒介及期限</w:t>
            </w:r>
          </w:p>
        </w:tc>
        <w:tc>
          <w:tcPr>
            <w:tcW w:w="6826" w:type="dxa"/>
            <w:tcBorders>
              <w:top w:val="single" w:color="auto" w:sz="8" w:space="0"/>
              <w:left w:val="nil"/>
              <w:bottom w:val="single" w:color="auto" w:sz="8" w:space="0"/>
              <w:right w:val="single" w:color="auto" w:sz="8" w:space="0"/>
            </w:tcBorders>
            <w:noWrap w:val="0"/>
            <w:vAlign w:val="center"/>
          </w:tcPr>
          <w:p w14:paraId="097AA14E">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公告媒介：同发布招标公告的媒介</w:t>
            </w:r>
          </w:p>
          <w:p w14:paraId="4BC68C7F">
            <w:pPr>
              <w:spacing w:line="400" w:lineRule="exact"/>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rPr>
              <w:t>公告期限：1 个工作日</w:t>
            </w:r>
          </w:p>
        </w:tc>
      </w:tr>
      <w:tr w14:paraId="3578CE14">
        <w:tblPrEx>
          <w:tblCellMar>
            <w:top w:w="0" w:type="dxa"/>
            <w:left w:w="0" w:type="dxa"/>
            <w:bottom w:w="0" w:type="dxa"/>
            <w:right w:w="0" w:type="dxa"/>
          </w:tblCellMar>
        </w:tblPrEx>
        <w:trPr>
          <w:trHeight w:val="111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B269E32">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8.4</w:t>
            </w:r>
          </w:p>
        </w:tc>
        <w:tc>
          <w:tcPr>
            <w:tcW w:w="2009" w:type="dxa"/>
            <w:tcBorders>
              <w:top w:val="single" w:color="auto" w:sz="8" w:space="0"/>
              <w:left w:val="nil"/>
              <w:bottom w:val="single" w:color="auto" w:sz="8" w:space="0"/>
              <w:right w:val="single" w:color="auto" w:sz="8" w:space="0"/>
            </w:tcBorders>
            <w:noWrap w:val="0"/>
            <w:vAlign w:val="center"/>
          </w:tcPr>
          <w:p w14:paraId="1B9D40FC">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履约保证金</w:t>
            </w:r>
          </w:p>
        </w:tc>
        <w:tc>
          <w:tcPr>
            <w:tcW w:w="6826" w:type="dxa"/>
            <w:tcBorders>
              <w:top w:val="single" w:color="auto" w:sz="8" w:space="0"/>
              <w:left w:val="nil"/>
              <w:bottom w:val="single" w:color="auto" w:sz="8" w:space="0"/>
              <w:right w:val="single" w:color="auto" w:sz="8" w:space="0"/>
            </w:tcBorders>
            <w:noWrap w:val="0"/>
            <w:vAlign w:val="center"/>
          </w:tcPr>
          <w:p w14:paraId="5B397232">
            <w:pPr>
              <w:spacing w:line="360" w:lineRule="auto"/>
              <w:jc w:val="both"/>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rPr>
              <w:t>是否要求</w:t>
            </w:r>
            <w:r>
              <w:rPr>
                <w:rFonts w:hint="eastAsia" w:ascii="宋体" w:hAnsi="宋体" w:eastAsia="宋体" w:cs="宋体"/>
                <w:color w:val="auto"/>
                <w:kern w:val="2"/>
                <w:sz w:val="24"/>
                <w:szCs w:val="24"/>
                <w:highlight w:val="none"/>
                <w:lang w:eastAsia="zh-CN"/>
              </w:rPr>
              <w:t>中标人</w:t>
            </w:r>
            <w:r>
              <w:rPr>
                <w:rFonts w:hint="eastAsia" w:ascii="宋体" w:hAnsi="宋体" w:eastAsia="宋体" w:cs="宋体"/>
                <w:color w:val="auto"/>
                <w:kern w:val="2"/>
                <w:sz w:val="24"/>
                <w:szCs w:val="24"/>
                <w:highlight w:val="none"/>
              </w:rPr>
              <w:t>提交履约保证金：</w:t>
            </w:r>
          </w:p>
          <w:p w14:paraId="53C48C5E">
            <w:pPr>
              <w:spacing w:line="360" w:lineRule="auto"/>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履约保证金的形式：</w:t>
            </w:r>
            <w:r>
              <w:rPr>
                <w:rFonts w:hint="eastAsia" w:ascii="宋体" w:hAnsi="宋体" w:eastAsia="宋体" w:cs="宋体"/>
                <w:color w:val="auto"/>
                <w:kern w:val="2"/>
                <w:sz w:val="24"/>
                <w:szCs w:val="24"/>
                <w:highlight w:val="none"/>
                <w:u w:val="single"/>
              </w:rPr>
              <w:t>供应商自主选择以支票、汇票、本票、保函(保险)等非现金形式</w:t>
            </w:r>
            <w:r>
              <w:rPr>
                <w:rFonts w:hint="eastAsia" w:ascii="宋体" w:hAnsi="宋体" w:eastAsia="宋体" w:cs="宋体"/>
                <w:color w:val="auto"/>
                <w:kern w:val="2"/>
                <w:sz w:val="24"/>
                <w:szCs w:val="24"/>
                <w:highlight w:val="none"/>
              </w:rPr>
              <w:t>；</w:t>
            </w:r>
          </w:p>
          <w:p w14:paraId="68944C52">
            <w:pPr>
              <w:pStyle w:val="16"/>
              <w:ind w:left="0" w:leftChars="0" w:firstLine="0" w:firstLineChars="0"/>
              <w:rPr>
                <w:rFonts w:hint="default" w:ascii="宋体" w:hAnsi="宋体" w:eastAsia="宋体" w:cs="宋体"/>
                <w:color w:val="auto"/>
                <w:kern w:val="2"/>
                <w:sz w:val="24"/>
                <w:szCs w:val="24"/>
                <w:highlight w:val="none"/>
                <w:u w:val="single"/>
                <w:lang w:val="en-US" w:eastAsia="zh-CN"/>
              </w:rPr>
            </w:pPr>
            <w:r>
              <w:rPr>
                <w:rFonts w:hint="eastAsia" w:ascii="宋体" w:hAnsi="宋体" w:cs="宋体"/>
                <w:color w:val="auto"/>
                <w:kern w:val="2"/>
                <w:sz w:val="24"/>
                <w:szCs w:val="24"/>
                <w:highlight w:val="none"/>
              </w:rPr>
              <w:t>履约保证金的金额：</w:t>
            </w:r>
            <w:r>
              <w:rPr>
                <w:rFonts w:hint="eastAsia" w:ascii="宋体" w:hAnsi="宋体" w:cs="宋体"/>
                <w:color w:val="auto"/>
                <w:kern w:val="2"/>
                <w:sz w:val="24"/>
                <w:szCs w:val="24"/>
                <w:highlight w:val="none"/>
                <w:u w:val="single"/>
              </w:rPr>
              <w:t>合同金额的</w:t>
            </w:r>
            <w:r>
              <w:rPr>
                <w:rFonts w:hint="eastAsia" w:ascii="宋体" w:hAnsi="宋体" w:cs="宋体"/>
                <w:color w:val="auto"/>
                <w:kern w:val="2"/>
                <w:sz w:val="24"/>
                <w:szCs w:val="24"/>
                <w:highlight w:val="none"/>
                <w:u w:val="single"/>
                <w:lang w:val="en-US" w:eastAsia="zh-CN"/>
              </w:rPr>
              <w:t>10</w:t>
            </w:r>
            <w:r>
              <w:rPr>
                <w:rFonts w:hint="eastAsia" w:ascii="宋体" w:hAnsi="宋体" w:cs="宋体"/>
                <w:color w:val="auto"/>
                <w:kern w:val="2"/>
                <w:sz w:val="24"/>
                <w:szCs w:val="24"/>
                <w:highlight w:val="none"/>
                <w:u w:val="single"/>
              </w:rPr>
              <w:t>%</w:t>
            </w:r>
          </w:p>
        </w:tc>
      </w:tr>
      <w:tr w14:paraId="3FE037E0">
        <w:tblPrEx>
          <w:tblCellMar>
            <w:top w:w="0" w:type="dxa"/>
            <w:left w:w="0" w:type="dxa"/>
            <w:bottom w:w="0" w:type="dxa"/>
            <w:right w:w="0" w:type="dxa"/>
          </w:tblCellMar>
        </w:tblPrEx>
        <w:trPr>
          <w:trHeight w:val="634"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35CB6F6">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w:t>
            </w:r>
          </w:p>
        </w:tc>
        <w:tc>
          <w:tcPr>
            <w:tcW w:w="8835" w:type="dxa"/>
            <w:gridSpan w:val="2"/>
            <w:tcBorders>
              <w:top w:val="single" w:color="auto" w:sz="8" w:space="0"/>
              <w:left w:val="nil"/>
              <w:bottom w:val="single" w:color="auto" w:sz="8" w:space="0"/>
              <w:right w:val="single" w:color="auto" w:sz="8" w:space="0"/>
            </w:tcBorders>
            <w:noWrap w:val="0"/>
            <w:vAlign w:val="center"/>
          </w:tcPr>
          <w:p w14:paraId="0E6B49F5">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rPr>
              <w:t>需要补充的其他内容</w:t>
            </w:r>
          </w:p>
        </w:tc>
      </w:tr>
      <w:tr w14:paraId="60BE83B2">
        <w:tblPrEx>
          <w:tblCellMar>
            <w:top w:w="0" w:type="dxa"/>
            <w:left w:w="0" w:type="dxa"/>
            <w:bottom w:w="0" w:type="dxa"/>
            <w:right w:w="0" w:type="dxa"/>
          </w:tblCellMar>
        </w:tblPrEx>
        <w:trPr>
          <w:trHeight w:val="941"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169D2F1">
            <w:pPr>
              <w:spacing w:line="40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12.1</w:t>
            </w:r>
          </w:p>
        </w:tc>
        <w:tc>
          <w:tcPr>
            <w:tcW w:w="2009" w:type="dxa"/>
            <w:tcBorders>
              <w:top w:val="single" w:color="auto" w:sz="8" w:space="0"/>
              <w:left w:val="nil"/>
              <w:bottom w:val="single" w:color="auto" w:sz="8" w:space="0"/>
              <w:right w:val="single" w:color="auto" w:sz="8" w:space="0"/>
            </w:tcBorders>
            <w:noWrap w:val="0"/>
            <w:vAlign w:val="center"/>
          </w:tcPr>
          <w:p w14:paraId="536E51A0">
            <w:pPr>
              <w:spacing w:line="40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评标方法</w:t>
            </w:r>
          </w:p>
        </w:tc>
        <w:tc>
          <w:tcPr>
            <w:tcW w:w="6826" w:type="dxa"/>
            <w:tcBorders>
              <w:top w:val="single" w:color="auto" w:sz="8" w:space="0"/>
              <w:left w:val="nil"/>
              <w:bottom w:val="single" w:color="auto" w:sz="8" w:space="0"/>
              <w:right w:val="single" w:color="auto" w:sz="8" w:space="0"/>
            </w:tcBorders>
            <w:noWrap w:val="0"/>
            <w:vAlign w:val="center"/>
          </w:tcPr>
          <w:p w14:paraId="16ADCBB0">
            <w:pPr>
              <w:spacing w:line="40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☑综合评分法</w:t>
            </w:r>
          </w:p>
          <w:p w14:paraId="0A2814BE">
            <w:pPr>
              <w:spacing w:line="400" w:lineRule="exact"/>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□最低评标价法</w:t>
            </w:r>
          </w:p>
        </w:tc>
      </w:tr>
      <w:tr w14:paraId="644DA1CE">
        <w:tblPrEx>
          <w:tblCellMar>
            <w:top w:w="0" w:type="dxa"/>
            <w:left w:w="0" w:type="dxa"/>
            <w:bottom w:w="0" w:type="dxa"/>
            <w:right w:w="0" w:type="dxa"/>
          </w:tblCellMar>
        </w:tblPrEx>
        <w:trPr>
          <w:trHeight w:val="1823"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FA185FA">
            <w:pPr>
              <w:spacing w:line="42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12.2</w:t>
            </w:r>
          </w:p>
        </w:tc>
        <w:tc>
          <w:tcPr>
            <w:tcW w:w="2009" w:type="dxa"/>
            <w:tcBorders>
              <w:top w:val="single" w:color="auto" w:sz="8" w:space="0"/>
              <w:left w:val="nil"/>
              <w:bottom w:val="single" w:color="auto" w:sz="8" w:space="0"/>
              <w:right w:val="single" w:color="auto" w:sz="8" w:space="0"/>
            </w:tcBorders>
            <w:noWrap w:val="0"/>
            <w:vAlign w:val="center"/>
          </w:tcPr>
          <w:p w14:paraId="192CE0E2">
            <w:pPr>
              <w:spacing w:line="420" w:lineRule="exac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追加合同金额</w:t>
            </w:r>
          </w:p>
        </w:tc>
        <w:tc>
          <w:tcPr>
            <w:tcW w:w="6826" w:type="dxa"/>
            <w:tcBorders>
              <w:top w:val="single" w:color="auto" w:sz="8" w:space="0"/>
              <w:left w:val="nil"/>
              <w:bottom w:val="single" w:color="auto" w:sz="8" w:space="0"/>
              <w:right w:val="single" w:color="auto" w:sz="8" w:space="0"/>
            </w:tcBorders>
            <w:noWrap w:val="0"/>
            <w:vAlign w:val="center"/>
          </w:tcPr>
          <w:p w14:paraId="727F9958">
            <w:pPr>
              <w:spacing w:line="420" w:lineRule="exact"/>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政府采购合同履行中，采购人需追加与合同标的相同的货物的，</w:t>
            </w:r>
            <w:r>
              <w:rPr>
                <w:rFonts w:hint="eastAsia" w:ascii="宋体" w:hAnsi="宋体" w:eastAsia="宋体" w:cs="宋体"/>
                <w:color w:val="auto"/>
                <w:sz w:val="24"/>
                <w:highlight w:val="none"/>
              </w:rPr>
              <w:t>在不改变合同其他条款的前提下，可以与中标投标人签订补充合同，但所有补充合同的采购金额变更不得超过原合同采购金额的10%，其中金额增加需办理合同追加手续。</w:t>
            </w:r>
          </w:p>
        </w:tc>
      </w:tr>
      <w:tr w14:paraId="56E0A238">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7060160">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12.3</w:t>
            </w:r>
          </w:p>
        </w:tc>
        <w:tc>
          <w:tcPr>
            <w:tcW w:w="2009" w:type="dxa"/>
            <w:tcBorders>
              <w:top w:val="single" w:color="auto" w:sz="8" w:space="0"/>
              <w:left w:val="nil"/>
              <w:bottom w:val="single" w:color="auto" w:sz="8" w:space="0"/>
              <w:right w:val="single" w:color="auto" w:sz="8" w:space="0"/>
            </w:tcBorders>
            <w:noWrap w:val="0"/>
            <w:vAlign w:val="center"/>
          </w:tcPr>
          <w:p w14:paraId="2E1EEC74">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信用查询具体要求</w:t>
            </w:r>
          </w:p>
        </w:tc>
        <w:tc>
          <w:tcPr>
            <w:tcW w:w="6826" w:type="dxa"/>
            <w:tcBorders>
              <w:top w:val="single" w:color="auto" w:sz="8" w:space="0"/>
              <w:left w:val="nil"/>
              <w:bottom w:val="single" w:color="auto" w:sz="8" w:space="0"/>
              <w:right w:val="single" w:color="auto" w:sz="8" w:space="0"/>
            </w:tcBorders>
            <w:noWrap w:val="0"/>
            <w:vAlign w:val="center"/>
          </w:tcPr>
          <w:p w14:paraId="7D5D6072">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本项目将执行在政府采购活动中查询及使用信用记录的规定，具体要求为：</w:t>
            </w:r>
          </w:p>
          <w:p w14:paraId="2C7448EB">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应在“信用中国”网站(www.creditchina.gov.cn)未被列入失信被执行人记录、重大税收违法失信主体且在中国政府采购网(www.ccgp.gov.cn)没有政府采购严重违法失信行为记录(被禁止在一定期限内参加政府采购活动但期限届满的除外)；</w:t>
            </w:r>
          </w:p>
          <w:p w14:paraId="15B61C99">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（2）信用信息查询的截止时点：投标截止时间当天评标前；</w:t>
            </w:r>
          </w:p>
          <w:p w14:paraId="776E8175">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（3）信用信息查询渠道：“信用中国网”、“中国政府采购网”；</w:t>
            </w:r>
          </w:p>
          <w:p w14:paraId="544A7C5F">
            <w:pPr>
              <w:widowControl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（4）信用信息查询记录和证据留存具体方式：采购人、采购代理机构将经查询存在不良信用记录的潜在投标人查询结果证明材料作为查询记录和证据，与其他采购文件一并保存；</w:t>
            </w:r>
          </w:p>
          <w:p w14:paraId="604CAE9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信用信息的使用规则：本政府采购项目的投标人在信用信息查询截止时点（含）之前被列入失信被执行人、重大税收违法失信主体、政府采购严重违法失信行为记录名单及其他不符合《中华人民共和国政府采购法》第二十二条规定条件的投标人，其投标无效；</w:t>
            </w:r>
          </w:p>
          <w:p w14:paraId="1CF47511">
            <w:pPr>
              <w:pStyle w:val="13"/>
              <w:rPr>
                <w:rFonts w:hint="eastAsia" w:ascii="宋体" w:hAnsi="宋体" w:cs="宋体"/>
                <w:color w:val="auto"/>
                <w:szCs w:val="21"/>
                <w:highlight w:val="none"/>
              </w:rPr>
            </w:pPr>
            <w:r>
              <w:rPr>
                <w:rFonts w:hint="eastAsia" w:ascii="宋体" w:hAnsi="宋体" w:cs="宋体"/>
                <w:b/>
                <w:bCs/>
                <w:color w:val="auto"/>
                <w:sz w:val="24"/>
                <w:highlight w:val="none"/>
              </w:rPr>
              <w:t>(6)采购人、采购代理机构通过“信用中国网”、“中国政府采购网”等渠道查询相关主体信用记录，若投标人存在被列入失信被执行人、重大税收违法失信主体、政府采购严重违法失信行为记录名单，则投标无效。</w:t>
            </w:r>
          </w:p>
        </w:tc>
      </w:tr>
      <w:tr w14:paraId="696F0EED">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499960E">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12.4</w:t>
            </w:r>
          </w:p>
        </w:tc>
        <w:tc>
          <w:tcPr>
            <w:tcW w:w="2009" w:type="dxa"/>
            <w:tcBorders>
              <w:top w:val="single" w:color="auto" w:sz="8" w:space="0"/>
              <w:left w:val="nil"/>
              <w:bottom w:val="single" w:color="auto" w:sz="8" w:space="0"/>
              <w:right w:val="single" w:color="auto" w:sz="8" w:space="0"/>
            </w:tcBorders>
            <w:noWrap w:val="0"/>
            <w:vAlign w:val="center"/>
          </w:tcPr>
          <w:p w14:paraId="3FF36277">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补充</w:t>
            </w:r>
          </w:p>
        </w:tc>
        <w:tc>
          <w:tcPr>
            <w:tcW w:w="6826" w:type="dxa"/>
            <w:tcBorders>
              <w:top w:val="single" w:color="auto" w:sz="8" w:space="0"/>
              <w:left w:val="nil"/>
              <w:bottom w:val="single" w:color="auto" w:sz="8" w:space="0"/>
              <w:right w:val="single" w:color="auto" w:sz="8" w:space="0"/>
            </w:tcBorders>
            <w:noWrap w:val="0"/>
            <w:vAlign w:val="center"/>
          </w:tcPr>
          <w:p w14:paraId="5F0FDA84">
            <w:pPr>
              <w:widowControl w:val="0"/>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 xml:space="preserve">依据《政府采购促进中小企业发展管理办法》（财库〔2020〕46号）规定享受扶持政策获得政府采购合同的，小微企业不得将合同分包给大中型企业，中型企业不得将合同分包给大型企业。 </w:t>
            </w:r>
          </w:p>
        </w:tc>
      </w:tr>
      <w:tr w14:paraId="269F8B24">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25A02A0A">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12.5</w:t>
            </w:r>
          </w:p>
        </w:tc>
        <w:tc>
          <w:tcPr>
            <w:tcW w:w="2009" w:type="dxa"/>
            <w:tcBorders>
              <w:top w:val="single" w:color="auto" w:sz="8" w:space="0"/>
              <w:left w:val="nil"/>
              <w:bottom w:val="single" w:color="auto" w:sz="8" w:space="0"/>
              <w:right w:val="single" w:color="auto" w:sz="8" w:space="0"/>
            </w:tcBorders>
            <w:noWrap w:val="0"/>
            <w:vAlign w:val="center"/>
          </w:tcPr>
          <w:p w14:paraId="4ED22BC3">
            <w:pPr>
              <w:spacing w:line="360" w:lineRule="auto"/>
              <w:jc w:val="both"/>
              <w:rPr>
                <w:rFonts w:hint="eastAsia" w:ascii="宋体" w:hAnsi="宋体" w:eastAsia="宋体" w:cs="宋体"/>
                <w:color w:val="auto"/>
                <w:kern w:val="2"/>
                <w:sz w:val="24"/>
                <w:szCs w:val="24"/>
                <w:highlight w:val="none"/>
              </w:rPr>
            </w:pPr>
            <w:r>
              <w:rPr>
                <w:rFonts w:hint="eastAsia" w:ascii="宋体" w:hAnsi="宋体" w:eastAsia="宋体" w:cs="宋体"/>
                <w:bCs/>
                <w:color w:val="auto"/>
                <w:sz w:val="24"/>
                <w:highlight w:val="none"/>
              </w:rPr>
              <w:t>核心产品</w:t>
            </w:r>
          </w:p>
        </w:tc>
        <w:tc>
          <w:tcPr>
            <w:tcW w:w="6826" w:type="dxa"/>
            <w:tcBorders>
              <w:top w:val="single" w:color="auto" w:sz="8" w:space="0"/>
              <w:left w:val="nil"/>
              <w:bottom w:val="single" w:color="auto" w:sz="8" w:space="0"/>
              <w:right w:val="single" w:color="auto" w:sz="8" w:space="0"/>
            </w:tcBorders>
            <w:noWrap w:val="0"/>
            <w:vAlign w:val="top"/>
          </w:tcPr>
          <w:p w14:paraId="218D01A4">
            <w:pPr>
              <w:spacing w:line="360" w:lineRule="auto"/>
              <w:jc w:val="both"/>
              <w:rPr>
                <w:rFonts w:hint="eastAsia" w:ascii="宋体" w:hAnsi="宋体" w:eastAsia="宋体" w:cs="宋体"/>
                <w:b/>
                <w:color w:val="auto"/>
                <w:sz w:val="24"/>
                <w:highlight w:val="none"/>
                <w:lang w:eastAsia="zh-CN"/>
              </w:rPr>
            </w:pPr>
            <w:r>
              <w:rPr>
                <w:rFonts w:hint="eastAsia" w:ascii="宋体" w:hAnsi="宋体" w:eastAsia="宋体" w:cs="宋体"/>
                <w:bCs/>
                <w:color w:val="auto"/>
                <w:sz w:val="24"/>
                <w:highlight w:val="none"/>
              </w:rPr>
              <w:t>本项目的核心产品：</w:t>
            </w:r>
            <w:r>
              <w:rPr>
                <w:rFonts w:hint="eastAsia" w:ascii="宋体" w:hAnsi="宋体" w:cs="宋体"/>
                <w:i w:val="0"/>
                <w:iCs w:val="0"/>
                <w:color w:val="000000"/>
                <w:sz w:val="24"/>
                <w:szCs w:val="24"/>
                <w:highlight w:val="none"/>
                <w:u w:val="none"/>
                <w:lang w:val="en-US" w:eastAsia="zh-CN"/>
              </w:rPr>
              <w:t>超声内镜系统</w:t>
            </w:r>
            <w:r>
              <w:rPr>
                <w:rFonts w:hint="eastAsia" w:ascii="宋体" w:hAnsi="宋体" w:cs="宋体"/>
                <w:i w:val="0"/>
                <w:iCs w:val="0"/>
                <w:color w:val="000000"/>
                <w:kern w:val="0"/>
                <w:sz w:val="24"/>
                <w:szCs w:val="24"/>
                <w:highlight w:val="none"/>
                <w:u w:val="none"/>
                <w:lang w:val="en-US" w:eastAsia="zh-CN" w:bidi="ar"/>
              </w:rPr>
              <w:t>。</w:t>
            </w:r>
          </w:p>
          <w:p w14:paraId="24C55800">
            <w:pPr>
              <w:spacing w:line="360" w:lineRule="auto"/>
              <w:jc w:val="both"/>
              <w:rPr>
                <w:rFonts w:hint="eastAsia" w:ascii="宋体" w:hAnsi="宋体" w:eastAsia="宋体" w:cs="宋体"/>
                <w:color w:val="auto"/>
                <w:highlight w:val="none"/>
              </w:rPr>
            </w:pPr>
            <w:r>
              <w:rPr>
                <w:rFonts w:hint="eastAsia" w:ascii="宋体" w:hAnsi="宋体" w:eastAsia="宋体" w:cs="宋体"/>
                <w:b/>
                <w:color w:val="auto"/>
                <w:sz w:val="24"/>
                <w:highlight w:val="none"/>
              </w:rPr>
              <w:t>注：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r w14:paraId="2D8D90F4">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315B075D">
            <w:pPr>
              <w:spacing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12.6</w:t>
            </w:r>
          </w:p>
        </w:tc>
        <w:tc>
          <w:tcPr>
            <w:tcW w:w="2009" w:type="dxa"/>
            <w:tcBorders>
              <w:top w:val="single" w:color="auto" w:sz="8" w:space="0"/>
              <w:left w:val="nil"/>
              <w:bottom w:val="single" w:color="auto" w:sz="8" w:space="0"/>
              <w:right w:val="single" w:color="auto" w:sz="8" w:space="0"/>
            </w:tcBorders>
            <w:noWrap w:val="0"/>
            <w:vAlign w:val="center"/>
          </w:tcPr>
          <w:p w14:paraId="13DF19ED">
            <w:pPr>
              <w:spacing w:line="360" w:lineRule="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付款方式</w:t>
            </w:r>
          </w:p>
        </w:tc>
        <w:tc>
          <w:tcPr>
            <w:tcW w:w="6826" w:type="dxa"/>
            <w:tcBorders>
              <w:top w:val="single" w:color="auto" w:sz="8" w:space="0"/>
              <w:left w:val="nil"/>
              <w:bottom w:val="single" w:color="auto" w:sz="8" w:space="0"/>
              <w:right w:val="single" w:color="auto" w:sz="8" w:space="0"/>
            </w:tcBorders>
            <w:noWrap w:val="0"/>
            <w:vAlign w:val="center"/>
          </w:tcPr>
          <w:p w14:paraId="39F3D423">
            <w:pPr>
              <w:spacing w:line="360" w:lineRule="auto"/>
              <w:jc w:val="both"/>
              <w:rPr>
                <w:rFonts w:hint="eastAsia"/>
                <w:highlight w:val="none"/>
              </w:rPr>
            </w:pPr>
            <w:r>
              <w:rPr>
                <w:rFonts w:hint="eastAsia" w:ascii="宋体" w:hAnsi="宋体" w:eastAsia="宋体" w:cs="宋体"/>
                <w:color w:val="auto"/>
                <w:kern w:val="2"/>
                <w:sz w:val="24"/>
                <w:szCs w:val="24"/>
                <w:highlight w:val="none"/>
              </w:rPr>
              <w:t>乙方收到中标通知书后10个工作日内，乙方向甲方提供相当于合同总价的10%的履约保证金（履约保证金形式：供应商自主选择以支票、汇票、本票、保函（保险）等非现金形式），合同生效后五个工作日内，甲方向乙方支付</w:t>
            </w:r>
            <w:r>
              <w:rPr>
                <w:rFonts w:hint="eastAsia" w:ascii="宋体" w:hAnsi="宋体" w:cs="宋体"/>
                <w:color w:val="auto"/>
                <w:kern w:val="2"/>
                <w:sz w:val="24"/>
                <w:szCs w:val="24"/>
                <w:highlight w:val="none"/>
                <w:lang w:eastAsia="zh-CN"/>
              </w:rPr>
              <w:t>合同价款</w:t>
            </w:r>
            <w:r>
              <w:rPr>
                <w:rFonts w:hint="eastAsia" w:ascii="宋体" w:hAnsi="宋体" w:eastAsia="宋体" w:cs="宋体"/>
                <w:color w:val="auto"/>
                <w:kern w:val="2"/>
                <w:sz w:val="24"/>
                <w:szCs w:val="24"/>
                <w:highlight w:val="none"/>
              </w:rPr>
              <w:t>的</w:t>
            </w:r>
            <w:r>
              <w:rPr>
                <w:rFonts w:hint="eastAsia" w:ascii="宋体" w:hAnsi="宋体" w:cs="宋体"/>
                <w:color w:val="auto"/>
                <w:kern w:val="2"/>
                <w:sz w:val="24"/>
                <w:szCs w:val="24"/>
                <w:highlight w:val="none"/>
                <w:lang w:val="en-US" w:eastAsia="zh-CN"/>
              </w:rPr>
              <w:t>30</w:t>
            </w:r>
            <w:r>
              <w:rPr>
                <w:rFonts w:hint="eastAsia" w:ascii="宋体" w:hAnsi="宋体" w:eastAsia="宋体" w:cs="宋体"/>
                <w:color w:val="auto"/>
                <w:kern w:val="2"/>
                <w:sz w:val="24"/>
                <w:szCs w:val="24"/>
                <w:highlight w:val="none"/>
              </w:rPr>
              <w:t>%的预付款，设备到货后支付60%，设备安装完成且经甲方验收合格后</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乙方向甲方开具全额增值税发票，甲方收到发票后向乙方支付剩余合同总价款的</w:t>
            </w:r>
            <w:r>
              <w:rPr>
                <w:rFonts w:hint="eastAsia" w:ascii="宋体" w:hAnsi="宋体" w:cs="宋体"/>
                <w:color w:val="auto"/>
                <w:kern w:val="2"/>
                <w:sz w:val="24"/>
                <w:szCs w:val="24"/>
                <w:highlight w:val="none"/>
                <w:lang w:val="en-US" w:eastAsia="zh-CN"/>
              </w:rPr>
              <w:t>1</w:t>
            </w:r>
            <w:r>
              <w:rPr>
                <w:rFonts w:hint="eastAsia" w:ascii="宋体" w:hAnsi="宋体" w:eastAsia="宋体" w:cs="宋体"/>
                <w:color w:val="auto"/>
                <w:kern w:val="2"/>
                <w:sz w:val="24"/>
                <w:szCs w:val="24"/>
                <w:highlight w:val="none"/>
                <w:lang w:val="en-US" w:eastAsia="zh-CN"/>
              </w:rPr>
              <w:t>0</w:t>
            </w:r>
            <w:r>
              <w:rPr>
                <w:rFonts w:hint="eastAsia" w:ascii="宋体" w:hAnsi="宋体" w:eastAsia="宋体" w:cs="宋体"/>
                <w:color w:val="auto"/>
                <w:kern w:val="2"/>
                <w:sz w:val="24"/>
                <w:szCs w:val="24"/>
                <w:highlight w:val="none"/>
              </w:rPr>
              <w:t>%。</w:t>
            </w:r>
          </w:p>
        </w:tc>
      </w:tr>
      <w:tr w14:paraId="2F2A5026">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7DF18B88">
            <w:pPr>
              <w:spacing w:line="360" w:lineRule="auto"/>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12.7</w:t>
            </w:r>
          </w:p>
        </w:tc>
        <w:tc>
          <w:tcPr>
            <w:tcW w:w="2009" w:type="dxa"/>
            <w:tcBorders>
              <w:top w:val="single" w:color="auto" w:sz="8" w:space="0"/>
              <w:left w:val="nil"/>
              <w:bottom w:val="single" w:color="auto" w:sz="8" w:space="0"/>
              <w:right w:val="single" w:color="auto" w:sz="8" w:space="0"/>
            </w:tcBorders>
            <w:noWrap w:val="0"/>
            <w:vAlign w:val="center"/>
          </w:tcPr>
          <w:p w14:paraId="09197C50">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其它注意事项</w:t>
            </w:r>
          </w:p>
        </w:tc>
        <w:tc>
          <w:tcPr>
            <w:tcW w:w="6826" w:type="dxa"/>
            <w:tcBorders>
              <w:top w:val="single" w:color="auto" w:sz="8" w:space="0"/>
              <w:left w:val="nil"/>
              <w:bottom w:val="single" w:color="auto" w:sz="8" w:space="0"/>
              <w:right w:val="single" w:color="auto" w:sz="8" w:space="0"/>
            </w:tcBorders>
            <w:noWrap w:val="0"/>
            <w:vAlign w:val="top"/>
          </w:tcPr>
          <w:p w14:paraId="5B1A5B77">
            <w:pPr>
              <w:adjustRightInd w:val="0"/>
              <w:snapToGrid w:val="0"/>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以下情况视为投标人同意撤回已上传系统的投标文件或其投标文件无效：</w:t>
            </w:r>
          </w:p>
          <w:p w14:paraId="29346FD8">
            <w:pPr>
              <w:adjustRightInd w:val="0"/>
              <w:snapToGrid w:val="0"/>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（1）政采云电子平台显示投标人未上传投标文件； </w:t>
            </w:r>
          </w:p>
          <w:p w14:paraId="0997C9AA">
            <w:pPr>
              <w:adjustRightInd w:val="0"/>
              <w:snapToGrid w:val="0"/>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（2）因投标人原因上传的投标文件在开启文件时无法解密。</w:t>
            </w:r>
          </w:p>
          <w:p w14:paraId="4679D197">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（3）因投标人自身原因导致未在规定时间内完成投标文件解密。</w:t>
            </w:r>
          </w:p>
        </w:tc>
      </w:tr>
      <w:tr w14:paraId="6035FDA1">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0A39B147">
            <w:pPr>
              <w:spacing w:line="360" w:lineRule="auto"/>
              <w:jc w:val="center"/>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12.8</w:t>
            </w:r>
          </w:p>
        </w:tc>
        <w:tc>
          <w:tcPr>
            <w:tcW w:w="2009" w:type="dxa"/>
            <w:tcBorders>
              <w:top w:val="single" w:color="auto" w:sz="8" w:space="0"/>
              <w:left w:val="nil"/>
              <w:bottom w:val="single" w:color="auto" w:sz="8" w:space="0"/>
              <w:right w:val="single" w:color="auto" w:sz="8" w:space="0"/>
            </w:tcBorders>
            <w:noWrap w:val="0"/>
            <w:vAlign w:val="center"/>
          </w:tcPr>
          <w:p w14:paraId="392B5061">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省级政府采购中标人须知</w:t>
            </w:r>
          </w:p>
        </w:tc>
        <w:tc>
          <w:tcPr>
            <w:tcW w:w="6826" w:type="dxa"/>
            <w:tcBorders>
              <w:top w:val="single" w:color="auto" w:sz="8" w:space="0"/>
              <w:left w:val="nil"/>
              <w:bottom w:val="single" w:color="auto" w:sz="8" w:space="0"/>
              <w:right w:val="single" w:color="auto" w:sz="8" w:space="0"/>
            </w:tcBorders>
            <w:noWrap w:val="0"/>
            <w:vAlign w:val="top"/>
          </w:tcPr>
          <w:p w14:paraId="04DA004B">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中标人在《云南省政府采购网》查询到中标</w:t>
            </w:r>
            <w:r>
              <w:rPr>
                <w:rFonts w:hint="eastAsia" w:ascii="宋体" w:hAnsi="宋体" w:eastAsia="宋体" w:cs="宋体"/>
                <w:bCs/>
                <w:color w:val="auto"/>
                <w:sz w:val="24"/>
                <w:highlight w:val="none"/>
                <w:lang w:val="en-US" w:eastAsia="zh-CN"/>
              </w:rPr>
              <w:t>结果公告</w:t>
            </w:r>
            <w:r>
              <w:rPr>
                <w:rFonts w:hint="eastAsia" w:ascii="宋体" w:hAnsi="宋体" w:eastAsia="宋体" w:cs="宋体"/>
                <w:bCs/>
                <w:color w:val="auto"/>
                <w:sz w:val="24"/>
                <w:highlight w:val="none"/>
              </w:rPr>
              <w:t>后，需办理以下事宜：</w:t>
            </w:r>
          </w:p>
          <w:p w14:paraId="724E3A32">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1、在《云南省政府采购网》（http://www.yngp.com）完成云南省政府采购管理信息系统供应商入库申请。</w:t>
            </w:r>
          </w:p>
          <w:p w14:paraId="3EA4B79C">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2、缴纳</w:t>
            </w:r>
            <w:r>
              <w:rPr>
                <w:rFonts w:hint="eastAsia" w:ascii="宋体" w:hAnsi="宋体" w:eastAsia="宋体" w:cs="宋体"/>
                <w:bCs/>
                <w:color w:val="auto"/>
                <w:sz w:val="24"/>
                <w:highlight w:val="none"/>
                <w:lang w:val="en-US" w:eastAsia="zh-CN"/>
              </w:rPr>
              <w:t>中标</w:t>
            </w:r>
            <w:r>
              <w:rPr>
                <w:rFonts w:hint="eastAsia" w:ascii="宋体" w:hAnsi="宋体" w:eastAsia="宋体" w:cs="宋体"/>
                <w:bCs/>
                <w:color w:val="auto"/>
                <w:sz w:val="24"/>
                <w:highlight w:val="none"/>
              </w:rPr>
              <w:t>服务费。</w:t>
            </w:r>
          </w:p>
          <w:p w14:paraId="75E63F3E">
            <w:pPr>
              <w:spacing w:line="360" w:lineRule="auto"/>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3、领取中标通知书，并与采购人联系、洽谈采购合同。</w:t>
            </w:r>
          </w:p>
        </w:tc>
      </w:tr>
      <w:tr w14:paraId="2DD98319">
        <w:tblPrEx>
          <w:tblCellMar>
            <w:top w:w="0" w:type="dxa"/>
            <w:left w:w="0" w:type="dxa"/>
            <w:bottom w:w="0" w:type="dxa"/>
            <w:right w:w="0" w:type="dxa"/>
          </w:tblCellMar>
        </w:tblPrEx>
        <w:trPr>
          <w:trHeight w:val="790" w:hRule="atLeast"/>
          <w:jc w:val="center"/>
        </w:trPr>
        <w:tc>
          <w:tcPr>
            <w:tcW w:w="1047" w:type="dxa"/>
            <w:tcBorders>
              <w:top w:val="single" w:color="auto" w:sz="8" w:space="0"/>
              <w:left w:val="single" w:color="auto" w:sz="8" w:space="0"/>
              <w:bottom w:val="single" w:color="auto" w:sz="8" w:space="0"/>
              <w:right w:val="single" w:color="auto" w:sz="8" w:space="0"/>
            </w:tcBorders>
            <w:noWrap w:val="0"/>
            <w:vAlign w:val="center"/>
          </w:tcPr>
          <w:p w14:paraId="13EF1630">
            <w:pPr>
              <w:spacing w:line="360" w:lineRule="auto"/>
              <w:jc w:val="center"/>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12.9</w:t>
            </w:r>
          </w:p>
        </w:tc>
        <w:tc>
          <w:tcPr>
            <w:tcW w:w="2009" w:type="dxa"/>
            <w:tcBorders>
              <w:top w:val="single" w:color="auto" w:sz="8" w:space="0"/>
              <w:left w:val="nil"/>
              <w:bottom w:val="single" w:color="auto" w:sz="8" w:space="0"/>
              <w:right w:val="single" w:color="auto" w:sz="8" w:space="0"/>
            </w:tcBorders>
            <w:noWrap w:val="0"/>
            <w:vAlign w:val="center"/>
          </w:tcPr>
          <w:p w14:paraId="6B18D898">
            <w:pPr>
              <w:spacing w:line="360" w:lineRule="auto"/>
              <w:jc w:val="both"/>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其他补充条款</w:t>
            </w:r>
          </w:p>
        </w:tc>
        <w:tc>
          <w:tcPr>
            <w:tcW w:w="6826" w:type="dxa"/>
            <w:tcBorders>
              <w:top w:val="single" w:color="auto" w:sz="8" w:space="0"/>
              <w:left w:val="nil"/>
              <w:bottom w:val="single" w:color="auto" w:sz="8" w:space="0"/>
              <w:right w:val="single" w:color="auto" w:sz="8" w:space="0"/>
            </w:tcBorders>
            <w:noWrap w:val="0"/>
            <w:vAlign w:val="top"/>
          </w:tcPr>
          <w:p w14:paraId="3BFF06CF">
            <w:pPr>
              <w:widowControl w:val="0"/>
              <w:spacing w:line="360" w:lineRule="auto"/>
              <w:rPr>
                <w:rFonts w:hint="eastAsia" w:ascii="宋体" w:hAnsi="宋体" w:eastAsia="宋体" w:cs="宋体"/>
                <w:bCs/>
                <w:color w:val="auto"/>
                <w:sz w:val="24"/>
                <w:highlight w:val="none"/>
              </w:rPr>
            </w:pPr>
            <w:r>
              <w:rPr>
                <w:rFonts w:hint="eastAsia" w:ascii="宋体" w:hAnsi="宋体" w:eastAsia="宋体" w:cs="宋体"/>
                <w:color w:val="auto"/>
                <w:kern w:val="2"/>
                <w:sz w:val="24"/>
                <w:szCs w:val="24"/>
                <w:highlight w:val="none"/>
                <w:lang w:val="en-US" w:eastAsia="zh-CN" w:bidi="ar"/>
              </w:rPr>
              <w:t>为支持和促进中小企业发展，进一步发挥政府采购政策功能，鼓励投标人使用电子保险/保函替代投标、履约保证金，支持中标人基于成交项目进行合同融资。申请人可登录【云南省政府采购金融支撑服务平台】进行了解办理，或致电95763，如您有紧急需求的可联系13732226998(谢工)。直达链接:https://jinrong.zcygov.cn/luban/finance/yunnan。</w:t>
            </w:r>
          </w:p>
        </w:tc>
      </w:tr>
    </w:tbl>
    <w:p w14:paraId="35CC82D6">
      <w:pPr>
        <w:pStyle w:val="3"/>
        <w:spacing w:before="0" w:after="0" w:line="360" w:lineRule="auto"/>
        <w:ind w:firstLine="321" w:firstLineChars="100"/>
        <w:rPr>
          <w:rFonts w:hint="eastAsia" w:ascii="宋体" w:hAnsi="宋体" w:eastAsia="宋体" w:cs="宋体"/>
          <w:color w:val="auto"/>
          <w:sz w:val="28"/>
          <w:szCs w:val="28"/>
          <w:highlight w:val="none"/>
        </w:rPr>
      </w:pPr>
      <w:r>
        <w:rPr>
          <w:rFonts w:hint="eastAsia" w:ascii="宋体" w:hAnsi="宋体" w:eastAsia="宋体" w:cs="宋体"/>
          <w:color w:val="auto"/>
          <w:highlight w:val="none"/>
        </w:rPr>
        <w:br w:type="page"/>
      </w:r>
      <w:bookmarkStart w:id="88" w:name="_Toc27064"/>
      <w:bookmarkEnd w:id="88"/>
      <w:bookmarkStart w:id="89" w:name="_Toc20589"/>
      <w:bookmarkEnd w:id="89"/>
      <w:bookmarkStart w:id="90" w:name="_Toc912"/>
      <w:bookmarkStart w:id="91" w:name="_Toc2807"/>
      <w:bookmarkStart w:id="92" w:name="_Toc19039"/>
      <w:bookmarkStart w:id="93" w:name="_Toc17"/>
      <w:r>
        <w:rPr>
          <w:rFonts w:hint="eastAsia" w:ascii="宋体" w:hAnsi="宋体" w:eastAsia="宋体" w:cs="宋体"/>
          <w:color w:val="auto"/>
          <w:sz w:val="28"/>
          <w:szCs w:val="28"/>
          <w:highlight w:val="none"/>
        </w:rPr>
        <w:t>1. 总则</w:t>
      </w:r>
      <w:bookmarkEnd w:id="90"/>
      <w:bookmarkEnd w:id="91"/>
      <w:bookmarkEnd w:id="92"/>
      <w:bookmarkEnd w:id="93"/>
    </w:p>
    <w:p w14:paraId="4B68223D">
      <w:pPr>
        <w:spacing w:line="360" w:lineRule="auto"/>
        <w:rPr>
          <w:rFonts w:hint="eastAsia" w:ascii="宋体" w:hAnsi="宋体" w:cs="宋体"/>
          <w:b/>
          <w:color w:val="auto"/>
          <w:sz w:val="24"/>
          <w:szCs w:val="24"/>
          <w:highlight w:val="none"/>
        </w:rPr>
      </w:pPr>
      <w:bookmarkStart w:id="94" w:name="_Toc31335"/>
      <w:bookmarkEnd w:id="94"/>
      <w:bookmarkStart w:id="95" w:name="_Toc700"/>
      <w:r>
        <w:rPr>
          <w:rFonts w:hint="eastAsia" w:ascii="宋体" w:hAnsi="宋体" w:cs="宋体"/>
          <w:b/>
          <w:color w:val="auto"/>
          <w:sz w:val="24"/>
          <w:szCs w:val="24"/>
          <w:highlight w:val="none"/>
        </w:rPr>
        <w:t>1.1 项目概况</w:t>
      </w:r>
      <w:bookmarkEnd w:id="95"/>
    </w:p>
    <w:p w14:paraId="71D9D59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1.1.1根据《中华人民共和国政府采购法》《中华人民共和国政府采购法实施条例》《政府采购货物和服务招标投标管理办法》(财政部令第87号)等有关规定，本招标项目已具备招标条件，现对本项目进行招标。</w:t>
      </w:r>
    </w:p>
    <w:p w14:paraId="516C95E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1.1.2 采购人：见投标人须知前附表。</w:t>
      </w:r>
    </w:p>
    <w:p w14:paraId="76496E09">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1.1.3 采购代理机构：见投标人须知前附表。</w:t>
      </w:r>
    </w:p>
    <w:p w14:paraId="7352672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1.1.4 项目名称：见投标人须知前附表。</w:t>
      </w:r>
    </w:p>
    <w:p w14:paraId="22253C18">
      <w:pPr>
        <w:spacing w:line="360" w:lineRule="auto"/>
        <w:rPr>
          <w:rFonts w:hint="eastAsia" w:ascii="宋体" w:hAnsi="宋体" w:cs="宋体"/>
          <w:b/>
          <w:color w:val="auto"/>
          <w:sz w:val="24"/>
          <w:szCs w:val="24"/>
          <w:highlight w:val="none"/>
        </w:rPr>
      </w:pPr>
      <w:bookmarkStart w:id="96" w:name="_Toc27395"/>
      <w:bookmarkEnd w:id="96"/>
      <w:bookmarkStart w:id="97" w:name="_Toc28747"/>
      <w:r>
        <w:rPr>
          <w:rFonts w:hint="eastAsia" w:ascii="宋体" w:hAnsi="宋体" w:cs="宋体"/>
          <w:b/>
          <w:color w:val="auto"/>
          <w:sz w:val="24"/>
          <w:szCs w:val="24"/>
          <w:highlight w:val="none"/>
        </w:rPr>
        <w:t>1.2 招标项目的资金情况</w:t>
      </w:r>
      <w:bookmarkEnd w:id="97"/>
    </w:p>
    <w:p w14:paraId="17777A0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1.2.1 资金落实情况：见投标人须知前附表。</w:t>
      </w:r>
    </w:p>
    <w:p w14:paraId="4BB3D42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1.2.2 预算金额：见投标人须知前附表。</w:t>
      </w:r>
    </w:p>
    <w:p w14:paraId="05D11473">
      <w:pPr>
        <w:spacing w:line="360" w:lineRule="auto"/>
        <w:rPr>
          <w:rFonts w:hint="eastAsia" w:ascii="宋体" w:hAnsi="宋体" w:cs="宋体"/>
          <w:b/>
          <w:color w:val="auto"/>
          <w:sz w:val="24"/>
          <w:szCs w:val="24"/>
          <w:highlight w:val="none"/>
        </w:rPr>
      </w:pPr>
      <w:bookmarkStart w:id="98" w:name="_Toc16064"/>
      <w:bookmarkEnd w:id="98"/>
      <w:bookmarkStart w:id="99" w:name="_Toc20957"/>
      <w:r>
        <w:rPr>
          <w:rFonts w:hint="eastAsia" w:ascii="宋体" w:hAnsi="宋体" w:cs="宋体"/>
          <w:b/>
          <w:color w:val="auto"/>
          <w:sz w:val="24"/>
          <w:szCs w:val="24"/>
          <w:highlight w:val="none"/>
        </w:rPr>
        <w:t>1.3采购内容、交货期、质保期、交货地点</w:t>
      </w:r>
      <w:bookmarkEnd w:id="99"/>
      <w:r>
        <w:rPr>
          <w:rFonts w:hint="eastAsia" w:ascii="宋体" w:hAnsi="宋体" w:cs="宋体"/>
          <w:b/>
          <w:color w:val="auto"/>
          <w:sz w:val="24"/>
          <w:szCs w:val="24"/>
          <w:highlight w:val="none"/>
        </w:rPr>
        <w:t>、交货方式</w:t>
      </w:r>
    </w:p>
    <w:p w14:paraId="55D4E94E">
      <w:pPr>
        <w:spacing w:line="360" w:lineRule="auto"/>
        <w:ind w:firstLine="480" w:firstLineChars="200"/>
        <w:rPr>
          <w:rFonts w:hint="eastAsia" w:ascii="宋体" w:hAnsi="宋体" w:cs="宋体"/>
          <w:color w:val="auto"/>
          <w:sz w:val="24"/>
          <w:szCs w:val="24"/>
          <w:highlight w:val="none"/>
        </w:rPr>
      </w:pPr>
      <w:bookmarkStart w:id="100" w:name="_Toc16202"/>
      <w:bookmarkEnd w:id="100"/>
      <w:r>
        <w:rPr>
          <w:rFonts w:hint="eastAsia" w:ascii="宋体" w:hAnsi="宋体" w:cs="宋体"/>
          <w:color w:val="auto"/>
          <w:sz w:val="24"/>
          <w:szCs w:val="24"/>
          <w:highlight w:val="none"/>
        </w:rPr>
        <w:t>1.3.1 采购内容：见投标人须知前附表。</w:t>
      </w:r>
    </w:p>
    <w:p w14:paraId="48C5DC73">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1.3.2 交货期、质保期：见投标人须知前附表。</w:t>
      </w:r>
    </w:p>
    <w:p w14:paraId="4D36531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1.3.3 交货地点、交货方式：见投标人须知前附表。</w:t>
      </w:r>
    </w:p>
    <w:p w14:paraId="4C0618B6">
      <w:pPr>
        <w:spacing w:line="360" w:lineRule="auto"/>
        <w:rPr>
          <w:rFonts w:hint="eastAsia" w:ascii="宋体" w:hAnsi="宋体" w:cs="宋体"/>
          <w:b/>
          <w:color w:val="auto"/>
          <w:sz w:val="24"/>
          <w:szCs w:val="24"/>
          <w:highlight w:val="none"/>
        </w:rPr>
      </w:pPr>
      <w:bookmarkStart w:id="101" w:name="_Toc17694"/>
      <w:bookmarkEnd w:id="101"/>
      <w:bookmarkStart w:id="102" w:name="_Toc10611"/>
      <w:r>
        <w:rPr>
          <w:rFonts w:hint="eastAsia" w:ascii="宋体" w:hAnsi="宋体" w:cs="宋体"/>
          <w:b/>
          <w:color w:val="auto"/>
          <w:sz w:val="24"/>
          <w:szCs w:val="24"/>
          <w:highlight w:val="none"/>
        </w:rPr>
        <w:t>1.4 投标人资格要求</w:t>
      </w:r>
      <w:bookmarkEnd w:id="102"/>
    </w:p>
    <w:p w14:paraId="51F0B7E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1.4.1 投标人应具备承担本项目的资格条件。</w:t>
      </w:r>
    </w:p>
    <w:p w14:paraId="5B067CA9">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1.4.2 本项目不接受联合体投标。</w:t>
      </w:r>
    </w:p>
    <w:p w14:paraId="6F087410">
      <w:pPr>
        <w:spacing w:line="360" w:lineRule="auto"/>
        <w:rPr>
          <w:rFonts w:hint="eastAsia" w:ascii="宋体" w:hAnsi="宋体" w:cs="宋体"/>
          <w:b/>
          <w:color w:val="auto"/>
          <w:sz w:val="24"/>
          <w:szCs w:val="24"/>
          <w:highlight w:val="none"/>
        </w:rPr>
      </w:pPr>
      <w:bookmarkStart w:id="103" w:name="_Toc27960"/>
      <w:bookmarkEnd w:id="103"/>
      <w:bookmarkStart w:id="104" w:name="_Toc18144"/>
      <w:r>
        <w:rPr>
          <w:rFonts w:hint="eastAsia" w:ascii="宋体" w:hAnsi="宋体" w:cs="宋体"/>
          <w:b/>
          <w:color w:val="auto"/>
          <w:sz w:val="24"/>
          <w:szCs w:val="24"/>
          <w:highlight w:val="none"/>
        </w:rPr>
        <w:t>1.5 费用承担</w:t>
      </w:r>
      <w:bookmarkEnd w:id="104"/>
    </w:p>
    <w:p w14:paraId="79B581D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投标人准备和参加投标活动发生的费用自理。</w:t>
      </w:r>
    </w:p>
    <w:p w14:paraId="2CA84E85">
      <w:pPr>
        <w:spacing w:line="360" w:lineRule="auto"/>
        <w:rPr>
          <w:rFonts w:hint="eastAsia" w:ascii="宋体" w:hAnsi="宋体" w:cs="宋体"/>
          <w:b/>
          <w:color w:val="auto"/>
          <w:sz w:val="24"/>
          <w:szCs w:val="24"/>
          <w:highlight w:val="none"/>
        </w:rPr>
      </w:pPr>
      <w:bookmarkStart w:id="105" w:name="_Toc6230"/>
      <w:bookmarkEnd w:id="105"/>
      <w:bookmarkStart w:id="106" w:name="_Toc16680"/>
      <w:r>
        <w:rPr>
          <w:rFonts w:hint="eastAsia" w:ascii="宋体" w:hAnsi="宋体" w:cs="宋体"/>
          <w:b/>
          <w:color w:val="auto"/>
          <w:sz w:val="24"/>
          <w:szCs w:val="24"/>
          <w:highlight w:val="none"/>
        </w:rPr>
        <w:t>1.6 保密</w:t>
      </w:r>
      <w:bookmarkEnd w:id="106"/>
    </w:p>
    <w:p w14:paraId="5429334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参与招标投标活动的各方应对招标文件和投标文件中的商业和技术等秘密保密，则应承担相应的法律责任。</w:t>
      </w:r>
    </w:p>
    <w:p w14:paraId="191383EA">
      <w:pPr>
        <w:spacing w:line="360" w:lineRule="auto"/>
        <w:rPr>
          <w:rFonts w:hint="eastAsia" w:ascii="宋体" w:hAnsi="宋体" w:cs="宋体"/>
          <w:b/>
          <w:color w:val="auto"/>
          <w:sz w:val="24"/>
          <w:szCs w:val="24"/>
          <w:highlight w:val="none"/>
        </w:rPr>
      </w:pPr>
      <w:bookmarkStart w:id="107" w:name="_Toc31781"/>
      <w:bookmarkEnd w:id="107"/>
      <w:bookmarkStart w:id="108" w:name="_Toc787"/>
      <w:r>
        <w:rPr>
          <w:rFonts w:hint="eastAsia" w:ascii="宋体" w:hAnsi="宋体" w:cs="宋体"/>
          <w:b/>
          <w:color w:val="auto"/>
          <w:sz w:val="24"/>
          <w:szCs w:val="24"/>
          <w:highlight w:val="none"/>
        </w:rPr>
        <w:t>1.7 语言文字</w:t>
      </w:r>
      <w:bookmarkEnd w:id="108"/>
    </w:p>
    <w:p w14:paraId="6EC62A6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招标投标文件使用的语言文字为中文。专用术语使用外文的，应附有中文注释。</w:t>
      </w:r>
    </w:p>
    <w:p w14:paraId="2A73456E">
      <w:pPr>
        <w:spacing w:line="360" w:lineRule="auto"/>
        <w:rPr>
          <w:rFonts w:hint="eastAsia" w:ascii="宋体" w:hAnsi="宋体" w:cs="宋体"/>
          <w:b/>
          <w:color w:val="auto"/>
          <w:sz w:val="24"/>
          <w:szCs w:val="24"/>
          <w:highlight w:val="none"/>
        </w:rPr>
      </w:pPr>
      <w:bookmarkStart w:id="109" w:name="_Toc29423"/>
      <w:bookmarkEnd w:id="109"/>
      <w:bookmarkStart w:id="110" w:name="_Toc29116"/>
      <w:r>
        <w:rPr>
          <w:rFonts w:hint="eastAsia" w:ascii="宋体" w:hAnsi="宋体" w:cs="宋体"/>
          <w:b/>
          <w:color w:val="auto"/>
          <w:sz w:val="24"/>
          <w:szCs w:val="24"/>
          <w:highlight w:val="none"/>
        </w:rPr>
        <w:t>1.8 计量单位</w:t>
      </w:r>
      <w:bookmarkEnd w:id="110"/>
    </w:p>
    <w:p w14:paraId="0B36A56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所有计量均采用中华人民共和国法定计量单位。</w:t>
      </w:r>
    </w:p>
    <w:p w14:paraId="586157DD">
      <w:pPr>
        <w:spacing w:line="360" w:lineRule="auto"/>
        <w:rPr>
          <w:rFonts w:hint="eastAsia" w:ascii="宋体" w:hAnsi="宋体" w:cs="宋体"/>
          <w:b/>
          <w:color w:val="auto"/>
          <w:sz w:val="24"/>
          <w:szCs w:val="24"/>
          <w:highlight w:val="none"/>
        </w:rPr>
      </w:pPr>
      <w:bookmarkStart w:id="111" w:name="_Toc247513962"/>
      <w:bookmarkEnd w:id="111"/>
      <w:bookmarkStart w:id="112" w:name="_Toc247592876"/>
      <w:bookmarkEnd w:id="112"/>
      <w:bookmarkStart w:id="113" w:name="_Toc152045539"/>
      <w:bookmarkEnd w:id="113"/>
      <w:bookmarkStart w:id="114" w:name="_Toc152042315"/>
      <w:bookmarkEnd w:id="114"/>
      <w:bookmarkStart w:id="115" w:name="_Toc296602429"/>
      <w:bookmarkEnd w:id="115"/>
      <w:bookmarkStart w:id="116" w:name="_Toc29812"/>
      <w:bookmarkEnd w:id="116"/>
      <w:bookmarkStart w:id="117" w:name="_Toc144974507"/>
      <w:bookmarkEnd w:id="117"/>
      <w:bookmarkStart w:id="118" w:name="_Toc247527563"/>
      <w:bookmarkEnd w:id="118"/>
      <w:bookmarkStart w:id="119" w:name="_Toc29408"/>
      <w:r>
        <w:rPr>
          <w:rFonts w:hint="eastAsia" w:ascii="宋体" w:hAnsi="宋体" w:cs="宋体"/>
          <w:b/>
          <w:color w:val="auto"/>
          <w:sz w:val="24"/>
          <w:szCs w:val="24"/>
          <w:highlight w:val="none"/>
        </w:rPr>
        <w:t>1.9 现场</w:t>
      </w:r>
      <w:bookmarkEnd w:id="119"/>
      <w:r>
        <w:rPr>
          <w:rFonts w:hint="eastAsia" w:ascii="宋体" w:hAnsi="宋体" w:cs="宋体"/>
          <w:b/>
          <w:color w:val="auto"/>
          <w:sz w:val="24"/>
          <w:szCs w:val="24"/>
          <w:highlight w:val="none"/>
        </w:rPr>
        <w:t>考察</w:t>
      </w:r>
    </w:p>
    <w:p w14:paraId="200C270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本项目不组织现场考察。</w:t>
      </w:r>
    </w:p>
    <w:p w14:paraId="479ABDCF">
      <w:pPr>
        <w:pStyle w:val="3"/>
        <w:spacing w:before="0" w:after="0" w:line="360" w:lineRule="auto"/>
        <w:rPr>
          <w:rFonts w:hint="eastAsia" w:ascii="宋体" w:hAnsi="宋体" w:eastAsia="宋体" w:cs="宋体"/>
          <w:color w:val="auto"/>
          <w:sz w:val="28"/>
          <w:szCs w:val="28"/>
          <w:highlight w:val="none"/>
        </w:rPr>
      </w:pPr>
      <w:bookmarkStart w:id="120" w:name="_Toc587"/>
      <w:bookmarkEnd w:id="120"/>
      <w:bookmarkStart w:id="121" w:name="_Toc31795"/>
      <w:bookmarkEnd w:id="121"/>
      <w:bookmarkStart w:id="122" w:name="_Toc32012"/>
      <w:bookmarkEnd w:id="122"/>
      <w:bookmarkStart w:id="123" w:name="_Toc31848"/>
      <w:bookmarkEnd w:id="123"/>
      <w:bookmarkStart w:id="124" w:name="_Toc2549"/>
      <w:bookmarkStart w:id="125" w:name="_Toc5133"/>
      <w:bookmarkStart w:id="126" w:name="_Toc31733"/>
      <w:bookmarkStart w:id="127" w:name="_Toc28561"/>
      <w:r>
        <w:rPr>
          <w:rFonts w:hint="eastAsia" w:ascii="宋体" w:hAnsi="宋体" w:eastAsia="宋体" w:cs="宋体"/>
          <w:color w:val="auto"/>
          <w:sz w:val="28"/>
          <w:szCs w:val="28"/>
          <w:highlight w:val="none"/>
        </w:rPr>
        <w:t>2. 招标文件</w:t>
      </w:r>
      <w:bookmarkEnd w:id="124"/>
      <w:bookmarkEnd w:id="125"/>
      <w:bookmarkEnd w:id="126"/>
      <w:bookmarkEnd w:id="127"/>
    </w:p>
    <w:p w14:paraId="280BBCA5">
      <w:pPr>
        <w:spacing w:line="360" w:lineRule="auto"/>
        <w:rPr>
          <w:rFonts w:hint="eastAsia" w:ascii="宋体" w:hAnsi="宋体" w:cs="宋体"/>
          <w:b/>
          <w:color w:val="auto"/>
          <w:sz w:val="24"/>
          <w:szCs w:val="24"/>
          <w:highlight w:val="none"/>
        </w:rPr>
      </w:pPr>
      <w:bookmarkStart w:id="128" w:name="_Toc21536"/>
      <w:bookmarkEnd w:id="128"/>
      <w:bookmarkStart w:id="129" w:name="_Toc16596"/>
      <w:r>
        <w:rPr>
          <w:rFonts w:hint="eastAsia" w:ascii="宋体" w:hAnsi="宋体" w:cs="宋体"/>
          <w:b/>
          <w:color w:val="auto"/>
          <w:sz w:val="24"/>
          <w:szCs w:val="24"/>
          <w:highlight w:val="none"/>
        </w:rPr>
        <w:t>2.1 招标文件的组成</w:t>
      </w:r>
      <w:bookmarkEnd w:id="129"/>
    </w:p>
    <w:p w14:paraId="5B429BF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本招标文件包括：</w:t>
      </w:r>
    </w:p>
    <w:p w14:paraId="629B5832">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(1)招标公告；</w:t>
      </w:r>
    </w:p>
    <w:p w14:paraId="2201F21B">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(2)投标人须知；</w:t>
      </w:r>
    </w:p>
    <w:p w14:paraId="23CBD83B">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(3)资格审查；</w:t>
      </w:r>
    </w:p>
    <w:p w14:paraId="58E6F0B2">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(4)评标办法；</w:t>
      </w:r>
    </w:p>
    <w:p w14:paraId="6B8FB2AB">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(5)合同条款及格式；</w:t>
      </w:r>
    </w:p>
    <w:p w14:paraId="74AA3112">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(6)招标内容及要求；</w:t>
      </w:r>
    </w:p>
    <w:p w14:paraId="5B289F07">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(7)投标文件格式；</w:t>
      </w:r>
    </w:p>
    <w:p w14:paraId="23D951E7">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(8)投标人须知前附表规定的其他材料。</w:t>
      </w:r>
    </w:p>
    <w:p w14:paraId="6E5E26B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根据本章第2.2 款对招标文件所作的澄清、修改，构成招标文件的组成部分。</w:t>
      </w:r>
    </w:p>
    <w:p w14:paraId="4A600386">
      <w:pPr>
        <w:spacing w:line="360" w:lineRule="auto"/>
        <w:rPr>
          <w:rFonts w:hint="eastAsia" w:ascii="宋体" w:hAnsi="宋体" w:cs="宋体"/>
          <w:b/>
          <w:color w:val="auto"/>
          <w:sz w:val="24"/>
          <w:szCs w:val="24"/>
          <w:highlight w:val="none"/>
        </w:rPr>
      </w:pPr>
      <w:bookmarkStart w:id="130" w:name="_Toc29741"/>
      <w:bookmarkEnd w:id="130"/>
      <w:bookmarkStart w:id="131" w:name="_Toc16663"/>
      <w:bookmarkEnd w:id="131"/>
      <w:bookmarkStart w:id="132" w:name="_Toc24916"/>
      <w:bookmarkEnd w:id="132"/>
      <w:bookmarkStart w:id="133" w:name="_Toc23003"/>
      <w:bookmarkEnd w:id="133"/>
      <w:bookmarkStart w:id="134" w:name="_Toc520356148"/>
      <w:bookmarkStart w:id="135" w:name="_Toc515904805"/>
      <w:bookmarkStart w:id="136" w:name="_Toc26044"/>
      <w:bookmarkStart w:id="137" w:name="_Toc2582270"/>
      <w:bookmarkStart w:id="138" w:name="_Toc9232"/>
      <w:bookmarkStart w:id="139" w:name="_Toc532473456"/>
      <w:bookmarkStart w:id="140" w:name="_Toc24768"/>
      <w:r>
        <w:rPr>
          <w:rFonts w:hint="eastAsia" w:ascii="宋体" w:hAnsi="宋体" w:cs="宋体"/>
          <w:b/>
          <w:color w:val="auto"/>
          <w:sz w:val="24"/>
          <w:szCs w:val="24"/>
          <w:highlight w:val="none"/>
        </w:rPr>
        <w:t>2.2 招标文件的澄清</w:t>
      </w:r>
      <w:bookmarkEnd w:id="134"/>
      <w:bookmarkEnd w:id="135"/>
      <w:r>
        <w:rPr>
          <w:rFonts w:hint="eastAsia" w:ascii="宋体" w:hAnsi="宋体" w:cs="宋体"/>
          <w:b/>
          <w:color w:val="auto"/>
          <w:sz w:val="24"/>
          <w:szCs w:val="24"/>
          <w:highlight w:val="none"/>
        </w:rPr>
        <w:t>与修改</w:t>
      </w:r>
      <w:bookmarkEnd w:id="136"/>
      <w:bookmarkEnd w:id="137"/>
      <w:bookmarkEnd w:id="138"/>
      <w:bookmarkEnd w:id="139"/>
    </w:p>
    <w:p w14:paraId="1FF5F73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2.2.1投标人应仔细阅读和检查招标文件的全部内容。如发现缺页或附件不全，应及时向采购代理机构提出，以便补齐。</w:t>
      </w:r>
    </w:p>
    <w:p w14:paraId="14176C7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2.2.2采购人、采购代理机构可以对已发出的招标文件等进行必要的澄清或者修改。澄清或者修改的内容为招标文件的组成部分。澄清或者修改应当在原公告发布媒体上发布更正公告。</w:t>
      </w:r>
    </w:p>
    <w:p w14:paraId="183E185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2.2.3招标文件的澄清或者修改以投标人须知前附表规定的形式发出，但不指明澄清问题的来源。澄清或者修改发出的时间距本章第4.2.1项规定的投标截止时间不足15日的，并且澄清或者修改内容可能影响投标文件编制的，将相应延长投标截止时间。</w:t>
      </w:r>
    </w:p>
    <w:p w14:paraId="6881720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2.2.4招标文件中有不一致的，有澄清的部分以最终的澄清更正内容为准；未澄清的，以投标人须知前附表为准；投标人须知前附表不涉及的内容，以编排在后的最后描述为准。</w:t>
      </w:r>
    </w:p>
    <w:p w14:paraId="29E930C9">
      <w:pPr>
        <w:pStyle w:val="3"/>
        <w:spacing w:before="0" w:after="0" w:line="360" w:lineRule="auto"/>
        <w:rPr>
          <w:rFonts w:hint="eastAsia" w:ascii="宋体" w:hAnsi="宋体" w:eastAsia="宋体" w:cs="宋体"/>
          <w:color w:val="auto"/>
          <w:sz w:val="28"/>
          <w:szCs w:val="28"/>
          <w:highlight w:val="none"/>
        </w:rPr>
      </w:pPr>
      <w:bookmarkStart w:id="141" w:name="_Toc6334"/>
      <w:bookmarkStart w:id="142" w:name="_Toc16552"/>
      <w:bookmarkStart w:id="143" w:name="_Toc17623"/>
      <w:r>
        <w:rPr>
          <w:rFonts w:hint="eastAsia" w:ascii="宋体" w:hAnsi="宋体" w:eastAsia="宋体" w:cs="宋体"/>
          <w:color w:val="auto"/>
          <w:sz w:val="28"/>
          <w:szCs w:val="28"/>
          <w:highlight w:val="none"/>
        </w:rPr>
        <w:t>3. 投标文件</w:t>
      </w:r>
      <w:bookmarkEnd w:id="140"/>
      <w:bookmarkEnd w:id="141"/>
      <w:bookmarkEnd w:id="142"/>
      <w:bookmarkEnd w:id="143"/>
    </w:p>
    <w:p w14:paraId="0DAA5E15">
      <w:pPr>
        <w:spacing w:line="360" w:lineRule="auto"/>
        <w:rPr>
          <w:rFonts w:hint="eastAsia" w:ascii="宋体" w:hAnsi="宋体" w:cs="宋体"/>
          <w:b/>
          <w:color w:val="auto"/>
          <w:sz w:val="24"/>
          <w:szCs w:val="24"/>
          <w:highlight w:val="none"/>
        </w:rPr>
      </w:pPr>
      <w:bookmarkStart w:id="144" w:name="_Toc2432"/>
      <w:bookmarkEnd w:id="144"/>
      <w:bookmarkStart w:id="145" w:name="_Toc4962"/>
      <w:r>
        <w:rPr>
          <w:rFonts w:hint="eastAsia" w:ascii="宋体" w:hAnsi="宋体" w:cs="宋体"/>
          <w:b/>
          <w:color w:val="auto"/>
          <w:sz w:val="24"/>
          <w:szCs w:val="24"/>
          <w:highlight w:val="none"/>
        </w:rPr>
        <w:t>3.1 投标文件的组成</w:t>
      </w:r>
      <w:bookmarkEnd w:id="145"/>
    </w:p>
    <w:p w14:paraId="758A2D8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3.1.1 投标文件资格审查部分详见第七章“投标文件格式”资格审查部分中的内容。</w:t>
      </w:r>
    </w:p>
    <w:p w14:paraId="7D542CF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3.1.2 投标文件商务技术部分详见第七章“投标文件格式”商务技术部分中的内容。</w:t>
      </w:r>
    </w:p>
    <w:p w14:paraId="7E438438">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投标人在评标过程中作出的符合法律法规和招标文件规定的澄清确认，构成投标文件的组成部分。</w:t>
      </w:r>
    </w:p>
    <w:p w14:paraId="004826C4">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3.1.3 投标人须知前附表未要求提交投标保证金的，投标文件不包括第七章“投标文件格式”商务技术部分中所指的投标保证金。 </w:t>
      </w:r>
    </w:p>
    <w:p w14:paraId="183F4672">
      <w:pPr>
        <w:spacing w:line="360" w:lineRule="auto"/>
        <w:rPr>
          <w:rFonts w:hint="eastAsia" w:ascii="宋体" w:hAnsi="宋体" w:cs="宋体"/>
          <w:b/>
          <w:color w:val="auto"/>
          <w:sz w:val="24"/>
          <w:szCs w:val="24"/>
          <w:highlight w:val="none"/>
        </w:rPr>
      </w:pPr>
      <w:bookmarkStart w:id="146" w:name="_Toc3252"/>
      <w:bookmarkEnd w:id="146"/>
      <w:bookmarkStart w:id="147" w:name="_Toc21369"/>
      <w:r>
        <w:rPr>
          <w:rFonts w:hint="eastAsia" w:ascii="宋体" w:hAnsi="宋体" w:cs="宋体"/>
          <w:b/>
          <w:color w:val="auto"/>
          <w:sz w:val="24"/>
          <w:szCs w:val="24"/>
          <w:highlight w:val="none"/>
        </w:rPr>
        <w:t>3.2 投标报价</w:t>
      </w:r>
      <w:bookmarkEnd w:id="147"/>
    </w:p>
    <w:p w14:paraId="040DF1AA">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3.2.1 投标人应按第七章“投标文件格式”的要求在投标函中进行报价并填写分项报价表。</w:t>
      </w:r>
    </w:p>
    <w:p w14:paraId="798EC495">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3.2.2 投标人应充分了解该项目的总体情况以及影响投标报价的其他要素。</w:t>
      </w:r>
    </w:p>
    <w:p w14:paraId="08F73E45">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3.2.3 投标人的投标报价不得超过预算金额，若采购人还设有最高限价的，投标人的投标报价还应当不得超过最高限价，最高限价在投标人须知前附表中载明。</w:t>
      </w:r>
    </w:p>
    <w:p w14:paraId="04DBDCAA">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3.2.4 投标报价的其他要求见投标人须知前附表。</w:t>
      </w:r>
    </w:p>
    <w:p w14:paraId="7D704584">
      <w:pPr>
        <w:spacing w:line="360" w:lineRule="auto"/>
        <w:rPr>
          <w:rFonts w:hint="eastAsia" w:ascii="宋体" w:hAnsi="宋体" w:cs="宋体"/>
          <w:b/>
          <w:color w:val="auto"/>
          <w:sz w:val="24"/>
          <w:szCs w:val="24"/>
          <w:highlight w:val="none"/>
        </w:rPr>
      </w:pPr>
      <w:bookmarkStart w:id="148" w:name="_Toc12995"/>
      <w:bookmarkEnd w:id="148"/>
      <w:bookmarkStart w:id="149" w:name="_Toc14190"/>
      <w:r>
        <w:rPr>
          <w:rFonts w:hint="eastAsia" w:ascii="宋体" w:hAnsi="宋体" w:cs="宋体"/>
          <w:b/>
          <w:color w:val="auto"/>
          <w:sz w:val="24"/>
          <w:szCs w:val="24"/>
          <w:highlight w:val="none"/>
        </w:rPr>
        <w:t>3.3 投标有效期</w:t>
      </w:r>
      <w:bookmarkEnd w:id="149"/>
    </w:p>
    <w:p w14:paraId="519CBA0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3.3.1投标有效期见投标人须知前附表。</w:t>
      </w:r>
    </w:p>
    <w:p w14:paraId="0E228F2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3.3.2在投标有效期内，投标人撤销或修改其投标文件的，应承担招标文件和法律规定的责任。</w:t>
      </w:r>
    </w:p>
    <w:p w14:paraId="778F8C1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3.3.3 出现特殊情况需要延长投标有效期的，采购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14:paraId="642B1A13">
      <w:pPr>
        <w:spacing w:line="360" w:lineRule="auto"/>
        <w:rPr>
          <w:rFonts w:hint="eastAsia" w:ascii="宋体" w:hAnsi="宋体" w:cs="宋体"/>
          <w:b/>
          <w:color w:val="auto"/>
          <w:sz w:val="24"/>
          <w:szCs w:val="24"/>
          <w:highlight w:val="none"/>
        </w:rPr>
      </w:pPr>
      <w:bookmarkStart w:id="150" w:name="_Toc1543"/>
      <w:bookmarkEnd w:id="150"/>
      <w:bookmarkStart w:id="151" w:name="_Toc23125"/>
      <w:r>
        <w:rPr>
          <w:rFonts w:hint="eastAsia" w:ascii="宋体" w:hAnsi="宋体" w:cs="宋体"/>
          <w:b/>
          <w:color w:val="auto"/>
          <w:sz w:val="24"/>
          <w:szCs w:val="24"/>
          <w:highlight w:val="none"/>
        </w:rPr>
        <w:t>3.4 投标保证金</w:t>
      </w:r>
      <w:bookmarkEnd w:id="151"/>
    </w:p>
    <w:p w14:paraId="76451C3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3.4.1投标人在递交投标文件的同时，应按投标人须知前附表规定的金额、形式和第七章“投标文件格式”规定的投标保证金格式递交投标保证金，并作为其投标文件的组成部分。</w:t>
      </w:r>
    </w:p>
    <w:p w14:paraId="422DBED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3.4.2 投标人不按本章第3.4.1 项要求提交投标保证金的，其投标将被视为无效投标。</w:t>
      </w:r>
    </w:p>
    <w:p w14:paraId="777D672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3.4.3 采购人或者采购代理机构应当自中标通知书发出之日起5个工作日内退还未中标人的投标保证金，自采购合同签订之日起5个工作日内退还中标人的投标保证金。</w:t>
      </w:r>
    </w:p>
    <w:p w14:paraId="73193AC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3.4.4 有下列情形之一的，投标保证金将不予退还：</w:t>
      </w:r>
    </w:p>
    <w:p w14:paraId="06BB8CB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(1)投标人在投标有效期内撤销投标文件；</w:t>
      </w:r>
    </w:p>
    <w:p w14:paraId="7433FB5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(2)中标人在收到中标通知书后，无正当理由不与采购人订立合同，在签订合同时向采购人提出附加条件；</w:t>
      </w:r>
    </w:p>
    <w:p w14:paraId="1B4649FA">
      <w:pPr>
        <w:spacing w:line="360" w:lineRule="auto"/>
        <w:ind w:left="479" w:leftChars="228"/>
        <w:rPr>
          <w:rFonts w:hint="eastAsia" w:ascii="宋体" w:hAnsi="宋体" w:cs="宋体"/>
          <w:color w:val="auto"/>
          <w:sz w:val="24"/>
          <w:szCs w:val="24"/>
          <w:highlight w:val="none"/>
        </w:rPr>
      </w:pPr>
      <w:r>
        <w:rPr>
          <w:rFonts w:hint="eastAsia" w:ascii="宋体" w:hAnsi="宋体" w:cs="宋体"/>
          <w:color w:val="auto"/>
          <w:sz w:val="24"/>
          <w:szCs w:val="24"/>
          <w:highlight w:val="none"/>
        </w:rPr>
        <w:t>(3)其他法律法规要求不予退还投标保证金的情形。</w:t>
      </w:r>
    </w:p>
    <w:p w14:paraId="57A2078C">
      <w:pPr>
        <w:spacing w:line="360" w:lineRule="auto"/>
        <w:rPr>
          <w:rFonts w:hint="eastAsia" w:ascii="宋体" w:hAnsi="宋体" w:cs="宋体"/>
          <w:b/>
          <w:color w:val="auto"/>
          <w:sz w:val="24"/>
          <w:szCs w:val="24"/>
          <w:highlight w:val="none"/>
        </w:rPr>
      </w:pPr>
      <w:bookmarkStart w:id="152" w:name="_Toc32408"/>
      <w:bookmarkEnd w:id="152"/>
      <w:bookmarkStart w:id="153" w:name="_Toc4859"/>
      <w:r>
        <w:rPr>
          <w:rFonts w:hint="eastAsia" w:ascii="宋体" w:hAnsi="宋体" w:cs="宋体"/>
          <w:b/>
          <w:color w:val="auto"/>
          <w:sz w:val="24"/>
          <w:szCs w:val="24"/>
          <w:highlight w:val="none"/>
        </w:rPr>
        <w:t>3.5投标文件的编制</w:t>
      </w:r>
      <w:bookmarkEnd w:id="153"/>
    </w:p>
    <w:p w14:paraId="6D1341A3">
      <w:pPr>
        <w:spacing w:line="360" w:lineRule="auto"/>
        <w:ind w:firstLine="480" w:firstLineChars="200"/>
        <w:rPr>
          <w:rFonts w:hint="eastAsia" w:ascii="宋体" w:hAnsi="宋体" w:cs="宋体"/>
          <w:color w:val="auto"/>
          <w:sz w:val="24"/>
          <w:szCs w:val="24"/>
          <w:highlight w:val="none"/>
        </w:rPr>
      </w:pPr>
      <w:bookmarkStart w:id="154" w:name="_Toc7149"/>
      <w:r>
        <w:rPr>
          <w:rFonts w:hint="eastAsia" w:ascii="宋体" w:hAnsi="宋体" w:cs="宋体"/>
          <w:color w:val="auto"/>
          <w:sz w:val="24"/>
          <w:szCs w:val="24"/>
          <w:highlight w:val="none"/>
        </w:rPr>
        <w:t>3.5.1 投标文件应按第七章“投标文件格式”进行编写。</w:t>
      </w:r>
    </w:p>
    <w:p w14:paraId="1A97FC2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3.5.2投标文件全部采用电子文档，除投标人须知前附表另有规定外，投标文件所附证书证件均为原件扫描件，并采用单位和个人数字证书，按招标文件要求在相应位置加盖电子签章。由投标人的法定代表人(单位负责人)签字或加盖电子签章的，应附法定代表人(单位负责人)身份证明，由代理人签字或加盖电子签章的，应附由法定代表人(单位负责人)签署的授权委托书。</w:t>
      </w:r>
    </w:p>
    <w:p w14:paraId="7B7586E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3.5.3投标文件编制的其他要求见投标人须知前附表。</w:t>
      </w:r>
    </w:p>
    <w:p w14:paraId="37848B00">
      <w:pPr>
        <w:pStyle w:val="3"/>
        <w:spacing w:before="0" w:after="0" w:line="360" w:lineRule="auto"/>
        <w:rPr>
          <w:rFonts w:hint="eastAsia" w:ascii="宋体" w:hAnsi="宋体" w:eastAsia="宋体" w:cs="宋体"/>
          <w:color w:val="auto"/>
          <w:sz w:val="28"/>
          <w:szCs w:val="28"/>
          <w:highlight w:val="none"/>
        </w:rPr>
      </w:pPr>
      <w:bookmarkStart w:id="155" w:name="_Toc3700"/>
      <w:bookmarkStart w:id="156" w:name="_Toc26734"/>
      <w:bookmarkStart w:id="157" w:name="_Toc29527"/>
      <w:r>
        <w:rPr>
          <w:rFonts w:hint="eastAsia" w:ascii="宋体" w:hAnsi="宋体" w:eastAsia="宋体" w:cs="宋体"/>
          <w:color w:val="auto"/>
          <w:sz w:val="28"/>
          <w:szCs w:val="28"/>
          <w:highlight w:val="none"/>
        </w:rPr>
        <w:t>4. 投标</w:t>
      </w:r>
      <w:bookmarkEnd w:id="154"/>
      <w:bookmarkEnd w:id="155"/>
      <w:bookmarkEnd w:id="156"/>
      <w:bookmarkEnd w:id="157"/>
    </w:p>
    <w:p w14:paraId="5B71FA5B">
      <w:pPr>
        <w:spacing w:line="360" w:lineRule="auto"/>
        <w:rPr>
          <w:rFonts w:hint="eastAsia" w:ascii="宋体" w:hAnsi="宋体" w:cs="宋体"/>
          <w:b/>
          <w:color w:val="auto"/>
          <w:sz w:val="24"/>
          <w:szCs w:val="24"/>
          <w:highlight w:val="none"/>
        </w:rPr>
      </w:pPr>
      <w:bookmarkStart w:id="158" w:name="_Toc1523"/>
      <w:bookmarkEnd w:id="158"/>
      <w:bookmarkStart w:id="159" w:name="_Toc25497"/>
      <w:r>
        <w:rPr>
          <w:rFonts w:hint="eastAsia" w:ascii="宋体" w:hAnsi="宋体" w:cs="宋体"/>
          <w:b/>
          <w:color w:val="auto"/>
          <w:sz w:val="24"/>
          <w:szCs w:val="24"/>
          <w:highlight w:val="none"/>
        </w:rPr>
        <w:t>4.1 投标文件</w:t>
      </w:r>
      <w:bookmarkEnd w:id="159"/>
      <w:r>
        <w:rPr>
          <w:rFonts w:hint="eastAsia" w:ascii="宋体" w:hAnsi="宋体" w:cs="宋体"/>
          <w:b/>
          <w:color w:val="auto"/>
          <w:sz w:val="24"/>
          <w:szCs w:val="24"/>
          <w:highlight w:val="none"/>
        </w:rPr>
        <w:t>加密要求</w:t>
      </w:r>
    </w:p>
    <w:p w14:paraId="0BE6B498">
      <w:pPr>
        <w:spacing w:line="360" w:lineRule="auto"/>
        <w:ind w:firstLine="480" w:firstLineChars="200"/>
        <w:rPr>
          <w:rFonts w:hint="eastAsia" w:ascii="宋体" w:hAnsi="宋体" w:cs="宋体"/>
          <w:color w:val="auto"/>
          <w:sz w:val="24"/>
          <w:szCs w:val="24"/>
          <w:highlight w:val="none"/>
        </w:rPr>
      </w:pPr>
      <w:bookmarkStart w:id="160" w:name="_Toc27596"/>
      <w:bookmarkEnd w:id="160"/>
      <w:r>
        <w:rPr>
          <w:rFonts w:hint="eastAsia" w:ascii="宋体" w:hAnsi="宋体" w:cs="宋体"/>
          <w:color w:val="auto"/>
          <w:sz w:val="24"/>
          <w:szCs w:val="24"/>
          <w:highlight w:val="none"/>
        </w:rPr>
        <w:t>4.1.1 投标人应当按照招标文件和电子招标投标交易平台的要求加密投标文件，具体要求见投标人须知前附表。</w:t>
      </w:r>
    </w:p>
    <w:p w14:paraId="2A466ED3">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4.1.2 未按本章第4.1.1 要求加密的投标文件，采购人将予以拒收。</w:t>
      </w:r>
    </w:p>
    <w:p w14:paraId="558B70A5">
      <w:pPr>
        <w:spacing w:line="360" w:lineRule="auto"/>
        <w:rPr>
          <w:rFonts w:hint="eastAsia" w:ascii="宋体" w:hAnsi="宋体" w:cs="宋体"/>
          <w:b/>
          <w:color w:val="auto"/>
          <w:sz w:val="24"/>
          <w:szCs w:val="24"/>
          <w:highlight w:val="none"/>
        </w:rPr>
      </w:pPr>
      <w:bookmarkStart w:id="161" w:name="_Toc20611"/>
      <w:bookmarkEnd w:id="161"/>
      <w:bookmarkStart w:id="162" w:name="_Toc9134"/>
      <w:r>
        <w:rPr>
          <w:rFonts w:hint="eastAsia" w:ascii="宋体" w:hAnsi="宋体" w:cs="宋体"/>
          <w:b/>
          <w:color w:val="auto"/>
          <w:sz w:val="24"/>
          <w:szCs w:val="24"/>
          <w:highlight w:val="none"/>
        </w:rPr>
        <w:t>4.2 投标文件的递交</w:t>
      </w:r>
      <w:bookmarkEnd w:id="162"/>
    </w:p>
    <w:p w14:paraId="000CEF26">
      <w:pPr>
        <w:pStyle w:val="13"/>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 投标人应在投标人须知前附表规定的投标截止时间前递交投标文件。</w:t>
      </w:r>
    </w:p>
    <w:p w14:paraId="289BF02F">
      <w:pPr>
        <w:pStyle w:val="13"/>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4.2.2 投标人递交投标文件的时间和地点：见投标人须知前附表。</w:t>
      </w:r>
    </w:p>
    <w:p w14:paraId="2A22463C">
      <w:pPr>
        <w:pStyle w:val="13"/>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4.2.3 投标人所递交的投标文件不予退还。</w:t>
      </w:r>
    </w:p>
    <w:p w14:paraId="1DE61FC0">
      <w:pPr>
        <w:spacing w:line="360" w:lineRule="auto"/>
        <w:rPr>
          <w:rFonts w:hint="eastAsia" w:ascii="宋体" w:hAnsi="宋体" w:cs="宋体"/>
          <w:b/>
          <w:color w:val="auto"/>
          <w:sz w:val="24"/>
          <w:szCs w:val="24"/>
          <w:highlight w:val="none"/>
        </w:rPr>
      </w:pPr>
      <w:bookmarkStart w:id="163" w:name="_Toc8975"/>
      <w:bookmarkEnd w:id="163"/>
      <w:bookmarkStart w:id="164" w:name="_Toc21133"/>
      <w:bookmarkEnd w:id="164"/>
      <w:bookmarkStart w:id="165" w:name="_Toc5071"/>
      <w:r>
        <w:rPr>
          <w:rFonts w:hint="eastAsia" w:ascii="宋体" w:hAnsi="宋体" w:cs="宋体"/>
          <w:b/>
          <w:color w:val="auto"/>
          <w:sz w:val="24"/>
          <w:szCs w:val="24"/>
          <w:highlight w:val="none"/>
        </w:rPr>
        <w:t>4.3 投标文件的修改与撤回</w:t>
      </w:r>
      <w:bookmarkEnd w:id="165"/>
    </w:p>
    <w:p w14:paraId="316C8040">
      <w:pPr>
        <w:spacing w:line="360" w:lineRule="auto"/>
        <w:ind w:firstLine="480" w:firstLineChars="200"/>
        <w:rPr>
          <w:rFonts w:hint="eastAsia" w:ascii="宋体" w:hAnsi="宋体" w:cs="宋体"/>
          <w:color w:val="auto"/>
          <w:sz w:val="24"/>
          <w:szCs w:val="24"/>
          <w:highlight w:val="none"/>
        </w:rPr>
      </w:pPr>
      <w:bookmarkStart w:id="166" w:name="_Toc20324"/>
      <w:r>
        <w:rPr>
          <w:rFonts w:hint="eastAsia" w:ascii="宋体" w:hAnsi="宋体" w:cs="宋体"/>
          <w:color w:val="auto"/>
          <w:sz w:val="24"/>
          <w:szCs w:val="24"/>
          <w:highlight w:val="none"/>
        </w:rPr>
        <w:t>4.3.1在投标截止时间前，投标人可以撤回在网上已递交的投标文件，修改后重新递交，无须书面形式通知采购人。</w:t>
      </w:r>
    </w:p>
    <w:p w14:paraId="515E146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4.3.2修改的投标文件应按照招标文件规定进行编制、加密和递交。</w:t>
      </w:r>
    </w:p>
    <w:p w14:paraId="0239D5D9">
      <w:pPr>
        <w:pStyle w:val="3"/>
        <w:spacing w:before="0" w:after="0" w:line="360" w:lineRule="auto"/>
        <w:rPr>
          <w:rFonts w:hint="eastAsia" w:ascii="宋体" w:hAnsi="宋体" w:eastAsia="宋体" w:cs="宋体"/>
          <w:color w:val="auto"/>
          <w:sz w:val="28"/>
          <w:szCs w:val="28"/>
          <w:highlight w:val="none"/>
        </w:rPr>
      </w:pPr>
      <w:bookmarkStart w:id="167" w:name="_Toc7482"/>
      <w:bookmarkStart w:id="168" w:name="_Toc31136"/>
      <w:bookmarkStart w:id="169" w:name="_Toc16644"/>
      <w:r>
        <w:rPr>
          <w:rFonts w:hint="eastAsia" w:ascii="宋体" w:hAnsi="宋体" w:eastAsia="宋体" w:cs="宋体"/>
          <w:color w:val="auto"/>
          <w:sz w:val="28"/>
          <w:szCs w:val="28"/>
          <w:highlight w:val="none"/>
        </w:rPr>
        <w:t>5. 开标</w:t>
      </w:r>
      <w:bookmarkEnd w:id="166"/>
      <w:bookmarkEnd w:id="167"/>
      <w:bookmarkEnd w:id="168"/>
      <w:bookmarkEnd w:id="169"/>
    </w:p>
    <w:p w14:paraId="4FBBED35">
      <w:pPr>
        <w:spacing w:line="360" w:lineRule="auto"/>
        <w:rPr>
          <w:rFonts w:hint="eastAsia" w:ascii="宋体" w:hAnsi="宋体" w:cs="宋体"/>
          <w:b/>
          <w:color w:val="auto"/>
          <w:sz w:val="24"/>
          <w:szCs w:val="24"/>
          <w:highlight w:val="none"/>
        </w:rPr>
      </w:pPr>
      <w:bookmarkStart w:id="170" w:name="_Toc1527"/>
      <w:bookmarkEnd w:id="170"/>
      <w:bookmarkStart w:id="171" w:name="_Toc9143"/>
      <w:r>
        <w:rPr>
          <w:rFonts w:hint="eastAsia" w:ascii="宋体" w:hAnsi="宋体" w:cs="宋体"/>
          <w:b/>
          <w:color w:val="auto"/>
          <w:sz w:val="24"/>
          <w:szCs w:val="24"/>
          <w:highlight w:val="none"/>
        </w:rPr>
        <w:t>5.1 开标时间和地点</w:t>
      </w:r>
      <w:bookmarkEnd w:id="171"/>
    </w:p>
    <w:p w14:paraId="40EDB09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采购人在本章第4.2.1款规定的投标截止时间(开标时间)和投标人须知前附表规定的地点公开开标。</w:t>
      </w:r>
    </w:p>
    <w:p w14:paraId="3309ECA7">
      <w:pPr>
        <w:spacing w:line="360" w:lineRule="auto"/>
        <w:rPr>
          <w:rFonts w:hint="eastAsia" w:ascii="宋体" w:hAnsi="宋体" w:cs="宋体"/>
          <w:b/>
          <w:bCs/>
          <w:color w:val="auto"/>
          <w:sz w:val="24"/>
          <w:szCs w:val="24"/>
          <w:highlight w:val="none"/>
        </w:rPr>
      </w:pPr>
      <w:bookmarkStart w:id="172" w:name="_Toc21332"/>
      <w:bookmarkEnd w:id="172"/>
      <w:bookmarkStart w:id="173" w:name="_Toc27792"/>
      <w:bookmarkEnd w:id="173"/>
      <w:bookmarkStart w:id="174" w:name="_Toc24636"/>
      <w:r>
        <w:rPr>
          <w:rFonts w:hint="eastAsia" w:ascii="宋体" w:hAnsi="宋体" w:cs="宋体"/>
          <w:b/>
          <w:color w:val="auto"/>
          <w:sz w:val="24"/>
          <w:szCs w:val="24"/>
          <w:highlight w:val="none"/>
        </w:rPr>
        <w:t>5.2</w:t>
      </w:r>
      <w:r>
        <w:rPr>
          <w:rFonts w:hint="eastAsia" w:ascii="宋体" w:hAnsi="宋体" w:cs="宋体"/>
          <w:b/>
          <w:bCs/>
          <w:color w:val="auto"/>
          <w:sz w:val="24"/>
          <w:szCs w:val="24"/>
          <w:highlight w:val="none"/>
        </w:rPr>
        <w:t>投标截止后投标人不足3家的，不得开标。</w:t>
      </w:r>
    </w:p>
    <w:p w14:paraId="319F4EF0">
      <w:pPr>
        <w:spacing w:line="360" w:lineRule="auto"/>
        <w:rPr>
          <w:rFonts w:hint="eastAsia" w:ascii="宋体" w:hAnsi="宋体" w:cs="宋体"/>
          <w:b/>
          <w:color w:val="auto"/>
          <w:sz w:val="24"/>
          <w:szCs w:val="24"/>
          <w:highlight w:val="none"/>
        </w:rPr>
      </w:pPr>
      <w:r>
        <w:rPr>
          <w:rFonts w:hint="eastAsia" w:ascii="宋体" w:hAnsi="宋体" w:cs="宋体"/>
          <w:b/>
          <w:color w:val="auto"/>
          <w:sz w:val="24"/>
          <w:szCs w:val="24"/>
          <w:highlight w:val="none"/>
        </w:rPr>
        <w:t>5.3 开标程序</w:t>
      </w:r>
      <w:bookmarkEnd w:id="174"/>
    </w:p>
    <w:p w14:paraId="4D01E4E9">
      <w:pPr>
        <w:spacing w:line="360" w:lineRule="auto"/>
        <w:ind w:firstLine="540" w:firstLineChars="225"/>
        <w:rPr>
          <w:rFonts w:hint="eastAsia" w:ascii="宋体" w:hAnsi="宋体" w:cs="宋体"/>
          <w:color w:val="auto"/>
          <w:sz w:val="24"/>
          <w:szCs w:val="24"/>
          <w:highlight w:val="none"/>
        </w:rPr>
      </w:pPr>
      <w:bookmarkStart w:id="175" w:name="_Toc27216"/>
      <w:bookmarkEnd w:id="175"/>
      <w:bookmarkStart w:id="176" w:name="_Toc22860"/>
      <w:r>
        <w:rPr>
          <w:rFonts w:hint="eastAsia" w:ascii="宋体" w:hAnsi="宋体" w:cs="宋体"/>
          <w:color w:val="auto"/>
          <w:sz w:val="24"/>
          <w:szCs w:val="24"/>
          <w:highlight w:val="none"/>
        </w:rPr>
        <w:t>(1)开标会由采购代理机构主持。</w:t>
      </w:r>
    </w:p>
    <w:p w14:paraId="5B65F89C">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(2)开标:顺序按照政采云平台自动提取所有供应商的顺序当众开标。</w:t>
      </w:r>
    </w:p>
    <w:p w14:paraId="5F8D52B6">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(3)唱标：智能播报/由唱标人宣读投标人在其电子投标文件中投标价格和招标文件规定的需要宣布的其他内容。</w:t>
      </w:r>
    </w:p>
    <w:p w14:paraId="5A439BDA">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(4) 开标工作人员将做开标记录，参加开标的各相关工作人员须签字确认。</w:t>
      </w:r>
    </w:p>
    <w:p w14:paraId="2759ABEE">
      <w:pPr>
        <w:spacing w:line="360" w:lineRule="auto"/>
        <w:rPr>
          <w:rFonts w:hint="eastAsia" w:ascii="宋体" w:hAnsi="宋体" w:cs="宋体"/>
          <w:b/>
          <w:color w:val="auto"/>
          <w:sz w:val="24"/>
          <w:szCs w:val="24"/>
          <w:highlight w:val="none"/>
        </w:rPr>
      </w:pPr>
      <w:r>
        <w:rPr>
          <w:rFonts w:hint="eastAsia" w:ascii="宋体" w:hAnsi="宋体" w:cs="宋体"/>
          <w:b/>
          <w:color w:val="auto"/>
          <w:sz w:val="24"/>
          <w:szCs w:val="24"/>
          <w:highlight w:val="none"/>
        </w:rPr>
        <w:t>5.4 开标</w:t>
      </w:r>
      <w:bookmarkEnd w:id="176"/>
      <w:r>
        <w:rPr>
          <w:rFonts w:hint="eastAsia" w:ascii="宋体" w:hAnsi="宋体" w:cs="宋体"/>
          <w:b/>
          <w:color w:val="auto"/>
          <w:sz w:val="24"/>
          <w:szCs w:val="24"/>
          <w:highlight w:val="none"/>
        </w:rPr>
        <w:t>异议</w:t>
      </w:r>
    </w:p>
    <w:p w14:paraId="4259CEE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开标过程中如有问题，可以在线提出异议，由代理机构给予回复。在规定的异议询问时间内未提出异议的，则视为对开标结果无异议。</w:t>
      </w:r>
    </w:p>
    <w:p w14:paraId="38437EC9">
      <w:pPr>
        <w:pStyle w:val="3"/>
        <w:spacing w:before="0" w:after="0" w:line="360" w:lineRule="auto"/>
        <w:rPr>
          <w:rFonts w:hint="eastAsia" w:ascii="宋体" w:hAnsi="宋体" w:eastAsia="宋体" w:cs="宋体"/>
          <w:color w:val="auto"/>
          <w:sz w:val="28"/>
          <w:szCs w:val="28"/>
          <w:highlight w:val="none"/>
        </w:rPr>
      </w:pPr>
      <w:bookmarkStart w:id="177" w:name="_Toc26040"/>
      <w:bookmarkEnd w:id="177"/>
      <w:bookmarkStart w:id="178" w:name="_Toc27754"/>
      <w:bookmarkEnd w:id="178"/>
      <w:bookmarkStart w:id="179" w:name="_Toc32128"/>
      <w:bookmarkStart w:id="180" w:name="_Toc30133"/>
      <w:bookmarkStart w:id="181" w:name="_Toc25525"/>
      <w:bookmarkStart w:id="182" w:name="_Toc5699"/>
      <w:r>
        <w:rPr>
          <w:rFonts w:hint="eastAsia" w:ascii="宋体" w:hAnsi="宋体" w:eastAsia="宋体" w:cs="宋体"/>
          <w:color w:val="auto"/>
          <w:sz w:val="28"/>
          <w:szCs w:val="28"/>
          <w:highlight w:val="none"/>
        </w:rPr>
        <w:t>6. 资格审查</w:t>
      </w:r>
      <w:bookmarkEnd w:id="179"/>
      <w:bookmarkEnd w:id="180"/>
      <w:bookmarkEnd w:id="181"/>
      <w:bookmarkEnd w:id="182"/>
    </w:p>
    <w:p w14:paraId="49F13A22">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公开招标采购项目开标结束后，采购人或者采购代理机构应当依法对投标人的资格进行审查。</w:t>
      </w:r>
    </w:p>
    <w:p w14:paraId="0A1F625C">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合格投标人不足3家的，不得评标。</w:t>
      </w:r>
    </w:p>
    <w:p w14:paraId="48C8BCDA">
      <w:pPr>
        <w:pStyle w:val="3"/>
        <w:spacing w:before="0" w:after="0" w:line="360" w:lineRule="auto"/>
        <w:rPr>
          <w:rFonts w:hint="eastAsia" w:ascii="宋体" w:hAnsi="宋体" w:eastAsia="宋体" w:cs="宋体"/>
          <w:color w:val="auto"/>
          <w:sz w:val="28"/>
          <w:szCs w:val="28"/>
          <w:highlight w:val="none"/>
        </w:rPr>
      </w:pPr>
      <w:bookmarkStart w:id="183" w:name="_Toc11518"/>
      <w:bookmarkEnd w:id="183"/>
      <w:bookmarkStart w:id="184" w:name="_Toc25563"/>
      <w:bookmarkEnd w:id="184"/>
      <w:bookmarkStart w:id="185" w:name="_Toc23998"/>
      <w:bookmarkStart w:id="186" w:name="_Toc29087"/>
      <w:bookmarkStart w:id="187" w:name="_Toc26325"/>
      <w:bookmarkStart w:id="188" w:name="_Toc17031"/>
      <w:r>
        <w:rPr>
          <w:rFonts w:hint="eastAsia" w:ascii="宋体" w:hAnsi="宋体" w:eastAsia="宋体" w:cs="宋体"/>
          <w:color w:val="auto"/>
          <w:sz w:val="28"/>
          <w:szCs w:val="28"/>
          <w:highlight w:val="none"/>
        </w:rPr>
        <w:t>7. 评标</w:t>
      </w:r>
      <w:bookmarkEnd w:id="185"/>
      <w:bookmarkEnd w:id="186"/>
      <w:bookmarkEnd w:id="187"/>
      <w:bookmarkEnd w:id="188"/>
    </w:p>
    <w:p w14:paraId="3FC2808E">
      <w:pPr>
        <w:spacing w:line="360" w:lineRule="auto"/>
        <w:rPr>
          <w:rFonts w:hint="eastAsia" w:ascii="宋体" w:hAnsi="宋体" w:cs="宋体"/>
          <w:b/>
          <w:color w:val="auto"/>
          <w:sz w:val="24"/>
          <w:szCs w:val="24"/>
          <w:highlight w:val="none"/>
        </w:rPr>
      </w:pPr>
      <w:bookmarkStart w:id="189" w:name="_Toc11207"/>
      <w:bookmarkEnd w:id="189"/>
      <w:bookmarkStart w:id="190" w:name="_Toc4770"/>
      <w:r>
        <w:rPr>
          <w:rFonts w:hint="eastAsia" w:ascii="宋体" w:hAnsi="宋体" w:cs="宋体"/>
          <w:b/>
          <w:color w:val="auto"/>
          <w:sz w:val="24"/>
          <w:szCs w:val="24"/>
          <w:highlight w:val="none"/>
        </w:rPr>
        <w:t>7.1 评标委员会</w:t>
      </w:r>
      <w:bookmarkEnd w:id="190"/>
    </w:p>
    <w:p w14:paraId="23FA8E4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7.1.1 评标由采购人依法组建的评标委员会负责。评标委员会成员人数见投标人须知前附表。</w:t>
      </w:r>
    </w:p>
    <w:p w14:paraId="04BDFE96">
      <w:pPr>
        <w:spacing w:line="360" w:lineRule="auto"/>
        <w:ind w:firstLine="540" w:firstLineChars="225"/>
        <w:rPr>
          <w:rFonts w:hint="eastAsia" w:ascii="宋体" w:hAnsi="宋体" w:cs="宋体"/>
          <w:color w:val="auto"/>
          <w:sz w:val="24"/>
          <w:szCs w:val="24"/>
          <w:highlight w:val="none"/>
        </w:rPr>
      </w:pPr>
      <w:r>
        <w:rPr>
          <w:rFonts w:hint="eastAsia" w:ascii="宋体" w:hAnsi="宋体" w:cs="宋体"/>
          <w:color w:val="auto"/>
          <w:sz w:val="24"/>
          <w:szCs w:val="24"/>
          <w:highlight w:val="none"/>
        </w:rPr>
        <w:t>7.1.2 评标中因评标委员会成员缺席、回避或者健康等特殊原因导致评标委员会组成不符合《政府采购货物和服务招标投标管理办法》(财政部令第87号)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采购人或者采购代理机构应当将变更、重新组建评标委员会的情况予以记录，并随招标文件一并存档。</w:t>
      </w:r>
    </w:p>
    <w:p w14:paraId="3DD35039">
      <w:pPr>
        <w:spacing w:line="360" w:lineRule="auto"/>
        <w:rPr>
          <w:rFonts w:hint="eastAsia" w:ascii="宋体" w:hAnsi="宋体" w:cs="宋体"/>
          <w:b/>
          <w:color w:val="auto"/>
          <w:sz w:val="24"/>
          <w:szCs w:val="24"/>
          <w:highlight w:val="none"/>
        </w:rPr>
      </w:pPr>
      <w:bookmarkStart w:id="191" w:name="_Toc28237"/>
      <w:bookmarkEnd w:id="191"/>
      <w:bookmarkStart w:id="192" w:name="_Toc6336"/>
      <w:r>
        <w:rPr>
          <w:rFonts w:hint="eastAsia" w:ascii="宋体" w:hAnsi="宋体" w:cs="宋体"/>
          <w:b/>
          <w:color w:val="auto"/>
          <w:sz w:val="24"/>
          <w:szCs w:val="24"/>
          <w:highlight w:val="none"/>
        </w:rPr>
        <w:t>7.2 评标原则</w:t>
      </w:r>
      <w:bookmarkEnd w:id="192"/>
    </w:p>
    <w:p w14:paraId="45167B1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评标活动遵循公平、公正、科学和择优的原则。</w:t>
      </w:r>
    </w:p>
    <w:p w14:paraId="5216558F">
      <w:pPr>
        <w:spacing w:line="360" w:lineRule="auto"/>
        <w:rPr>
          <w:rFonts w:hint="eastAsia" w:ascii="宋体" w:hAnsi="宋体" w:cs="宋体"/>
          <w:b/>
          <w:color w:val="auto"/>
          <w:sz w:val="24"/>
          <w:szCs w:val="24"/>
          <w:highlight w:val="none"/>
        </w:rPr>
      </w:pPr>
      <w:bookmarkStart w:id="193" w:name="_Toc10442"/>
      <w:bookmarkEnd w:id="193"/>
      <w:bookmarkStart w:id="194" w:name="_Toc5282"/>
      <w:r>
        <w:rPr>
          <w:rFonts w:hint="eastAsia" w:ascii="宋体" w:hAnsi="宋体" w:cs="宋体"/>
          <w:b/>
          <w:color w:val="auto"/>
          <w:sz w:val="24"/>
          <w:szCs w:val="24"/>
          <w:highlight w:val="none"/>
        </w:rPr>
        <w:t>7.3 评标</w:t>
      </w:r>
      <w:bookmarkEnd w:id="194"/>
    </w:p>
    <w:p w14:paraId="7E56C08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7.3.1 评标委员会按照第四章“评标办法”规定的方法、评审因素、标准和程序对投标文件进行评审。第四章“评标办法”没有规定的方法、评审因素和标准，不作为评标依据。</w:t>
      </w:r>
    </w:p>
    <w:p w14:paraId="1E8E10E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7.3.2 评标完成后，评标委员会应当向采购人提交书面评标报告和中标候选人名单。评标委员会推荐中标候选人的人数见投标人须知前附表。</w:t>
      </w:r>
    </w:p>
    <w:p w14:paraId="47CEECCC">
      <w:pPr>
        <w:pStyle w:val="3"/>
        <w:spacing w:before="0" w:after="0" w:line="360" w:lineRule="auto"/>
        <w:rPr>
          <w:rFonts w:hint="eastAsia" w:ascii="宋体" w:hAnsi="宋体" w:eastAsia="宋体" w:cs="宋体"/>
          <w:color w:val="auto"/>
          <w:sz w:val="28"/>
          <w:szCs w:val="28"/>
          <w:highlight w:val="none"/>
        </w:rPr>
      </w:pPr>
      <w:bookmarkStart w:id="195" w:name="_Toc6003"/>
      <w:bookmarkEnd w:id="195"/>
      <w:bookmarkStart w:id="196" w:name="_Toc30483"/>
      <w:bookmarkEnd w:id="196"/>
      <w:bookmarkStart w:id="197" w:name="_Toc22840"/>
      <w:bookmarkStart w:id="198" w:name="_Toc671"/>
      <w:bookmarkStart w:id="199" w:name="_Toc12489"/>
      <w:bookmarkStart w:id="200" w:name="_Toc8528"/>
      <w:r>
        <w:rPr>
          <w:rFonts w:hint="eastAsia" w:ascii="宋体" w:hAnsi="宋体" w:eastAsia="宋体" w:cs="宋体"/>
          <w:color w:val="auto"/>
          <w:sz w:val="28"/>
          <w:szCs w:val="28"/>
          <w:highlight w:val="none"/>
        </w:rPr>
        <w:t>8. 中标和合同</w:t>
      </w:r>
      <w:bookmarkEnd w:id="197"/>
      <w:bookmarkEnd w:id="198"/>
      <w:bookmarkEnd w:id="199"/>
      <w:bookmarkEnd w:id="200"/>
    </w:p>
    <w:p w14:paraId="13028A73">
      <w:pPr>
        <w:spacing w:line="360" w:lineRule="auto"/>
        <w:rPr>
          <w:rFonts w:hint="eastAsia" w:ascii="宋体" w:hAnsi="宋体" w:cs="宋体"/>
          <w:b/>
          <w:color w:val="auto"/>
          <w:sz w:val="24"/>
          <w:szCs w:val="24"/>
          <w:highlight w:val="none"/>
        </w:rPr>
      </w:pPr>
      <w:bookmarkStart w:id="201" w:name="_Toc18219"/>
      <w:bookmarkEnd w:id="201"/>
      <w:bookmarkStart w:id="202" w:name="_Toc31217"/>
      <w:r>
        <w:rPr>
          <w:rFonts w:hint="eastAsia" w:ascii="宋体" w:hAnsi="宋体" w:cs="宋体"/>
          <w:b/>
          <w:color w:val="auto"/>
          <w:sz w:val="24"/>
          <w:szCs w:val="24"/>
          <w:highlight w:val="none"/>
        </w:rPr>
        <w:t>8.1 定标</w:t>
      </w:r>
      <w:bookmarkEnd w:id="202"/>
    </w:p>
    <w:p w14:paraId="5CF201A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按照投标人须知前附表的规定，采购人或采购人授权的评标委员会依法确定中标人。</w:t>
      </w:r>
    </w:p>
    <w:p w14:paraId="6A04B68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采购代理机构应当在评标结束之日起2个工作日内将评标报告送采购人确认。采购人应当在收到评标报告之日起5个工作日内，在评标报告中推荐的中标候选人中按顺序确定中标人。</w:t>
      </w:r>
    </w:p>
    <w:p w14:paraId="3871710C">
      <w:pPr>
        <w:spacing w:line="360" w:lineRule="auto"/>
        <w:rPr>
          <w:rFonts w:hint="eastAsia" w:ascii="宋体" w:hAnsi="宋体" w:cs="宋体"/>
          <w:b/>
          <w:color w:val="auto"/>
          <w:sz w:val="24"/>
          <w:szCs w:val="24"/>
          <w:highlight w:val="none"/>
        </w:rPr>
      </w:pPr>
      <w:bookmarkStart w:id="203" w:name="_Toc18811"/>
      <w:bookmarkEnd w:id="203"/>
      <w:bookmarkStart w:id="204" w:name="_Toc18115"/>
      <w:r>
        <w:rPr>
          <w:rFonts w:hint="eastAsia" w:ascii="宋体" w:hAnsi="宋体" w:cs="宋体"/>
          <w:b/>
          <w:color w:val="auto"/>
          <w:sz w:val="24"/>
          <w:szCs w:val="24"/>
          <w:highlight w:val="none"/>
        </w:rPr>
        <w:t>8.2中标公告</w:t>
      </w:r>
      <w:bookmarkEnd w:id="204"/>
    </w:p>
    <w:p w14:paraId="757AD50C">
      <w:pPr>
        <w:widowControl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采购人或者采购代理机构应当自中标人确定之日起2个工作日内，按照投标人须知前附表规定的媒介和期限公告中标结果，招标文件应当随中标结果同时公告。</w:t>
      </w:r>
    </w:p>
    <w:p w14:paraId="529A6E4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中标公告期限详见投标人须知前附表。</w:t>
      </w:r>
    </w:p>
    <w:p w14:paraId="1908086D">
      <w:pPr>
        <w:spacing w:line="360" w:lineRule="auto"/>
        <w:rPr>
          <w:rFonts w:hint="eastAsia" w:ascii="宋体" w:hAnsi="宋体" w:cs="宋体"/>
          <w:b/>
          <w:color w:val="auto"/>
          <w:sz w:val="24"/>
          <w:szCs w:val="24"/>
          <w:highlight w:val="none"/>
        </w:rPr>
      </w:pPr>
      <w:bookmarkStart w:id="205" w:name="_Toc16495"/>
      <w:bookmarkEnd w:id="205"/>
      <w:bookmarkStart w:id="206" w:name="_Toc8411"/>
      <w:bookmarkEnd w:id="206"/>
      <w:bookmarkStart w:id="207" w:name="_Toc3833"/>
      <w:r>
        <w:rPr>
          <w:rFonts w:hint="eastAsia" w:ascii="宋体" w:hAnsi="宋体" w:cs="宋体"/>
          <w:b/>
          <w:color w:val="auto"/>
          <w:sz w:val="24"/>
          <w:szCs w:val="24"/>
          <w:highlight w:val="none"/>
        </w:rPr>
        <w:t>8.3中标通知</w:t>
      </w:r>
      <w:bookmarkEnd w:id="207"/>
    </w:p>
    <w:p w14:paraId="2E64C3D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在本章第3.3 款规定的投标有效期内，在公告中标结果的同时，采购人或者采购代理机构应当向中标人发出中标通知书。</w:t>
      </w:r>
    </w:p>
    <w:p w14:paraId="5F558422">
      <w:pPr>
        <w:spacing w:line="360" w:lineRule="auto"/>
        <w:rPr>
          <w:rFonts w:hint="eastAsia" w:ascii="宋体" w:hAnsi="宋体" w:cs="宋体"/>
          <w:b/>
          <w:color w:val="auto"/>
          <w:sz w:val="24"/>
          <w:szCs w:val="24"/>
          <w:highlight w:val="none"/>
        </w:rPr>
      </w:pPr>
      <w:bookmarkStart w:id="208" w:name="_Toc13042"/>
      <w:bookmarkEnd w:id="208"/>
      <w:bookmarkStart w:id="209" w:name="_Toc7193"/>
      <w:r>
        <w:rPr>
          <w:rFonts w:hint="eastAsia" w:ascii="宋体" w:hAnsi="宋体" w:cs="宋体"/>
          <w:b/>
          <w:color w:val="auto"/>
          <w:sz w:val="24"/>
          <w:szCs w:val="24"/>
          <w:highlight w:val="none"/>
        </w:rPr>
        <w:t>8.4 履约保证金</w:t>
      </w:r>
      <w:bookmarkEnd w:id="209"/>
    </w:p>
    <w:p w14:paraId="44668B0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8.4.1 在签订合同前，中标人应按投标人须知前附表规定的形式、金额向采购人提交履约保证金。</w:t>
      </w:r>
    </w:p>
    <w:p w14:paraId="21D692A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8.4.2 中标人不能按本章第8.4.1项要求提交履约保证金的，视为放弃中标，其投标保证金不予退还，给采购人造成的损失超过投标保证金数额的，中标人还应当对超过部分予以赔偿。</w:t>
      </w:r>
    </w:p>
    <w:p w14:paraId="6084C0D6">
      <w:pPr>
        <w:spacing w:line="360" w:lineRule="auto"/>
        <w:rPr>
          <w:rFonts w:hint="eastAsia" w:ascii="宋体" w:hAnsi="宋体" w:cs="宋体"/>
          <w:b/>
          <w:color w:val="auto"/>
          <w:sz w:val="24"/>
          <w:szCs w:val="24"/>
          <w:highlight w:val="none"/>
        </w:rPr>
      </w:pPr>
      <w:bookmarkStart w:id="210" w:name="_Toc6413"/>
      <w:bookmarkEnd w:id="210"/>
      <w:bookmarkStart w:id="211" w:name="_Toc18519"/>
      <w:r>
        <w:rPr>
          <w:rFonts w:hint="eastAsia" w:ascii="宋体" w:hAnsi="宋体" w:cs="宋体"/>
          <w:b/>
          <w:color w:val="auto"/>
          <w:sz w:val="24"/>
          <w:szCs w:val="24"/>
          <w:highlight w:val="none"/>
        </w:rPr>
        <w:t>8.5 签订合同</w:t>
      </w:r>
      <w:bookmarkEnd w:id="211"/>
    </w:p>
    <w:p w14:paraId="268CD15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8.5.1 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4707A66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8.5.2 中标通知书发出后，采购人不得违法改变中标结果，中标人无正当理由不得放弃中标。</w:t>
      </w:r>
    </w:p>
    <w:p w14:paraId="2F5AC77C">
      <w:pPr>
        <w:pStyle w:val="3"/>
        <w:spacing w:before="0" w:after="0" w:line="360" w:lineRule="auto"/>
        <w:rPr>
          <w:rFonts w:hint="eastAsia" w:ascii="宋体" w:hAnsi="宋体" w:eastAsia="宋体" w:cs="宋体"/>
          <w:color w:val="auto"/>
          <w:sz w:val="28"/>
          <w:szCs w:val="28"/>
          <w:highlight w:val="none"/>
        </w:rPr>
      </w:pPr>
      <w:bookmarkStart w:id="212" w:name="_Toc21156"/>
      <w:bookmarkStart w:id="213" w:name="_Toc7464"/>
      <w:bookmarkStart w:id="214" w:name="_Toc28446"/>
      <w:r>
        <w:rPr>
          <w:rFonts w:hint="eastAsia" w:ascii="宋体" w:hAnsi="宋体" w:eastAsia="宋体" w:cs="宋体"/>
          <w:color w:val="auto"/>
          <w:sz w:val="28"/>
          <w:szCs w:val="28"/>
          <w:highlight w:val="none"/>
        </w:rPr>
        <w:t>9. 询问与答复</w:t>
      </w:r>
      <w:bookmarkEnd w:id="212"/>
      <w:bookmarkEnd w:id="213"/>
      <w:bookmarkEnd w:id="214"/>
    </w:p>
    <w:p w14:paraId="79783BEF">
      <w:pPr>
        <w:pStyle w:val="13"/>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凡对本次招标采购活动事项有疑问的，可以向采购代理机构提出询问，采购代理机构将及时作出答复，但答复的内容不得涉及商业秘密。</w:t>
      </w:r>
    </w:p>
    <w:p w14:paraId="12CF2353">
      <w:pPr>
        <w:pStyle w:val="3"/>
        <w:spacing w:before="0" w:after="0" w:line="360" w:lineRule="auto"/>
        <w:rPr>
          <w:rFonts w:hint="eastAsia" w:ascii="宋体" w:hAnsi="宋体" w:eastAsia="宋体" w:cs="宋体"/>
          <w:color w:val="auto"/>
          <w:sz w:val="28"/>
          <w:szCs w:val="28"/>
          <w:highlight w:val="none"/>
        </w:rPr>
      </w:pPr>
      <w:bookmarkStart w:id="215" w:name="_Toc11854"/>
      <w:bookmarkEnd w:id="215"/>
      <w:bookmarkStart w:id="216" w:name="_Toc20692"/>
      <w:bookmarkEnd w:id="216"/>
      <w:bookmarkStart w:id="217" w:name="_Toc22581"/>
      <w:bookmarkStart w:id="218" w:name="_Toc16602"/>
      <w:bookmarkStart w:id="219" w:name="_Toc21614"/>
      <w:bookmarkStart w:id="220" w:name="_Toc20594"/>
      <w:r>
        <w:rPr>
          <w:rFonts w:hint="eastAsia" w:ascii="宋体" w:hAnsi="宋体" w:eastAsia="宋体" w:cs="宋体"/>
          <w:color w:val="auto"/>
          <w:sz w:val="28"/>
          <w:szCs w:val="28"/>
          <w:highlight w:val="none"/>
        </w:rPr>
        <w:t>10. 质疑接收、回复</w:t>
      </w:r>
      <w:bookmarkEnd w:id="217"/>
      <w:bookmarkEnd w:id="218"/>
      <w:bookmarkEnd w:id="219"/>
    </w:p>
    <w:p w14:paraId="57D76EF0">
      <w:pPr>
        <w:spacing w:line="360" w:lineRule="auto"/>
        <w:rPr>
          <w:rFonts w:hint="eastAsia" w:ascii="宋体" w:hAnsi="宋体" w:cs="宋体"/>
          <w:b/>
          <w:color w:val="auto"/>
          <w:sz w:val="24"/>
          <w:szCs w:val="24"/>
          <w:highlight w:val="none"/>
        </w:rPr>
      </w:pPr>
      <w:r>
        <w:rPr>
          <w:rFonts w:hint="eastAsia" w:ascii="宋体" w:hAnsi="宋体" w:cs="宋体"/>
          <w:b/>
          <w:color w:val="auto"/>
          <w:sz w:val="24"/>
          <w:szCs w:val="24"/>
          <w:highlight w:val="none"/>
        </w:rPr>
        <w:t xml:space="preserve">   10.1质疑接收</w:t>
      </w:r>
    </w:p>
    <w:p w14:paraId="2F6CAD89">
      <w:pPr>
        <w:widowControl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10.1.1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670A8FB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10.1.2 质疑供应商应按照财政部制定的《政府采购质疑函范本》格式和《政府采购质疑和投诉办法》的要求，在法定质疑期内书面形式提出质疑，针对同一采购程序环节的质疑应一次性提出。</w:t>
      </w:r>
    </w:p>
    <w:p w14:paraId="5159C90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超出法定质疑期的、重复提出的、分次提出的或内容、形式不符合《政府采购质疑和投诉办法》的，质疑供应商将依法承担不利后果。</w:t>
      </w:r>
    </w:p>
    <w:p w14:paraId="462BAC6E">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10.1.3采购代理机构接收质疑函的方式、联系部门、联系电话和通讯地址。</w:t>
      </w:r>
    </w:p>
    <w:p w14:paraId="64D46D5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接收质疑函的方式：质疑函采取书面递交形式。</w:t>
      </w:r>
    </w:p>
    <w:p w14:paraId="7C08686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供应商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7FEEBEC">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代理人提出质疑，应当提交供应商签署的授权委托书。</w:t>
      </w:r>
    </w:p>
    <w:p w14:paraId="22BC520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联系部门：云南元大工程咨询有限责任公司业务一部项目一组。</w:t>
      </w:r>
    </w:p>
    <w:p w14:paraId="0DF0750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联系电话：（0871）63338509</w:t>
      </w:r>
    </w:p>
    <w:p w14:paraId="1F551C46">
      <w:pPr>
        <w:pStyle w:val="13"/>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通讯地址：云南省昆明市盘龙区联盟路与万宏路交汇处万宏嘉园沣苑(地块三)B座15层（奥斯迪商务中心B座15楼）</w:t>
      </w:r>
    </w:p>
    <w:p w14:paraId="418F8955">
      <w:pPr>
        <w:pStyle w:val="13"/>
        <w:ind w:firstLine="482" w:firstLineChars="200"/>
        <w:rPr>
          <w:rFonts w:hint="eastAsia" w:ascii="宋体" w:hAnsi="宋体" w:cs="宋体"/>
          <w:b/>
          <w:color w:val="auto"/>
          <w:kern w:val="0"/>
          <w:sz w:val="24"/>
          <w:highlight w:val="none"/>
        </w:rPr>
      </w:pPr>
      <w:r>
        <w:rPr>
          <w:rFonts w:hint="eastAsia" w:ascii="宋体" w:hAnsi="宋体" w:cs="宋体"/>
          <w:b/>
          <w:color w:val="auto"/>
          <w:kern w:val="0"/>
          <w:sz w:val="24"/>
          <w:highlight w:val="none"/>
        </w:rPr>
        <w:t>10.1.4不按上述要求提出的，采购人和采购代理机构将不予受理。</w:t>
      </w:r>
    </w:p>
    <w:p w14:paraId="25AAC560">
      <w:pPr>
        <w:spacing w:line="360" w:lineRule="auto"/>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10.2质疑回复</w:t>
      </w:r>
    </w:p>
    <w:p w14:paraId="2156593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采购人或者招标代理机构应在收到质疑函后7个工作日内作出答复，并以书面形式通知质疑投标人和其他有关投标人，质疑答复的内容不得涉及商业秘密。</w:t>
      </w:r>
    </w:p>
    <w:p w14:paraId="5F0D8880">
      <w:pPr>
        <w:pStyle w:val="3"/>
        <w:spacing w:before="0" w:after="0" w:line="360" w:lineRule="auto"/>
        <w:rPr>
          <w:rFonts w:hint="eastAsia" w:ascii="宋体" w:hAnsi="宋体" w:eastAsia="宋体" w:cs="宋体"/>
          <w:color w:val="auto"/>
          <w:sz w:val="28"/>
          <w:szCs w:val="28"/>
          <w:highlight w:val="none"/>
        </w:rPr>
      </w:pPr>
      <w:bookmarkStart w:id="221" w:name="_Toc12169"/>
      <w:bookmarkStart w:id="222" w:name="_Toc30145"/>
      <w:bookmarkStart w:id="223" w:name="_Toc16912"/>
      <w:r>
        <w:rPr>
          <w:rFonts w:hint="eastAsia" w:ascii="宋体" w:hAnsi="宋体" w:eastAsia="宋体" w:cs="宋体"/>
          <w:color w:val="auto"/>
          <w:sz w:val="28"/>
          <w:szCs w:val="28"/>
          <w:highlight w:val="none"/>
        </w:rPr>
        <w:t>11. 纪律和监督</w:t>
      </w:r>
      <w:bookmarkEnd w:id="220"/>
      <w:bookmarkEnd w:id="221"/>
      <w:bookmarkEnd w:id="222"/>
      <w:bookmarkEnd w:id="223"/>
    </w:p>
    <w:p w14:paraId="48886F9C">
      <w:pPr>
        <w:spacing w:line="360" w:lineRule="auto"/>
        <w:rPr>
          <w:rFonts w:hint="eastAsia" w:ascii="宋体" w:hAnsi="宋体" w:cs="宋体"/>
          <w:b/>
          <w:color w:val="auto"/>
          <w:sz w:val="24"/>
          <w:szCs w:val="24"/>
          <w:highlight w:val="none"/>
        </w:rPr>
      </w:pPr>
      <w:bookmarkStart w:id="224" w:name="_Toc453"/>
      <w:bookmarkEnd w:id="224"/>
      <w:bookmarkStart w:id="225" w:name="_Toc14990"/>
      <w:r>
        <w:rPr>
          <w:rFonts w:hint="eastAsia" w:ascii="宋体" w:hAnsi="宋体" w:cs="宋体"/>
          <w:b/>
          <w:color w:val="auto"/>
          <w:sz w:val="24"/>
          <w:szCs w:val="24"/>
          <w:highlight w:val="none"/>
        </w:rPr>
        <w:t>11.1 对采购人的纪律要求</w:t>
      </w:r>
      <w:bookmarkEnd w:id="225"/>
    </w:p>
    <w:p w14:paraId="5CAE3BD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(1)按照《政府采购货物和服务招标投标管理办法》(财政部令第87号)的规定编制采购需求；</w:t>
      </w:r>
    </w:p>
    <w:p w14:paraId="1303DF3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(2)采购人不得向供应商索要或者接受其给予的赠品、回扣或者与采购无关的其他商品、服务；</w:t>
      </w:r>
    </w:p>
    <w:p w14:paraId="2BE6CDE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(3)在规定时间内确定中标人；</w:t>
      </w:r>
    </w:p>
    <w:p w14:paraId="0ED3DB2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(4)不得向中标人提出不合理要求作为签订合同条件。</w:t>
      </w:r>
    </w:p>
    <w:p w14:paraId="1D571B56">
      <w:pPr>
        <w:spacing w:line="360" w:lineRule="auto"/>
        <w:rPr>
          <w:rFonts w:hint="eastAsia" w:ascii="宋体" w:hAnsi="宋体" w:cs="宋体"/>
          <w:b/>
          <w:color w:val="auto"/>
          <w:sz w:val="24"/>
          <w:szCs w:val="24"/>
          <w:highlight w:val="none"/>
        </w:rPr>
      </w:pPr>
      <w:bookmarkStart w:id="226" w:name="_Toc20446"/>
      <w:bookmarkEnd w:id="226"/>
      <w:bookmarkStart w:id="227" w:name="_Toc14876"/>
      <w:r>
        <w:rPr>
          <w:rFonts w:hint="eastAsia" w:ascii="宋体" w:hAnsi="宋体" w:cs="宋体"/>
          <w:b/>
          <w:color w:val="auto"/>
          <w:sz w:val="24"/>
          <w:szCs w:val="24"/>
          <w:highlight w:val="none"/>
        </w:rPr>
        <w:t>11.2 对投标人的纪律要求</w:t>
      </w:r>
      <w:bookmarkEnd w:id="227"/>
    </w:p>
    <w:p w14:paraId="76CAC5A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767B6114">
      <w:pPr>
        <w:spacing w:line="360" w:lineRule="auto"/>
        <w:rPr>
          <w:rFonts w:hint="eastAsia" w:ascii="宋体" w:hAnsi="宋体" w:cs="宋体"/>
          <w:b/>
          <w:color w:val="auto"/>
          <w:sz w:val="24"/>
          <w:szCs w:val="24"/>
          <w:highlight w:val="none"/>
        </w:rPr>
      </w:pPr>
      <w:bookmarkStart w:id="228" w:name="_Toc17796"/>
      <w:bookmarkEnd w:id="228"/>
      <w:bookmarkStart w:id="229" w:name="_Toc29247"/>
      <w:r>
        <w:rPr>
          <w:rFonts w:hint="eastAsia" w:ascii="宋体" w:hAnsi="宋体" w:cs="宋体"/>
          <w:b/>
          <w:color w:val="auto"/>
          <w:sz w:val="24"/>
          <w:szCs w:val="24"/>
          <w:highlight w:val="none"/>
        </w:rPr>
        <w:t>11.3 对评标委员会成员的纪律要求</w:t>
      </w:r>
      <w:bookmarkEnd w:id="229"/>
    </w:p>
    <w:p w14:paraId="6F2A3EA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评标委员会及其成员不得有下列行为：</w:t>
      </w:r>
    </w:p>
    <w:p w14:paraId="7FF374F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(1)确定参与评标至评标结束前私自接触投标人；</w:t>
      </w:r>
    </w:p>
    <w:p w14:paraId="09E78ED9">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(2)接受投标人提出的与投标文件不一致的澄清或者说明；</w:t>
      </w:r>
    </w:p>
    <w:p w14:paraId="6038246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(3)违反评标纪律发表倾向性意见或者征询采购人的倾向性意见；</w:t>
      </w:r>
    </w:p>
    <w:p w14:paraId="2C88DA6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(4)对需要专业判断的主观评审因素协商评分；</w:t>
      </w:r>
    </w:p>
    <w:p w14:paraId="59C19AA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(5)在评标过程中擅离职守，影响评标程序正常进行的；</w:t>
      </w:r>
    </w:p>
    <w:p w14:paraId="1F4E491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(6)记录、复制或者带走任何评标资料；</w:t>
      </w:r>
    </w:p>
    <w:p w14:paraId="7944D11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(7)其他不遵守评标纪律的行为。</w:t>
      </w:r>
    </w:p>
    <w:p w14:paraId="6517CDE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评标委员会成员有前款第(1)至(7)项行为之一的，其评审意见无效，并不得获取评审劳务报酬和报销异地评审差旅费。</w:t>
      </w:r>
    </w:p>
    <w:p w14:paraId="176DD2C7">
      <w:pPr>
        <w:spacing w:line="360" w:lineRule="auto"/>
        <w:rPr>
          <w:rFonts w:hint="eastAsia" w:ascii="宋体" w:hAnsi="宋体" w:cs="宋体"/>
          <w:b/>
          <w:color w:val="auto"/>
          <w:sz w:val="24"/>
          <w:szCs w:val="24"/>
          <w:highlight w:val="none"/>
        </w:rPr>
      </w:pPr>
      <w:bookmarkStart w:id="230" w:name="_Toc22639"/>
      <w:bookmarkEnd w:id="230"/>
      <w:bookmarkStart w:id="231" w:name="_Toc5153"/>
      <w:r>
        <w:rPr>
          <w:rFonts w:hint="eastAsia" w:ascii="宋体" w:hAnsi="宋体" w:cs="宋体"/>
          <w:b/>
          <w:color w:val="auto"/>
          <w:sz w:val="24"/>
          <w:szCs w:val="24"/>
          <w:highlight w:val="none"/>
        </w:rPr>
        <w:t>11.4 对与评标活动有关的工作人员的纪律要求</w:t>
      </w:r>
      <w:bookmarkEnd w:id="231"/>
    </w:p>
    <w:p w14:paraId="4946D0D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B6F010C">
      <w:pPr>
        <w:spacing w:line="360" w:lineRule="auto"/>
        <w:rPr>
          <w:rFonts w:hint="eastAsia" w:ascii="宋体" w:hAnsi="宋体" w:cs="宋体"/>
          <w:b/>
          <w:color w:val="auto"/>
          <w:sz w:val="24"/>
          <w:szCs w:val="24"/>
          <w:highlight w:val="none"/>
        </w:rPr>
      </w:pPr>
      <w:r>
        <w:rPr>
          <w:rFonts w:hint="eastAsia" w:ascii="宋体" w:hAnsi="宋体" w:cs="宋体"/>
          <w:b/>
          <w:color w:val="auto"/>
          <w:sz w:val="24"/>
          <w:szCs w:val="24"/>
          <w:highlight w:val="none"/>
        </w:rPr>
        <w:t>11.5廉洁自律规定</w:t>
      </w:r>
    </w:p>
    <w:p w14:paraId="4B50D222">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（1）采购代理机构工作人员不得以不正当手段获取政府采购代理业务，不得与采购人、供应商恶意串通操纵政府采购活动。</w:t>
      </w:r>
    </w:p>
    <w:p w14:paraId="6E9BE353">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（2）采购代理机构工作人员不得接受采购人或者供应商组织的宴请、旅游、娱乐，不得收受礼品、现金、有价证券等，不得向采购人或者供应商报销应当由个人承担的费用。</w:t>
      </w:r>
    </w:p>
    <w:p w14:paraId="6CD98C25">
      <w:pPr>
        <w:pStyle w:val="3"/>
        <w:spacing w:before="0" w:after="0" w:line="360" w:lineRule="auto"/>
        <w:rPr>
          <w:rFonts w:hint="eastAsia" w:ascii="宋体" w:hAnsi="宋体" w:eastAsia="宋体" w:cs="宋体"/>
          <w:color w:val="auto"/>
          <w:sz w:val="28"/>
          <w:szCs w:val="28"/>
          <w:highlight w:val="none"/>
        </w:rPr>
      </w:pPr>
      <w:bookmarkStart w:id="232" w:name="_Toc11291"/>
      <w:bookmarkEnd w:id="232"/>
      <w:bookmarkStart w:id="233" w:name="_Toc18697"/>
      <w:bookmarkEnd w:id="233"/>
      <w:bookmarkStart w:id="234" w:name="_Toc11354"/>
      <w:bookmarkEnd w:id="234"/>
      <w:bookmarkStart w:id="235" w:name="_Toc19873"/>
      <w:bookmarkEnd w:id="235"/>
      <w:bookmarkStart w:id="236" w:name="_Toc3960"/>
      <w:bookmarkEnd w:id="236"/>
      <w:bookmarkStart w:id="237" w:name="_Toc6852"/>
      <w:bookmarkStart w:id="238" w:name="_Toc25008"/>
      <w:bookmarkStart w:id="239" w:name="_Toc14857"/>
      <w:bookmarkStart w:id="240" w:name="_Toc17751"/>
      <w:r>
        <w:rPr>
          <w:rFonts w:hint="eastAsia" w:ascii="宋体" w:hAnsi="宋体" w:eastAsia="宋体" w:cs="宋体"/>
          <w:color w:val="auto"/>
          <w:sz w:val="28"/>
          <w:szCs w:val="28"/>
          <w:highlight w:val="none"/>
        </w:rPr>
        <w:t>12.需要补充的其他内容</w:t>
      </w:r>
      <w:bookmarkEnd w:id="237"/>
      <w:bookmarkEnd w:id="238"/>
      <w:bookmarkEnd w:id="239"/>
      <w:bookmarkEnd w:id="240"/>
    </w:p>
    <w:p w14:paraId="12C1391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需要补充的其他内容：见投标人须知前附表。</w:t>
      </w:r>
    </w:p>
    <w:p w14:paraId="009FF34E">
      <w:pPr>
        <w:pStyle w:val="3"/>
        <w:spacing w:before="0" w:after="0" w:line="360" w:lineRule="auto"/>
        <w:rPr>
          <w:rFonts w:ascii="宋体" w:hAnsi="宋体" w:eastAsia="宋体"/>
          <w:color w:val="auto"/>
          <w:sz w:val="28"/>
          <w:szCs w:val="28"/>
          <w:highlight w:val="none"/>
        </w:rPr>
      </w:pPr>
      <w:bookmarkStart w:id="241" w:name="_Toc28533"/>
      <w:bookmarkStart w:id="242" w:name="_Toc19037"/>
      <w:r>
        <w:rPr>
          <w:rFonts w:ascii="宋体" w:hAnsi="宋体" w:eastAsia="宋体"/>
          <w:color w:val="auto"/>
          <w:sz w:val="28"/>
          <w:szCs w:val="28"/>
          <w:highlight w:val="none"/>
        </w:rPr>
        <w:t>13.中小企业、监狱企业及残疾人福利性单位</w:t>
      </w:r>
      <w:bookmarkEnd w:id="241"/>
      <w:bookmarkEnd w:id="242"/>
    </w:p>
    <w:p w14:paraId="6DC276AA">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.1关于中小企业</w:t>
      </w:r>
    </w:p>
    <w:p w14:paraId="0129252C">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.1.1根据《关于印发&lt;政府采购促进中小企业发展管理办法&gt;的通知》（财库〔2020〕46 号） 的规定，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7ED0664">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.1.2在政府采购活动中，供应商提供的货物、工程或者服务符合下列情形的，享受中小企业扶持政策：</w:t>
      </w:r>
    </w:p>
    <w:p w14:paraId="007B1629">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（一）在货物采购项目中，货物由中小企业制造，即货物由中小企业生产且使用该中小企业商号或者注册商标；</w:t>
      </w:r>
    </w:p>
    <w:p w14:paraId="44F91522">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（二）在工程采购项目中，工程由中小企业承建，即工程施工单位为中小企业；</w:t>
      </w:r>
    </w:p>
    <w:p w14:paraId="49FE2BDC">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（三）在服务采购项目中，服务由中小企业承接，即提供服务的人员为中小企业依照《中华人民共和国劳动合同法》订立劳动合同的从业人员。</w:t>
      </w:r>
    </w:p>
    <w:p w14:paraId="1C3C9C6B">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在货物采购项目中，供应商提供的货物既有中小企业制造货物，也有大型企业制造货物的，不享受本办法规定的中小企业扶持政策。</w:t>
      </w:r>
    </w:p>
    <w:p w14:paraId="2FBA8FC8">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以联合体形式参加政府采购活动，联合体各方均为中小企业的，联合体视同中小企业。其中，联合体各方均为小微企业的，联合体视同小微企业。</w:t>
      </w:r>
    </w:p>
    <w:p w14:paraId="0636F574">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.1.3依据《政府采购促进中小企业发展管理办法》（财库〔2020〕46号）规定享受扶持政策获得政府采购合同的，小微企业不得将合同分包给大中型企业，中型企业不得将合同分包给大型企业。</w:t>
      </w:r>
    </w:p>
    <w:p w14:paraId="07817474">
      <w:pPr>
        <w:pStyle w:val="4"/>
        <w:pageBreakBefore w:val="0"/>
        <w:kinsoku/>
        <w:overflowPunct/>
        <w:topLinePunct w:val="0"/>
        <w:bidi w:val="0"/>
        <w:adjustRightInd/>
        <w:spacing w:line="480" w:lineRule="exact"/>
        <w:ind w:left="0" w:leftChars="0" w:firstLineChars="200"/>
        <w:outlineLvl w:val="9"/>
        <w:rPr>
          <w:rFonts w:hint="eastAsia" w:ascii="宋体" w:hAnsi="宋体" w:eastAsia="宋体" w:cs="Times New Roman"/>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.1.4中小企业参加政府采购活动</w:t>
      </w:r>
      <w:r>
        <w:rPr>
          <w:rFonts w:hint="eastAsia" w:ascii="宋体" w:hAnsi="宋体" w:eastAsia="宋体" w:cs="Times New Roman"/>
          <w:color w:val="auto"/>
          <w:sz w:val="24"/>
          <w:szCs w:val="24"/>
          <w:highlight w:val="none"/>
        </w:rPr>
        <w:t>，符合条件的投标人应根据下表所属行业填写《中小企业声明函》，否则不得享受相关中小企业扶持政策。</w:t>
      </w:r>
    </w:p>
    <w:tbl>
      <w:tblPr>
        <w:tblStyle w:val="3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1456"/>
        <w:gridCol w:w="4168"/>
        <w:gridCol w:w="3011"/>
      </w:tblGrid>
      <w:tr w14:paraId="70FA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09" w:type="pct"/>
            <w:shd w:val="clear" w:color="000000" w:fill="FFFFFF"/>
            <w:noWrap w:val="0"/>
            <w:vAlign w:val="center"/>
          </w:tcPr>
          <w:p w14:paraId="4F69869F">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757" w:type="pct"/>
            <w:shd w:val="clear" w:color="000000" w:fill="FFFFFF"/>
            <w:noWrap w:val="0"/>
            <w:vAlign w:val="center"/>
          </w:tcPr>
          <w:p w14:paraId="7E8E3DB3">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标段代码</w:t>
            </w:r>
          </w:p>
        </w:tc>
        <w:tc>
          <w:tcPr>
            <w:tcW w:w="2167" w:type="pct"/>
            <w:shd w:val="clear" w:color="000000" w:fill="FFFFFF"/>
            <w:noWrap w:val="0"/>
            <w:vAlign w:val="center"/>
          </w:tcPr>
          <w:p w14:paraId="1E5990F1">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标的</w:t>
            </w:r>
            <w:r>
              <w:rPr>
                <w:rFonts w:hint="eastAsia" w:ascii="宋体" w:hAnsi="宋体" w:eastAsia="宋体" w:cs="宋体"/>
                <w:b/>
                <w:bCs/>
                <w:color w:val="auto"/>
                <w:sz w:val="24"/>
                <w:szCs w:val="24"/>
                <w:highlight w:val="none"/>
              </w:rPr>
              <w:t>名称</w:t>
            </w:r>
          </w:p>
        </w:tc>
        <w:tc>
          <w:tcPr>
            <w:tcW w:w="1565" w:type="pct"/>
            <w:shd w:val="clear" w:color="000000" w:fill="FFFFFF"/>
            <w:noWrap w:val="0"/>
            <w:vAlign w:val="center"/>
          </w:tcPr>
          <w:p w14:paraId="33C7757B">
            <w:pPr>
              <w:jc w:val="center"/>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采购标的所属行业</w:t>
            </w:r>
          </w:p>
        </w:tc>
      </w:tr>
      <w:tr w14:paraId="23E7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09" w:type="pct"/>
            <w:shd w:val="clear" w:color="000000" w:fill="FFFFFF"/>
            <w:noWrap w:val="0"/>
            <w:vAlign w:val="center"/>
          </w:tcPr>
          <w:p w14:paraId="0B5AE61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w:t>
            </w:r>
          </w:p>
        </w:tc>
        <w:tc>
          <w:tcPr>
            <w:tcW w:w="757" w:type="pct"/>
            <w:shd w:val="clear" w:color="000000" w:fill="FFFFFF"/>
            <w:noWrap w:val="0"/>
            <w:vAlign w:val="center"/>
          </w:tcPr>
          <w:p w14:paraId="21D5955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1</w:t>
            </w:r>
          </w:p>
        </w:tc>
        <w:tc>
          <w:tcPr>
            <w:tcW w:w="2167" w:type="pct"/>
            <w:shd w:val="clear" w:color="000000" w:fill="FFFFFF"/>
            <w:noWrap w:val="0"/>
            <w:vAlign w:val="center"/>
          </w:tcPr>
          <w:p w14:paraId="082D48D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bidi="ar-SA"/>
              </w:rPr>
            </w:pPr>
            <w:r>
              <w:rPr>
                <w:rFonts w:hint="eastAsia" w:ascii="宋体" w:hAnsi="宋体" w:cs="宋体"/>
                <w:i w:val="0"/>
                <w:iCs w:val="0"/>
                <w:color w:val="000000"/>
                <w:sz w:val="24"/>
                <w:szCs w:val="24"/>
                <w:highlight w:val="none"/>
                <w:u w:val="none"/>
                <w:lang w:val="en-US" w:eastAsia="zh-CN"/>
              </w:rPr>
              <w:t>超声内镜系统</w:t>
            </w:r>
          </w:p>
        </w:tc>
        <w:tc>
          <w:tcPr>
            <w:tcW w:w="1565" w:type="pct"/>
            <w:shd w:val="clear" w:color="000000" w:fill="FFFFFF"/>
            <w:noWrap w:val="0"/>
            <w:vAlign w:val="center"/>
          </w:tcPr>
          <w:p w14:paraId="1B7AB5BD">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工业</w:t>
            </w:r>
          </w:p>
        </w:tc>
      </w:tr>
    </w:tbl>
    <w:p w14:paraId="5F45D7E3">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1</w:t>
      </w:r>
      <w:r>
        <w:rPr>
          <w:rFonts w:ascii="宋体" w:hAnsi="宋体" w:eastAsia="宋体"/>
          <w:color w:val="auto"/>
          <w:sz w:val="24"/>
          <w:szCs w:val="24"/>
          <w:highlight w:val="none"/>
        </w:rPr>
        <w:t>3</w:t>
      </w:r>
      <w:r>
        <w:rPr>
          <w:rFonts w:hint="eastAsia" w:ascii="宋体" w:hAnsi="宋体" w:eastAsia="宋体"/>
          <w:color w:val="auto"/>
          <w:sz w:val="24"/>
          <w:szCs w:val="24"/>
          <w:highlight w:val="none"/>
        </w:rPr>
        <w:t>.1.5根据《关于进一步加大政府采购支持中小企业力度的通知》（财库〔2022〕19号），本项目针对小微企业报价给予</w:t>
      </w:r>
      <w:r>
        <w:rPr>
          <w:rFonts w:hint="eastAsia" w:ascii="宋体" w:hAnsi="宋体" w:eastAsia="宋体"/>
          <w:color w:val="auto"/>
          <w:sz w:val="24"/>
          <w:szCs w:val="24"/>
          <w:highlight w:val="none"/>
          <w:lang w:val="en-US" w:eastAsia="zh-CN"/>
        </w:rPr>
        <w:t>评审中价格扣除</w:t>
      </w:r>
      <w:r>
        <w:rPr>
          <w:rFonts w:hint="eastAsia" w:ascii="宋体" w:hAnsi="宋体" w:eastAsia="宋体"/>
          <w:color w:val="auto"/>
          <w:sz w:val="24"/>
          <w:szCs w:val="24"/>
          <w:highlight w:val="none"/>
        </w:rPr>
        <w:t>，用扣除后的价格参与评审。若投标人同时属于小型或微型企业、监狱企业、残疾人福利性单位中的两种及以上，将不重复享受小微企业价格扣减的优惠政策。</w:t>
      </w:r>
    </w:p>
    <w:p w14:paraId="466B8954">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2</w:t>
      </w:r>
      <w:r>
        <w:rPr>
          <w:rFonts w:hint="eastAsia" w:ascii="宋体" w:hAnsi="宋体" w:eastAsia="宋体"/>
          <w:color w:val="auto"/>
          <w:sz w:val="24"/>
          <w:szCs w:val="24"/>
          <w:highlight w:val="none"/>
        </w:rPr>
        <w:t>关于残疾人福利性单位：</w:t>
      </w:r>
    </w:p>
    <w:p w14:paraId="4BD1B206">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2</w:t>
      </w:r>
      <w:r>
        <w:rPr>
          <w:rFonts w:hint="eastAsia" w:ascii="宋体" w:hAnsi="宋体" w:eastAsia="宋体"/>
          <w:color w:val="auto"/>
          <w:sz w:val="24"/>
          <w:szCs w:val="24"/>
          <w:highlight w:val="none"/>
        </w:rPr>
        <w:t>.1根据《关于促进残疾人就业政府采购政策的通知》（财库〔2017〕141号）的规定，享受政府采购支持政策的残疾人福利性单位应当同时满足以下条件：</w:t>
      </w:r>
    </w:p>
    <w:p w14:paraId="1601916F">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（一）安置的残疾人占本单位在职职工人数的比例不低于25%（含25%），并且安置的残疾人人数不少于10人（含10人）；</w:t>
      </w:r>
    </w:p>
    <w:p w14:paraId="301A9056">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（二）依法与安置的每位残疾人签订了一年以上（含一年）的劳动合同或服务协议；</w:t>
      </w:r>
    </w:p>
    <w:p w14:paraId="2324C301">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（三）为安置的每位残疾人按月足额缴纳了基本养老保险、基本医疗保险、失业保险、工伤保险和生育保险等社会保险费；</w:t>
      </w:r>
    </w:p>
    <w:p w14:paraId="2468D063">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（四）通过银行等金融机构向安置的每位残疾人，按月支付了不低于单位所在区县适用的经省级人民政府批准的月最低工资标准的工资；</w:t>
      </w:r>
    </w:p>
    <w:p w14:paraId="5AE52171">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（五）提供本单位制造的货物、承担的工程或者服务（以下简称产品），或者提供其他残疾人福利性单位制造的货物（不包括使用非残疾人福利性单位注册商标的货物）。</w:t>
      </w:r>
    </w:p>
    <w:p w14:paraId="4B04A172">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E1F2D99">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2</w:t>
      </w:r>
      <w:r>
        <w:rPr>
          <w:rFonts w:hint="eastAsia" w:ascii="宋体" w:hAnsi="宋体" w:eastAsia="宋体"/>
          <w:color w:val="auto"/>
          <w:sz w:val="24"/>
          <w:szCs w:val="24"/>
          <w:highlight w:val="none"/>
        </w:rPr>
        <w:t>.2符合条件的残疾人福利性单位在参加政府采购活动时，应当按《三部门联合发布关于促进残疾人就业政府采购政策的通知》（财库〔2017〕141号）提供规定的《残疾人福利性单位声明函》，并对声明的真实性负责。</w:t>
      </w:r>
    </w:p>
    <w:p w14:paraId="24FAA54F">
      <w:pPr>
        <w:spacing w:line="360" w:lineRule="auto"/>
        <w:ind w:firstLine="480" w:firstLineChars="200"/>
        <w:rPr>
          <w:rFonts w:hint="eastAsia"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.2.3</w:t>
      </w:r>
      <w:r>
        <w:rPr>
          <w:rFonts w:hint="eastAsia" w:ascii="宋体" w:hAnsi="宋体" w:eastAsia="宋体"/>
          <w:color w:val="auto"/>
          <w:sz w:val="24"/>
          <w:szCs w:val="24"/>
          <w:highlight w:val="none"/>
          <w:lang w:val="en-US" w:eastAsia="zh-CN"/>
        </w:rPr>
        <w:t>在政府采购活动中，残疾人福利性单位视同小型、微型企业，享受预留份额、评审中价格扣除等促进中小企业发展的政府采购政策。</w:t>
      </w:r>
    </w:p>
    <w:p w14:paraId="3AAE5A19">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关于监狱企业：</w:t>
      </w:r>
    </w:p>
    <w:p w14:paraId="0375F02B">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.1 依照&lt;财政部、司法部关于政府采购支持监狱企业发展有关问题的通知&gt;（财库〔2014〕68号）之规定，监狱企业应当符合以下条件：</w:t>
      </w:r>
    </w:p>
    <w:p w14:paraId="05814CFF">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.2 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7DE6CFF">
      <w:pPr>
        <w:spacing w:line="360" w:lineRule="auto"/>
        <w:ind w:firstLine="480" w:firstLineChars="200"/>
        <w:rPr>
          <w:rFonts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.3 监狱企业参加政府采购活动时，视同小型、微型企业，应当提供由省级以上监狱管理局、戒毒管理局（含新疆生产建设兵团）出具的属于监狱企业的证明文件。</w:t>
      </w:r>
    </w:p>
    <w:p w14:paraId="1AD53BB2">
      <w:pPr>
        <w:spacing w:line="360" w:lineRule="auto"/>
        <w:ind w:firstLine="480" w:firstLineChars="200"/>
        <w:rPr>
          <w:rFonts w:hint="eastAsia" w:ascii="宋体" w:hAnsi="宋体" w:eastAsia="宋体"/>
          <w:color w:val="auto"/>
          <w:sz w:val="24"/>
          <w:szCs w:val="24"/>
          <w:highlight w:val="none"/>
        </w:rPr>
      </w:pPr>
      <w:r>
        <w:rPr>
          <w:rFonts w:ascii="宋体" w:hAnsi="宋体" w:eastAsia="宋体"/>
          <w:color w:val="auto"/>
          <w:sz w:val="24"/>
          <w:szCs w:val="24"/>
          <w:highlight w:val="none"/>
        </w:rPr>
        <w:t>13</w:t>
      </w:r>
      <w:r>
        <w:rPr>
          <w:rFonts w:hint="eastAsia" w:ascii="宋体" w:hAnsi="宋体" w:eastAsia="宋体"/>
          <w:color w:val="auto"/>
          <w:sz w:val="24"/>
          <w:szCs w:val="24"/>
          <w:highlight w:val="none"/>
        </w:rPr>
        <w:t>.</w:t>
      </w:r>
      <w:r>
        <w:rPr>
          <w:rFonts w:ascii="宋体" w:hAnsi="宋体" w:eastAsia="宋体"/>
          <w:color w:val="auto"/>
          <w:sz w:val="24"/>
          <w:szCs w:val="24"/>
          <w:highlight w:val="none"/>
        </w:rPr>
        <w:t>3</w:t>
      </w:r>
      <w:r>
        <w:rPr>
          <w:rFonts w:hint="eastAsia" w:ascii="宋体" w:hAnsi="宋体" w:eastAsia="宋体"/>
          <w:color w:val="auto"/>
          <w:sz w:val="24"/>
          <w:szCs w:val="24"/>
          <w:highlight w:val="none"/>
        </w:rPr>
        <w:t>.4在政府采购活动中，监狱企业视同小型、微型企业，享受</w:t>
      </w:r>
      <w:r>
        <w:rPr>
          <w:rFonts w:hint="eastAsia"/>
          <w:color w:val="auto"/>
          <w:sz w:val="24"/>
          <w:highlight w:val="none"/>
          <w:lang w:val="en-US" w:eastAsia="zh-CN"/>
        </w:rPr>
        <w:t>预留份额、</w:t>
      </w:r>
      <w:r>
        <w:rPr>
          <w:rFonts w:hint="eastAsia" w:ascii="宋体" w:hAnsi="宋体" w:eastAsia="宋体"/>
          <w:color w:val="auto"/>
          <w:sz w:val="24"/>
          <w:szCs w:val="24"/>
          <w:highlight w:val="none"/>
        </w:rPr>
        <w:t>评审中价格扣除等政府采购促进中小企业发展的政府采购政策。</w:t>
      </w:r>
    </w:p>
    <w:p w14:paraId="3B58D68C">
      <w:pPr>
        <w:spacing w:line="360" w:lineRule="auto"/>
        <w:ind w:firstLine="480" w:firstLineChars="200"/>
        <w:rPr>
          <w:rFonts w:hint="eastAsia"/>
          <w:color w:val="auto"/>
          <w:sz w:val="24"/>
          <w:highlight w:val="none"/>
          <w:lang w:eastAsia="zh-CN"/>
        </w:rPr>
      </w:pPr>
      <w:r>
        <w:rPr>
          <w:rFonts w:hint="eastAsia" w:ascii="宋体" w:hAnsi="宋体" w:eastAsia="宋体"/>
          <w:color w:val="auto"/>
          <w:sz w:val="24"/>
          <w:szCs w:val="24"/>
          <w:highlight w:val="none"/>
          <w:lang w:val="en-US" w:eastAsia="zh-CN"/>
        </w:rPr>
        <w:t>13.4</w:t>
      </w:r>
      <w:r>
        <w:rPr>
          <w:rFonts w:hint="eastAsia" w:ascii="宋体" w:hAnsi="宋体" w:eastAsia="宋体"/>
          <w:color w:val="auto"/>
          <w:sz w:val="24"/>
          <w:szCs w:val="24"/>
          <w:highlight w:val="none"/>
        </w:rPr>
        <w:t>本项目是否专门面向中小企业预留采购份额见第一章《</w:t>
      </w:r>
      <w:r>
        <w:rPr>
          <w:rFonts w:hint="eastAsia" w:ascii="宋体" w:hAnsi="宋体" w:eastAsia="宋体"/>
          <w:color w:val="auto"/>
          <w:sz w:val="24"/>
          <w:szCs w:val="24"/>
          <w:highlight w:val="none"/>
          <w:lang w:eastAsia="zh-CN"/>
        </w:rPr>
        <w:t>招标公告</w:t>
      </w: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eastAsia="zh-CN"/>
        </w:rPr>
        <w:t>。</w:t>
      </w:r>
    </w:p>
    <w:p w14:paraId="617EC6D5">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13.5中小企业划型标准，详见《附件：中小企业划型标准规定》。</w:t>
      </w:r>
    </w:p>
    <w:p w14:paraId="5A8578E2">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13.6落实政府采购政策的价格调整：只有符合规定情形的，可以享受中小企业扶持政策，用扣除后的价格参加评审；否则，评标时价格不予扣除。</w:t>
      </w:r>
    </w:p>
    <w:p w14:paraId="74BCE2A3">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13.6.1对于未预留份额专门面向中小企业采购的采购项目，以及预留份额项目中的非预留部分采购包，对小微企业报价给予10%的扣除，用扣除后的价格参加评审。</w:t>
      </w:r>
    </w:p>
    <w:p w14:paraId="5D55C73C">
      <w:pPr>
        <w:spacing w:line="360" w:lineRule="auto"/>
        <w:ind w:firstLine="422" w:firstLineChars="200"/>
        <w:jc w:val="lef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br w:type="page"/>
      </w:r>
      <w:r>
        <w:rPr>
          <w:rFonts w:hint="eastAsia" w:ascii="宋体" w:hAnsi="宋体" w:eastAsia="宋体" w:cs="宋体"/>
          <w:b/>
          <w:bCs/>
          <w:color w:val="auto"/>
          <w:kern w:val="0"/>
          <w:szCs w:val="21"/>
          <w:highlight w:val="none"/>
        </w:rPr>
        <w:t>附件：</w:t>
      </w:r>
      <w:r>
        <w:rPr>
          <w:rFonts w:hint="eastAsia" w:ascii="宋体" w:hAnsi="宋体" w:eastAsia="宋体" w:cs="宋体"/>
          <w:b/>
          <w:bCs/>
          <w:color w:val="auto"/>
          <w:kern w:val="0"/>
          <w:szCs w:val="21"/>
          <w:highlight w:val="none"/>
          <w:lang w:val="en-US" w:eastAsia="zh-CN"/>
        </w:rPr>
        <w:t>中小企业划型标准规定</w:t>
      </w:r>
      <w:r>
        <w:rPr>
          <w:rFonts w:hint="eastAsia" w:ascii="宋体" w:hAnsi="宋体" w:eastAsia="宋体" w:cs="宋体"/>
          <w:b/>
          <w:bCs/>
          <w:color w:val="auto"/>
          <w:kern w:val="0"/>
          <w:szCs w:val="21"/>
          <w:highlight w:val="none"/>
          <w:lang w:val="en-US" w:eastAsia="zh-CN"/>
        </w:rPr>
        <w:drawing>
          <wp:inline distT="0" distB="0" distL="114300" distR="114300">
            <wp:extent cx="6184265" cy="8278495"/>
            <wp:effectExtent l="0" t="0" r="6985" b="8255"/>
            <wp:docPr id="4" name="图片 13" descr="中小企业划型标准规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中小企业划型标准规定_01"/>
                    <pic:cNvPicPr>
                      <a:picLocks noChangeAspect="1"/>
                    </pic:cNvPicPr>
                  </pic:nvPicPr>
                  <pic:blipFill>
                    <a:blip r:embed="rId26"/>
                    <a:srcRect t="5344"/>
                    <a:stretch>
                      <a:fillRect/>
                    </a:stretch>
                  </pic:blipFill>
                  <pic:spPr>
                    <a:xfrm>
                      <a:off x="0" y="0"/>
                      <a:ext cx="6184265" cy="827849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5" name="图片 14" descr="中小企业划型标准规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中小企业划型标准规定_02"/>
                    <pic:cNvPicPr>
                      <a:picLocks noChangeAspect="1"/>
                    </pic:cNvPicPr>
                  </pic:nvPicPr>
                  <pic:blipFill>
                    <a:blip r:embed="rId27"/>
                    <a:stretch>
                      <a:fillRect/>
                    </a:stretch>
                  </pic:blipFill>
                  <pic:spPr>
                    <a:xfrm>
                      <a:off x="0" y="0"/>
                      <a:ext cx="6184265" cy="874585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7" name="图片 15" descr="中小企业划型标准规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中小企业划型标准规定_03"/>
                    <pic:cNvPicPr>
                      <a:picLocks noChangeAspect="1"/>
                    </pic:cNvPicPr>
                  </pic:nvPicPr>
                  <pic:blipFill>
                    <a:blip r:embed="rId28"/>
                    <a:stretch>
                      <a:fillRect/>
                    </a:stretch>
                  </pic:blipFill>
                  <pic:spPr>
                    <a:xfrm>
                      <a:off x="0" y="0"/>
                      <a:ext cx="6184265" cy="8745855"/>
                    </a:xfrm>
                    <a:prstGeom prst="rect">
                      <a:avLst/>
                    </a:prstGeom>
                    <a:noFill/>
                    <a:ln>
                      <a:noFill/>
                    </a:ln>
                  </pic:spPr>
                </pic:pic>
              </a:graphicData>
            </a:graphic>
          </wp:inline>
        </w:drawing>
      </w:r>
      <w:r>
        <w:rPr>
          <w:rFonts w:hint="eastAsia" w:ascii="宋体" w:hAnsi="宋体" w:eastAsia="宋体" w:cs="宋体"/>
          <w:b/>
          <w:bCs/>
          <w:color w:val="auto"/>
          <w:kern w:val="0"/>
          <w:szCs w:val="21"/>
          <w:highlight w:val="none"/>
          <w:lang w:val="en-US" w:eastAsia="zh-CN"/>
        </w:rPr>
        <w:drawing>
          <wp:inline distT="0" distB="0" distL="114300" distR="114300">
            <wp:extent cx="6184265" cy="8745855"/>
            <wp:effectExtent l="0" t="0" r="6985" b="17145"/>
            <wp:docPr id="8" name="图片 16" descr="中小企业划型标准规定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中小企业划型标准规定_04"/>
                    <pic:cNvPicPr>
                      <a:picLocks noChangeAspect="1"/>
                    </pic:cNvPicPr>
                  </pic:nvPicPr>
                  <pic:blipFill>
                    <a:blip r:embed="rId29"/>
                    <a:stretch>
                      <a:fillRect/>
                    </a:stretch>
                  </pic:blipFill>
                  <pic:spPr>
                    <a:xfrm>
                      <a:off x="0" y="0"/>
                      <a:ext cx="6184265" cy="8745855"/>
                    </a:xfrm>
                    <a:prstGeom prst="rect">
                      <a:avLst/>
                    </a:prstGeom>
                    <a:noFill/>
                    <a:ln>
                      <a:noFill/>
                    </a:ln>
                  </pic:spPr>
                </pic:pic>
              </a:graphicData>
            </a:graphic>
          </wp:inline>
        </w:drawing>
      </w:r>
    </w:p>
    <w:p w14:paraId="3464B895">
      <w:pPr>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br w:type="page"/>
      </w:r>
    </w:p>
    <w:p w14:paraId="39C84272">
      <w:pPr>
        <w:pStyle w:val="3"/>
        <w:spacing w:before="0" w:after="0" w:line="360" w:lineRule="auto"/>
        <w:rPr>
          <w:rFonts w:ascii="宋体" w:hAnsi="宋体" w:eastAsia="宋体"/>
          <w:color w:val="auto"/>
          <w:sz w:val="24"/>
          <w:szCs w:val="24"/>
          <w:highlight w:val="none"/>
        </w:rPr>
      </w:pPr>
      <w:bookmarkStart w:id="243" w:name="_Toc11405"/>
      <w:bookmarkStart w:id="244" w:name="_Toc29415"/>
      <w:r>
        <w:rPr>
          <w:rFonts w:ascii="宋体" w:hAnsi="宋体" w:eastAsia="宋体"/>
          <w:color w:val="auto"/>
          <w:sz w:val="28"/>
          <w:szCs w:val="28"/>
          <w:highlight w:val="none"/>
        </w:rPr>
        <w:t>1</w:t>
      </w:r>
      <w:r>
        <w:rPr>
          <w:rFonts w:hint="eastAsia" w:ascii="宋体" w:hAnsi="宋体" w:eastAsia="宋体"/>
          <w:color w:val="auto"/>
          <w:sz w:val="28"/>
          <w:szCs w:val="28"/>
          <w:highlight w:val="none"/>
          <w:lang w:val="en-US" w:eastAsia="zh-CN"/>
        </w:rPr>
        <w:t>4</w:t>
      </w:r>
      <w:r>
        <w:rPr>
          <w:rFonts w:ascii="宋体" w:hAnsi="宋体" w:eastAsia="宋体"/>
          <w:color w:val="auto"/>
          <w:sz w:val="28"/>
          <w:szCs w:val="28"/>
          <w:highlight w:val="none"/>
        </w:rPr>
        <w:t>.</w:t>
      </w:r>
      <w:r>
        <w:rPr>
          <w:rFonts w:hint="eastAsia" w:ascii="宋体" w:hAnsi="宋体" w:eastAsia="宋体"/>
          <w:color w:val="auto"/>
          <w:sz w:val="28"/>
          <w:szCs w:val="28"/>
          <w:highlight w:val="none"/>
        </w:rPr>
        <w:t>对本国产品的支持政策</w:t>
      </w:r>
      <w:bookmarkEnd w:id="243"/>
      <w:bookmarkEnd w:id="244"/>
    </w:p>
    <w:p w14:paraId="229FAF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依据《</w:t>
      </w:r>
      <w:r>
        <w:rPr>
          <w:rFonts w:hint="eastAsia" w:ascii="宋体" w:hAnsi="宋体" w:eastAsia="宋体" w:cs="宋体"/>
          <w:color w:val="auto"/>
          <w:sz w:val="24"/>
          <w:szCs w:val="24"/>
          <w:highlight w:val="none"/>
        </w:rPr>
        <w:t>国务院办公厅关于在政府采购中实施本国产品标准及相关政策的通知</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（国办发〔2025〕34号）</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《财政部关于贯彻落实&lt;国务院办公厅关于在政府采购中实施本国产品标准及相关政策的通知&gt;的意见》(财库〔2025〕30号)相关规定，本项目政府采购活动中对本国产品实施以下支持政策：</w:t>
      </w:r>
    </w:p>
    <w:p w14:paraId="18EFF3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14.1</w:t>
      </w:r>
      <w:r>
        <w:rPr>
          <w:rFonts w:hint="eastAsia" w:ascii="宋体" w:hAnsi="宋体" w:eastAsia="宋体" w:cs="宋体"/>
          <w:b/>
          <w:bCs/>
          <w:color w:val="auto"/>
          <w:sz w:val="24"/>
          <w:szCs w:val="24"/>
          <w:highlight w:val="none"/>
        </w:rPr>
        <w:t>本国产品标准</w:t>
      </w:r>
    </w:p>
    <w:p w14:paraId="56CC27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本国产品应当符合以下条件： </w:t>
      </w:r>
    </w:p>
    <w:p w14:paraId="639F41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在中国境内生产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1E9091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szCs w:val="24"/>
          <w:highlight w:val="none"/>
        </w:rPr>
        <w:t>为确保产品在运输或者储存期间保持某种状态而进行的操作；</w:t>
      </w:r>
    </w:p>
    <w:p w14:paraId="2644D6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rPr>
        <w:t xml:space="preserve">为产品运输或者销售进行的包装或者展示； </w:t>
      </w:r>
    </w:p>
    <w:p w14:paraId="43E0D1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rPr>
        <w:t xml:space="preserve">在产品或者其包装上粘贴或者印刷品牌、标志、标识以及其他用于区别的标记； </w:t>
      </w:r>
    </w:p>
    <w:p w14:paraId="45AD6A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rPr>
        <w:t xml:space="preserve">简单的上漆、磨光和分装； </w:t>
      </w:r>
    </w:p>
    <w:p w14:paraId="1EC347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szCs w:val="24"/>
          <w:highlight w:val="none"/>
        </w:rPr>
        <w:t>其他不属于属性改变的情形。</w:t>
      </w:r>
    </w:p>
    <w:p w14:paraId="473675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特别提醒：</w:t>
      </w:r>
      <w:r>
        <w:rPr>
          <w:rFonts w:hint="eastAsia" w:ascii="宋体" w:hAnsi="宋体" w:eastAsia="宋体" w:cs="宋体"/>
          <w:color w:val="auto"/>
          <w:sz w:val="24"/>
          <w:szCs w:val="24"/>
          <w:highlight w:val="none"/>
          <w:lang w:val="en-US" w:eastAsia="zh-CN"/>
        </w:rPr>
        <w:t>准确界定产品在中国境内生产。《通知》明确，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41E7AE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14.2</w:t>
      </w:r>
      <w:r>
        <w:rPr>
          <w:rFonts w:hint="eastAsia" w:ascii="宋体" w:hAnsi="宋体" w:eastAsia="宋体" w:cs="宋体"/>
          <w:b/>
          <w:bCs/>
          <w:color w:val="auto"/>
          <w:sz w:val="24"/>
          <w:szCs w:val="24"/>
          <w:highlight w:val="none"/>
        </w:rPr>
        <w:t>本国产品标准的适用范围</w:t>
      </w:r>
      <w:r>
        <w:rPr>
          <w:rFonts w:hint="eastAsia" w:ascii="宋体" w:hAnsi="宋体" w:eastAsia="宋体" w:cs="宋体"/>
          <w:b/>
          <w:bCs/>
          <w:color w:val="auto"/>
          <w:sz w:val="24"/>
          <w:szCs w:val="24"/>
          <w:highlight w:val="none"/>
          <w:lang w:eastAsia="zh-CN"/>
        </w:rPr>
        <w:t>。</w:t>
      </w:r>
    </w:p>
    <w:p w14:paraId="65FC71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EF128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14.3</w:t>
      </w:r>
      <w:r>
        <w:rPr>
          <w:rFonts w:hint="eastAsia" w:ascii="宋体" w:hAnsi="宋体" w:eastAsia="宋体" w:cs="宋体"/>
          <w:b/>
          <w:bCs/>
          <w:color w:val="auto"/>
          <w:sz w:val="24"/>
          <w:szCs w:val="24"/>
          <w:highlight w:val="none"/>
        </w:rPr>
        <w:t>对本国产品的支持政策</w:t>
      </w:r>
      <w:r>
        <w:rPr>
          <w:rFonts w:hint="eastAsia" w:ascii="宋体" w:hAnsi="宋体" w:eastAsia="宋体" w:cs="宋体"/>
          <w:b/>
          <w:bCs/>
          <w:color w:val="auto"/>
          <w:sz w:val="24"/>
          <w:szCs w:val="24"/>
          <w:highlight w:val="none"/>
          <w:lang w:eastAsia="zh-CN"/>
        </w:rPr>
        <w:t>。</w:t>
      </w:r>
    </w:p>
    <w:p w14:paraId="1F7939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政府采购活动中既有本国产品又有非本国产品参与竞争的，对本国产品给予价格评审优惠，对本国产品的报价给予20%的价格扣除，用扣除后的价格参与评审。</w:t>
      </w:r>
    </w:p>
    <w:p w14:paraId="1CF085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bCs/>
          <w:color w:val="auto"/>
          <w:sz w:val="24"/>
          <w:szCs w:val="24"/>
          <w:highlight w:val="none"/>
        </w:rPr>
        <w:t>当采购项目或者采购包中含有多种产品，</w:t>
      </w:r>
      <w:r>
        <w:rPr>
          <w:rFonts w:hint="eastAsia" w:ascii="宋体" w:hAnsi="宋体" w:eastAsia="宋体" w:cs="宋体"/>
          <w:b w:val="0"/>
          <w:bCs w:val="0"/>
          <w:color w:val="auto"/>
          <w:sz w:val="24"/>
          <w:szCs w:val="24"/>
          <w:highlight w:val="none"/>
        </w:rPr>
        <w:t>供应商</w:t>
      </w:r>
      <w:r>
        <w:rPr>
          <w:rFonts w:hint="eastAsia" w:ascii="宋体" w:hAnsi="宋体" w:eastAsia="宋体" w:cs="宋体"/>
          <w:b w:val="0"/>
          <w:bCs w:val="0"/>
          <w:color w:val="auto"/>
          <w:sz w:val="24"/>
          <w:szCs w:val="24"/>
          <w:highlight w:val="none"/>
          <w:lang w:val="en-US" w:eastAsia="zh-CN"/>
        </w:rPr>
        <w:t>应</w:t>
      </w:r>
      <w:r>
        <w:rPr>
          <w:rFonts w:hint="eastAsia" w:ascii="宋体" w:hAnsi="宋体" w:eastAsia="宋体" w:cs="宋体"/>
          <w:b w:val="0"/>
          <w:bCs w:val="0"/>
          <w:color w:val="auto"/>
          <w:sz w:val="24"/>
          <w:szCs w:val="24"/>
          <w:highlight w:val="none"/>
        </w:rPr>
        <w:t>在其投标文件中，对其提供的本国产品占其提供的全部产品成本之和比例是否达到80%做出承诺。(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F5A79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14.4</w:t>
      </w:r>
      <w:r>
        <w:rPr>
          <w:rFonts w:hint="eastAsia" w:ascii="宋体" w:hAnsi="宋体" w:eastAsia="宋体" w:cs="宋体"/>
          <w:b/>
          <w:bCs/>
          <w:color w:val="auto"/>
          <w:sz w:val="24"/>
          <w:szCs w:val="24"/>
          <w:highlight w:val="none"/>
        </w:rPr>
        <w:t>有关证明文件。</w:t>
      </w:r>
    </w:p>
    <w:p w14:paraId="73DDFB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14.4.1供应商应对其提供的产品出具《关于符合本国产品标准的声明函》或财政部会同有关部门规定的有关证明文件。出具符合要求的《声明函》或有关证明文件的，该产品视为本国产品。</w:t>
      </w:r>
    </w:p>
    <w:p w14:paraId="1F1FC4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14.4.2对供应商所出具的《关于符合本国产品标准的声明函》（以下简称《声明函》）的完整性、准确性进行审查的要求，评审中发现《声明函》内容含义不明确、同类事项与投标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50F485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14.4.3</w:t>
      </w:r>
      <w:r>
        <w:rPr>
          <w:rFonts w:hint="eastAsia" w:ascii="宋体" w:hAnsi="宋体" w:eastAsia="宋体" w:cs="宋体"/>
          <w:color w:val="auto"/>
          <w:sz w:val="24"/>
          <w:szCs w:val="24"/>
          <w:highlight w:val="none"/>
        </w:rPr>
        <w:t>供应商提供虚假《声明函》谋取中标、成交的，依照《中华人民共和国政府采购法》等法律法规规定追究相应责任。</w:t>
      </w:r>
    </w:p>
    <w:p w14:paraId="20A830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14.4.4</w:t>
      </w:r>
      <w:r>
        <w:rPr>
          <w:rFonts w:hint="eastAsia" w:ascii="宋体" w:hAnsi="宋体" w:eastAsia="宋体" w:cs="宋体"/>
          <w:color w:val="auto"/>
          <w:sz w:val="24"/>
          <w:szCs w:val="24"/>
          <w:highlight w:val="none"/>
        </w:rPr>
        <w:t>采购人、采购代理机构应当随中标、成交结果同时公告中标、成交供应商提供的《声明函》或有关证明文件。</w:t>
      </w:r>
    </w:p>
    <w:p w14:paraId="2FA8A3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14.5</w:t>
      </w:r>
      <w:r>
        <w:rPr>
          <w:rFonts w:hint="eastAsia" w:ascii="宋体" w:hAnsi="宋体" w:eastAsia="宋体" w:cs="宋体"/>
          <w:b/>
          <w:bCs/>
          <w:color w:val="auto"/>
          <w:sz w:val="24"/>
          <w:szCs w:val="24"/>
          <w:highlight w:val="none"/>
          <w:lang w:val="en-US" w:eastAsia="zh-CN"/>
        </w:rPr>
        <w:t>特别说明</w:t>
      </w:r>
    </w:p>
    <w:p w14:paraId="556B24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支持本国产品政策与支持中小企业政策</w:t>
      </w:r>
    </w:p>
    <w:p w14:paraId="1256F8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本国产品政策实施后，政府采购活动中既有本国产品又有非本国产品参与竞争的，依法对本国产品给予价格评审优惠，对本国产品的报价给予20%的价格扣除，用扣除后的价格参与评审。</w:t>
      </w:r>
      <w:r>
        <w:rPr>
          <w:rFonts w:hint="default" w:ascii="宋体" w:hAnsi="宋体" w:eastAsia="宋体" w:cs="宋体"/>
          <w:b/>
          <w:bCs/>
          <w:color w:val="auto"/>
          <w:sz w:val="24"/>
          <w:szCs w:val="24"/>
          <w:highlight w:val="none"/>
          <w:lang w:val="en-US" w:eastAsia="zh-CN"/>
        </w:rPr>
        <w:t>同时，若提供本国产品的供应商也符合政府采购支持中小企业政策，也按规定给与价格评审优惠。</w:t>
      </w:r>
    </w:p>
    <w:p w14:paraId="3803CA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需要说明的是，相关价格评审扣除优惠，都应该在供应商报价基础上计算。例如:某一供应商的产品报价100元，其提供的产品符合本国产品标准，同时按照采购文件规定也享受对小微企业的10%的价格扣除优惠。则对其报价按规定进行两次扣除，用扣除后的价格参与评审。其参与评审的价格为100－100×20%－100×10%=70元</w:t>
      </w:r>
    </w:p>
    <w:p w14:paraId="1FF367C7">
      <w:pPr>
        <w:spacing w:line="360" w:lineRule="auto"/>
        <w:ind w:firstLine="480" w:firstLineChars="200"/>
        <w:jc w:val="left"/>
        <w:rPr>
          <w:rFonts w:hint="eastAsia" w:ascii="宋体" w:hAnsi="宋体" w:eastAsia="宋体" w:cs="宋体"/>
          <w:b/>
          <w:bCs/>
          <w:color w:val="auto"/>
          <w:kern w:val="0"/>
          <w:szCs w:val="21"/>
          <w:highlight w:val="none"/>
          <w:lang w:val="en-US" w:eastAsia="zh-CN"/>
        </w:rPr>
      </w:pPr>
      <w:r>
        <w:rPr>
          <w:rFonts w:hint="default" w:ascii="宋体" w:hAnsi="宋体" w:eastAsia="宋体" w:cs="宋体"/>
          <w:color w:val="auto"/>
          <w:sz w:val="24"/>
          <w:szCs w:val="24"/>
          <w:highlight w:val="none"/>
          <w:lang w:val="en-US" w:eastAsia="zh-CN"/>
        </w:rPr>
        <w:t>上述支持政策不改变最终中标、成交价格，政府采购合同仍按照中标、成交供应商的报价签订</w:t>
      </w:r>
      <w:r>
        <w:rPr>
          <w:rFonts w:hint="eastAsia" w:ascii="宋体" w:hAnsi="宋体" w:eastAsia="宋体" w:cs="宋体"/>
          <w:color w:val="auto"/>
          <w:sz w:val="24"/>
          <w:szCs w:val="24"/>
          <w:highlight w:val="none"/>
          <w:lang w:val="en-US" w:eastAsia="zh-CN"/>
        </w:rPr>
        <w:t>。</w:t>
      </w:r>
    </w:p>
    <w:p w14:paraId="02D8FCAD">
      <w:pPr>
        <w:spacing w:line="360" w:lineRule="auto"/>
        <w:ind w:firstLine="422" w:firstLineChars="200"/>
        <w:jc w:val="left"/>
        <w:rPr>
          <w:rFonts w:hint="eastAsia" w:ascii="宋体" w:hAnsi="宋体" w:eastAsia="宋体" w:cs="宋体"/>
          <w:b/>
          <w:bCs/>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br w:type="page"/>
      </w:r>
    </w:p>
    <w:p w14:paraId="66D9E3D5">
      <w:pPr>
        <w:pStyle w:val="3"/>
        <w:spacing w:before="0" w:after="0" w:line="360" w:lineRule="auto"/>
        <w:rPr>
          <w:rFonts w:ascii="宋体" w:hAnsi="宋体" w:eastAsia="宋体"/>
          <w:color w:val="auto"/>
          <w:sz w:val="24"/>
          <w:szCs w:val="24"/>
          <w:highlight w:val="none"/>
        </w:rPr>
      </w:pPr>
      <w:bookmarkStart w:id="245" w:name="_Toc28099"/>
      <w:bookmarkStart w:id="246" w:name="_Toc29113"/>
      <w:r>
        <w:rPr>
          <w:rFonts w:ascii="宋体" w:hAnsi="宋体" w:eastAsia="宋体"/>
          <w:color w:val="auto"/>
          <w:sz w:val="28"/>
          <w:szCs w:val="28"/>
          <w:highlight w:val="none"/>
        </w:rPr>
        <w:t>1</w:t>
      </w:r>
      <w:r>
        <w:rPr>
          <w:rFonts w:hint="eastAsia" w:ascii="宋体" w:hAnsi="宋体" w:eastAsia="宋体"/>
          <w:color w:val="auto"/>
          <w:sz w:val="28"/>
          <w:szCs w:val="28"/>
          <w:highlight w:val="none"/>
          <w:lang w:val="en-US" w:eastAsia="zh-CN"/>
        </w:rPr>
        <w:t>5</w:t>
      </w:r>
      <w:r>
        <w:rPr>
          <w:rFonts w:ascii="宋体" w:hAnsi="宋体" w:eastAsia="宋体"/>
          <w:color w:val="auto"/>
          <w:sz w:val="28"/>
          <w:szCs w:val="28"/>
          <w:highlight w:val="none"/>
        </w:rPr>
        <w:t>.政府采购节能产品、环境标志产品</w:t>
      </w:r>
      <w:bookmarkEnd w:id="245"/>
      <w:bookmarkEnd w:id="246"/>
    </w:p>
    <w:p w14:paraId="396180E6">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15.1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50BF97B">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 xml:space="preserve">15.2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7AA8AC75">
      <w:pPr>
        <w:spacing w:line="360" w:lineRule="auto"/>
        <w:ind w:firstLine="480" w:firstLineChars="200"/>
        <w:rPr>
          <w:rFonts w:hint="eastAsia" w:ascii="宋体" w:hAnsi="宋体" w:eastAsia="宋体"/>
          <w:b w:val="0"/>
          <w:bCs w:val="0"/>
          <w:color w:val="auto"/>
          <w:sz w:val="24"/>
          <w:szCs w:val="24"/>
          <w:highlight w:val="none"/>
          <w:lang w:val="en-US" w:eastAsia="zh-CN"/>
        </w:rPr>
      </w:pPr>
      <w:r>
        <w:rPr>
          <w:rFonts w:hint="eastAsia" w:ascii="宋体" w:hAnsi="宋体" w:eastAsia="宋体"/>
          <w:color w:val="auto"/>
          <w:sz w:val="24"/>
          <w:szCs w:val="24"/>
          <w:highlight w:val="none"/>
          <w:lang w:val="en-US" w:eastAsia="zh-CN"/>
        </w:rPr>
        <w:t>15.3如本项目采购产品属于实施政府强制采购品目清单范围的节能产品，则投标人所报产品必须获得国家确定的认证机构出具的、处于有效期之内的节能产品认证证书</w:t>
      </w:r>
      <w:r>
        <w:rPr>
          <w:rFonts w:hint="eastAsia" w:ascii="宋体" w:hAnsi="宋体" w:eastAsia="宋体"/>
          <w:b w:val="0"/>
          <w:bCs w:val="0"/>
          <w:color w:val="auto"/>
          <w:sz w:val="24"/>
          <w:szCs w:val="24"/>
          <w:highlight w:val="none"/>
          <w:lang w:val="en-US" w:eastAsia="zh-CN"/>
        </w:rPr>
        <w:t>，否则投标无效；</w:t>
      </w:r>
    </w:p>
    <w:p w14:paraId="12D2CC57">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15.4非政府强制采购的节能产品或环境标志产品，依据品目清单和认证证书实施政府优先采购。优先采购的具体规定见</w:t>
      </w:r>
      <w:r>
        <w:rPr>
          <w:rFonts w:hint="eastAsia" w:ascii="宋体" w:hAnsi="宋体" w:eastAsia="宋体"/>
          <w:color w:val="auto"/>
          <w:sz w:val="24"/>
          <w:szCs w:val="24"/>
          <w:highlight w:val="none"/>
          <w:lang w:eastAsia="zh-CN"/>
        </w:rPr>
        <w:t>评标办法</w:t>
      </w:r>
      <w:r>
        <w:rPr>
          <w:rFonts w:hint="eastAsia" w:ascii="宋体" w:hAnsi="宋体" w:eastAsia="宋体"/>
          <w:color w:val="auto"/>
          <w:sz w:val="24"/>
          <w:szCs w:val="24"/>
          <w:highlight w:val="none"/>
          <w:lang w:val="en-US" w:eastAsia="zh-CN"/>
        </w:rPr>
        <w:t>。</w:t>
      </w:r>
    </w:p>
    <w:p w14:paraId="41A62F47">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若投标人在投标文件中未提供或未按要求提供产品经国家确定的参与实施政府采购节能产品认证机构或参与实施政府采购环境标志产品认证机构出具的、处于有效期之内的节能产品、环境标志产品认证证书，评标委员会在评审过程中将不予认可，由此造成的一切后果投标人自行承担。</w:t>
      </w:r>
    </w:p>
    <w:p w14:paraId="6BE759CB">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15.5</w:t>
      </w:r>
      <w:r>
        <w:rPr>
          <w:rFonts w:hint="eastAsia" w:ascii="宋体" w:hAnsi="宋体" w:eastAsia="宋体"/>
          <w:color w:val="auto"/>
          <w:sz w:val="24"/>
          <w:szCs w:val="24"/>
          <w:highlight w:val="none"/>
        </w:rPr>
        <w:t>《节能产品政府采购品目清单》及《环境标志产品政府采购品目清单》可通过中国政府采购网（http://www.ccgp.gov.cn/ ）查阅、下载</w:t>
      </w:r>
      <w:r>
        <w:rPr>
          <w:rFonts w:hint="eastAsia" w:ascii="宋体" w:hAnsi="宋体" w:eastAsia="宋体"/>
          <w:color w:val="auto"/>
          <w:sz w:val="24"/>
          <w:szCs w:val="24"/>
          <w:highlight w:val="none"/>
          <w:lang w:eastAsia="zh-CN"/>
        </w:rPr>
        <w:t>。</w:t>
      </w:r>
    </w:p>
    <w:p w14:paraId="53819056">
      <w:pPr>
        <w:jc w:val="center"/>
        <w:outlineLvl w:val="0"/>
        <w:rPr>
          <w:rFonts w:hint="eastAsia" w:ascii="宋体" w:hAnsi="宋体" w:cs="宋体"/>
          <w:color w:val="auto"/>
          <w:highlight w:val="none"/>
        </w:rPr>
      </w:pPr>
      <w:r>
        <w:rPr>
          <w:rFonts w:hint="eastAsia" w:ascii="宋体" w:hAnsi="宋体" w:cs="宋体"/>
          <w:color w:val="auto"/>
          <w:sz w:val="32"/>
          <w:szCs w:val="32"/>
          <w:highlight w:val="none"/>
        </w:rPr>
        <w:br w:type="page"/>
      </w:r>
      <w:bookmarkStart w:id="247" w:name="_Toc31137"/>
      <w:bookmarkEnd w:id="247"/>
      <w:bookmarkStart w:id="248" w:name="_Toc32052"/>
      <w:bookmarkStart w:id="249" w:name="_Toc32285"/>
      <w:bookmarkStart w:id="250" w:name="_Toc10106"/>
      <w:bookmarkStart w:id="251" w:name="_Toc28833"/>
      <w:r>
        <w:rPr>
          <w:rFonts w:hint="eastAsia" w:ascii="宋体" w:hAnsi="宋体" w:cs="宋体"/>
          <w:b/>
          <w:bCs/>
          <w:color w:val="auto"/>
          <w:sz w:val="44"/>
          <w:szCs w:val="44"/>
          <w:highlight w:val="none"/>
        </w:rPr>
        <w:t>第三章 资格审查</w:t>
      </w:r>
      <w:bookmarkEnd w:id="248"/>
      <w:bookmarkEnd w:id="249"/>
      <w:bookmarkEnd w:id="250"/>
      <w:bookmarkEnd w:id="251"/>
    </w:p>
    <w:p w14:paraId="2568BDFD">
      <w:pPr>
        <w:pStyle w:val="34"/>
        <w:spacing w:before="0" w:beforeAutospacing="0" w:after="0" w:afterAutospacing="0" w:line="360" w:lineRule="auto"/>
        <w:ind w:firstLine="480" w:firstLineChars="200"/>
        <w:jc w:val="both"/>
        <w:rPr>
          <w:rFonts w:hint="eastAsia" w:ascii="宋体" w:hAnsi="宋体" w:cs="宋体"/>
          <w:color w:val="auto"/>
          <w:highlight w:val="none"/>
        </w:rPr>
      </w:pPr>
      <w:r>
        <w:rPr>
          <w:rFonts w:hint="eastAsia" w:ascii="宋体" w:hAnsi="宋体" w:cs="宋体"/>
          <w:color w:val="auto"/>
          <w:highlight w:val="none"/>
        </w:rPr>
        <w:t xml:space="preserve"> </w:t>
      </w:r>
    </w:p>
    <w:p w14:paraId="27C8FF25">
      <w:pPr>
        <w:pStyle w:val="34"/>
        <w:spacing w:before="0" w:beforeAutospacing="0" w:after="0" w:afterAutospacing="0" w:line="360" w:lineRule="auto"/>
        <w:ind w:firstLine="480" w:firstLineChars="200"/>
        <w:jc w:val="both"/>
        <w:rPr>
          <w:rFonts w:hint="eastAsia" w:ascii="宋体" w:hAnsi="宋体" w:cs="宋体"/>
          <w:color w:val="auto"/>
          <w:highlight w:val="none"/>
        </w:rPr>
      </w:pPr>
      <w:r>
        <w:rPr>
          <w:rFonts w:hint="eastAsia" w:ascii="宋体" w:hAnsi="宋体" w:cs="宋体"/>
          <w:color w:val="auto"/>
          <w:highlight w:val="none"/>
        </w:rPr>
        <w:t>公开招标采购项目开标结束后，采购人(和/或)采购代理机构依法对投标人的资格进行审查。合格投标人不足3家的，不得评标。</w:t>
      </w:r>
    </w:p>
    <w:p w14:paraId="3FBE1AA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资格审查：采购人(和/或)采购代理机构依据法律法规和招标文件的规定，对投标文件中“证明投标人的资格文件”进行审查，以确定投标人是否具备投标资格。只有通过资格审查的投标文件才能进入评标。</w:t>
      </w:r>
    </w:p>
    <w:p w14:paraId="1AE4B22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不符合下列情形之一的投标文件不能通过资格审查：</w:t>
      </w:r>
    </w:p>
    <w:p w14:paraId="4DB5419B">
      <w:pPr>
        <w:widowControl w:val="0"/>
        <w:spacing w:line="360" w:lineRule="auto"/>
        <w:ind w:firstLine="480" w:firstLineChars="200"/>
        <w:jc w:val="both"/>
        <w:rPr>
          <w:rFonts w:hint="eastAsia" w:ascii="宋体" w:hAnsi="宋体" w:eastAsia="宋体" w:cs="宋体"/>
          <w:color w:val="auto"/>
          <w:kern w:val="2"/>
          <w:sz w:val="24"/>
          <w:szCs w:val="24"/>
          <w:highlight w:val="none"/>
        </w:rPr>
      </w:pPr>
      <w:bookmarkStart w:id="252" w:name="_Toc5266"/>
      <w:r>
        <w:rPr>
          <w:rFonts w:hint="eastAsia" w:ascii="宋体" w:hAnsi="宋体" w:eastAsia="宋体" w:cs="宋体"/>
          <w:color w:val="auto"/>
          <w:kern w:val="2"/>
          <w:sz w:val="24"/>
          <w:szCs w:val="24"/>
          <w:highlight w:val="none"/>
        </w:rPr>
        <w:t>1.满足《中华人民共和国政府采购法》第二十二条规定；</w:t>
      </w:r>
    </w:p>
    <w:p w14:paraId="731F1A10">
      <w:pPr>
        <w:widowControl w:val="0"/>
        <w:spacing w:line="360" w:lineRule="auto"/>
        <w:ind w:firstLine="480" w:firstLineChars="200"/>
        <w:jc w:val="both"/>
        <w:rPr>
          <w:rFonts w:hint="eastAsia" w:ascii="宋体" w:hAnsi="宋体" w:eastAsia="宋体" w:cs="宋体"/>
          <w:color w:val="auto"/>
          <w:kern w:val="2"/>
          <w:sz w:val="24"/>
          <w:szCs w:val="24"/>
          <w:highlight w:val="none"/>
          <w:lang w:eastAsia="zh-CN" w:bidi="ar"/>
        </w:rPr>
      </w:pPr>
      <w:r>
        <w:rPr>
          <w:rFonts w:hint="eastAsia" w:ascii="宋体" w:hAnsi="宋体" w:cs="宋体"/>
          <w:color w:val="auto"/>
          <w:kern w:val="2"/>
          <w:sz w:val="24"/>
          <w:szCs w:val="24"/>
          <w:highlight w:val="none"/>
          <w:lang w:bidi="ar"/>
        </w:rPr>
        <w:t>1.1具有独立承担民事责任的能力。提供法人或者其他组织</w:t>
      </w:r>
      <w:r>
        <w:rPr>
          <w:rFonts w:hint="eastAsia" w:ascii="宋体" w:hAnsi="宋体" w:cs="宋体"/>
          <w:color w:val="auto"/>
          <w:kern w:val="2"/>
          <w:sz w:val="24"/>
          <w:szCs w:val="24"/>
          <w:highlight w:val="none"/>
          <w:lang w:val="en-US" w:eastAsia="zh-CN" w:bidi="ar"/>
        </w:rPr>
        <w:t>或自然人</w:t>
      </w:r>
      <w:r>
        <w:rPr>
          <w:rFonts w:hint="eastAsia" w:ascii="宋体" w:hAnsi="宋体" w:cs="宋体"/>
          <w:color w:val="auto"/>
          <w:kern w:val="2"/>
          <w:sz w:val="24"/>
          <w:szCs w:val="24"/>
          <w:highlight w:val="none"/>
          <w:lang w:eastAsia="zh-CN" w:bidi="ar"/>
        </w:rPr>
        <w:t>的有效的营业执照或同等证明文件。</w:t>
      </w:r>
    </w:p>
    <w:p w14:paraId="73EAFA44">
      <w:pPr>
        <w:widowControl w:val="0"/>
        <w:spacing w:line="360" w:lineRule="auto"/>
        <w:ind w:firstLine="480" w:firstLineChars="20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1.2具有良好的商业信誉和健全的财务会计制度。投标人须提供财务状况报告，内容可为以下</w:t>
      </w:r>
      <w:r>
        <w:rPr>
          <w:rFonts w:hint="eastAsia" w:ascii="宋体" w:hAnsi="宋体" w:cs="宋体"/>
          <w:color w:val="auto"/>
          <w:kern w:val="2"/>
          <w:sz w:val="24"/>
          <w:szCs w:val="24"/>
          <w:highlight w:val="none"/>
          <w:lang w:val="en-US" w:eastAsia="zh-CN" w:bidi="ar"/>
        </w:rPr>
        <w:t>三</w:t>
      </w:r>
      <w:r>
        <w:rPr>
          <w:rFonts w:hint="eastAsia" w:ascii="宋体" w:hAnsi="宋体" w:cs="宋体"/>
          <w:color w:val="auto"/>
          <w:kern w:val="2"/>
          <w:sz w:val="24"/>
          <w:szCs w:val="24"/>
          <w:highlight w:val="none"/>
          <w:lang w:bidi="ar"/>
        </w:rPr>
        <w:t xml:space="preserve">者之一： </w:t>
      </w:r>
    </w:p>
    <w:p w14:paraId="1B0CBCF5">
      <w:pPr>
        <w:widowControl w:val="0"/>
        <w:spacing w:line="360" w:lineRule="auto"/>
        <w:ind w:firstLine="480" w:firstLineChars="20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①提供2024年至今任意一年度经审计的财务报告</w:t>
      </w:r>
      <w:r>
        <w:rPr>
          <w:rFonts w:hint="eastAsia" w:ascii="宋体" w:hAnsi="宋体" w:cs="宋体"/>
          <w:b/>
          <w:bCs/>
          <w:color w:val="auto"/>
          <w:kern w:val="2"/>
          <w:sz w:val="24"/>
          <w:szCs w:val="24"/>
          <w:highlight w:val="none"/>
          <w:lang w:bidi="ar"/>
        </w:rPr>
        <w:t>（包括资产负债表、利润表、现金流量表、</w:t>
      </w:r>
      <w:r>
        <w:rPr>
          <w:rFonts w:hint="eastAsia" w:ascii="宋体" w:hAnsi="宋体" w:cs="宋体"/>
          <w:b/>
          <w:bCs/>
          <w:color w:val="auto"/>
          <w:kern w:val="2"/>
          <w:sz w:val="24"/>
          <w:szCs w:val="24"/>
          <w:highlight w:val="none"/>
          <w:lang w:eastAsia="zh-CN" w:bidi="ar"/>
        </w:rPr>
        <w:t>所有者权益变动表及其附注（执行小企业会计准则的可不提供所有者权益变动表）</w:t>
      </w:r>
      <w:r>
        <w:rPr>
          <w:rFonts w:hint="eastAsia" w:ascii="宋体" w:hAnsi="宋体" w:cs="宋体"/>
          <w:b/>
          <w:bCs/>
          <w:color w:val="auto"/>
          <w:kern w:val="2"/>
          <w:sz w:val="24"/>
          <w:szCs w:val="24"/>
          <w:highlight w:val="none"/>
          <w:lang w:bidi="ar"/>
        </w:rPr>
        <w:t>）</w:t>
      </w:r>
      <w:r>
        <w:rPr>
          <w:rFonts w:hint="eastAsia" w:ascii="宋体" w:hAnsi="宋体" w:cs="宋体"/>
          <w:color w:val="auto"/>
          <w:kern w:val="2"/>
          <w:sz w:val="24"/>
          <w:szCs w:val="24"/>
          <w:highlight w:val="none"/>
          <w:lang w:bidi="ar"/>
        </w:rPr>
        <w:t>，2025年1月1日至今成立的投标人</w:t>
      </w:r>
      <w:r>
        <w:rPr>
          <w:rFonts w:hint="eastAsia" w:ascii="宋体" w:hAnsi="宋体" w:cs="宋体"/>
          <w:color w:val="auto"/>
          <w:kern w:val="2"/>
          <w:sz w:val="24"/>
          <w:szCs w:val="24"/>
          <w:highlight w:val="none"/>
          <w:lang w:val="en-US" w:eastAsia="zh-CN" w:bidi="ar"/>
        </w:rPr>
        <w:t>可</w:t>
      </w:r>
      <w:r>
        <w:rPr>
          <w:rFonts w:hint="eastAsia" w:ascii="宋体" w:hAnsi="宋体" w:cs="宋体"/>
          <w:color w:val="auto"/>
          <w:kern w:val="2"/>
          <w:sz w:val="24"/>
          <w:szCs w:val="24"/>
          <w:highlight w:val="none"/>
          <w:lang w:bidi="ar"/>
        </w:rPr>
        <w:t>提供自成立至今</w:t>
      </w:r>
      <w:r>
        <w:rPr>
          <w:rFonts w:hint="eastAsia" w:ascii="宋体" w:hAnsi="宋体" w:cs="宋体"/>
          <w:color w:val="auto"/>
          <w:kern w:val="2"/>
          <w:sz w:val="24"/>
          <w:szCs w:val="24"/>
          <w:highlight w:val="none"/>
          <w:lang w:val="en-US" w:eastAsia="zh-CN" w:bidi="ar"/>
        </w:rPr>
        <w:t>自行编制</w:t>
      </w:r>
      <w:r>
        <w:rPr>
          <w:rFonts w:hint="eastAsia" w:ascii="宋体" w:hAnsi="宋体" w:cs="宋体"/>
          <w:color w:val="auto"/>
          <w:kern w:val="2"/>
          <w:sz w:val="24"/>
          <w:szCs w:val="24"/>
          <w:highlight w:val="none"/>
          <w:lang w:bidi="ar"/>
        </w:rPr>
        <w:t>的财务报表；</w:t>
      </w:r>
    </w:p>
    <w:p w14:paraId="2663119F">
      <w:pPr>
        <w:widowControl w:val="0"/>
        <w:spacing w:line="360" w:lineRule="auto"/>
        <w:ind w:firstLine="480" w:firstLineChars="200"/>
        <w:jc w:val="both"/>
        <w:rPr>
          <w:rFonts w:hint="eastAsia"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bidi="ar"/>
        </w:rPr>
        <w:t>②提供自投标文件提交截止时间前三个月内基本开户银行出具的资信证明。</w:t>
      </w:r>
    </w:p>
    <w:p w14:paraId="39FA816C">
      <w:pPr>
        <w:widowControl w:val="0"/>
        <w:spacing w:line="360" w:lineRule="auto"/>
        <w:ind w:firstLine="480" w:firstLineChars="200"/>
        <w:jc w:val="both"/>
        <w:rPr>
          <w:rFonts w:hint="eastAsia"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bidi="ar"/>
        </w:rPr>
        <w:t>③财政部门认可的政府采购专业担保机构出具的投标担保函，须同时提供专业担保机构经财政部门认可的证明文件。</w:t>
      </w:r>
    </w:p>
    <w:p w14:paraId="0BAFFDA1">
      <w:pPr>
        <w:widowControl w:val="0"/>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kern w:val="2"/>
          <w:sz w:val="24"/>
          <w:szCs w:val="24"/>
          <w:highlight w:val="none"/>
          <w:lang w:bidi="ar"/>
        </w:rPr>
        <w:t>1.3具有履行合同所必需的设备和专业技术能力。提供具备履行合同所必需的设备和专业技术能力的证明材料</w:t>
      </w:r>
      <w:r>
        <w:rPr>
          <w:rFonts w:hint="eastAsia" w:ascii="宋体" w:hAnsi="宋体" w:cs="宋体"/>
          <w:color w:val="auto"/>
          <w:kern w:val="2"/>
          <w:sz w:val="24"/>
          <w:szCs w:val="24"/>
          <w:highlight w:val="none"/>
          <w:lang w:val="en-US" w:eastAsia="zh-CN" w:bidi="ar"/>
        </w:rPr>
        <w:t>或书面声明</w:t>
      </w:r>
      <w:r>
        <w:rPr>
          <w:rFonts w:hint="eastAsia" w:ascii="宋体" w:hAnsi="宋体" w:cs="宋体"/>
          <w:color w:val="auto"/>
          <w:kern w:val="2"/>
          <w:sz w:val="24"/>
          <w:szCs w:val="24"/>
          <w:highlight w:val="none"/>
          <w:lang w:bidi="ar"/>
        </w:rPr>
        <w:t>。</w:t>
      </w:r>
    </w:p>
    <w:p w14:paraId="563C0300">
      <w:pPr>
        <w:spacing w:line="360" w:lineRule="auto"/>
        <w:ind w:firstLine="480" w:firstLineChars="20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1.4有依法缴纳税收和社会保障资金的良好记录。</w:t>
      </w:r>
      <w:r>
        <w:rPr>
          <w:rFonts w:hint="eastAsia" w:ascii="宋体" w:hAnsi="宋体" w:cs="宋体"/>
          <w:color w:val="auto"/>
          <w:sz w:val="24"/>
          <w:szCs w:val="24"/>
          <w:highlight w:val="none"/>
        </w:rPr>
        <w:t>提供</w:t>
      </w:r>
      <w:r>
        <w:rPr>
          <w:rFonts w:hint="eastAsia" w:ascii="宋体" w:hAnsi="宋体" w:cs="宋体"/>
          <w:color w:val="auto"/>
          <w:sz w:val="24"/>
          <w:szCs w:val="24"/>
          <w:highlight w:val="none"/>
          <w:lang w:eastAsia="zh-CN"/>
        </w:rPr>
        <w:t>2025年5月至今任意</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个月</w:t>
      </w:r>
      <w:r>
        <w:rPr>
          <w:rFonts w:hint="eastAsia" w:ascii="宋体" w:hAnsi="宋体" w:cs="宋体"/>
          <w:color w:val="auto"/>
          <w:sz w:val="24"/>
          <w:szCs w:val="24"/>
          <w:highlight w:val="none"/>
        </w:rPr>
        <w:t>依法缴纳税收和缴纳社会保障资金的证明（</w:t>
      </w:r>
      <w:r>
        <w:rPr>
          <w:rFonts w:hint="eastAsia" w:ascii="宋体" w:hAnsi="宋体" w:cs="宋体"/>
          <w:color w:val="auto"/>
          <w:sz w:val="24"/>
          <w:szCs w:val="24"/>
          <w:highlight w:val="none"/>
          <w:lang w:eastAsia="zh-CN"/>
        </w:rPr>
        <w:t>成立未满2个月的提供成立以来的税收和社会保障资金缴纳凭据或相关情况说明</w:t>
      </w:r>
      <w:r>
        <w:rPr>
          <w:rFonts w:hint="eastAsia" w:ascii="宋体" w:hAnsi="宋体" w:cs="宋体"/>
          <w:color w:val="auto"/>
          <w:sz w:val="24"/>
          <w:szCs w:val="24"/>
          <w:highlight w:val="none"/>
        </w:rPr>
        <w:t>；依法免税或不需要缴纳社会保障资金的投标人，应提供相应文件证明其依法免税或不需要缴纳社会保障资金）。</w:t>
      </w:r>
    </w:p>
    <w:p w14:paraId="4EC1306C">
      <w:pPr>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1.5参加政府采购活动前三年内，在经营活动中没有重大违法记录。提供参加政府采购活动前三年内在经营活动中没有重大违法记录的书面声明。</w:t>
      </w:r>
    </w:p>
    <w:p w14:paraId="2263C822">
      <w:pPr>
        <w:spacing w:line="360" w:lineRule="auto"/>
        <w:ind w:firstLine="480"/>
        <w:rPr>
          <w:rFonts w:hint="eastAsia" w:ascii="宋体" w:hAnsi="宋体" w:cs="宋体"/>
          <w:color w:val="auto"/>
          <w:sz w:val="24"/>
          <w:szCs w:val="24"/>
          <w:highlight w:val="none"/>
        </w:rPr>
      </w:pPr>
      <w:r>
        <w:rPr>
          <w:rFonts w:hint="eastAsia" w:ascii="宋体" w:hAnsi="宋体" w:cs="宋体"/>
          <w:color w:val="auto"/>
          <w:sz w:val="24"/>
          <w:szCs w:val="24"/>
          <w:highlight w:val="none"/>
        </w:rPr>
        <w:t>1.6法律、行政法规规定的其他条件。</w:t>
      </w:r>
    </w:p>
    <w:p w14:paraId="0B9E0AC7">
      <w:pPr>
        <w:pStyle w:val="13"/>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1.6.1单位负责人为同一人或者存在直接控股、管理关系的不同供应商，不得参加同一合同项下的政府采购活动。</w:t>
      </w:r>
    </w:p>
    <w:p w14:paraId="3A3E7272">
      <w:pPr>
        <w:pStyle w:val="13"/>
        <w:tabs>
          <w:tab w:val="left" w:pos="5250"/>
        </w:tabs>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为采购项目提供整体设计、规范编制或者项目管理、监理、检测等服务的供应商，不得再参加该采购项目的其他采购活动。</w:t>
      </w:r>
    </w:p>
    <w:p w14:paraId="1272CF81">
      <w:pPr>
        <w:pStyle w:val="13"/>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1.6.2投标人应在“信用中国”网站（www.creditchina.gov.cn）未被列入失信被执行人记录、重大税收违法失信主体且在中国政府采购网（www.ccgp.gov.cn）没有政府采购严重违法失信行</w:t>
      </w:r>
      <w:r>
        <w:rPr>
          <w:rFonts w:hint="eastAsia" w:ascii="宋体" w:hAnsi="宋体" w:eastAsia="宋体" w:cs="宋体"/>
          <w:color w:val="auto"/>
          <w:kern w:val="0"/>
          <w:sz w:val="24"/>
          <w:highlight w:val="none"/>
        </w:rPr>
        <w:t>为记录</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lang w:val="en-US" w:eastAsia="zh-CN"/>
        </w:rPr>
        <w:t>本项由</w:t>
      </w:r>
      <w:r>
        <w:rPr>
          <w:rFonts w:hint="eastAsia" w:ascii="宋体" w:hAnsi="宋体" w:eastAsia="宋体" w:cs="宋体"/>
          <w:color w:val="auto"/>
          <w:kern w:val="0"/>
          <w:sz w:val="24"/>
          <w:highlight w:val="none"/>
        </w:rPr>
        <w:t>代理机构在项目开标后评标会议开始前查询、存档</w:t>
      </w: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w:t>
      </w:r>
    </w:p>
    <w:p w14:paraId="7C697E11">
      <w:pPr>
        <w:widowControl/>
        <w:spacing w:line="360" w:lineRule="auto"/>
        <w:ind w:firstLine="484" w:firstLineChars="202"/>
        <w:jc w:val="left"/>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2.落实政府采购政策需满足的资格要求：</w:t>
      </w:r>
      <w:r>
        <w:rPr>
          <w:rFonts w:hint="eastAsia" w:ascii="宋体" w:hAnsi="宋体" w:eastAsia="宋体" w:cs="宋体"/>
          <w:color w:val="auto"/>
          <w:kern w:val="2"/>
          <w:sz w:val="24"/>
          <w:szCs w:val="24"/>
          <w:highlight w:val="none"/>
          <w:lang w:eastAsia="zh-CN"/>
        </w:rPr>
        <w:t>本项目不属于专门面向中小企业采购的项目。</w:t>
      </w:r>
    </w:p>
    <w:p w14:paraId="5A100DB9">
      <w:pPr>
        <w:widowControl w:val="0"/>
        <w:spacing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3.本项目的特定资格要求：</w:t>
      </w:r>
    </w:p>
    <w:p w14:paraId="6CEDFCFA">
      <w:pPr>
        <w:widowControl w:val="0"/>
        <w:spacing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 xml:space="preserve">3.1投标人如果是代理商或经销商且所投产品为医疗器械，须提供医疗器械经营许可/备案证，所投产品制造商医疗器械生产许可证（制造商工商注册地在中华人民共和国境外的，不做此要求）、所投产品的医疗器械注册证；投标人如果是制造商且所投产品为医疗器械，须提供医疗器械生产许可证（制造商工商注册地在中华人民共和国境外的，不做此要求）、所投产品的医疗器械注册证。医疗器械生产或经营许可证生产或经营范围须覆盖所投第二、三类医疗器械（根据中华人民共和国国务院令第739号《医疗器械监督管理条例》和国家药品监督管理局《医疗器械分类目录》的规定，在《医疗器械分类目录》内的产品必须按照《医疗器械监督管理条例》 的要求提供，其他不在《医疗器械分类目录》内的不作强行要求）； </w:t>
      </w:r>
    </w:p>
    <w:p w14:paraId="417049C5">
      <w:pPr>
        <w:widowControl w:val="0"/>
        <w:spacing w:line="360" w:lineRule="auto"/>
        <w:ind w:firstLine="480" w:firstLineChars="200"/>
        <w:jc w:val="both"/>
        <w:rPr>
          <w:rFonts w:hint="default"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3.2</w:t>
      </w:r>
      <w:r>
        <w:rPr>
          <w:rFonts w:hint="eastAsia" w:ascii="宋体" w:hAnsi="宋体" w:cs="宋体"/>
          <w:color w:val="auto"/>
          <w:kern w:val="0"/>
          <w:sz w:val="24"/>
          <w:highlight w:val="none"/>
        </w:rPr>
        <w:t>若供应商所投产品为进口货物的，供应商是一级经销商的，应得到货物制造商厂家的有效授权文件（如授权函或长期代理协议或制造商资格声明等）；投标人是次级经销商的，则必须提供上一级经销商的有效授权文件和货物制造厂家对上一级经销商的有效授权，若授权中明确规定不能转授权的，转授权无效。</w:t>
      </w:r>
    </w:p>
    <w:p w14:paraId="6F13B8E2">
      <w:pPr>
        <w:widowControl w:val="0"/>
        <w:spacing w:line="360" w:lineRule="auto"/>
        <w:ind w:firstLine="480" w:firstLineChars="200"/>
        <w:jc w:val="both"/>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w:t>
      </w:r>
      <w:r>
        <w:rPr>
          <w:rFonts w:hint="eastAsia" w:ascii="宋体" w:hAnsi="宋体" w:cs="宋体"/>
          <w:color w:val="auto"/>
          <w:kern w:val="2"/>
          <w:sz w:val="24"/>
          <w:szCs w:val="24"/>
          <w:highlight w:val="none"/>
          <w:lang w:val="en-US" w:eastAsia="zh-CN"/>
        </w:rPr>
        <w:t>3</w:t>
      </w:r>
      <w:r>
        <w:rPr>
          <w:rFonts w:hint="eastAsia" w:ascii="宋体" w:hAnsi="宋体" w:eastAsia="宋体" w:cs="宋体"/>
          <w:color w:val="auto"/>
          <w:kern w:val="2"/>
          <w:sz w:val="24"/>
          <w:szCs w:val="24"/>
          <w:highlight w:val="none"/>
          <w:lang w:val="en-US" w:eastAsia="zh-CN"/>
        </w:rPr>
        <w:t>本项目不接受联合体投标。</w:t>
      </w:r>
    </w:p>
    <w:p w14:paraId="49D0B202">
      <w:pPr>
        <w:pStyle w:val="13"/>
        <w:ind w:firstLine="420" w:firstLineChars="200"/>
        <w:rPr>
          <w:rFonts w:hint="eastAsia" w:ascii="宋体" w:hAnsi="宋体" w:cs="宋体"/>
          <w:color w:val="auto"/>
          <w:highlight w:val="none"/>
        </w:rPr>
        <w:sectPr>
          <w:footerReference r:id="rId6" w:type="default"/>
          <w:pgSz w:w="11906" w:h="16838"/>
          <w:pgMar w:top="1191" w:right="1191" w:bottom="1191" w:left="1304" w:header="851" w:footer="850" w:gutter="0"/>
          <w:pgNumType w:fmt="numberInDash" w:start="1"/>
          <w:cols w:space="720" w:num="1"/>
          <w:docGrid w:type="lines" w:linePitch="317" w:charSpace="0"/>
        </w:sectPr>
      </w:pPr>
      <w:r>
        <w:rPr>
          <w:rFonts w:hint="eastAsia" w:ascii="宋体" w:hAnsi="宋体" w:cs="宋体"/>
          <w:color w:val="auto"/>
          <w:highlight w:val="none"/>
        </w:rPr>
        <w:t xml:space="preserve"> </w:t>
      </w:r>
    </w:p>
    <w:bookmarkEnd w:id="252"/>
    <w:p w14:paraId="68F4386E">
      <w:pPr>
        <w:pStyle w:val="2"/>
        <w:spacing w:before="0" w:after="0" w:line="360" w:lineRule="auto"/>
        <w:jc w:val="center"/>
        <w:rPr>
          <w:rFonts w:hint="eastAsia" w:ascii="宋体" w:hAnsi="宋体" w:cs="宋体"/>
          <w:color w:val="auto"/>
          <w:highlight w:val="none"/>
        </w:rPr>
      </w:pPr>
      <w:bookmarkStart w:id="253" w:name="_Toc18440"/>
      <w:bookmarkEnd w:id="253"/>
      <w:bookmarkStart w:id="254" w:name="_Toc26828"/>
      <w:bookmarkEnd w:id="254"/>
      <w:bookmarkStart w:id="255" w:name="_Toc31518"/>
      <w:bookmarkStart w:id="256" w:name="_Toc5062"/>
      <w:bookmarkStart w:id="257" w:name="_Toc15966"/>
      <w:bookmarkStart w:id="258" w:name="_Toc30727"/>
      <w:bookmarkStart w:id="259" w:name="_Toc15431"/>
      <w:r>
        <w:rPr>
          <w:rFonts w:hint="eastAsia" w:ascii="宋体" w:hAnsi="宋体" w:cs="宋体"/>
          <w:color w:val="auto"/>
          <w:highlight w:val="none"/>
        </w:rPr>
        <w:t>第四章 评标办法(综合评分法)</w:t>
      </w:r>
      <w:bookmarkEnd w:id="255"/>
      <w:bookmarkEnd w:id="256"/>
      <w:bookmarkEnd w:id="257"/>
    </w:p>
    <w:p w14:paraId="413DE39B">
      <w:pPr>
        <w:spacing w:line="500" w:lineRule="exact"/>
        <w:ind w:firstLine="482" w:firstLineChars="200"/>
        <w:jc w:val="both"/>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一、评标机构</w:t>
      </w:r>
    </w:p>
    <w:p w14:paraId="6AB79CA9">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评标机构为评标委员会，评标委员会的组成见投标人须知前附表7.1.1。</w:t>
      </w:r>
    </w:p>
    <w:p w14:paraId="427C3572">
      <w:pPr>
        <w:spacing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二、采购人或者采购代理机构职责</w:t>
      </w:r>
    </w:p>
    <w:p w14:paraId="71A6BBB1">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采购人或者采购代理机构负责组织评标工作，并履行下列职责：</w:t>
      </w:r>
    </w:p>
    <w:p w14:paraId="02115D65">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(一)核对评审专家身份和采购人代表授权函，对评审专家在政府采购活动中的职责履行情况予以记录，并及时将有关违法违规行为向财政部门报告。</w:t>
      </w:r>
    </w:p>
    <w:p w14:paraId="26E892EF">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(二)宣布评标纪律。</w:t>
      </w:r>
    </w:p>
    <w:p w14:paraId="4885364F">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(三)公布投标人名单，告知评审专家应当回避的情形。</w:t>
      </w:r>
    </w:p>
    <w:p w14:paraId="5E433546">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(四)组织评标委员会推选评标组长，采购人代表不得担任组长。</w:t>
      </w:r>
    </w:p>
    <w:p w14:paraId="2D9F9CCC">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(五)在评标期间采取必要的通讯管理措施，保证评标活动不受外界干扰。</w:t>
      </w:r>
    </w:p>
    <w:p w14:paraId="5D638C5F">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(六)根据评标委员会的要求介绍政府采购相关政策法规、招标文件。</w:t>
      </w:r>
    </w:p>
    <w:p w14:paraId="580B16FC">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(七)维护评标秩序，监督评标委员会依照招标文件规定的评标程序、方法和标准进行独立评审，及时制止和纠正采购人代表、评审专家的倾向性言论或者违法违规行为。</w:t>
      </w:r>
    </w:p>
    <w:p w14:paraId="5203EE0E">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(八)核对评标结果，有《政府采购货物和服务招标投标管理办法》（财政部第87号令）第六十四条规定情形的，要求评标委员会复核或者书面说明理由，评标委员会拒绝的，应予记录并向本级财政部门报告。</w:t>
      </w:r>
    </w:p>
    <w:p w14:paraId="3E4786B9">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(九)评审工作完成后，按照规定向评审专家支付劳务报酬和异地评审差旅费，不得向评审专家以外的其他人员支付评审劳务报酬。</w:t>
      </w:r>
    </w:p>
    <w:p w14:paraId="5926C557">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(十)处理与评标有关的其他事项。</w:t>
      </w:r>
    </w:p>
    <w:p w14:paraId="28D780D0">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采购人可以在评标前说明项目背景和采购需求，说明内容不得含有歧视性、倾向性意见，不得超出招标文件所述范围。说明应当提交书面材料，并随采购文件一并存档。</w:t>
      </w:r>
    </w:p>
    <w:p w14:paraId="22EF36A5">
      <w:pPr>
        <w:spacing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三、评标委员会职责</w:t>
      </w:r>
    </w:p>
    <w:p w14:paraId="0348FBCD">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评标委员会负责具体评标事务，并独立履行下列职责：</w:t>
      </w:r>
    </w:p>
    <w:p w14:paraId="474A80AE">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(一)审查、评价投标文件是否符合招标文件的商务、技术等实质性要求。</w:t>
      </w:r>
    </w:p>
    <w:p w14:paraId="443EBEB9">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(二)要求投标人对投标文件有关事项作出澄清或者说明。</w:t>
      </w:r>
    </w:p>
    <w:p w14:paraId="207AB143">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(三)对投标文件进行比较和评价。</w:t>
      </w:r>
    </w:p>
    <w:p w14:paraId="4B15B9EA">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(四)确定中标候选人名单，以及根据采购人委托直接确定中标人。</w:t>
      </w:r>
    </w:p>
    <w:p w14:paraId="3F6864AD">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(五)向采购人、采购代理机构或者有关部门报告评标中发现的违法行为。</w:t>
      </w:r>
    </w:p>
    <w:p w14:paraId="7B0C1CB0">
      <w:pPr>
        <w:pStyle w:val="18"/>
        <w:spacing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四、评标纪律</w:t>
      </w:r>
    </w:p>
    <w:p w14:paraId="2C388FC7">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(一)对评标内容和评标过程要严格保密，不得向投标人或与该过程无关的其它人员泄露。</w:t>
      </w:r>
    </w:p>
    <w:p w14:paraId="306539E1">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(二)评标期间的一切资料，包括评标意见、评标记录和评标结论，一律不得向外传和泄露。</w:t>
      </w:r>
    </w:p>
    <w:p w14:paraId="089622F3">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(三)任何属于投标文件审查、澄清、评价和比较的资料，不得向投标人或与该过程无关的其它人员泄露。</w:t>
      </w:r>
    </w:p>
    <w:p w14:paraId="3484DF49">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(四)所有资料(包括招标文件、投标文件、评标表格及各种文字记录)在评标结束后均应分别整理、存档备查，任何人不得复制和保留。</w:t>
      </w:r>
    </w:p>
    <w:p w14:paraId="6320BE86">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(五)评标期间，未经允许评标委员会以外的任何单位或部门不得参加评标和采访评标工作。</w:t>
      </w:r>
    </w:p>
    <w:p w14:paraId="6713E6C6">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(六)评标期间，评标人员不得外出，确需外出时应事先请假。</w:t>
      </w:r>
    </w:p>
    <w:p w14:paraId="07468D7C">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(七)评标期间，所有与会人员均不得私自以任何方式和投标人进行联系，需询问、澄清的问题由评委会统一组织办理。</w:t>
      </w:r>
    </w:p>
    <w:p w14:paraId="15A0E9E5">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(八)评标结束后，与会人员不得向外界透露评标人员的评标意见，如因此造成的后果由责任者承担。</w:t>
      </w:r>
    </w:p>
    <w:p w14:paraId="7D4FC3E2">
      <w:pPr>
        <w:spacing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五、评标原则</w:t>
      </w:r>
    </w:p>
    <w:p w14:paraId="085D25F0">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评标将遵循下列原则：</w:t>
      </w:r>
    </w:p>
    <w:p w14:paraId="6D732A78">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(一)坚持公平、公正、科学、择优的原则，本着实事求是的精神，不带有任何主观意愿和偏见，认真负责地做好评标工作，公平、公正地对待每一个投标人。</w:t>
      </w:r>
    </w:p>
    <w:p w14:paraId="4AF90E5D">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(二)全面分析，综合评审。</w:t>
      </w:r>
    </w:p>
    <w:p w14:paraId="3F43D4BB">
      <w:pPr>
        <w:pStyle w:val="18"/>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(三)评标只对投标人的投标文件进行评审，投标文件以外的资料、信息不应作为评标的依据。</w:t>
      </w:r>
    </w:p>
    <w:p w14:paraId="64B1958A">
      <w:pPr>
        <w:spacing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六、评标程序</w:t>
      </w:r>
    </w:p>
    <w:p w14:paraId="2DF55258">
      <w:pPr>
        <w:pStyle w:val="18"/>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次招标所采用的评标方法为《政府采购货物和服务招标投标管理办法》(财政部令第87号)第五十五条规定的“综合评分法”，即：投标文件满足招标文件全部实质性要求，且按照评审因素的量化指标评审得分最高的投标人为中标候选人的评标方法。</w:t>
      </w:r>
    </w:p>
    <w:p w14:paraId="0BACE29B">
      <w:pPr>
        <w:pStyle w:val="18"/>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评标委员会按照招标文件中规定的评标方法和标准，对符合性审查合格的投标文件进行商务和技术评估，综合比较与评价。招标文件中没有规定的方法、评审因素和标准，不作为评标依据。</w:t>
      </w:r>
    </w:p>
    <w:p w14:paraId="4F1ECAD9">
      <w:pPr>
        <w:spacing w:line="46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(一)符合性审查</w:t>
      </w:r>
    </w:p>
    <w:p w14:paraId="334335F8">
      <w:pPr>
        <w:pStyle w:val="18"/>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评标委员会依据符合性评审标准对符合资格的投标人的投标文件进行符合性审查，有一项不符合评审标准的，评标委员会应当否决其投标。</w:t>
      </w:r>
    </w:p>
    <w:p w14:paraId="010E91B4">
      <w:pPr>
        <w:pStyle w:val="18"/>
        <w:ind w:firstLine="482" w:firstLineChars="200"/>
        <w:rPr>
          <w:rFonts w:hint="eastAsia" w:ascii="宋体" w:hAnsi="宋体" w:cs="宋体"/>
          <w:color w:val="auto"/>
          <w:sz w:val="24"/>
          <w:szCs w:val="24"/>
          <w:highlight w:val="none"/>
        </w:rPr>
      </w:pPr>
      <w:r>
        <w:rPr>
          <w:rFonts w:hint="eastAsia" w:ascii="宋体" w:hAnsi="宋体" w:cs="宋体"/>
          <w:b/>
          <w:color w:val="auto"/>
          <w:sz w:val="24"/>
          <w:szCs w:val="24"/>
          <w:highlight w:val="none"/>
        </w:rPr>
        <w:t>符合性审查表</w:t>
      </w:r>
    </w:p>
    <w:tbl>
      <w:tblPr>
        <w:tblStyle w:val="37"/>
        <w:tblW w:w="100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2303"/>
        <w:gridCol w:w="5813"/>
      </w:tblGrid>
      <w:tr w14:paraId="2D4F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927" w:type="dxa"/>
            <w:noWrap w:val="0"/>
            <w:vAlign w:val="top"/>
          </w:tcPr>
          <w:p w14:paraId="3555C8D9">
            <w:pPr>
              <w:pStyle w:val="18"/>
              <w:widowControl w:val="0"/>
              <w:ind w:firstLine="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审查内容</w:t>
            </w:r>
          </w:p>
        </w:tc>
        <w:tc>
          <w:tcPr>
            <w:tcW w:w="2303" w:type="dxa"/>
            <w:noWrap w:val="0"/>
            <w:vAlign w:val="top"/>
          </w:tcPr>
          <w:p w14:paraId="02A19591">
            <w:pPr>
              <w:pStyle w:val="18"/>
              <w:widowControl w:val="0"/>
              <w:ind w:firstLine="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评审因素</w:t>
            </w:r>
          </w:p>
        </w:tc>
        <w:tc>
          <w:tcPr>
            <w:tcW w:w="5813" w:type="dxa"/>
            <w:noWrap w:val="0"/>
            <w:vAlign w:val="top"/>
          </w:tcPr>
          <w:p w14:paraId="6948C854">
            <w:pPr>
              <w:pStyle w:val="18"/>
              <w:widowControl w:val="0"/>
              <w:ind w:firstLine="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评审标准</w:t>
            </w:r>
          </w:p>
        </w:tc>
      </w:tr>
      <w:tr w14:paraId="2E60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dxa"/>
            <w:vMerge w:val="restart"/>
            <w:noWrap w:val="0"/>
            <w:vAlign w:val="center"/>
          </w:tcPr>
          <w:p w14:paraId="7C8E378B">
            <w:pPr>
              <w:pStyle w:val="18"/>
              <w:widowControl w:val="0"/>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符合性评审标准</w:t>
            </w:r>
          </w:p>
        </w:tc>
        <w:tc>
          <w:tcPr>
            <w:tcW w:w="2303" w:type="dxa"/>
            <w:noWrap w:val="0"/>
            <w:vAlign w:val="center"/>
          </w:tcPr>
          <w:p w14:paraId="41B7E7C1">
            <w:pPr>
              <w:pStyle w:val="18"/>
              <w:widowControl w:val="0"/>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投标文件格式</w:t>
            </w:r>
          </w:p>
        </w:tc>
        <w:tc>
          <w:tcPr>
            <w:tcW w:w="5813" w:type="dxa"/>
            <w:noWrap w:val="0"/>
            <w:vAlign w:val="top"/>
          </w:tcPr>
          <w:p w14:paraId="21B61763">
            <w:pPr>
              <w:pStyle w:val="18"/>
              <w:widowControl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投标文件按第七章“投标文件格式”要求填写，内容完整且关键字迹清晰</w:t>
            </w:r>
          </w:p>
        </w:tc>
      </w:tr>
      <w:tr w14:paraId="7D17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dxa"/>
            <w:vMerge w:val="continue"/>
            <w:noWrap w:val="0"/>
            <w:vAlign w:val="top"/>
          </w:tcPr>
          <w:p w14:paraId="74344700">
            <w:pPr>
              <w:pStyle w:val="18"/>
              <w:widowControl w:val="0"/>
              <w:ind w:firstLine="0"/>
              <w:jc w:val="center"/>
              <w:rPr>
                <w:rFonts w:hint="eastAsia" w:ascii="宋体" w:hAnsi="宋体" w:cs="宋体"/>
                <w:color w:val="auto"/>
                <w:sz w:val="24"/>
                <w:szCs w:val="24"/>
                <w:highlight w:val="none"/>
              </w:rPr>
            </w:pPr>
          </w:p>
        </w:tc>
        <w:tc>
          <w:tcPr>
            <w:tcW w:w="2303" w:type="dxa"/>
            <w:noWrap w:val="0"/>
            <w:vAlign w:val="center"/>
          </w:tcPr>
          <w:p w14:paraId="43A0E558">
            <w:pPr>
              <w:pStyle w:val="18"/>
              <w:widowControl w:val="0"/>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投标文件签署、盖章</w:t>
            </w:r>
          </w:p>
        </w:tc>
        <w:tc>
          <w:tcPr>
            <w:tcW w:w="5813" w:type="dxa"/>
            <w:noWrap w:val="0"/>
            <w:vAlign w:val="top"/>
          </w:tcPr>
          <w:p w14:paraId="3FFA5031">
            <w:pPr>
              <w:pStyle w:val="18"/>
              <w:widowControl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按第七章“投标文件格式”要求在规定位置盖电子签章、签字</w:t>
            </w:r>
          </w:p>
        </w:tc>
      </w:tr>
      <w:tr w14:paraId="6FF0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927" w:type="dxa"/>
            <w:vMerge w:val="continue"/>
            <w:noWrap w:val="0"/>
            <w:vAlign w:val="top"/>
          </w:tcPr>
          <w:p w14:paraId="2D320174">
            <w:pPr>
              <w:pStyle w:val="18"/>
              <w:widowControl w:val="0"/>
              <w:ind w:firstLine="0"/>
              <w:jc w:val="both"/>
              <w:rPr>
                <w:rFonts w:hint="eastAsia" w:ascii="宋体" w:hAnsi="宋体" w:cs="宋体"/>
                <w:color w:val="auto"/>
                <w:sz w:val="24"/>
                <w:szCs w:val="24"/>
                <w:highlight w:val="none"/>
              </w:rPr>
            </w:pPr>
          </w:p>
        </w:tc>
        <w:tc>
          <w:tcPr>
            <w:tcW w:w="2303" w:type="dxa"/>
            <w:noWrap w:val="0"/>
            <w:vAlign w:val="center"/>
          </w:tcPr>
          <w:p w14:paraId="58659BEE">
            <w:pPr>
              <w:pStyle w:val="18"/>
              <w:widowControl w:val="0"/>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投标保证金</w:t>
            </w:r>
          </w:p>
        </w:tc>
        <w:tc>
          <w:tcPr>
            <w:tcW w:w="5813" w:type="dxa"/>
            <w:noWrap w:val="0"/>
            <w:vAlign w:val="top"/>
          </w:tcPr>
          <w:p w14:paraId="135054BB">
            <w:pPr>
              <w:pStyle w:val="18"/>
              <w:widowControl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符合第二章“投标人须知前附表”第3.4.1款规定</w:t>
            </w:r>
          </w:p>
        </w:tc>
      </w:tr>
      <w:tr w14:paraId="7B35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dxa"/>
            <w:vMerge w:val="continue"/>
            <w:noWrap w:val="0"/>
            <w:vAlign w:val="top"/>
          </w:tcPr>
          <w:p w14:paraId="47351F3E">
            <w:pPr>
              <w:pStyle w:val="18"/>
              <w:widowControl w:val="0"/>
              <w:jc w:val="both"/>
              <w:rPr>
                <w:rFonts w:hint="eastAsia" w:ascii="宋体" w:hAnsi="宋体" w:cs="宋体"/>
                <w:color w:val="auto"/>
                <w:sz w:val="24"/>
                <w:szCs w:val="24"/>
                <w:highlight w:val="none"/>
              </w:rPr>
            </w:pPr>
          </w:p>
        </w:tc>
        <w:tc>
          <w:tcPr>
            <w:tcW w:w="2303" w:type="dxa"/>
            <w:noWrap w:val="0"/>
            <w:vAlign w:val="center"/>
          </w:tcPr>
          <w:p w14:paraId="731DB753">
            <w:pPr>
              <w:pStyle w:val="18"/>
              <w:widowControl w:val="0"/>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投标报价</w:t>
            </w:r>
          </w:p>
        </w:tc>
        <w:tc>
          <w:tcPr>
            <w:tcW w:w="5813" w:type="dxa"/>
            <w:noWrap w:val="0"/>
            <w:vAlign w:val="top"/>
          </w:tcPr>
          <w:p w14:paraId="40ADC566">
            <w:pPr>
              <w:pStyle w:val="18"/>
              <w:widowControl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符合第二章“投标人须知”第3.2项规定和第二章“投标人须知前附表”第3.2.4款规定</w:t>
            </w:r>
          </w:p>
        </w:tc>
      </w:tr>
      <w:tr w14:paraId="21D7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927" w:type="dxa"/>
            <w:vMerge w:val="continue"/>
            <w:noWrap w:val="0"/>
            <w:vAlign w:val="top"/>
          </w:tcPr>
          <w:p w14:paraId="1BAB6015">
            <w:pPr>
              <w:pStyle w:val="18"/>
              <w:widowControl w:val="0"/>
              <w:jc w:val="both"/>
              <w:rPr>
                <w:rFonts w:hint="eastAsia" w:ascii="宋体" w:hAnsi="宋体" w:cs="宋体"/>
                <w:color w:val="auto"/>
                <w:sz w:val="24"/>
                <w:szCs w:val="24"/>
                <w:highlight w:val="none"/>
              </w:rPr>
            </w:pPr>
          </w:p>
        </w:tc>
        <w:tc>
          <w:tcPr>
            <w:tcW w:w="2303" w:type="dxa"/>
            <w:noWrap w:val="0"/>
            <w:vAlign w:val="center"/>
          </w:tcPr>
          <w:p w14:paraId="398FB2B1">
            <w:pPr>
              <w:pStyle w:val="18"/>
              <w:widowControl w:val="0"/>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投标有效期</w:t>
            </w:r>
          </w:p>
        </w:tc>
        <w:tc>
          <w:tcPr>
            <w:tcW w:w="5813" w:type="dxa"/>
            <w:noWrap w:val="0"/>
            <w:vAlign w:val="top"/>
          </w:tcPr>
          <w:p w14:paraId="0CA2B219">
            <w:pPr>
              <w:pStyle w:val="18"/>
              <w:widowControl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符合第二章“投标人须知前附表”第3.3.1款规定</w:t>
            </w:r>
          </w:p>
        </w:tc>
      </w:tr>
      <w:tr w14:paraId="5EDF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927" w:type="dxa"/>
            <w:vMerge w:val="continue"/>
            <w:noWrap w:val="0"/>
            <w:vAlign w:val="top"/>
          </w:tcPr>
          <w:p w14:paraId="135B94C5">
            <w:pPr>
              <w:pStyle w:val="18"/>
              <w:widowControl w:val="0"/>
              <w:jc w:val="both"/>
              <w:rPr>
                <w:rFonts w:hint="eastAsia" w:ascii="宋体" w:hAnsi="宋体" w:cs="宋体"/>
                <w:color w:val="auto"/>
                <w:sz w:val="24"/>
                <w:szCs w:val="24"/>
                <w:highlight w:val="none"/>
              </w:rPr>
            </w:pPr>
          </w:p>
        </w:tc>
        <w:tc>
          <w:tcPr>
            <w:tcW w:w="2303" w:type="dxa"/>
            <w:noWrap w:val="0"/>
            <w:vAlign w:val="center"/>
          </w:tcPr>
          <w:p w14:paraId="7A3A3BC5">
            <w:pPr>
              <w:pStyle w:val="18"/>
              <w:widowControl w:val="0"/>
              <w:ind w:firstLine="0"/>
              <w:jc w:val="center"/>
              <w:rPr>
                <w:rFonts w:hint="eastAsia" w:ascii="宋体" w:hAnsi="宋体" w:cs="宋体"/>
                <w:color w:val="auto"/>
                <w:sz w:val="24"/>
                <w:szCs w:val="24"/>
                <w:highlight w:val="none"/>
              </w:rPr>
            </w:pPr>
            <w:r>
              <w:rPr>
                <w:rFonts w:hint="eastAsia" w:ascii="宋体" w:hAnsi="宋体" w:cs="宋体"/>
                <w:color w:val="auto"/>
                <w:sz w:val="24"/>
                <w:highlight w:val="none"/>
              </w:rPr>
              <w:t>投标内容</w:t>
            </w:r>
          </w:p>
        </w:tc>
        <w:tc>
          <w:tcPr>
            <w:tcW w:w="5813" w:type="dxa"/>
            <w:noWrap w:val="0"/>
            <w:vAlign w:val="center"/>
          </w:tcPr>
          <w:p w14:paraId="74EC171D">
            <w:pPr>
              <w:pStyle w:val="18"/>
              <w:widowControl w:val="0"/>
              <w:ind w:firstLine="0"/>
              <w:rPr>
                <w:rFonts w:hint="eastAsia" w:ascii="宋体" w:hAnsi="宋体" w:cs="宋体"/>
                <w:color w:val="auto"/>
                <w:sz w:val="24"/>
                <w:szCs w:val="24"/>
                <w:highlight w:val="none"/>
              </w:rPr>
            </w:pPr>
            <w:r>
              <w:rPr>
                <w:rFonts w:hint="eastAsia" w:ascii="宋体" w:hAnsi="宋体" w:cs="宋体"/>
                <w:color w:val="auto"/>
                <w:sz w:val="24"/>
                <w:highlight w:val="none"/>
              </w:rPr>
              <w:t>投标人提供的货物无实质性遗漏</w:t>
            </w:r>
            <w:r>
              <w:rPr>
                <w:rFonts w:hint="eastAsia" w:ascii="宋体" w:hAnsi="宋体" w:cs="宋体"/>
                <w:color w:val="auto"/>
                <w:sz w:val="24"/>
                <w:szCs w:val="24"/>
                <w:highlight w:val="none"/>
              </w:rPr>
              <w:t xml:space="preserve"> </w:t>
            </w:r>
          </w:p>
        </w:tc>
      </w:tr>
      <w:tr w14:paraId="47CA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927" w:type="dxa"/>
            <w:vMerge w:val="continue"/>
            <w:noWrap w:val="0"/>
            <w:vAlign w:val="top"/>
          </w:tcPr>
          <w:p w14:paraId="5C7067FD">
            <w:pPr>
              <w:pStyle w:val="18"/>
              <w:widowControl w:val="0"/>
              <w:jc w:val="both"/>
              <w:rPr>
                <w:rFonts w:hint="eastAsia" w:ascii="宋体" w:hAnsi="宋体" w:cs="宋体"/>
                <w:color w:val="auto"/>
                <w:sz w:val="24"/>
                <w:szCs w:val="24"/>
                <w:highlight w:val="none"/>
              </w:rPr>
            </w:pPr>
          </w:p>
        </w:tc>
        <w:tc>
          <w:tcPr>
            <w:tcW w:w="2303" w:type="dxa"/>
            <w:noWrap w:val="0"/>
            <w:vAlign w:val="center"/>
          </w:tcPr>
          <w:p w14:paraId="08BF819D">
            <w:pPr>
              <w:pStyle w:val="18"/>
              <w:widowControl w:val="0"/>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其它实质性条件</w:t>
            </w:r>
          </w:p>
        </w:tc>
        <w:tc>
          <w:tcPr>
            <w:tcW w:w="5813" w:type="dxa"/>
            <w:noWrap w:val="0"/>
            <w:vAlign w:val="center"/>
          </w:tcPr>
          <w:p w14:paraId="3F19E532">
            <w:pPr>
              <w:pStyle w:val="18"/>
              <w:widowControl w:val="0"/>
              <w:ind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实质性响应招标文件中标注★条款内容</w:t>
            </w:r>
          </w:p>
        </w:tc>
      </w:tr>
      <w:tr w14:paraId="0364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dxa"/>
            <w:vMerge w:val="continue"/>
            <w:noWrap w:val="0"/>
            <w:vAlign w:val="top"/>
          </w:tcPr>
          <w:p w14:paraId="6B282C39">
            <w:pPr>
              <w:pStyle w:val="18"/>
              <w:widowControl w:val="0"/>
              <w:jc w:val="both"/>
              <w:rPr>
                <w:rFonts w:hint="eastAsia" w:ascii="宋体" w:hAnsi="宋体" w:cs="宋体"/>
                <w:color w:val="auto"/>
                <w:sz w:val="24"/>
                <w:szCs w:val="24"/>
                <w:highlight w:val="none"/>
              </w:rPr>
            </w:pPr>
          </w:p>
        </w:tc>
        <w:tc>
          <w:tcPr>
            <w:tcW w:w="2303" w:type="dxa"/>
            <w:noWrap w:val="0"/>
            <w:vAlign w:val="center"/>
          </w:tcPr>
          <w:p w14:paraId="276BFDF6">
            <w:pPr>
              <w:pStyle w:val="18"/>
              <w:widowControl w:val="0"/>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法定代表人授权委托书</w:t>
            </w:r>
          </w:p>
        </w:tc>
        <w:tc>
          <w:tcPr>
            <w:tcW w:w="5813" w:type="dxa"/>
            <w:noWrap w:val="0"/>
            <w:vAlign w:val="center"/>
          </w:tcPr>
          <w:p w14:paraId="44126DC6">
            <w:pPr>
              <w:pStyle w:val="18"/>
              <w:widowControl w:val="0"/>
              <w:ind w:firstLine="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法定代表人委托代理人投标的，应附法定代表人授权委托书</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并按格式要求签署、盖章。</w:t>
            </w:r>
          </w:p>
        </w:tc>
      </w:tr>
      <w:tr w14:paraId="2A10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7" w:type="dxa"/>
            <w:vMerge w:val="continue"/>
            <w:noWrap w:val="0"/>
            <w:vAlign w:val="top"/>
          </w:tcPr>
          <w:p w14:paraId="037A9AA1">
            <w:pPr>
              <w:pStyle w:val="18"/>
              <w:widowControl w:val="0"/>
              <w:jc w:val="both"/>
              <w:rPr>
                <w:rFonts w:hint="eastAsia" w:ascii="宋体" w:hAnsi="宋体" w:cs="宋体"/>
                <w:color w:val="auto"/>
                <w:sz w:val="24"/>
                <w:szCs w:val="24"/>
                <w:highlight w:val="none"/>
              </w:rPr>
            </w:pPr>
          </w:p>
        </w:tc>
        <w:tc>
          <w:tcPr>
            <w:tcW w:w="2303" w:type="dxa"/>
            <w:noWrap w:val="0"/>
            <w:vAlign w:val="center"/>
          </w:tcPr>
          <w:p w14:paraId="672EED12">
            <w:pPr>
              <w:widowControl w:val="0"/>
              <w:tabs>
                <w:tab w:val="left" w:pos="1260"/>
                <w:tab w:val="left" w:pos="1620"/>
              </w:tabs>
              <w:adjustRightInd w:val="0"/>
              <w:snapToGrid w:val="0"/>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其他无效情形</w:t>
            </w:r>
          </w:p>
        </w:tc>
        <w:tc>
          <w:tcPr>
            <w:tcW w:w="5813" w:type="dxa"/>
            <w:noWrap w:val="0"/>
            <w:vAlign w:val="center"/>
          </w:tcPr>
          <w:p w14:paraId="5B49FDEE">
            <w:pPr>
              <w:pStyle w:val="18"/>
              <w:widowControl w:val="0"/>
              <w:autoSpaceDE w:val="0"/>
              <w:ind w:firstLine="0"/>
              <w:jc w:val="both"/>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不存在以下情形：</w:t>
            </w:r>
          </w:p>
          <w:p w14:paraId="2D75903C">
            <w:pPr>
              <w:pStyle w:val="18"/>
              <w:widowControl w:val="0"/>
              <w:autoSpaceDE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(1)不同投标人的投标文件由同一单位或者个人编制；</w:t>
            </w:r>
          </w:p>
          <w:p w14:paraId="392D94E2">
            <w:pPr>
              <w:pStyle w:val="18"/>
              <w:widowControl w:val="0"/>
              <w:autoSpaceDE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(2)不同投标人委托同一单位或者个人办理投标事宜；</w:t>
            </w:r>
          </w:p>
          <w:p w14:paraId="54F3618F">
            <w:pPr>
              <w:pStyle w:val="18"/>
              <w:widowControl w:val="0"/>
              <w:autoSpaceDE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(3)不同投标人的投标文件载明的项目管理成员或者联系人员为同一人；</w:t>
            </w:r>
          </w:p>
          <w:p w14:paraId="7D08F8CF">
            <w:pPr>
              <w:pStyle w:val="18"/>
              <w:widowControl w:val="0"/>
              <w:autoSpaceDE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(4)不同投标人的投标文件异常一致或者投标报价呈规律性差异；</w:t>
            </w:r>
          </w:p>
          <w:p w14:paraId="10CAF906">
            <w:pPr>
              <w:pStyle w:val="18"/>
              <w:widowControl w:val="0"/>
              <w:autoSpaceDE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(5)不同投标人的投标文件相互混装；</w:t>
            </w:r>
          </w:p>
          <w:p w14:paraId="4CCF3577">
            <w:pPr>
              <w:pStyle w:val="18"/>
              <w:widowControl w:val="0"/>
              <w:autoSpaceDE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(6)不同投标人的投标保证金从同一单位或者个人的账户转出；</w:t>
            </w:r>
          </w:p>
          <w:p w14:paraId="4FD1B173">
            <w:pPr>
              <w:pStyle w:val="18"/>
              <w:widowControl w:val="0"/>
              <w:autoSpaceDE w:val="0"/>
              <w:ind w:firstLine="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(7)法律、法规和招标文件规定的其他无效情形。</w:t>
            </w:r>
          </w:p>
        </w:tc>
      </w:tr>
      <w:tr w14:paraId="225D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927" w:type="dxa"/>
            <w:vMerge w:val="continue"/>
            <w:noWrap w:val="0"/>
            <w:vAlign w:val="top"/>
          </w:tcPr>
          <w:p w14:paraId="7CB4F86D">
            <w:pPr>
              <w:pStyle w:val="18"/>
              <w:widowControl w:val="0"/>
              <w:jc w:val="both"/>
              <w:rPr>
                <w:rFonts w:hint="eastAsia" w:ascii="宋体" w:hAnsi="宋体" w:cs="宋体"/>
                <w:color w:val="auto"/>
                <w:sz w:val="24"/>
                <w:szCs w:val="24"/>
                <w:highlight w:val="none"/>
              </w:rPr>
            </w:pPr>
          </w:p>
        </w:tc>
        <w:tc>
          <w:tcPr>
            <w:tcW w:w="2303" w:type="dxa"/>
            <w:noWrap w:val="0"/>
            <w:vAlign w:val="top"/>
          </w:tcPr>
          <w:p w14:paraId="24262556">
            <w:pPr>
              <w:pStyle w:val="18"/>
              <w:widowControl w:val="0"/>
              <w:ind w:firstLine="0"/>
              <w:jc w:val="center"/>
              <w:rPr>
                <w:rFonts w:hint="eastAsia" w:ascii="宋体" w:hAnsi="宋体" w:cs="宋体"/>
                <w:b/>
                <w:bCs/>
                <w:color w:val="auto"/>
                <w:sz w:val="24"/>
                <w:szCs w:val="24"/>
                <w:highlight w:val="none"/>
              </w:rPr>
            </w:pPr>
            <w:r>
              <w:rPr>
                <w:rFonts w:hint="eastAsia" w:ascii="宋体" w:hAnsi="宋体" w:cs="宋体"/>
                <w:color w:val="auto"/>
                <w:sz w:val="24"/>
                <w:szCs w:val="24"/>
                <w:highlight w:val="none"/>
              </w:rPr>
              <w:t>附加条件</w:t>
            </w:r>
          </w:p>
        </w:tc>
        <w:tc>
          <w:tcPr>
            <w:tcW w:w="5813" w:type="dxa"/>
            <w:noWrap w:val="0"/>
            <w:vAlign w:val="top"/>
          </w:tcPr>
          <w:p w14:paraId="4CCA9A53">
            <w:pPr>
              <w:pStyle w:val="18"/>
              <w:widowControl w:val="0"/>
              <w:ind w:firstLine="0"/>
              <w:jc w:val="both"/>
              <w:rPr>
                <w:rFonts w:hint="eastAsia" w:ascii="宋体" w:hAnsi="宋体" w:cs="宋体"/>
                <w:b/>
                <w:bCs/>
                <w:color w:val="auto"/>
                <w:sz w:val="24"/>
                <w:szCs w:val="24"/>
                <w:highlight w:val="none"/>
              </w:rPr>
            </w:pPr>
            <w:r>
              <w:rPr>
                <w:rFonts w:hint="eastAsia" w:ascii="宋体" w:hAnsi="宋体" w:cs="宋体"/>
                <w:color w:val="auto"/>
                <w:sz w:val="24"/>
                <w:szCs w:val="24"/>
                <w:highlight w:val="none"/>
              </w:rPr>
              <w:t>投标文件未含有采购人不能接受的附加条件</w:t>
            </w:r>
          </w:p>
        </w:tc>
      </w:tr>
    </w:tbl>
    <w:p w14:paraId="5D8C0F19">
      <w:pPr>
        <w:pStyle w:val="18"/>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(二)澄清有关问题、报价修正及异常低价审查</w:t>
      </w:r>
    </w:p>
    <w:p w14:paraId="612C1CDA">
      <w:pPr>
        <w:pStyle w:val="18"/>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1.投标文件内容澄清</w:t>
      </w:r>
    </w:p>
    <w:p w14:paraId="745BD12D">
      <w:pPr>
        <w:pStyle w:val="18"/>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对于投标文件中含义不明确、同类问题表述不一致或者有明显文字和计算错误的内容，评标委员会应当以书面形式要求投标人作出必要的澄清、说明或者补正。投标人的澄清、说明或者补正应当采用书面形式，并加盖单位公章，或者由法定代表人或其授权的代表签字。投标人的澄清、说明或者补正不得超出投标文件的范围或者改变投标文件的实质性内容。</w:t>
      </w:r>
    </w:p>
    <w:p w14:paraId="0174A077">
      <w:pPr>
        <w:pStyle w:val="18"/>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2.报价不一致修正原则</w:t>
      </w:r>
    </w:p>
    <w:p w14:paraId="723CA51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投标文件报价出现前后不一致的，除招标文件另有规定外，按照下列规定修正：</w:t>
      </w:r>
    </w:p>
    <w:p w14:paraId="1B96FFA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(1)投标文件中《开标一览表》内容与投标文件中相应内容不一致的，以《开标一览表》为准；</w:t>
      </w:r>
    </w:p>
    <w:p w14:paraId="0AD9D4C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(2)大写金额和小写金额不一致的，以大写金额为准；</w:t>
      </w:r>
    </w:p>
    <w:p w14:paraId="61C4917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(3)单价金额小数点或者百分比有明显错位的，以开标一览表的总价为准，并修改单价；</w:t>
      </w:r>
    </w:p>
    <w:p w14:paraId="4D0E2EE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(4)总价金额与按单价汇总金额不一致的，以单价金额计算结果为准。</w:t>
      </w:r>
    </w:p>
    <w:p w14:paraId="342AC44A">
      <w:pPr>
        <w:pStyle w:val="18"/>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同时出现两种以上不一致的，按照前款规定的顺序修正。修正后的报价经投标人确认后产生约束力，投标人不确认的，其投标无效。</w:t>
      </w:r>
    </w:p>
    <w:p w14:paraId="67B91955">
      <w:pPr>
        <w:pStyle w:val="18"/>
        <w:ind w:firstLine="482" w:firstLineChars="200"/>
        <w:rPr>
          <w:rFonts w:ascii="宋体" w:hAnsi="宋体" w:cs="宋体"/>
          <w:b/>
          <w:bCs/>
          <w:color w:val="auto"/>
          <w:sz w:val="24"/>
          <w:szCs w:val="24"/>
          <w:highlight w:val="none"/>
        </w:rPr>
      </w:pPr>
      <w:r>
        <w:rPr>
          <w:rFonts w:hint="eastAsia" w:ascii="宋体" w:hAnsi="宋体" w:cs="宋体"/>
          <w:b/>
          <w:bCs/>
          <w:color w:val="auto"/>
          <w:sz w:val="24"/>
          <w:szCs w:val="24"/>
          <w:highlight w:val="none"/>
        </w:rPr>
        <w:t>3.异常低价审查</w:t>
      </w:r>
    </w:p>
    <w:p w14:paraId="1AB094BD">
      <w:pPr>
        <w:pStyle w:val="18"/>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依据《关于推动解决政府采购异常低价问题的通知》财库〔2026〕2号的规定：</w:t>
      </w:r>
    </w:p>
    <w:p w14:paraId="3D70FEFE">
      <w:pPr>
        <w:pStyle w:val="18"/>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3.1政府采购评审中出现下列情形之一的，评审委员会应当启动异常低价投标（响应）审查程序：</w:t>
      </w:r>
    </w:p>
    <w:p w14:paraId="2AC9FBEC">
      <w:pPr>
        <w:pStyle w:val="18"/>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（1）投标（响应）报价低于全部通过符合性审查供应商投标（响应）报价平均值50%的，即投标（响应）报价&lt;全部通过符合性审查供应商投标（响应）报价平均值×50%；</w:t>
      </w:r>
    </w:p>
    <w:p w14:paraId="271C391B">
      <w:pPr>
        <w:pStyle w:val="18"/>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（2）投标（响应）报价低于通过符合性审查的次低报价供应商投标（响应）报价50%的，即投标（响应）报价&lt;通过符合性审查的次低报价供应商投标（响应）报价×50%；</w:t>
      </w:r>
    </w:p>
    <w:p w14:paraId="1E7C96AB">
      <w:pPr>
        <w:pStyle w:val="18"/>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（3）投标（响应）报价低于采购项目最高限价45%的，即投标（响应）报价&lt;采购项目最高限价×45%；</w:t>
      </w:r>
    </w:p>
    <w:p w14:paraId="45D03468">
      <w:pPr>
        <w:pStyle w:val="18"/>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（4）评审委员会基于专业判断，认为供应商报价过低，有可能影响产品质量或者不能诚信履约的其他情形。</w:t>
      </w:r>
    </w:p>
    <w:p w14:paraId="0E88A11F">
      <w:pPr>
        <w:pStyle w:val="18"/>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相关法律法规对供应商报价有规定的，从其规定。</w:t>
      </w:r>
    </w:p>
    <w:p w14:paraId="00396907">
      <w:pPr>
        <w:pStyle w:val="18"/>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44539AA">
      <w:pPr>
        <w:pStyle w:val="18"/>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4827045">
      <w:pPr>
        <w:pStyle w:val="18"/>
        <w:ind w:firstLine="480" w:firstLineChars="200"/>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69924312">
      <w:pPr>
        <w:pStyle w:val="18"/>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异常低价投标（响应）审查的启动原因、审查意见和审查结果应当在评审报告中记录，并随供应商提供的相关书面说明及证明材料，以及评审委员会有关互联网浏览、查询历史一并归档。</w:t>
      </w:r>
    </w:p>
    <w:p w14:paraId="18759FB1">
      <w:pPr>
        <w:spacing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(三)商务和技术评估、综合比较与评价</w:t>
      </w:r>
    </w:p>
    <w:p w14:paraId="0505B1F6">
      <w:pPr>
        <w:autoSpaceDE w:val="0"/>
        <w:autoSpaceDN w:val="0"/>
        <w:spacing w:line="480" w:lineRule="exact"/>
        <w:ind w:firstLine="472" w:firstLineChars="196"/>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br w:type="page"/>
      </w:r>
      <w:r>
        <w:rPr>
          <w:rFonts w:hint="eastAsia" w:ascii="宋体" w:hAnsi="宋体" w:cs="宋体"/>
          <w:b/>
          <w:bCs/>
          <w:color w:val="auto"/>
          <w:sz w:val="24"/>
          <w:szCs w:val="24"/>
          <w:highlight w:val="none"/>
        </w:rPr>
        <w:t>综合评分方式</w:t>
      </w:r>
    </w:p>
    <w:tbl>
      <w:tblPr>
        <w:tblStyle w:val="37"/>
        <w:tblW w:w="10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1"/>
        <w:gridCol w:w="2554"/>
        <w:gridCol w:w="4225"/>
      </w:tblGrid>
      <w:tr w14:paraId="17B5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3511" w:type="dxa"/>
            <w:noWrap w:val="0"/>
            <w:vAlign w:val="center"/>
          </w:tcPr>
          <w:p w14:paraId="1BA16A9D">
            <w:pPr>
              <w:pStyle w:val="18"/>
              <w:spacing w:line="360" w:lineRule="auto"/>
              <w:ind w:firstLine="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评分因素</w:t>
            </w:r>
          </w:p>
        </w:tc>
        <w:tc>
          <w:tcPr>
            <w:tcW w:w="2554" w:type="dxa"/>
            <w:noWrap w:val="0"/>
            <w:vAlign w:val="center"/>
          </w:tcPr>
          <w:p w14:paraId="58FD39E5">
            <w:pPr>
              <w:pStyle w:val="18"/>
              <w:spacing w:line="360" w:lineRule="auto"/>
              <w:ind w:firstLine="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权重</w:t>
            </w:r>
          </w:p>
        </w:tc>
        <w:tc>
          <w:tcPr>
            <w:tcW w:w="4225" w:type="dxa"/>
            <w:noWrap w:val="0"/>
            <w:vAlign w:val="center"/>
          </w:tcPr>
          <w:p w14:paraId="41601E29">
            <w:pPr>
              <w:pStyle w:val="18"/>
              <w:spacing w:line="360" w:lineRule="auto"/>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分值分配</w:t>
            </w:r>
          </w:p>
        </w:tc>
      </w:tr>
      <w:tr w14:paraId="3C06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1" w:type="dxa"/>
            <w:noWrap w:val="0"/>
            <w:vAlign w:val="center"/>
          </w:tcPr>
          <w:p w14:paraId="38589C3E">
            <w:pPr>
              <w:pStyle w:val="18"/>
              <w:spacing w:line="360" w:lineRule="auto"/>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投标报价</w:t>
            </w:r>
          </w:p>
        </w:tc>
        <w:tc>
          <w:tcPr>
            <w:tcW w:w="2554" w:type="dxa"/>
            <w:noWrap w:val="0"/>
            <w:vAlign w:val="center"/>
          </w:tcPr>
          <w:p w14:paraId="19828CCE">
            <w:pPr>
              <w:pStyle w:val="18"/>
              <w:spacing w:line="360" w:lineRule="auto"/>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w:t>
            </w:r>
          </w:p>
        </w:tc>
        <w:tc>
          <w:tcPr>
            <w:tcW w:w="4225" w:type="dxa"/>
            <w:noWrap w:val="0"/>
            <w:vAlign w:val="center"/>
          </w:tcPr>
          <w:p w14:paraId="43456669">
            <w:pPr>
              <w:pStyle w:val="18"/>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0分</w:t>
            </w:r>
          </w:p>
        </w:tc>
      </w:tr>
      <w:tr w14:paraId="7D9B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11" w:type="dxa"/>
            <w:noWrap w:val="0"/>
            <w:vAlign w:val="center"/>
          </w:tcPr>
          <w:p w14:paraId="15ED18B2">
            <w:pPr>
              <w:pStyle w:val="18"/>
              <w:spacing w:line="360" w:lineRule="auto"/>
              <w:ind w:firstLine="0"/>
              <w:jc w:val="center"/>
              <w:rPr>
                <w:rFonts w:hint="eastAsia" w:ascii="宋体" w:hAnsi="宋体" w:cs="宋体"/>
                <w:color w:val="auto"/>
                <w:sz w:val="24"/>
                <w:szCs w:val="24"/>
                <w:highlight w:val="none"/>
              </w:rPr>
            </w:pPr>
            <w:r>
              <w:rPr>
                <w:rFonts w:hint="eastAsia" w:ascii="宋体" w:hAnsi="宋体" w:cs="宋体"/>
                <w:bCs/>
                <w:color w:val="auto"/>
                <w:sz w:val="24"/>
                <w:szCs w:val="24"/>
                <w:highlight w:val="none"/>
              </w:rPr>
              <w:t>技术部分</w:t>
            </w:r>
          </w:p>
        </w:tc>
        <w:tc>
          <w:tcPr>
            <w:tcW w:w="2554" w:type="dxa"/>
            <w:noWrap w:val="0"/>
            <w:vAlign w:val="center"/>
          </w:tcPr>
          <w:p w14:paraId="7447906D">
            <w:pPr>
              <w:pStyle w:val="18"/>
              <w:spacing w:line="360" w:lineRule="auto"/>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w:t>
            </w:r>
          </w:p>
        </w:tc>
        <w:tc>
          <w:tcPr>
            <w:tcW w:w="4225" w:type="dxa"/>
            <w:noWrap w:val="0"/>
            <w:vAlign w:val="center"/>
          </w:tcPr>
          <w:p w14:paraId="1583799E">
            <w:pPr>
              <w:pStyle w:val="18"/>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0分</w:t>
            </w:r>
          </w:p>
        </w:tc>
      </w:tr>
      <w:tr w14:paraId="782A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3511" w:type="dxa"/>
            <w:noWrap w:val="0"/>
            <w:vAlign w:val="center"/>
          </w:tcPr>
          <w:p w14:paraId="7C1DA1B7">
            <w:pPr>
              <w:pStyle w:val="18"/>
              <w:spacing w:line="360" w:lineRule="auto"/>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商务部分</w:t>
            </w:r>
          </w:p>
        </w:tc>
        <w:tc>
          <w:tcPr>
            <w:tcW w:w="2554" w:type="dxa"/>
            <w:noWrap w:val="0"/>
            <w:vAlign w:val="center"/>
          </w:tcPr>
          <w:p w14:paraId="03D89359">
            <w:pPr>
              <w:pStyle w:val="18"/>
              <w:spacing w:line="360" w:lineRule="auto"/>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0.20</w:t>
            </w:r>
          </w:p>
        </w:tc>
        <w:tc>
          <w:tcPr>
            <w:tcW w:w="4225" w:type="dxa"/>
            <w:noWrap w:val="0"/>
            <w:vAlign w:val="center"/>
          </w:tcPr>
          <w:p w14:paraId="42F6F553">
            <w:pPr>
              <w:pStyle w:val="18"/>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20分</w:t>
            </w:r>
          </w:p>
        </w:tc>
      </w:tr>
      <w:tr w14:paraId="3457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511" w:type="dxa"/>
            <w:noWrap w:val="0"/>
            <w:vAlign w:val="center"/>
          </w:tcPr>
          <w:p w14:paraId="1D14624E">
            <w:pPr>
              <w:pStyle w:val="18"/>
              <w:spacing w:line="360" w:lineRule="auto"/>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合计</w:t>
            </w:r>
          </w:p>
        </w:tc>
        <w:tc>
          <w:tcPr>
            <w:tcW w:w="2554" w:type="dxa"/>
            <w:noWrap w:val="0"/>
            <w:vAlign w:val="center"/>
          </w:tcPr>
          <w:p w14:paraId="0B403A80">
            <w:pPr>
              <w:pStyle w:val="18"/>
              <w:spacing w:line="360" w:lineRule="auto"/>
              <w:ind w:firstLine="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4225" w:type="dxa"/>
            <w:noWrap w:val="0"/>
            <w:vAlign w:val="center"/>
          </w:tcPr>
          <w:p w14:paraId="789EC200">
            <w:pPr>
              <w:pStyle w:val="18"/>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100分</w:t>
            </w:r>
          </w:p>
        </w:tc>
      </w:tr>
    </w:tbl>
    <w:p w14:paraId="476D6C47">
      <w:pPr>
        <w:pStyle w:val="18"/>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具体评审细则如下：</w:t>
      </w:r>
    </w:p>
    <w:tbl>
      <w:tblPr>
        <w:tblStyle w:val="37"/>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049"/>
        <w:gridCol w:w="480"/>
        <w:gridCol w:w="7759"/>
      </w:tblGrid>
      <w:tr w14:paraId="1A2C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shd w:val="clear" w:color="auto" w:fill="E0E0E0"/>
            <w:noWrap w:val="0"/>
            <w:vAlign w:val="center"/>
          </w:tcPr>
          <w:p w14:paraId="7433AEF5">
            <w:pPr>
              <w:snapToGrid w:val="0"/>
              <w:spacing w:line="44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评分因素</w:t>
            </w:r>
          </w:p>
        </w:tc>
        <w:tc>
          <w:tcPr>
            <w:tcW w:w="1049" w:type="dxa"/>
            <w:shd w:val="clear" w:color="auto" w:fill="E0E0E0"/>
            <w:noWrap w:val="0"/>
            <w:vAlign w:val="center"/>
          </w:tcPr>
          <w:p w14:paraId="24EF87D0">
            <w:pPr>
              <w:snapToGrid w:val="0"/>
              <w:spacing w:line="44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内容</w:t>
            </w:r>
          </w:p>
        </w:tc>
        <w:tc>
          <w:tcPr>
            <w:tcW w:w="480" w:type="dxa"/>
            <w:shd w:val="clear" w:color="auto" w:fill="E0E0E0"/>
            <w:noWrap w:val="0"/>
            <w:vAlign w:val="center"/>
          </w:tcPr>
          <w:p w14:paraId="4DDCC8EC">
            <w:pPr>
              <w:snapToGrid w:val="0"/>
              <w:spacing w:line="44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分值</w:t>
            </w:r>
          </w:p>
        </w:tc>
        <w:tc>
          <w:tcPr>
            <w:tcW w:w="7759" w:type="dxa"/>
            <w:shd w:val="clear" w:color="auto" w:fill="E0E0E0"/>
            <w:noWrap w:val="0"/>
            <w:vAlign w:val="center"/>
          </w:tcPr>
          <w:p w14:paraId="25C7DA30">
            <w:pPr>
              <w:adjustRightInd w:val="0"/>
              <w:snapToGrid w:val="0"/>
              <w:spacing w:line="440" w:lineRule="exact"/>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评审标准</w:t>
            </w:r>
          </w:p>
        </w:tc>
      </w:tr>
      <w:tr w14:paraId="510A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noWrap w:val="0"/>
            <w:vAlign w:val="center"/>
          </w:tcPr>
          <w:p w14:paraId="0EA6F177">
            <w:pPr>
              <w:spacing w:line="440" w:lineRule="exact"/>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投标报价评审</w:t>
            </w:r>
          </w:p>
        </w:tc>
        <w:tc>
          <w:tcPr>
            <w:tcW w:w="1049" w:type="dxa"/>
            <w:noWrap w:val="0"/>
            <w:vAlign w:val="center"/>
          </w:tcPr>
          <w:p w14:paraId="2095F9F5">
            <w:pPr>
              <w:spacing w:line="440" w:lineRule="exact"/>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投标报价</w:t>
            </w:r>
          </w:p>
        </w:tc>
        <w:tc>
          <w:tcPr>
            <w:tcW w:w="480" w:type="dxa"/>
            <w:noWrap w:val="0"/>
            <w:vAlign w:val="center"/>
          </w:tcPr>
          <w:p w14:paraId="0F20BAAD">
            <w:pPr>
              <w:spacing w:line="360" w:lineRule="exact"/>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0分</w:t>
            </w:r>
          </w:p>
        </w:tc>
        <w:tc>
          <w:tcPr>
            <w:tcW w:w="7759" w:type="dxa"/>
            <w:noWrap w:val="0"/>
            <w:vAlign w:val="center"/>
          </w:tcPr>
          <w:p w14:paraId="1D0CF63A">
            <w:pPr>
              <w:adjustRightInd w:val="0"/>
              <w:snapToGrid w:val="0"/>
              <w:spacing w:line="36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根据各投标人投标报价按照以下规则进行打分。</w:t>
            </w:r>
          </w:p>
          <w:p w14:paraId="67D6A9F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算术修正报价</w:t>
            </w:r>
          </w:p>
          <w:p w14:paraId="2712A74D">
            <w:pPr>
              <w:keepNext w:val="0"/>
              <w:keepLines w:val="0"/>
              <w:pageBreakBefore w:val="0"/>
              <w:kinsoku/>
              <w:wordWrap/>
              <w:overflowPunct/>
              <w:topLinePunct w:val="0"/>
              <w:bidi w:val="0"/>
              <w:adjustRightInd w:val="0"/>
              <w:snapToGrid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若存在算术修正，应按修正后的投标报价进行评标基准价和投标报价得分计算</w:t>
            </w:r>
          </w:p>
          <w:p w14:paraId="760B46F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b/>
                <w:bCs/>
                <w:color w:val="auto"/>
                <w:spacing w:val="6"/>
                <w:sz w:val="24"/>
                <w:szCs w:val="24"/>
                <w:highlight w:val="none"/>
                <w:lang w:eastAsia="zh-CN"/>
              </w:rPr>
            </w:pPr>
            <w:r>
              <w:rPr>
                <w:rFonts w:hint="eastAsia" w:ascii="宋体" w:hAnsi="宋体" w:eastAsia="宋体" w:cs="宋体"/>
                <w:b/>
                <w:bCs/>
                <w:color w:val="auto"/>
                <w:spacing w:val="6"/>
                <w:sz w:val="24"/>
                <w:szCs w:val="24"/>
                <w:highlight w:val="none"/>
                <w:lang w:eastAsia="zh-CN"/>
              </w:rPr>
              <w:t>（</w:t>
            </w:r>
            <w:r>
              <w:rPr>
                <w:rFonts w:hint="eastAsia" w:ascii="宋体" w:hAnsi="宋体" w:eastAsia="宋体" w:cs="宋体"/>
                <w:b/>
                <w:bCs/>
                <w:color w:val="auto"/>
                <w:spacing w:val="6"/>
                <w:sz w:val="24"/>
                <w:szCs w:val="24"/>
                <w:highlight w:val="none"/>
                <w:lang w:val="en-US" w:eastAsia="zh-CN"/>
              </w:rPr>
              <w:t>2）</w:t>
            </w:r>
            <w:r>
              <w:rPr>
                <w:rFonts w:hint="eastAsia" w:ascii="宋体" w:hAnsi="宋体" w:eastAsia="宋体" w:cs="宋体"/>
                <w:b/>
                <w:bCs/>
                <w:color w:val="auto"/>
                <w:spacing w:val="6"/>
                <w:sz w:val="24"/>
                <w:szCs w:val="24"/>
                <w:highlight w:val="none"/>
              </w:rPr>
              <w:t>政策优惠报价--小微企业</w:t>
            </w:r>
            <w:r>
              <w:rPr>
                <w:rFonts w:hint="eastAsia" w:ascii="宋体" w:hAnsi="宋体" w:eastAsia="宋体" w:cs="宋体"/>
                <w:b/>
                <w:bCs/>
                <w:color w:val="auto"/>
                <w:spacing w:val="6"/>
                <w:sz w:val="24"/>
                <w:szCs w:val="24"/>
                <w:highlight w:val="none"/>
                <w:lang w:eastAsia="zh-CN"/>
              </w:rPr>
              <w:t>价格评审优惠、本国产品支持政策（具体相关内容详见“投标人须知正文”）</w:t>
            </w:r>
          </w:p>
          <w:p w14:paraId="57529B5A">
            <w:pPr>
              <w:keepNext w:val="0"/>
              <w:keepLines w:val="0"/>
              <w:pageBreakBefore w:val="0"/>
              <w:widowControl w:val="0"/>
              <w:kinsoku/>
              <w:wordWrap/>
              <w:overflowPunct/>
              <w:topLinePunct w:val="0"/>
              <w:autoSpaceDE/>
              <w:autoSpaceDN/>
              <w:bidi w:val="0"/>
              <w:spacing w:line="360" w:lineRule="auto"/>
              <w:ind w:left="0" w:firstLine="482" w:firstLineChars="200"/>
              <w:textAlignment w:val="auto"/>
              <w:rPr>
                <w:rFonts w:hint="default" w:ascii="宋体" w:hAnsi="宋体" w:eastAsia="宋体" w:cs="宋体"/>
                <w:b/>
                <w:bCs/>
                <w:color w:val="auto"/>
                <w:sz w:val="24"/>
                <w:szCs w:val="24"/>
                <w:highlight w:val="none"/>
                <w:lang w:val="en-US" w:eastAsia="zh-CN"/>
              </w:rPr>
            </w:pPr>
            <w:r>
              <w:rPr>
                <w:rFonts w:hint="default" w:ascii="宋体" w:hAnsi="宋体" w:eastAsia="宋体" w:cs="宋体"/>
                <w:b/>
                <w:bCs/>
                <w:color w:val="auto"/>
                <w:sz w:val="24"/>
                <w:szCs w:val="24"/>
                <w:highlight w:val="none"/>
                <w:lang w:val="en-US" w:eastAsia="zh-CN"/>
              </w:rPr>
              <w:t>若符合政府采购支持小</w:t>
            </w:r>
            <w:r>
              <w:rPr>
                <w:rFonts w:hint="eastAsia" w:ascii="宋体" w:hAnsi="宋体" w:eastAsia="宋体" w:cs="宋体"/>
                <w:b/>
                <w:bCs/>
                <w:color w:val="auto"/>
                <w:sz w:val="24"/>
                <w:szCs w:val="24"/>
                <w:highlight w:val="none"/>
                <w:lang w:val="en-US" w:eastAsia="zh-CN"/>
              </w:rPr>
              <w:t>微</w:t>
            </w:r>
            <w:r>
              <w:rPr>
                <w:rFonts w:hint="default" w:ascii="宋体" w:hAnsi="宋体" w:eastAsia="宋体" w:cs="宋体"/>
                <w:b/>
                <w:bCs/>
                <w:color w:val="auto"/>
                <w:sz w:val="24"/>
                <w:szCs w:val="24"/>
                <w:highlight w:val="none"/>
                <w:lang w:val="en-US" w:eastAsia="zh-CN"/>
              </w:rPr>
              <w:t>企业政策</w:t>
            </w:r>
            <w:r>
              <w:rPr>
                <w:rFonts w:hint="eastAsia" w:ascii="宋体" w:hAnsi="宋体" w:eastAsia="宋体" w:cs="宋体"/>
                <w:b/>
                <w:bCs/>
                <w:color w:val="auto"/>
                <w:sz w:val="24"/>
                <w:szCs w:val="24"/>
                <w:highlight w:val="none"/>
                <w:lang w:val="en-US" w:eastAsia="zh-CN"/>
              </w:rPr>
              <w:t>的供应商也符合</w:t>
            </w:r>
            <w:r>
              <w:rPr>
                <w:rFonts w:hint="default" w:ascii="宋体" w:hAnsi="宋体" w:eastAsia="宋体" w:cs="宋体"/>
                <w:b/>
                <w:bCs/>
                <w:color w:val="auto"/>
                <w:sz w:val="24"/>
                <w:szCs w:val="24"/>
                <w:highlight w:val="none"/>
                <w:lang w:val="en-US" w:eastAsia="zh-CN"/>
              </w:rPr>
              <w:t>提供本国产品</w:t>
            </w:r>
            <w:r>
              <w:rPr>
                <w:rFonts w:hint="eastAsia" w:ascii="宋体" w:hAnsi="宋体" w:eastAsia="宋体" w:cs="宋体"/>
                <w:b/>
                <w:bCs/>
                <w:color w:val="auto"/>
                <w:sz w:val="24"/>
                <w:szCs w:val="24"/>
                <w:highlight w:val="none"/>
                <w:lang w:val="en-US" w:eastAsia="zh-CN"/>
              </w:rPr>
              <w:t>政策</w:t>
            </w:r>
            <w:r>
              <w:rPr>
                <w:rFonts w:hint="default" w:ascii="宋体" w:hAnsi="宋体" w:eastAsia="宋体" w:cs="宋体"/>
                <w:b/>
                <w:bCs/>
                <w:color w:val="auto"/>
                <w:sz w:val="24"/>
                <w:szCs w:val="24"/>
                <w:highlight w:val="none"/>
                <w:lang w:val="en-US" w:eastAsia="zh-CN"/>
              </w:rPr>
              <w:t>的，也按规定给与价格评审优惠。</w:t>
            </w:r>
          </w:p>
          <w:p w14:paraId="4497F6DD">
            <w:pPr>
              <w:keepNext w:val="0"/>
              <w:keepLines w:val="0"/>
              <w:pageBreakBefore w:val="0"/>
              <w:widowControl w:val="0"/>
              <w:kinsoku/>
              <w:wordWrap/>
              <w:overflowPunct/>
              <w:topLinePunct w:val="0"/>
              <w:autoSpaceDE/>
              <w:autoSpaceDN/>
              <w:bidi w:val="0"/>
              <w:spacing w:line="360" w:lineRule="auto"/>
              <w:ind w:left="0"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若存在符合条件的小微企业</w:t>
            </w:r>
            <w:r>
              <w:rPr>
                <w:rFonts w:hint="eastAsia" w:ascii="宋体" w:hAnsi="宋体" w:eastAsia="宋体" w:cs="宋体"/>
                <w:color w:val="auto"/>
                <w:sz w:val="24"/>
                <w:szCs w:val="24"/>
                <w:highlight w:val="none"/>
                <w:lang w:eastAsia="zh-CN"/>
              </w:rPr>
              <w:t>、本国产品</w:t>
            </w:r>
            <w:r>
              <w:rPr>
                <w:rFonts w:hint="eastAsia" w:ascii="宋体" w:hAnsi="宋体" w:eastAsia="宋体" w:cs="宋体"/>
                <w:color w:val="auto"/>
                <w:sz w:val="24"/>
                <w:szCs w:val="24"/>
                <w:highlight w:val="none"/>
              </w:rPr>
              <w:t>给予报价优惠的情形，用扣除后的投标报价进行评标基准价和投标报价得分计算。</w:t>
            </w:r>
            <w:r>
              <w:rPr>
                <w:rFonts w:hint="default" w:ascii="宋体" w:hAnsi="宋体" w:eastAsia="宋体" w:cs="宋体"/>
                <w:color w:val="auto"/>
                <w:sz w:val="24"/>
                <w:szCs w:val="24"/>
                <w:highlight w:val="none"/>
                <w:lang w:val="en-US" w:eastAsia="zh-CN"/>
              </w:rPr>
              <w:t>需要说明的是，相关价格评审扣除优惠，都应该在供应商报价基础上计算。</w:t>
            </w:r>
          </w:p>
          <w:p w14:paraId="62D145C9">
            <w:pPr>
              <w:keepNext w:val="0"/>
              <w:keepLines w:val="0"/>
              <w:pageBreakBefore w:val="0"/>
              <w:kinsoku/>
              <w:wordWrap/>
              <w:overflowPunct/>
              <w:topLinePunct w:val="0"/>
              <w:bidi w:val="0"/>
              <w:adjustRightInd w:val="0"/>
              <w:snapToGrid w:val="0"/>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若同时存在算术修正，应在算术修正后的报价基础上进行优惠报价的扣除。</w:t>
            </w:r>
          </w:p>
          <w:p w14:paraId="68381874">
            <w:pPr>
              <w:keepNext w:val="0"/>
              <w:keepLines w:val="0"/>
              <w:pageBreakBefore w:val="0"/>
              <w:kinsoku/>
              <w:wordWrap/>
              <w:overflowPunct/>
              <w:topLinePunct w:val="0"/>
              <w:autoSpaceDE w:val="0"/>
              <w:autoSpaceDN w:val="0"/>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lang w:eastAsia="zh-CN"/>
              </w:rPr>
              <w:t>（</w:t>
            </w:r>
            <w:r>
              <w:rPr>
                <w:rFonts w:hint="eastAsia" w:ascii="宋体" w:hAnsi="宋体" w:eastAsia="宋体" w:cs="宋体"/>
                <w:b/>
                <w:bCs/>
                <w:color w:val="auto"/>
                <w:spacing w:val="6"/>
                <w:sz w:val="24"/>
                <w:szCs w:val="24"/>
                <w:highlight w:val="none"/>
                <w:lang w:val="en-US" w:eastAsia="zh-CN"/>
              </w:rPr>
              <w:t>3）</w:t>
            </w:r>
            <w:r>
              <w:rPr>
                <w:rFonts w:hint="eastAsia" w:ascii="宋体" w:hAnsi="宋体" w:eastAsia="宋体" w:cs="宋体"/>
                <w:b/>
                <w:bCs/>
                <w:color w:val="auto"/>
                <w:spacing w:val="6"/>
                <w:sz w:val="24"/>
                <w:szCs w:val="24"/>
                <w:highlight w:val="none"/>
              </w:rPr>
              <w:t>评标基准价</w:t>
            </w:r>
            <w:r>
              <w:rPr>
                <w:rFonts w:hint="eastAsia" w:ascii="宋体" w:hAnsi="宋体" w:eastAsia="宋体" w:cs="宋体"/>
                <w:color w:val="auto"/>
                <w:sz w:val="24"/>
                <w:szCs w:val="24"/>
                <w:highlight w:val="none"/>
              </w:rPr>
              <w:t>＝满足招标文件要求且投标价格最低的投标报价为评标基准价；</w:t>
            </w:r>
          </w:p>
          <w:p w14:paraId="7D7CC20D">
            <w:pPr>
              <w:keepNext w:val="0"/>
              <w:keepLines w:val="0"/>
              <w:pageBreakBefore w:val="0"/>
              <w:kinsoku/>
              <w:wordWrap/>
              <w:overflowPunct/>
              <w:topLinePunct w:val="0"/>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lang w:eastAsia="zh-CN"/>
              </w:rPr>
              <w:t>（</w:t>
            </w:r>
            <w:r>
              <w:rPr>
                <w:rFonts w:hint="eastAsia" w:ascii="宋体" w:hAnsi="宋体" w:eastAsia="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得分计算</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满足招标文件要求且投标价格最低的投标报价，其价格分为满分。其他投标人的价格分统一按照下列公式计算：</w:t>
            </w:r>
          </w:p>
          <w:p w14:paraId="12829477">
            <w:pPr>
              <w:spacing w:line="3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投标报价得分</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(评标基准价/投标报价)×100×权重</w:t>
            </w:r>
          </w:p>
        </w:tc>
      </w:tr>
      <w:tr w14:paraId="4862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2" w:type="dxa"/>
            <w:noWrap w:val="0"/>
            <w:vAlign w:val="center"/>
          </w:tcPr>
          <w:p w14:paraId="22A4EAE4">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技术部分</w:t>
            </w:r>
            <w:r>
              <w:rPr>
                <w:rFonts w:hint="eastAsia" w:ascii="宋体" w:hAnsi="宋体" w:eastAsia="宋体" w:cs="宋体"/>
                <w:bCs/>
                <w:color w:val="auto"/>
                <w:sz w:val="24"/>
                <w:highlight w:val="none"/>
              </w:rPr>
              <w:t>评审</w:t>
            </w:r>
          </w:p>
        </w:tc>
        <w:tc>
          <w:tcPr>
            <w:tcW w:w="1049" w:type="dxa"/>
            <w:noWrap w:val="0"/>
            <w:vAlign w:val="center"/>
          </w:tcPr>
          <w:p w14:paraId="712C8706">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技术参数</w:t>
            </w:r>
          </w:p>
        </w:tc>
        <w:tc>
          <w:tcPr>
            <w:tcW w:w="480" w:type="dxa"/>
            <w:noWrap w:val="0"/>
            <w:vAlign w:val="center"/>
          </w:tcPr>
          <w:p w14:paraId="4056F7A8">
            <w:pPr>
              <w:spacing w:line="36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50</w:t>
            </w:r>
            <w:r>
              <w:rPr>
                <w:rFonts w:hint="eastAsia" w:ascii="宋体" w:hAnsi="宋体" w:eastAsia="宋体" w:cs="宋体"/>
                <w:bCs/>
                <w:color w:val="auto"/>
                <w:sz w:val="24"/>
                <w:szCs w:val="24"/>
                <w:highlight w:val="none"/>
              </w:rPr>
              <w:t>分</w:t>
            </w:r>
          </w:p>
        </w:tc>
        <w:tc>
          <w:tcPr>
            <w:tcW w:w="7759" w:type="dxa"/>
            <w:noWrap w:val="0"/>
            <w:vAlign w:val="center"/>
          </w:tcPr>
          <w:p w14:paraId="42004E12">
            <w:pPr>
              <w:pStyle w:val="13"/>
              <w:spacing w:line="420" w:lineRule="exact"/>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rPr>
              <w:t>根据技术参数中“评分标准”进行评分。满足该项技术的，得“评分标准”规定的分值，不满足的不得分</w:t>
            </w:r>
            <w:r>
              <w:rPr>
                <w:rFonts w:hint="eastAsia" w:ascii="宋体" w:hAnsi="宋体" w:eastAsia="宋体" w:cs="宋体"/>
                <w:bCs/>
                <w:color w:val="auto"/>
                <w:sz w:val="24"/>
                <w:highlight w:val="none"/>
                <w:lang w:eastAsia="zh-CN"/>
              </w:rPr>
              <w:t>，</w:t>
            </w:r>
            <w:r>
              <w:rPr>
                <w:rFonts w:hint="eastAsia" w:ascii="宋体" w:hAnsi="宋体" w:eastAsia="宋体" w:cs="宋体"/>
                <w:bCs/>
                <w:color w:val="auto"/>
                <w:sz w:val="24"/>
                <w:highlight w:val="none"/>
                <w:lang w:val="en-US" w:eastAsia="zh-CN"/>
              </w:rPr>
              <w:t>具体分值见第六章《招标内容及要求》“二、技术要求”。</w:t>
            </w:r>
          </w:p>
        </w:tc>
      </w:tr>
      <w:tr w14:paraId="7A93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Merge w:val="restart"/>
            <w:noWrap w:val="0"/>
            <w:vAlign w:val="center"/>
          </w:tcPr>
          <w:p w14:paraId="11637B8C">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商务部分</w:t>
            </w:r>
            <w:r>
              <w:rPr>
                <w:rFonts w:hint="eastAsia" w:ascii="宋体" w:hAnsi="宋体" w:eastAsia="宋体" w:cs="宋体"/>
                <w:bCs/>
                <w:color w:val="auto"/>
                <w:sz w:val="24"/>
                <w:highlight w:val="none"/>
              </w:rPr>
              <w:t>评审</w:t>
            </w:r>
          </w:p>
        </w:tc>
        <w:tc>
          <w:tcPr>
            <w:tcW w:w="1049" w:type="dxa"/>
            <w:noWrap w:val="0"/>
            <w:vAlign w:val="center"/>
          </w:tcPr>
          <w:p w14:paraId="14184E21">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（1）项目实施</w:t>
            </w:r>
            <w:r>
              <w:rPr>
                <w:rFonts w:hint="eastAsia" w:ascii="宋体" w:hAnsi="宋体" w:eastAsia="宋体" w:cs="宋体"/>
                <w:bCs/>
                <w:color w:val="auto"/>
                <w:sz w:val="24"/>
                <w:szCs w:val="24"/>
                <w:highlight w:val="none"/>
                <w:lang w:val="en-US" w:eastAsia="zh-CN"/>
              </w:rPr>
              <w:t>、</w:t>
            </w:r>
            <w:r>
              <w:rPr>
                <w:rFonts w:hint="default" w:ascii="宋体" w:hAnsi="宋体" w:eastAsia="宋体" w:cs="宋体"/>
                <w:color w:val="auto"/>
                <w:kern w:val="2"/>
                <w:sz w:val="24"/>
                <w:szCs w:val="24"/>
                <w:highlight w:val="none"/>
                <w:shd w:val="clear" w:color="auto" w:fill="FFFFFF"/>
                <w:lang w:val="en-US" w:eastAsia="zh-CN" w:bidi="ar"/>
              </w:rPr>
              <w:t>售后服务</w:t>
            </w:r>
            <w:r>
              <w:rPr>
                <w:rFonts w:hint="eastAsia" w:ascii="宋体" w:hAnsi="宋体" w:eastAsia="宋体" w:cs="宋体"/>
                <w:color w:val="auto"/>
                <w:kern w:val="2"/>
                <w:sz w:val="24"/>
                <w:szCs w:val="24"/>
                <w:highlight w:val="none"/>
                <w:shd w:val="clear" w:color="auto" w:fill="FFFFFF"/>
                <w:lang w:val="en-US" w:eastAsia="zh-CN" w:bidi="ar"/>
              </w:rPr>
              <w:t>及培训</w:t>
            </w:r>
            <w:r>
              <w:rPr>
                <w:rFonts w:hint="eastAsia" w:ascii="宋体" w:hAnsi="宋体" w:eastAsia="宋体" w:cs="宋体"/>
                <w:bCs/>
                <w:color w:val="auto"/>
                <w:sz w:val="24"/>
                <w:szCs w:val="24"/>
                <w:highlight w:val="none"/>
              </w:rPr>
              <w:t>方案</w:t>
            </w:r>
          </w:p>
        </w:tc>
        <w:tc>
          <w:tcPr>
            <w:tcW w:w="480" w:type="dxa"/>
            <w:noWrap w:val="0"/>
            <w:vAlign w:val="center"/>
          </w:tcPr>
          <w:p w14:paraId="1B985493">
            <w:pPr>
              <w:spacing w:line="36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分</w:t>
            </w:r>
          </w:p>
        </w:tc>
        <w:tc>
          <w:tcPr>
            <w:tcW w:w="7759" w:type="dxa"/>
            <w:noWrap w:val="0"/>
            <w:vAlign w:val="center"/>
          </w:tcPr>
          <w:p w14:paraId="3AA0D355">
            <w:pPr>
              <w:pStyle w:val="13"/>
              <w:spacing w:line="420" w:lineRule="exact"/>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rPr>
              <w:t>项目实施</w:t>
            </w:r>
            <w:r>
              <w:rPr>
                <w:rFonts w:hint="eastAsia" w:ascii="宋体" w:hAnsi="宋体" w:cs="宋体"/>
                <w:bCs/>
                <w:color w:val="auto"/>
                <w:sz w:val="24"/>
                <w:szCs w:val="24"/>
                <w:highlight w:val="none"/>
                <w:lang w:val="en-US" w:eastAsia="zh-CN"/>
              </w:rPr>
              <w:t>、</w:t>
            </w:r>
            <w:r>
              <w:rPr>
                <w:rFonts w:hint="default" w:ascii="宋体" w:hAnsi="宋体" w:eastAsia="宋体" w:cs="宋体"/>
                <w:color w:val="auto"/>
                <w:kern w:val="2"/>
                <w:sz w:val="24"/>
                <w:szCs w:val="24"/>
                <w:highlight w:val="none"/>
                <w:shd w:val="clear" w:color="auto" w:fill="FFFFFF"/>
                <w:lang w:val="en-US" w:eastAsia="zh-CN" w:bidi="ar"/>
              </w:rPr>
              <w:t>售后服务</w:t>
            </w:r>
            <w:r>
              <w:rPr>
                <w:rFonts w:hint="eastAsia" w:ascii="宋体" w:hAnsi="宋体" w:eastAsia="宋体" w:cs="宋体"/>
                <w:color w:val="auto"/>
                <w:kern w:val="2"/>
                <w:sz w:val="24"/>
                <w:szCs w:val="24"/>
                <w:highlight w:val="none"/>
                <w:shd w:val="clear" w:color="auto" w:fill="FFFFFF"/>
                <w:lang w:val="en-US" w:eastAsia="zh-CN" w:bidi="ar"/>
              </w:rPr>
              <w:t>及培训</w:t>
            </w:r>
            <w:r>
              <w:rPr>
                <w:rFonts w:hint="eastAsia" w:ascii="宋体" w:hAnsi="宋体" w:cs="宋体"/>
                <w:bCs/>
                <w:color w:val="auto"/>
                <w:sz w:val="24"/>
                <w:szCs w:val="24"/>
                <w:highlight w:val="none"/>
              </w:rPr>
              <w:t>方案</w:t>
            </w:r>
            <w:r>
              <w:rPr>
                <w:rFonts w:hint="eastAsia" w:ascii="宋体" w:hAnsi="宋体" w:eastAsia="宋体" w:cs="宋体"/>
                <w:bCs/>
                <w:color w:val="auto"/>
                <w:sz w:val="24"/>
                <w:szCs w:val="24"/>
                <w:highlight w:val="none"/>
              </w:rPr>
              <w:t>包括但不限于：①具体实施方案及保障措施</w:t>
            </w:r>
            <w:r>
              <w:rPr>
                <w:rFonts w:hint="eastAsia" w:ascii="宋体" w:hAnsi="宋体" w:eastAsia="宋体" w:cs="宋体"/>
                <w:bCs/>
                <w:color w:val="auto"/>
                <w:sz w:val="24"/>
                <w:szCs w:val="24"/>
                <w:highlight w:val="none"/>
                <w:lang w:val="en-US" w:eastAsia="zh-CN"/>
              </w:rPr>
              <w:t>（含货物包装、运输、储存、安装、验收、退换货等方案）</w:t>
            </w:r>
            <w:r>
              <w:rPr>
                <w:rFonts w:hint="eastAsia" w:ascii="宋体" w:hAnsi="宋体" w:eastAsia="宋体" w:cs="宋体"/>
                <w:bCs/>
                <w:color w:val="auto"/>
                <w:sz w:val="24"/>
                <w:szCs w:val="24"/>
                <w:highlight w:val="none"/>
              </w:rPr>
              <w:t>；②实施人员配置；③供应渠道及供货流程</w:t>
            </w:r>
            <w:r>
              <w:rPr>
                <w:rFonts w:hint="eastAsia" w:ascii="宋体" w:hAnsi="宋体" w:cs="宋体"/>
                <w:bCs/>
                <w:color w:val="auto"/>
                <w:sz w:val="24"/>
                <w:szCs w:val="24"/>
                <w:highlight w:val="none"/>
                <w:lang w:val="en-US" w:eastAsia="zh-CN"/>
              </w:rPr>
              <w:t>及</w:t>
            </w:r>
            <w:r>
              <w:rPr>
                <w:rFonts w:hint="eastAsia" w:ascii="宋体" w:hAnsi="宋体" w:eastAsia="宋体" w:cs="宋体"/>
                <w:bCs/>
                <w:color w:val="auto"/>
                <w:sz w:val="24"/>
                <w:szCs w:val="24"/>
                <w:highlight w:val="none"/>
              </w:rPr>
              <w:t>供货时间保证措施；④应急保障能力及措施</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⑤</w:t>
            </w:r>
            <w:r>
              <w:rPr>
                <w:rFonts w:hint="eastAsia" w:ascii="宋体" w:hAnsi="宋体" w:eastAsia="宋体" w:cs="宋体"/>
                <w:bCs/>
                <w:color w:val="auto"/>
                <w:kern w:val="2"/>
                <w:sz w:val="24"/>
                <w:szCs w:val="24"/>
                <w:highlight w:val="none"/>
                <w:lang w:val="en-US" w:eastAsia="zh-CN" w:bidi="ar-SA"/>
              </w:rPr>
              <w:t>售后及质量保证承诺及保障措施、</w:t>
            </w:r>
            <w:r>
              <w:rPr>
                <w:rFonts w:hint="eastAsia" w:ascii="宋体" w:hAnsi="宋体" w:eastAsia="宋体" w:cs="宋体"/>
                <w:bCs/>
                <w:color w:val="auto"/>
                <w:sz w:val="24"/>
                <w:szCs w:val="24"/>
                <w:highlight w:val="none"/>
                <w:lang w:eastAsia="zh-CN"/>
              </w:rPr>
              <w:t>⑥</w:t>
            </w:r>
            <w:r>
              <w:rPr>
                <w:rFonts w:hint="eastAsia" w:ascii="宋体" w:hAnsi="宋体" w:eastAsia="宋体" w:cs="宋体"/>
                <w:bCs/>
                <w:color w:val="auto"/>
                <w:kern w:val="2"/>
                <w:sz w:val="24"/>
                <w:szCs w:val="24"/>
                <w:highlight w:val="none"/>
                <w:lang w:val="en-US" w:eastAsia="zh-CN" w:bidi="ar-SA"/>
              </w:rPr>
              <w:t>培训方案（含师资力量）及保障措施</w:t>
            </w:r>
            <w:r>
              <w:rPr>
                <w:rFonts w:hint="eastAsia" w:ascii="宋体" w:hAnsi="宋体" w:eastAsia="宋体" w:cs="宋体"/>
                <w:bCs/>
                <w:color w:val="auto"/>
                <w:sz w:val="24"/>
                <w:szCs w:val="24"/>
                <w:highlight w:val="none"/>
              </w:rPr>
              <w:t>。</w:t>
            </w:r>
          </w:p>
          <w:p w14:paraId="0367143F">
            <w:pPr>
              <w:pStyle w:val="13"/>
              <w:spacing w:line="420" w:lineRule="exact"/>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以上</w:t>
            </w:r>
            <w:r>
              <w:rPr>
                <w:rFonts w:hint="eastAsia" w:ascii="宋体" w:hAnsi="宋体" w:cs="宋体"/>
                <w:bCs/>
                <w:color w:val="auto"/>
                <w:sz w:val="24"/>
                <w:szCs w:val="24"/>
                <w:highlight w:val="none"/>
                <w:lang w:val="en-US" w:eastAsia="zh-CN"/>
              </w:rPr>
              <w:t>6</w:t>
            </w:r>
            <w:r>
              <w:rPr>
                <w:rFonts w:hint="eastAsia" w:ascii="宋体" w:hAnsi="宋体" w:eastAsia="宋体" w:cs="宋体"/>
                <w:bCs/>
                <w:color w:val="auto"/>
                <w:sz w:val="24"/>
                <w:szCs w:val="24"/>
                <w:highlight w:val="none"/>
              </w:rPr>
              <w:t>项每</w:t>
            </w:r>
            <w:r>
              <w:rPr>
                <w:rFonts w:hint="eastAsia" w:ascii="宋体" w:hAnsi="宋体" w:eastAsia="宋体" w:cs="宋体"/>
                <w:bCs/>
                <w:color w:val="auto"/>
                <w:sz w:val="24"/>
                <w:szCs w:val="24"/>
                <w:highlight w:val="none"/>
                <w:lang w:val="en-US" w:eastAsia="zh-CN"/>
              </w:rPr>
              <w:t>有1</w:t>
            </w:r>
            <w:r>
              <w:rPr>
                <w:rFonts w:hint="eastAsia" w:ascii="宋体" w:hAnsi="宋体" w:eastAsia="宋体" w:cs="宋体"/>
                <w:bCs/>
                <w:color w:val="auto"/>
                <w:sz w:val="24"/>
                <w:szCs w:val="24"/>
                <w:highlight w:val="none"/>
              </w:rPr>
              <w:t>项内容完整详细、考虑全面具体、针对性强,</w:t>
            </w:r>
            <w:r>
              <w:rPr>
                <w:rFonts w:hint="eastAsia" w:ascii="宋体" w:hAnsi="宋体" w:cs="宋体"/>
                <w:bCs/>
                <w:color w:val="auto"/>
                <w:sz w:val="24"/>
                <w:highlight w:val="none"/>
              </w:rPr>
              <w:t>安排合理、切实可行，条理清晰、合理</w:t>
            </w:r>
            <w:r>
              <w:rPr>
                <w:rFonts w:hint="eastAsia" w:ascii="宋体" w:hAnsi="宋体" w:cs="宋体"/>
                <w:bCs/>
                <w:color w:val="auto"/>
                <w:sz w:val="24"/>
                <w:highlight w:val="none"/>
                <w:lang w:eastAsia="zh-CN"/>
              </w:rPr>
              <w:t>，</w:t>
            </w:r>
            <w:r>
              <w:rPr>
                <w:rFonts w:hint="eastAsia" w:ascii="宋体" w:hAnsi="宋体" w:eastAsia="宋体" w:cs="宋体"/>
                <w:bCs/>
                <w:color w:val="auto"/>
                <w:sz w:val="24"/>
                <w:szCs w:val="24"/>
                <w:highlight w:val="none"/>
              </w:rPr>
              <w:t>完全满足项目实际需求的，每项</w:t>
            </w:r>
            <w:r>
              <w:rPr>
                <w:rFonts w:hint="eastAsia" w:ascii="宋体" w:hAnsi="宋体" w:eastAsia="宋体" w:cs="宋体"/>
                <w:bCs/>
                <w:color w:val="auto"/>
                <w:sz w:val="24"/>
                <w:szCs w:val="24"/>
                <w:highlight w:val="none"/>
                <w:lang w:val="en-US" w:eastAsia="zh-CN"/>
              </w:rPr>
              <w:t>满分</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分</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合计</w:t>
            </w:r>
            <w:r>
              <w:rPr>
                <w:rFonts w:hint="eastAsia" w:ascii="宋体" w:hAnsi="宋体" w:eastAsia="宋体" w:cs="宋体"/>
                <w:bCs/>
                <w:color w:val="auto"/>
                <w:sz w:val="24"/>
                <w:szCs w:val="24"/>
                <w:highlight w:val="none"/>
              </w:rPr>
              <w:t>满分</w:t>
            </w:r>
            <w:r>
              <w:rPr>
                <w:rFonts w:hint="eastAsia" w:ascii="宋体" w:hAnsi="宋体" w:eastAsia="宋体" w:cs="宋体"/>
                <w:bCs/>
                <w:color w:val="auto"/>
                <w:sz w:val="24"/>
                <w:szCs w:val="24"/>
                <w:highlight w:val="none"/>
                <w:lang w:val="en-US" w:eastAsia="zh-CN"/>
              </w:rPr>
              <w:t>1</w:t>
            </w: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分</w:t>
            </w:r>
            <w:r>
              <w:rPr>
                <w:rFonts w:hint="eastAsia" w:ascii="宋体" w:hAnsi="宋体" w:eastAsia="宋体" w:cs="宋体"/>
                <w:bCs/>
                <w:color w:val="auto"/>
                <w:sz w:val="24"/>
                <w:szCs w:val="24"/>
                <w:highlight w:val="none"/>
                <w:lang w:eastAsia="zh-CN"/>
              </w:rPr>
              <w:t>。</w:t>
            </w:r>
          </w:p>
          <w:p w14:paraId="38BF094A">
            <w:pPr>
              <w:pStyle w:val="4"/>
              <w:spacing w:line="360" w:lineRule="exact"/>
              <w:ind w:left="0" w:leftChars="0" w:firstLine="0" w:firstLineChars="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其中：</w:t>
            </w:r>
          </w:p>
          <w:p w14:paraId="5C5F7C99">
            <w:pPr>
              <w:pStyle w:val="21"/>
              <w:spacing w:line="360" w:lineRule="auto"/>
              <w:jc w:val="left"/>
              <w:rPr>
                <w:color w:val="auto"/>
                <w:sz w:val="24"/>
                <w:szCs w:val="24"/>
                <w:highlight w:val="none"/>
              </w:rPr>
            </w:pPr>
            <w:r>
              <w:rPr>
                <w:rFonts w:hint="eastAsia"/>
                <w:color w:val="auto"/>
                <w:sz w:val="24"/>
                <w:szCs w:val="24"/>
                <w:highlight w:val="none"/>
                <w:lang w:val="en-US" w:eastAsia="zh-CN"/>
              </w:rPr>
              <w:t>6</w:t>
            </w:r>
            <w:r>
              <w:rPr>
                <w:rFonts w:hint="eastAsia"/>
                <w:color w:val="auto"/>
                <w:sz w:val="24"/>
                <w:szCs w:val="24"/>
                <w:highlight w:val="none"/>
              </w:rPr>
              <w:t>项中每缺1项扣</w:t>
            </w:r>
            <w:r>
              <w:rPr>
                <w:rFonts w:hint="eastAsia"/>
                <w:color w:val="auto"/>
                <w:sz w:val="24"/>
                <w:szCs w:val="24"/>
                <w:highlight w:val="none"/>
                <w:lang w:val="en-US" w:eastAsia="zh-CN"/>
              </w:rPr>
              <w:t>2</w:t>
            </w:r>
            <w:r>
              <w:rPr>
                <w:rFonts w:hint="eastAsia"/>
                <w:color w:val="auto"/>
                <w:sz w:val="24"/>
                <w:szCs w:val="24"/>
                <w:highlight w:val="none"/>
              </w:rPr>
              <w:t>分；</w:t>
            </w:r>
          </w:p>
          <w:p w14:paraId="07963D90">
            <w:pPr>
              <w:pStyle w:val="21"/>
              <w:spacing w:line="360" w:lineRule="auto"/>
              <w:jc w:val="left"/>
              <w:rPr>
                <w:color w:val="auto"/>
                <w:sz w:val="24"/>
                <w:szCs w:val="24"/>
                <w:highlight w:val="none"/>
              </w:rPr>
            </w:pPr>
            <w:r>
              <w:rPr>
                <w:rFonts w:hint="eastAsia"/>
                <w:color w:val="auto"/>
                <w:sz w:val="24"/>
                <w:szCs w:val="24"/>
                <w:highlight w:val="none"/>
                <w:lang w:val="en-US" w:eastAsia="zh-CN"/>
              </w:rPr>
              <w:t>6</w:t>
            </w:r>
            <w:r>
              <w:rPr>
                <w:rFonts w:hint="eastAsia"/>
                <w:color w:val="auto"/>
                <w:sz w:val="24"/>
                <w:szCs w:val="24"/>
                <w:highlight w:val="none"/>
              </w:rPr>
              <w:t>项中</w:t>
            </w:r>
            <w:r>
              <w:rPr>
                <w:rFonts w:hint="eastAsia" w:ascii="宋体" w:hAnsi="宋体" w:eastAsia="宋体" w:cs="宋体"/>
                <w:bCs/>
                <w:color w:val="auto"/>
                <w:sz w:val="24"/>
                <w:szCs w:val="24"/>
                <w:highlight w:val="none"/>
              </w:rPr>
              <w:t>每</w:t>
            </w:r>
            <w:r>
              <w:rPr>
                <w:rFonts w:hint="eastAsia" w:ascii="宋体" w:hAnsi="宋体" w:eastAsia="宋体" w:cs="宋体"/>
                <w:bCs/>
                <w:color w:val="auto"/>
                <w:sz w:val="24"/>
                <w:szCs w:val="24"/>
                <w:highlight w:val="none"/>
                <w:lang w:val="en-US" w:eastAsia="zh-CN"/>
              </w:rPr>
              <w:t>有1</w:t>
            </w:r>
            <w:r>
              <w:rPr>
                <w:rFonts w:hint="eastAsia" w:ascii="宋体" w:hAnsi="宋体" w:eastAsia="宋体" w:cs="宋体"/>
                <w:bCs/>
                <w:color w:val="auto"/>
                <w:sz w:val="24"/>
                <w:szCs w:val="24"/>
                <w:highlight w:val="none"/>
              </w:rPr>
              <w:t>项</w:t>
            </w:r>
            <w:r>
              <w:rPr>
                <w:rFonts w:hint="eastAsia"/>
                <w:color w:val="auto"/>
                <w:sz w:val="24"/>
                <w:szCs w:val="24"/>
                <w:highlight w:val="none"/>
              </w:rPr>
              <w:t>针对性不足或过于简略扣</w:t>
            </w:r>
            <w:r>
              <w:rPr>
                <w:rFonts w:hint="eastAsia"/>
                <w:color w:val="auto"/>
                <w:sz w:val="24"/>
                <w:szCs w:val="24"/>
                <w:highlight w:val="none"/>
                <w:lang w:val="en-US" w:eastAsia="zh-CN"/>
              </w:rPr>
              <w:t>1</w:t>
            </w:r>
            <w:r>
              <w:rPr>
                <w:rFonts w:hint="eastAsia"/>
                <w:color w:val="auto"/>
                <w:sz w:val="24"/>
                <w:szCs w:val="24"/>
                <w:highlight w:val="none"/>
              </w:rPr>
              <w:t>分；</w:t>
            </w:r>
          </w:p>
          <w:p w14:paraId="54876E3C">
            <w:pPr>
              <w:pStyle w:val="21"/>
              <w:spacing w:line="360" w:lineRule="auto"/>
              <w:jc w:val="left"/>
              <w:rPr>
                <w:color w:val="auto"/>
                <w:sz w:val="24"/>
                <w:szCs w:val="24"/>
                <w:highlight w:val="none"/>
              </w:rPr>
            </w:pPr>
            <w:r>
              <w:rPr>
                <w:rFonts w:hint="eastAsia"/>
                <w:color w:val="auto"/>
                <w:sz w:val="24"/>
                <w:szCs w:val="24"/>
                <w:highlight w:val="none"/>
                <w:lang w:val="en-US" w:eastAsia="zh-CN"/>
              </w:rPr>
              <w:t>6</w:t>
            </w:r>
            <w:r>
              <w:rPr>
                <w:rFonts w:hint="eastAsia"/>
                <w:color w:val="auto"/>
                <w:sz w:val="24"/>
                <w:szCs w:val="24"/>
                <w:highlight w:val="none"/>
              </w:rPr>
              <w:t>项中</w:t>
            </w:r>
            <w:r>
              <w:rPr>
                <w:rFonts w:hint="eastAsia" w:ascii="宋体" w:hAnsi="宋体" w:eastAsia="宋体" w:cs="宋体"/>
                <w:bCs/>
                <w:color w:val="auto"/>
                <w:sz w:val="24"/>
                <w:szCs w:val="24"/>
                <w:highlight w:val="none"/>
              </w:rPr>
              <w:t>每</w:t>
            </w:r>
            <w:r>
              <w:rPr>
                <w:rFonts w:hint="eastAsia" w:ascii="宋体" w:hAnsi="宋体" w:eastAsia="宋体" w:cs="宋体"/>
                <w:bCs/>
                <w:color w:val="auto"/>
                <w:sz w:val="24"/>
                <w:szCs w:val="24"/>
                <w:highlight w:val="none"/>
                <w:lang w:val="en-US" w:eastAsia="zh-CN"/>
              </w:rPr>
              <w:t>有1</w:t>
            </w:r>
            <w:r>
              <w:rPr>
                <w:rFonts w:hint="eastAsia" w:ascii="宋体" w:hAnsi="宋体" w:eastAsia="宋体" w:cs="宋体"/>
                <w:bCs/>
                <w:color w:val="auto"/>
                <w:sz w:val="24"/>
                <w:szCs w:val="24"/>
                <w:highlight w:val="none"/>
              </w:rPr>
              <w:t>项</w:t>
            </w:r>
            <w:r>
              <w:rPr>
                <w:rFonts w:hint="eastAsia"/>
                <w:color w:val="auto"/>
                <w:sz w:val="24"/>
                <w:szCs w:val="24"/>
                <w:highlight w:val="none"/>
              </w:rPr>
              <w:t>有瑕疵或有明显错误扣</w:t>
            </w:r>
            <w:r>
              <w:rPr>
                <w:rFonts w:hint="eastAsia"/>
                <w:color w:val="auto"/>
                <w:sz w:val="24"/>
                <w:szCs w:val="24"/>
                <w:highlight w:val="none"/>
                <w:lang w:val="en-US" w:eastAsia="zh-CN"/>
              </w:rPr>
              <w:t>1</w:t>
            </w:r>
            <w:r>
              <w:rPr>
                <w:rFonts w:hint="eastAsia"/>
                <w:color w:val="auto"/>
                <w:sz w:val="24"/>
                <w:szCs w:val="24"/>
                <w:highlight w:val="none"/>
              </w:rPr>
              <w:t>分。</w:t>
            </w:r>
          </w:p>
          <w:p w14:paraId="7B0097A9">
            <w:pPr>
              <w:pStyle w:val="13"/>
              <w:spacing w:line="420" w:lineRule="exact"/>
              <w:rPr>
                <w:rFonts w:hint="eastAsia" w:ascii="宋体" w:hAnsi="宋体" w:eastAsia="宋体" w:cs="宋体"/>
                <w:bCs/>
                <w:color w:val="auto"/>
                <w:sz w:val="24"/>
                <w:szCs w:val="24"/>
                <w:highlight w:val="none"/>
              </w:rPr>
            </w:pPr>
            <w:r>
              <w:rPr>
                <w:rFonts w:hint="eastAsia" w:ascii="宋体" w:hAnsi="宋体" w:cs="宋体"/>
                <w:bCs/>
                <w:color w:val="auto"/>
                <w:sz w:val="24"/>
                <w:highlight w:val="none"/>
              </w:rPr>
              <w:t>注：</w:t>
            </w:r>
          </w:p>
          <w:p w14:paraId="0956DC21">
            <w:pPr>
              <w:pStyle w:val="13"/>
              <w:spacing w:line="42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（1）针对性不足或过于简略是指：</w:t>
            </w:r>
            <w:r>
              <w:rPr>
                <w:rFonts w:hint="eastAsia" w:ascii="宋体" w:hAnsi="宋体" w:cs="宋体"/>
                <w:bCs/>
                <w:color w:val="auto"/>
                <w:sz w:val="24"/>
                <w:highlight w:val="none"/>
              </w:rPr>
              <w:t>相关方案</w:t>
            </w:r>
            <w:r>
              <w:rPr>
                <w:rFonts w:hint="eastAsia" w:ascii="宋体" w:hAnsi="宋体" w:cs="宋体"/>
                <w:bCs/>
                <w:color w:val="auto"/>
                <w:sz w:val="24"/>
                <w:highlight w:val="none"/>
                <w:lang w:eastAsia="zh-CN"/>
              </w:rPr>
              <w:t>、</w:t>
            </w:r>
            <w:r>
              <w:rPr>
                <w:rFonts w:hint="eastAsia" w:ascii="宋体" w:hAnsi="宋体" w:cs="宋体"/>
                <w:bCs/>
                <w:color w:val="auto"/>
                <w:sz w:val="24"/>
                <w:highlight w:val="none"/>
              </w:rPr>
              <w:t>措施</w:t>
            </w: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承诺</w:t>
            </w:r>
            <w:r>
              <w:rPr>
                <w:rFonts w:hint="eastAsia" w:ascii="宋体" w:hAnsi="宋体" w:cs="宋体"/>
                <w:bCs/>
                <w:color w:val="auto"/>
                <w:sz w:val="24"/>
                <w:highlight w:val="none"/>
              </w:rPr>
              <w:t>内容生搬硬套，阐述存在逻辑错误，前后矛盾、关键节点缺失；涉及内容无重点，未能体现出本项目的特点或与实际需求不完全相符</w:t>
            </w:r>
            <w:r>
              <w:rPr>
                <w:rFonts w:hint="eastAsia" w:ascii="宋体" w:hAnsi="宋体" w:cs="宋体"/>
                <w:bCs/>
                <w:color w:val="auto"/>
                <w:sz w:val="24"/>
                <w:highlight w:val="none"/>
                <w:lang w:eastAsia="zh-CN"/>
              </w:rPr>
              <w:t>；</w:t>
            </w:r>
            <w:r>
              <w:rPr>
                <w:rFonts w:hint="eastAsia" w:ascii="宋体" w:hAnsi="宋体" w:eastAsia="宋体" w:cs="宋体"/>
                <w:bCs/>
                <w:color w:val="auto"/>
                <w:sz w:val="24"/>
                <w:szCs w:val="24"/>
                <w:highlight w:val="none"/>
              </w:rPr>
              <w:t>响应内容的完整性欠缺、专业性欠缺，不适用于本项目或与本项目采购要求不相符</w:t>
            </w:r>
            <w:r>
              <w:rPr>
                <w:rFonts w:hint="eastAsia" w:ascii="宋体" w:hAnsi="宋体" w:cs="宋体"/>
                <w:bCs/>
                <w:color w:val="auto"/>
                <w:sz w:val="24"/>
                <w:highlight w:val="none"/>
              </w:rPr>
              <w:t>等任意一项类似情形。</w:t>
            </w:r>
          </w:p>
          <w:p w14:paraId="6C64DC9D">
            <w:pPr>
              <w:pStyle w:val="13"/>
              <w:spacing w:line="420" w:lineRule="exact"/>
              <w:rPr>
                <w:rFonts w:hint="eastAsia"/>
                <w:color w:val="auto"/>
                <w:highlight w:val="none"/>
              </w:rPr>
            </w:pPr>
            <w:r>
              <w:rPr>
                <w:rFonts w:hint="eastAsia" w:ascii="宋体" w:hAnsi="宋体" w:eastAsia="宋体" w:cs="宋体"/>
                <w:bCs/>
                <w:color w:val="auto"/>
                <w:sz w:val="24"/>
                <w:szCs w:val="24"/>
                <w:highlight w:val="none"/>
              </w:rPr>
              <w:t>（2）瑕疵或有明显错误是指：</w:t>
            </w:r>
            <w:r>
              <w:rPr>
                <w:rFonts w:hint="eastAsia" w:ascii="宋体" w:hAnsi="宋体" w:cs="宋体"/>
                <w:bCs/>
                <w:color w:val="auto"/>
                <w:sz w:val="24"/>
                <w:highlight w:val="none"/>
              </w:rPr>
              <w:t>相关方案</w:t>
            </w:r>
            <w:r>
              <w:rPr>
                <w:rFonts w:hint="eastAsia" w:ascii="宋体" w:hAnsi="宋体" w:cs="宋体"/>
                <w:bCs/>
                <w:color w:val="auto"/>
                <w:sz w:val="24"/>
                <w:highlight w:val="none"/>
                <w:lang w:eastAsia="zh-CN"/>
              </w:rPr>
              <w:t>、</w:t>
            </w:r>
            <w:r>
              <w:rPr>
                <w:rFonts w:hint="eastAsia" w:ascii="宋体" w:hAnsi="宋体" w:cs="宋体"/>
                <w:bCs/>
                <w:color w:val="auto"/>
                <w:sz w:val="24"/>
                <w:highlight w:val="none"/>
              </w:rPr>
              <w:t>措施</w:t>
            </w: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承诺</w:t>
            </w:r>
            <w:r>
              <w:rPr>
                <w:rFonts w:hint="eastAsia" w:ascii="宋体" w:hAnsi="宋体" w:cs="宋体"/>
                <w:bCs/>
                <w:color w:val="auto"/>
                <w:sz w:val="24"/>
                <w:highlight w:val="none"/>
              </w:rPr>
              <w:t>内容</w:t>
            </w:r>
            <w:r>
              <w:rPr>
                <w:rFonts w:hint="eastAsia" w:ascii="宋体" w:hAnsi="宋体" w:eastAsia="宋体" w:cs="宋体"/>
                <w:bCs/>
                <w:color w:val="auto"/>
                <w:kern w:val="2"/>
                <w:sz w:val="24"/>
                <w:szCs w:val="24"/>
                <w:highlight w:val="none"/>
                <w:lang w:val="en-US" w:eastAsia="zh-CN" w:bidi="ar-SA"/>
              </w:rPr>
              <w:t>字表述、技术描述、引用、图表制作等有明显错误、前后矛盾或有明显漏项等任意一项类似情形。</w:t>
            </w:r>
          </w:p>
        </w:tc>
      </w:tr>
      <w:tr w14:paraId="74AE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Merge w:val="continue"/>
            <w:noWrap w:val="0"/>
            <w:vAlign w:val="center"/>
          </w:tcPr>
          <w:p w14:paraId="15FB1B93">
            <w:pPr>
              <w:spacing w:line="440" w:lineRule="exact"/>
              <w:jc w:val="center"/>
              <w:rPr>
                <w:rFonts w:hint="eastAsia" w:ascii="宋体" w:hAnsi="宋体" w:eastAsia="宋体" w:cs="宋体"/>
                <w:bCs/>
                <w:color w:val="auto"/>
                <w:sz w:val="24"/>
                <w:szCs w:val="24"/>
                <w:highlight w:val="none"/>
              </w:rPr>
            </w:pPr>
          </w:p>
        </w:tc>
        <w:tc>
          <w:tcPr>
            <w:tcW w:w="1049" w:type="dxa"/>
            <w:noWrap w:val="0"/>
            <w:vAlign w:val="center"/>
          </w:tcPr>
          <w:p w14:paraId="20065F09">
            <w:pPr>
              <w:spacing w:line="440" w:lineRule="exact"/>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(2)</w:t>
            </w:r>
            <w:r>
              <w:rPr>
                <w:rFonts w:hint="eastAsia" w:ascii="宋体" w:hAnsi="宋体" w:cs="宋体"/>
                <w:bCs/>
                <w:color w:val="auto"/>
                <w:sz w:val="24"/>
                <w:szCs w:val="24"/>
                <w:highlight w:val="none"/>
                <w:lang w:val="en-US" w:eastAsia="zh-CN"/>
              </w:rPr>
              <w:t>质保期</w:t>
            </w:r>
          </w:p>
        </w:tc>
        <w:tc>
          <w:tcPr>
            <w:tcW w:w="480" w:type="dxa"/>
            <w:noWrap w:val="0"/>
            <w:vAlign w:val="center"/>
          </w:tcPr>
          <w:p w14:paraId="26DC0305">
            <w:pPr>
              <w:spacing w:line="360" w:lineRule="exact"/>
              <w:jc w:val="center"/>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2分</w:t>
            </w:r>
          </w:p>
        </w:tc>
        <w:tc>
          <w:tcPr>
            <w:tcW w:w="7759" w:type="dxa"/>
            <w:noWrap w:val="0"/>
            <w:vAlign w:val="center"/>
          </w:tcPr>
          <w:p w14:paraId="221EF8B5">
            <w:pPr>
              <w:pStyle w:val="13"/>
              <w:spacing w:line="420" w:lineRule="exact"/>
              <w:rPr>
                <w:rFonts w:hint="default" w:ascii="宋体" w:hAnsi="宋体" w:eastAsia="宋体" w:cs="宋体"/>
                <w:bCs/>
                <w:color w:val="auto"/>
                <w:sz w:val="24"/>
                <w:szCs w:val="24"/>
                <w:highlight w:val="none"/>
                <w:lang w:val="en-US" w:eastAsia="zh-CN"/>
              </w:rPr>
            </w:pPr>
            <w:r>
              <w:rPr>
                <w:rFonts w:hint="eastAsia" w:ascii="宋体" w:hAnsi="宋体" w:eastAsia="宋体" w:cs="宋体"/>
                <w:b/>
                <w:color w:val="auto"/>
                <w:kern w:val="2"/>
                <w:sz w:val="24"/>
                <w:szCs w:val="24"/>
                <w:highlight w:val="none"/>
              </w:rPr>
              <w:t>主机及电子上、下消化道治疗镜</w:t>
            </w:r>
            <w:r>
              <w:rPr>
                <w:rFonts w:hint="default" w:ascii="宋体" w:hAnsi="宋体" w:eastAsia="宋体" w:cs="宋体"/>
                <w:bCs/>
                <w:color w:val="auto"/>
                <w:sz w:val="24"/>
                <w:szCs w:val="24"/>
                <w:highlight w:val="none"/>
                <w:lang w:val="en-US" w:eastAsia="zh-CN"/>
              </w:rPr>
              <w:t>质保期满足基本质保期5年的前提下每延长1年加1分，本项累计最高加2分。</w:t>
            </w:r>
          </w:p>
        </w:tc>
      </w:tr>
      <w:tr w14:paraId="4C99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1032" w:type="dxa"/>
            <w:vMerge w:val="continue"/>
            <w:noWrap w:val="0"/>
            <w:vAlign w:val="center"/>
          </w:tcPr>
          <w:p w14:paraId="68847FDB">
            <w:pPr>
              <w:spacing w:line="440" w:lineRule="exact"/>
              <w:jc w:val="center"/>
              <w:rPr>
                <w:rFonts w:hint="eastAsia" w:ascii="宋体" w:hAnsi="宋体" w:eastAsia="宋体" w:cs="宋体"/>
                <w:bCs/>
                <w:color w:val="auto"/>
                <w:sz w:val="24"/>
                <w:szCs w:val="24"/>
                <w:highlight w:val="none"/>
              </w:rPr>
            </w:pPr>
          </w:p>
        </w:tc>
        <w:tc>
          <w:tcPr>
            <w:tcW w:w="1049" w:type="dxa"/>
            <w:noWrap w:val="0"/>
            <w:vAlign w:val="center"/>
          </w:tcPr>
          <w:p w14:paraId="7A1BFCC8">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val="en-US" w:eastAsia="zh-CN"/>
              </w:rPr>
              <w:t>商务指标响应评审</w:t>
            </w:r>
          </w:p>
        </w:tc>
        <w:tc>
          <w:tcPr>
            <w:tcW w:w="480" w:type="dxa"/>
            <w:noWrap w:val="0"/>
            <w:vAlign w:val="center"/>
          </w:tcPr>
          <w:p w14:paraId="1D8731CA">
            <w:pPr>
              <w:spacing w:line="440" w:lineRule="exact"/>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5分</w:t>
            </w:r>
          </w:p>
        </w:tc>
        <w:tc>
          <w:tcPr>
            <w:tcW w:w="7759" w:type="dxa"/>
            <w:noWrap w:val="0"/>
            <w:vAlign w:val="center"/>
          </w:tcPr>
          <w:p w14:paraId="6BE19804">
            <w:pPr>
              <w:pStyle w:val="13"/>
              <w:spacing w:line="42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根据投标文件对招标文件“四、商务要求”的响应程度进行评分，招标文件第六章“四、商务要求”中非“★”条款和“合同条款前附表”中的交货期、交货地点、交货方式、定价方式、付款方式、履约保证金要求完全满足招标文件要求的得5分，每出现一项不满足招标文件不得分。</w:t>
            </w:r>
          </w:p>
        </w:tc>
      </w:tr>
      <w:tr w14:paraId="30FA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2" w:type="dxa"/>
            <w:vMerge w:val="continue"/>
            <w:noWrap w:val="0"/>
            <w:vAlign w:val="center"/>
          </w:tcPr>
          <w:p w14:paraId="24D0922B">
            <w:pPr>
              <w:spacing w:line="440" w:lineRule="exact"/>
              <w:jc w:val="center"/>
              <w:rPr>
                <w:rFonts w:hint="eastAsia" w:ascii="宋体" w:hAnsi="宋体" w:eastAsia="宋体" w:cs="宋体"/>
                <w:bCs/>
                <w:color w:val="auto"/>
                <w:sz w:val="24"/>
                <w:szCs w:val="24"/>
                <w:highlight w:val="none"/>
              </w:rPr>
            </w:pPr>
          </w:p>
        </w:tc>
        <w:tc>
          <w:tcPr>
            <w:tcW w:w="1049" w:type="dxa"/>
            <w:noWrap w:val="0"/>
            <w:vAlign w:val="center"/>
          </w:tcPr>
          <w:p w14:paraId="5229B645">
            <w:pPr>
              <w:pStyle w:val="21"/>
              <w:spacing w:line="360" w:lineRule="auto"/>
              <w:jc w:val="left"/>
              <w:rPr>
                <w:rFonts w:hint="eastAsia" w:ascii="宋体" w:hAnsi="宋体" w:eastAsia="宋体" w:cs="宋体"/>
                <w:bCs/>
                <w:color w:val="auto"/>
                <w:kern w:val="2"/>
                <w:sz w:val="24"/>
                <w:szCs w:val="24"/>
                <w:highlight w:val="none"/>
                <w:lang w:val="en-US" w:eastAsia="zh-CN" w:bidi="ar-SA"/>
              </w:rPr>
            </w:pPr>
            <w:r>
              <w:rPr>
                <w:rFonts w:hint="eastAsia" w:ascii="宋体" w:hAnsi="宋体" w:cs="宋体"/>
                <w:bCs/>
                <w:color w:val="auto"/>
                <w:sz w:val="24"/>
                <w:szCs w:val="24"/>
                <w:highlight w:val="none"/>
              </w:rPr>
              <w:t>(</w:t>
            </w:r>
            <w:r>
              <w:rPr>
                <w:rFonts w:hint="eastAsia" w:hAnsi="宋体" w:cs="宋体"/>
                <w:bCs/>
                <w:color w:val="auto"/>
                <w:sz w:val="24"/>
                <w:szCs w:val="24"/>
                <w:highlight w:val="none"/>
                <w:lang w:val="en-US" w:eastAsia="zh-CN"/>
              </w:rPr>
              <w:t>4</w:t>
            </w:r>
            <w:r>
              <w:rPr>
                <w:rFonts w:hint="eastAsia" w:ascii="宋体" w:hAnsi="宋体" w:cs="宋体"/>
                <w:bCs/>
                <w:color w:val="auto"/>
                <w:sz w:val="24"/>
                <w:szCs w:val="24"/>
                <w:highlight w:val="none"/>
              </w:rPr>
              <w:t>)</w:t>
            </w:r>
            <w:r>
              <w:rPr>
                <w:rFonts w:hint="eastAsia" w:ascii="宋体" w:hAnsi="宋体" w:eastAsia="宋体" w:cs="宋体"/>
                <w:bCs/>
                <w:color w:val="auto"/>
                <w:kern w:val="2"/>
                <w:sz w:val="24"/>
                <w:szCs w:val="24"/>
                <w:highlight w:val="none"/>
                <w:lang w:val="en-US" w:eastAsia="zh-CN" w:bidi="ar-SA"/>
              </w:rPr>
              <w:t>节能、环保产品评分</w:t>
            </w:r>
          </w:p>
        </w:tc>
        <w:tc>
          <w:tcPr>
            <w:tcW w:w="480" w:type="dxa"/>
            <w:noWrap w:val="0"/>
            <w:vAlign w:val="center"/>
          </w:tcPr>
          <w:p w14:paraId="2F16B222">
            <w:pPr>
              <w:pStyle w:val="21"/>
              <w:spacing w:line="360" w:lineRule="auto"/>
              <w:jc w:val="left"/>
              <w:rPr>
                <w:rFonts w:hint="default"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1分</w:t>
            </w:r>
          </w:p>
        </w:tc>
        <w:tc>
          <w:tcPr>
            <w:tcW w:w="7759" w:type="dxa"/>
            <w:noWrap w:val="0"/>
            <w:vAlign w:val="center"/>
          </w:tcPr>
          <w:p w14:paraId="6CC2A3B0">
            <w:pPr>
              <w:pStyle w:val="21"/>
              <w:spacing w:line="360" w:lineRule="auto"/>
              <w:jc w:val="left"/>
              <w:rPr>
                <w:rFonts w:hint="eastAsia" w:ascii="宋体" w:hAnsi="宋体" w:eastAsia="宋体" w:cs="宋体"/>
                <w:bCs/>
                <w:color w:val="auto"/>
                <w:kern w:val="2"/>
                <w:sz w:val="24"/>
                <w:szCs w:val="24"/>
                <w:highlight w:val="none"/>
                <w:lang w:val="en-US" w:eastAsia="zh-CN" w:bidi="ar-SA"/>
              </w:rPr>
            </w:pPr>
            <w:r>
              <w:rPr>
                <w:rFonts w:hint="eastAsia" w:ascii="宋体" w:hAnsi="宋体" w:eastAsia="宋体" w:cs="宋体"/>
                <w:bCs/>
                <w:color w:val="auto"/>
                <w:kern w:val="2"/>
                <w:sz w:val="24"/>
                <w:szCs w:val="24"/>
                <w:highlight w:val="none"/>
                <w:lang w:val="en-US" w:eastAsia="zh-CN" w:bidi="ar-SA"/>
              </w:rPr>
              <w:t>投标产品认定为节能产品（非政府强制采购节能产品）的得0.5分，环保产品的得0.5分。</w:t>
            </w:r>
          </w:p>
        </w:tc>
      </w:tr>
    </w:tbl>
    <w:p w14:paraId="4D1D7E36">
      <w:pPr>
        <w:spacing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(四)得分汇总</w:t>
      </w:r>
    </w:p>
    <w:p w14:paraId="6E25322F">
      <w:pPr>
        <w:pStyle w:val="18"/>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1.评委应首先对各投标人投标文件进行评审，写出书面意见并按招标文件规定分值评分，各分档评分中间不得用插入法评分。</w:t>
      </w:r>
    </w:p>
    <w:p w14:paraId="5F576CC3">
      <w:pPr>
        <w:pStyle w:val="18"/>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2.除投标价格得分外，其余部分由各评委自主评分并签字确认。</w:t>
      </w:r>
    </w:p>
    <w:p w14:paraId="69F9D7D7">
      <w:pPr>
        <w:pStyle w:val="18"/>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3.统分原则：计算评委打分的算术平均值为投标人的该项评分因素的得分，投标报价得分除外(保留小数点后两位)。</w:t>
      </w:r>
    </w:p>
    <w:p w14:paraId="10785A36">
      <w:pPr>
        <w:pStyle w:val="18"/>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4.得分汇总：各项评分因素得分的总和即为投标人最后得分。</w:t>
      </w:r>
    </w:p>
    <w:p w14:paraId="1490D7E8">
      <w:pPr>
        <w:pStyle w:val="18"/>
        <w:spacing w:line="48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5.经评标委员会认定评分畸高、畸低的，评标委员会应当当场修改评标结果，并在评标报告中记载。</w:t>
      </w:r>
    </w:p>
    <w:p w14:paraId="67D21C94">
      <w:pPr>
        <w:spacing w:before="95" w:beforeLines="30" w:after="95" w:afterLines="30"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七、推荐</w:t>
      </w:r>
    </w:p>
    <w:p w14:paraId="15977317">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1.同品牌产品不同投标人的处理方式</w:t>
      </w:r>
    </w:p>
    <w:p w14:paraId="71C3E6B4">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0343F78">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非单一产品采购项目，采购人应当根据采购项目技术构成、产品价格比重等合理确定核心产品，并在招标文件中载明。多家投标人提供的核心产品品牌相同的，按前款规定处理。</w:t>
      </w:r>
    </w:p>
    <w:p w14:paraId="1FC6D73D">
      <w:pPr>
        <w:autoSpaceDE w:val="0"/>
        <w:autoSpaceDN w:val="0"/>
        <w:spacing w:line="460" w:lineRule="exact"/>
        <w:ind w:firstLine="480" w:firstLineChars="200"/>
        <w:rPr>
          <w:rFonts w:hint="eastAsia" w:ascii="宋体" w:hAnsi="宋体" w:eastAsia="宋体" w:cs="宋体"/>
          <w:bCs w:val="0"/>
          <w:color w:val="auto"/>
          <w:sz w:val="24"/>
          <w:szCs w:val="24"/>
          <w:highlight w:val="none"/>
        </w:rPr>
      </w:pPr>
      <w:r>
        <w:rPr>
          <w:rFonts w:hint="eastAsia" w:ascii="宋体" w:hAnsi="宋体" w:cs="宋体"/>
          <w:color w:val="auto"/>
          <w:sz w:val="24"/>
          <w:szCs w:val="24"/>
          <w:highlight w:val="none"/>
        </w:rPr>
        <w:t>2.评标委员会按得分汇总计算出各投标人的总得分，评标结果按评审后总得分由高到低顺序排列。投标文件满足招标文件全部实质性要求，且按照评审因素的量化指标评审总得分最高的投标人为排名第一的中标候选人。总得分相同的，按投标报价由低到高顺序排列。得分且投标报价相同的</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按</w:t>
      </w:r>
      <w:r>
        <w:rPr>
          <w:rFonts w:hint="eastAsia" w:ascii="宋体" w:hAnsi="宋体" w:cs="宋体"/>
          <w:color w:val="auto"/>
          <w:sz w:val="24"/>
          <w:szCs w:val="24"/>
          <w:highlight w:val="none"/>
          <w:u w:val="single"/>
        </w:rPr>
        <w:t>技术参数</w:t>
      </w:r>
      <w:r>
        <w:rPr>
          <w:rFonts w:hint="eastAsia" w:ascii="宋体" w:hAnsi="宋体" w:cs="宋体"/>
          <w:color w:val="auto"/>
          <w:sz w:val="24"/>
          <w:szCs w:val="24"/>
          <w:highlight w:val="none"/>
        </w:rPr>
        <w:t>评审得分由高到低的顺序排列，依次类推</w:t>
      </w:r>
      <w:r>
        <w:rPr>
          <w:rFonts w:hint="eastAsia" w:ascii="宋体" w:hAnsi="宋体" w:eastAsia="宋体" w:cs="宋体"/>
          <w:color w:val="auto"/>
          <w:sz w:val="24"/>
          <w:szCs w:val="24"/>
          <w:highlight w:val="none"/>
        </w:rPr>
        <w:t>。</w:t>
      </w:r>
      <w:r>
        <w:rPr>
          <w:rFonts w:hint="eastAsia" w:ascii="宋体" w:hAnsi="宋体" w:eastAsia="宋体" w:cs="宋体"/>
          <w:bCs w:val="0"/>
          <w:color w:val="auto"/>
          <w:sz w:val="24"/>
          <w:szCs w:val="24"/>
          <w:highlight w:val="none"/>
        </w:rPr>
        <w:t>所有得分均相等的，按技术指标高优先、质保期长优先、交货时间短优先、故障到达时间短优先的顺序推荐中标候选人。</w:t>
      </w:r>
    </w:p>
    <w:p w14:paraId="706682F1">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3.评标委员会根据全体评标成员签字的原始评标记录和评标结果编写评标报告。</w:t>
      </w:r>
    </w:p>
    <w:p w14:paraId="6918C787">
      <w:pPr>
        <w:autoSpaceDE w:val="0"/>
        <w:autoSpaceDN w:val="0"/>
        <w:spacing w:line="46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4.评标委员会成员对需要共同认定的事项存在争议的，应当按照少数服从多数的原则作出结论。持不同意见的评标委员会成员应当在评标报告上签署不同意见及理由，否则视为同意评标报告。</w:t>
      </w:r>
    </w:p>
    <w:p w14:paraId="32294416">
      <w:pPr>
        <w:spacing w:before="95" w:beforeLines="30" w:after="95" w:afterLines="30" w:line="500" w:lineRule="exact"/>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八、评标报告编写</w:t>
      </w:r>
    </w:p>
    <w:p w14:paraId="42EFF049">
      <w:pPr>
        <w:spacing w:line="240" w:lineRule="exact"/>
        <w:ind w:firstLine="480" w:firstLineChars="200"/>
        <w:rPr>
          <w:rFonts w:hint="eastAsia" w:ascii="宋体" w:hAnsi="宋体" w:cs="宋体"/>
          <w:color w:val="auto"/>
          <w:highlight w:val="none"/>
        </w:rPr>
      </w:pPr>
      <w:r>
        <w:rPr>
          <w:rFonts w:hint="eastAsia" w:ascii="宋体" w:hAnsi="宋体" w:cs="宋体"/>
          <w:color w:val="auto"/>
          <w:sz w:val="24"/>
          <w:szCs w:val="24"/>
          <w:highlight w:val="none"/>
        </w:rPr>
        <w:t>评标委员会根据全体评标成员签字的原始评标记录和评标结果编写评标报告。</w:t>
      </w:r>
    </w:p>
    <w:p w14:paraId="2DD291B7">
      <w:pPr>
        <w:rPr>
          <w:rFonts w:hint="eastAsia" w:ascii="宋体" w:hAnsi="宋体" w:cs="宋体"/>
          <w:b/>
          <w:bCs/>
          <w:color w:val="auto"/>
          <w:kern w:val="44"/>
          <w:sz w:val="44"/>
          <w:szCs w:val="44"/>
          <w:highlight w:val="none"/>
        </w:rPr>
        <w:sectPr>
          <w:footerReference r:id="rId7" w:type="default"/>
          <w:pgSz w:w="11906" w:h="16838"/>
          <w:pgMar w:top="1191" w:right="1191" w:bottom="1191" w:left="1304" w:header="851" w:footer="992" w:gutter="0"/>
          <w:pgNumType w:fmt="numberInDash"/>
          <w:cols w:space="720" w:num="1"/>
          <w:docGrid w:type="lines" w:linePitch="317" w:charSpace="0"/>
        </w:sectPr>
      </w:pPr>
      <w:bookmarkStart w:id="260" w:name="_Toc8239"/>
      <w:bookmarkEnd w:id="260"/>
      <w:bookmarkStart w:id="261" w:name="_Toc21476"/>
      <w:bookmarkEnd w:id="261"/>
    </w:p>
    <w:p w14:paraId="62040000">
      <w:pPr>
        <w:pStyle w:val="2"/>
        <w:spacing w:before="0" w:after="0" w:line="360" w:lineRule="auto"/>
        <w:jc w:val="center"/>
        <w:rPr>
          <w:rFonts w:hint="eastAsia" w:ascii="宋体" w:hAnsi="宋体" w:cs="宋体"/>
          <w:color w:val="auto"/>
          <w:highlight w:val="none"/>
        </w:rPr>
      </w:pPr>
      <w:bookmarkStart w:id="262" w:name="_Toc23153"/>
      <w:bookmarkStart w:id="263" w:name="_Toc21744"/>
      <w:bookmarkStart w:id="264" w:name="_Toc6206"/>
      <w:r>
        <w:rPr>
          <w:rFonts w:hint="eastAsia" w:ascii="宋体" w:hAnsi="宋体" w:cs="宋体"/>
          <w:color w:val="auto"/>
          <w:highlight w:val="none"/>
        </w:rPr>
        <w:t>第五章 合同条款及格式</w:t>
      </w:r>
      <w:bookmarkEnd w:id="258"/>
      <w:bookmarkEnd w:id="262"/>
      <w:bookmarkEnd w:id="263"/>
      <w:bookmarkEnd w:id="264"/>
    </w:p>
    <w:bookmarkEnd w:id="259"/>
    <w:p w14:paraId="58B81068">
      <w:pPr>
        <w:pStyle w:val="21"/>
        <w:jc w:val="center"/>
        <w:rPr>
          <w:rFonts w:ascii="宋体" w:hAnsi="宋体" w:eastAsia="宋体"/>
          <w:b/>
          <w:bCs w:val="0"/>
          <w:color w:val="auto"/>
          <w:kern w:val="2"/>
          <w:sz w:val="32"/>
          <w:szCs w:val="32"/>
          <w:highlight w:val="none"/>
        </w:rPr>
      </w:pPr>
      <w:bookmarkStart w:id="265" w:name="_Toc209978010"/>
      <w:bookmarkStart w:id="266" w:name="_Toc213141091"/>
      <w:bookmarkStart w:id="267" w:name="_Toc8560"/>
      <w:r>
        <w:rPr>
          <w:rFonts w:hint="eastAsia" w:ascii="宋体" w:hAnsi="宋体" w:eastAsia="宋体"/>
          <w:b/>
          <w:bCs w:val="0"/>
          <w:color w:val="auto"/>
          <w:kern w:val="2"/>
          <w:sz w:val="32"/>
          <w:szCs w:val="32"/>
          <w:highlight w:val="none"/>
        </w:rPr>
        <w:t>合同</w:t>
      </w:r>
      <w:r>
        <w:rPr>
          <w:rFonts w:hint="eastAsia" w:ascii="宋体" w:hAnsi="宋体" w:eastAsia="宋体" w:cs="微软雅黑"/>
          <w:b/>
          <w:bCs w:val="0"/>
          <w:color w:val="auto"/>
          <w:kern w:val="2"/>
          <w:sz w:val="32"/>
          <w:szCs w:val="32"/>
          <w:highlight w:val="none"/>
        </w:rPr>
        <w:t>条</w:t>
      </w:r>
      <w:r>
        <w:rPr>
          <w:rFonts w:hint="eastAsia" w:ascii="宋体" w:hAnsi="宋体" w:eastAsia="宋体" w:cs="Malgun Gothic"/>
          <w:b/>
          <w:bCs w:val="0"/>
          <w:color w:val="auto"/>
          <w:kern w:val="2"/>
          <w:sz w:val="32"/>
          <w:szCs w:val="32"/>
          <w:highlight w:val="none"/>
        </w:rPr>
        <w:t>款前附表</w:t>
      </w:r>
      <w:bookmarkEnd w:id="265"/>
      <w:bookmarkEnd w:id="266"/>
      <w:bookmarkEnd w:id="267"/>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7819"/>
      </w:tblGrid>
      <w:tr w14:paraId="436E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22" w:type="dxa"/>
            <w:noWrap w:val="0"/>
            <w:vAlign w:val="center"/>
          </w:tcPr>
          <w:p w14:paraId="4F793793">
            <w:pPr>
              <w:pStyle w:val="21"/>
              <w:ind w:firstLine="241" w:firstLineChars="100"/>
              <w:rPr>
                <w:rFonts w:hAnsi="宋体"/>
                <w:b/>
                <w:bCs/>
                <w:color w:val="auto"/>
                <w:sz w:val="24"/>
                <w:szCs w:val="24"/>
                <w:highlight w:val="none"/>
              </w:rPr>
            </w:pPr>
            <w:r>
              <w:rPr>
                <w:rFonts w:hint="eastAsia" w:hAnsi="宋体"/>
                <w:b/>
                <w:bCs/>
                <w:color w:val="auto"/>
                <w:sz w:val="24"/>
                <w:szCs w:val="24"/>
                <w:highlight w:val="none"/>
              </w:rPr>
              <w:t>序</w:t>
            </w:r>
            <w:r>
              <w:rPr>
                <w:rFonts w:hint="eastAsia" w:hAnsi="宋体" w:cs="微软雅黑"/>
                <w:b/>
                <w:bCs/>
                <w:color w:val="auto"/>
                <w:sz w:val="24"/>
                <w:szCs w:val="24"/>
                <w:highlight w:val="none"/>
              </w:rPr>
              <w:t>号</w:t>
            </w:r>
          </w:p>
        </w:tc>
        <w:tc>
          <w:tcPr>
            <w:tcW w:w="7819" w:type="dxa"/>
            <w:noWrap w:val="0"/>
            <w:vAlign w:val="center"/>
          </w:tcPr>
          <w:p w14:paraId="352CD31B">
            <w:pPr>
              <w:pStyle w:val="21"/>
              <w:ind w:firstLine="241" w:firstLineChars="100"/>
              <w:jc w:val="center"/>
              <w:rPr>
                <w:rFonts w:hAnsi="宋体"/>
                <w:b/>
                <w:bCs/>
                <w:color w:val="auto"/>
                <w:sz w:val="24"/>
                <w:szCs w:val="24"/>
                <w:highlight w:val="none"/>
              </w:rPr>
            </w:pPr>
            <w:r>
              <w:rPr>
                <w:rFonts w:hint="eastAsia" w:hAnsi="宋体" w:cs="微软雅黑"/>
                <w:b/>
                <w:bCs/>
                <w:color w:val="auto"/>
                <w:sz w:val="24"/>
                <w:szCs w:val="24"/>
                <w:highlight w:val="none"/>
              </w:rPr>
              <w:t>内</w:t>
            </w:r>
            <w:r>
              <w:rPr>
                <w:rFonts w:hint="eastAsia" w:hAnsi="宋体"/>
                <w:b/>
                <w:bCs/>
                <w:color w:val="auto"/>
                <w:sz w:val="24"/>
                <w:szCs w:val="24"/>
                <w:highlight w:val="none"/>
              </w:rPr>
              <w:t xml:space="preserve">      容</w:t>
            </w:r>
          </w:p>
        </w:tc>
      </w:tr>
      <w:tr w14:paraId="332C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1122" w:type="dxa"/>
            <w:noWrap w:val="0"/>
            <w:vAlign w:val="center"/>
          </w:tcPr>
          <w:p w14:paraId="715EAE11">
            <w:pPr>
              <w:pStyle w:val="21"/>
              <w:ind w:firstLine="240" w:firstLineChars="100"/>
              <w:jc w:val="center"/>
              <w:rPr>
                <w:rFonts w:hAnsi="宋体"/>
                <w:color w:val="auto"/>
                <w:sz w:val="24"/>
                <w:szCs w:val="24"/>
                <w:highlight w:val="none"/>
              </w:rPr>
            </w:pPr>
            <w:r>
              <w:rPr>
                <w:rFonts w:hint="eastAsia" w:hAnsi="宋体"/>
                <w:color w:val="auto"/>
                <w:sz w:val="24"/>
                <w:szCs w:val="24"/>
                <w:highlight w:val="none"/>
              </w:rPr>
              <w:t>1</w:t>
            </w:r>
          </w:p>
        </w:tc>
        <w:tc>
          <w:tcPr>
            <w:tcW w:w="7819" w:type="dxa"/>
            <w:noWrap w:val="0"/>
            <w:vAlign w:val="center"/>
          </w:tcPr>
          <w:p w14:paraId="5E52D7F1">
            <w:pPr>
              <w:pStyle w:val="21"/>
              <w:rPr>
                <w:rFonts w:hAnsi="宋体"/>
                <w:color w:val="auto"/>
                <w:sz w:val="24"/>
                <w:szCs w:val="24"/>
                <w:highlight w:val="none"/>
              </w:rPr>
            </w:pPr>
            <w:r>
              <w:rPr>
                <w:rFonts w:hint="eastAsia" w:hAnsi="宋体"/>
                <w:color w:val="auto"/>
                <w:sz w:val="24"/>
                <w:szCs w:val="24"/>
                <w:highlight w:val="none"/>
              </w:rPr>
              <w:t>交</w:t>
            </w:r>
            <w:r>
              <w:rPr>
                <w:rFonts w:hint="eastAsia" w:hAnsi="宋体" w:cs="微软雅黑"/>
                <w:color w:val="auto"/>
                <w:sz w:val="24"/>
                <w:szCs w:val="24"/>
                <w:highlight w:val="none"/>
              </w:rPr>
              <w:t>货</w:t>
            </w:r>
            <w:r>
              <w:rPr>
                <w:rFonts w:hint="eastAsia" w:hAnsi="宋体" w:cs="Malgun Gothic"/>
                <w:color w:val="auto"/>
                <w:sz w:val="24"/>
                <w:szCs w:val="24"/>
                <w:highlight w:val="none"/>
              </w:rPr>
              <w:t>期、交</w:t>
            </w:r>
            <w:r>
              <w:rPr>
                <w:rFonts w:hint="eastAsia" w:hAnsi="宋体" w:cs="微软雅黑"/>
                <w:color w:val="auto"/>
                <w:sz w:val="24"/>
                <w:szCs w:val="24"/>
                <w:highlight w:val="none"/>
              </w:rPr>
              <w:t>货</w:t>
            </w:r>
            <w:r>
              <w:rPr>
                <w:rFonts w:hint="eastAsia" w:hAnsi="宋体" w:cs="Malgun Gothic"/>
                <w:color w:val="auto"/>
                <w:sz w:val="24"/>
                <w:szCs w:val="24"/>
                <w:highlight w:val="none"/>
              </w:rPr>
              <w:t>方式及交</w:t>
            </w:r>
            <w:r>
              <w:rPr>
                <w:rFonts w:hint="eastAsia" w:hAnsi="宋体" w:cs="微软雅黑"/>
                <w:color w:val="auto"/>
                <w:sz w:val="24"/>
                <w:szCs w:val="24"/>
                <w:highlight w:val="none"/>
              </w:rPr>
              <w:t>货</w:t>
            </w:r>
            <w:r>
              <w:rPr>
                <w:rFonts w:hint="eastAsia" w:hAnsi="宋体" w:cs="Malgun Gothic"/>
                <w:color w:val="auto"/>
                <w:sz w:val="24"/>
                <w:szCs w:val="24"/>
                <w:highlight w:val="none"/>
              </w:rPr>
              <w:t>地点</w:t>
            </w:r>
          </w:p>
          <w:p w14:paraId="6A64E210">
            <w:pPr>
              <w:pStyle w:val="21"/>
              <w:rPr>
                <w:rFonts w:hint="eastAsia" w:hAnsi="宋体" w:eastAsia="宋体" w:cs="Malgun Gothic"/>
                <w:color w:val="auto"/>
                <w:sz w:val="24"/>
                <w:szCs w:val="24"/>
                <w:highlight w:val="none"/>
                <w:lang w:eastAsia="zh-CN"/>
              </w:rPr>
            </w:pPr>
            <w:r>
              <w:rPr>
                <w:rFonts w:hint="eastAsia" w:hAnsi="宋体" w:cs="Malgun Gothic"/>
                <w:color w:val="auto"/>
                <w:sz w:val="24"/>
                <w:szCs w:val="24"/>
                <w:highlight w:val="none"/>
              </w:rPr>
              <w:t>1）交货期：</w:t>
            </w:r>
            <w:r>
              <w:rPr>
                <w:rFonts w:hint="eastAsia" w:hAnsi="宋体" w:cs="Malgun Gothic"/>
                <w:color w:val="auto"/>
                <w:sz w:val="24"/>
                <w:szCs w:val="24"/>
                <w:highlight w:val="none"/>
                <w:lang w:eastAsia="zh-CN"/>
              </w:rPr>
              <w:t>交货期不超过30个工作日。</w:t>
            </w:r>
          </w:p>
          <w:p w14:paraId="14B3A681">
            <w:pPr>
              <w:pStyle w:val="21"/>
              <w:rPr>
                <w:rFonts w:hAnsi="宋体" w:cs="Malgun Gothic"/>
                <w:color w:val="auto"/>
                <w:sz w:val="24"/>
                <w:szCs w:val="24"/>
                <w:highlight w:val="none"/>
              </w:rPr>
            </w:pPr>
            <w:r>
              <w:rPr>
                <w:rFonts w:hint="eastAsia" w:hAnsi="宋体" w:cs="Malgun Gothic"/>
                <w:color w:val="auto"/>
                <w:sz w:val="24"/>
                <w:szCs w:val="24"/>
                <w:highlight w:val="none"/>
              </w:rPr>
              <w:t>2）交货地点：</w:t>
            </w:r>
            <w:r>
              <w:rPr>
                <w:rFonts w:hint="eastAsia" w:hAnsi="宋体" w:cs="Malgun Gothic"/>
                <w:color w:val="auto"/>
                <w:sz w:val="24"/>
                <w:szCs w:val="24"/>
                <w:highlight w:val="none"/>
                <w:lang w:eastAsia="zh-CN"/>
              </w:rPr>
              <w:t>昆明医科大学第二附属医院指定地点</w:t>
            </w:r>
            <w:r>
              <w:rPr>
                <w:rFonts w:hint="eastAsia" w:hAnsi="宋体" w:cs="Malgun Gothic"/>
                <w:color w:val="auto"/>
                <w:sz w:val="24"/>
                <w:szCs w:val="24"/>
                <w:highlight w:val="none"/>
              </w:rPr>
              <w:t>。</w:t>
            </w:r>
          </w:p>
          <w:p w14:paraId="5E7ED5E6">
            <w:pPr>
              <w:pStyle w:val="21"/>
              <w:rPr>
                <w:rFonts w:hint="eastAsia" w:hAnsi="宋体" w:eastAsia="宋体"/>
                <w:color w:val="auto"/>
                <w:sz w:val="24"/>
                <w:szCs w:val="24"/>
                <w:highlight w:val="none"/>
                <w:lang w:eastAsia="zh-CN"/>
              </w:rPr>
            </w:pPr>
            <w:r>
              <w:rPr>
                <w:rFonts w:hint="eastAsia" w:hAnsi="宋体" w:cs="Malgun Gothic"/>
                <w:color w:val="auto"/>
                <w:sz w:val="24"/>
                <w:szCs w:val="24"/>
                <w:highlight w:val="none"/>
              </w:rPr>
              <w:t>3）交货方式：现场交货安装验收完成</w:t>
            </w:r>
            <w:r>
              <w:rPr>
                <w:rFonts w:hint="eastAsia" w:hAnsi="宋体" w:cs="Malgun Gothic"/>
                <w:color w:val="auto"/>
                <w:sz w:val="24"/>
                <w:szCs w:val="24"/>
                <w:highlight w:val="none"/>
                <w:lang w:eastAsia="zh-CN"/>
              </w:rPr>
              <w:t>。</w:t>
            </w:r>
          </w:p>
        </w:tc>
      </w:tr>
      <w:tr w14:paraId="75D8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22" w:type="dxa"/>
            <w:noWrap w:val="0"/>
            <w:vAlign w:val="center"/>
          </w:tcPr>
          <w:p w14:paraId="40A4A4C5">
            <w:pPr>
              <w:pStyle w:val="21"/>
              <w:ind w:firstLine="240" w:firstLineChars="100"/>
              <w:jc w:val="center"/>
              <w:rPr>
                <w:rFonts w:hint="eastAsia" w:hAnsi="宋体"/>
                <w:color w:val="auto"/>
                <w:sz w:val="24"/>
                <w:szCs w:val="24"/>
                <w:highlight w:val="none"/>
              </w:rPr>
            </w:pPr>
            <w:r>
              <w:rPr>
                <w:rFonts w:hint="eastAsia" w:hAnsi="宋体"/>
                <w:color w:val="auto"/>
                <w:sz w:val="24"/>
                <w:szCs w:val="24"/>
                <w:highlight w:val="none"/>
              </w:rPr>
              <w:t>2</w:t>
            </w:r>
          </w:p>
        </w:tc>
        <w:tc>
          <w:tcPr>
            <w:tcW w:w="7819" w:type="dxa"/>
            <w:noWrap w:val="0"/>
            <w:vAlign w:val="center"/>
          </w:tcPr>
          <w:p w14:paraId="334B539D">
            <w:pPr>
              <w:pStyle w:val="21"/>
              <w:rPr>
                <w:rFonts w:hint="eastAsia" w:hAnsi="宋体"/>
                <w:color w:val="auto"/>
                <w:sz w:val="24"/>
                <w:szCs w:val="24"/>
                <w:highlight w:val="none"/>
              </w:rPr>
            </w:pPr>
            <w:r>
              <w:rPr>
                <w:rFonts w:hint="eastAsia" w:hAnsi="宋体"/>
                <w:color w:val="auto"/>
                <w:sz w:val="24"/>
                <w:szCs w:val="24"/>
                <w:highlight w:val="none"/>
              </w:rPr>
              <w:t>定价方式：固定总价</w:t>
            </w:r>
          </w:p>
        </w:tc>
      </w:tr>
      <w:tr w14:paraId="0478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122" w:type="dxa"/>
            <w:noWrap w:val="0"/>
            <w:vAlign w:val="center"/>
          </w:tcPr>
          <w:p w14:paraId="4E65D9B4">
            <w:pPr>
              <w:pStyle w:val="21"/>
              <w:ind w:firstLine="240" w:firstLineChars="100"/>
              <w:jc w:val="center"/>
              <w:rPr>
                <w:rFonts w:hAnsi="宋体"/>
                <w:color w:val="auto"/>
                <w:sz w:val="24"/>
                <w:szCs w:val="24"/>
                <w:highlight w:val="none"/>
              </w:rPr>
            </w:pPr>
            <w:r>
              <w:rPr>
                <w:rFonts w:hAnsi="宋体"/>
                <w:color w:val="auto"/>
                <w:sz w:val="24"/>
                <w:szCs w:val="24"/>
                <w:highlight w:val="none"/>
              </w:rPr>
              <w:t>3</w:t>
            </w:r>
          </w:p>
        </w:tc>
        <w:tc>
          <w:tcPr>
            <w:tcW w:w="7819" w:type="dxa"/>
            <w:noWrap w:val="0"/>
            <w:vAlign w:val="center"/>
          </w:tcPr>
          <w:p w14:paraId="04D616EE">
            <w:pPr>
              <w:pStyle w:val="21"/>
              <w:rPr>
                <w:rFonts w:hint="eastAsia" w:hAnsi="宋体"/>
                <w:color w:val="auto"/>
                <w:sz w:val="24"/>
                <w:szCs w:val="24"/>
                <w:highlight w:val="none"/>
              </w:rPr>
            </w:pPr>
            <w:r>
              <w:rPr>
                <w:rFonts w:hint="eastAsia" w:hAnsi="宋体"/>
                <w:color w:val="auto"/>
                <w:sz w:val="24"/>
                <w:szCs w:val="24"/>
                <w:highlight w:val="none"/>
              </w:rPr>
              <w:t>付款方式：</w:t>
            </w:r>
          </w:p>
          <w:p w14:paraId="7885090E">
            <w:pPr>
              <w:spacing w:line="360" w:lineRule="auto"/>
              <w:jc w:val="both"/>
              <w:rPr>
                <w:rFonts w:hint="eastAsia" w:ascii="Times New Roman" w:hAnsi="宋体" w:eastAsia="宋体" w:cs="Times New Roman"/>
                <w:color w:val="auto"/>
                <w:sz w:val="24"/>
                <w:szCs w:val="24"/>
                <w:highlight w:val="none"/>
              </w:rPr>
            </w:pPr>
            <w:r>
              <w:rPr>
                <w:rFonts w:hint="eastAsia" w:ascii="Times New Roman" w:hAnsi="宋体" w:eastAsia="宋体" w:cs="Times New Roman"/>
                <w:color w:val="auto"/>
                <w:sz w:val="24"/>
                <w:szCs w:val="24"/>
                <w:highlight w:val="none"/>
              </w:rPr>
              <w:t>乙方收到中标通知书后10个工作日内，乙方向甲方提供相当于合同总价的10%的履约保证金（履约保证金形式：供应商自主选择以支票、汇票、本票、保函（保险）等非现金形式），合同生效后五个工作日内，甲方向乙方支付</w:t>
            </w:r>
            <w:r>
              <w:rPr>
                <w:rFonts w:hint="eastAsia" w:hAnsi="宋体" w:cs="Times New Roman"/>
                <w:color w:val="auto"/>
                <w:sz w:val="24"/>
                <w:szCs w:val="24"/>
                <w:highlight w:val="none"/>
                <w:lang w:eastAsia="zh-CN"/>
              </w:rPr>
              <w:t>合同价款</w:t>
            </w:r>
            <w:r>
              <w:rPr>
                <w:rFonts w:hint="eastAsia" w:ascii="Times New Roman" w:hAnsi="宋体" w:eastAsia="宋体" w:cs="Times New Roman"/>
                <w:color w:val="auto"/>
                <w:sz w:val="24"/>
                <w:szCs w:val="24"/>
                <w:highlight w:val="none"/>
              </w:rPr>
              <w:t>的30%的预付款，设备到货后支付60%，设备安装完成且经甲方验收合格后，乙方向甲方开具全额增值税发票，甲方收到发票后向乙方支付剩余合同总价款的10%。</w:t>
            </w:r>
          </w:p>
        </w:tc>
      </w:tr>
    </w:tbl>
    <w:p w14:paraId="64295E01">
      <w:pPr>
        <w:spacing w:after="240"/>
        <w:jc w:val="center"/>
        <w:rPr>
          <w:rFonts w:hint="eastAsia" w:ascii="宋体" w:hAnsi="宋体" w:cs="宋体"/>
          <w:b/>
          <w:bCs/>
          <w:color w:val="auto"/>
          <w:sz w:val="27"/>
          <w:szCs w:val="27"/>
          <w:highlight w:val="none"/>
        </w:rPr>
      </w:pPr>
      <w:r>
        <w:rPr>
          <w:rFonts w:hint="eastAsia" w:ascii="宋体" w:hAnsi="宋体" w:cs="宋体"/>
          <w:b/>
          <w:bCs/>
          <w:color w:val="auto"/>
          <w:sz w:val="27"/>
          <w:szCs w:val="27"/>
          <w:highlight w:val="none"/>
        </w:rPr>
        <w:t xml:space="preserve"> </w:t>
      </w:r>
    </w:p>
    <w:p w14:paraId="114F3093">
      <w:pPr>
        <w:spacing w:before="100" w:beforeAutospacing="1" w:after="100" w:afterAutospacing="1"/>
        <w:jc w:val="center"/>
        <w:rPr>
          <w:rFonts w:hint="eastAsia" w:ascii="宋体" w:hAnsi="宋体" w:cs="宋体"/>
          <w:b/>
          <w:bCs/>
          <w:color w:val="auto"/>
          <w:sz w:val="27"/>
          <w:szCs w:val="27"/>
          <w:highlight w:val="none"/>
        </w:rPr>
        <w:sectPr>
          <w:footerReference r:id="rId8" w:type="default"/>
          <w:pgSz w:w="11906" w:h="16838"/>
          <w:pgMar w:top="1191" w:right="1191" w:bottom="1191" w:left="1304" w:header="851" w:footer="992" w:gutter="0"/>
          <w:pgNumType w:fmt="numberInDash"/>
          <w:cols w:space="720" w:num="1"/>
          <w:docGrid w:type="lines" w:linePitch="312" w:charSpace="0"/>
        </w:sectPr>
      </w:pPr>
    </w:p>
    <w:p w14:paraId="444F11B2">
      <w:pPr>
        <w:jc w:val="center"/>
        <w:rPr>
          <w:rFonts w:ascii="宋体" w:hAnsi="宋体"/>
          <w:b/>
          <w:bCs/>
          <w:color w:val="auto"/>
          <w:sz w:val="24"/>
          <w:highlight w:val="none"/>
        </w:rPr>
      </w:pPr>
      <w:r>
        <w:rPr>
          <w:rFonts w:hint="eastAsia" w:ascii="宋体" w:hAnsi="宋体"/>
          <w:b/>
          <w:color w:val="auto"/>
          <w:sz w:val="24"/>
          <w:highlight w:val="none"/>
        </w:rPr>
        <w:t>（本合同内容仅供参考，甲乙双方可根据国家相关法律法规及本项目的情况另行约定）</w:t>
      </w:r>
    </w:p>
    <w:tbl>
      <w:tblPr>
        <w:tblStyle w:val="37"/>
        <w:tblW w:w="9877" w:type="dxa"/>
        <w:jc w:val="center"/>
        <w:tblLayout w:type="fixed"/>
        <w:tblCellMar>
          <w:top w:w="0" w:type="dxa"/>
          <w:left w:w="0" w:type="dxa"/>
          <w:bottom w:w="0" w:type="dxa"/>
          <w:right w:w="0" w:type="dxa"/>
        </w:tblCellMar>
      </w:tblPr>
      <w:tblGrid>
        <w:gridCol w:w="240"/>
        <w:gridCol w:w="1514"/>
        <w:gridCol w:w="8006"/>
        <w:gridCol w:w="117"/>
      </w:tblGrid>
      <w:tr w14:paraId="7DC152E7">
        <w:tblPrEx>
          <w:tblCellMar>
            <w:top w:w="0" w:type="dxa"/>
            <w:left w:w="0" w:type="dxa"/>
            <w:bottom w:w="0" w:type="dxa"/>
            <w:right w:w="0" w:type="dxa"/>
          </w:tblCellMar>
        </w:tblPrEx>
        <w:trPr>
          <w:jc w:val="center"/>
        </w:trPr>
        <w:tc>
          <w:tcPr>
            <w:tcW w:w="9877" w:type="dxa"/>
            <w:gridSpan w:val="4"/>
            <w:noWrap w:val="0"/>
            <w:vAlign w:val="center"/>
          </w:tcPr>
          <w:p w14:paraId="4E5D0EC3">
            <w:pPr>
              <w:widowControl/>
              <w:spacing w:after="240"/>
              <w:jc w:val="left"/>
              <w:rPr>
                <w:rFonts w:hint="eastAsia" w:ascii="ˎ̥" w:hAnsi="ˎ̥" w:eastAsia="宋体" w:cs="宋体"/>
                <w:color w:val="auto"/>
                <w:kern w:val="0"/>
                <w:sz w:val="18"/>
                <w:szCs w:val="18"/>
                <w:highlight w:val="none"/>
              </w:rPr>
            </w:pPr>
          </w:p>
          <w:p w14:paraId="4A898165">
            <w:pPr>
              <w:widowControl/>
              <w:spacing w:after="240"/>
              <w:jc w:val="left"/>
              <w:rPr>
                <w:rFonts w:hint="eastAsia" w:ascii="ˎ̥" w:hAnsi="ˎ̥" w:eastAsia="宋体" w:cs="宋体"/>
                <w:color w:val="auto"/>
                <w:kern w:val="0"/>
                <w:sz w:val="18"/>
                <w:szCs w:val="18"/>
                <w:highlight w:val="none"/>
              </w:rPr>
            </w:pPr>
          </w:p>
        </w:tc>
      </w:tr>
      <w:tr w14:paraId="080C8EA3">
        <w:tblPrEx>
          <w:tblCellMar>
            <w:top w:w="0" w:type="dxa"/>
            <w:left w:w="0" w:type="dxa"/>
            <w:bottom w:w="0" w:type="dxa"/>
            <w:right w:w="0" w:type="dxa"/>
          </w:tblCellMar>
        </w:tblPrEx>
        <w:trPr>
          <w:jc w:val="center"/>
        </w:trPr>
        <w:tc>
          <w:tcPr>
            <w:tcW w:w="9877" w:type="dxa"/>
            <w:gridSpan w:val="4"/>
            <w:noWrap w:val="0"/>
            <w:vAlign w:val="center"/>
          </w:tcPr>
          <w:p w14:paraId="582FF1F1">
            <w:pPr>
              <w:widowControl/>
              <w:spacing w:after="240"/>
              <w:jc w:val="left"/>
              <w:rPr>
                <w:rFonts w:hint="eastAsia" w:ascii="仿宋_GB2312" w:hAnsi="ˎ̥" w:eastAsia="仿宋_GB2312" w:cs="宋体"/>
                <w:color w:val="auto"/>
                <w:kern w:val="0"/>
                <w:sz w:val="24"/>
                <w:szCs w:val="24"/>
                <w:highlight w:val="none"/>
              </w:rPr>
            </w:pPr>
          </w:p>
          <w:p w14:paraId="6E86E10D">
            <w:pPr>
              <w:widowControl/>
              <w:spacing w:after="240"/>
              <w:jc w:val="left"/>
              <w:rPr>
                <w:rFonts w:hint="eastAsia" w:ascii="ˎ̥" w:hAnsi="ˎ̥" w:eastAsia="宋体" w:cs="宋体"/>
                <w:color w:val="auto"/>
                <w:kern w:val="0"/>
                <w:sz w:val="18"/>
                <w:szCs w:val="18"/>
                <w:highlight w:val="none"/>
              </w:rPr>
            </w:pPr>
          </w:p>
        </w:tc>
      </w:tr>
      <w:tr w14:paraId="77A06D0D">
        <w:tblPrEx>
          <w:tblCellMar>
            <w:top w:w="0" w:type="dxa"/>
            <w:left w:w="0" w:type="dxa"/>
            <w:bottom w:w="0" w:type="dxa"/>
            <w:right w:w="0" w:type="dxa"/>
          </w:tblCellMar>
        </w:tblPrEx>
        <w:trPr>
          <w:jc w:val="center"/>
        </w:trPr>
        <w:tc>
          <w:tcPr>
            <w:tcW w:w="9877" w:type="dxa"/>
            <w:gridSpan w:val="4"/>
            <w:noWrap w:val="0"/>
            <w:vAlign w:val="center"/>
          </w:tcPr>
          <w:p w14:paraId="32B3BDB0">
            <w:pPr>
              <w:spacing w:before="108" w:line="221" w:lineRule="auto"/>
              <w:jc w:val="center"/>
              <w:rPr>
                <w:rFonts w:ascii="微软雅黑" w:hAnsi="微软雅黑" w:eastAsia="微软雅黑" w:cs="微软雅黑"/>
                <w:color w:val="auto"/>
                <w:sz w:val="69"/>
                <w:szCs w:val="69"/>
                <w:highlight w:val="none"/>
              </w:rPr>
            </w:pPr>
            <w:bookmarkStart w:id="268" w:name="_Toc20090"/>
            <w:r>
              <w:rPr>
                <w:rFonts w:ascii="微软雅黑" w:hAnsi="微软雅黑" w:eastAsia="微软雅黑" w:cs="微软雅黑"/>
                <w:color w:val="auto"/>
                <w:spacing w:val="31"/>
                <w:position w:val="-3"/>
                <w:sz w:val="69"/>
                <w:szCs w:val="69"/>
                <w:highlight w:val="none"/>
              </w:rPr>
              <w:t>政府采购合同</w:t>
            </w:r>
            <w:bookmarkEnd w:id="268"/>
          </w:p>
          <w:p w14:paraId="424B2D9F">
            <w:pPr>
              <w:spacing w:line="294" w:lineRule="auto"/>
              <w:rPr>
                <w:rFonts w:ascii="Arial" w:hAnsi="Times New Roman" w:eastAsia="宋体" w:cs="Times New Roman"/>
                <w:color w:val="auto"/>
                <w:sz w:val="21"/>
                <w:highlight w:val="none"/>
              </w:rPr>
            </w:pPr>
          </w:p>
          <w:p w14:paraId="2A889CEE">
            <w:pPr>
              <w:spacing w:line="295" w:lineRule="auto"/>
              <w:rPr>
                <w:rFonts w:ascii="Arial" w:hAnsi="Times New Roman" w:eastAsia="宋体" w:cs="Times New Roman"/>
                <w:color w:val="auto"/>
                <w:sz w:val="21"/>
                <w:highlight w:val="none"/>
              </w:rPr>
            </w:pPr>
          </w:p>
          <w:p w14:paraId="2D1057EB">
            <w:pPr>
              <w:spacing w:before="108" w:line="221" w:lineRule="auto"/>
              <w:ind w:left="3745"/>
              <w:rPr>
                <w:rFonts w:ascii="黑体" w:hAnsi="黑体" w:eastAsia="黑体" w:cs="黑体"/>
                <w:color w:val="auto"/>
                <w:sz w:val="33"/>
                <w:szCs w:val="33"/>
                <w:highlight w:val="none"/>
              </w:rPr>
            </w:pPr>
            <w:r>
              <w:rPr>
                <w:rFonts w:ascii="黑体" w:hAnsi="黑体" w:eastAsia="黑体" w:cs="黑体"/>
                <w:color w:val="auto"/>
                <w:spacing w:val="-3"/>
                <w:sz w:val="33"/>
                <w:szCs w:val="33"/>
                <w:highlight w:val="none"/>
              </w:rPr>
              <w:t>(电子交易项目适用）</w:t>
            </w:r>
          </w:p>
          <w:p w14:paraId="3945706F">
            <w:pPr>
              <w:widowControl/>
              <w:spacing w:after="240"/>
              <w:jc w:val="center"/>
              <w:rPr>
                <w:rFonts w:hint="eastAsia" w:ascii="ˎ̥" w:hAnsi="ˎ̥" w:eastAsia="宋体" w:cs="宋体"/>
                <w:color w:val="auto"/>
                <w:kern w:val="0"/>
                <w:sz w:val="18"/>
                <w:szCs w:val="18"/>
                <w:highlight w:val="none"/>
              </w:rPr>
            </w:pPr>
          </w:p>
        </w:tc>
      </w:tr>
      <w:tr w14:paraId="60745D23">
        <w:tblPrEx>
          <w:tblCellMar>
            <w:top w:w="0" w:type="dxa"/>
            <w:left w:w="0" w:type="dxa"/>
            <w:bottom w:w="0" w:type="dxa"/>
            <w:right w:w="0" w:type="dxa"/>
          </w:tblCellMar>
        </w:tblPrEx>
        <w:trPr>
          <w:trHeight w:val="3200" w:hRule="atLeast"/>
          <w:jc w:val="center"/>
        </w:trPr>
        <w:tc>
          <w:tcPr>
            <w:tcW w:w="9877" w:type="dxa"/>
            <w:gridSpan w:val="4"/>
            <w:noWrap w:val="0"/>
            <w:vAlign w:val="center"/>
          </w:tcPr>
          <w:p w14:paraId="0662E89F">
            <w:pPr>
              <w:widowControl/>
              <w:spacing w:after="240"/>
              <w:ind w:firstLine="2850" w:firstLineChars="1500"/>
              <w:jc w:val="both"/>
              <w:rPr>
                <w:rFonts w:hint="eastAsia" w:ascii="宋体" w:hAnsi="宋体" w:eastAsia="宋体" w:cs="宋体"/>
                <w:color w:val="auto"/>
                <w:spacing w:val="-25"/>
                <w:sz w:val="24"/>
                <w:szCs w:val="24"/>
                <w:highlight w:val="none"/>
              </w:rPr>
            </w:pPr>
          </w:p>
          <w:p w14:paraId="37D7D011">
            <w:pPr>
              <w:widowControl/>
              <w:spacing w:after="240"/>
              <w:ind w:firstLine="2660" w:firstLineChars="1400"/>
              <w:jc w:val="both"/>
              <w:rPr>
                <w:rFonts w:hint="default" w:ascii="宋体" w:hAnsi="宋体" w:eastAsia="宋体" w:cs="宋体"/>
                <w:color w:val="auto"/>
                <w:kern w:val="0"/>
                <w:sz w:val="24"/>
                <w:szCs w:val="24"/>
                <w:highlight w:val="none"/>
                <w:u w:val="none"/>
                <w:lang w:val="en-US" w:eastAsia="zh-CN"/>
              </w:rPr>
            </w:pPr>
            <w:r>
              <w:rPr>
                <w:rFonts w:hint="eastAsia" w:ascii="宋体" w:hAnsi="宋体" w:eastAsia="宋体" w:cs="宋体"/>
                <w:color w:val="auto"/>
                <w:spacing w:val="-25"/>
                <w:sz w:val="24"/>
                <w:szCs w:val="24"/>
                <w:highlight w:val="none"/>
              </w:rPr>
              <w:t>项</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25"/>
                <w:sz w:val="24"/>
                <w:szCs w:val="24"/>
                <w:highlight w:val="none"/>
              </w:rPr>
              <w:t>目</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5"/>
                <w:sz w:val="24"/>
                <w:szCs w:val="24"/>
                <w:highlight w:val="none"/>
              </w:rPr>
              <w:t>名</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25"/>
                <w:sz w:val="24"/>
                <w:szCs w:val="24"/>
                <w:highlight w:val="none"/>
              </w:rPr>
              <w:t>称：</w:t>
            </w:r>
            <w:r>
              <w:rPr>
                <w:rFonts w:hint="eastAsia" w:ascii="宋体" w:hAnsi="宋体" w:eastAsia="宋体" w:cs="宋体"/>
                <w:color w:val="auto"/>
                <w:spacing w:val="-25"/>
                <w:sz w:val="24"/>
                <w:szCs w:val="24"/>
                <w:highlight w:val="none"/>
                <w:lang w:val="en-US" w:eastAsia="zh-CN"/>
              </w:rPr>
              <w:t xml:space="preserve">   </w:t>
            </w:r>
            <w:r>
              <w:rPr>
                <w:rFonts w:hint="eastAsia" w:ascii="宋体" w:hAnsi="宋体" w:eastAsia="宋体" w:cs="宋体"/>
                <w:color w:val="auto"/>
                <w:sz w:val="24"/>
                <w:szCs w:val="24"/>
                <w:highlight w:val="none"/>
                <w:u w:val="single"/>
              </w:rPr>
              <w:t>昆明医科大学第二附属医院</w:t>
            </w:r>
            <w:r>
              <w:rPr>
                <w:rFonts w:hint="eastAsia" w:ascii="宋体" w:hAnsi="宋体" w:eastAsia="宋体" w:cs="宋体"/>
                <w:b w:val="0"/>
                <w:bCs w:val="0"/>
                <w:color w:val="auto"/>
                <w:sz w:val="24"/>
                <w:szCs w:val="24"/>
                <w:highlight w:val="none"/>
                <w:u w:val="single"/>
                <w:lang w:val="en-US" w:eastAsia="zh-CN"/>
              </w:rPr>
              <w:t xml:space="preserve">      项目</w:t>
            </w:r>
            <w:r>
              <w:rPr>
                <w:rFonts w:hint="eastAsia" w:ascii="宋体" w:hAnsi="宋体" w:eastAsia="宋体" w:cs="宋体"/>
                <w:color w:val="auto"/>
                <w:sz w:val="24"/>
                <w:szCs w:val="24"/>
                <w:highlight w:val="none"/>
                <w:u w:val="none"/>
                <w:lang w:val="en-US" w:eastAsia="zh-CN"/>
              </w:rPr>
              <w:t xml:space="preserve">       </w:t>
            </w:r>
          </w:p>
          <w:tbl>
            <w:tblPr>
              <w:tblStyle w:val="104"/>
              <w:tblW w:w="10327" w:type="dxa"/>
              <w:tblInd w:w="101"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4228"/>
              <w:gridCol w:w="6099"/>
            </w:tblGrid>
            <w:tr w14:paraId="04DB4F8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937" w:hRule="atLeast"/>
              </w:trPr>
              <w:tc>
                <w:tcPr>
                  <w:tcW w:w="4228" w:type="dxa"/>
                  <w:noWrap w:val="0"/>
                  <w:vAlign w:val="top"/>
                </w:tcPr>
                <w:p w14:paraId="2DAD084F">
                  <w:pPr>
                    <w:pStyle w:val="103"/>
                    <w:spacing w:before="77" w:line="218" w:lineRule="auto"/>
                    <w:ind w:firstLine="2574" w:firstLineChars="1300"/>
                    <w:rPr>
                      <w:rFonts w:hint="eastAsia" w:ascii="宋体" w:hAnsi="宋体" w:eastAsia="宋体" w:cs="宋体"/>
                      <w:color w:val="auto"/>
                      <w:sz w:val="24"/>
                      <w:szCs w:val="24"/>
                      <w:highlight w:val="none"/>
                    </w:rPr>
                  </w:pPr>
                  <w:r>
                    <w:rPr>
                      <w:rFonts w:hint="eastAsia" w:ascii="宋体" w:hAnsi="宋体" w:eastAsia="宋体" w:cs="宋体"/>
                      <w:color w:val="auto"/>
                      <w:spacing w:val="-21"/>
                      <w:sz w:val="24"/>
                      <w:szCs w:val="24"/>
                      <w:highlight w:val="none"/>
                    </w:rPr>
                    <w:t>合</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1"/>
                      <w:sz w:val="24"/>
                      <w:szCs w:val="24"/>
                      <w:highlight w:val="none"/>
                    </w:rPr>
                    <w:t>同</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21"/>
                      <w:sz w:val="24"/>
                      <w:szCs w:val="24"/>
                      <w:highlight w:val="none"/>
                    </w:rPr>
                    <w:t>编</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1"/>
                      <w:sz w:val="24"/>
                      <w:szCs w:val="24"/>
                      <w:highlight w:val="none"/>
                    </w:rPr>
                    <w:t>号：</w:t>
                  </w:r>
                </w:p>
              </w:tc>
              <w:tc>
                <w:tcPr>
                  <w:tcW w:w="6099" w:type="dxa"/>
                  <w:noWrap w:val="0"/>
                  <w:vAlign w:val="top"/>
                </w:tcPr>
                <w:p w14:paraId="2899EDB6">
                  <w:pPr>
                    <w:spacing w:before="71" w:line="217" w:lineRule="auto"/>
                    <w:ind w:right="208"/>
                    <w:rPr>
                      <w:rFonts w:hint="eastAsia" w:ascii="宋体" w:hAnsi="宋体" w:eastAsia="宋体" w:cs="宋体"/>
                      <w:color w:val="auto"/>
                      <w:spacing w:val="-15"/>
                      <w:sz w:val="24"/>
                      <w:szCs w:val="24"/>
                      <w:highlight w:val="none"/>
                    </w:rPr>
                  </w:pPr>
                </w:p>
                <w:p w14:paraId="062793F7">
                  <w:pPr>
                    <w:spacing w:before="71" w:line="217" w:lineRule="auto"/>
                    <w:ind w:right="208"/>
                    <w:rPr>
                      <w:rFonts w:hint="eastAsia" w:ascii="宋体" w:hAnsi="宋体" w:eastAsia="宋体" w:cs="宋体"/>
                      <w:color w:val="auto"/>
                      <w:spacing w:val="-15"/>
                      <w:sz w:val="24"/>
                      <w:szCs w:val="24"/>
                      <w:highlight w:val="none"/>
                    </w:rPr>
                  </w:pPr>
                </w:p>
                <w:p w14:paraId="359BB18B">
                  <w:pPr>
                    <w:spacing w:before="71" w:line="217" w:lineRule="auto"/>
                    <w:ind w:right="208"/>
                    <w:rPr>
                      <w:rFonts w:hint="eastAsia" w:ascii="宋体" w:hAnsi="宋体" w:eastAsia="宋体" w:cs="宋体"/>
                      <w:color w:val="auto"/>
                      <w:spacing w:val="-1"/>
                      <w:sz w:val="24"/>
                      <w:szCs w:val="24"/>
                      <w:highlight w:val="none"/>
                      <w:u w:val="single" w:color="auto"/>
                    </w:rPr>
                  </w:pP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15"/>
                      <w:sz w:val="24"/>
                      <w:szCs w:val="24"/>
                      <w:highlight w:val="none"/>
                    </w:rPr>
                    <w:t>自编号</w:t>
                  </w:r>
                  <w:r>
                    <w:rPr>
                      <w:rFonts w:hint="eastAsia" w:ascii="宋体" w:hAnsi="宋体" w:eastAsia="宋体" w:cs="宋体"/>
                      <w:color w:val="auto"/>
                      <w:spacing w:val="-15"/>
                      <w:sz w:val="24"/>
                      <w:szCs w:val="24"/>
                      <w:highlight w:val="none"/>
                      <w:lang w:eastAsia="zh-CN"/>
                    </w:rPr>
                    <w:t>：</w:t>
                  </w:r>
                  <w:r>
                    <w:rPr>
                      <w:rFonts w:hint="eastAsia" w:ascii="宋体" w:hAnsi="宋体" w:cs="宋体"/>
                      <w:color w:val="auto"/>
                      <w:spacing w:val="-15"/>
                      <w:sz w:val="24"/>
                      <w:szCs w:val="24"/>
                      <w:highlight w:val="none"/>
                      <w:lang w:val="en-US" w:eastAsia="zh-CN"/>
                    </w:rPr>
                    <w:t xml:space="preserve">           </w:t>
                  </w:r>
                  <w:r>
                    <w:rPr>
                      <w:rFonts w:hint="eastAsia" w:ascii="宋体" w:hAnsi="宋体" w:eastAsia="宋体" w:cs="宋体"/>
                      <w:color w:val="auto"/>
                      <w:spacing w:val="-15"/>
                      <w:sz w:val="24"/>
                      <w:szCs w:val="24"/>
                      <w:highlight w:val="none"/>
                    </w:rPr>
                    <w:t>）</w:t>
                  </w:r>
                </w:p>
              </w:tc>
            </w:tr>
          </w:tbl>
          <w:p w14:paraId="2CB16EB5">
            <w:pPr>
              <w:widowControl/>
              <w:spacing w:after="240"/>
              <w:jc w:val="center"/>
              <w:rPr>
                <w:rFonts w:hint="eastAsia" w:ascii="ˎ̥" w:hAnsi="ˎ̥" w:eastAsia="宋体" w:cs="宋体"/>
                <w:color w:val="auto"/>
                <w:kern w:val="0"/>
                <w:sz w:val="18"/>
                <w:szCs w:val="18"/>
                <w:highlight w:val="none"/>
              </w:rPr>
            </w:pPr>
          </w:p>
        </w:tc>
      </w:tr>
      <w:tr w14:paraId="3447E167">
        <w:tblPrEx>
          <w:tblCellMar>
            <w:top w:w="0" w:type="dxa"/>
            <w:left w:w="0" w:type="dxa"/>
            <w:bottom w:w="0" w:type="dxa"/>
            <w:right w:w="0" w:type="dxa"/>
          </w:tblCellMar>
        </w:tblPrEx>
        <w:trPr>
          <w:trHeight w:val="4559" w:hRule="atLeast"/>
          <w:jc w:val="center"/>
        </w:trPr>
        <w:tc>
          <w:tcPr>
            <w:tcW w:w="9877" w:type="dxa"/>
            <w:gridSpan w:val="4"/>
            <w:noWrap w:val="0"/>
            <w:vAlign w:val="center"/>
          </w:tcPr>
          <w:p w14:paraId="087EB6C1">
            <w:pPr>
              <w:pStyle w:val="103"/>
              <w:spacing w:before="80" w:line="218" w:lineRule="auto"/>
              <w:ind w:left="1720"/>
              <w:rPr>
                <w:color w:val="auto"/>
                <w:spacing w:val="-25"/>
                <w:highlight w:val="none"/>
              </w:rPr>
            </w:pPr>
          </w:p>
          <w:tbl>
            <w:tblPr>
              <w:tblStyle w:val="104"/>
              <w:tblW w:w="10327" w:type="dxa"/>
              <w:tblInd w:w="101"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0" w:type="dxa"/>
                <w:bottom w:w="0" w:type="dxa"/>
                <w:right w:w="0" w:type="dxa"/>
              </w:tblCellMar>
            </w:tblPr>
            <w:tblGrid>
              <w:gridCol w:w="4228"/>
              <w:gridCol w:w="6099"/>
            </w:tblGrid>
            <w:tr w14:paraId="0DC4A00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541" w:hRule="atLeast"/>
              </w:trPr>
              <w:tc>
                <w:tcPr>
                  <w:tcW w:w="4228" w:type="dxa"/>
                  <w:noWrap w:val="0"/>
                  <w:vAlign w:val="top"/>
                </w:tcPr>
                <w:p w14:paraId="10DEF325">
                  <w:pPr>
                    <w:pStyle w:val="103"/>
                    <w:spacing w:before="80" w:line="218" w:lineRule="auto"/>
                    <w:ind w:left="1720"/>
                    <w:rPr>
                      <w:rFonts w:hint="eastAsia" w:ascii="宋体" w:hAnsi="宋体" w:eastAsia="宋体" w:cs="宋体"/>
                      <w:color w:val="auto"/>
                      <w:spacing w:val="-25"/>
                      <w:sz w:val="28"/>
                      <w:szCs w:val="28"/>
                      <w:highlight w:val="none"/>
                    </w:rPr>
                  </w:pPr>
                </w:p>
                <w:p w14:paraId="74DC4B2A">
                  <w:pPr>
                    <w:pStyle w:val="103"/>
                    <w:spacing w:before="80" w:line="218" w:lineRule="auto"/>
                    <w:ind w:firstLine="2530" w:firstLineChars="1100"/>
                    <w:rPr>
                      <w:rFonts w:hint="eastAsia" w:ascii="宋体" w:hAnsi="宋体" w:eastAsia="宋体" w:cs="宋体"/>
                      <w:color w:val="auto"/>
                      <w:sz w:val="28"/>
                      <w:szCs w:val="28"/>
                      <w:highlight w:val="none"/>
                    </w:rPr>
                  </w:pPr>
                  <w:r>
                    <w:rPr>
                      <w:rFonts w:hint="eastAsia" w:ascii="宋体" w:hAnsi="宋体" w:eastAsia="宋体" w:cs="宋体"/>
                      <w:color w:val="auto"/>
                      <w:spacing w:val="-25"/>
                      <w:sz w:val="28"/>
                      <w:szCs w:val="28"/>
                      <w:highlight w:val="none"/>
                    </w:rPr>
                    <w:t>甲</w:t>
                  </w:r>
                  <w:r>
                    <w:rPr>
                      <w:rFonts w:hint="eastAsia" w:ascii="宋体" w:hAnsi="宋体" w:eastAsia="宋体" w:cs="宋体"/>
                      <w:color w:val="auto"/>
                      <w:spacing w:val="4"/>
                      <w:sz w:val="28"/>
                      <w:szCs w:val="28"/>
                      <w:highlight w:val="none"/>
                    </w:rPr>
                    <w:t xml:space="preserve">       </w:t>
                  </w:r>
                  <w:r>
                    <w:rPr>
                      <w:rFonts w:hint="eastAsia" w:ascii="宋体" w:hAnsi="宋体" w:eastAsia="宋体" w:cs="宋体"/>
                      <w:color w:val="auto"/>
                      <w:spacing w:val="-25"/>
                      <w:sz w:val="28"/>
                      <w:szCs w:val="28"/>
                      <w:highlight w:val="none"/>
                    </w:rPr>
                    <w:t>方：</w:t>
                  </w:r>
                </w:p>
              </w:tc>
              <w:tc>
                <w:tcPr>
                  <w:tcW w:w="6099" w:type="dxa"/>
                  <w:noWrap w:val="0"/>
                  <w:vAlign w:val="top"/>
                </w:tcPr>
                <w:p w14:paraId="00025FD0">
                  <w:pPr>
                    <w:spacing w:before="77" w:line="222" w:lineRule="auto"/>
                    <w:rPr>
                      <w:rFonts w:hint="eastAsia" w:ascii="宋体" w:hAnsi="宋体" w:eastAsia="宋体" w:cs="宋体"/>
                      <w:color w:val="auto"/>
                      <w:spacing w:val="-6"/>
                      <w:sz w:val="28"/>
                      <w:szCs w:val="28"/>
                      <w:highlight w:val="none"/>
                      <w:u w:val="single" w:color="auto"/>
                    </w:rPr>
                  </w:pPr>
                </w:p>
                <w:p w14:paraId="2DE402FB">
                  <w:pPr>
                    <w:spacing w:before="77" w:line="222" w:lineRule="auto"/>
                    <w:rPr>
                      <w:rFonts w:hint="eastAsia" w:ascii="宋体" w:hAnsi="宋体" w:eastAsia="宋体" w:cs="宋体"/>
                      <w:color w:val="auto"/>
                      <w:sz w:val="28"/>
                      <w:szCs w:val="28"/>
                      <w:highlight w:val="none"/>
                    </w:rPr>
                  </w:pPr>
                  <w:r>
                    <w:rPr>
                      <w:rFonts w:hint="eastAsia" w:ascii="宋体" w:hAnsi="宋体" w:eastAsia="宋体" w:cs="宋体"/>
                      <w:color w:val="auto"/>
                      <w:spacing w:val="-6"/>
                      <w:sz w:val="28"/>
                      <w:szCs w:val="28"/>
                      <w:highlight w:val="none"/>
                      <w:u w:val="single" w:color="auto"/>
                    </w:rPr>
                    <w:t>昆明医科大学第二附属医院</w:t>
                  </w:r>
                </w:p>
              </w:tc>
            </w:tr>
            <w:tr w14:paraId="64D6823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50" w:hRule="atLeast"/>
              </w:trPr>
              <w:tc>
                <w:tcPr>
                  <w:tcW w:w="4228" w:type="dxa"/>
                  <w:noWrap w:val="0"/>
                  <w:vAlign w:val="top"/>
                </w:tcPr>
                <w:p w14:paraId="66DE5734">
                  <w:pPr>
                    <w:rPr>
                      <w:rFonts w:hint="eastAsia" w:ascii="宋体" w:hAnsi="宋体" w:eastAsia="宋体" w:cs="宋体"/>
                      <w:color w:val="auto"/>
                      <w:sz w:val="28"/>
                      <w:szCs w:val="28"/>
                      <w:highlight w:val="none"/>
                    </w:rPr>
                  </w:pPr>
                </w:p>
              </w:tc>
              <w:tc>
                <w:tcPr>
                  <w:tcW w:w="6099" w:type="dxa"/>
                  <w:noWrap w:val="0"/>
                  <w:vAlign w:val="top"/>
                </w:tcPr>
                <w:p w14:paraId="5356D476">
                  <w:pPr>
                    <w:rPr>
                      <w:rFonts w:hint="eastAsia" w:ascii="宋体" w:hAnsi="宋体" w:eastAsia="宋体" w:cs="宋体"/>
                      <w:color w:val="auto"/>
                      <w:sz w:val="28"/>
                      <w:szCs w:val="28"/>
                      <w:highlight w:val="none"/>
                    </w:rPr>
                  </w:pPr>
                </w:p>
              </w:tc>
            </w:tr>
            <w:tr w14:paraId="2764F1C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673" w:hRule="atLeast"/>
              </w:trPr>
              <w:tc>
                <w:tcPr>
                  <w:tcW w:w="4228" w:type="dxa"/>
                  <w:noWrap w:val="0"/>
                  <w:vAlign w:val="top"/>
                </w:tcPr>
                <w:p w14:paraId="72416FFE">
                  <w:pPr>
                    <w:pStyle w:val="103"/>
                    <w:spacing w:before="81" w:line="218" w:lineRule="auto"/>
                    <w:ind w:firstLine="2530" w:firstLineChars="1100"/>
                    <w:rPr>
                      <w:rFonts w:hint="eastAsia" w:ascii="宋体" w:hAnsi="宋体" w:eastAsia="宋体" w:cs="宋体"/>
                      <w:color w:val="auto"/>
                      <w:sz w:val="28"/>
                      <w:szCs w:val="28"/>
                      <w:highlight w:val="none"/>
                    </w:rPr>
                  </w:pPr>
                  <w:r>
                    <w:rPr>
                      <w:rFonts w:hint="eastAsia" w:ascii="宋体" w:hAnsi="宋体" w:eastAsia="宋体" w:cs="宋体"/>
                      <w:color w:val="auto"/>
                      <w:spacing w:val="-25"/>
                      <w:sz w:val="28"/>
                      <w:szCs w:val="28"/>
                      <w:highlight w:val="none"/>
                    </w:rPr>
                    <w:t>乙</w:t>
                  </w:r>
                  <w:r>
                    <w:rPr>
                      <w:rFonts w:hint="eastAsia" w:ascii="宋体" w:hAnsi="宋体" w:eastAsia="宋体" w:cs="宋体"/>
                      <w:color w:val="auto"/>
                      <w:spacing w:val="4"/>
                      <w:sz w:val="28"/>
                      <w:szCs w:val="28"/>
                      <w:highlight w:val="none"/>
                    </w:rPr>
                    <w:t xml:space="preserve">       </w:t>
                  </w:r>
                  <w:r>
                    <w:rPr>
                      <w:rFonts w:hint="eastAsia" w:ascii="宋体" w:hAnsi="宋体" w:eastAsia="宋体" w:cs="宋体"/>
                      <w:color w:val="auto"/>
                      <w:spacing w:val="-25"/>
                      <w:sz w:val="28"/>
                      <w:szCs w:val="28"/>
                      <w:highlight w:val="none"/>
                    </w:rPr>
                    <w:t>方：</w:t>
                  </w:r>
                </w:p>
              </w:tc>
              <w:tc>
                <w:tcPr>
                  <w:tcW w:w="6099" w:type="dxa"/>
                  <w:noWrap w:val="0"/>
                  <w:vAlign w:val="top"/>
                </w:tcPr>
                <w:p w14:paraId="45137DB7">
                  <w:pPr>
                    <w:spacing w:before="78" w:line="221" w:lineRule="auto"/>
                    <w:ind w:left="147"/>
                    <w:rPr>
                      <w:rFonts w:hint="eastAsia" w:ascii="宋体" w:hAnsi="宋体" w:eastAsia="宋体" w:cs="宋体"/>
                      <w:color w:val="auto"/>
                      <w:sz w:val="28"/>
                      <w:szCs w:val="28"/>
                      <w:highlight w:val="none"/>
                      <w:lang w:val="en-US" w:eastAsia="zh-CN"/>
                    </w:rPr>
                  </w:pPr>
                  <w:r>
                    <w:rPr>
                      <w:rFonts w:hint="eastAsia" w:ascii="宋体" w:hAnsi="宋体" w:cs="宋体"/>
                      <w:color w:val="auto"/>
                      <w:sz w:val="28"/>
                      <w:szCs w:val="28"/>
                      <w:highlight w:val="none"/>
                      <w:lang w:val="en-US" w:eastAsia="zh-CN"/>
                    </w:rPr>
                    <w:t xml:space="preserve"> </w:t>
                  </w:r>
                </w:p>
              </w:tc>
            </w:tr>
          </w:tbl>
          <w:p w14:paraId="52FFC144">
            <w:pPr>
              <w:widowControl/>
              <w:spacing w:after="240"/>
              <w:ind w:firstLine="3300" w:firstLineChars="1100"/>
              <w:rPr>
                <w:rFonts w:hint="eastAsia" w:ascii="ˎ̥" w:hAnsi="ˎ̥" w:eastAsia="宋体" w:cs="宋体"/>
                <w:color w:val="auto"/>
                <w:kern w:val="0"/>
                <w:sz w:val="30"/>
                <w:szCs w:val="30"/>
                <w:highlight w:val="none"/>
              </w:rPr>
            </w:pPr>
          </w:p>
        </w:tc>
      </w:tr>
      <w:tr w14:paraId="46BB2BED">
        <w:tblPrEx>
          <w:tblCellMar>
            <w:top w:w="0" w:type="dxa"/>
            <w:left w:w="0" w:type="dxa"/>
            <w:bottom w:w="0" w:type="dxa"/>
            <w:right w:w="0" w:type="dxa"/>
          </w:tblCellMar>
        </w:tblPrEx>
        <w:trPr>
          <w:trHeight w:val="488" w:hRule="atLeast"/>
          <w:jc w:val="center"/>
        </w:trPr>
        <w:tc>
          <w:tcPr>
            <w:tcW w:w="9877" w:type="dxa"/>
            <w:gridSpan w:val="4"/>
            <w:noWrap w:val="0"/>
            <w:vAlign w:val="center"/>
          </w:tcPr>
          <w:p w14:paraId="6EDF01E5">
            <w:pPr>
              <w:widowControl/>
              <w:spacing w:before="100" w:beforeAutospacing="1" w:after="100" w:afterAutospacing="1"/>
              <w:jc w:val="both"/>
              <w:rPr>
                <w:rFonts w:ascii="楷体_GB2312" w:hAnsi="ˎ̥" w:eastAsia="楷体_GB2312" w:cs="宋体"/>
                <w:b/>
                <w:bCs/>
                <w:color w:val="auto"/>
                <w:kern w:val="0"/>
                <w:sz w:val="30"/>
                <w:szCs w:val="30"/>
                <w:highlight w:val="none"/>
              </w:rPr>
            </w:pPr>
          </w:p>
        </w:tc>
      </w:tr>
      <w:tr w14:paraId="58F61F6A">
        <w:tblPrEx>
          <w:tblCellMar>
            <w:top w:w="0" w:type="dxa"/>
            <w:left w:w="0" w:type="dxa"/>
            <w:bottom w:w="0" w:type="dxa"/>
            <w:right w:w="0" w:type="dxa"/>
          </w:tblCellMar>
        </w:tblPrEx>
        <w:trPr>
          <w:trHeight w:val="626" w:hRule="atLeast"/>
          <w:jc w:val="center"/>
        </w:trPr>
        <w:tc>
          <w:tcPr>
            <w:tcW w:w="9877" w:type="dxa"/>
            <w:gridSpan w:val="4"/>
            <w:noWrap w:val="0"/>
            <w:vAlign w:val="center"/>
          </w:tcPr>
          <w:p w14:paraId="0FEAD5ED">
            <w:pPr>
              <w:widowControl/>
              <w:spacing w:after="24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甲方（采购人公章）名称：</w:t>
            </w:r>
            <w:r>
              <w:rPr>
                <w:rFonts w:hint="eastAsia" w:ascii="宋体" w:hAnsi="宋体" w:eastAsia="宋体" w:cs="Tahoma"/>
                <w:color w:val="auto"/>
                <w:sz w:val="24"/>
                <w:highlight w:val="none"/>
              </w:rPr>
              <w:t>昆明医科大学第二附属医院</w:t>
            </w:r>
          </w:p>
        </w:tc>
      </w:tr>
      <w:tr w14:paraId="12788B3A">
        <w:tblPrEx>
          <w:tblCellMar>
            <w:top w:w="0" w:type="dxa"/>
            <w:left w:w="0" w:type="dxa"/>
            <w:bottom w:w="0" w:type="dxa"/>
            <w:right w:w="0" w:type="dxa"/>
          </w:tblCellMar>
        </w:tblPrEx>
        <w:trPr>
          <w:jc w:val="center"/>
        </w:trPr>
        <w:tc>
          <w:tcPr>
            <w:tcW w:w="1754" w:type="dxa"/>
            <w:gridSpan w:val="2"/>
            <w:noWrap w:val="0"/>
            <w:vAlign w:val="center"/>
          </w:tcPr>
          <w:p w14:paraId="0E1D9DDA">
            <w:pPr>
              <w:widowControl/>
              <w:spacing w:line="240" w:lineRule="auto"/>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p>
        </w:tc>
        <w:tc>
          <w:tcPr>
            <w:tcW w:w="8123" w:type="dxa"/>
            <w:gridSpan w:val="2"/>
            <w:noWrap w:val="0"/>
            <w:vAlign w:val="center"/>
          </w:tcPr>
          <w:p w14:paraId="669842D4">
            <w:pPr>
              <w:widowControl/>
              <w:spacing w:after="240" w:line="240" w:lineRule="auto"/>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地址：</w:t>
            </w:r>
            <w:r>
              <w:rPr>
                <w:rFonts w:hint="eastAsia" w:ascii="宋体" w:hAnsi="宋体" w:eastAsia="宋体" w:cs="Tahoma"/>
                <w:color w:val="auto"/>
                <w:sz w:val="24"/>
                <w:highlight w:val="none"/>
              </w:rPr>
              <w:t>昆明市滇缅大道374号</w:t>
            </w:r>
          </w:p>
        </w:tc>
      </w:tr>
      <w:tr w14:paraId="79F5C864">
        <w:tblPrEx>
          <w:tblCellMar>
            <w:top w:w="0" w:type="dxa"/>
            <w:left w:w="0" w:type="dxa"/>
            <w:bottom w:w="0" w:type="dxa"/>
            <w:right w:w="0" w:type="dxa"/>
          </w:tblCellMar>
        </w:tblPrEx>
        <w:trPr>
          <w:jc w:val="center"/>
        </w:trPr>
        <w:tc>
          <w:tcPr>
            <w:tcW w:w="1754" w:type="dxa"/>
            <w:gridSpan w:val="2"/>
            <w:noWrap w:val="0"/>
            <w:vAlign w:val="center"/>
          </w:tcPr>
          <w:p w14:paraId="5B95816D">
            <w:pPr>
              <w:widowControl/>
              <w:spacing w:line="240" w:lineRule="auto"/>
              <w:jc w:val="left"/>
              <w:rPr>
                <w:rFonts w:ascii="宋体" w:hAnsi="宋体" w:eastAsia="宋体" w:cs="宋体"/>
                <w:color w:val="auto"/>
                <w:kern w:val="0"/>
                <w:sz w:val="24"/>
                <w:szCs w:val="24"/>
                <w:highlight w:val="none"/>
              </w:rPr>
            </w:pPr>
          </w:p>
        </w:tc>
        <w:tc>
          <w:tcPr>
            <w:tcW w:w="8123" w:type="dxa"/>
            <w:gridSpan w:val="2"/>
            <w:noWrap w:val="0"/>
            <w:vAlign w:val="center"/>
          </w:tcPr>
          <w:p w14:paraId="240B7BF1">
            <w:pPr>
              <w:widowControl/>
              <w:spacing w:after="240" w:line="240" w:lineRule="auto"/>
              <w:ind w:firstLine="480" w:firstLineChars="200"/>
              <w:jc w:val="lef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邮编：650101</w:t>
            </w:r>
          </w:p>
        </w:tc>
      </w:tr>
      <w:tr w14:paraId="21F4F730">
        <w:tblPrEx>
          <w:tblCellMar>
            <w:top w:w="0" w:type="dxa"/>
            <w:left w:w="0" w:type="dxa"/>
            <w:bottom w:w="0" w:type="dxa"/>
            <w:right w:w="0" w:type="dxa"/>
          </w:tblCellMar>
        </w:tblPrEx>
        <w:trPr>
          <w:jc w:val="center"/>
        </w:trPr>
        <w:tc>
          <w:tcPr>
            <w:tcW w:w="1754" w:type="dxa"/>
            <w:gridSpan w:val="2"/>
            <w:noWrap w:val="0"/>
            <w:vAlign w:val="center"/>
          </w:tcPr>
          <w:p w14:paraId="24940A4A">
            <w:pPr>
              <w:widowControl/>
              <w:spacing w:line="240" w:lineRule="auto"/>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p>
        </w:tc>
        <w:tc>
          <w:tcPr>
            <w:tcW w:w="8123" w:type="dxa"/>
            <w:gridSpan w:val="2"/>
            <w:noWrap w:val="0"/>
            <w:vAlign w:val="center"/>
          </w:tcPr>
          <w:p w14:paraId="7EEF598C">
            <w:pPr>
              <w:widowControl/>
              <w:spacing w:after="240" w:line="240" w:lineRule="auto"/>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法定代表人或委托代理人：</w:t>
            </w:r>
          </w:p>
        </w:tc>
      </w:tr>
      <w:tr w14:paraId="65B729CE">
        <w:tblPrEx>
          <w:tblCellMar>
            <w:top w:w="0" w:type="dxa"/>
            <w:left w:w="0" w:type="dxa"/>
            <w:bottom w:w="0" w:type="dxa"/>
            <w:right w:w="0" w:type="dxa"/>
          </w:tblCellMar>
        </w:tblPrEx>
        <w:trPr>
          <w:jc w:val="center"/>
        </w:trPr>
        <w:tc>
          <w:tcPr>
            <w:tcW w:w="1754" w:type="dxa"/>
            <w:gridSpan w:val="2"/>
            <w:noWrap w:val="0"/>
            <w:vAlign w:val="center"/>
          </w:tcPr>
          <w:p w14:paraId="7E024FF7">
            <w:pPr>
              <w:widowControl/>
              <w:spacing w:line="240" w:lineRule="auto"/>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p>
        </w:tc>
        <w:tc>
          <w:tcPr>
            <w:tcW w:w="8123" w:type="dxa"/>
            <w:gridSpan w:val="2"/>
            <w:noWrap w:val="0"/>
            <w:vAlign w:val="center"/>
          </w:tcPr>
          <w:p w14:paraId="7B89A640">
            <w:pPr>
              <w:widowControl/>
              <w:spacing w:after="240" w:line="240" w:lineRule="auto"/>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项目（技术）负责人：</w:t>
            </w:r>
          </w:p>
        </w:tc>
      </w:tr>
      <w:tr w14:paraId="44DFDB92">
        <w:tblPrEx>
          <w:tblCellMar>
            <w:top w:w="0" w:type="dxa"/>
            <w:left w:w="0" w:type="dxa"/>
            <w:bottom w:w="0" w:type="dxa"/>
            <w:right w:w="0" w:type="dxa"/>
          </w:tblCellMar>
        </w:tblPrEx>
        <w:trPr>
          <w:jc w:val="center"/>
        </w:trPr>
        <w:tc>
          <w:tcPr>
            <w:tcW w:w="1754" w:type="dxa"/>
            <w:gridSpan w:val="2"/>
            <w:noWrap w:val="0"/>
            <w:vAlign w:val="center"/>
          </w:tcPr>
          <w:p w14:paraId="5B0C1327">
            <w:pPr>
              <w:widowControl/>
              <w:spacing w:line="240" w:lineRule="auto"/>
              <w:jc w:val="left"/>
              <w:rPr>
                <w:rFonts w:ascii="宋体" w:hAnsi="宋体" w:eastAsia="宋体" w:cs="宋体"/>
                <w:color w:val="auto"/>
                <w:kern w:val="0"/>
                <w:sz w:val="24"/>
                <w:szCs w:val="24"/>
                <w:highlight w:val="none"/>
              </w:rPr>
            </w:pPr>
          </w:p>
        </w:tc>
        <w:tc>
          <w:tcPr>
            <w:tcW w:w="8123" w:type="dxa"/>
            <w:gridSpan w:val="2"/>
            <w:noWrap w:val="0"/>
            <w:vAlign w:val="center"/>
          </w:tcPr>
          <w:p w14:paraId="2F94C91F">
            <w:pPr>
              <w:widowControl/>
              <w:spacing w:after="240" w:line="240" w:lineRule="auto"/>
              <w:ind w:firstLine="480" w:firstLineChars="200"/>
              <w:jc w:val="lef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电话：</w:t>
            </w:r>
            <w:r>
              <w:rPr>
                <w:rFonts w:hint="eastAsia" w:ascii="宋体" w:hAnsi="宋体" w:eastAsia="宋体" w:cs="宋体"/>
                <w:color w:val="auto"/>
                <w:kern w:val="0"/>
                <w:sz w:val="24"/>
                <w:szCs w:val="24"/>
                <w:highlight w:val="none"/>
                <w:lang w:val="en-US" w:eastAsia="zh-CN"/>
              </w:rPr>
              <w:t>0871-63402279</w:t>
            </w:r>
          </w:p>
        </w:tc>
      </w:tr>
      <w:tr w14:paraId="0D1CE8E2">
        <w:tblPrEx>
          <w:tblCellMar>
            <w:top w:w="0" w:type="dxa"/>
            <w:left w:w="0" w:type="dxa"/>
            <w:bottom w:w="0" w:type="dxa"/>
            <w:right w:w="0" w:type="dxa"/>
          </w:tblCellMar>
        </w:tblPrEx>
        <w:trPr>
          <w:jc w:val="center"/>
        </w:trPr>
        <w:tc>
          <w:tcPr>
            <w:tcW w:w="1754" w:type="dxa"/>
            <w:gridSpan w:val="2"/>
            <w:noWrap w:val="0"/>
            <w:vAlign w:val="center"/>
          </w:tcPr>
          <w:p w14:paraId="458ECBA8">
            <w:pPr>
              <w:widowControl/>
              <w:spacing w:line="240" w:lineRule="auto"/>
              <w:jc w:val="left"/>
              <w:rPr>
                <w:rFonts w:ascii="宋体" w:hAnsi="宋体" w:eastAsia="宋体" w:cs="宋体"/>
                <w:color w:val="auto"/>
                <w:kern w:val="0"/>
                <w:sz w:val="24"/>
                <w:szCs w:val="24"/>
                <w:highlight w:val="none"/>
              </w:rPr>
            </w:pPr>
          </w:p>
        </w:tc>
        <w:tc>
          <w:tcPr>
            <w:tcW w:w="8123" w:type="dxa"/>
            <w:gridSpan w:val="2"/>
            <w:noWrap w:val="0"/>
            <w:vAlign w:val="center"/>
          </w:tcPr>
          <w:p w14:paraId="75974FD5">
            <w:pPr>
              <w:widowControl/>
              <w:spacing w:after="240" w:line="24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Tahoma"/>
                <w:color w:val="auto"/>
                <w:sz w:val="24"/>
                <w:highlight w:val="none"/>
              </w:rPr>
              <w:t>开户银行：建行昆明市环城西路支行</w:t>
            </w:r>
          </w:p>
        </w:tc>
      </w:tr>
      <w:tr w14:paraId="20F2B9CA">
        <w:tblPrEx>
          <w:tblCellMar>
            <w:top w:w="0" w:type="dxa"/>
            <w:left w:w="0" w:type="dxa"/>
            <w:bottom w:w="0" w:type="dxa"/>
            <w:right w:w="0" w:type="dxa"/>
          </w:tblCellMar>
        </w:tblPrEx>
        <w:trPr>
          <w:trHeight w:val="229" w:hRule="atLeast"/>
          <w:jc w:val="center"/>
        </w:trPr>
        <w:tc>
          <w:tcPr>
            <w:tcW w:w="1754" w:type="dxa"/>
            <w:gridSpan w:val="2"/>
            <w:noWrap w:val="0"/>
            <w:vAlign w:val="center"/>
          </w:tcPr>
          <w:p w14:paraId="4C586B78">
            <w:pPr>
              <w:widowControl/>
              <w:spacing w:line="240" w:lineRule="auto"/>
              <w:jc w:val="left"/>
              <w:rPr>
                <w:rFonts w:ascii="宋体" w:hAnsi="宋体" w:eastAsia="宋体" w:cs="宋体"/>
                <w:color w:val="auto"/>
                <w:kern w:val="0"/>
                <w:sz w:val="24"/>
                <w:szCs w:val="24"/>
                <w:highlight w:val="none"/>
              </w:rPr>
            </w:pPr>
          </w:p>
        </w:tc>
        <w:tc>
          <w:tcPr>
            <w:tcW w:w="8123" w:type="dxa"/>
            <w:gridSpan w:val="2"/>
            <w:noWrap w:val="0"/>
            <w:vAlign w:val="center"/>
          </w:tcPr>
          <w:p w14:paraId="52269878">
            <w:pPr>
              <w:widowControl/>
              <w:spacing w:after="240" w:line="24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Tahoma"/>
                <w:color w:val="auto"/>
                <w:sz w:val="24"/>
                <w:highlight w:val="none"/>
              </w:rPr>
              <w:t>账号：53001875040050327809</w:t>
            </w:r>
          </w:p>
        </w:tc>
      </w:tr>
      <w:tr w14:paraId="093965EA">
        <w:tblPrEx>
          <w:tblCellMar>
            <w:top w:w="0" w:type="dxa"/>
            <w:left w:w="0" w:type="dxa"/>
            <w:bottom w:w="0" w:type="dxa"/>
            <w:right w:w="0" w:type="dxa"/>
          </w:tblCellMar>
        </w:tblPrEx>
        <w:trPr>
          <w:trHeight w:val="229" w:hRule="atLeast"/>
          <w:jc w:val="center"/>
        </w:trPr>
        <w:tc>
          <w:tcPr>
            <w:tcW w:w="1754" w:type="dxa"/>
            <w:gridSpan w:val="2"/>
            <w:noWrap w:val="0"/>
            <w:vAlign w:val="center"/>
          </w:tcPr>
          <w:p w14:paraId="48130807">
            <w:pPr>
              <w:widowControl/>
              <w:spacing w:line="240" w:lineRule="auto"/>
              <w:jc w:val="left"/>
              <w:rPr>
                <w:rFonts w:ascii="宋体" w:hAnsi="宋体" w:eastAsia="宋体" w:cs="宋体"/>
                <w:color w:val="auto"/>
                <w:kern w:val="0"/>
                <w:sz w:val="24"/>
                <w:szCs w:val="24"/>
                <w:highlight w:val="none"/>
              </w:rPr>
            </w:pPr>
          </w:p>
        </w:tc>
        <w:tc>
          <w:tcPr>
            <w:tcW w:w="8123" w:type="dxa"/>
            <w:gridSpan w:val="2"/>
            <w:noWrap w:val="0"/>
            <w:vAlign w:val="center"/>
          </w:tcPr>
          <w:p w14:paraId="55F20C90">
            <w:pPr>
              <w:widowControl/>
              <w:spacing w:after="240" w:line="240" w:lineRule="auto"/>
              <w:ind w:firstLine="480" w:firstLineChars="200"/>
              <w:jc w:val="left"/>
              <w:rPr>
                <w:rFonts w:hint="eastAsia" w:ascii="宋体" w:hAnsi="宋体" w:eastAsia="宋体" w:cs="Tahoma"/>
                <w:color w:val="auto"/>
                <w:sz w:val="24"/>
                <w:highlight w:val="none"/>
              </w:rPr>
            </w:pPr>
            <w:r>
              <w:rPr>
                <w:rFonts w:hint="eastAsia" w:ascii="宋体" w:hAnsi="宋体" w:eastAsia="宋体" w:cs="宋体"/>
                <w:color w:val="auto"/>
                <w:kern w:val="0"/>
                <w:sz w:val="24"/>
                <w:szCs w:val="24"/>
                <w:highlight w:val="none"/>
              </w:rPr>
              <w:t>签订日期：</w:t>
            </w:r>
          </w:p>
        </w:tc>
      </w:tr>
      <w:tr w14:paraId="75B04FF0">
        <w:tblPrEx>
          <w:tblCellMar>
            <w:top w:w="0" w:type="dxa"/>
            <w:left w:w="0" w:type="dxa"/>
            <w:bottom w:w="0" w:type="dxa"/>
            <w:right w:w="0" w:type="dxa"/>
          </w:tblCellMar>
        </w:tblPrEx>
        <w:trPr>
          <w:jc w:val="center"/>
        </w:trPr>
        <w:tc>
          <w:tcPr>
            <w:tcW w:w="9877" w:type="dxa"/>
            <w:gridSpan w:val="4"/>
            <w:noWrap w:val="0"/>
            <w:vAlign w:val="center"/>
          </w:tcPr>
          <w:p w14:paraId="6B969BF8">
            <w:pPr>
              <w:widowControl/>
              <w:spacing w:after="240" w:line="24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乙方（供应商公章）名称：</w:t>
            </w:r>
          </w:p>
        </w:tc>
      </w:tr>
      <w:tr w14:paraId="6C492C6F">
        <w:tblPrEx>
          <w:tblCellMar>
            <w:top w:w="0" w:type="dxa"/>
            <w:left w:w="0" w:type="dxa"/>
            <w:bottom w:w="0" w:type="dxa"/>
            <w:right w:w="0" w:type="dxa"/>
          </w:tblCellMar>
        </w:tblPrEx>
        <w:trPr>
          <w:jc w:val="center"/>
        </w:trPr>
        <w:tc>
          <w:tcPr>
            <w:tcW w:w="1754" w:type="dxa"/>
            <w:gridSpan w:val="2"/>
            <w:noWrap w:val="0"/>
            <w:vAlign w:val="center"/>
          </w:tcPr>
          <w:p w14:paraId="6B8B2471">
            <w:pPr>
              <w:widowControl/>
              <w:spacing w:line="240" w:lineRule="auto"/>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r>
              <w:rPr>
                <w:rFonts w:hint="eastAsia" w:ascii="宋体" w:hAnsi="宋体" w:eastAsia="宋体" w:cs="宋体"/>
                <w:color w:val="auto"/>
                <w:kern w:val="0"/>
                <w:sz w:val="24"/>
                <w:szCs w:val="24"/>
                <w:highlight w:val="none"/>
              </w:rPr>
              <w:t xml:space="preserve"> </w:t>
            </w:r>
          </w:p>
        </w:tc>
        <w:tc>
          <w:tcPr>
            <w:tcW w:w="8123" w:type="dxa"/>
            <w:gridSpan w:val="2"/>
            <w:noWrap w:val="0"/>
            <w:vAlign w:val="center"/>
          </w:tcPr>
          <w:p w14:paraId="064D7D94">
            <w:pPr>
              <w:widowControl/>
              <w:spacing w:after="240" w:line="24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r>
              <w:rPr>
                <w:rFonts w:ascii="宋体" w:hAnsi="宋体" w:eastAsia="宋体" w:cs="宋体"/>
                <w:color w:val="auto"/>
                <w:kern w:val="0"/>
                <w:sz w:val="24"/>
                <w:szCs w:val="24"/>
                <w:highlight w:val="none"/>
              </w:rPr>
              <w:t xml:space="preserve"> </w:t>
            </w:r>
          </w:p>
        </w:tc>
      </w:tr>
      <w:tr w14:paraId="7DDF6CA9">
        <w:tblPrEx>
          <w:tblCellMar>
            <w:top w:w="0" w:type="dxa"/>
            <w:left w:w="0" w:type="dxa"/>
            <w:bottom w:w="0" w:type="dxa"/>
            <w:right w:w="0" w:type="dxa"/>
          </w:tblCellMar>
        </w:tblPrEx>
        <w:trPr>
          <w:jc w:val="center"/>
        </w:trPr>
        <w:tc>
          <w:tcPr>
            <w:tcW w:w="1754" w:type="dxa"/>
            <w:gridSpan w:val="2"/>
            <w:noWrap w:val="0"/>
            <w:vAlign w:val="center"/>
          </w:tcPr>
          <w:p w14:paraId="1337CCE1">
            <w:pPr>
              <w:widowControl/>
              <w:spacing w:line="240" w:lineRule="auto"/>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p>
        </w:tc>
        <w:tc>
          <w:tcPr>
            <w:tcW w:w="8123" w:type="dxa"/>
            <w:gridSpan w:val="2"/>
            <w:noWrap w:val="0"/>
            <w:vAlign w:val="center"/>
          </w:tcPr>
          <w:p w14:paraId="47DB1EFE">
            <w:pPr>
              <w:widowControl/>
              <w:spacing w:after="240" w:line="240" w:lineRule="auto"/>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邮编：</w:t>
            </w:r>
          </w:p>
        </w:tc>
      </w:tr>
      <w:tr w14:paraId="3A6FDAB0">
        <w:tblPrEx>
          <w:tblCellMar>
            <w:top w:w="0" w:type="dxa"/>
            <w:left w:w="0" w:type="dxa"/>
            <w:bottom w:w="0" w:type="dxa"/>
            <w:right w:w="0" w:type="dxa"/>
          </w:tblCellMar>
        </w:tblPrEx>
        <w:trPr>
          <w:trHeight w:val="562" w:hRule="atLeast"/>
          <w:jc w:val="center"/>
        </w:trPr>
        <w:tc>
          <w:tcPr>
            <w:tcW w:w="1754" w:type="dxa"/>
            <w:gridSpan w:val="2"/>
            <w:noWrap w:val="0"/>
            <w:vAlign w:val="center"/>
          </w:tcPr>
          <w:p w14:paraId="03A3D20E">
            <w:pPr>
              <w:widowControl/>
              <w:spacing w:line="240" w:lineRule="auto"/>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p>
        </w:tc>
        <w:tc>
          <w:tcPr>
            <w:tcW w:w="8123" w:type="dxa"/>
            <w:gridSpan w:val="2"/>
            <w:noWrap w:val="0"/>
            <w:vAlign w:val="center"/>
          </w:tcPr>
          <w:p w14:paraId="1E87C321">
            <w:pPr>
              <w:widowControl/>
              <w:spacing w:after="240" w:line="24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法定代表人或委托代理人：</w:t>
            </w:r>
          </w:p>
          <w:p w14:paraId="145983A3">
            <w:pPr>
              <w:widowControl/>
              <w:spacing w:after="240" w:line="240" w:lineRule="auto"/>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经办人：</w:t>
            </w:r>
          </w:p>
        </w:tc>
      </w:tr>
      <w:tr w14:paraId="06A95081">
        <w:tblPrEx>
          <w:tblCellMar>
            <w:top w:w="0" w:type="dxa"/>
            <w:left w:w="0" w:type="dxa"/>
            <w:bottom w:w="0" w:type="dxa"/>
            <w:right w:w="0" w:type="dxa"/>
          </w:tblCellMar>
        </w:tblPrEx>
        <w:trPr>
          <w:jc w:val="center"/>
        </w:trPr>
        <w:tc>
          <w:tcPr>
            <w:tcW w:w="1754" w:type="dxa"/>
            <w:gridSpan w:val="2"/>
            <w:noWrap w:val="0"/>
            <w:vAlign w:val="center"/>
          </w:tcPr>
          <w:p w14:paraId="1378E0E6">
            <w:pPr>
              <w:widowControl/>
              <w:spacing w:line="240" w:lineRule="auto"/>
              <w:jc w:val="left"/>
              <w:rPr>
                <w:rFonts w:ascii="宋体" w:hAnsi="宋体" w:eastAsia="宋体" w:cs="宋体"/>
                <w:color w:val="auto"/>
                <w:kern w:val="0"/>
                <w:sz w:val="24"/>
                <w:szCs w:val="24"/>
                <w:highlight w:val="none"/>
              </w:rPr>
            </w:pPr>
          </w:p>
        </w:tc>
        <w:tc>
          <w:tcPr>
            <w:tcW w:w="8123" w:type="dxa"/>
            <w:gridSpan w:val="2"/>
            <w:noWrap w:val="0"/>
            <w:vAlign w:val="center"/>
          </w:tcPr>
          <w:p w14:paraId="7E8FBA0C">
            <w:pPr>
              <w:widowControl/>
              <w:spacing w:after="240" w:line="24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Tahoma"/>
                <w:color w:val="auto"/>
                <w:sz w:val="24"/>
                <w:highlight w:val="none"/>
              </w:rPr>
              <w:t>开户银行：</w:t>
            </w:r>
          </w:p>
        </w:tc>
      </w:tr>
      <w:tr w14:paraId="4114634B">
        <w:tblPrEx>
          <w:tblCellMar>
            <w:top w:w="0" w:type="dxa"/>
            <w:left w:w="0" w:type="dxa"/>
            <w:bottom w:w="0" w:type="dxa"/>
            <w:right w:w="0" w:type="dxa"/>
          </w:tblCellMar>
        </w:tblPrEx>
        <w:trPr>
          <w:jc w:val="center"/>
        </w:trPr>
        <w:tc>
          <w:tcPr>
            <w:tcW w:w="1754" w:type="dxa"/>
            <w:gridSpan w:val="2"/>
            <w:noWrap w:val="0"/>
            <w:vAlign w:val="center"/>
          </w:tcPr>
          <w:p w14:paraId="03BDE70C">
            <w:pPr>
              <w:widowControl/>
              <w:spacing w:line="240" w:lineRule="auto"/>
              <w:jc w:val="left"/>
              <w:rPr>
                <w:rFonts w:ascii="宋体" w:hAnsi="宋体" w:eastAsia="宋体" w:cs="宋体"/>
                <w:color w:val="auto"/>
                <w:kern w:val="0"/>
                <w:sz w:val="24"/>
                <w:szCs w:val="24"/>
                <w:highlight w:val="none"/>
              </w:rPr>
            </w:pPr>
          </w:p>
        </w:tc>
        <w:tc>
          <w:tcPr>
            <w:tcW w:w="8123" w:type="dxa"/>
            <w:gridSpan w:val="2"/>
            <w:noWrap w:val="0"/>
            <w:vAlign w:val="center"/>
          </w:tcPr>
          <w:p w14:paraId="748A5F00">
            <w:pPr>
              <w:widowControl/>
              <w:spacing w:after="240" w:line="24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Tahoma"/>
                <w:color w:val="auto"/>
                <w:sz w:val="24"/>
                <w:highlight w:val="none"/>
              </w:rPr>
              <w:t>账号：</w:t>
            </w:r>
          </w:p>
        </w:tc>
      </w:tr>
      <w:tr w14:paraId="02505ED1">
        <w:tblPrEx>
          <w:tblCellMar>
            <w:top w:w="0" w:type="dxa"/>
            <w:left w:w="0" w:type="dxa"/>
            <w:bottom w:w="0" w:type="dxa"/>
            <w:right w:w="0" w:type="dxa"/>
          </w:tblCellMar>
        </w:tblPrEx>
        <w:trPr>
          <w:jc w:val="center"/>
        </w:trPr>
        <w:tc>
          <w:tcPr>
            <w:tcW w:w="1754" w:type="dxa"/>
            <w:gridSpan w:val="2"/>
            <w:noWrap w:val="0"/>
            <w:vAlign w:val="center"/>
          </w:tcPr>
          <w:p w14:paraId="56A68BD0">
            <w:pPr>
              <w:widowControl/>
              <w:spacing w:line="240" w:lineRule="auto"/>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r>
              <w:rPr>
                <w:rFonts w:hint="eastAsia" w:ascii="宋体" w:hAnsi="宋体" w:eastAsia="宋体" w:cs="宋体"/>
                <w:color w:val="auto"/>
                <w:kern w:val="0"/>
                <w:sz w:val="24"/>
                <w:szCs w:val="24"/>
                <w:highlight w:val="none"/>
              </w:rPr>
              <w:t xml:space="preserve"> </w:t>
            </w:r>
          </w:p>
        </w:tc>
        <w:tc>
          <w:tcPr>
            <w:tcW w:w="8123" w:type="dxa"/>
            <w:gridSpan w:val="2"/>
            <w:noWrap w:val="0"/>
            <w:vAlign w:val="center"/>
          </w:tcPr>
          <w:p w14:paraId="0CBE8FE7">
            <w:pPr>
              <w:widowControl/>
              <w:spacing w:after="240" w:line="240" w:lineRule="auto"/>
              <w:ind w:firstLine="480" w:firstLineChars="2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tc>
      </w:tr>
      <w:tr w14:paraId="044806BA">
        <w:tblPrEx>
          <w:tblCellMar>
            <w:top w:w="0" w:type="dxa"/>
            <w:left w:w="0" w:type="dxa"/>
            <w:bottom w:w="0" w:type="dxa"/>
            <w:right w:w="0" w:type="dxa"/>
          </w:tblCellMar>
        </w:tblPrEx>
        <w:trPr>
          <w:jc w:val="center"/>
        </w:trPr>
        <w:tc>
          <w:tcPr>
            <w:tcW w:w="1754" w:type="dxa"/>
            <w:gridSpan w:val="2"/>
            <w:noWrap w:val="0"/>
            <w:vAlign w:val="center"/>
          </w:tcPr>
          <w:p w14:paraId="06475E15">
            <w:pPr>
              <w:widowControl/>
              <w:spacing w:line="240" w:lineRule="auto"/>
              <w:jc w:val="left"/>
              <w:rPr>
                <w:rFonts w:ascii="宋体" w:hAnsi="宋体" w:eastAsia="宋体" w:cs="宋体"/>
                <w:color w:val="auto"/>
                <w:kern w:val="0"/>
                <w:sz w:val="24"/>
                <w:szCs w:val="24"/>
                <w:highlight w:val="none"/>
              </w:rPr>
            </w:pPr>
          </w:p>
        </w:tc>
        <w:tc>
          <w:tcPr>
            <w:tcW w:w="8123" w:type="dxa"/>
            <w:gridSpan w:val="2"/>
            <w:noWrap w:val="0"/>
            <w:vAlign w:val="center"/>
          </w:tcPr>
          <w:p w14:paraId="6E5DC807">
            <w:pPr>
              <w:widowControl/>
              <w:spacing w:after="240" w:line="240" w:lineRule="auto"/>
              <w:ind w:firstLine="240" w:firstLineChars="10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签订日期：</w:t>
            </w:r>
          </w:p>
        </w:tc>
      </w:tr>
      <w:tr w14:paraId="2F80736F">
        <w:tblPrEx>
          <w:tblCellMar>
            <w:top w:w="0" w:type="dxa"/>
            <w:left w:w="0" w:type="dxa"/>
            <w:bottom w:w="0" w:type="dxa"/>
            <w:right w:w="0" w:type="dxa"/>
          </w:tblCellMar>
        </w:tblPrEx>
        <w:trPr>
          <w:gridAfter w:val="1"/>
          <w:wAfter w:w="117" w:type="dxa"/>
          <w:jc w:val="center"/>
        </w:trPr>
        <w:tc>
          <w:tcPr>
            <w:tcW w:w="240" w:type="dxa"/>
            <w:noWrap w:val="0"/>
            <w:vAlign w:val="center"/>
          </w:tcPr>
          <w:p w14:paraId="71510D1B">
            <w:pPr>
              <w:widowControl/>
              <w:jc w:val="left"/>
              <w:rPr>
                <w:rFonts w:ascii="宋体" w:hAnsi="宋体" w:eastAsia="宋体" w:cs="宋体"/>
                <w:color w:val="auto"/>
                <w:kern w:val="0"/>
                <w:sz w:val="24"/>
                <w:szCs w:val="24"/>
                <w:highlight w:val="none"/>
              </w:rPr>
            </w:pPr>
          </w:p>
        </w:tc>
        <w:tc>
          <w:tcPr>
            <w:tcW w:w="9520" w:type="dxa"/>
            <w:gridSpan w:val="2"/>
            <w:noWrap w:val="0"/>
            <w:vAlign w:val="center"/>
          </w:tcPr>
          <w:p w14:paraId="6B53A1D6">
            <w:pPr>
              <w:widowControl/>
              <w:spacing w:after="24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丙方（鉴证方公章）名称：</w:t>
            </w:r>
          </w:p>
        </w:tc>
      </w:tr>
      <w:tr w14:paraId="06894148">
        <w:tblPrEx>
          <w:tblCellMar>
            <w:top w:w="0" w:type="dxa"/>
            <w:left w:w="0" w:type="dxa"/>
            <w:bottom w:w="0" w:type="dxa"/>
            <w:right w:w="0" w:type="dxa"/>
          </w:tblCellMar>
        </w:tblPrEx>
        <w:trPr>
          <w:gridAfter w:val="1"/>
          <w:wAfter w:w="117" w:type="dxa"/>
          <w:jc w:val="center"/>
        </w:trPr>
        <w:tc>
          <w:tcPr>
            <w:tcW w:w="240" w:type="dxa"/>
            <w:noWrap w:val="0"/>
            <w:vAlign w:val="center"/>
          </w:tcPr>
          <w:p w14:paraId="1246C81B">
            <w:pPr>
              <w:widowControl/>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p>
        </w:tc>
        <w:tc>
          <w:tcPr>
            <w:tcW w:w="9520" w:type="dxa"/>
            <w:gridSpan w:val="2"/>
            <w:noWrap w:val="0"/>
            <w:vAlign w:val="center"/>
          </w:tcPr>
          <w:p w14:paraId="6FECC466">
            <w:pPr>
              <w:widowControl/>
              <w:spacing w:after="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地址：</w:t>
            </w:r>
            <w:r>
              <w:rPr>
                <w:rFonts w:ascii="宋体" w:hAnsi="宋体" w:eastAsia="宋体" w:cs="宋体"/>
                <w:color w:val="auto"/>
                <w:kern w:val="0"/>
                <w:sz w:val="24"/>
                <w:szCs w:val="24"/>
                <w:highlight w:val="none"/>
              </w:rPr>
              <w:t xml:space="preserve"> </w:t>
            </w:r>
          </w:p>
        </w:tc>
      </w:tr>
      <w:tr w14:paraId="4E659569">
        <w:tblPrEx>
          <w:tblCellMar>
            <w:top w:w="0" w:type="dxa"/>
            <w:left w:w="0" w:type="dxa"/>
            <w:bottom w:w="0" w:type="dxa"/>
            <w:right w:w="0" w:type="dxa"/>
          </w:tblCellMar>
        </w:tblPrEx>
        <w:trPr>
          <w:gridAfter w:val="1"/>
          <w:wAfter w:w="117" w:type="dxa"/>
          <w:jc w:val="center"/>
        </w:trPr>
        <w:tc>
          <w:tcPr>
            <w:tcW w:w="240" w:type="dxa"/>
            <w:noWrap w:val="0"/>
            <w:vAlign w:val="center"/>
          </w:tcPr>
          <w:p w14:paraId="734A526D">
            <w:pPr>
              <w:widowControl/>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p>
        </w:tc>
        <w:tc>
          <w:tcPr>
            <w:tcW w:w="9520" w:type="dxa"/>
            <w:gridSpan w:val="2"/>
            <w:noWrap w:val="0"/>
            <w:vAlign w:val="center"/>
          </w:tcPr>
          <w:p w14:paraId="5911C999">
            <w:pPr>
              <w:widowControl/>
              <w:spacing w:after="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邮编：</w:t>
            </w:r>
          </w:p>
        </w:tc>
      </w:tr>
      <w:tr w14:paraId="1A44A068">
        <w:tblPrEx>
          <w:tblCellMar>
            <w:top w:w="0" w:type="dxa"/>
            <w:left w:w="0" w:type="dxa"/>
            <w:bottom w:w="0" w:type="dxa"/>
            <w:right w:w="0" w:type="dxa"/>
          </w:tblCellMar>
        </w:tblPrEx>
        <w:trPr>
          <w:gridAfter w:val="1"/>
          <w:wAfter w:w="117" w:type="dxa"/>
          <w:jc w:val="center"/>
        </w:trPr>
        <w:tc>
          <w:tcPr>
            <w:tcW w:w="240" w:type="dxa"/>
            <w:noWrap w:val="0"/>
            <w:vAlign w:val="center"/>
          </w:tcPr>
          <w:p w14:paraId="5E3BDB29">
            <w:pPr>
              <w:widowControl/>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p>
        </w:tc>
        <w:tc>
          <w:tcPr>
            <w:tcW w:w="9520" w:type="dxa"/>
            <w:gridSpan w:val="2"/>
            <w:noWrap w:val="0"/>
            <w:vAlign w:val="center"/>
          </w:tcPr>
          <w:p w14:paraId="05B838C0">
            <w:pPr>
              <w:widowControl/>
              <w:spacing w:after="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法定代表人或委托代理人：</w:t>
            </w:r>
          </w:p>
        </w:tc>
      </w:tr>
      <w:tr w14:paraId="7A69013C">
        <w:tblPrEx>
          <w:tblCellMar>
            <w:top w:w="0" w:type="dxa"/>
            <w:left w:w="0" w:type="dxa"/>
            <w:bottom w:w="0" w:type="dxa"/>
            <w:right w:w="0" w:type="dxa"/>
          </w:tblCellMar>
        </w:tblPrEx>
        <w:trPr>
          <w:gridAfter w:val="1"/>
          <w:wAfter w:w="117" w:type="dxa"/>
          <w:trHeight w:val="90" w:hRule="atLeast"/>
          <w:jc w:val="center"/>
        </w:trPr>
        <w:tc>
          <w:tcPr>
            <w:tcW w:w="240" w:type="dxa"/>
            <w:noWrap w:val="0"/>
            <w:vAlign w:val="center"/>
          </w:tcPr>
          <w:p w14:paraId="4C8EAA08">
            <w:pPr>
              <w:widowControl/>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p>
        </w:tc>
        <w:tc>
          <w:tcPr>
            <w:tcW w:w="9520" w:type="dxa"/>
            <w:gridSpan w:val="2"/>
            <w:noWrap w:val="0"/>
            <w:vAlign w:val="center"/>
          </w:tcPr>
          <w:p w14:paraId="5A7515F6">
            <w:pPr>
              <w:widowControl/>
              <w:spacing w:after="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经办人：</w:t>
            </w:r>
          </w:p>
        </w:tc>
      </w:tr>
      <w:tr w14:paraId="115EAB99">
        <w:tblPrEx>
          <w:tblCellMar>
            <w:top w:w="0" w:type="dxa"/>
            <w:left w:w="0" w:type="dxa"/>
            <w:bottom w:w="0" w:type="dxa"/>
            <w:right w:w="0" w:type="dxa"/>
          </w:tblCellMar>
        </w:tblPrEx>
        <w:trPr>
          <w:gridAfter w:val="1"/>
          <w:wAfter w:w="117" w:type="dxa"/>
          <w:jc w:val="center"/>
        </w:trPr>
        <w:tc>
          <w:tcPr>
            <w:tcW w:w="240" w:type="dxa"/>
            <w:noWrap w:val="0"/>
            <w:vAlign w:val="center"/>
          </w:tcPr>
          <w:p w14:paraId="10BA14AE">
            <w:pPr>
              <w:widowControl/>
              <w:jc w:val="left"/>
              <w:rPr>
                <w:rFonts w:ascii="宋体" w:hAnsi="宋体" w:eastAsia="宋体" w:cs="宋体"/>
                <w:color w:val="auto"/>
                <w:kern w:val="0"/>
                <w:sz w:val="24"/>
                <w:szCs w:val="24"/>
                <w:highlight w:val="none"/>
              </w:rPr>
            </w:pPr>
            <w:r>
              <w:rPr>
                <w:rFonts w:ascii="宋体" w:hAnsi="宋体" w:eastAsia="宋体" w:cs="宋体"/>
                <w:color w:val="auto"/>
                <w:kern w:val="0"/>
                <w:sz w:val="24"/>
                <w:szCs w:val="24"/>
                <w:highlight w:val="none"/>
              </w:rPr>
              <w:t> </w:t>
            </w:r>
          </w:p>
        </w:tc>
        <w:tc>
          <w:tcPr>
            <w:tcW w:w="9520" w:type="dxa"/>
            <w:gridSpan w:val="2"/>
            <w:noWrap w:val="0"/>
            <w:vAlign w:val="center"/>
          </w:tcPr>
          <w:p w14:paraId="7126EC2C">
            <w:pPr>
              <w:widowControl/>
              <w:spacing w:after="240"/>
              <w:jc w:val="left"/>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电话：</w:t>
            </w:r>
          </w:p>
        </w:tc>
      </w:tr>
    </w:tbl>
    <w:p w14:paraId="2408F116">
      <w:pPr>
        <w:widowControl/>
        <w:spacing w:after="240"/>
        <w:jc w:val="left"/>
        <w:rPr>
          <w:rFonts w:ascii="宋体" w:hAnsi="宋体" w:cs="宋体"/>
          <w:color w:val="auto"/>
          <w:kern w:val="0"/>
          <w:sz w:val="24"/>
          <w:szCs w:val="24"/>
          <w:highlight w:val="none"/>
        </w:rPr>
      </w:pPr>
    </w:p>
    <w:p w14:paraId="09666C25">
      <w:pPr>
        <w:spacing w:line="360" w:lineRule="auto"/>
        <w:ind w:firstLine="1807" w:firstLineChars="500"/>
        <w:jc w:val="both"/>
        <w:rPr>
          <w:rFonts w:hint="eastAsia" w:ascii="宋体" w:hAnsi="宋体" w:eastAsia="宋体" w:cs="Times New Roman"/>
          <w:b/>
          <w:color w:val="auto"/>
          <w:sz w:val="36"/>
          <w:szCs w:val="36"/>
          <w:highlight w:val="none"/>
        </w:rPr>
        <w:sectPr>
          <w:headerReference r:id="rId9" w:type="default"/>
          <w:footerReference r:id="rId10" w:type="default"/>
          <w:pgSz w:w="11906" w:h="16838"/>
          <w:pgMar w:top="1191" w:right="1191" w:bottom="1191" w:left="1304" w:header="851" w:footer="992" w:gutter="0"/>
          <w:pgNumType w:fmt="numberInDash"/>
          <w:cols w:space="720" w:num="1"/>
          <w:docGrid w:type="lines" w:linePitch="312" w:charSpace="0"/>
        </w:sectPr>
      </w:pPr>
    </w:p>
    <w:tbl>
      <w:tblPr>
        <w:tblStyle w:val="37"/>
        <w:tblW w:w="9863" w:type="dxa"/>
        <w:jc w:val="center"/>
        <w:tblLayout w:type="fixed"/>
        <w:tblCellMar>
          <w:top w:w="0" w:type="dxa"/>
          <w:left w:w="0" w:type="dxa"/>
          <w:bottom w:w="0" w:type="dxa"/>
          <w:right w:w="0" w:type="dxa"/>
        </w:tblCellMar>
      </w:tblPr>
      <w:tblGrid>
        <w:gridCol w:w="9863"/>
      </w:tblGrid>
      <w:tr w14:paraId="3C3C5650">
        <w:tblPrEx>
          <w:tblCellMar>
            <w:top w:w="0" w:type="dxa"/>
            <w:left w:w="0" w:type="dxa"/>
            <w:bottom w:w="0" w:type="dxa"/>
            <w:right w:w="0" w:type="dxa"/>
          </w:tblCellMar>
        </w:tblPrEx>
        <w:trPr>
          <w:trHeight w:val="13937" w:hRule="atLeast"/>
          <w:jc w:val="center"/>
        </w:trPr>
        <w:tc>
          <w:tcPr>
            <w:tcW w:w="9863" w:type="dxa"/>
            <w:noWrap w:val="0"/>
            <w:vAlign w:val="center"/>
          </w:tcPr>
          <w:p w14:paraId="4A035841">
            <w:pPr>
              <w:spacing w:line="360" w:lineRule="auto"/>
              <w:ind w:firstLine="1807" w:firstLineChars="500"/>
              <w:jc w:val="both"/>
              <w:rPr>
                <w:rFonts w:hint="eastAsia"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昆明医科大学第二附属医院设备采购合同</w:t>
            </w:r>
          </w:p>
          <w:p w14:paraId="265849D4">
            <w:pPr>
              <w:spacing w:line="360" w:lineRule="auto"/>
              <w:textAlignment w:val="baseline"/>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甲方：</w:t>
            </w:r>
            <w:r>
              <w:rPr>
                <w:rFonts w:hint="eastAsia" w:ascii="宋体" w:hAnsi="宋体" w:eastAsia="宋体" w:cs="Tahoma"/>
                <w:color w:val="auto"/>
                <w:sz w:val="24"/>
                <w:highlight w:val="none"/>
              </w:rPr>
              <w:t>昆明医科大学第二附属医院</w:t>
            </w:r>
          </w:p>
          <w:p w14:paraId="0CF38857">
            <w:pPr>
              <w:spacing w:line="360" w:lineRule="auto"/>
              <w:textAlignment w:val="baseline"/>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乙方：</w:t>
            </w:r>
          </w:p>
          <w:p w14:paraId="2D8A9259">
            <w:pPr>
              <w:spacing w:line="360" w:lineRule="auto"/>
              <w:textAlignment w:val="baseline"/>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rPr>
              <w:t>丙方：</w:t>
            </w:r>
            <w:r>
              <w:rPr>
                <w:rFonts w:hint="eastAsia" w:ascii="宋体" w:hAnsi="宋体" w:eastAsia="宋体" w:cs="Times New Roman"/>
                <w:b/>
                <w:color w:val="auto"/>
                <w:sz w:val="24"/>
                <w:szCs w:val="24"/>
                <w:highlight w:val="none"/>
                <w:lang w:eastAsia="zh-CN"/>
              </w:rPr>
              <w:t>（</w:t>
            </w:r>
            <w:r>
              <w:rPr>
                <w:rFonts w:hint="eastAsia" w:ascii="宋体" w:hAnsi="宋体" w:eastAsia="宋体" w:cs="Times New Roman"/>
                <w:b/>
                <w:color w:val="auto"/>
                <w:sz w:val="24"/>
                <w:szCs w:val="24"/>
                <w:highlight w:val="none"/>
                <w:lang w:val="en-US" w:eastAsia="zh-CN"/>
              </w:rPr>
              <w:t>招标公司）</w:t>
            </w:r>
          </w:p>
          <w:p w14:paraId="29999E31">
            <w:pPr>
              <w:spacing w:line="360" w:lineRule="auto"/>
              <w:ind w:firstLine="480" w:firstLineChars="200"/>
              <w:textAlignment w:val="baseline"/>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本合同由甲乙双方根据招标编号为</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 xml:space="preserve"> </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等设备采购项目”的公开招标采购结果，经双方协定达成一致，签订以下合同，共同信守：</w:t>
            </w:r>
          </w:p>
          <w:p w14:paraId="7410C6EF">
            <w:pPr>
              <w:numPr>
                <w:ilvl w:val="0"/>
                <w:numId w:val="1"/>
              </w:numPr>
              <w:spacing w:line="360" w:lineRule="auto"/>
              <w:ind w:left="1410"/>
              <w:textAlignment w:val="baseline"/>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甲方向乙方采购的设备名称、品牌、型号规格、生产厂家、数量、单价和总价</w:t>
            </w:r>
          </w:p>
          <w:p w14:paraId="38BA57C7">
            <w:pPr>
              <w:numPr>
                <w:ilvl w:val="0"/>
                <w:numId w:val="0"/>
              </w:numPr>
              <w:spacing w:line="360" w:lineRule="auto"/>
              <w:ind w:left="426" w:leftChars="0"/>
              <w:textAlignment w:val="baseline"/>
              <w:rPr>
                <w:rFonts w:hint="eastAsia" w:ascii="宋体" w:hAnsi="宋体" w:eastAsia="宋体" w:cs="Times New Roman"/>
                <w:b/>
                <w:bCs w:val="0"/>
                <w:color w:val="auto"/>
                <w:sz w:val="24"/>
                <w:szCs w:val="24"/>
                <w:highlight w:val="none"/>
                <w:lang w:val="en-US" w:eastAsia="zh-CN"/>
              </w:rPr>
            </w:pPr>
            <w:r>
              <w:rPr>
                <w:rFonts w:hint="eastAsia" w:ascii="宋体" w:hAnsi="宋体" w:eastAsia="宋体" w:cs="Times New Roman"/>
                <w:b/>
                <w:bCs w:val="0"/>
                <w:color w:val="auto"/>
                <w:sz w:val="24"/>
                <w:szCs w:val="24"/>
                <w:highlight w:val="none"/>
                <w:lang w:val="en-US" w:eastAsia="zh-CN"/>
              </w:rPr>
              <w:t xml:space="preserve">1.1  </w:t>
            </w:r>
            <w:r>
              <w:rPr>
                <w:rFonts w:hint="eastAsia" w:ascii="宋体" w:hAnsi="宋体" w:eastAsia="宋体" w:cs="Times New Roman"/>
                <w:b w:val="0"/>
                <w:bCs/>
                <w:color w:val="auto"/>
                <w:sz w:val="24"/>
                <w:szCs w:val="24"/>
                <w:highlight w:val="none"/>
              </w:rPr>
              <w:t>设备</w:t>
            </w:r>
            <w:r>
              <w:rPr>
                <w:rFonts w:hint="eastAsia" w:ascii="宋体" w:hAnsi="宋体" w:eastAsia="宋体" w:cs="Times New Roman"/>
                <w:b w:val="0"/>
                <w:bCs/>
                <w:color w:val="auto"/>
                <w:sz w:val="24"/>
                <w:szCs w:val="24"/>
                <w:highlight w:val="none"/>
                <w:lang w:val="en-US" w:eastAsia="zh-CN"/>
              </w:rPr>
              <w:t>清单</w:t>
            </w:r>
          </w:p>
          <w:tbl>
            <w:tblPr>
              <w:tblStyle w:val="37"/>
              <w:tblW w:w="97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134"/>
              <w:gridCol w:w="1843"/>
              <w:gridCol w:w="1134"/>
              <w:gridCol w:w="708"/>
              <w:gridCol w:w="647"/>
              <w:gridCol w:w="1418"/>
              <w:gridCol w:w="1291"/>
            </w:tblGrid>
            <w:tr w14:paraId="24BB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567" w:type="dxa"/>
                  <w:noWrap w:val="0"/>
                  <w:vAlign w:val="center"/>
                </w:tcPr>
                <w:p w14:paraId="7053037C">
                  <w:pPr>
                    <w:spacing w:line="360" w:lineRule="auto"/>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设备名称</w:t>
                  </w:r>
                </w:p>
              </w:tc>
              <w:tc>
                <w:tcPr>
                  <w:tcW w:w="1134" w:type="dxa"/>
                  <w:noWrap w:val="0"/>
                  <w:vAlign w:val="center"/>
                </w:tcPr>
                <w:p w14:paraId="56621332">
                  <w:pPr>
                    <w:spacing w:line="360" w:lineRule="auto"/>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品牌</w:t>
                  </w:r>
                </w:p>
              </w:tc>
              <w:tc>
                <w:tcPr>
                  <w:tcW w:w="1843" w:type="dxa"/>
                  <w:noWrap w:val="0"/>
                  <w:vAlign w:val="center"/>
                </w:tcPr>
                <w:p w14:paraId="06FE419D">
                  <w:pPr>
                    <w:spacing w:line="360" w:lineRule="auto"/>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型号规格</w:t>
                  </w:r>
                </w:p>
              </w:tc>
              <w:tc>
                <w:tcPr>
                  <w:tcW w:w="1134" w:type="dxa"/>
                  <w:noWrap w:val="0"/>
                  <w:vAlign w:val="center"/>
                </w:tcPr>
                <w:p w14:paraId="103BC764">
                  <w:pPr>
                    <w:spacing w:line="360" w:lineRule="auto"/>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生产厂家</w:t>
                  </w:r>
                </w:p>
              </w:tc>
              <w:tc>
                <w:tcPr>
                  <w:tcW w:w="708" w:type="dxa"/>
                  <w:noWrap w:val="0"/>
                  <w:vAlign w:val="center"/>
                </w:tcPr>
                <w:p w14:paraId="1BB12CDC">
                  <w:pPr>
                    <w:spacing w:line="360" w:lineRule="auto"/>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单位</w:t>
                  </w:r>
                </w:p>
              </w:tc>
              <w:tc>
                <w:tcPr>
                  <w:tcW w:w="647" w:type="dxa"/>
                  <w:noWrap w:val="0"/>
                  <w:vAlign w:val="center"/>
                </w:tcPr>
                <w:p w14:paraId="228C5546">
                  <w:pPr>
                    <w:spacing w:line="360" w:lineRule="auto"/>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数量</w:t>
                  </w:r>
                </w:p>
              </w:tc>
              <w:tc>
                <w:tcPr>
                  <w:tcW w:w="1418" w:type="dxa"/>
                  <w:noWrap w:val="0"/>
                  <w:vAlign w:val="center"/>
                </w:tcPr>
                <w:p w14:paraId="43C7031A">
                  <w:pPr>
                    <w:spacing w:line="360" w:lineRule="auto"/>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单价（元）</w:t>
                  </w:r>
                </w:p>
              </w:tc>
              <w:tc>
                <w:tcPr>
                  <w:tcW w:w="1291" w:type="dxa"/>
                  <w:noWrap w:val="0"/>
                  <w:vAlign w:val="center"/>
                </w:tcPr>
                <w:p w14:paraId="312164B3">
                  <w:pPr>
                    <w:spacing w:line="360" w:lineRule="auto"/>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总价(元)</w:t>
                  </w:r>
                </w:p>
              </w:tc>
            </w:tr>
            <w:tr w14:paraId="1E0D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567" w:type="dxa"/>
                  <w:noWrap w:val="0"/>
                  <w:vAlign w:val="center"/>
                </w:tcPr>
                <w:p w14:paraId="1C62B8A0">
                  <w:pPr>
                    <w:rPr>
                      <w:rFonts w:hint="eastAsia" w:ascii="Times New Roman" w:hAnsi="Times New Roman" w:eastAsia="宋体" w:cs="Times New Roman"/>
                      <w:color w:val="auto"/>
                      <w:highlight w:val="none"/>
                    </w:rPr>
                  </w:pPr>
                </w:p>
              </w:tc>
              <w:tc>
                <w:tcPr>
                  <w:tcW w:w="1134" w:type="dxa"/>
                  <w:noWrap w:val="0"/>
                  <w:vAlign w:val="center"/>
                </w:tcPr>
                <w:p w14:paraId="455466EC">
                  <w:pPr>
                    <w:jc w:val="center"/>
                    <w:rPr>
                      <w:rFonts w:hint="eastAsia" w:ascii="Times New Roman" w:hAnsi="Times New Roman" w:eastAsia="宋体" w:cs="Times New Roman"/>
                      <w:color w:val="auto"/>
                      <w:highlight w:val="none"/>
                    </w:rPr>
                  </w:pPr>
                </w:p>
              </w:tc>
              <w:tc>
                <w:tcPr>
                  <w:tcW w:w="1843" w:type="dxa"/>
                  <w:noWrap w:val="0"/>
                  <w:vAlign w:val="center"/>
                </w:tcPr>
                <w:p w14:paraId="274AEEFE">
                  <w:pPr>
                    <w:jc w:val="center"/>
                    <w:rPr>
                      <w:rFonts w:hint="eastAsia" w:ascii="宋体" w:hAnsi="宋体" w:eastAsia="宋体" w:cs="宋体"/>
                      <w:color w:val="auto"/>
                      <w:highlight w:val="none"/>
                    </w:rPr>
                  </w:pPr>
                </w:p>
              </w:tc>
              <w:tc>
                <w:tcPr>
                  <w:tcW w:w="1134" w:type="dxa"/>
                  <w:noWrap w:val="0"/>
                  <w:vAlign w:val="center"/>
                </w:tcPr>
                <w:p w14:paraId="11DCC087">
                  <w:pPr>
                    <w:jc w:val="center"/>
                    <w:rPr>
                      <w:rFonts w:hint="eastAsia" w:ascii="宋体" w:hAnsi="宋体" w:eastAsia="宋体" w:cs="宋体"/>
                      <w:color w:val="auto"/>
                      <w:highlight w:val="none"/>
                    </w:rPr>
                  </w:pPr>
                </w:p>
              </w:tc>
              <w:tc>
                <w:tcPr>
                  <w:tcW w:w="708" w:type="dxa"/>
                  <w:noWrap w:val="0"/>
                  <w:vAlign w:val="center"/>
                </w:tcPr>
                <w:p w14:paraId="1028BDC5">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台</w:t>
                  </w:r>
                </w:p>
              </w:tc>
              <w:tc>
                <w:tcPr>
                  <w:tcW w:w="647" w:type="dxa"/>
                  <w:noWrap w:val="0"/>
                  <w:vAlign w:val="center"/>
                </w:tcPr>
                <w:p w14:paraId="3200A835">
                  <w:pPr>
                    <w:jc w:val="center"/>
                    <w:rPr>
                      <w:rFonts w:hint="eastAsia" w:ascii="宋体" w:hAnsi="宋体" w:eastAsia="宋体" w:cs="宋体"/>
                      <w:color w:val="auto"/>
                      <w:highlight w:val="none"/>
                    </w:rPr>
                  </w:pPr>
                </w:p>
              </w:tc>
              <w:tc>
                <w:tcPr>
                  <w:tcW w:w="1418" w:type="dxa"/>
                  <w:noWrap w:val="0"/>
                  <w:vAlign w:val="center"/>
                </w:tcPr>
                <w:p w14:paraId="6287955E">
                  <w:pPr>
                    <w:jc w:val="center"/>
                    <w:rPr>
                      <w:rFonts w:hint="eastAsia" w:ascii="宋体" w:hAnsi="宋体" w:eastAsia="宋体" w:cs="宋体"/>
                      <w:color w:val="auto"/>
                      <w:highlight w:val="none"/>
                    </w:rPr>
                  </w:pPr>
                </w:p>
              </w:tc>
              <w:tc>
                <w:tcPr>
                  <w:tcW w:w="1291" w:type="dxa"/>
                  <w:noWrap w:val="0"/>
                  <w:vAlign w:val="center"/>
                </w:tcPr>
                <w:p w14:paraId="64674824">
                  <w:pPr>
                    <w:jc w:val="center"/>
                    <w:rPr>
                      <w:rFonts w:hint="eastAsia" w:ascii="宋体" w:hAnsi="宋体" w:eastAsia="宋体" w:cs="宋体"/>
                      <w:color w:val="auto"/>
                      <w:highlight w:val="none"/>
                    </w:rPr>
                  </w:pPr>
                </w:p>
              </w:tc>
            </w:tr>
            <w:tr w14:paraId="3B13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742" w:type="dxa"/>
                  <w:gridSpan w:val="8"/>
                  <w:noWrap w:val="0"/>
                  <w:vAlign w:val="center"/>
                </w:tcPr>
                <w:p w14:paraId="7B2F538D">
                  <w:pPr>
                    <w:spacing w:line="360" w:lineRule="auto"/>
                    <w:ind w:left="105" w:hanging="105" w:hangingChars="50"/>
                    <w:jc w:val="left"/>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合同成交金额总计（大写）人民币</w:t>
                  </w:r>
                  <w:r>
                    <w:rPr>
                      <w:rFonts w:hint="eastAsia" w:ascii="宋体" w:hAnsi="宋体" w:eastAsia="宋体" w:cs="Times New Roman"/>
                      <w:color w:val="auto"/>
                      <w:szCs w:val="21"/>
                      <w:highlight w:val="none"/>
                      <w:lang w:val="en-US" w:eastAsia="zh-CN"/>
                    </w:rPr>
                    <w:t xml:space="preserve">     </w:t>
                  </w:r>
                  <w:r>
                    <w:rPr>
                      <w:rFonts w:hint="eastAsia" w:ascii="宋体" w:hAnsi="宋体" w:eastAsia="宋体" w:cs="Times New Roman"/>
                      <w:color w:val="auto"/>
                      <w:szCs w:val="21"/>
                      <w:highlight w:val="none"/>
                      <w:u w:val="single"/>
                    </w:rPr>
                    <w:t>元整</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 xml:space="preserve">      </w:t>
                  </w:r>
                  <w:r>
                    <w:rPr>
                      <w:rFonts w:hint="eastAsia" w:ascii="宋体" w:hAnsi="宋体" w:eastAsia="宋体" w:cs="Times New Roman"/>
                      <w:color w:val="auto"/>
                      <w:szCs w:val="21"/>
                      <w:highlight w:val="none"/>
                    </w:rPr>
                    <w:t>元 ,含税）</w:t>
                  </w:r>
                </w:p>
              </w:tc>
            </w:tr>
            <w:tr w14:paraId="1A0C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2" w:type="dxa"/>
                  <w:gridSpan w:val="8"/>
                  <w:noWrap w:val="0"/>
                  <w:vAlign w:val="top"/>
                </w:tcPr>
                <w:p w14:paraId="2DB18E2C">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注：以上价款为甲方指定地点（</w:t>
                  </w:r>
                  <w:r>
                    <w:rPr>
                      <w:rFonts w:hint="eastAsia" w:ascii="宋体" w:hAnsi="宋体" w:eastAsia="宋体" w:cs="Tahoma"/>
                      <w:color w:val="auto"/>
                      <w:sz w:val="21"/>
                      <w:szCs w:val="21"/>
                      <w:highlight w:val="none"/>
                    </w:rPr>
                    <w:t>昆明医科大学第二附属医院</w:t>
                  </w:r>
                  <w:r>
                    <w:rPr>
                      <w:rFonts w:hint="eastAsia" w:ascii="宋体" w:hAnsi="宋体" w:eastAsia="宋体" w:cs="Tahoma"/>
                      <w:color w:val="auto"/>
                      <w:sz w:val="21"/>
                      <w:szCs w:val="21"/>
                      <w:highlight w:val="none"/>
                      <w:lang w:val="en-US" w:eastAsia="zh-CN"/>
                    </w:rPr>
                    <w:t>指定交货地点</w:t>
                  </w:r>
                  <w:r>
                    <w:rPr>
                      <w:rFonts w:hint="eastAsia" w:ascii="宋体" w:hAnsi="宋体" w:eastAsia="宋体" w:cs="Times New Roman"/>
                      <w:color w:val="auto"/>
                      <w:szCs w:val="21"/>
                      <w:highlight w:val="none"/>
                    </w:rPr>
                    <w:t>）统一交货价，包含但不限于设备（含选购件）价款、安装、运输、保险、调试、培训、质保、税金等全部费用。</w:t>
                  </w:r>
                </w:p>
              </w:tc>
            </w:tr>
          </w:tbl>
          <w:p w14:paraId="06749ED9">
            <w:pPr>
              <w:adjustRightInd w:val="0"/>
              <w:snapToGrid w:val="0"/>
              <w:spacing w:line="360" w:lineRule="auto"/>
              <w:textAlignment w:val="baseline"/>
              <w:rPr>
                <w:rFonts w:hint="eastAsia"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 xml:space="preserve">    1.2  </w:t>
            </w:r>
            <w:r>
              <w:rPr>
                <w:rFonts w:hint="eastAsia" w:ascii="宋体" w:hAnsi="宋体" w:eastAsia="宋体" w:cs="Times New Roman"/>
                <w:color w:val="auto"/>
                <w:sz w:val="24"/>
                <w:szCs w:val="24"/>
                <w:highlight w:val="none"/>
              </w:rPr>
              <w:t>设备配置、具体技术规格、质量标准详见招投标文件。</w:t>
            </w:r>
          </w:p>
          <w:p w14:paraId="751BCCE1">
            <w:pPr>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第二条  随机资料和配套附属设备要求</w:t>
            </w:r>
          </w:p>
          <w:p w14:paraId="77E06618">
            <w:pPr>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2.1随机资料包括原产地证明、发票、合格证、保修卡等相关资料（如操作手册、使用指南、维修手册、安装调试说明书、服务手册等）及配备的用件、工具等。</w:t>
            </w:r>
          </w:p>
          <w:p w14:paraId="4EB562D7">
            <w:pPr>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 配套附属设备按招投标文件要求执行并满足甲方需要。</w:t>
            </w:r>
          </w:p>
          <w:p w14:paraId="6662D6E9">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第三条  安装调试要求</w:t>
            </w:r>
          </w:p>
          <w:p w14:paraId="718560C7">
            <w:pPr>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设备安装、调试必须符合国家质量检测标准，并满足甲方技术要求，乙方负责免费进行设备的安装调试（不另计费）。</w:t>
            </w:r>
          </w:p>
          <w:p w14:paraId="29EAC006">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第四条  配套设备、消耗品要求及长期供应优惠条件</w:t>
            </w:r>
          </w:p>
          <w:p w14:paraId="2FF579AE">
            <w:pPr>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乙方严格按照招投标文件执行。乙方同时承诺：乙方向甲方提供的配套设备、消耗品不高于市场同类产品的价格。</w:t>
            </w:r>
          </w:p>
          <w:p w14:paraId="5924313B">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第五条  备品备件（含易损件）要求及长期供应优惠条件</w:t>
            </w:r>
          </w:p>
          <w:p w14:paraId="35E0737F">
            <w:pPr>
              <w:spacing w:line="360" w:lineRule="auto"/>
              <w:ind w:firstLine="48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乙方严格按照招投标文件执行。乙方同时承诺：乙方向甲方提供的备品备件（含易损件）不高于市场同类产品的价格。</w:t>
            </w:r>
          </w:p>
          <w:p w14:paraId="4F33D2D0">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第六条  甲方的权利与义务</w:t>
            </w:r>
          </w:p>
          <w:p w14:paraId="408505BC">
            <w:pPr>
              <w:spacing w:line="360" w:lineRule="auto"/>
              <w:textAlignment w:val="baseline"/>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6.1 甲方负责提供设备安装、培训所需的场地。</w:t>
            </w:r>
          </w:p>
          <w:p w14:paraId="01D03008">
            <w:pPr>
              <w:spacing w:line="360" w:lineRule="auto"/>
              <w:textAlignment w:val="baseline"/>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6.2 甲方负责组织操作人员、设备科工程师及乙方人员，进行设备的安装、调试、培训及移交工作。</w:t>
            </w:r>
          </w:p>
          <w:p w14:paraId="3AC5DFC4">
            <w:pPr>
              <w:spacing w:line="360" w:lineRule="auto"/>
              <w:textAlignment w:val="baseline"/>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6.3 甲方负责按甲方的工作程序，组织设备试用后的验收工作。</w:t>
            </w:r>
          </w:p>
          <w:p w14:paraId="31426832">
            <w:pPr>
              <w:spacing w:line="360" w:lineRule="auto"/>
              <w:textAlignment w:val="baseline"/>
              <w:rPr>
                <w:rFonts w:hint="eastAsia" w:ascii="宋体" w:hAnsi="宋体" w:eastAsia="宋体" w:cs="Times New Roman"/>
                <w:b/>
                <w:color w:val="auto"/>
                <w:sz w:val="24"/>
                <w:szCs w:val="24"/>
                <w:highlight w:val="none"/>
              </w:rPr>
            </w:pPr>
            <w:r>
              <w:rPr>
                <w:rFonts w:hint="eastAsia" w:ascii="宋体" w:hAnsi="宋体" w:eastAsia="宋体" w:cs="Times New Roman"/>
                <w:color w:val="auto"/>
                <w:sz w:val="24"/>
                <w:szCs w:val="24"/>
                <w:highlight w:val="none"/>
              </w:rPr>
              <w:t>6.4 甲方负责在设备验收合格及全部相关手续办妥后，按本合同所约定的付款程序付款并依本合同约定享有乙方提供的售后服务。</w:t>
            </w:r>
          </w:p>
          <w:p w14:paraId="5CDE9F85">
            <w:pPr>
              <w:spacing w:line="360" w:lineRule="auto"/>
              <w:textAlignment w:val="baseline"/>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第七条  乙方责任</w:t>
            </w:r>
          </w:p>
          <w:p w14:paraId="7DB2BC92">
            <w:pPr>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7.1乙方保证按本合同条款负责完成供货和其他义务，并保证提供的设备是全新原装（包括</w:t>
            </w:r>
            <w:r>
              <w:rPr>
                <w:rFonts w:hint="eastAsia" w:ascii="宋体" w:hAnsi="宋体" w:eastAsia="宋体" w:cs="Times New Roman"/>
                <w:color w:val="auto"/>
                <w:sz w:val="24"/>
                <w:szCs w:val="24"/>
                <w:highlight w:val="none"/>
                <w:lang w:val="en-US" w:eastAsia="zh-CN"/>
              </w:rPr>
              <w:t>软件系统和</w:t>
            </w:r>
            <w:r>
              <w:rPr>
                <w:rFonts w:hint="eastAsia" w:ascii="宋体" w:hAnsi="宋体" w:eastAsia="宋体" w:cs="Times New Roman"/>
                <w:color w:val="auto"/>
                <w:sz w:val="24"/>
                <w:szCs w:val="24"/>
                <w:highlight w:val="none"/>
              </w:rPr>
              <w:t>零部件</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下同</w:t>
            </w:r>
            <w:r>
              <w:rPr>
                <w:rFonts w:hint="eastAsia" w:ascii="宋体" w:hAnsi="宋体" w:eastAsia="宋体" w:cs="Times New Roman"/>
                <w:color w:val="auto"/>
                <w:sz w:val="24"/>
                <w:szCs w:val="24"/>
                <w:highlight w:val="none"/>
              </w:rPr>
              <w:t>）、符合招投标文件规定、具有国家有关部门注册证明并符合国家质量检测标准（进口设备具有国家有关部门完整手续）和产品出厂标准的设备；乙方对所提供的设备全部实行三包；设备及主要部件的免费保修期：</w:t>
            </w:r>
            <w:r>
              <w:rPr>
                <w:rFonts w:hint="eastAsia" w:ascii="宋体" w:hAnsi="宋体" w:eastAsia="宋体" w:cs="Times New Roman"/>
                <w:color w:val="auto"/>
                <w:sz w:val="24"/>
                <w:szCs w:val="24"/>
                <w:highlight w:val="none"/>
                <w:u w:val="single"/>
                <w:lang w:val="en-US" w:eastAsia="zh-CN"/>
              </w:rPr>
              <w:t xml:space="preserve">    </w:t>
            </w:r>
            <w:r>
              <w:rPr>
                <w:rFonts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rPr>
              <w:t>。自设备验收合格交付甲方且正常运行之日起算，终身负责维修，并保证设备在甲方报废</w:t>
            </w:r>
            <w:r>
              <w:rPr>
                <w:rStyle w:val="102"/>
                <w:rFonts w:hint="eastAsia" w:ascii="宋体" w:hAnsi="宋体" w:eastAsia="宋体" w:cs="Times New Roman"/>
                <w:color w:val="auto"/>
                <w:sz w:val="24"/>
                <w:szCs w:val="24"/>
                <w:highlight w:val="none"/>
              </w:rPr>
              <w:t>前正常</w:t>
            </w:r>
            <w:r>
              <w:rPr>
                <w:rFonts w:hint="eastAsia" w:ascii="宋体" w:hAnsi="宋体" w:eastAsia="宋体" w:cs="Times New Roman"/>
                <w:color w:val="auto"/>
                <w:sz w:val="24"/>
                <w:szCs w:val="24"/>
                <w:highlight w:val="none"/>
              </w:rPr>
              <w:t>运行。具体服务：保修期内，乙方对设备提供全免费保修或免费更换（自然灾害及人为故意损坏除外）；保修期后，优惠收取成本费维修；乙方提供现场维修，维修人员在甲方发出故障通知后</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分钟内作出响应，</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小时内专业人员到达现场维修，重大故障保证在</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小时内修复，如不能现场处理修复的，</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小时内提供解决方案。乙方保证在甲方指定地点供应备品备件（含易损件）和配套消耗品；乙方对其所提供的设备实行每三个月定期随访一次。</w:t>
            </w:r>
            <w:r>
              <w:rPr>
                <w:rFonts w:hint="eastAsia" w:ascii="宋体" w:hAnsi="宋体" w:eastAsia="宋体" w:cs="Times New Roman"/>
                <w:color w:val="auto"/>
                <w:sz w:val="24"/>
                <w:szCs w:val="24"/>
                <w:highlight w:val="none"/>
                <w:lang w:val="en-US" w:eastAsia="zh-CN"/>
              </w:rPr>
              <w:t>乙方对所提供的软件系统提供终身免费升级服务。</w:t>
            </w:r>
          </w:p>
          <w:p w14:paraId="1F84326B">
            <w:pPr>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7.2 乙方确保所供进口设备的电源及电源插头，符合中国要求、能够满足甲方使用需要。乙方向甲方提供中文操作说明书。</w:t>
            </w:r>
          </w:p>
          <w:p w14:paraId="23DD1F23">
            <w:pPr>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7.3 乙方保证：甲方在设备及配件（有配套软件的还包括软件产品）使用期间不受第三方提出侵犯其专利权、商标权和工业设计权等的起诉。</w:t>
            </w:r>
          </w:p>
          <w:p w14:paraId="2B219C02">
            <w:pPr>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7.4 乙方严格遵守投标、技术澄清、商务谈判、中标所承诺的一切规定和条款。</w:t>
            </w:r>
          </w:p>
          <w:p w14:paraId="5D41AA21">
            <w:pPr>
              <w:spacing w:line="360" w:lineRule="auto"/>
              <w:textAlignment w:val="baseline"/>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7.5 参与甲方共同进行设备验收。</w:t>
            </w:r>
          </w:p>
          <w:p w14:paraId="35A918D8">
            <w:pPr>
              <w:spacing w:line="360" w:lineRule="auto"/>
              <w:rPr>
                <w:rFonts w:hint="eastAsia" w:ascii="宋体" w:hAnsi="宋体" w:eastAsia="宋体" w:cs="Times New Roman"/>
                <w:color w:val="auto"/>
                <w:sz w:val="24"/>
                <w:szCs w:val="24"/>
                <w:highlight w:val="none"/>
              </w:rPr>
            </w:pPr>
            <w:r>
              <w:rPr>
                <w:rFonts w:hint="eastAsia" w:ascii="宋体" w:hAnsi="宋体" w:eastAsia="宋体" w:cs="宋体"/>
                <w:color w:val="auto"/>
                <w:sz w:val="24"/>
                <w:szCs w:val="24"/>
                <w:highlight w:val="none"/>
                <w:lang w:val="en-US" w:eastAsia="zh-CN"/>
              </w:rPr>
              <w:t>7.6乙方所交付的设备的出厂日期与交货期之</w:t>
            </w:r>
            <w:r>
              <w:rPr>
                <w:rFonts w:hint="eastAsia" w:ascii="宋体" w:hAnsi="宋体" w:eastAsia="宋体" w:cs="宋体"/>
                <w:color w:val="auto"/>
                <w:sz w:val="24"/>
                <w:szCs w:val="24"/>
                <w:highlight w:val="none"/>
              </w:rPr>
              <w:t>间</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lang w:val="en-US" w:eastAsia="zh-CN"/>
              </w:rPr>
              <w:t>时间间</w:t>
            </w:r>
            <w:r>
              <w:rPr>
                <w:rFonts w:hint="eastAsia" w:ascii="宋体" w:hAnsi="宋体" w:eastAsia="宋体" w:cs="宋体"/>
                <w:color w:val="auto"/>
                <w:sz w:val="24"/>
                <w:szCs w:val="24"/>
                <w:highlight w:val="none"/>
              </w:rPr>
              <w:t>隔不</w:t>
            </w:r>
            <w:r>
              <w:rPr>
                <w:rFonts w:hint="eastAsia" w:ascii="宋体" w:hAnsi="宋体" w:eastAsia="宋体" w:cs="宋体"/>
                <w:color w:val="auto"/>
                <w:sz w:val="24"/>
                <w:szCs w:val="24"/>
                <w:highlight w:val="none"/>
                <w:lang w:val="en-US" w:eastAsia="zh-CN"/>
              </w:rPr>
              <w:t>得</w:t>
            </w:r>
            <w:r>
              <w:rPr>
                <w:rFonts w:hint="eastAsia" w:ascii="宋体" w:hAnsi="宋体" w:eastAsia="宋体" w:cs="宋体"/>
                <w:color w:val="auto"/>
                <w:sz w:val="24"/>
                <w:szCs w:val="24"/>
                <w:highlight w:val="none"/>
              </w:rPr>
              <w:t>超过一年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r>
              <w:rPr>
                <w:rFonts w:hint="eastAsia" w:ascii="宋体" w:hAnsi="宋体" w:eastAsia="宋体" w:cs="Times New Roman"/>
                <w:color w:val="auto"/>
                <w:sz w:val="24"/>
                <w:szCs w:val="24"/>
                <w:highlight w:val="none"/>
              </w:rPr>
              <w:t xml:space="preserve">  </w:t>
            </w:r>
          </w:p>
          <w:p w14:paraId="4D849129">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第八条  技术培训</w:t>
            </w:r>
          </w:p>
          <w:p w14:paraId="6A273CF0">
            <w:pPr>
              <w:spacing w:line="360" w:lineRule="auto"/>
              <w:ind w:firstLine="480" w:firstLineChars="200"/>
              <w:rPr>
                <w:rFonts w:hint="eastAsia" w:ascii="宋体" w:hAnsi="宋体" w:eastAsia="宋体" w:cs="Times New Roman"/>
                <w:color w:val="auto"/>
                <w:sz w:val="24"/>
                <w:szCs w:val="24"/>
                <w:highlight w:val="none"/>
              </w:rPr>
            </w:pPr>
            <w:r>
              <w:rPr>
                <w:rStyle w:val="102"/>
                <w:rFonts w:hint="eastAsia" w:ascii="宋体" w:hAnsi="宋体" w:eastAsia="宋体" w:cs="Times New Roman"/>
                <w:color w:val="auto"/>
                <w:sz w:val="24"/>
                <w:szCs w:val="24"/>
                <w:highlight w:val="none"/>
              </w:rPr>
              <w:t>乙方向</w:t>
            </w:r>
            <w:r>
              <w:rPr>
                <w:rFonts w:hint="eastAsia" w:ascii="宋体" w:hAnsi="宋体" w:eastAsia="宋体" w:cs="Times New Roman"/>
                <w:color w:val="auto"/>
                <w:sz w:val="24"/>
                <w:szCs w:val="24"/>
                <w:highlight w:val="none"/>
              </w:rPr>
              <w:t>甲方提供</w:t>
            </w:r>
            <w:r>
              <w:rPr>
                <w:rFonts w:hint="eastAsia" w:ascii="宋体" w:hAnsi="宋体" w:eastAsia="宋体" w:cs="Times New Roman"/>
                <w:color w:val="auto"/>
                <w:sz w:val="24"/>
                <w:szCs w:val="24"/>
                <w:highlight w:val="none"/>
                <w:u w:val="single"/>
              </w:rPr>
              <w:t xml:space="preserve"> 不少于</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天的设备现场例行免费培训，直至使用人员及工程师能完全掌握使用方法，独立完成操作为止。培训内容包括设备的调试、使用、一般的维修、维护及保养等；食宿自理（各自负责）。</w:t>
            </w:r>
          </w:p>
          <w:p w14:paraId="11C5E1F9">
            <w:pPr>
              <w:spacing w:line="360" w:lineRule="auto"/>
              <w:ind w:firstLine="48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第九条  甲方在设备使用过程中发生技术质量问题，乙方应提供及时有效的技术支持。乙方的24小时免费技术支持电话：</w:t>
            </w:r>
            <w:r>
              <w:rPr>
                <w:rFonts w:hint="eastAsia" w:ascii="宋体" w:hAnsi="宋体" w:eastAsia="宋体" w:cs="Times New Roman"/>
                <w:b/>
                <w:color w:val="auto"/>
                <w:sz w:val="24"/>
                <w:szCs w:val="24"/>
                <w:highlight w:val="none"/>
                <w:u w:val="single"/>
              </w:rPr>
              <w:t xml:space="preserve"> </w:t>
            </w:r>
            <w:r>
              <w:rPr>
                <w:rFonts w:hint="eastAsia" w:ascii="宋体" w:hAnsi="宋体" w:eastAsia="宋体" w:cs="Times New Roman"/>
                <w:b/>
                <w:color w:val="auto"/>
                <w:sz w:val="24"/>
                <w:szCs w:val="24"/>
                <w:highlight w:val="none"/>
                <w:u w:val="single"/>
                <w:lang w:val="en-US" w:eastAsia="zh-CN"/>
              </w:rPr>
              <w:t xml:space="preserve">       </w:t>
            </w:r>
            <w:r>
              <w:rPr>
                <w:rFonts w:ascii="宋体" w:hAnsi="宋体" w:eastAsia="宋体" w:cs="Times New Roman"/>
                <w:b/>
                <w:color w:val="auto"/>
                <w:sz w:val="24"/>
                <w:szCs w:val="24"/>
                <w:highlight w:val="none"/>
                <w:u w:val="single"/>
              </w:rPr>
              <w:t xml:space="preserve"> </w:t>
            </w:r>
            <w:r>
              <w:rPr>
                <w:rFonts w:hint="eastAsia" w:ascii="宋体" w:hAnsi="宋体" w:eastAsia="宋体" w:cs="Times New Roman"/>
                <w:b/>
                <w:color w:val="auto"/>
                <w:sz w:val="24"/>
                <w:szCs w:val="24"/>
                <w:highlight w:val="none"/>
                <w:u w:val="single"/>
              </w:rPr>
              <w:t>。</w:t>
            </w:r>
          </w:p>
          <w:p w14:paraId="24D8AEFF">
            <w:pPr>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 xml:space="preserve">    第十条  整体项目完成时间（即设备送达甲方指定地点并按规范安装调试完毕时间）为合同签订后</w:t>
            </w:r>
            <w:r>
              <w:rPr>
                <w:rFonts w:ascii="宋体" w:hAnsi="宋体" w:eastAsia="宋体" w:cs="Times New Roman"/>
                <w:b/>
                <w:color w:val="auto"/>
                <w:sz w:val="24"/>
                <w:szCs w:val="24"/>
                <w:highlight w:val="none"/>
              </w:rPr>
              <w:t xml:space="preserve"> </w:t>
            </w:r>
            <w:r>
              <w:rPr>
                <w:rFonts w:ascii="宋体" w:hAnsi="宋体" w:eastAsia="宋体" w:cs="Times New Roman"/>
                <w:b/>
                <w:color w:val="auto"/>
                <w:sz w:val="24"/>
                <w:szCs w:val="24"/>
                <w:highlight w:val="none"/>
                <w:u w:val="single"/>
              </w:rPr>
              <w:t xml:space="preserve">  </w:t>
            </w:r>
            <w:r>
              <w:rPr>
                <w:rFonts w:hint="eastAsia" w:ascii="宋体" w:hAnsi="宋体" w:eastAsia="宋体" w:cs="Times New Roman"/>
                <w:b/>
                <w:color w:val="auto"/>
                <w:sz w:val="24"/>
                <w:szCs w:val="24"/>
                <w:highlight w:val="none"/>
              </w:rPr>
              <w:t>个日历</w:t>
            </w:r>
            <w:r>
              <w:rPr>
                <w:rFonts w:ascii="宋体" w:hAnsi="宋体" w:eastAsia="宋体" w:cs="Times New Roman"/>
                <w:b/>
                <w:color w:val="auto"/>
                <w:sz w:val="24"/>
                <w:szCs w:val="24"/>
                <w:highlight w:val="none"/>
              </w:rPr>
              <w:t>日</w:t>
            </w:r>
            <w:r>
              <w:rPr>
                <w:rFonts w:hint="eastAsia" w:ascii="宋体" w:hAnsi="宋体" w:eastAsia="宋体" w:cs="Times New Roman"/>
                <w:b/>
                <w:color w:val="auto"/>
                <w:sz w:val="24"/>
                <w:szCs w:val="24"/>
                <w:highlight w:val="none"/>
              </w:rPr>
              <w:t>内。</w:t>
            </w:r>
          </w:p>
          <w:p w14:paraId="69C61982">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设备交验地点和方式：合同签订后</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rPr>
              <w:t>个日历</w:t>
            </w:r>
            <w:r>
              <w:rPr>
                <w:rFonts w:ascii="宋体" w:hAnsi="宋体" w:eastAsia="宋体" w:cs="Times New Roman"/>
                <w:color w:val="auto"/>
                <w:sz w:val="24"/>
                <w:szCs w:val="24"/>
                <w:highlight w:val="none"/>
              </w:rPr>
              <w:t>日</w:t>
            </w:r>
            <w:r>
              <w:rPr>
                <w:rFonts w:hint="eastAsia" w:ascii="宋体" w:hAnsi="宋体" w:eastAsia="宋体" w:cs="Times New Roman"/>
                <w:color w:val="auto"/>
                <w:sz w:val="24"/>
                <w:szCs w:val="24"/>
                <w:highlight w:val="none"/>
              </w:rPr>
              <w:t>内，乙方负责将完整配套的原封设备（含开机必要消耗品）送到甲方指定</w:t>
            </w:r>
            <w:r>
              <w:rPr>
                <w:rFonts w:hint="eastAsia" w:ascii="宋体" w:hAnsi="宋体" w:eastAsia="宋体" w:cs="Times New Roman"/>
                <w:color w:val="auto"/>
                <w:sz w:val="24"/>
                <w:szCs w:val="24"/>
                <w:highlight w:val="none"/>
                <w:lang w:val="en-US" w:eastAsia="zh-CN"/>
              </w:rPr>
              <w:t>验收</w:t>
            </w:r>
            <w:r>
              <w:rPr>
                <w:rFonts w:hint="eastAsia" w:ascii="宋体" w:hAnsi="宋体" w:eastAsia="宋体" w:cs="Times New Roman"/>
                <w:color w:val="auto"/>
                <w:sz w:val="24"/>
                <w:szCs w:val="24"/>
                <w:highlight w:val="none"/>
              </w:rPr>
              <w:t>地点，由甲乙双方共同开箱初验，并由乙方按合同规范要求完成安装调试。交货时，乙方随货向甲方交付随机资料和配套附属设备，包括但不限于原产地证明、发票、出厂试验报告、合格证、保修卡、图纸、相关资料（如操作手册、使用指南、维修手册、安装调试说明书、服务手册等）及配备的用件、工具等。</w:t>
            </w:r>
          </w:p>
          <w:p w14:paraId="4EA3E0B7">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第十一条  验收及验收标准</w:t>
            </w:r>
          </w:p>
          <w:p w14:paraId="4CF0A2EE">
            <w:pPr>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11.1 设备验收：设备到达甲方指定地点后，由乙方负责进行设备的安装和调试，安装调试完毕后，由甲方测试是否合格并满足技术要求。</w:t>
            </w:r>
          </w:p>
          <w:p w14:paraId="7158AEE9">
            <w:pPr>
              <w:spacing w:line="360" w:lineRule="auto"/>
              <w:rPr>
                <w:rFonts w:hint="eastAsia" w:ascii="宋体" w:hAnsi="宋体" w:eastAsia="宋体" w:cs="宋体"/>
                <w:strike w:val="0"/>
                <w:dstrike w:val="0"/>
                <w:color w:val="auto"/>
                <w:kern w:val="0"/>
                <w:sz w:val="24"/>
                <w:highlight w:val="none"/>
                <w:u w:val="none"/>
                <w:lang w:eastAsia="zh-CN"/>
              </w:rPr>
            </w:pPr>
            <w:r>
              <w:rPr>
                <w:rFonts w:hint="eastAsia" w:ascii="宋体" w:hAnsi="宋体" w:eastAsia="宋体" w:cs="Times New Roman"/>
                <w:color w:val="auto"/>
                <w:sz w:val="24"/>
                <w:szCs w:val="24"/>
                <w:highlight w:val="none"/>
              </w:rPr>
              <w:t>11.2</w:t>
            </w:r>
            <w:r>
              <w:rPr>
                <w:rFonts w:hint="eastAsia" w:ascii="宋体" w:hAnsi="宋体" w:eastAsia="宋体" w:cs="Times New Roman"/>
                <w:strike w:val="0"/>
                <w:dstrike w:val="0"/>
                <w:color w:val="auto"/>
                <w:sz w:val="24"/>
                <w:szCs w:val="24"/>
                <w:highlight w:val="none"/>
              </w:rPr>
              <w:t xml:space="preserve"> </w:t>
            </w:r>
            <w:r>
              <w:rPr>
                <w:rFonts w:hint="eastAsia" w:ascii="宋体" w:hAnsi="宋体" w:eastAsia="宋体" w:cs="Times New Roman"/>
                <w:strike w:val="0"/>
                <w:dstrike w:val="0"/>
                <w:color w:val="auto"/>
                <w:sz w:val="24"/>
                <w:szCs w:val="24"/>
                <w:highlight w:val="none"/>
                <w:u w:val="none"/>
              </w:rPr>
              <w:t>实质性操作验收：</w:t>
            </w:r>
            <w:r>
              <w:rPr>
                <w:rFonts w:hint="eastAsia" w:ascii="宋体" w:hAnsi="宋体" w:eastAsia="宋体" w:cs="宋体"/>
                <w:strike w:val="0"/>
                <w:dstrike w:val="0"/>
                <w:color w:val="auto"/>
                <w:kern w:val="0"/>
                <w:sz w:val="24"/>
                <w:highlight w:val="none"/>
                <w:u w:val="none"/>
              </w:rPr>
              <w:t>由</w:t>
            </w:r>
            <w:r>
              <w:rPr>
                <w:rFonts w:hint="eastAsia" w:ascii="宋体" w:hAnsi="宋体" w:eastAsia="宋体" w:cs="宋体"/>
                <w:strike w:val="0"/>
                <w:dstrike w:val="0"/>
                <w:color w:val="auto"/>
                <w:kern w:val="0"/>
                <w:sz w:val="24"/>
                <w:highlight w:val="none"/>
                <w:u w:val="none"/>
                <w:lang w:val="en-US" w:eastAsia="zh-CN"/>
              </w:rPr>
              <w:t>甲方</w:t>
            </w:r>
            <w:r>
              <w:rPr>
                <w:rFonts w:hint="eastAsia" w:ascii="宋体" w:hAnsi="宋体" w:eastAsia="宋体" w:cs="宋体"/>
                <w:strike w:val="0"/>
                <w:dstrike w:val="0"/>
                <w:color w:val="auto"/>
                <w:kern w:val="0"/>
                <w:sz w:val="24"/>
                <w:highlight w:val="none"/>
                <w:u w:val="none"/>
              </w:rPr>
              <w:t>使用部门</w:t>
            </w:r>
            <w:r>
              <w:rPr>
                <w:rFonts w:hint="eastAsia" w:ascii="宋体" w:hAnsi="宋体" w:eastAsia="宋体" w:cs="宋体"/>
                <w:strike w:val="0"/>
                <w:dstrike w:val="0"/>
                <w:color w:val="auto"/>
                <w:kern w:val="0"/>
                <w:sz w:val="24"/>
                <w:highlight w:val="none"/>
                <w:u w:val="none"/>
                <w:lang w:val="en-US" w:eastAsia="zh-CN"/>
              </w:rPr>
              <w:t>检测是否</w:t>
            </w:r>
            <w:r>
              <w:rPr>
                <w:rFonts w:hint="eastAsia" w:ascii="宋体" w:hAnsi="宋体" w:eastAsia="宋体" w:cs="宋体"/>
                <w:strike w:val="0"/>
                <w:dstrike w:val="0"/>
                <w:color w:val="auto"/>
                <w:kern w:val="0"/>
                <w:sz w:val="24"/>
                <w:highlight w:val="none"/>
                <w:u w:val="none"/>
              </w:rPr>
              <w:t>达到国家及合同约定标准，通过后视为最终验收合格, 否则甲方有权拒绝接收验收不合格的合同设备</w:t>
            </w:r>
            <w:r>
              <w:rPr>
                <w:rFonts w:hint="eastAsia" w:ascii="宋体" w:hAnsi="宋体" w:eastAsia="宋体" w:cs="宋体"/>
                <w:strike w:val="0"/>
                <w:dstrike w:val="0"/>
                <w:color w:val="auto"/>
                <w:kern w:val="0"/>
                <w:sz w:val="24"/>
                <w:highlight w:val="none"/>
                <w:u w:val="none"/>
                <w:lang w:eastAsia="zh-CN"/>
              </w:rPr>
              <w:t>。</w:t>
            </w:r>
          </w:p>
          <w:p w14:paraId="0716EC3E">
            <w:pPr>
              <w:spacing w:line="360" w:lineRule="auto"/>
              <w:rPr>
                <w:rFonts w:hint="default" w:ascii="宋体" w:hAnsi="宋体" w:eastAsia="宋体" w:cs="Times New Roman"/>
                <w:color w:val="auto"/>
                <w:sz w:val="24"/>
                <w:szCs w:val="24"/>
                <w:highlight w:val="none"/>
                <w:lang w:val="en-US" w:eastAsia="zh-CN"/>
              </w:rPr>
            </w:pPr>
            <w:r>
              <w:rPr>
                <w:rFonts w:hint="eastAsia" w:ascii="宋体" w:hAnsi="宋体" w:eastAsia="宋体" w:cs="Times New Roman"/>
                <w:strike w:val="0"/>
                <w:dstrike w:val="0"/>
                <w:color w:val="auto"/>
                <w:sz w:val="24"/>
                <w:szCs w:val="24"/>
                <w:highlight w:val="none"/>
                <w:u w:val="none"/>
                <w:lang w:val="en-US" w:eastAsia="zh-CN"/>
              </w:rPr>
              <w:t xml:space="preserve">11.3 </w:t>
            </w:r>
            <w:r>
              <w:rPr>
                <w:rFonts w:hint="eastAsia" w:ascii="宋体" w:hAnsi="宋体" w:eastAsia="宋体" w:cs="Times New Roman"/>
                <w:color w:val="auto"/>
                <w:sz w:val="24"/>
                <w:szCs w:val="24"/>
                <w:highlight w:val="none"/>
                <w:lang w:val="en-US" w:eastAsia="zh-CN"/>
              </w:rPr>
              <w:t>甲方对设备的验收并不减轻或免除乙方应承担的质量保证责任。</w:t>
            </w:r>
          </w:p>
          <w:p w14:paraId="18386FD0">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第十二条  合同价款结算</w:t>
            </w:r>
          </w:p>
          <w:p w14:paraId="0D1247C9">
            <w:pPr>
              <w:tabs>
                <w:tab w:val="left" w:pos="6930"/>
              </w:tabs>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12.1合同生效</w:t>
            </w:r>
          </w:p>
          <w:p w14:paraId="0A143DE3">
            <w:pPr>
              <w:tabs>
                <w:tab w:val="left" w:pos="6930"/>
              </w:tabs>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乙方应根据招标文件要求向采购代理机构交纳招标代理服务费并取得甲方的签章后，合同才正式生效。</w:t>
            </w:r>
          </w:p>
          <w:p w14:paraId="13ECC10A">
            <w:pPr>
              <w:tabs>
                <w:tab w:val="left" w:pos="6930"/>
              </w:tabs>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12.2 价款的结算</w:t>
            </w:r>
          </w:p>
          <w:p w14:paraId="38011FA9">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乙方收到中标通知书后10个工作日内，乙方向甲方提供相当于合同总价款10%的履约保证金（履约保证金形式：供应商自主选择以支票、汇票、本票、保函(保险)等非现金形式），计人民币    元整（¥    元）。</w:t>
            </w:r>
          </w:p>
          <w:p w14:paraId="0F374082">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合同签订生效后五个工作日内，甲方向乙方支付</w:t>
            </w:r>
            <w:r>
              <w:rPr>
                <w:rFonts w:hint="eastAsia" w:ascii="宋体" w:hAnsi="宋体" w:cs="Times New Roman"/>
                <w:color w:val="auto"/>
                <w:sz w:val="24"/>
                <w:highlight w:val="none"/>
                <w:lang w:eastAsia="zh-CN"/>
              </w:rPr>
              <w:t>合同价款</w:t>
            </w:r>
            <w:r>
              <w:rPr>
                <w:rFonts w:hint="eastAsia" w:ascii="宋体" w:hAnsi="宋体" w:cs="Times New Roman"/>
                <w:color w:val="auto"/>
                <w:sz w:val="24"/>
                <w:highlight w:val="none"/>
                <w:lang w:val="en-US" w:eastAsia="zh-CN"/>
              </w:rPr>
              <w:t>30</w:t>
            </w:r>
            <w:r>
              <w:rPr>
                <w:rFonts w:hint="eastAsia" w:ascii="宋体" w:hAnsi="宋体" w:eastAsia="宋体" w:cs="Times New Roman"/>
                <w:color w:val="auto"/>
                <w:sz w:val="24"/>
                <w:highlight w:val="none"/>
              </w:rPr>
              <w:t>%的预付款，计人民币   元整（¥    元）；</w:t>
            </w:r>
            <w:r>
              <w:rPr>
                <w:rFonts w:hint="eastAsia" w:ascii="宋体" w:hAnsi="宋体" w:eastAsia="宋体" w:cs="宋体"/>
                <w:color w:val="auto"/>
                <w:kern w:val="2"/>
                <w:sz w:val="24"/>
                <w:szCs w:val="24"/>
                <w:highlight w:val="none"/>
              </w:rPr>
              <w:t>设备到货后支付</w:t>
            </w:r>
            <w:r>
              <w:rPr>
                <w:rFonts w:hint="eastAsia" w:ascii="宋体" w:hAnsi="宋体" w:eastAsia="宋体" w:cs="Times New Roman"/>
                <w:color w:val="auto"/>
                <w:sz w:val="24"/>
                <w:highlight w:val="none"/>
              </w:rPr>
              <w:t>合同总价款的</w:t>
            </w:r>
            <w:r>
              <w:rPr>
                <w:rFonts w:hint="eastAsia" w:ascii="宋体" w:hAnsi="宋体" w:cs="Times New Roman"/>
                <w:color w:val="auto"/>
                <w:sz w:val="24"/>
                <w:highlight w:val="none"/>
                <w:lang w:val="en-US" w:eastAsia="zh-CN"/>
              </w:rPr>
              <w:t>60</w:t>
            </w:r>
            <w:r>
              <w:rPr>
                <w:rFonts w:hint="eastAsia" w:ascii="宋体" w:hAnsi="宋体" w:eastAsia="宋体" w:cs="Times New Roman"/>
                <w:color w:val="auto"/>
                <w:sz w:val="24"/>
                <w:highlight w:val="none"/>
              </w:rPr>
              <w:t>%，计人民币   元整（¥    元）</w:t>
            </w:r>
            <w:r>
              <w:rPr>
                <w:rFonts w:hint="eastAsia" w:ascii="宋体" w:hAnsi="宋体" w:cs="Times New Roman"/>
                <w:color w:val="auto"/>
                <w:sz w:val="24"/>
                <w:highlight w:val="none"/>
                <w:lang w:eastAsia="zh-CN"/>
              </w:rPr>
              <w:t>；</w:t>
            </w:r>
            <w:r>
              <w:rPr>
                <w:rFonts w:hint="eastAsia" w:ascii="宋体" w:hAnsi="宋体" w:eastAsia="宋体" w:cs="Times New Roman"/>
                <w:color w:val="auto"/>
                <w:sz w:val="24"/>
                <w:highlight w:val="none"/>
              </w:rPr>
              <w:t>设备安装完成且经甲方验收合格后的30个工作日内，乙方向甲方开具全额增值税发票，甲方收到发票后向乙方支付剩余合同总价款的</w:t>
            </w:r>
            <w:r>
              <w:rPr>
                <w:rFonts w:hint="eastAsia" w:ascii="宋体" w:hAnsi="宋体" w:cs="Times New Roman"/>
                <w:color w:val="auto"/>
                <w:sz w:val="24"/>
                <w:highlight w:val="none"/>
                <w:lang w:val="en-US" w:eastAsia="zh-CN"/>
              </w:rPr>
              <w:t>10</w:t>
            </w:r>
            <w:r>
              <w:rPr>
                <w:rFonts w:hint="eastAsia" w:ascii="宋体" w:hAnsi="宋体" w:eastAsia="宋体" w:cs="Times New Roman"/>
                <w:color w:val="auto"/>
                <w:sz w:val="24"/>
                <w:highlight w:val="none"/>
              </w:rPr>
              <w:t>%，计人民币    元整   （¥    元）。</w:t>
            </w:r>
          </w:p>
          <w:p w14:paraId="528618D1">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在设备安装完成且验收合格满 12个月后的30个工作日内，甲方向乙方退还5%的履约保证金（不计利息）, 计人民币    元整（¥</w:t>
            </w:r>
            <w:r>
              <w:rPr>
                <w:rFonts w:hint="eastAsia" w:ascii="宋体" w:hAnsi="宋体" w:eastAsia="宋体" w:cs="Times New Roman"/>
                <w:color w:val="auto"/>
                <w:sz w:val="24"/>
                <w:highlight w:val="none"/>
                <w:lang w:val="en-US" w:eastAsia="zh-CN"/>
              </w:rPr>
              <w:t xml:space="preserve">     </w:t>
            </w:r>
            <w:r>
              <w:rPr>
                <w:rFonts w:hint="eastAsia" w:ascii="宋体" w:hAnsi="宋体" w:eastAsia="宋体" w:cs="Times New Roman"/>
                <w:color w:val="auto"/>
                <w:sz w:val="24"/>
                <w:highlight w:val="none"/>
              </w:rPr>
              <w:t>元）；在设备安装完成且验收合格满   个月后的30个工作日内，供应商履行完合同约定权利义务事项，则甲方向乙方一次性退还剩余5%的履约保证金（不计利息）, 计人民币    元整（¥</w:t>
            </w:r>
            <w:r>
              <w:rPr>
                <w:rFonts w:hint="eastAsia" w:ascii="宋体" w:hAnsi="宋体" w:eastAsia="宋体" w:cs="Times New Roman"/>
                <w:color w:val="auto"/>
                <w:sz w:val="24"/>
                <w:highlight w:val="none"/>
                <w:lang w:val="en-US" w:eastAsia="zh-CN"/>
              </w:rPr>
              <w:t xml:space="preserve">      </w:t>
            </w:r>
            <w:r>
              <w:rPr>
                <w:rFonts w:hint="eastAsia" w:ascii="宋体" w:hAnsi="宋体" w:eastAsia="宋体" w:cs="Times New Roman"/>
                <w:color w:val="auto"/>
                <w:sz w:val="24"/>
                <w:highlight w:val="none"/>
              </w:rPr>
              <w:t>元）。甲方向乙方返还履约保证金并不免除乙方应承担的合同义务。</w:t>
            </w:r>
          </w:p>
          <w:p w14:paraId="6B110545">
            <w:pPr>
              <w:tabs>
                <w:tab w:val="left" w:pos="6930"/>
              </w:tabs>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AU"/>
              </w:rPr>
              <w:t>以上费用均需由乙方提出书面申请</w:t>
            </w:r>
            <w:r>
              <w:rPr>
                <w:rFonts w:hint="eastAsia" w:ascii="宋体" w:hAnsi="宋体" w:eastAsia="宋体" w:cs="Times New Roman"/>
                <w:color w:val="auto"/>
                <w:sz w:val="24"/>
                <w:szCs w:val="24"/>
                <w:highlight w:val="none"/>
                <w:lang w:val="en-US" w:eastAsia="zh-CN"/>
              </w:rPr>
              <w:t>并按甲方要求提供包括合同、验收单据、</w:t>
            </w:r>
            <w:r>
              <w:rPr>
                <w:rFonts w:hint="eastAsia" w:ascii="宋体" w:hAnsi="宋体" w:eastAsia="宋体" w:cs="Times New Roman"/>
                <w:color w:val="auto"/>
                <w:sz w:val="24"/>
                <w:szCs w:val="22"/>
                <w:highlight w:val="none"/>
              </w:rPr>
              <w:t>设备商检证书、进口设备的报关材料等资料（如需），</w:t>
            </w:r>
            <w:r>
              <w:rPr>
                <w:rFonts w:hint="eastAsia" w:ascii="宋体" w:hAnsi="宋体" w:eastAsia="宋体" w:cs="Times New Roman"/>
                <w:color w:val="auto"/>
                <w:sz w:val="24"/>
                <w:szCs w:val="24"/>
                <w:highlight w:val="none"/>
                <w:lang w:val="en-US" w:eastAsia="zh-CN"/>
              </w:rPr>
              <w:t>在内的相关材料</w:t>
            </w:r>
            <w:r>
              <w:rPr>
                <w:rFonts w:hint="eastAsia" w:ascii="宋体" w:hAnsi="宋体" w:eastAsia="宋体" w:cs="Times New Roman"/>
                <w:color w:val="auto"/>
                <w:sz w:val="24"/>
                <w:szCs w:val="24"/>
                <w:highlight w:val="none"/>
                <w:lang w:val="en-AU"/>
              </w:rPr>
              <w:t>（乙方申请第一笔费用时需提供合同原件）</w:t>
            </w:r>
            <w:r>
              <w:rPr>
                <w:rFonts w:hint="eastAsia" w:ascii="宋体" w:hAnsi="宋体" w:eastAsia="宋体" w:cs="Times New Roman"/>
                <w:color w:val="auto"/>
                <w:sz w:val="24"/>
                <w:szCs w:val="24"/>
                <w:highlight w:val="none"/>
                <w:lang w:val="en-AU" w:eastAsia="zh-CN"/>
              </w:rPr>
              <w:t>，</w:t>
            </w:r>
            <w:r>
              <w:rPr>
                <w:rFonts w:hint="eastAsia" w:ascii="宋体" w:hAnsi="宋体" w:eastAsia="宋体" w:cs="Times New Roman"/>
                <w:color w:val="auto"/>
                <w:sz w:val="24"/>
                <w:szCs w:val="24"/>
                <w:highlight w:val="none"/>
                <w:lang w:val="en-US" w:eastAsia="zh-CN"/>
              </w:rPr>
              <w:t>经甲方审核确认后予以支付。</w:t>
            </w:r>
          </w:p>
          <w:p w14:paraId="40E01E91">
            <w:pPr>
              <w:tabs>
                <w:tab w:val="left" w:pos="6930"/>
              </w:tabs>
              <w:spacing w:line="360" w:lineRule="auto"/>
              <w:ind w:firstLine="361" w:firstLineChars="15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第十三条  违约责任</w:t>
            </w:r>
          </w:p>
          <w:p w14:paraId="7C02A19C">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1"/>
                <w:highlight w:val="none"/>
                <w:lang w:val="en-AU" w:eastAsia="zh-CN" w:bidi="ar-SA"/>
              </w:rPr>
              <w:t>3.1如乙方所交设备（含</w:t>
            </w:r>
            <w:r>
              <w:rPr>
                <w:rFonts w:hint="eastAsia" w:ascii="宋体" w:hAnsi="宋体" w:eastAsia="宋体" w:cs="Times New Roman"/>
                <w:color w:val="auto"/>
                <w:sz w:val="24"/>
                <w:szCs w:val="21"/>
                <w:highlight w:val="none"/>
                <w:lang w:val="en-US" w:eastAsia="zh-CN" w:bidi="ar-SA"/>
              </w:rPr>
              <w:t>软件系统和</w:t>
            </w:r>
            <w:r>
              <w:rPr>
                <w:rFonts w:hint="eastAsia" w:ascii="宋体" w:hAnsi="宋体" w:eastAsia="宋体" w:cs="Times New Roman"/>
                <w:color w:val="auto"/>
                <w:sz w:val="24"/>
                <w:szCs w:val="21"/>
                <w:highlight w:val="none"/>
                <w:lang w:val="en-AU" w:eastAsia="zh-CN" w:bidi="ar-SA"/>
              </w:rPr>
              <w:t>选购件）或安装调试与合同标准不相符合，则甲方有权拒</w:t>
            </w:r>
            <w:r>
              <w:rPr>
                <w:rFonts w:hint="eastAsia" w:ascii="宋体" w:hAnsi="宋体" w:eastAsia="宋体" w:cs="Times New Roman"/>
                <w:color w:val="auto"/>
                <w:sz w:val="24"/>
                <w:szCs w:val="24"/>
                <w:highlight w:val="none"/>
              </w:rPr>
              <w:t>收设备（含选购件）、解除本合同、拒付本合同项下的价款并追究乙方违约责任，乙方应按合同总价款的30%向甲方支付违约金，若因此给甲方造成损失，由乙方负责赔偿。</w:t>
            </w:r>
          </w:p>
          <w:p w14:paraId="082AE40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13.2在设备（含</w:t>
            </w:r>
            <w:r>
              <w:rPr>
                <w:rFonts w:hint="eastAsia" w:ascii="宋体" w:hAnsi="宋体" w:eastAsia="宋体" w:cs="Times New Roman"/>
                <w:color w:val="auto"/>
                <w:sz w:val="24"/>
                <w:szCs w:val="24"/>
                <w:highlight w:val="none"/>
                <w:lang w:val="en-US" w:eastAsia="zh-CN"/>
              </w:rPr>
              <w:t>软件系统和</w:t>
            </w:r>
            <w:r>
              <w:rPr>
                <w:rFonts w:hint="eastAsia" w:ascii="宋体" w:hAnsi="宋体" w:eastAsia="宋体" w:cs="Times New Roman"/>
                <w:color w:val="auto"/>
                <w:sz w:val="24"/>
                <w:szCs w:val="24"/>
                <w:highlight w:val="none"/>
              </w:rPr>
              <w:t>选购件）验收后的质保期内，乙方应对由于设计、工艺或者材料的缺陷而发生的任何不足或故障负责，并按本合同约定和甲方要求承担维修义务，由此而发生的一切费用由乙方承担，若因此导致甲方不能正常使用设备（含</w:t>
            </w:r>
            <w:r>
              <w:rPr>
                <w:rFonts w:hint="eastAsia" w:ascii="宋体" w:hAnsi="宋体" w:eastAsia="宋体" w:cs="Times New Roman"/>
                <w:color w:val="auto"/>
                <w:sz w:val="24"/>
                <w:szCs w:val="24"/>
                <w:highlight w:val="none"/>
                <w:lang w:val="en-US" w:eastAsia="zh-CN"/>
              </w:rPr>
              <w:t>软件系统和</w:t>
            </w:r>
            <w:r>
              <w:rPr>
                <w:rFonts w:hint="eastAsia" w:ascii="宋体" w:hAnsi="宋体" w:eastAsia="宋体" w:cs="Times New Roman"/>
                <w:color w:val="auto"/>
                <w:sz w:val="24"/>
                <w:szCs w:val="24"/>
                <w:highlight w:val="none"/>
              </w:rPr>
              <w:t>选购件），甲方有权退货并追究乙方违约责任，乙方应返还甲方已支付的全部款项、按合同总价款的30%向甲方支付违约金并赔偿甲方因此而遭受的一切损失。</w:t>
            </w:r>
          </w:p>
          <w:p w14:paraId="565D96FC">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13.3除发生不可抗力事件（不可抗力事件仅指自然灾害、战争）外，如乙方逾期交货或安装调试</w:t>
            </w:r>
            <w:r>
              <w:rPr>
                <w:rFonts w:hint="eastAsia" w:ascii="宋体" w:hAnsi="宋体" w:eastAsia="宋体" w:cs="Times New Roman"/>
                <w:color w:val="auto"/>
                <w:sz w:val="24"/>
                <w:highlight w:val="none"/>
                <w:lang w:val="en-AU"/>
              </w:rPr>
              <w:t>逾期</w:t>
            </w:r>
            <w:r>
              <w:rPr>
                <w:rFonts w:hint="eastAsia" w:ascii="宋体" w:hAnsi="宋体" w:eastAsia="宋体" w:cs="Times New Roman"/>
                <w:color w:val="auto"/>
                <w:sz w:val="24"/>
                <w:szCs w:val="24"/>
                <w:highlight w:val="none"/>
              </w:rPr>
              <w:t>，则每逾期一天，乙方按合同总价的1</w:t>
            </w:r>
            <w:r>
              <w:rPr>
                <w:rFonts w:hint="default"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向甲方支付违约金，逾期30天，甲方有权解除合同并追究乙方违约责任，乙方应返还甲方已支付的全部款项、向甲方支付合同总价款30%的违约金并赔偿甲方因此而遭受的损失。</w:t>
            </w:r>
          </w:p>
          <w:p w14:paraId="73E97528">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13.4</w:t>
            </w:r>
            <w:r>
              <w:rPr>
                <w:rFonts w:hint="eastAsia" w:ascii="宋体" w:hAnsi="宋体" w:eastAsia="宋体" w:cs="Times New Roman"/>
                <w:color w:val="auto"/>
                <w:sz w:val="24"/>
                <w:highlight w:val="none"/>
                <w:lang w:val="en-AU"/>
              </w:rPr>
              <w:t>保修期</w:t>
            </w:r>
            <w:r>
              <w:rPr>
                <w:rFonts w:hint="eastAsia" w:ascii="宋体" w:hAnsi="宋体" w:eastAsia="宋体" w:cs="Times New Roman"/>
                <w:color w:val="auto"/>
                <w:sz w:val="24"/>
                <w:szCs w:val="24"/>
                <w:highlight w:val="none"/>
              </w:rPr>
              <w:t>内，如乙方未按本合同约定提供保修服务，则甲方有权追究乙方违约责任，乙方应按合同总价款的30%向甲方支付违约金并赔偿甲方因此而遭受的损失。</w:t>
            </w:r>
          </w:p>
          <w:p w14:paraId="28EF761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13.5如</w:t>
            </w:r>
            <w:r>
              <w:rPr>
                <w:rFonts w:hint="eastAsia" w:ascii="宋体" w:hAnsi="宋体" w:eastAsia="宋体" w:cs="Times New Roman"/>
                <w:color w:val="auto"/>
                <w:sz w:val="24"/>
                <w:highlight w:val="none"/>
                <w:lang w:val="en-AU"/>
              </w:rPr>
              <w:t>乙方</w:t>
            </w:r>
            <w:r>
              <w:rPr>
                <w:rFonts w:hint="eastAsia" w:ascii="宋体" w:hAnsi="宋体" w:eastAsia="宋体" w:cs="Times New Roman"/>
                <w:color w:val="auto"/>
                <w:sz w:val="24"/>
                <w:szCs w:val="24"/>
                <w:highlight w:val="none"/>
              </w:rPr>
              <w:t>出现除上述13.1—13.4以外的其他违约行为或违反保证与承诺义务，应按合同总价款的30%向甲方支付违约金并赔偿甲方因此而遭受的损失。</w:t>
            </w:r>
          </w:p>
          <w:p w14:paraId="2FCA505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13.6如</w:t>
            </w:r>
            <w:r>
              <w:rPr>
                <w:rFonts w:hint="eastAsia" w:ascii="宋体" w:hAnsi="宋体" w:eastAsia="宋体" w:cs="Times New Roman"/>
                <w:color w:val="auto"/>
                <w:sz w:val="24"/>
                <w:highlight w:val="none"/>
                <w:lang w:val="en-AU"/>
              </w:rPr>
              <w:t>甲方</w:t>
            </w:r>
            <w:r>
              <w:rPr>
                <w:rFonts w:hint="eastAsia" w:ascii="宋体" w:hAnsi="宋体" w:eastAsia="宋体" w:cs="Times New Roman"/>
                <w:color w:val="auto"/>
                <w:sz w:val="24"/>
                <w:szCs w:val="24"/>
                <w:highlight w:val="none"/>
              </w:rPr>
              <w:t>无正当理由拒收设备，应按合同总价款的百分之五向乙方支付违约金以作为对乙方的损失赔偿。</w:t>
            </w:r>
          </w:p>
          <w:p w14:paraId="76EFC9FA">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13.7如甲方无正当理由迟延付款，则每迟延一天，甲方按应付而未付款项的万分之一向乙方支付</w:t>
            </w:r>
            <w:r>
              <w:rPr>
                <w:rFonts w:hint="eastAsia" w:ascii="宋体" w:hAnsi="宋体" w:eastAsia="宋体" w:cs="Times New Roman"/>
                <w:color w:val="auto"/>
                <w:sz w:val="24"/>
                <w:highlight w:val="none"/>
                <w:lang w:val="en-AU"/>
              </w:rPr>
              <w:t>逾期</w:t>
            </w:r>
            <w:r>
              <w:rPr>
                <w:rFonts w:hint="eastAsia" w:ascii="宋体" w:hAnsi="宋体" w:eastAsia="宋体" w:cs="Times New Roman"/>
                <w:color w:val="auto"/>
                <w:sz w:val="24"/>
                <w:szCs w:val="24"/>
                <w:highlight w:val="none"/>
              </w:rPr>
              <w:t>付款的违约金，但逾期付款违约金最多不超过甲方应付而未付金额的5%,本合同继续履行。</w:t>
            </w:r>
          </w:p>
          <w:p w14:paraId="07507B57">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w:t>
            </w:r>
            <w:r>
              <w:rPr>
                <w:rFonts w:hint="eastAsia" w:ascii="宋体" w:hAnsi="宋体" w:eastAsia="宋体" w:cs="Times New Roman"/>
                <w:color w:val="auto"/>
                <w:sz w:val="24"/>
                <w:szCs w:val="24"/>
                <w:highlight w:val="none"/>
                <w:lang w:val="en-US" w:eastAsia="zh-CN"/>
              </w:rPr>
              <w:t>8</w:t>
            </w:r>
            <w:r>
              <w:rPr>
                <w:rFonts w:hint="eastAsia" w:ascii="宋体" w:hAnsi="宋体" w:eastAsia="宋体" w:cs="Times New Roman"/>
                <w:color w:val="auto"/>
                <w:sz w:val="24"/>
                <w:szCs w:val="24"/>
                <w:highlight w:val="none"/>
              </w:rPr>
              <w:t>由于不可抗力（不可抗力仅指自然灾害、战争）所导致的违约，根据不可抗力的影响范围，可部分或全部免除违约方的违约责任，但违约方应及时通知对方并在不可抗力事件发生之日起5日内提供符合法律规定的证明文件，否则应赔偿对方因此而遭受的损失。</w:t>
            </w:r>
          </w:p>
          <w:p w14:paraId="13C42BFB">
            <w:pPr>
              <w:pStyle w:val="23"/>
              <w:spacing w:line="360" w:lineRule="auto"/>
              <w:ind w:firstLine="0" w:firstLineChars="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第十四条  甲方有权拒付合同价以外的任何费用；乙方有权拒绝合同整体范围以外的条件。</w:t>
            </w:r>
          </w:p>
          <w:p w14:paraId="7D9797E9">
            <w:pPr>
              <w:pStyle w:val="23"/>
              <w:spacing w:line="360" w:lineRule="auto"/>
              <w:ind w:firstLine="0" w:firstLineChars="0"/>
              <w:rPr>
                <w:rFonts w:hint="eastAsia"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第十五条  因本合同发生纠纷，由甲乙双方协商解决，协商不成，应向甲方所在地有管辖权的人民法院提起诉讼解决。</w:t>
            </w:r>
          </w:p>
          <w:p w14:paraId="3A8E615C">
            <w:pPr>
              <w:spacing w:line="360" w:lineRule="auto"/>
              <w:rPr>
                <w:rFonts w:hint="eastAsia" w:ascii="宋体" w:hAnsi="宋体" w:eastAsia="宋体" w:cs="Times New Roman"/>
                <w:color w:val="auto"/>
                <w:sz w:val="24"/>
                <w:szCs w:val="24"/>
                <w:highlight w:val="none"/>
              </w:rPr>
            </w:pPr>
            <w:r>
              <w:rPr>
                <w:rFonts w:hint="eastAsia" w:ascii="宋体" w:hAnsi="宋体" w:eastAsia="宋体" w:cs="Times New Roman"/>
                <w:b/>
                <w:color w:val="auto"/>
                <w:sz w:val="24"/>
                <w:szCs w:val="24"/>
                <w:highlight w:val="none"/>
              </w:rPr>
              <w:t xml:space="preserve">    第十六条  下列文件是本合同的组成部分，与本合同具有同等法律效力，如有与本合同不一致之处，以本合同为准。</w:t>
            </w:r>
          </w:p>
          <w:p w14:paraId="4DB0650B">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甲方招标文件；</w:t>
            </w:r>
          </w:p>
          <w:p w14:paraId="12AE602D">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乙方投标文件；</w:t>
            </w:r>
          </w:p>
          <w:p w14:paraId="4EFF2EFD">
            <w:pPr>
              <w:keepNext w:val="0"/>
              <w:keepLines w:val="0"/>
              <w:pageBreakBefore w:val="0"/>
              <w:widowControl/>
              <w:numPr>
                <w:ilvl w:val="0"/>
                <w:numId w:val="2"/>
              </w:numPr>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中标通知书；</w:t>
            </w:r>
          </w:p>
          <w:p w14:paraId="25113F4A">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设备配置清单</w:t>
            </w:r>
            <w:r>
              <w:rPr>
                <w:rFonts w:hint="eastAsia" w:ascii="宋体" w:hAnsi="宋体" w:eastAsia="宋体" w:cs="Times New Roman"/>
                <w:color w:val="auto"/>
                <w:sz w:val="24"/>
                <w:szCs w:val="24"/>
                <w:highlight w:val="none"/>
                <w:lang w:eastAsia="zh-CN"/>
              </w:rPr>
              <w:t>；</w:t>
            </w:r>
          </w:p>
          <w:p w14:paraId="535C59A9">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廉政合同；</w:t>
            </w:r>
          </w:p>
          <w:p w14:paraId="2ED0AE2F">
            <w:pPr>
              <w:keepNext w:val="0"/>
              <w:keepLines w:val="0"/>
              <w:pageBreakBefore w:val="0"/>
              <w:widowControl/>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设备安装验收单。</w:t>
            </w:r>
          </w:p>
          <w:p w14:paraId="02DFD37E">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第十七条  本合同自三方签字盖章之日起生效，未尽事宜，由甲乙双方协商解决。</w:t>
            </w:r>
          </w:p>
          <w:p w14:paraId="0CD9843E">
            <w:pPr>
              <w:spacing w:line="360" w:lineRule="auto"/>
              <w:ind w:firstLine="482" w:firstLineChars="200"/>
              <w:rPr>
                <w:rFonts w:hint="eastAsia" w:ascii="宋体" w:hAnsi="宋体" w:eastAsia="宋体" w:cs="宋体"/>
                <w:color w:val="auto"/>
                <w:kern w:val="0"/>
                <w:sz w:val="24"/>
                <w:szCs w:val="24"/>
                <w:highlight w:val="none"/>
              </w:rPr>
            </w:pPr>
            <w:r>
              <w:rPr>
                <w:rFonts w:hint="eastAsia" w:ascii="宋体" w:hAnsi="宋体" w:eastAsia="宋体" w:cs="Times New Roman"/>
                <w:b/>
                <w:color w:val="auto"/>
                <w:sz w:val="24"/>
                <w:szCs w:val="24"/>
                <w:highlight w:val="none"/>
              </w:rPr>
              <w:t>第十八条  本合同一式</w:t>
            </w:r>
            <w:r>
              <w:rPr>
                <w:rFonts w:hint="eastAsia" w:ascii="宋体" w:hAnsi="宋体" w:eastAsia="宋体" w:cs="Times New Roman"/>
                <w:b/>
                <w:color w:val="auto"/>
                <w:sz w:val="24"/>
                <w:szCs w:val="24"/>
                <w:highlight w:val="none"/>
                <w:lang w:val="en-US" w:eastAsia="zh-CN"/>
              </w:rPr>
              <w:t>伍</w:t>
            </w:r>
            <w:r>
              <w:rPr>
                <w:rFonts w:hint="eastAsia" w:ascii="宋体" w:hAnsi="宋体" w:eastAsia="宋体" w:cs="Times New Roman"/>
                <w:b/>
                <w:color w:val="auto"/>
                <w:sz w:val="24"/>
                <w:szCs w:val="24"/>
                <w:highlight w:val="none"/>
              </w:rPr>
              <w:t>份，甲方执</w:t>
            </w:r>
            <w:r>
              <w:rPr>
                <w:rFonts w:hint="eastAsia" w:ascii="宋体" w:hAnsi="宋体" w:eastAsia="宋体" w:cs="Times New Roman"/>
                <w:b/>
                <w:color w:val="auto"/>
                <w:sz w:val="24"/>
                <w:szCs w:val="24"/>
                <w:highlight w:val="none"/>
                <w:lang w:val="en-US" w:eastAsia="zh-CN"/>
              </w:rPr>
              <w:t>贰</w:t>
            </w:r>
            <w:r>
              <w:rPr>
                <w:rFonts w:hint="eastAsia" w:ascii="宋体" w:hAnsi="宋体" w:eastAsia="宋体" w:cs="Times New Roman"/>
                <w:b/>
                <w:color w:val="auto"/>
                <w:sz w:val="24"/>
                <w:szCs w:val="24"/>
                <w:highlight w:val="none"/>
              </w:rPr>
              <w:t>份（含监督管理部门备案一份），乙方执</w:t>
            </w:r>
            <w:r>
              <w:rPr>
                <w:rFonts w:hint="eastAsia" w:ascii="宋体" w:hAnsi="宋体" w:eastAsia="宋体" w:cs="Times New Roman"/>
                <w:b/>
                <w:color w:val="auto"/>
                <w:sz w:val="24"/>
                <w:szCs w:val="24"/>
                <w:highlight w:val="none"/>
                <w:lang w:val="en-US" w:eastAsia="zh-CN"/>
              </w:rPr>
              <w:t>贰</w:t>
            </w:r>
            <w:r>
              <w:rPr>
                <w:rFonts w:hint="eastAsia" w:ascii="宋体" w:hAnsi="宋体" w:eastAsia="宋体" w:cs="Times New Roman"/>
                <w:b/>
                <w:color w:val="auto"/>
                <w:sz w:val="24"/>
                <w:szCs w:val="24"/>
                <w:highlight w:val="none"/>
              </w:rPr>
              <w:t>份，丙方（鉴证方）执一份，具有同等法律效力。（以下无正文）</w:t>
            </w:r>
          </w:p>
          <w:p w14:paraId="6CF5EEE9">
            <w:pPr>
              <w:spacing w:line="360" w:lineRule="auto"/>
              <w:ind w:firstLine="480" w:firstLineChars="200"/>
              <w:rPr>
                <w:rFonts w:hint="eastAsia" w:ascii="宋体" w:hAnsi="宋体" w:eastAsia="宋体" w:cs="宋体"/>
                <w:color w:val="auto"/>
                <w:kern w:val="0"/>
                <w:sz w:val="24"/>
                <w:szCs w:val="24"/>
                <w:highlight w:val="none"/>
              </w:rPr>
            </w:pPr>
          </w:p>
          <w:p w14:paraId="39722210">
            <w:pPr>
              <w:pStyle w:val="16"/>
              <w:rPr>
                <w:rFonts w:hint="eastAsia" w:ascii="宋体" w:hAnsi="宋体" w:cs="宋体"/>
                <w:color w:val="auto"/>
                <w:kern w:val="0"/>
                <w:sz w:val="24"/>
                <w:szCs w:val="24"/>
                <w:highlight w:val="none"/>
              </w:rPr>
            </w:pPr>
          </w:p>
          <w:p w14:paraId="055C73B6">
            <w:pPr>
              <w:rPr>
                <w:rFonts w:hint="eastAsia" w:ascii="宋体" w:hAnsi="宋体" w:eastAsia="宋体" w:cs="宋体"/>
                <w:color w:val="auto"/>
                <w:kern w:val="0"/>
                <w:sz w:val="24"/>
                <w:szCs w:val="24"/>
                <w:highlight w:val="none"/>
              </w:rPr>
            </w:pPr>
          </w:p>
          <w:p w14:paraId="72D0764A">
            <w:pPr>
              <w:pStyle w:val="16"/>
              <w:rPr>
                <w:rFonts w:hint="eastAsia" w:ascii="宋体" w:hAnsi="宋体" w:cs="宋体"/>
                <w:color w:val="auto"/>
                <w:kern w:val="0"/>
                <w:sz w:val="24"/>
                <w:szCs w:val="24"/>
                <w:highlight w:val="none"/>
              </w:rPr>
            </w:pPr>
          </w:p>
          <w:p w14:paraId="4023F489">
            <w:pPr>
              <w:rPr>
                <w:rFonts w:hint="eastAsia" w:ascii="宋体" w:hAnsi="宋体" w:eastAsia="宋体" w:cs="宋体"/>
                <w:color w:val="auto"/>
                <w:kern w:val="0"/>
                <w:sz w:val="24"/>
                <w:szCs w:val="24"/>
                <w:highlight w:val="none"/>
              </w:rPr>
            </w:pPr>
          </w:p>
          <w:p w14:paraId="0C87C19C">
            <w:pPr>
              <w:pStyle w:val="16"/>
              <w:rPr>
                <w:rFonts w:hint="eastAsia" w:ascii="宋体" w:hAnsi="宋体" w:cs="宋体"/>
                <w:color w:val="auto"/>
                <w:kern w:val="0"/>
                <w:sz w:val="24"/>
                <w:szCs w:val="24"/>
                <w:highlight w:val="none"/>
              </w:rPr>
            </w:pPr>
          </w:p>
          <w:p w14:paraId="00095B28">
            <w:pPr>
              <w:rPr>
                <w:rFonts w:hint="eastAsia" w:ascii="宋体" w:hAnsi="宋体" w:eastAsia="宋体" w:cs="宋体"/>
                <w:color w:val="auto"/>
                <w:kern w:val="0"/>
                <w:sz w:val="24"/>
                <w:szCs w:val="24"/>
                <w:highlight w:val="none"/>
              </w:rPr>
            </w:pPr>
          </w:p>
          <w:p w14:paraId="366FF9D9">
            <w:pPr>
              <w:pStyle w:val="16"/>
              <w:rPr>
                <w:rFonts w:hint="eastAsia" w:ascii="宋体" w:hAnsi="宋体" w:cs="宋体"/>
                <w:color w:val="auto"/>
                <w:kern w:val="0"/>
                <w:sz w:val="24"/>
                <w:szCs w:val="24"/>
                <w:highlight w:val="none"/>
              </w:rPr>
            </w:pPr>
          </w:p>
          <w:p w14:paraId="50642122">
            <w:pPr>
              <w:rPr>
                <w:rFonts w:hint="eastAsia" w:ascii="宋体" w:hAnsi="宋体" w:eastAsia="宋体" w:cs="宋体"/>
                <w:color w:val="auto"/>
                <w:kern w:val="0"/>
                <w:sz w:val="24"/>
                <w:szCs w:val="24"/>
                <w:highlight w:val="none"/>
              </w:rPr>
            </w:pPr>
          </w:p>
          <w:p w14:paraId="141CEF17">
            <w:pPr>
              <w:pStyle w:val="16"/>
              <w:rPr>
                <w:rFonts w:hint="eastAsia" w:ascii="宋体" w:hAnsi="宋体" w:cs="宋体"/>
                <w:color w:val="auto"/>
                <w:kern w:val="0"/>
                <w:sz w:val="24"/>
                <w:szCs w:val="24"/>
                <w:highlight w:val="none"/>
              </w:rPr>
            </w:pPr>
          </w:p>
          <w:p w14:paraId="0D55358C">
            <w:pPr>
              <w:rPr>
                <w:rFonts w:hint="eastAsia" w:ascii="宋体" w:hAnsi="宋体" w:eastAsia="宋体" w:cs="宋体"/>
                <w:color w:val="auto"/>
                <w:kern w:val="0"/>
                <w:sz w:val="24"/>
                <w:szCs w:val="24"/>
                <w:highlight w:val="none"/>
              </w:rPr>
            </w:pPr>
          </w:p>
          <w:p w14:paraId="07111B6F">
            <w:pPr>
              <w:pStyle w:val="16"/>
              <w:rPr>
                <w:rFonts w:hint="eastAsia" w:ascii="宋体" w:hAnsi="宋体" w:cs="宋体"/>
                <w:color w:val="auto"/>
                <w:kern w:val="0"/>
                <w:sz w:val="24"/>
                <w:szCs w:val="24"/>
                <w:highlight w:val="none"/>
              </w:rPr>
            </w:pPr>
          </w:p>
          <w:p w14:paraId="3F358968">
            <w:pPr>
              <w:rPr>
                <w:rFonts w:hint="eastAsia" w:ascii="宋体" w:hAnsi="宋体" w:eastAsia="宋体" w:cs="宋体"/>
                <w:color w:val="auto"/>
                <w:kern w:val="0"/>
                <w:sz w:val="24"/>
                <w:szCs w:val="24"/>
                <w:highlight w:val="none"/>
              </w:rPr>
            </w:pPr>
          </w:p>
          <w:p w14:paraId="7C5C2405">
            <w:pPr>
              <w:pStyle w:val="16"/>
              <w:rPr>
                <w:rFonts w:hint="eastAsia" w:ascii="宋体" w:hAnsi="宋体" w:cs="宋体"/>
                <w:color w:val="auto"/>
                <w:kern w:val="0"/>
                <w:sz w:val="24"/>
                <w:szCs w:val="24"/>
                <w:highlight w:val="none"/>
              </w:rPr>
            </w:pPr>
          </w:p>
          <w:p w14:paraId="604F0D7C">
            <w:pPr>
              <w:rPr>
                <w:rFonts w:hint="eastAsia" w:ascii="宋体" w:hAnsi="宋体" w:eastAsia="宋体" w:cs="宋体"/>
                <w:color w:val="auto"/>
                <w:kern w:val="0"/>
                <w:sz w:val="24"/>
                <w:szCs w:val="24"/>
                <w:highlight w:val="none"/>
              </w:rPr>
            </w:pPr>
          </w:p>
          <w:p w14:paraId="03562834">
            <w:pPr>
              <w:pStyle w:val="16"/>
              <w:rPr>
                <w:rFonts w:hint="eastAsia"/>
                <w:color w:val="auto"/>
                <w:highlight w:val="none"/>
              </w:rPr>
            </w:pPr>
          </w:p>
          <w:p w14:paraId="50CD0238">
            <w:pPr>
              <w:rPr>
                <w:rFonts w:hint="eastAsia" w:ascii="宋体" w:hAnsi="宋体" w:eastAsia="宋体" w:cs="宋体"/>
                <w:color w:val="auto"/>
                <w:kern w:val="0"/>
                <w:sz w:val="24"/>
                <w:szCs w:val="24"/>
                <w:highlight w:val="none"/>
              </w:rPr>
            </w:pPr>
          </w:p>
          <w:p w14:paraId="0D59B9C8">
            <w:pPr>
              <w:pStyle w:val="16"/>
              <w:rPr>
                <w:rFonts w:hint="eastAsia" w:ascii="宋体" w:hAnsi="宋体" w:cs="宋体"/>
                <w:color w:val="auto"/>
                <w:kern w:val="0"/>
                <w:sz w:val="24"/>
                <w:szCs w:val="24"/>
                <w:highlight w:val="none"/>
              </w:rPr>
            </w:pPr>
          </w:p>
          <w:p w14:paraId="5D41651E">
            <w:pPr>
              <w:rPr>
                <w:rFonts w:hint="eastAsia" w:ascii="宋体" w:hAnsi="宋体" w:eastAsia="宋体" w:cs="宋体"/>
                <w:color w:val="auto"/>
                <w:kern w:val="0"/>
                <w:sz w:val="24"/>
                <w:szCs w:val="24"/>
                <w:highlight w:val="none"/>
              </w:rPr>
            </w:pPr>
          </w:p>
          <w:p w14:paraId="6E0B1A7A">
            <w:pPr>
              <w:pStyle w:val="16"/>
              <w:rPr>
                <w:rFonts w:hint="eastAsia" w:ascii="宋体" w:hAnsi="宋体" w:cs="宋体"/>
                <w:color w:val="auto"/>
                <w:kern w:val="0"/>
                <w:sz w:val="24"/>
                <w:szCs w:val="24"/>
                <w:highlight w:val="none"/>
              </w:rPr>
            </w:pPr>
          </w:p>
          <w:p w14:paraId="3DDBF21E">
            <w:pPr>
              <w:widowControl/>
              <w:jc w:val="left"/>
              <w:rPr>
                <w:rFonts w:ascii="宋体" w:hAnsi="宋体" w:eastAsia="宋体" w:cs="宋体"/>
                <w:color w:val="auto"/>
                <w:sz w:val="24"/>
                <w:highlight w:val="none"/>
              </w:rPr>
            </w:pPr>
            <w:r>
              <w:rPr>
                <w:rFonts w:hint="eastAsia" w:ascii="宋体" w:hAnsi="宋体" w:eastAsia="宋体" w:cs="宋体"/>
                <w:color w:val="auto"/>
                <w:sz w:val="24"/>
                <w:highlight w:val="none"/>
              </w:rPr>
              <w:t>附件一</w:t>
            </w:r>
          </w:p>
          <w:p w14:paraId="09527CB6">
            <w:pPr>
              <w:widowControl/>
              <w:jc w:val="center"/>
              <w:rPr>
                <w:rFonts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中标通知书</w:t>
            </w:r>
          </w:p>
          <w:p w14:paraId="0FAA71F4">
            <w:pPr>
              <w:widowControl/>
              <w:spacing w:after="240"/>
              <w:jc w:val="left"/>
              <w:rPr>
                <w:rFonts w:ascii="宋体" w:hAnsi="宋体" w:eastAsia="宋体" w:cs="宋体"/>
                <w:color w:val="auto"/>
                <w:kern w:val="0"/>
                <w:sz w:val="24"/>
                <w:szCs w:val="24"/>
                <w:highlight w:val="none"/>
              </w:rPr>
            </w:pPr>
            <w:r>
              <w:rPr>
                <w:rFonts w:ascii="宋体" w:hAnsi="宋体" w:eastAsia="宋体" w:cs="宋体"/>
                <w:color w:val="auto"/>
                <w:sz w:val="36"/>
                <w:szCs w:val="36"/>
                <w:highlight w:val="none"/>
              </w:rPr>
              <w:br w:type="page"/>
            </w:r>
          </w:p>
          <w:p w14:paraId="2EE7E426">
            <w:pPr>
              <w:widowControl/>
              <w:spacing w:after="240"/>
              <w:jc w:val="left"/>
              <w:rPr>
                <w:rFonts w:hint="eastAsia" w:ascii="宋体" w:hAnsi="宋体" w:eastAsia="宋体" w:cs="宋体"/>
                <w:color w:val="auto"/>
                <w:kern w:val="0"/>
                <w:sz w:val="24"/>
                <w:szCs w:val="24"/>
                <w:highlight w:val="none"/>
              </w:rPr>
            </w:pPr>
          </w:p>
          <w:p w14:paraId="5C069216">
            <w:pPr>
              <w:widowControl/>
              <w:spacing w:after="240"/>
              <w:jc w:val="left"/>
              <w:rPr>
                <w:rFonts w:hint="eastAsia" w:ascii="宋体" w:hAnsi="宋体" w:eastAsia="宋体" w:cs="宋体"/>
                <w:color w:val="auto"/>
                <w:kern w:val="0"/>
                <w:sz w:val="24"/>
                <w:szCs w:val="24"/>
                <w:highlight w:val="none"/>
              </w:rPr>
            </w:pPr>
          </w:p>
          <w:p w14:paraId="491C8C5E">
            <w:pPr>
              <w:widowControl/>
              <w:spacing w:after="240"/>
              <w:jc w:val="left"/>
              <w:rPr>
                <w:rFonts w:hint="eastAsia" w:ascii="宋体" w:hAnsi="宋体" w:eastAsia="宋体" w:cs="宋体"/>
                <w:color w:val="auto"/>
                <w:kern w:val="0"/>
                <w:sz w:val="24"/>
                <w:szCs w:val="24"/>
                <w:highlight w:val="none"/>
              </w:rPr>
            </w:pPr>
          </w:p>
          <w:p w14:paraId="4EB73028">
            <w:pPr>
              <w:widowControl/>
              <w:spacing w:after="240"/>
              <w:jc w:val="left"/>
              <w:rPr>
                <w:rFonts w:ascii="宋体" w:hAnsi="宋体" w:eastAsia="宋体" w:cs="宋体"/>
                <w:color w:val="auto"/>
                <w:kern w:val="0"/>
                <w:sz w:val="24"/>
                <w:szCs w:val="24"/>
                <w:highlight w:val="none"/>
              </w:rPr>
            </w:pPr>
          </w:p>
        </w:tc>
      </w:tr>
    </w:tbl>
    <w:p w14:paraId="4848F55A">
      <w:pPr>
        <w:tabs>
          <w:tab w:val="left" w:pos="2912"/>
        </w:tabs>
        <w:spacing w:line="360" w:lineRule="auto"/>
        <w:ind w:right="153" w:rightChars="73"/>
        <w:rPr>
          <w:rFonts w:ascii="宋体" w:hAnsi="宋体"/>
          <w:color w:val="auto"/>
          <w:sz w:val="24"/>
          <w:szCs w:val="22"/>
          <w:highlight w:val="none"/>
        </w:rPr>
      </w:pPr>
      <w:r>
        <w:rPr>
          <w:rFonts w:hint="eastAsia" w:ascii="宋体" w:hAnsi="宋体"/>
          <w:color w:val="auto"/>
          <w:sz w:val="24"/>
          <w:szCs w:val="22"/>
          <w:highlight w:val="none"/>
        </w:rPr>
        <w:t>附件二</w:t>
      </w:r>
    </w:p>
    <w:p w14:paraId="607AB847">
      <w:pPr>
        <w:widowControl/>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lang w:val="en-US" w:eastAsia="zh-CN"/>
        </w:rPr>
        <w:t>设备</w:t>
      </w:r>
      <w:r>
        <w:rPr>
          <w:rFonts w:hint="eastAsia" w:ascii="宋体" w:hAnsi="宋体" w:eastAsia="宋体" w:cs="宋体"/>
          <w:b/>
          <w:bCs/>
          <w:color w:val="auto"/>
          <w:sz w:val="36"/>
          <w:szCs w:val="36"/>
          <w:highlight w:val="none"/>
        </w:rPr>
        <w:t>配置清单</w:t>
      </w:r>
    </w:p>
    <w:tbl>
      <w:tblPr>
        <w:tblStyle w:val="10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756"/>
        <w:gridCol w:w="1290"/>
        <w:gridCol w:w="1459"/>
        <w:gridCol w:w="926"/>
        <w:gridCol w:w="1215"/>
        <w:gridCol w:w="1983"/>
      </w:tblGrid>
      <w:tr w14:paraId="6148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shd w:val="clear" w:color="000000" w:fill="FFFFFF"/>
            <w:noWrap w:val="0"/>
            <w:vAlign w:val="top"/>
          </w:tcPr>
          <w:p w14:paraId="7D30F4B6">
            <w:pPr>
              <w:widowControl/>
              <w:jc w:val="center"/>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4"/>
                <w:szCs w:val="22"/>
                <w:highlight w:val="none"/>
              </w:rPr>
              <w:t>序号</w:t>
            </w:r>
          </w:p>
        </w:tc>
        <w:tc>
          <w:tcPr>
            <w:tcW w:w="912" w:type="pct"/>
            <w:shd w:val="clear" w:color="000000" w:fill="FFFFFF"/>
            <w:noWrap w:val="0"/>
            <w:vAlign w:val="top"/>
          </w:tcPr>
          <w:p w14:paraId="2F207BF0">
            <w:pPr>
              <w:widowControl/>
              <w:jc w:val="center"/>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4"/>
                <w:szCs w:val="22"/>
                <w:highlight w:val="none"/>
              </w:rPr>
              <w:t>名称</w:t>
            </w:r>
          </w:p>
        </w:tc>
        <w:tc>
          <w:tcPr>
            <w:tcW w:w="670" w:type="pct"/>
            <w:shd w:val="clear" w:color="000000" w:fill="FFFFFF"/>
            <w:noWrap w:val="0"/>
            <w:vAlign w:val="top"/>
          </w:tcPr>
          <w:p w14:paraId="7013BB97">
            <w:pPr>
              <w:widowControl/>
              <w:jc w:val="both"/>
              <w:rPr>
                <w:rFonts w:hint="default" w:ascii="宋体" w:hAnsi="宋体" w:eastAsia="宋体" w:cs="Arial"/>
                <w:b/>
                <w:bCs/>
                <w:color w:val="auto"/>
                <w:kern w:val="0"/>
                <w:sz w:val="28"/>
                <w:szCs w:val="28"/>
                <w:highlight w:val="none"/>
                <w:lang w:val="en-US" w:eastAsia="zh-CN"/>
              </w:rPr>
            </w:pPr>
            <w:r>
              <w:rPr>
                <w:rFonts w:hint="eastAsia" w:ascii="宋体" w:hAnsi="宋体" w:eastAsia="宋体" w:cs="Arial"/>
                <w:b/>
                <w:bCs/>
                <w:color w:val="auto"/>
                <w:kern w:val="0"/>
                <w:sz w:val="24"/>
                <w:szCs w:val="22"/>
                <w:highlight w:val="none"/>
              </w:rPr>
              <w:t>品牌</w:t>
            </w:r>
            <w:r>
              <w:rPr>
                <w:rFonts w:hint="eastAsia" w:ascii="宋体" w:hAnsi="宋体" w:eastAsia="宋体" w:cs="Arial"/>
                <w:b/>
                <w:bCs/>
                <w:color w:val="auto"/>
                <w:kern w:val="0"/>
                <w:sz w:val="24"/>
                <w:szCs w:val="22"/>
                <w:highlight w:val="none"/>
                <w:lang w:val="en-US" w:eastAsia="zh-CN"/>
              </w:rPr>
              <w:t>/厂家</w:t>
            </w:r>
          </w:p>
        </w:tc>
        <w:tc>
          <w:tcPr>
            <w:tcW w:w="758" w:type="pct"/>
            <w:shd w:val="clear" w:color="000000" w:fill="FFFFFF"/>
            <w:noWrap w:val="0"/>
            <w:vAlign w:val="top"/>
          </w:tcPr>
          <w:p w14:paraId="68968366">
            <w:pPr>
              <w:widowControl/>
              <w:jc w:val="center"/>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4"/>
                <w:szCs w:val="22"/>
                <w:highlight w:val="none"/>
              </w:rPr>
              <w:t>规格型号</w:t>
            </w:r>
          </w:p>
        </w:tc>
        <w:tc>
          <w:tcPr>
            <w:tcW w:w="481" w:type="pct"/>
            <w:shd w:val="clear" w:color="000000" w:fill="FFFFFF"/>
            <w:noWrap w:val="0"/>
            <w:vAlign w:val="top"/>
          </w:tcPr>
          <w:p w14:paraId="0EA0D650">
            <w:pPr>
              <w:widowControl/>
              <w:jc w:val="center"/>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4"/>
                <w:szCs w:val="22"/>
                <w:highlight w:val="none"/>
              </w:rPr>
              <w:t>数量</w:t>
            </w:r>
          </w:p>
        </w:tc>
        <w:tc>
          <w:tcPr>
            <w:tcW w:w="631" w:type="pct"/>
            <w:shd w:val="clear" w:color="000000" w:fill="FFFFFF"/>
            <w:noWrap w:val="0"/>
            <w:vAlign w:val="top"/>
          </w:tcPr>
          <w:p w14:paraId="32744961">
            <w:pPr>
              <w:widowControl/>
              <w:jc w:val="center"/>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4"/>
                <w:szCs w:val="22"/>
                <w:highlight w:val="none"/>
              </w:rPr>
              <w:t>单位</w:t>
            </w:r>
          </w:p>
        </w:tc>
        <w:tc>
          <w:tcPr>
            <w:tcW w:w="1030" w:type="pct"/>
            <w:shd w:val="clear" w:color="000000" w:fill="FFFFFF"/>
            <w:noWrap w:val="0"/>
            <w:vAlign w:val="top"/>
          </w:tcPr>
          <w:p w14:paraId="1A44780F">
            <w:pPr>
              <w:widowControl/>
              <w:jc w:val="center"/>
              <w:rPr>
                <w:rFonts w:hint="default" w:ascii="宋体" w:hAnsi="宋体" w:eastAsia="宋体" w:cs="Arial"/>
                <w:b/>
                <w:bCs/>
                <w:color w:val="auto"/>
                <w:kern w:val="0"/>
                <w:sz w:val="28"/>
                <w:szCs w:val="28"/>
                <w:highlight w:val="none"/>
                <w:lang w:val="en-US" w:eastAsia="zh-CN"/>
              </w:rPr>
            </w:pPr>
            <w:r>
              <w:rPr>
                <w:rStyle w:val="106"/>
                <w:rFonts w:hint="eastAsia" w:ascii="宋体" w:hAnsi="宋体" w:cs="宋体"/>
                <w:b w:val="0"/>
                <w:bCs w:val="0"/>
                <w:color w:val="auto"/>
                <w:sz w:val="21"/>
                <w:szCs w:val="21"/>
                <w:highlight w:val="none"/>
                <w:lang w:val="en-US" w:eastAsia="zh-CN"/>
              </w:rPr>
              <w:t>详见投标响应文件第几页，技术偏离表序号</w:t>
            </w:r>
          </w:p>
        </w:tc>
      </w:tr>
      <w:tr w14:paraId="597D5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noWrap w:val="0"/>
            <w:vAlign w:val="top"/>
          </w:tcPr>
          <w:p w14:paraId="75298137">
            <w:pPr>
              <w:widowControl/>
              <w:jc w:val="left"/>
              <w:rPr>
                <w:rFonts w:ascii="宋体" w:hAnsi="宋体" w:eastAsia="宋体" w:cs="Arial"/>
                <w:b/>
                <w:bCs/>
                <w:color w:val="auto"/>
                <w:kern w:val="0"/>
                <w:sz w:val="28"/>
                <w:szCs w:val="28"/>
                <w:highlight w:val="none"/>
              </w:rPr>
            </w:pPr>
          </w:p>
        </w:tc>
        <w:tc>
          <w:tcPr>
            <w:tcW w:w="912" w:type="pct"/>
            <w:noWrap w:val="0"/>
            <w:vAlign w:val="top"/>
          </w:tcPr>
          <w:p w14:paraId="68AA6948">
            <w:pPr>
              <w:widowControl/>
              <w:jc w:val="left"/>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8"/>
                <w:szCs w:val="28"/>
                <w:highlight w:val="none"/>
              </w:rPr>
              <w:t>*</w:t>
            </w:r>
          </w:p>
        </w:tc>
        <w:tc>
          <w:tcPr>
            <w:tcW w:w="670" w:type="pct"/>
            <w:noWrap w:val="0"/>
            <w:vAlign w:val="top"/>
          </w:tcPr>
          <w:p w14:paraId="2F534687">
            <w:pPr>
              <w:widowControl/>
              <w:jc w:val="left"/>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8"/>
                <w:szCs w:val="28"/>
                <w:highlight w:val="none"/>
              </w:rPr>
              <w:t>*</w:t>
            </w:r>
          </w:p>
        </w:tc>
        <w:tc>
          <w:tcPr>
            <w:tcW w:w="758" w:type="pct"/>
            <w:noWrap w:val="0"/>
            <w:vAlign w:val="top"/>
          </w:tcPr>
          <w:p w14:paraId="1BEBF331">
            <w:pPr>
              <w:widowControl/>
              <w:jc w:val="left"/>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8"/>
                <w:szCs w:val="28"/>
                <w:highlight w:val="none"/>
              </w:rPr>
              <w:t>*</w:t>
            </w:r>
          </w:p>
        </w:tc>
        <w:tc>
          <w:tcPr>
            <w:tcW w:w="481" w:type="pct"/>
            <w:noWrap w:val="0"/>
            <w:vAlign w:val="top"/>
          </w:tcPr>
          <w:p w14:paraId="2B35542C">
            <w:pPr>
              <w:widowControl/>
              <w:jc w:val="left"/>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8"/>
                <w:szCs w:val="28"/>
                <w:highlight w:val="none"/>
              </w:rPr>
              <w:t>*</w:t>
            </w:r>
          </w:p>
        </w:tc>
        <w:tc>
          <w:tcPr>
            <w:tcW w:w="631" w:type="pct"/>
            <w:noWrap w:val="0"/>
            <w:vAlign w:val="top"/>
          </w:tcPr>
          <w:p w14:paraId="7CA7CBAA">
            <w:pPr>
              <w:widowControl/>
              <w:jc w:val="left"/>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8"/>
                <w:szCs w:val="28"/>
                <w:highlight w:val="none"/>
              </w:rPr>
              <w:t>*</w:t>
            </w:r>
          </w:p>
        </w:tc>
        <w:tc>
          <w:tcPr>
            <w:tcW w:w="1030" w:type="pct"/>
            <w:noWrap w:val="0"/>
            <w:vAlign w:val="top"/>
          </w:tcPr>
          <w:p w14:paraId="14B3FDF6">
            <w:pPr>
              <w:widowControl/>
              <w:jc w:val="left"/>
              <w:rPr>
                <w:rFonts w:ascii="宋体" w:hAnsi="宋体" w:eastAsia="宋体" w:cs="Arial"/>
                <w:b/>
                <w:bCs/>
                <w:color w:val="auto"/>
                <w:kern w:val="0"/>
                <w:sz w:val="28"/>
                <w:szCs w:val="28"/>
                <w:highlight w:val="none"/>
              </w:rPr>
            </w:pPr>
            <w:r>
              <w:rPr>
                <w:rFonts w:hint="eastAsia" w:ascii="宋体" w:hAnsi="宋体" w:eastAsia="宋体" w:cs="Arial"/>
                <w:b/>
                <w:bCs/>
                <w:color w:val="auto"/>
                <w:kern w:val="0"/>
                <w:sz w:val="28"/>
                <w:szCs w:val="28"/>
                <w:highlight w:val="none"/>
              </w:rPr>
              <w:t>*</w:t>
            </w:r>
            <w:r>
              <w:rPr>
                <w:rFonts w:hint="eastAsia" w:ascii="宋体" w:hAnsi="宋体" w:eastAsia="宋体" w:cs="Arial"/>
                <w:b/>
                <w:bCs/>
                <w:color w:val="auto"/>
                <w:kern w:val="0"/>
                <w:sz w:val="28"/>
                <w:szCs w:val="28"/>
                <w:highlight w:val="none"/>
                <w:lang w:val="en-US" w:eastAsia="zh-CN"/>
              </w:rPr>
              <w:t>例如</w:t>
            </w:r>
            <w:r>
              <w:rPr>
                <w:rFonts w:hint="eastAsia" w:ascii="宋体" w:hAnsi="宋体" w:eastAsia="宋体" w:cs="宋体"/>
                <w:b w:val="0"/>
                <w:bCs w:val="0"/>
                <w:i w:val="0"/>
                <w:iCs w:val="0"/>
                <w:color w:val="auto"/>
                <w:sz w:val="21"/>
                <w:szCs w:val="21"/>
                <w:highlight w:val="none"/>
                <w:u w:val="none"/>
                <w:lang w:val="en-US" w:eastAsia="zh-CN"/>
              </w:rPr>
              <w:t>：</w:t>
            </w:r>
            <w:r>
              <w:rPr>
                <w:rFonts w:hint="eastAsia" w:ascii="宋体" w:hAnsi="宋体" w:eastAsia="宋体" w:cs="宋体"/>
                <w:b w:val="0"/>
                <w:bCs w:val="0"/>
                <w:i w:val="0"/>
                <w:iCs w:val="0"/>
                <w:color w:val="auto"/>
                <w:sz w:val="21"/>
                <w:szCs w:val="21"/>
                <w:highlight w:val="none"/>
                <w:u w:val="none"/>
                <w:lang w:eastAsia="zh-CN"/>
              </w:rPr>
              <w:t>投标文件</w:t>
            </w:r>
            <w:r>
              <w:rPr>
                <w:rFonts w:hint="eastAsia" w:ascii="宋体" w:hAnsi="宋体" w:eastAsia="宋体" w:cs="宋体"/>
                <w:b w:val="0"/>
                <w:bCs w:val="0"/>
                <w:i w:val="0"/>
                <w:iCs w:val="0"/>
                <w:color w:val="auto"/>
                <w:sz w:val="21"/>
                <w:szCs w:val="21"/>
                <w:highlight w:val="none"/>
                <w:u w:val="none"/>
                <w:lang w:val="en-US" w:eastAsia="zh-CN"/>
              </w:rPr>
              <w:t>193页，技术偏离表序号1</w:t>
            </w:r>
          </w:p>
        </w:tc>
      </w:tr>
      <w:tr w14:paraId="4FFD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noWrap w:val="0"/>
            <w:vAlign w:val="top"/>
          </w:tcPr>
          <w:p w14:paraId="6A1E146F">
            <w:pPr>
              <w:widowControl/>
              <w:jc w:val="left"/>
              <w:rPr>
                <w:rFonts w:ascii="宋体" w:hAnsi="宋体" w:eastAsia="宋体" w:cs="Arial"/>
                <w:b/>
                <w:bCs/>
                <w:color w:val="auto"/>
                <w:kern w:val="0"/>
                <w:sz w:val="28"/>
                <w:szCs w:val="28"/>
                <w:highlight w:val="none"/>
              </w:rPr>
            </w:pPr>
          </w:p>
        </w:tc>
        <w:tc>
          <w:tcPr>
            <w:tcW w:w="912" w:type="pct"/>
            <w:noWrap w:val="0"/>
            <w:vAlign w:val="top"/>
          </w:tcPr>
          <w:p w14:paraId="392C4AE1">
            <w:pPr>
              <w:widowControl/>
              <w:jc w:val="left"/>
              <w:rPr>
                <w:rFonts w:ascii="宋体" w:hAnsi="宋体" w:eastAsia="宋体" w:cs="Arial"/>
                <w:b/>
                <w:bCs/>
                <w:color w:val="auto"/>
                <w:kern w:val="0"/>
                <w:sz w:val="28"/>
                <w:szCs w:val="28"/>
                <w:highlight w:val="none"/>
              </w:rPr>
            </w:pPr>
          </w:p>
        </w:tc>
        <w:tc>
          <w:tcPr>
            <w:tcW w:w="670" w:type="pct"/>
            <w:noWrap w:val="0"/>
            <w:vAlign w:val="top"/>
          </w:tcPr>
          <w:p w14:paraId="1CC6FA79">
            <w:pPr>
              <w:widowControl/>
              <w:jc w:val="left"/>
              <w:rPr>
                <w:rFonts w:ascii="宋体" w:hAnsi="宋体" w:eastAsia="宋体" w:cs="Arial"/>
                <w:b/>
                <w:bCs/>
                <w:color w:val="auto"/>
                <w:kern w:val="0"/>
                <w:sz w:val="28"/>
                <w:szCs w:val="28"/>
                <w:highlight w:val="none"/>
              </w:rPr>
            </w:pPr>
          </w:p>
        </w:tc>
        <w:tc>
          <w:tcPr>
            <w:tcW w:w="758" w:type="pct"/>
            <w:noWrap w:val="0"/>
            <w:vAlign w:val="top"/>
          </w:tcPr>
          <w:p w14:paraId="257240CE">
            <w:pPr>
              <w:widowControl/>
              <w:jc w:val="left"/>
              <w:rPr>
                <w:rFonts w:ascii="宋体" w:hAnsi="宋体" w:eastAsia="宋体" w:cs="Arial"/>
                <w:b/>
                <w:bCs/>
                <w:color w:val="auto"/>
                <w:kern w:val="0"/>
                <w:sz w:val="28"/>
                <w:szCs w:val="28"/>
                <w:highlight w:val="none"/>
              </w:rPr>
            </w:pPr>
          </w:p>
        </w:tc>
        <w:tc>
          <w:tcPr>
            <w:tcW w:w="481" w:type="pct"/>
            <w:noWrap w:val="0"/>
            <w:vAlign w:val="top"/>
          </w:tcPr>
          <w:p w14:paraId="2E2E55E3">
            <w:pPr>
              <w:widowControl/>
              <w:jc w:val="left"/>
              <w:rPr>
                <w:rFonts w:ascii="宋体" w:hAnsi="宋体" w:eastAsia="宋体" w:cs="Arial"/>
                <w:b/>
                <w:bCs/>
                <w:color w:val="auto"/>
                <w:kern w:val="0"/>
                <w:sz w:val="28"/>
                <w:szCs w:val="28"/>
                <w:highlight w:val="none"/>
              </w:rPr>
            </w:pPr>
          </w:p>
        </w:tc>
        <w:tc>
          <w:tcPr>
            <w:tcW w:w="631" w:type="pct"/>
            <w:noWrap w:val="0"/>
            <w:vAlign w:val="top"/>
          </w:tcPr>
          <w:p w14:paraId="6B774E1F">
            <w:pPr>
              <w:widowControl/>
              <w:jc w:val="left"/>
              <w:rPr>
                <w:rFonts w:ascii="宋体" w:hAnsi="宋体" w:eastAsia="宋体" w:cs="Arial"/>
                <w:b/>
                <w:bCs/>
                <w:color w:val="auto"/>
                <w:kern w:val="0"/>
                <w:sz w:val="28"/>
                <w:szCs w:val="28"/>
                <w:highlight w:val="none"/>
              </w:rPr>
            </w:pPr>
          </w:p>
        </w:tc>
        <w:tc>
          <w:tcPr>
            <w:tcW w:w="1030" w:type="pct"/>
            <w:noWrap w:val="0"/>
            <w:vAlign w:val="top"/>
          </w:tcPr>
          <w:p w14:paraId="6032FB8A">
            <w:pPr>
              <w:widowControl/>
              <w:jc w:val="left"/>
              <w:rPr>
                <w:rFonts w:ascii="宋体" w:hAnsi="宋体" w:eastAsia="宋体" w:cs="Arial"/>
                <w:b/>
                <w:bCs/>
                <w:color w:val="auto"/>
                <w:kern w:val="0"/>
                <w:sz w:val="28"/>
                <w:szCs w:val="28"/>
                <w:highlight w:val="none"/>
              </w:rPr>
            </w:pPr>
          </w:p>
        </w:tc>
      </w:tr>
      <w:tr w14:paraId="612D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noWrap w:val="0"/>
            <w:vAlign w:val="top"/>
          </w:tcPr>
          <w:p w14:paraId="2D9967A6">
            <w:pPr>
              <w:widowControl/>
              <w:jc w:val="left"/>
              <w:rPr>
                <w:rFonts w:ascii="宋体" w:hAnsi="宋体" w:eastAsia="宋体" w:cs="Arial"/>
                <w:b/>
                <w:bCs/>
                <w:color w:val="auto"/>
                <w:kern w:val="0"/>
                <w:sz w:val="28"/>
                <w:szCs w:val="28"/>
                <w:highlight w:val="none"/>
              </w:rPr>
            </w:pPr>
          </w:p>
        </w:tc>
        <w:tc>
          <w:tcPr>
            <w:tcW w:w="912" w:type="pct"/>
            <w:noWrap w:val="0"/>
            <w:vAlign w:val="top"/>
          </w:tcPr>
          <w:p w14:paraId="1C2532A9">
            <w:pPr>
              <w:widowControl/>
              <w:jc w:val="left"/>
              <w:rPr>
                <w:rFonts w:ascii="宋体" w:hAnsi="宋体" w:eastAsia="宋体" w:cs="Arial"/>
                <w:b/>
                <w:bCs/>
                <w:color w:val="auto"/>
                <w:kern w:val="0"/>
                <w:sz w:val="28"/>
                <w:szCs w:val="28"/>
                <w:highlight w:val="none"/>
              </w:rPr>
            </w:pPr>
          </w:p>
        </w:tc>
        <w:tc>
          <w:tcPr>
            <w:tcW w:w="670" w:type="pct"/>
            <w:noWrap w:val="0"/>
            <w:vAlign w:val="top"/>
          </w:tcPr>
          <w:p w14:paraId="33C7D714">
            <w:pPr>
              <w:widowControl/>
              <w:jc w:val="left"/>
              <w:rPr>
                <w:rFonts w:ascii="宋体" w:hAnsi="宋体" w:eastAsia="宋体" w:cs="Arial"/>
                <w:b/>
                <w:bCs/>
                <w:color w:val="auto"/>
                <w:kern w:val="0"/>
                <w:sz w:val="28"/>
                <w:szCs w:val="28"/>
                <w:highlight w:val="none"/>
              </w:rPr>
            </w:pPr>
          </w:p>
        </w:tc>
        <w:tc>
          <w:tcPr>
            <w:tcW w:w="758" w:type="pct"/>
            <w:noWrap w:val="0"/>
            <w:vAlign w:val="top"/>
          </w:tcPr>
          <w:p w14:paraId="24B7FF03">
            <w:pPr>
              <w:widowControl/>
              <w:jc w:val="left"/>
              <w:rPr>
                <w:rFonts w:ascii="宋体" w:hAnsi="宋体" w:eastAsia="宋体" w:cs="Arial"/>
                <w:b/>
                <w:bCs/>
                <w:color w:val="auto"/>
                <w:kern w:val="0"/>
                <w:sz w:val="28"/>
                <w:szCs w:val="28"/>
                <w:highlight w:val="none"/>
              </w:rPr>
            </w:pPr>
          </w:p>
        </w:tc>
        <w:tc>
          <w:tcPr>
            <w:tcW w:w="481" w:type="pct"/>
            <w:noWrap w:val="0"/>
            <w:vAlign w:val="top"/>
          </w:tcPr>
          <w:p w14:paraId="7C26A344">
            <w:pPr>
              <w:widowControl/>
              <w:jc w:val="left"/>
              <w:rPr>
                <w:rFonts w:ascii="宋体" w:hAnsi="宋体" w:eastAsia="宋体" w:cs="Arial"/>
                <w:b/>
                <w:bCs/>
                <w:color w:val="auto"/>
                <w:kern w:val="0"/>
                <w:sz w:val="28"/>
                <w:szCs w:val="28"/>
                <w:highlight w:val="none"/>
              </w:rPr>
            </w:pPr>
          </w:p>
        </w:tc>
        <w:tc>
          <w:tcPr>
            <w:tcW w:w="631" w:type="pct"/>
            <w:noWrap w:val="0"/>
            <w:vAlign w:val="top"/>
          </w:tcPr>
          <w:p w14:paraId="196C3767">
            <w:pPr>
              <w:widowControl/>
              <w:jc w:val="left"/>
              <w:rPr>
                <w:rFonts w:ascii="宋体" w:hAnsi="宋体" w:eastAsia="宋体" w:cs="Arial"/>
                <w:b/>
                <w:bCs/>
                <w:color w:val="auto"/>
                <w:kern w:val="0"/>
                <w:sz w:val="28"/>
                <w:szCs w:val="28"/>
                <w:highlight w:val="none"/>
              </w:rPr>
            </w:pPr>
          </w:p>
        </w:tc>
        <w:tc>
          <w:tcPr>
            <w:tcW w:w="1030" w:type="pct"/>
            <w:noWrap w:val="0"/>
            <w:vAlign w:val="top"/>
          </w:tcPr>
          <w:p w14:paraId="41AC03B8">
            <w:pPr>
              <w:widowControl/>
              <w:jc w:val="left"/>
              <w:rPr>
                <w:rFonts w:ascii="宋体" w:hAnsi="宋体" w:eastAsia="宋体" w:cs="Arial"/>
                <w:b/>
                <w:bCs/>
                <w:color w:val="auto"/>
                <w:kern w:val="0"/>
                <w:sz w:val="28"/>
                <w:szCs w:val="28"/>
                <w:highlight w:val="none"/>
              </w:rPr>
            </w:pPr>
          </w:p>
        </w:tc>
      </w:tr>
    </w:tbl>
    <w:p w14:paraId="44645E08">
      <w:pPr>
        <w:widowControl/>
        <w:jc w:val="left"/>
        <w:rPr>
          <w:rFonts w:ascii="宋体" w:hAnsi="宋体" w:cs="宋体"/>
          <w:color w:val="auto"/>
          <w:sz w:val="36"/>
          <w:szCs w:val="36"/>
          <w:highlight w:val="none"/>
        </w:rPr>
      </w:pPr>
    </w:p>
    <w:p w14:paraId="0361C263">
      <w:pPr>
        <w:widowControl/>
        <w:jc w:val="left"/>
        <w:rPr>
          <w:rFonts w:ascii="宋体" w:hAnsi="宋体"/>
          <w:color w:val="auto"/>
          <w:sz w:val="24"/>
          <w:szCs w:val="22"/>
          <w:highlight w:val="none"/>
        </w:rPr>
      </w:pPr>
      <w:r>
        <w:rPr>
          <w:rFonts w:ascii="宋体" w:hAnsi="宋体" w:cs="宋体"/>
          <w:color w:val="auto"/>
          <w:sz w:val="36"/>
          <w:szCs w:val="36"/>
          <w:highlight w:val="none"/>
        </w:rPr>
        <w:br w:type="page"/>
      </w:r>
      <w:r>
        <w:rPr>
          <w:rFonts w:hint="eastAsia" w:ascii="宋体" w:hAnsi="宋体"/>
          <w:color w:val="auto"/>
          <w:sz w:val="24"/>
          <w:szCs w:val="22"/>
          <w:highlight w:val="none"/>
        </w:rPr>
        <w:t>附件三</w:t>
      </w:r>
    </w:p>
    <w:p w14:paraId="2A7B8D5B">
      <w:pPr>
        <w:widowControl/>
        <w:jc w:val="center"/>
        <w:rPr>
          <w:rFonts w:hint="eastAsia" w:ascii="宋体" w:hAnsi="宋体" w:eastAsia="宋体" w:cs="宋体"/>
          <w:b/>
          <w:bCs/>
          <w:color w:val="auto"/>
          <w:sz w:val="36"/>
          <w:szCs w:val="36"/>
          <w:highlight w:val="none"/>
          <w:lang w:val="en-US" w:eastAsia="zh-CN"/>
        </w:rPr>
      </w:pPr>
      <w:r>
        <w:rPr>
          <w:rFonts w:hint="eastAsia" w:ascii="宋体" w:hAnsi="宋体" w:eastAsia="宋体" w:cs="宋体"/>
          <w:b/>
          <w:bCs/>
          <w:color w:val="auto"/>
          <w:sz w:val="36"/>
          <w:szCs w:val="36"/>
          <w:highlight w:val="none"/>
          <w:lang w:val="en-US" w:eastAsia="zh-CN"/>
        </w:rPr>
        <w:t>廉政合同</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2"/>
        <w:gridCol w:w="6533"/>
      </w:tblGrid>
      <w:tr w14:paraId="4AD4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06" w:type="pct"/>
            <w:noWrap w:val="0"/>
            <w:vAlign w:val="center"/>
          </w:tcPr>
          <w:p w14:paraId="38C1E995">
            <w:pPr>
              <w:adjustRightInd w:val="0"/>
              <w:snapToGrid w:val="0"/>
              <w:jc w:val="center"/>
              <w:rPr>
                <w:rFonts w:ascii="黑体" w:hAnsi="黑体" w:eastAsia="黑体" w:cs="Times New Roman"/>
                <w:color w:val="auto"/>
                <w:kern w:val="0"/>
                <w:sz w:val="24"/>
                <w:szCs w:val="24"/>
                <w:highlight w:val="none"/>
              </w:rPr>
            </w:pPr>
            <w:r>
              <w:rPr>
                <w:rFonts w:hint="eastAsia" w:ascii="黑体" w:hAnsi="黑体" w:eastAsia="黑体" w:cs="Times New Roman"/>
                <w:color w:val="auto"/>
                <w:kern w:val="0"/>
                <w:sz w:val="24"/>
                <w:szCs w:val="24"/>
                <w:highlight w:val="none"/>
              </w:rPr>
              <w:t>采购单位（</w:t>
            </w:r>
            <w:r>
              <w:rPr>
                <w:rFonts w:hint="eastAsia" w:ascii="黑体" w:hAnsi="黑体" w:eastAsia="黑体" w:cs="宋体-18030"/>
                <w:bCs/>
                <w:color w:val="auto"/>
                <w:kern w:val="0"/>
                <w:sz w:val="24"/>
                <w:szCs w:val="24"/>
                <w:highlight w:val="none"/>
              </w:rPr>
              <w:t>甲方</w:t>
            </w:r>
            <w:r>
              <w:rPr>
                <w:rFonts w:hint="eastAsia" w:ascii="黑体" w:hAnsi="黑体" w:eastAsia="黑体" w:cs="Times New Roman"/>
                <w:color w:val="auto"/>
                <w:kern w:val="0"/>
                <w:sz w:val="24"/>
                <w:szCs w:val="24"/>
                <w:highlight w:val="none"/>
              </w:rPr>
              <w:t>）</w:t>
            </w:r>
          </w:p>
        </w:tc>
        <w:tc>
          <w:tcPr>
            <w:tcW w:w="3393" w:type="pct"/>
            <w:noWrap w:val="0"/>
            <w:vAlign w:val="center"/>
          </w:tcPr>
          <w:p w14:paraId="266BB03C">
            <w:pPr>
              <w:adjustRightInd w:val="0"/>
              <w:snapToGrid w:val="0"/>
              <w:jc w:val="center"/>
              <w:rPr>
                <w:rFonts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t>昆明医科大学第二附属医院</w:t>
            </w:r>
          </w:p>
        </w:tc>
      </w:tr>
      <w:tr w14:paraId="54A5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06" w:type="pct"/>
            <w:noWrap w:val="0"/>
            <w:vAlign w:val="center"/>
          </w:tcPr>
          <w:p w14:paraId="7FC49CF5">
            <w:pPr>
              <w:adjustRightInd w:val="0"/>
              <w:snapToGrid w:val="0"/>
              <w:jc w:val="center"/>
              <w:rPr>
                <w:rFonts w:ascii="黑体" w:hAnsi="黑体" w:eastAsia="黑体" w:cs="Times New Roman"/>
                <w:color w:val="auto"/>
                <w:kern w:val="0"/>
                <w:sz w:val="24"/>
                <w:szCs w:val="24"/>
                <w:highlight w:val="none"/>
              </w:rPr>
            </w:pPr>
            <w:r>
              <w:rPr>
                <w:rFonts w:hint="eastAsia" w:ascii="黑体" w:hAnsi="黑体" w:eastAsia="黑体" w:cs="Times New Roman"/>
                <w:color w:val="auto"/>
                <w:kern w:val="0"/>
                <w:sz w:val="24"/>
                <w:szCs w:val="24"/>
                <w:highlight w:val="none"/>
              </w:rPr>
              <w:t>采购单位（</w:t>
            </w:r>
            <w:r>
              <w:rPr>
                <w:rFonts w:hint="eastAsia" w:ascii="黑体" w:hAnsi="黑体" w:eastAsia="黑体" w:cs="宋体-18030"/>
                <w:bCs/>
                <w:color w:val="auto"/>
                <w:kern w:val="0"/>
                <w:sz w:val="24"/>
                <w:szCs w:val="24"/>
                <w:highlight w:val="none"/>
              </w:rPr>
              <w:t>甲方</w:t>
            </w:r>
            <w:r>
              <w:rPr>
                <w:rFonts w:hint="eastAsia" w:ascii="黑体" w:hAnsi="黑体" w:eastAsia="黑体" w:cs="Times New Roman"/>
                <w:color w:val="auto"/>
                <w:kern w:val="0"/>
                <w:sz w:val="24"/>
                <w:szCs w:val="24"/>
                <w:highlight w:val="none"/>
              </w:rPr>
              <w:t>）</w:t>
            </w:r>
          </w:p>
          <w:p w14:paraId="0317DD25">
            <w:pPr>
              <w:adjustRightInd w:val="0"/>
              <w:snapToGrid w:val="0"/>
              <w:jc w:val="center"/>
              <w:rPr>
                <w:rFonts w:ascii="黑体" w:hAnsi="黑体" w:eastAsia="黑体" w:cs="Times New Roman"/>
                <w:color w:val="auto"/>
                <w:kern w:val="0"/>
                <w:sz w:val="24"/>
                <w:szCs w:val="24"/>
                <w:highlight w:val="none"/>
              </w:rPr>
            </w:pPr>
            <w:r>
              <w:rPr>
                <w:rFonts w:hint="eastAsia" w:ascii="黑体" w:hAnsi="黑体" w:eastAsia="黑体" w:cs="Times New Roman"/>
                <w:color w:val="auto"/>
                <w:kern w:val="0"/>
                <w:sz w:val="24"/>
                <w:szCs w:val="24"/>
                <w:highlight w:val="none"/>
              </w:rPr>
              <w:t>监督部门及举报电话</w:t>
            </w:r>
          </w:p>
        </w:tc>
        <w:tc>
          <w:tcPr>
            <w:tcW w:w="3393" w:type="pct"/>
            <w:noWrap w:val="0"/>
            <w:vAlign w:val="center"/>
          </w:tcPr>
          <w:p w14:paraId="5F8D954A">
            <w:pPr>
              <w:adjustRightInd w:val="0"/>
              <w:snapToGrid w:val="0"/>
              <w:jc w:val="center"/>
              <w:rPr>
                <w:rFonts w:ascii="宋体" w:hAnsi="宋体" w:eastAsia="宋体" w:cs="Times New Roman"/>
                <w:color w:val="auto"/>
                <w:kern w:val="0"/>
                <w:sz w:val="24"/>
                <w:szCs w:val="24"/>
                <w:highlight w:val="none"/>
              </w:rPr>
            </w:pPr>
            <w:r>
              <w:rPr>
                <w:rFonts w:ascii="宋体" w:hAnsi="宋体" w:eastAsia="宋体" w:cs="Times New Roman"/>
                <w:color w:val="auto"/>
                <w:kern w:val="0"/>
                <w:sz w:val="24"/>
                <w:szCs w:val="24"/>
                <w:highlight w:val="none"/>
              </w:rPr>
              <w:t>0871-63402322</w:t>
            </w:r>
          </w:p>
        </w:tc>
      </w:tr>
      <w:tr w14:paraId="0AD2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06" w:type="pct"/>
            <w:noWrap w:val="0"/>
            <w:vAlign w:val="center"/>
          </w:tcPr>
          <w:p w14:paraId="064D48CD">
            <w:pPr>
              <w:adjustRightInd w:val="0"/>
              <w:snapToGrid w:val="0"/>
              <w:jc w:val="center"/>
              <w:rPr>
                <w:rFonts w:ascii="黑体" w:hAnsi="黑体" w:eastAsia="黑体" w:cs="Times New Roman"/>
                <w:color w:val="auto"/>
                <w:kern w:val="0"/>
                <w:sz w:val="24"/>
                <w:szCs w:val="24"/>
                <w:highlight w:val="none"/>
              </w:rPr>
            </w:pPr>
            <w:r>
              <w:rPr>
                <w:rFonts w:hint="eastAsia" w:ascii="黑体" w:hAnsi="黑体" w:eastAsia="黑体" w:cs="Times New Roman"/>
                <w:color w:val="auto"/>
                <w:kern w:val="0"/>
                <w:sz w:val="24"/>
                <w:szCs w:val="24"/>
                <w:highlight w:val="none"/>
              </w:rPr>
              <w:t>供应商单位（</w:t>
            </w:r>
            <w:r>
              <w:rPr>
                <w:rFonts w:hint="eastAsia" w:ascii="黑体" w:hAnsi="黑体" w:eastAsia="黑体" w:cs="宋体-18030"/>
                <w:bCs/>
                <w:color w:val="auto"/>
                <w:kern w:val="0"/>
                <w:sz w:val="24"/>
                <w:szCs w:val="24"/>
                <w:highlight w:val="none"/>
              </w:rPr>
              <w:t>乙方</w:t>
            </w:r>
            <w:r>
              <w:rPr>
                <w:rFonts w:hint="eastAsia" w:ascii="黑体" w:hAnsi="黑体" w:eastAsia="黑体" w:cs="Times New Roman"/>
                <w:color w:val="auto"/>
                <w:kern w:val="0"/>
                <w:sz w:val="24"/>
                <w:szCs w:val="24"/>
                <w:highlight w:val="none"/>
              </w:rPr>
              <w:t>）</w:t>
            </w:r>
          </w:p>
        </w:tc>
        <w:tc>
          <w:tcPr>
            <w:tcW w:w="3393" w:type="pct"/>
            <w:noWrap w:val="0"/>
            <w:vAlign w:val="center"/>
          </w:tcPr>
          <w:p w14:paraId="1C440160">
            <w:pPr>
              <w:adjustRightInd w:val="0"/>
              <w:snapToGrid w:val="0"/>
              <w:jc w:val="center"/>
              <w:rPr>
                <w:rFonts w:ascii="宋体" w:hAnsi="宋体" w:eastAsia="宋体" w:cs="Times New Roman"/>
                <w:color w:val="auto"/>
                <w:kern w:val="0"/>
                <w:sz w:val="24"/>
                <w:szCs w:val="24"/>
                <w:highlight w:val="none"/>
              </w:rPr>
            </w:pPr>
          </w:p>
        </w:tc>
      </w:tr>
      <w:tr w14:paraId="0202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06" w:type="pct"/>
            <w:noWrap w:val="0"/>
            <w:vAlign w:val="center"/>
          </w:tcPr>
          <w:p w14:paraId="5E40B4AB">
            <w:pPr>
              <w:adjustRightInd w:val="0"/>
              <w:snapToGrid w:val="0"/>
              <w:jc w:val="center"/>
              <w:rPr>
                <w:rFonts w:ascii="黑体" w:hAnsi="黑体" w:eastAsia="黑体" w:cs="Times New Roman"/>
                <w:color w:val="auto"/>
                <w:kern w:val="0"/>
                <w:sz w:val="24"/>
                <w:szCs w:val="24"/>
                <w:highlight w:val="none"/>
              </w:rPr>
            </w:pPr>
            <w:r>
              <w:rPr>
                <w:rFonts w:hint="eastAsia" w:ascii="黑体" w:hAnsi="黑体" w:eastAsia="黑体" w:cs="Times New Roman"/>
                <w:color w:val="auto"/>
                <w:kern w:val="0"/>
                <w:sz w:val="24"/>
                <w:szCs w:val="24"/>
                <w:highlight w:val="none"/>
              </w:rPr>
              <w:t>供应商单位（</w:t>
            </w:r>
            <w:r>
              <w:rPr>
                <w:rFonts w:hint="eastAsia" w:ascii="黑体" w:hAnsi="黑体" w:eastAsia="黑体" w:cs="宋体-18030"/>
                <w:bCs/>
                <w:color w:val="auto"/>
                <w:kern w:val="0"/>
                <w:sz w:val="24"/>
                <w:szCs w:val="24"/>
                <w:highlight w:val="none"/>
              </w:rPr>
              <w:t>乙方</w:t>
            </w:r>
            <w:r>
              <w:rPr>
                <w:rFonts w:hint="eastAsia" w:ascii="黑体" w:hAnsi="黑体" w:eastAsia="黑体" w:cs="Times New Roman"/>
                <w:color w:val="auto"/>
                <w:kern w:val="0"/>
                <w:sz w:val="24"/>
                <w:szCs w:val="24"/>
                <w:highlight w:val="none"/>
              </w:rPr>
              <w:t>）</w:t>
            </w:r>
          </w:p>
          <w:p w14:paraId="30415AA7">
            <w:pPr>
              <w:adjustRightInd w:val="0"/>
              <w:snapToGrid w:val="0"/>
              <w:jc w:val="center"/>
              <w:rPr>
                <w:rFonts w:ascii="黑体" w:hAnsi="黑体" w:eastAsia="黑体" w:cs="Times New Roman"/>
                <w:color w:val="auto"/>
                <w:kern w:val="0"/>
                <w:sz w:val="24"/>
                <w:szCs w:val="24"/>
                <w:highlight w:val="none"/>
              </w:rPr>
            </w:pPr>
            <w:r>
              <w:rPr>
                <w:rFonts w:hint="eastAsia" w:ascii="黑体" w:hAnsi="黑体" w:eastAsia="黑体" w:cs="Times New Roman"/>
                <w:color w:val="auto"/>
                <w:kern w:val="0"/>
                <w:sz w:val="24"/>
                <w:szCs w:val="24"/>
                <w:highlight w:val="none"/>
              </w:rPr>
              <w:t>监督部门及举报电话</w:t>
            </w:r>
          </w:p>
        </w:tc>
        <w:tc>
          <w:tcPr>
            <w:tcW w:w="3393" w:type="pct"/>
            <w:noWrap w:val="0"/>
            <w:vAlign w:val="center"/>
          </w:tcPr>
          <w:p w14:paraId="36424252">
            <w:pPr>
              <w:adjustRightInd w:val="0"/>
              <w:snapToGrid w:val="0"/>
              <w:jc w:val="center"/>
              <w:rPr>
                <w:rFonts w:ascii="宋体" w:hAnsi="宋体" w:eastAsia="宋体" w:cs="Times New Roman"/>
                <w:color w:val="auto"/>
                <w:kern w:val="0"/>
                <w:sz w:val="24"/>
                <w:szCs w:val="24"/>
                <w:highlight w:val="none"/>
              </w:rPr>
            </w:pPr>
          </w:p>
        </w:tc>
      </w:tr>
      <w:tr w14:paraId="0763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06" w:type="pct"/>
            <w:noWrap w:val="0"/>
            <w:vAlign w:val="center"/>
          </w:tcPr>
          <w:p w14:paraId="47FDA2B3">
            <w:pPr>
              <w:adjustRightInd w:val="0"/>
              <w:snapToGrid w:val="0"/>
              <w:jc w:val="center"/>
              <w:rPr>
                <w:rFonts w:ascii="黑体" w:hAnsi="黑体" w:eastAsia="黑体" w:cs="Times New Roman"/>
                <w:color w:val="auto"/>
                <w:kern w:val="0"/>
                <w:sz w:val="24"/>
                <w:szCs w:val="24"/>
                <w:highlight w:val="none"/>
              </w:rPr>
            </w:pPr>
            <w:r>
              <w:rPr>
                <w:rFonts w:hint="eastAsia" w:ascii="黑体" w:hAnsi="黑体" w:eastAsia="黑体" w:cs="Times New Roman"/>
                <w:color w:val="auto"/>
                <w:kern w:val="0"/>
                <w:sz w:val="24"/>
                <w:szCs w:val="24"/>
                <w:highlight w:val="none"/>
              </w:rPr>
              <w:t>采购项目名称</w:t>
            </w:r>
          </w:p>
        </w:tc>
        <w:tc>
          <w:tcPr>
            <w:tcW w:w="3393" w:type="pct"/>
            <w:noWrap w:val="0"/>
            <w:vAlign w:val="center"/>
          </w:tcPr>
          <w:p w14:paraId="33668E56">
            <w:pPr>
              <w:adjustRightInd w:val="0"/>
              <w:snapToGrid w:val="0"/>
              <w:jc w:val="center"/>
              <w:rPr>
                <w:rFonts w:ascii="宋体" w:hAnsi="宋体" w:eastAsia="宋体" w:cs="Times New Roman"/>
                <w:color w:val="auto"/>
                <w:kern w:val="0"/>
                <w:sz w:val="24"/>
                <w:szCs w:val="24"/>
                <w:highlight w:val="none"/>
              </w:rPr>
            </w:pPr>
          </w:p>
        </w:tc>
      </w:tr>
      <w:tr w14:paraId="6E54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06" w:type="pct"/>
            <w:noWrap w:val="0"/>
            <w:vAlign w:val="center"/>
          </w:tcPr>
          <w:p w14:paraId="1B4EBDDE">
            <w:pPr>
              <w:adjustRightInd w:val="0"/>
              <w:snapToGrid w:val="0"/>
              <w:jc w:val="center"/>
              <w:rPr>
                <w:rFonts w:ascii="黑体" w:hAnsi="黑体" w:eastAsia="黑体" w:cs="Times New Roman"/>
                <w:color w:val="auto"/>
                <w:kern w:val="0"/>
                <w:sz w:val="24"/>
                <w:szCs w:val="24"/>
                <w:highlight w:val="none"/>
              </w:rPr>
            </w:pPr>
            <w:r>
              <w:rPr>
                <w:rFonts w:hint="eastAsia" w:ascii="黑体" w:hAnsi="黑体" w:eastAsia="黑体" w:cs="Times New Roman"/>
                <w:color w:val="auto"/>
                <w:kern w:val="0"/>
                <w:sz w:val="24"/>
                <w:szCs w:val="24"/>
                <w:highlight w:val="none"/>
              </w:rPr>
              <w:t>主合同名称</w:t>
            </w:r>
          </w:p>
        </w:tc>
        <w:tc>
          <w:tcPr>
            <w:tcW w:w="3393" w:type="pct"/>
            <w:noWrap w:val="0"/>
            <w:vAlign w:val="center"/>
          </w:tcPr>
          <w:p w14:paraId="1914886D">
            <w:pPr>
              <w:adjustRightInd w:val="0"/>
              <w:snapToGrid w:val="0"/>
              <w:jc w:val="center"/>
              <w:rPr>
                <w:rFonts w:ascii="宋体" w:hAnsi="宋体" w:eastAsia="宋体" w:cs="Times New Roman"/>
                <w:color w:val="auto"/>
                <w:kern w:val="0"/>
                <w:sz w:val="24"/>
                <w:szCs w:val="24"/>
                <w:highlight w:val="none"/>
              </w:rPr>
            </w:pPr>
          </w:p>
        </w:tc>
      </w:tr>
      <w:tr w14:paraId="12C3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06" w:type="pct"/>
            <w:noWrap w:val="0"/>
            <w:vAlign w:val="center"/>
          </w:tcPr>
          <w:p w14:paraId="6ED9881E">
            <w:pPr>
              <w:jc w:val="center"/>
              <w:rPr>
                <w:rFonts w:ascii="黑体" w:hAnsi="黑体" w:eastAsia="黑体" w:cs="宋体"/>
                <w:b/>
                <w:color w:val="auto"/>
                <w:sz w:val="24"/>
                <w:szCs w:val="24"/>
                <w:highlight w:val="none"/>
                <w:u w:val="single"/>
              </w:rPr>
            </w:pPr>
            <w:r>
              <w:rPr>
                <w:rFonts w:hint="eastAsia" w:ascii="黑体" w:hAnsi="黑体" w:eastAsia="黑体" w:cs="Times New Roman"/>
                <w:color w:val="auto"/>
                <w:kern w:val="0"/>
                <w:sz w:val="24"/>
                <w:szCs w:val="24"/>
                <w:highlight w:val="none"/>
              </w:rPr>
              <w:t>主合同金额</w:t>
            </w:r>
          </w:p>
        </w:tc>
        <w:tc>
          <w:tcPr>
            <w:tcW w:w="3393" w:type="pct"/>
            <w:noWrap w:val="0"/>
            <w:vAlign w:val="center"/>
          </w:tcPr>
          <w:p w14:paraId="592E08CB">
            <w:pPr>
              <w:jc w:val="center"/>
              <w:rPr>
                <w:rFonts w:ascii="宋体" w:hAnsi="宋体" w:eastAsia="宋体" w:cs="宋体"/>
                <w:b/>
                <w:color w:val="auto"/>
                <w:sz w:val="24"/>
                <w:szCs w:val="24"/>
                <w:highlight w:val="none"/>
                <w:u w:val="single"/>
              </w:rPr>
            </w:pPr>
          </w:p>
        </w:tc>
      </w:tr>
    </w:tbl>
    <w:p w14:paraId="5136A673">
      <w:pPr>
        <w:adjustRightInd w:val="0"/>
        <w:snapToGrid w:val="0"/>
        <w:spacing w:line="300" w:lineRule="auto"/>
        <w:ind w:firstLine="480" w:firstLineChars="200"/>
        <w:rPr>
          <w:rFonts w:ascii="宋体" w:hAnsi="宋体"/>
          <w:bCs/>
          <w:color w:val="auto"/>
          <w:kern w:val="0"/>
          <w:sz w:val="24"/>
          <w:szCs w:val="22"/>
          <w:highlight w:val="none"/>
        </w:rPr>
      </w:pPr>
    </w:p>
    <w:p w14:paraId="74369FDF">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bCs/>
          <w:color w:val="auto"/>
          <w:kern w:val="0"/>
          <w:sz w:val="24"/>
          <w:szCs w:val="24"/>
          <w:highlight w:val="none"/>
        </w:rPr>
        <w:t>根据《中华人民共和国民法典》《中华人民共和国监察法》等法律法规和政策，</w:t>
      </w:r>
      <w:r>
        <w:rPr>
          <w:rFonts w:hint="eastAsia" w:ascii="宋体" w:hAnsi="宋体" w:cs="宋体-18030"/>
          <w:color w:val="auto"/>
          <w:kern w:val="0"/>
          <w:sz w:val="24"/>
          <w:szCs w:val="24"/>
          <w:highlight w:val="none"/>
        </w:rPr>
        <w:t>为加强商业交易过程的廉政建设，规范采购项目中采、供双方的各项活动，防止发生各种谋取不正当利益的违法违纪行为，保护国家、集体和当事人的合法权益，在签订交易合同（主合同）的同时，</w:t>
      </w:r>
      <w:r>
        <w:rPr>
          <w:rFonts w:hint="eastAsia" w:ascii="宋体" w:hAnsi="宋体"/>
          <w:color w:val="auto"/>
          <w:kern w:val="0"/>
          <w:sz w:val="24"/>
          <w:szCs w:val="24"/>
          <w:highlight w:val="none"/>
        </w:rPr>
        <w:t>甲乙双方特订立本</w:t>
      </w:r>
      <w:r>
        <w:rPr>
          <w:rFonts w:hint="eastAsia" w:ascii="宋体" w:hAnsi="宋体" w:cs="宋体-18030"/>
          <w:color w:val="auto"/>
          <w:kern w:val="0"/>
          <w:sz w:val="24"/>
          <w:szCs w:val="24"/>
          <w:highlight w:val="none"/>
        </w:rPr>
        <w:t>廉政合同。</w:t>
      </w:r>
    </w:p>
    <w:p w14:paraId="69063B62">
      <w:pPr>
        <w:adjustRightInd w:val="0"/>
        <w:snapToGrid w:val="0"/>
        <w:spacing w:line="300" w:lineRule="auto"/>
        <w:jc w:val="center"/>
        <w:rPr>
          <w:rFonts w:ascii="黑体" w:hAnsi="黑体" w:eastAsia="黑体" w:cs="宋体-18030"/>
          <w:bCs/>
          <w:color w:val="auto"/>
          <w:kern w:val="0"/>
          <w:sz w:val="24"/>
          <w:szCs w:val="24"/>
          <w:highlight w:val="none"/>
        </w:rPr>
      </w:pPr>
      <w:r>
        <w:rPr>
          <w:rFonts w:hint="eastAsia" w:ascii="黑体" w:hAnsi="黑体" w:eastAsia="黑体" w:cs="宋体-18030"/>
          <w:bCs/>
          <w:color w:val="auto"/>
          <w:kern w:val="0"/>
          <w:sz w:val="24"/>
          <w:szCs w:val="24"/>
          <w:highlight w:val="none"/>
        </w:rPr>
        <w:t>第一条  双方的权利和义务</w:t>
      </w:r>
    </w:p>
    <w:p w14:paraId="766C7F08">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(一)甲乙双方应严格遵守国家关于市场准入、公平交易和市场经营活动等有关法律、法规和相关政策，以及廉政建设的各项规定。</w:t>
      </w:r>
    </w:p>
    <w:p w14:paraId="0609608E">
      <w:pPr>
        <w:adjustRightInd w:val="0"/>
        <w:snapToGrid w:val="0"/>
        <w:spacing w:line="300" w:lineRule="auto"/>
        <w:ind w:firstLine="540" w:firstLineChars="225"/>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(二)严格执行甲乙双方签订的</w:t>
      </w:r>
      <w:r>
        <w:rPr>
          <w:rFonts w:hint="eastAsia" w:ascii="宋体" w:hAnsi="宋体"/>
          <w:color w:val="auto"/>
          <w:kern w:val="0"/>
          <w:sz w:val="24"/>
          <w:szCs w:val="24"/>
          <w:highlight w:val="none"/>
        </w:rPr>
        <w:t>主合同</w:t>
      </w:r>
      <w:r>
        <w:rPr>
          <w:rFonts w:hint="eastAsia" w:ascii="宋体" w:hAnsi="宋体" w:cs="宋体-18030"/>
          <w:color w:val="auto"/>
          <w:kern w:val="0"/>
          <w:sz w:val="24"/>
          <w:szCs w:val="24"/>
          <w:highlight w:val="none"/>
        </w:rPr>
        <w:t>，自觉履行合同义务。</w:t>
      </w:r>
    </w:p>
    <w:p w14:paraId="044F8633">
      <w:pPr>
        <w:adjustRightInd w:val="0"/>
        <w:snapToGrid w:val="0"/>
        <w:spacing w:line="300" w:lineRule="auto"/>
        <w:ind w:firstLine="540" w:firstLineChars="225"/>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三)双方的业务活动坚持公开、公平、公正、诚信、透明的原则(除法律法规认定的商业秘密和主合同另有约定之外)，甲乙双方人员不得为获取不正当利益私下商谈或达成默契，不得损害国家和集体利益，不得违反招标采购、反垄断和反不正当竞争方面的法律法规和规章制度。</w:t>
      </w:r>
    </w:p>
    <w:p w14:paraId="283DBDA1">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(四)双方应当建立健全廉政制度，开展廉政教育，公示举报电话，监督并认真查处违法违纪行为。</w:t>
      </w:r>
    </w:p>
    <w:p w14:paraId="2048655D">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(五)发现对方在业务活动中有违反廉政规定行为的，有及时提醒对方纠正的权利和义务，并可向其上级有关部门举报、建议给予处理并要求告知处理结果的权利。</w:t>
      </w:r>
    </w:p>
    <w:p w14:paraId="252F9B3E">
      <w:pPr>
        <w:adjustRightInd w:val="0"/>
        <w:snapToGrid w:val="0"/>
        <w:spacing w:line="300" w:lineRule="auto"/>
        <w:jc w:val="center"/>
        <w:rPr>
          <w:rFonts w:ascii="黑体" w:hAnsi="黑体" w:eastAsia="黑体" w:cs="宋体-18030"/>
          <w:bCs/>
          <w:color w:val="auto"/>
          <w:kern w:val="0"/>
          <w:sz w:val="24"/>
          <w:szCs w:val="24"/>
          <w:highlight w:val="none"/>
        </w:rPr>
      </w:pPr>
      <w:r>
        <w:rPr>
          <w:rFonts w:hint="eastAsia" w:ascii="黑体" w:hAnsi="黑体" w:eastAsia="黑体" w:cs="宋体-18030"/>
          <w:bCs/>
          <w:color w:val="auto"/>
          <w:kern w:val="0"/>
          <w:sz w:val="24"/>
          <w:szCs w:val="24"/>
          <w:highlight w:val="none"/>
        </w:rPr>
        <w:t>第二条  甲方的义务</w:t>
      </w:r>
    </w:p>
    <w:p w14:paraId="48474AD9">
      <w:pPr>
        <w:adjustRightInd w:val="0"/>
        <w:snapToGrid w:val="0"/>
        <w:spacing w:line="30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甲方及其工作人员在采购项目的事前、事中、事后应遵守以下规定：</w:t>
      </w:r>
    </w:p>
    <w:p w14:paraId="5AC00FDB">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(一)不得向乙方索要或接受回扣、红包、礼金、有价证券、贵重物品和好处费、感谢费等主合同约定之外的费用；不得在乙方报销任何应由</w:t>
      </w:r>
      <w:bookmarkStart w:id="269" w:name="_Hlk59567612"/>
      <w:r>
        <w:rPr>
          <w:rFonts w:hint="eastAsia" w:ascii="宋体" w:hAnsi="宋体" w:cs="宋体-18030"/>
          <w:color w:val="auto"/>
          <w:kern w:val="0"/>
          <w:sz w:val="24"/>
          <w:szCs w:val="24"/>
          <w:highlight w:val="none"/>
        </w:rPr>
        <w:t>甲方或甲方工作人员</w:t>
      </w:r>
      <w:bookmarkEnd w:id="269"/>
      <w:r>
        <w:rPr>
          <w:rFonts w:hint="eastAsia" w:ascii="宋体" w:hAnsi="宋体" w:cs="宋体-18030"/>
          <w:color w:val="auto"/>
          <w:kern w:val="0"/>
          <w:sz w:val="24"/>
          <w:szCs w:val="24"/>
          <w:highlight w:val="none"/>
        </w:rPr>
        <w:t>支付的费用。</w:t>
      </w:r>
    </w:p>
    <w:p w14:paraId="1973692D">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(二)不得参加乙方安排的宴请及健身、娱乐等活动；不得接受乙方提供的通讯工具、交通工具和高档办公用品等。</w:t>
      </w:r>
    </w:p>
    <w:p w14:paraId="452C40AF">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(三)不得要求、暗示和接受乙方为甲方或甲方工作人员装修住房、婚丧嫁娶、配偶子女工作安排以及出国出境、旅游等提供方便。</w:t>
      </w:r>
    </w:p>
    <w:p w14:paraId="59B4D855">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(四)甲方工作人员的配偶、子女、亲属不得从事与乙方采购项目有关的经济活动。</w:t>
      </w:r>
    </w:p>
    <w:p w14:paraId="13FD3079">
      <w:pPr>
        <w:adjustRightInd w:val="0"/>
        <w:snapToGrid w:val="0"/>
        <w:spacing w:line="300" w:lineRule="auto"/>
        <w:ind w:firstLine="360" w:firstLineChars="15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（五）不得以任何理由要求乙方履行主合同规定义务之外的义务。</w:t>
      </w:r>
    </w:p>
    <w:p w14:paraId="6AE61057">
      <w:pPr>
        <w:adjustRightInd w:val="0"/>
        <w:snapToGrid w:val="0"/>
        <w:spacing w:line="300" w:lineRule="auto"/>
        <w:jc w:val="center"/>
        <w:rPr>
          <w:rFonts w:ascii="黑体" w:hAnsi="黑体" w:eastAsia="黑体" w:cs="宋体-18030"/>
          <w:bCs/>
          <w:color w:val="auto"/>
          <w:kern w:val="0"/>
          <w:sz w:val="24"/>
          <w:szCs w:val="24"/>
          <w:highlight w:val="none"/>
        </w:rPr>
      </w:pPr>
      <w:r>
        <w:rPr>
          <w:rFonts w:hint="eastAsia" w:ascii="黑体" w:hAnsi="黑体" w:eastAsia="黑体" w:cs="宋体-18030"/>
          <w:bCs/>
          <w:color w:val="auto"/>
          <w:kern w:val="0"/>
          <w:sz w:val="24"/>
          <w:szCs w:val="24"/>
          <w:highlight w:val="none"/>
        </w:rPr>
        <w:t>第三条  乙方的义务</w:t>
      </w:r>
    </w:p>
    <w:p w14:paraId="3A40E434">
      <w:pPr>
        <w:adjustRightInd w:val="0"/>
        <w:snapToGrid w:val="0"/>
        <w:spacing w:line="300" w:lineRule="auto"/>
        <w:ind w:firstLine="480" w:firstLineChars="200"/>
        <w:rPr>
          <w:rFonts w:ascii="宋体" w:hAnsi="宋体"/>
          <w:color w:val="auto"/>
          <w:kern w:val="0"/>
          <w:sz w:val="24"/>
          <w:szCs w:val="24"/>
          <w:highlight w:val="none"/>
        </w:rPr>
      </w:pPr>
      <w:r>
        <w:rPr>
          <w:rFonts w:hint="eastAsia" w:ascii="宋体" w:hAnsi="宋体" w:cs="宋体-18030"/>
          <w:color w:val="auto"/>
          <w:kern w:val="0"/>
          <w:sz w:val="24"/>
          <w:szCs w:val="24"/>
          <w:highlight w:val="none"/>
        </w:rPr>
        <w:t>乙方及其工作人员应与</w:t>
      </w:r>
      <w:r>
        <w:rPr>
          <w:rFonts w:hint="eastAsia" w:ascii="宋体" w:hAnsi="宋体"/>
          <w:color w:val="auto"/>
          <w:kern w:val="0"/>
          <w:sz w:val="24"/>
          <w:szCs w:val="24"/>
          <w:highlight w:val="none"/>
        </w:rPr>
        <w:t>甲方保持正常和业务交往，按照有关法律法规和程序开展业务工作，严格执行有关方针、政策，并遵守以下规定：</w:t>
      </w:r>
    </w:p>
    <w:p w14:paraId="6AA38AC8">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(一)不得以任何理由向甲方及其工作人员行贿或商业贿赂。</w:t>
      </w:r>
    </w:p>
    <w:p w14:paraId="413DB9C2">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(二)不得以任何名义为甲方及其工作人员报销应由甲方或甲方工作人员支付的任何费用。</w:t>
      </w:r>
    </w:p>
    <w:p w14:paraId="36D4EE36">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(三)不得以任何理由安排甲方工作人员参加宴请及健身、娱乐和旅游等活动。</w:t>
      </w:r>
    </w:p>
    <w:p w14:paraId="59CC2FC1">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(四)不得为甲方及其工作人员购置或提供通讯工具、交通工具、高档办公用品和住房装修等事项。</w:t>
      </w:r>
    </w:p>
    <w:p w14:paraId="79005525">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（五）不得与甲方相关人员勾结、串通、用非法手段损害甲方利益。</w:t>
      </w:r>
    </w:p>
    <w:p w14:paraId="2411BB1C">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（六）不得在主合同签订、验收、付款等履行环节中为获得便利向甲方或相关人员支付主合同约定以外的费用。</w:t>
      </w:r>
    </w:p>
    <w:p w14:paraId="5D042417">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（七）乙方发生有违反本廉政合同的行为，</w:t>
      </w:r>
      <w:r>
        <w:rPr>
          <w:rFonts w:hint="eastAsia" w:ascii="宋体" w:hAnsi="宋体"/>
          <w:color w:val="auto"/>
          <w:kern w:val="0"/>
          <w:sz w:val="24"/>
          <w:szCs w:val="24"/>
          <w:highlight w:val="none"/>
        </w:rPr>
        <w:t>甲方有权解除主</w:t>
      </w:r>
      <w:r>
        <w:rPr>
          <w:rFonts w:hint="eastAsia" w:ascii="宋体" w:hAnsi="宋体" w:cs="宋体-18030"/>
          <w:color w:val="auto"/>
          <w:kern w:val="0"/>
          <w:sz w:val="24"/>
          <w:szCs w:val="24"/>
          <w:highlight w:val="none"/>
        </w:rPr>
        <w:t>合同，乙方向甲方支付主合同金额3</w:t>
      </w:r>
      <w:r>
        <w:rPr>
          <w:rFonts w:ascii="宋体" w:hAnsi="宋体" w:cs="宋体-18030"/>
          <w:color w:val="auto"/>
          <w:kern w:val="0"/>
          <w:sz w:val="24"/>
          <w:szCs w:val="24"/>
          <w:highlight w:val="none"/>
        </w:rPr>
        <w:t>0%</w:t>
      </w:r>
      <w:r>
        <w:rPr>
          <w:rFonts w:hint="eastAsia" w:ascii="宋体" w:hAnsi="宋体" w:cs="宋体-18030"/>
          <w:color w:val="auto"/>
          <w:kern w:val="0"/>
          <w:sz w:val="24"/>
          <w:szCs w:val="24"/>
          <w:highlight w:val="none"/>
        </w:rPr>
        <w:t>的违约金且赔偿由此给甲方造成的损失及发生的一切费用。</w:t>
      </w:r>
    </w:p>
    <w:p w14:paraId="6E608FDA">
      <w:pPr>
        <w:adjustRightInd w:val="0"/>
        <w:snapToGrid w:val="0"/>
        <w:spacing w:line="300" w:lineRule="auto"/>
        <w:jc w:val="center"/>
        <w:rPr>
          <w:rFonts w:ascii="黑体" w:hAnsi="黑体" w:eastAsia="黑体" w:cs="宋体-18030"/>
          <w:bCs/>
          <w:color w:val="auto"/>
          <w:kern w:val="0"/>
          <w:sz w:val="24"/>
          <w:szCs w:val="24"/>
          <w:highlight w:val="none"/>
        </w:rPr>
      </w:pPr>
      <w:r>
        <w:rPr>
          <w:rFonts w:hint="eastAsia" w:ascii="黑体" w:hAnsi="黑体" w:eastAsia="黑体" w:cs="宋体-18030"/>
          <w:bCs/>
          <w:color w:val="auto"/>
          <w:kern w:val="0"/>
          <w:sz w:val="24"/>
          <w:szCs w:val="24"/>
          <w:highlight w:val="none"/>
        </w:rPr>
        <w:t>第四条  违约责任</w:t>
      </w:r>
    </w:p>
    <w:p w14:paraId="2F9106F1">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(一)甲方工作人员有违反本合同第一、二条的，按管理权限，依据有关法律法规和规定给予党纪、政务处分或组织处理；涉嫌犯罪的，移交司法机关追究刑事责任。</w:t>
      </w:r>
    </w:p>
    <w:p w14:paraId="65E3332F">
      <w:pPr>
        <w:adjustRightInd w:val="0"/>
        <w:snapToGrid w:val="0"/>
        <w:spacing w:line="300" w:lineRule="auto"/>
        <w:ind w:firstLine="480" w:firstLineChars="200"/>
        <w:rPr>
          <w:rFonts w:hint="eastAsia" w:ascii="宋体" w:hAnsi="宋体" w:cs="宋体-18030"/>
          <w:color w:val="auto"/>
          <w:kern w:val="0"/>
          <w:sz w:val="24"/>
          <w:szCs w:val="24"/>
          <w:highlight w:val="none"/>
        </w:rPr>
      </w:pPr>
      <w:r>
        <w:rPr>
          <w:rFonts w:hint="eastAsia" w:ascii="宋体" w:hAnsi="宋体" w:cs="宋体-18030"/>
          <w:color w:val="auto"/>
          <w:kern w:val="0"/>
          <w:sz w:val="24"/>
          <w:szCs w:val="24"/>
          <w:highlight w:val="none"/>
        </w:rPr>
        <w:t>(二)乙方工作人员违反本合同第一、三条的，按管理权限，依据有关法律法规和规定给予党纪、政务处分或组织处理；涉嫌犯罪的，移交司法机关追究刑事责任；同时，甲方可以采取拒绝乙方参与商业交易活动、向社会通报公示相关情况等信用惩戒措施。</w:t>
      </w:r>
    </w:p>
    <w:p w14:paraId="59A1780C">
      <w:pPr>
        <w:adjustRightInd w:val="0"/>
        <w:snapToGrid w:val="0"/>
        <w:spacing w:line="300" w:lineRule="auto"/>
        <w:ind w:firstLine="480" w:firstLineChars="200"/>
        <w:rPr>
          <w:color w:val="auto"/>
          <w:sz w:val="24"/>
          <w:szCs w:val="24"/>
          <w:highlight w:val="none"/>
        </w:rPr>
      </w:pPr>
      <w:r>
        <w:rPr>
          <w:rFonts w:hint="eastAsia"/>
          <w:color w:val="auto"/>
          <w:sz w:val="24"/>
          <w:szCs w:val="24"/>
          <w:highlight w:val="none"/>
          <w:lang w:val="en-US" w:eastAsia="zh-CN"/>
        </w:rPr>
        <w:t>（三）履约过程中甲方发现乙方有串通投标行为的，有权报上级政府采购监督管理部门，如经政府采购监督管理部门核查确认串通投标行为成立后，中标、成交结果无效，乙方除接受监督管理部门处罚外，乙方还应赔偿由此给甲方带来的一切损失</w:t>
      </w:r>
      <w:r>
        <w:rPr>
          <w:rFonts w:hint="eastAsia" w:ascii="宋体" w:hAnsi="宋体" w:cs="宋体-18030"/>
          <w:color w:val="auto"/>
          <w:kern w:val="0"/>
          <w:sz w:val="24"/>
          <w:szCs w:val="24"/>
          <w:highlight w:val="none"/>
          <w:lang w:eastAsia="zh-CN"/>
        </w:rPr>
        <w:t>；</w:t>
      </w:r>
      <w:r>
        <w:rPr>
          <w:rFonts w:hint="eastAsia" w:ascii="宋体" w:hAnsi="宋体" w:cs="宋体-18030"/>
          <w:color w:val="auto"/>
          <w:kern w:val="0"/>
          <w:sz w:val="24"/>
          <w:szCs w:val="24"/>
          <w:highlight w:val="none"/>
          <w:lang w:val="en-US" w:eastAsia="zh-CN"/>
        </w:rPr>
        <w:t>同时</w:t>
      </w:r>
      <w:r>
        <w:rPr>
          <w:rFonts w:hint="eastAsia" w:ascii="宋体" w:hAnsi="宋体" w:cs="宋体-18030"/>
          <w:color w:val="auto"/>
          <w:kern w:val="0"/>
          <w:sz w:val="24"/>
          <w:szCs w:val="24"/>
          <w:highlight w:val="none"/>
        </w:rPr>
        <w:t>甲方</w:t>
      </w:r>
      <w:r>
        <w:rPr>
          <w:rFonts w:hint="eastAsia" w:ascii="宋体" w:hAnsi="宋体" w:cs="宋体-18030"/>
          <w:color w:val="auto"/>
          <w:kern w:val="0"/>
          <w:sz w:val="24"/>
          <w:szCs w:val="24"/>
          <w:highlight w:val="none"/>
          <w:lang w:val="en-US" w:eastAsia="zh-CN"/>
        </w:rPr>
        <w:t>有权将乙方及</w:t>
      </w:r>
      <w:r>
        <w:rPr>
          <w:rFonts w:hint="eastAsia" w:ascii="宋体" w:hAnsi="宋体" w:cs="宋体-18030"/>
          <w:color w:val="auto"/>
          <w:kern w:val="0"/>
          <w:sz w:val="24"/>
          <w:szCs w:val="24"/>
          <w:highlight w:val="none"/>
        </w:rPr>
        <w:t>发现串标的供应商列入医院“黑名单”</w:t>
      </w:r>
      <w:r>
        <w:rPr>
          <w:rFonts w:hint="eastAsia" w:ascii="宋体" w:hAnsi="宋体" w:cs="宋体-18030"/>
          <w:color w:val="auto"/>
          <w:kern w:val="0"/>
          <w:sz w:val="24"/>
          <w:szCs w:val="24"/>
          <w:highlight w:val="none"/>
          <w:lang w:eastAsia="zh-CN"/>
        </w:rPr>
        <w:t>，</w:t>
      </w:r>
      <w:r>
        <w:rPr>
          <w:rFonts w:hint="eastAsia" w:ascii="宋体" w:hAnsi="宋体" w:cs="宋体-18030"/>
          <w:color w:val="auto"/>
          <w:kern w:val="0"/>
          <w:sz w:val="24"/>
          <w:szCs w:val="24"/>
          <w:highlight w:val="none"/>
        </w:rPr>
        <w:t>拒绝</w:t>
      </w:r>
      <w:r>
        <w:rPr>
          <w:rFonts w:hint="eastAsia" w:ascii="宋体" w:hAnsi="宋体" w:cs="宋体-18030"/>
          <w:color w:val="auto"/>
          <w:kern w:val="0"/>
          <w:sz w:val="24"/>
          <w:szCs w:val="24"/>
          <w:highlight w:val="none"/>
          <w:lang w:val="en-US" w:eastAsia="zh-CN"/>
        </w:rPr>
        <w:t>与列入“黑名单”的供应商进行任何业务往来，并将相关情况报纪检监察等监督部门进行备案</w:t>
      </w:r>
      <w:r>
        <w:rPr>
          <w:rFonts w:hint="eastAsia" w:ascii="宋体" w:hAnsi="宋体" w:cs="宋体-18030"/>
          <w:color w:val="auto"/>
          <w:kern w:val="0"/>
          <w:sz w:val="24"/>
          <w:szCs w:val="24"/>
          <w:highlight w:val="none"/>
        </w:rPr>
        <w:t>。</w:t>
      </w:r>
      <w:r>
        <w:rPr>
          <w:rFonts w:hint="eastAsia" w:ascii="宋体" w:hAnsi="宋体" w:cs="宋体-18030"/>
          <w:color w:val="auto"/>
          <w:kern w:val="0"/>
          <w:sz w:val="24"/>
          <w:szCs w:val="24"/>
          <w:highlight w:val="none"/>
          <w:lang w:val="en-US" w:eastAsia="zh-CN"/>
        </w:rPr>
        <w:t>如已签订合同的，甲方有权单方解除合同。</w:t>
      </w:r>
    </w:p>
    <w:p w14:paraId="63A77558">
      <w:pPr>
        <w:adjustRightInd w:val="0"/>
        <w:snapToGrid w:val="0"/>
        <w:spacing w:line="300" w:lineRule="auto"/>
        <w:jc w:val="center"/>
        <w:rPr>
          <w:rFonts w:ascii="黑体" w:hAnsi="黑体" w:eastAsia="黑体" w:cs="宋体-18030"/>
          <w:color w:val="auto"/>
          <w:kern w:val="0"/>
          <w:sz w:val="24"/>
          <w:szCs w:val="24"/>
          <w:highlight w:val="none"/>
        </w:rPr>
      </w:pPr>
      <w:r>
        <w:rPr>
          <w:rFonts w:hint="eastAsia" w:ascii="黑体" w:hAnsi="黑体" w:eastAsia="黑体" w:cs="宋体-18030"/>
          <w:color w:val="auto"/>
          <w:kern w:val="0"/>
          <w:sz w:val="24"/>
          <w:szCs w:val="24"/>
          <w:highlight w:val="none"/>
        </w:rPr>
        <w:t xml:space="preserve">第五条 </w:t>
      </w:r>
      <w:r>
        <w:rPr>
          <w:rFonts w:ascii="黑体" w:hAnsi="黑体" w:eastAsia="黑体" w:cs="宋体-18030"/>
          <w:color w:val="auto"/>
          <w:kern w:val="0"/>
          <w:sz w:val="24"/>
          <w:szCs w:val="24"/>
          <w:highlight w:val="none"/>
        </w:rPr>
        <w:t xml:space="preserve"> </w:t>
      </w:r>
      <w:r>
        <w:rPr>
          <w:rFonts w:hint="eastAsia" w:ascii="黑体" w:hAnsi="黑体" w:eastAsia="黑体" w:cs="宋体-18030"/>
          <w:color w:val="auto"/>
          <w:kern w:val="0"/>
          <w:sz w:val="24"/>
          <w:szCs w:val="24"/>
          <w:highlight w:val="none"/>
        </w:rPr>
        <w:t>其他约定</w:t>
      </w:r>
    </w:p>
    <w:p w14:paraId="147B8DD8">
      <w:pPr>
        <w:adjustRightInd w:val="0"/>
        <w:snapToGrid w:val="0"/>
        <w:spacing w:line="300" w:lineRule="auto"/>
        <w:ind w:firstLine="480" w:firstLineChars="200"/>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一）乙方按照主合同约定如有分包的，乙方有责任向分包单位告知本合同的具体内容，并严格执行本合同；分包单位如有违反本合同的行为，视为乙方违反本合同第三条约定，并按照第三条第（七）项向甲方承担违约责任。</w:t>
      </w:r>
    </w:p>
    <w:p w14:paraId="7BDF5696">
      <w:pPr>
        <w:adjustRightInd w:val="0"/>
        <w:snapToGrid w:val="0"/>
        <w:spacing w:line="300" w:lineRule="auto"/>
        <w:ind w:firstLine="477" w:firstLineChars="199"/>
        <w:rPr>
          <w:rFonts w:ascii="宋体" w:hAnsi="宋体" w:cs="宋体-18030"/>
          <w:color w:val="auto"/>
          <w:kern w:val="0"/>
          <w:sz w:val="24"/>
          <w:szCs w:val="24"/>
          <w:highlight w:val="none"/>
        </w:rPr>
      </w:pPr>
      <w:r>
        <w:rPr>
          <w:rFonts w:hint="eastAsia" w:ascii="宋体" w:hAnsi="宋体" w:cs="宋体-18030"/>
          <w:color w:val="auto"/>
          <w:kern w:val="0"/>
          <w:sz w:val="24"/>
          <w:szCs w:val="24"/>
          <w:highlight w:val="none"/>
        </w:rPr>
        <w:t>（二）本合同作为主合同的附件，与主合同具有同等的法律效力，本合同的生效及履行期与主合同一致，本合同没有约定的内容按照主合同执行。</w:t>
      </w:r>
    </w:p>
    <w:p w14:paraId="7030B706">
      <w:pPr>
        <w:spacing w:line="360" w:lineRule="exact"/>
        <w:ind w:firstLine="480" w:firstLineChars="200"/>
        <w:rPr>
          <w:rFonts w:hint="eastAsia" w:ascii="宋体" w:hAnsi="宋体" w:cs="宋体-18030"/>
          <w:color w:val="auto"/>
          <w:kern w:val="0"/>
          <w:sz w:val="24"/>
          <w:szCs w:val="24"/>
          <w:highlight w:val="none"/>
        </w:rPr>
      </w:pPr>
      <w:r>
        <w:rPr>
          <w:rFonts w:hint="eastAsia" w:ascii="宋体" w:hAnsi="宋体" w:cs="宋体-18030"/>
          <w:color w:val="auto"/>
          <w:kern w:val="0"/>
          <w:sz w:val="24"/>
          <w:szCs w:val="24"/>
          <w:highlight w:val="none"/>
        </w:rPr>
        <w:t>（三）本合同双方的纪检监察部门或者上级单位有权对主合同及本合同的履行情况随时进行监督检查并提出意见。</w:t>
      </w:r>
    </w:p>
    <w:p w14:paraId="142AF0BC">
      <w:pPr>
        <w:spacing w:line="360" w:lineRule="exact"/>
        <w:ind w:firstLine="480" w:firstLineChars="200"/>
        <w:rPr>
          <w:rFonts w:hint="eastAsia" w:ascii="宋体" w:hAnsi="宋体" w:cs="宋体-18030"/>
          <w:color w:val="auto"/>
          <w:kern w:val="0"/>
          <w:sz w:val="24"/>
          <w:szCs w:val="24"/>
          <w:highlight w:val="none"/>
        </w:rPr>
      </w:pPr>
      <w:r>
        <w:rPr>
          <w:rFonts w:hint="eastAsia" w:ascii="宋体" w:hAnsi="宋体" w:cs="宋体-18030"/>
          <w:color w:val="auto"/>
          <w:kern w:val="0"/>
          <w:sz w:val="24"/>
          <w:szCs w:val="24"/>
          <w:highlight w:val="none"/>
          <w:lang w:val="en-US" w:eastAsia="zh-CN"/>
        </w:rPr>
        <w:t>（四）本合同经双方签章后生效，合同份数与主合同份数一致，具有同等法律效力。</w:t>
      </w:r>
    </w:p>
    <w:p w14:paraId="22151DA1">
      <w:pPr>
        <w:spacing w:line="360" w:lineRule="exact"/>
        <w:ind w:firstLine="480" w:firstLineChars="200"/>
        <w:rPr>
          <w:rFonts w:hint="eastAsia" w:ascii="宋体" w:hAnsi="宋体" w:cs="宋体-18030"/>
          <w:color w:val="auto"/>
          <w:kern w:val="0"/>
          <w:sz w:val="24"/>
          <w:szCs w:val="24"/>
          <w:highlight w:val="none"/>
        </w:rPr>
      </w:pPr>
    </w:p>
    <w:p w14:paraId="0797631A">
      <w:pPr>
        <w:spacing w:line="360" w:lineRule="exact"/>
        <w:ind w:firstLine="480" w:firstLineChars="200"/>
        <w:rPr>
          <w:rFonts w:hint="eastAsia" w:ascii="宋体" w:hAnsi="宋体" w:cs="宋体-18030"/>
          <w:color w:val="auto"/>
          <w:kern w:val="0"/>
          <w:sz w:val="24"/>
          <w:szCs w:val="22"/>
          <w:highlight w:val="none"/>
        </w:rPr>
      </w:pPr>
    </w:p>
    <w:p w14:paraId="190FCA91">
      <w:pPr>
        <w:spacing w:line="360" w:lineRule="exact"/>
        <w:ind w:firstLine="480" w:firstLineChars="200"/>
        <w:rPr>
          <w:rFonts w:hint="eastAsia" w:ascii="宋体" w:hAnsi="宋体" w:cs="宋体-18030"/>
          <w:color w:val="auto"/>
          <w:kern w:val="0"/>
          <w:sz w:val="24"/>
          <w:szCs w:val="22"/>
          <w:highlight w:val="none"/>
        </w:rPr>
      </w:pPr>
    </w:p>
    <w:p w14:paraId="6BB3B1C6">
      <w:pPr>
        <w:widowControl/>
        <w:jc w:val="left"/>
        <w:rPr>
          <w:rFonts w:hint="eastAsia" w:ascii="宋体" w:hAnsi="宋体"/>
          <w:color w:val="auto"/>
          <w:kern w:val="0"/>
          <w:sz w:val="28"/>
          <w:szCs w:val="28"/>
          <w:highlight w:val="none"/>
        </w:rPr>
      </w:pPr>
    </w:p>
    <w:p w14:paraId="3E82800A">
      <w:pPr>
        <w:widowControl/>
        <w:jc w:val="left"/>
        <w:rPr>
          <w:rFonts w:hint="eastAsia" w:ascii="宋体" w:hAnsi="宋体"/>
          <w:color w:val="auto"/>
          <w:kern w:val="0"/>
          <w:sz w:val="28"/>
          <w:szCs w:val="28"/>
          <w:highlight w:val="none"/>
        </w:rPr>
      </w:pPr>
    </w:p>
    <w:p w14:paraId="0ED1A829">
      <w:pPr>
        <w:widowControl/>
        <w:jc w:val="left"/>
        <w:rPr>
          <w:rFonts w:ascii="宋体" w:hAnsi="宋体"/>
          <w:color w:val="auto"/>
          <w:kern w:val="0"/>
          <w:sz w:val="28"/>
          <w:szCs w:val="28"/>
          <w:highlight w:val="none"/>
        </w:rPr>
      </w:pPr>
      <w:r>
        <w:rPr>
          <w:rFonts w:hint="eastAsia" w:ascii="宋体" w:hAnsi="宋体"/>
          <w:color w:val="auto"/>
          <w:kern w:val="0"/>
          <w:sz w:val="28"/>
          <w:szCs w:val="28"/>
          <w:highlight w:val="none"/>
        </w:rPr>
        <w:br w:type="page"/>
      </w:r>
      <w:r>
        <w:rPr>
          <w:rFonts w:hint="eastAsia" w:ascii="宋体" w:hAnsi="宋体"/>
          <w:color w:val="auto"/>
          <w:kern w:val="0"/>
          <w:sz w:val="28"/>
          <w:szCs w:val="28"/>
          <w:highlight w:val="none"/>
        </w:rPr>
        <w:t>附件四：</w:t>
      </w:r>
    </w:p>
    <w:p w14:paraId="1DBC15DD">
      <w:pPr>
        <w:widowControl/>
        <w:jc w:val="center"/>
        <w:rPr>
          <w:rFonts w:hint="eastAsia" w:ascii="宋体" w:hAnsi="宋体" w:eastAsia="宋体" w:cs="宋体"/>
          <w:b/>
          <w:bCs/>
          <w:color w:val="auto"/>
          <w:sz w:val="36"/>
          <w:szCs w:val="36"/>
          <w:highlight w:val="none"/>
          <w:lang w:val="en-US" w:eastAsia="zh-CN"/>
        </w:rPr>
      </w:pPr>
      <w:r>
        <w:rPr>
          <w:rFonts w:hint="eastAsia" w:ascii="宋体" w:hAnsi="宋体" w:eastAsia="宋体" w:cs="宋体"/>
          <w:b/>
          <w:bCs/>
          <w:color w:val="auto"/>
          <w:sz w:val="36"/>
          <w:szCs w:val="36"/>
          <w:highlight w:val="none"/>
          <w:lang w:val="en-US" w:eastAsia="zh-CN"/>
        </w:rPr>
        <w:t>设备安装验收单</w:t>
      </w:r>
    </w:p>
    <w:p w14:paraId="2B218983">
      <w:pPr>
        <w:widowControl/>
        <w:ind w:firstLine="480"/>
        <w:jc w:val="left"/>
        <w:rPr>
          <w:rFonts w:ascii="宋体" w:hAnsi="宋体" w:cs="Arial"/>
          <w:color w:val="auto"/>
          <w:kern w:val="0"/>
          <w:sz w:val="24"/>
          <w:highlight w:val="none"/>
        </w:rPr>
      </w:pPr>
    </w:p>
    <w:p w14:paraId="36CC7166">
      <w:pPr>
        <w:widowControl/>
        <w:snapToGrid w:val="0"/>
        <w:spacing w:line="360" w:lineRule="auto"/>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设备采购项目，合同名称 ：</w:t>
      </w:r>
      <w:r>
        <w:rPr>
          <w:rFonts w:hint="eastAsia" w:ascii="宋体" w:hAnsi="宋体" w:cs="Arial"/>
          <w:color w:val="auto"/>
          <w:kern w:val="0"/>
          <w:sz w:val="24"/>
          <w:highlight w:val="none"/>
          <w:u w:val="single"/>
        </w:rPr>
        <w:t xml:space="preserve">                </w:t>
      </w:r>
      <w:r>
        <w:rPr>
          <w:rFonts w:hint="eastAsia" w:ascii="宋体" w:hAnsi="宋体" w:cs="Arial"/>
          <w:color w:val="auto"/>
          <w:kern w:val="0"/>
          <w:sz w:val="24"/>
          <w:highlight w:val="none"/>
        </w:rPr>
        <w:t>，合同编号</w:t>
      </w:r>
      <w:r>
        <w:rPr>
          <w:rFonts w:hint="eastAsia" w:ascii="宋体" w:hAnsi="宋体" w:cs="Arial"/>
          <w:color w:val="auto"/>
          <w:kern w:val="0"/>
          <w:sz w:val="24"/>
          <w:highlight w:val="none"/>
          <w:u w:val="single"/>
        </w:rPr>
        <w:t xml:space="preserve">                    </w:t>
      </w:r>
      <w:r>
        <w:rPr>
          <w:rFonts w:hint="eastAsia" w:ascii="宋体" w:hAnsi="宋体" w:cs="Arial"/>
          <w:color w:val="auto"/>
          <w:kern w:val="0"/>
          <w:sz w:val="24"/>
          <w:highlight w:val="none"/>
        </w:rPr>
        <w:t>，已于</w:t>
      </w:r>
      <w:r>
        <w:rPr>
          <w:rFonts w:hint="eastAsia" w:ascii="宋体" w:hAnsi="宋体" w:cs="Arial"/>
          <w:color w:val="auto"/>
          <w:kern w:val="0"/>
          <w:sz w:val="24"/>
          <w:highlight w:val="none"/>
          <w:u w:val="single"/>
        </w:rPr>
        <w:t xml:space="preserve">     </w:t>
      </w:r>
      <w:r>
        <w:rPr>
          <w:rFonts w:hint="eastAsia" w:ascii="宋体" w:hAnsi="宋体" w:cs="Arial"/>
          <w:color w:val="auto"/>
          <w:kern w:val="0"/>
          <w:sz w:val="24"/>
          <w:highlight w:val="none"/>
        </w:rPr>
        <w:t>年</w:t>
      </w:r>
      <w:r>
        <w:rPr>
          <w:rFonts w:hint="eastAsia" w:ascii="宋体" w:hAnsi="宋体" w:cs="Arial"/>
          <w:color w:val="auto"/>
          <w:kern w:val="0"/>
          <w:sz w:val="24"/>
          <w:highlight w:val="none"/>
          <w:u w:val="single"/>
        </w:rPr>
        <w:t xml:space="preserve">     </w:t>
      </w:r>
      <w:r>
        <w:rPr>
          <w:rFonts w:hint="eastAsia" w:ascii="宋体" w:hAnsi="宋体" w:cs="Arial"/>
          <w:color w:val="auto"/>
          <w:kern w:val="0"/>
          <w:sz w:val="24"/>
          <w:highlight w:val="none"/>
        </w:rPr>
        <w:t>月</w:t>
      </w:r>
      <w:r>
        <w:rPr>
          <w:rFonts w:hint="eastAsia" w:ascii="宋体" w:hAnsi="宋体" w:cs="Arial"/>
          <w:color w:val="auto"/>
          <w:kern w:val="0"/>
          <w:sz w:val="24"/>
          <w:highlight w:val="none"/>
          <w:u w:val="single"/>
        </w:rPr>
        <w:t xml:space="preserve">    </w:t>
      </w:r>
      <w:r>
        <w:rPr>
          <w:rFonts w:hint="eastAsia" w:ascii="宋体" w:hAnsi="宋体" w:cs="Arial"/>
          <w:color w:val="auto"/>
          <w:kern w:val="0"/>
          <w:sz w:val="24"/>
          <w:highlight w:val="none"/>
        </w:rPr>
        <w:t>日，由</w:t>
      </w:r>
      <w:r>
        <w:rPr>
          <w:rFonts w:hint="eastAsia" w:ascii="宋体" w:hAnsi="宋体" w:cs="Arial"/>
          <w:color w:val="auto"/>
          <w:kern w:val="0"/>
          <w:sz w:val="24"/>
          <w:highlight w:val="none"/>
          <w:u w:val="single"/>
        </w:rPr>
        <w:t xml:space="preserve">  </w:t>
      </w:r>
      <w:r>
        <w:rPr>
          <w:rFonts w:ascii="宋体" w:hAnsi="宋体" w:cs="Arial"/>
          <w:color w:val="auto"/>
          <w:kern w:val="0"/>
          <w:sz w:val="24"/>
          <w:highlight w:val="none"/>
          <w:u w:val="single"/>
        </w:rPr>
        <w:t xml:space="preserve">        </w:t>
      </w:r>
      <w:r>
        <w:rPr>
          <w:rFonts w:hint="eastAsia" w:ascii="宋体" w:hAnsi="宋体" w:cs="Arial"/>
          <w:color w:val="auto"/>
          <w:kern w:val="0"/>
          <w:sz w:val="24"/>
          <w:highlight w:val="none"/>
          <w:u w:val="single"/>
        </w:rPr>
        <w:t xml:space="preserve">  </w:t>
      </w:r>
      <w:r>
        <w:rPr>
          <w:rFonts w:hint="eastAsia" w:ascii="宋体" w:hAnsi="宋体" w:cs="Arial"/>
          <w:color w:val="auto"/>
          <w:kern w:val="0"/>
          <w:sz w:val="24"/>
          <w:highlight w:val="none"/>
        </w:rPr>
        <w:t>公司送到指定交货点</w:t>
      </w:r>
      <w:r>
        <w:rPr>
          <w:rFonts w:hint="eastAsia" w:ascii="宋体" w:hAnsi="宋体" w:cs="Arial"/>
          <w:color w:val="auto"/>
          <w:kern w:val="0"/>
          <w:sz w:val="24"/>
          <w:highlight w:val="none"/>
          <w:u w:val="single"/>
        </w:rPr>
        <w:t xml:space="preserve">                      </w:t>
      </w:r>
      <w:r>
        <w:rPr>
          <w:rFonts w:hint="eastAsia" w:ascii="宋体" w:hAnsi="宋体" w:cs="Arial"/>
          <w:color w:val="auto"/>
          <w:kern w:val="0"/>
          <w:sz w:val="24"/>
          <w:highlight w:val="none"/>
        </w:rPr>
        <w:t xml:space="preserve">，现由供需双方现场验收，具体采购清单及验收情况如下：            </w:t>
      </w:r>
    </w:p>
    <w:tbl>
      <w:tblPr>
        <w:tblStyle w:val="37"/>
        <w:tblW w:w="4997" w:type="pct"/>
        <w:tblInd w:w="0" w:type="dxa"/>
        <w:tblLayout w:type="autofit"/>
        <w:tblCellMar>
          <w:top w:w="0" w:type="dxa"/>
          <w:left w:w="108" w:type="dxa"/>
          <w:bottom w:w="0" w:type="dxa"/>
          <w:right w:w="108" w:type="dxa"/>
        </w:tblCellMar>
      </w:tblPr>
      <w:tblGrid>
        <w:gridCol w:w="657"/>
        <w:gridCol w:w="2426"/>
        <w:gridCol w:w="1133"/>
        <w:gridCol w:w="991"/>
        <w:gridCol w:w="706"/>
        <w:gridCol w:w="846"/>
        <w:gridCol w:w="706"/>
        <w:gridCol w:w="1164"/>
        <w:gridCol w:w="992"/>
      </w:tblGrid>
      <w:tr w14:paraId="129AA7CA">
        <w:tblPrEx>
          <w:tblCellMar>
            <w:top w:w="0" w:type="dxa"/>
            <w:left w:w="108" w:type="dxa"/>
            <w:bottom w:w="0" w:type="dxa"/>
            <w:right w:w="108" w:type="dxa"/>
          </w:tblCellMar>
        </w:tblPrEx>
        <w:trPr>
          <w:trHeight w:val="540" w:hRule="atLeast"/>
        </w:trPr>
        <w:tc>
          <w:tcPr>
            <w:tcW w:w="297" w:type="pct"/>
            <w:tcBorders>
              <w:top w:val="single" w:color="auto" w:sz="4" w:space="0"/>
              <w:left w:val="single" w:color="auto" w:sz="4" w:space="0"/>
              <w:bottom w:val="single" w:color="auto" w:sz="4" w:space="0"/>
              <w:right w:val="single" w:color="auto" w:sz="4" w:space="0"/>
            </w:tcBorders>
            <w:noWrap w:val="0"/>
            <w:vAlign w:val="center"/>
          </w:tcPr>
          <w:p w14:paraId="0A884C60">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序号</w:t>
            </w:r>
          </w:p>
        </w:tc>
        <w:tc>
          <w:tcPr>
            <w:tcW w:w="1265" w:type="pct"/>
            <w:tcBorders>
              <w:top w:val="single" w:color="auto" w:sz="4" w:space="0"/>
              <w:left w:val="nil"/>
              <w:bottom w:val="single" w:color="auto" w:sz="4" w:space="0"/>
              <w:right w:val="single" w:color="auto" w:sz="4" w:space="0"/>
            </w:tcBorders>
            <w:noWrap w:val="0"/>
            <w:vAlign w:val="center"/>
          </w:tcPr>
          <w:p w14:paraId="251660E3">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名称</w:t>
            </w:r>
          </w:p>
        </w:tc>
        <w:tc>
          <w:tcPr>
            <w:tcW w:w="594" w:type="pct"/>
            <w:tcBorders>
              <w:top w:val="single" w:color="auto" w:sz="4" w:space="0"/>
              <w:left w:val="nil"/>
              <w:bottom w:val="single" w:color="auto" w:sz="4" w:space="0"/>
              <w:right w:val="single" w:color="auto" w:sz="4" w:space="0"/>
            </w:tcBorders>
            <w:noWrap w:val="0"/>
            <w:vAlign w:val="center"/>
          </w:tcPr>
          <w:p w14:paraId="46D09D71">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规格型号</w:t>
            </w:r>
          </w:p>
        </w:tc>
        <w:tc>
          <w:tcPr>
            <w:tcW w:w="520" w:type="pct"/>
            <w:tcBorders>
              <w:top w:val="single" w:color="auto" w:sz="4" w:space="0"/>
              <w:left w:val="nil"/>
              <w:bottom w:val="single" w:color="auto" w:sz="4" w:space="0"/>
              <w:right w:val="single" w:color="auto" w:sz="4" w:space="0"/>
            </w:tcBorders>
            <w:noWrap w:val="0"/>
            <w:vAlign w:val="center"/>
          </w:tcPr>
          <w:p w14:paraId="56479FAF">
            <w:pPr>
              <w:widowControl/>
              <w:adjustRightInd w:val="0"/>
              <w:ind w:left="220" w:hanging="220" w:hangingChars="10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品牌</w:t>
            </w:r>
          </w:p>
        </w:tc>
        <w:tc>
          <w:tcPr>
            <w:tcW w:w="372" w:type="pct"/>
            <w:tcBorders>
              <w:top w:val="single" w:color="auto" w:sz="4" w:space="0"/>
              <w:left w:val="nil"/>
              <w:bottom w:val="single" w:color="auto" w:sz="4" w:space="0"/>
              <w:right w:val="single" w:color="auto" w:sz="4" w:space="0"/>
            </w:tcBorders>
            <w:noWrap w:val="0"/>
            <w:vAlign w:val="center"/>
          </w:tcPr>
          <w:p w14:paraId="3C45BA8F">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计量</w:t>
            </w:r>
          </w:p>
          <w:p w14:paraId="1AED4F8A">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单位</w:t>
            </w:r>
          </w:p>
        </w:tc>
        <w:tc>
          <w:tcPr>
            <w:tcW w:w="445" w:type="pct"/>
            <w:tcBorders>
              <w:top w:val="single" w:color="auto" w:sz="4" w:space="0"/>
              <w:left w:val="nil"/>
              <w:bottom w:val="single" w:color="auto" w:sz="4" w:space="0"/>
              <w:right w:val="single" w:color="auto" w:sz="4" w:space="0"/>
            </w:tcBorders>
            <w:noWrap w:val="0"/>
            <w:vAlign w:val="center"/>
          </w:tcPr>
          <w:p w14:paraId="5DED5C90">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发货</w:t>
            </w:r>
          </w:p>
          <w:p w14:paraId="7BD97FDC">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数量</w:t>
            </w:r>
          </w:p>
        </w:tc>
        <w:tc>
          <w:tcPr>
            <w:tcW w:w="372" w:type="pct"/>
            <w:tcBorders>
              <w:top w:val="single" w:color="auto" w:sz="4" w:space="0"/>
              <w:left w:val="nil"/>
              <w:bottom w:val="single" w:color="auto" w:sz="4" w:space="0"/>
              <w:right w:val="single" w:color="auto" w:sz="4" w:space="0"/>
            </w:tcBorders>
            <w:noWrap w:val="0"/>
            <w:vAlign w:val="center"/>
          </w:tcPr>
          <w:p w14:paraId="3384DCC6">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实收</w:t>
            </w:r>
          </w:p>
          <w:p w14:paraId="42F5A8A4">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数量</w:t>
            </w:r>
          </w:p>
        </w:tc>
        <w:tc>
          <w:tcPr>
            <w:tcW w:w="610" w:type="pct"/>
            <w:tcBorders>
              <w:top w:val="single" w:color="auto" w:sz="4" w:space="0"/>
              <w:left w:val="nil"/>
              <w:bottom w:val="single" w:color="auto" w:sz="4" w:space="0"/>
              <w:right w:val="single" w:color="auto" w:sz="4" w:space="0"/>
            </w:tcBorders>
            <w:noWrap w:val="0"/>
            <w:vAlign w:val="center"/>
          </w:tcPr>
          <w:p w14:paraId="532B3B2A">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验收情况</w:t>
            </w:r>
          </w:p>
        </w:tc>
        <w:tc>
          <w:tcPr>
            <w:tcW w:w="520" w:type="pct"/>
            <w:tcBorders>
              <w:top w:val="single" w:color="auto" w:sz="4" w:space="0"/>
              <w:left w:val="nil"/>
              <w:bottom w:val="single" w:color="auto" w:sz="4" w:space="0"/>
              <w:right w:val="single" w:color="auto" w:sz="4" w:space="0"/>
            </w:tcBorders>
            <w:noWrap w:val="0"/>
            <w:vAlign w:val="center"/>
          </w:tcPr>
          <w:p w14:paraId="52CC9ABE">
            <w:pPr>
              <w:widowControl/>
              <w:adjustRightInd w:val="0"/>
              <w:jc w:val="center"/>
              <w:rPr>
                <w:rFonts w:ascii="黑体" w:hAnsi="黑体" w:eastAsia="黑体" w:cs="宋体"/>
                <w:color w:val="auto"/>
                <w:kern w:val="0"/>
                <w:sz w:val="22"/>
                <w:szCs w:val="22"/>
                <w:highlight w:val="none"/>
              </w:rPr>
            </w:pPr>
            <w:r>
              <w:rPr>
                <w:rFonts w:hint="eastAsia" w:ascii="黑体" w:hAnsi="黑体" w:eastAsia="黑体" w:cs="宋体"/>
                <w:color w:val="auto"/>
                <w:kern w:val="0"/>
                <w:sz w:val="22"/>
                <w:szCs w:val="22"/>
                <w:highlight w:val="none"/>
              </w:rPr>
              <w:t>备注</w:t>
            </w:r>
          </w:p>
        </w:tc>
      </w:tr>
      <w:tr w14:paraId="370863C1">
        <w:tblPrEx>
          <w:tblCellMar>
            <w:top w:w="0" w:type="dxa"/>
            <w:left w:w="108" w:type="dxa"/>
            <w:bottom w:w="0" w:type="dxa"/>
            <w:right w:w="108" w:type="dxa"/>
          </w:tblCellMar>
        </w:tblPrEx>
        <w:trPr>
          <w:trHeight w:val="862" w:hRule="atLeast"/>
        </w:trPr>
        <w:tc>
          <w:tcPr>
            <w:tcW w:w="297" w:type="pct"/>
            <w:tcBorders>
              <w:top w:val="nil"/>
              <w:left w:val="single" w:color="auto" w:sz="4" w:space="0"/>
              <w:bottom w:val="single" w:color="auto" w:sz="4" w:space="0"/>
              <w:right w:val="single" w:color="auto" w:sz="4" w:space="0"/>
            </w:tcBorders>
            <w:noWrap w:val="0"/>
            <w:vAlign w:val="center"/>
          </w:tcPr>
          <w:p w14:paraId="07E9E6CD">
            <w:pPr>
              <w:widowControl/>
              <w:ind w:firstLine="440"/>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1265" w:type="pct"/>
            <w:tcBorders>
              <w:top w:val="nil"/>
              <w:left w:val="nil"/>
              <w:bottom w:val="single" w:color="auto" w:sz="4" w:space="0"/>
              <w:right w:val="single" w:color="auto" w:sz="4" w:space="0"/>
            </w:tcBorders>
            <w:noWrap w:val="0"/>
            <w:vAlign w:val="center"/>
          </w:tcPr>
          <w:p w14:paraId="17CA8EAE">
            <w:pPr>
              <w:widowControl/>
              <w:ind w:firstLine="440"/>
              <w:jc w:val="left"/>
              <w:rPr>
                <w:rFonts w:ascii="宋体" w:hAnsi="宋体" w:eastAsia="宋体" w:cs="宋体"/>
                <w:color w:val="auto"/>
                <w:kern w:val="0"/>
                <w:sz w:val="22"/>
                <w:szCs w:val="22"/>
                <w:highlight w:val="none"/>
              </w:rPr>
            </w:pPr>
          </w:p>
        </w:tc>
        <w:tc>
          <w:tcPr>
            <w:tcW w:w="594" w:type="pct"/>
            <w:tcBorders>
              <w:top w:val="nil"/>
              <w:left w:val="nil"/>
              <w:bottom w:val="single" w:color="auto" w:sz="4" w:space="0"/>
              <w:right w:val="single" w:color="auto" w:sz="4" w:space="0"/>
            </w:tcBorders>
            <w:noWrap w:val="0"/>
            <w:vAlign w:val="center"/>
          </w:tcPr>
          <w:p w14:paraId="69E2D054">
            <w:pPr>
              <w:widowControl/>
              <w:ind w:firstLine="440"/>
              <w:jc w:val="left"/>
              <w:rPr>
                <w:rFonts w:ascii="宋体" w:hAnsi="宋体" w:eastAsia="宋体" w:cs="宋体"/>
                <w:color w:val="auto"/>
                <w:kern w:val="0"/>
                <w:sz w:val="22"/>
                <w:szCs w:val="22"/>
                <w:highlight w:val="none"/>
              </w:rPr>
            </w:pPr>
          </w:p>
        </w:tc>
        <w:tc>
          <w:tcPr>
            <w:tcW w:w="520" w:type="pct"/>
            <w:tcBorders>
              <w:top w:val="nil"/>
              <w:left w:val="nil"/>
              <w:bottom w:val="single" w:color="auto" w:sz="4" w:space="0"/>
              <w:right w:val="single" w:color="auto" w:sz="4" w:space="0"/>
            </w:tcBorders>
            <w:noWrap w:val="0"/>
            <w:vAlign w:val="center"/>
          </w:tcPr>
          <w:p w14:paraId="1635E864">
            <w:pPr>
              <w:widowControl/>
              <w:ind w:firstLine="440"/>
              <w:jc w:val="left"/>
              <w:rPr>
                <w:rFonts w:ascii="宋体" w:hAnsi="宋体" w:eastAsia="宋体" w:cs="宋体"/>
                <w:color w:val="auto"/>
                <w:kern w:val="0"/>
                <w:sz w:val="22"/>
                <w:szCs w:val="22"/>
                <w:highlight w:val="none"/>
              </w:rPr>
            </w:pPr>
          </w:p>
        </w:tc>
        <w:tc>
          <w:tcPr>
            <w:tcW w:w="372" w:type="pct"/>
            <w:tcBorders>
              <w:top w:val="nil"/>
              <w:left w:val="nil"/>
              <w:bottom w:val="single" w:color="auto" w:sz="4" w:space="0"/>
              <w:right w:val="single" w:color="auto" w:sz="4" w:space="0"/>
            </w:tcBorders>
            <w:noWrap w:val="0"/>
            <w:vAlign w:val="center"/>
          </w:tcPr>
          <w:p w14:paraId="0CBF4A88">
            <w:pPr>
              <w:widowControl/>
              <w:ind w:firstLine="440"/>
              <w:jc w:val="left"/>
              <w:rPr>
                <w:rFonts w:ascii="宋体" w:hAnsi="宋体" w:eastAsia="宋体" w:cs="宋体"/>
                <w:color w:val="auto"/>
                <w:kern w:val="0"/>
                <w:sz w:val="22"/>
                <w:szCs w:val="22"/>
                <w:highlight w:val="none"/>
              </w:rPr>
            </w:pPr>
          </w:p>
        </w:tc>
        <w:tc>
          <w:tcPr>
            <w:tcW w:w="445" w:type="pct"/>
            <w:tcBorders>
              <w:top w:val="nil"/>
              <w:left w:val="nil"/>
              <w:bottom w:val="single" w:color="auto" w:sz="4" w:space="0"/>
              <w:right w:val="single" w:color="auto" w:sz="4" w:space="0"/>
            </w:tcBorders>
            <w:noWrap w:val="0"/>
            <w:vAlign w:val="center"/>
          </w:tcPr>
          <w:p w14:paraId="338DE923">
            <w:pPr>
              <w:widowControl/>
              <w:ind w:firstLine="440"/>
              <w:jc w:val="left"/>
              <w:rPr>
                <w:rFonts w:ascii="宋体" w:hAnsi="宋体" w:eastAsia="宋体" w:cs="宋体"/>
                <w:color w:val="auto"/>
                <w:kern w:val="0"/>
                <w:sz w:val="22"/>
                <w:szCs w:val="22"/>
                <w:highlight w:val="none"/>
              </w:rPr>
            </w:pPr>
          </w:p>
        </w:tc>
        <w:tc>
          <w:tcPr>
            <w:tcW w:w="372" w:type="pct"/>
            <w:tcBorders>
              <w:top w:val="nil"/>
              <w:left w:val="nil"/>
              <w:bottom w:val="single" w:color="auto" w:sz="4" w:space="0"/>
              <w:right w:val="single" w:color="auto" w:sz="4" w:space="0"/>
            </w:tcBorders>
            <w:noWrap w:val="0"/>
            <w:vAlign w:val="center"/>
          </w:tcPr>
          <w:p w14:paraId="43A6C501">
            <w:pPr>
              <w:widowControl/>
              <w:ind w:firstLine="440"/>
              <w:jc w:val="left"/>
              <w:rPr>
                <w:rFonts w:ascii="宋体" w:hAnsi="宋体" w:eastAsia="宋体" w:cs="宋体"/>
                <w:color w:val="auto"/>
                <w:kern w:val="0"/>
                <w:sz w:val="22"/>
                <w:szCs w:val="22"/>
                <w:highlight w:val="none"/>
              </w:rPr>
            </w:pPr>
          </w:p>
        </w:tc>
        <w:tc>
          <w:tcPr>
            <w:tcW w:w="610" w:type="pct"/>
            <w:tcBorders>
              <w:top w:val="nil"/>
              <w:left w:val="nil"/>
              <w:bottom w:val="single" w:color="auto" w:sz="4" w:space="0"/>
              <w:right w:val="single" w:color="auto" w:sz="4" w:space="0"/>
            </w:tcBorders>
            <w:noWrap w:val="0"/>
            <w:vAlign w:val="center"/>
          </w:tcPr>
          <w:p w14:paraId="77463EB6">
            <w:pPr>
              <w:widowControl/>
              <w:ind w:firstLine="440"/>
              <w:jc w:val="left"/>
              <w:rPr>
                <w:rFonts w:ascii="宋体" w:hAnsi="宋体" w:eastAsia="宋体" w:cs="宋体"/>
                <w:color w:val="auto"/>
                <w:kern w:val="0"/>
                <w:sz w:val="22"/>
                <w:szCs w:val="22"/>
                <w:highlight w:val="none"/>
              </w:rPr>
            </w:pPr>
          </w:p>
        </w:tc>
        <w:tc>
          <w:tcPr>
            <w:tcW w:w="520" w:type="pct"/>
            <w:tcBorders>
              <w:top w:val="nil"/>
              <w:left w:val="nil"/>
              <w:bottom w:val="single" w:color="auto" w:sz="4" w:space="0"/>
              <w:right w:val="single" w:color="auto" w:sz="4" w:space="0"/>
            </w:tcBorders>
            <w:noWrap w:val="0"/>
            <w:vAlign w:val="center"/>
          </w:tcPr>
          <w:p w14:paraId="7D8C57D1">
            <w:pPr>
              <w:widowControl/>
              <w:ind w:firstLine="440"/>
              <w:jc w:val="left"/>
              <w:rPr>
                <w:rFonts w:ascii="宋体" w:hAnsi="宋体" w:eastAsia="宋体" w:cs="宋体"/>
                <w:color w:val="auto"/>
                <w:kern w:val="0"/>
                <w:sz w:val="22"/>
                <w:szCs w:val="22"/>
                <w:highlight w:val="none"/>
              </w:rPr>
            </w:pPr>
          </w:p>
        </w:tc>
      </w:tr>
      <w:tr w14:paraId="110F13E3">
        <w:tblPrEx>
          <w:tblCellMar>
            <w:top w:w="0" w:type="dxa"/>
            <w:left w:w="108" w:type="dxa"/>
            <w:bottom w:w="0" w:type="dxa"/>
            <w:right w:w="108" w:type="dxa"/>
          </w:tblCellMar>
        </w:tblPrEx>
        <w:trPr>
          <w:trHeight w:val="705" w:hRule="atLeast"/>
        </w:trPr>
        <w:tc>
          <w:tcPr>
            <w:tcW w:w="297" w:type="pct"/>
            <w:tcBorders>
              <w:top w:val="nil"/>
              <w:left w:val="single" w:color="auto" w:sz="4" w:space="0"/>
              <w:bottom w:val="single" w:color="auto" w:sz="4" w:space="0"/>
              <w:right w:val="single" w:color="auto" w:sz="4" w:space="0"/>
            </w:tcBorders>
            <w:noWrap w:val="0"/>
            <w:vAlign w:val="center"/>
          </w:tcPr>
          <w:p w14:paraId="1B72D098">
            <w:pPr>
              <w:widowControl/>
              <w:ind w:firstLine="440"/>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1265" w:type="pct"/>
            <w:tcBorders>
              <w:top w:val="nil"/>
              <w:left w:val="nil"/>
              <w:bottom w:val="single" w:color="auto" w:sz="4" w:space="0"/>
              <w:right w:val="single" w:color="auto" w:sz="4" w:space="0"/>
            </w:tcBorders>
            <w:noWrap w:val="0"/>
            <w:vAlign w:val="center"/>
          </w:tcPr>
          <w:p w14:paraId="2A0A598E">
            <w:pPr>
              <w:widowControl/>
              <w:ind w:firstLine="440"/>
              <w:jc w:val="left"/>
              <w:rPr>
                <w:rFonts w:ascii="宋体" w:hAnsi="宋体" w:eastAsia="宋体" w:cs="宋体"/>
                <w:color w:val="auto"/>
                <w:kern w:val="0"/>
                <w:sz w:val="22"/>
                <w:szCs w:val="22"/>
                <w:highlight w:val="none"/>
              </w:rPr>
            </w:pPr>
          </w:p>
        </w:tc>
        <w:tc>
          <w:tcPr>
            <w:tcW w:w="594" w:type="pct"/>
            <w:tcBorders>
              <w:top w:val="nil"/>
              <w:left w:val="nil"/>
              <w:bottom w:val="single" w:color="auto" w:sz="4" w:space="0"/>
              <w:right w:val="single" w:color="auto" w:sz="4" w:space="0"/>
            </w:tcBorders>
            <w:noWrap w:val="0"/>
            <w:vAlign w:val="center"/>
          </w:tcPr>
          <w:p w14:paraId="63020D3E">
            <w:pPr>
              <w:widowControl/>
              <w:ind w:firstLine="440"/>
              <w:jc w:val="left"/>
              <w:rPr>
                <w:rFonts w:ascii="宋体" w:hAnsi="宋体" w:eastAsia="宋体" w:cs="宋体"/>
                <w:color w:val="auto"/>
                <w:kern w:val="0"/>
                <w:sz w:val="22"/>
                <w:szCs w:val="22"/>
                <w:highlight w:val="none"/>
              </w:rPr>
            </w:pPr>
          </w:p>
        </w:tc>
        <w:tc>
          <w:tcPr>
            <w:tcW w:w="520" w:type="pct"/>
            <w:tcBorders>
              <w:top w:val="nil"/>
              <w:left w:val="nil"/>
              <w:bottom w:val="single" w:color="auto" w:sz="4" w:space="0"/>
              <w:right w:val="single" w:color="auto" w:sz="4" w:space="0"/>
            </w:tcBorders>
            <w:noWrap w:val="0"/>
            <w:vAlign w:val="center"/>
          </w:tcPr>
          <w:p w14:paraId="6127BFDF">
            <w:pPr>
              <w:widowControl/>
              <w:ind w:firstLine="440"/>
              <w:jc w:val="left"/>
              <w:rPr>
                <w:rFonts w:ascii="宋体" w:hAnsi="宋体" w:eastAsia="宋体" w:cs="宋体"/>
                <w:color w:val="auto"/>
                <w:kern w:val="0"/>
                <w:sz w:val="22"/>
                <w:szCs w:val="22"/>
                <w:highlight w:val="none"/>
              </w:rPr>
            </w:pPr>
          </w:p>
        </w:tc>
        <w:tc>
          <w:tcPr>
            <w:tcW w:w="372" w:type="pct"/>
            <w:tcBorders>
              <w:top w:val="nil"/>
              <w:left w:val="nil"/>
              <w:bottom w:val="single" w:color="auto" w:sz="4" w:space="0"/>
              <w:right w:val="single" w:color="auto" w:sz="4" w:space="0"/>
            </w:tcBorders>
            <w:noWrap w:val="0"/>
            <w:vAlign w:val="center"/>
          </w:tcPr>
          <w:p w14:paraId="4CF1A367">
            <w:pPr>
              <w:widowControl/>
              <w:ind w:firstLine="440"/>
              <w:jc w:val="left"/>
              <w:rPr>
                <w:rFonts w:ascii="宋体" w:hAnsi="宋体" w:eastAsia="宋体" w:cs="宋体"/>
                <w:color w:val="auto"/>
                <w:kern w:val="0"/>
                <w:sz w:val="22"/>
                <w:szCs w:val="22"/>
                <w:highlight w:val="none"/>
              </w:rPr>
            </w:pPr>
          </w:p>
        </w:tc>
        <w:tc>
          <w:tcPr>
            <w:tcW w:w="445" w:type="pct"/>
            <w:tcBorders>
              <w:top w:val="nil"/>
              <w:left w:val="nil"/>
              <w:bottom w:val="single" w:color="auto" w:sz="4" w:space="0"/>
              <w:right w:val="single" w:color="auto" w:sz="4" w:space="0"/>
            </w:tcBorders>
            <w:noWrap w:val="0"/>
            <w:vAlign w:val="center"/>
          </w:tcPr>
          <w:p w14:paraId="005039E8">
            <w:pPr>
              <w:widowControl/>
              <w:ind w:firstLine="440"/>
              <w:jc w:val="left"/>
              <w:rPr>
                <w:rFonts w:ascii="宋体" w:hAnsi="宋体" w:eastAsia="宋体" w:cs="宋体"/>
                <w:color w:val="auto"/>
                <w:kern w:val="0"/>
                <w:sz w:val="22"/>
                <w:szCs w:val="22"/>
                <w:highlight w:val="none"/>
              </w:rPr>
            </w:pPr>
          </w:p>
        </w:tc>
        <w:tc>
          <w:tcPr>
            <w:tcW w:w="372" w:type="pct"/>
            <w:tcBorders>
              <w:top w:val="nil"/>
              <w:left w:val="nil"/>
              <w:bottom w:val="single" w:color="auto" w:sz="4" w:space="0"/>
              <w:right w:val="single" w:color="auto" w:sz="4" w:space="0"/>
            </w:tcBorders>
            <w:noWrap w:val="0"/>
            <w:vAlign w:val="center"/>
          </w:tcPr>
          <w:p w14:paraId="24A5E49F">
            <w:pPr>
              <w:widowControl/>
              <w:ind w:firstLine="440"/>
              <w:jc w:val="left"/>
              <w:rPr>
                <w:rFonts w:ascii="宋体" w:hAnsi="宋体" w:eastAsia="宋体" w:cs="宋体"/>
                <w:color w:val="auto"/>
                <w:kern w:val="0"/>
                <w:sz w:val="22"/>
                <w:szCs w:val="22"/>
                <w:highlight w:val="none"/>
              </w:rPr>
            </w:pPr>
          </w:p>
        </w:tc>
        <w:tc>
          <w:tcPr>
            <w:tcW w:w="610" w:type="pct"/>
            <w:tcBorders>
              <w:top w:val="nil"/>
              <w:left w:val="nil"/>
              <w:bottom w:val="single" w:color="auto" w:sz="4" w:space="0"/>
              <w:right w:val="single" w:color="auto" w:sz="4" w:space="0"/>
            </w:tcBorders>
            <w:noWrap w:val="0"/>
            <w:vAlign w:val="center"/>
          </w:tcPr>
          <w:p w14:paraId="41A1E612">
            <w:pPr>
              <w:widowControl/>
              <w:ind w:firstLine="440"/>
              <w:jc w:val="left"/>
              <w:rPr>
                <w:rFonts w:ascii="宋体" w:hAnsi="宋体" w:eastAsia="宋体" w:cs="宋体"/>
                <w:color w:val="auto"/>
                <w:kern w:val="0"/>
                <w:sz w:val="22"/>
                <w:szCs w:val="22"/>
                <w:highlight w:val="none"/>
              </w:rPr>
            </w:pPr>
          </w:p>
        </w:tc>
        <w:tc>
          <w:tcPr>
            <w:tcW w:w="520" w:type="pct"/>
            <w:tcBorders>
              <w:top w:val="nil"/>
              <w:left w:val="nil"/>
              <w:bottom w:val="single" w:color="auto" w:sz="4" w:space="0"/>
              <w:right w:val="single" w:color="auto" w:sz="4" w:space="0"/>
            </w:tcBorders>
            <w:noWrap w:val="0"/>
            <w:vAlign w:val="center"/>
          </w:tcPr>
          <w:p w14:paraId="55477C0C">
            <w:pPr>
              <w:widowControl/>
              <w:ind w:firstLine="440"/>
              <w:jc w:val="left"/>
              <w:rPr>
                <w:rFonts w:ascii="宋体" w:hAnsi="宋体" w:eastAsia="宋体" w:cs="宋体"/>
                <w:color w:val="auto"/>
                <w:kern w:val="0"/>
                <w:sz w:val="22"/>
                <w:szCs w:val="22"/>
                <w:highlight w:val="none"/>
              </w:rPr>
            </w:pPr>
          </w:p>
        </w:tc>
      </w:tr>
      <w:tr w14:paraId="48463232">
        <w:tblPrEx>
          <w:tblCellMar>
            <w:top w:w="0" w:type="dxa"/>
            <w:left w:w="108" w:type="dxa"/>
            <w:bottom w:w="0" w:type="dxa"/>
            <w:right w:w="108" w:type="dxa"/>
          </w:tblCellMar>
        </w:tblPrEx>
        <w:trPr>
          <w:trHeight w:val="686" w:hRule="atLeast"/>
        </w:trPr>
        <w:tc>
          <w:tcPr>
            <w:tcW w:w="297" w:type="pct"/>
            <w:tcBorders>
              <w:top w:val="nil"/>
              <w:left w:val="single" w:color="auto" w:sz="4" w:space="0"/>
              <w:bottom w:val="single" w:color="auto" w:sz="4" w:space="0"/>
              <w:right w:val="single" w:color="auto" w:sz="4" w:space="0"/>
            </w:tcBorders>
            <w:noWrap w:val="0"/>
            <w:vAlign w:val="center"/>
          </w:tcPr>
          <w:p w14:paraId="5607C3F6">
            <w:pPr>
              <w:widowControl/>
              <w:ind w:firstLine="440"/>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1265" w:type="pct"/>
            <w:tcBorders>
              <w:top w:val="nil"/>
              <w:left w:val="nil"/>
              <w:bottom w:val="single" w:color="auto" w:sz="4" w:space="0"/>
              <w:right w:val="single" w:color="auto" w:sz="4" w:space="0"/>
            </w:tcBorders>
            <w:noWrap w:val="0"/>
            <w:vAlign w:val="center"/>
          </w:tcPr>
          <w:p w14:paraId="3D0A149D">
            <w:pPr>
              <w:widowControl/>
              <w:ind w:firstLine="440"/>
              <w:jc w:val="left"/>
              <w:rPr>
                <w:rFonts w:ascii="宋体" w:hAnsi="宋体" w:eastAsia="宋体" w:cs="宋体"/>
                <w:color w:val="auto"/>
                <w:kern w:val="0"/>
                <w:sz w:val="22"/>
                <w:szCs w:val="22"/>
                <w:highlight w:val="none"/>
              </w:rPr>
            </w:pPr>
          </w:p>
        </w:tc>
        <w:tc>
          <w:tcPr>
            <w:tcW w:w="594" w:type="pct"/>
            <w:tcBorders>
              <w:top w:val="nil"/>
              <w:left w:val="nil"/>
              <w:bottom w:val="single" w:color="auto" w:sz="4" w:space="0"/>
              <w:right w:val="single" w:color="auto" w:sz="4" w:space="0"/>
            </w:tcBorders>
            <w:noWrap w:val="0"/>
            <w:vAlign w:val="center"/>
          </w:tcPr>
          <w:p w14:paraId="2A8F4436">
            <w:pPr>
              <w:widowControl/>
              <w:ind w:firstLine="440"/>
              <w:jc w:val="left"/>
              <w:rPr>
                <w:rFonts w:ascii="宋体" w:hAnsi="宋体" w:eastAsia="宋体" w:cs="宋体"/>
                <w:color w:val="auto"/>
                <w:kern w:val="0"/>
                <w:sz w:val="22"/>
                <w:szCs w:val="22"/>
                <w:highlight w:val="none"/>
              </w:rPr>
            </w:pPr>
          </w:p>
        </w:tc>
        <w:tc>
          <w:tcPr>
            <w:tcW w:w="520" w:type="pct"/>
            <w:tcBorders>
              <w:top w:val="nil"/>
              <w:left w:val="nil"/>
              <w:bottom w:val="single" w:color="auto" w:sz="4" w:space="0"/>
              <w:right w:val="single" w:color="auto" w:sz="4" w:space="0"/>
            </w:tcBorders>
            <w:noWrap w:val="0"/>
            <w:vAlign w:val="center"/>
          </w:tcPr>
          <w:p w14:paraId="6FCE36F8">
            <w:pPr>
              <w:widowControl/>
              <w:ind w:firstLine="440"/>
              <w:jc w:val="left"/>
              <w:rPr>
                <w:rFonts w:ascii="宋体" w:hAnsi="宋体" w:eastAsia="宋体" w:cs="宋体"/>
                <w:color w:val="auto"/>
                <w:kern w:val="0"/>
                <w:sz w:val="22"/>
                <w:szCs w:val="22"/>
                <w:highlight w:val="none"/>
              </w:rPr>
            </w:pPr>
          </w:p>
        </w:tc>
        <w:tc>
          <w:tcPr>
            <w:tcW w:w="372" w:type="pct"/>
            <w:tcBorders>
              <w:top w:val="nil"/>
              <w:left w:val="nil"/>
              <w:bottom w:val="single" w:color="auto" w:sz="4" w:space="0"/>
              <w:right w:val="single" w:color="auto" w:sz="4" w:space="0"/>
            </w:tcBorders>
            <w:noWrap w:val="0"/>
            <w:vAlign w:val="center"/>
          </w:tcPr>
          <w:p w14:paraId="01C69560">
            <w:pPr>
              <w:widowControl/>
              <w:ind w:firstLine="440"/>
              <w:jc w:val="left"/>
              <w:rPr>
                <w:rFonts w:ascii="宋体" w:hAnsi="宋体" w:eastAsia="宋体" w:cs="宋体"/>
                <w:color w:val="auto"/>
                <w:kern w:val="0"/>
                <w:sz w:val="22"/>
                <w:szCs w:val="22"/>
                <w:highlight w:val="none"/>
              </w:rPr>
            </w:pPr>
          </w:p>
        </w:tc>
        <w:tc>
          <w:tcPr>
            <w:tcW w:w="445" w:type="pct"/>
            <w:tcBorders>
              <w:top w:val="nil"/>
              <w:left w:val="nil"/>
              <w:bottom w:val="single" w:color="auto" w:sz="4" w:space="0"/>
              <w:right w:val="single" w:color="auto" w:sz="4" w:space="0"/>
            </w:tcBorders>
            <w:noWrap w:val="0"/>
            <w:vAlign w:val="center"/>
          </w:tcPr>
          <w:p w14:paraId="411C6288">
            <w:pPr>
              <w:widowControl/>
              <w:ind w:firstLine="440"/>
              <w:jc w:val="left"/>
              <w:rPr>
                <w:rFonts w:ascii="宋体" w:hAnsi="宋体" w:eastAsia="宋体" w:cs="宋体"/>
                <w:color w:val="auto"/>
                <w:kern w:val="0"/>
                <w:sz w:val="22"/>
                <w:szCs w:val="22"/>
                <w:highlight w:val="none"/>
              </w:rPr>
            </w:pPr>
          </w:p>
        </w:tc>
        <w:tc>
          <w:tcPr>
            <w:tcW w:w="372" w:type="pct"/>
            <w:tcBorders>
              <w:top w:val="nil"/>
              <w:left w:val="nil"/>
              <w:bottom w:val="single" w:color="auto" w:sz="4" w:space="0"/>
              <w:right w:val="single" w:color="auto" w:sz="4" w:space="0"/>
            </w:tcBorders>
            <w:noWrap w:val="0"/>
            <w:vAlign w:val="center"/>
          </w:tcPr>
          <w:p w14:paraId="13086EC7">
            <w:pPr>
              <w:widowControl/>
              <w:ind w:firstLine="440"/>
              <w:jc w:val="left"/>
              <w:rPr>
                <w:rFonts w:ascii="宋体" w:hAnsi="宋体" w:eastAsia="宋体" w:cs="宋体"/>
                <w:color w:val="auto"/>
                <w:kern w:val="0"/>
                <w:sz w:val="22"/>
                <w:szCs w:val="22"/>
                <w:highlight w:val="none"/>
              </w:rPr>
            </w:pPr>
          </w:p>
        </w:tc>
        <w:tc>
          <w:tcPr>
            <w:tcW w:w="610" w:type="pct"/>
            <w:tcBorders>
              <w:top w:val="nil"/>
              <w:left w:val="nil"/>
              <w:bottom w:val="single" w:color="auto" w:sz="4" w:space="0"/>
              <w:right w:val="single" w:color="auto" w:sz="4" w:space="0"/>
            </w:tcBorders>
            <w:noWrap w:val="0"/>
            <w:vAlign w:val="center"/>
          </w:tcPr>
          <w:p w14:paraId="01C167B9">
            <w:pPr>
              <w:widowControl/>
              <w:ind w:firstLine="440"/>
              <w:jc w:val="left"/>
              <w:rPr>
                <w:rFonts w:ascii="宋体" w:hAnsi="宋体" w:eastAsia="宋体" w:cs="宋体"/>
                <w:color w:val="auto"/>
                <w:kern w:val="0"/>
                <w:sz w:val="22"/>
                <w:szCs w:val="22"/>
                <w:highlight w:val="none"/>
              </w:rPr>
            </w:pPr>
          </w:p>
        </w:tc>
        <w:tc>
          <w:tcPr>
            <w:tcW w:w="520" w:type="pct"/>
            <w:tcBorders>
              <w:top w:val="nil"/>
              <w:left w:val="nil"/>
              <w:bottom w:val="single" w:color="auto" w:sz="4" w:space="0"/>
              <w:right w:val="single" w:color="auto" w:sz="4" w:space="0"/>
            </w:tcBorders>
            <w:noWrap w:val="0"/>
            <w:vAlign w:val="center"/>
          </w:tcPr>
          <w:p w14:paraId="30BDDE42">
            <w:pPr>
              <w:widowControl/>
              <w:ind w:firstLine="440"/>
              <w:jc w:val="left"/>
              <w:rPr>
                <w:rFonts w:ascii="宋体" w:hAnsi="宋体" w:eastAsia="宋体" w:cs="宋体"/>
                <w:color w:val="auto"/>
                <w:kern w:val="0"/>
                <w:sz w:val="22"/>
                <w:szCs w:val="22"/>
                <w:highlight w:val="none"/>
              </w:rPr>
            </w:pPr>
          </w:p>
        </w:tc>
      </w:tr>
      <w:tr w14:paraId="08FDC35D">
        <w:tblPrEx>
          <w:tblCellMar>
            <w:top w:w="0" w:type="dxa"/>
            <w:left w:w="108" w:type="dxa"/>
            <w:bottom w:w="0" w:type="dxa"/>
            <w:right w:w="108" w:type="dxa"/>
          </w:tblCellMar>
        </w:tblPrEx>
        <w:trPr>
          <w:trHeight w:val="696" w:hRule="atLeast"/>
        </w:trPr>
        <w:tc>
          <w:tcPr>
            <w:tcW w:w="297" w:type="pct"/>
            <w:tcBorders>
              <w:top w:val="nil"/>
              <w:left w:val="single" w:color="auto" w:sz="4" w:space="0"/>
              <w:bottom w:val="single" w:color="auto" w:sz="4" w:space="0"/>
              <w:right w:val="single" w:color="auto" w:sz="4" w:space="0"/>
            </w:tcBorders>
            <w:noWrap w:val="0"/>
            <w:vAlign w:val="center"/>
          </w:tcPr>
          <w:p w14:paraId="44E17259">
            <w:pPr>
              <w:widowControl/>
              <w:ind w:firstLine="440"/>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1265" w:type="pct"/>
            <w:tcBorders>
              <w:top w:val="nil"/>
              <w:left w:val="nil"/>
              <w:bottom w:val="single" w:color="auto" w:sz="4" w:space="0"/>
              <w:right w:val="single" w:color="auto" w:sz="4" w:space="0"/>
            </w:tcBorders>
            <w:noWrap w:val="0"/>
            <w:vAlign w:val="center"/>
          </w:tcPr>
          <w:p w14:paraId="375C8D29">
            <w:pPr>
              <w:widowControl/>
              <w:ind w:firstLine="440"/>
              <w:jc w:val="left"/>
              <w:rPr>
                <w:rFonts w:ascii="宋体" w:hAnsi="宋体" w:eastAsia="宋体" w:cs="宋体"/>
                <w:color w:val="auto"/>
                <w:kern w:val="0"/>
                <w:sz w:val="22"/>
                <w:szCs w:val="22"/>
                <w:highlight w:val="none"/>
              </w:rPr>
            </w:pPr>
          </w:p>
        </w:tc>
        <w:tc>
          <w:tcPr>
            <w:tcW w:w="594" w:type="pct"/>
            <w:tcBorders>
              <w:top w:val="nil"/>
              <w:left w:val="nil"/>
              <w:bottom w:val="single" w:color="auto" w:sz="4" w:space="0"/>
              <w:right w:val="single" w:color="auto" w:sz="4" w:space="0"/>
            </w:tcBorders>
            <w:noWrap w:val="0"/>
            <w:vAlign w:val="center"/>
          </w:tcPr>
          <w:p w14:paraId="403E0EC3">
            <w:pPr>
              <w:widowControl/>
              <w:ind w:firstLine="440"/>
              <w:jc w:val="left"/>
              <w:rPr>
                <w:rFonts w:ascii="宋体" w:hAnsi="宋体" w:eastAsia="宋体" w:cs="宋体"/>
                <w:color w:val="auto"/>
                <w:kern w:val="0"/>
                <w:sz w:val="22"/>
                <w:szCs w:val="22"/>
                <w:highlight w:val="none"/>
              </w:rPr>
            </w:pPr>
          </w:p>
        </w:tc>
        <w:tc>
          <w:tcPr>
            <w:tcW w:w="520" w:type="pct"/>
            <w:tcBorders>
              <w:top w:val="nil"/>
              <w:left w:val="nil"/>
              <w:bottom w:val="single" w:color="auto" w:sz="4" w:space="0"/>
              <w:right w:val="single" w:color="auto" w:sz="4" w:space="0"/>
            </w:tcBorders>
            <w:noWrap w:val="0"/>
            <w:vAlign w:val="center"/>
          </w:tcPr>
          <w:p w14:paraId="2BBA4F00">
            <w:pPr>
              <w:widowControl/>
              <w:ind w:firstLine="440"/>
              <w:jc w:val="left"/>
              <w:rPr>
                <w:rFonts w:ascii="宋体" w:hAnsi="宋体" w:eastAsia="宋体" w:cs="宋体"/>
                <w:color w:val="auto"/>
                <w:kern w:val="0"/>
                <w:sz w:val="22"/>
                <w:szCs w:val="22"/>
                <w:highlight w:val="none"/>
              </w:rPr>
            </w:pPr>
          </w:p>
        </w:tc>
        <w:tc>
          <w:tcPr>
            <w:tcW w:w="372" w:type="pct"/>
            <w:tcBorders>
              <w:top w:val="nil"/>
              <w:left w:val="nil"/>
              <w:bottom w:val="single" w:color="auto" w:sz="4" w:space="0"/>
              <w:right w:val="single" w:color="auto" w:sz="4" w:space="0"/>
            </w:tcBorders>
            <w:noWrap w:val="0"/>
            <w:vAlign w:val="center"/>
          </w:tcPr>
          <w:p w14:paraId="4059FE55">
            <w:pPr>
              <w:widowControl/>
              <w:ind w:firstLine="440"/>
              <w:jc w:val="left"/>
              <w:rPr>
                <w:rFonts w:ascii="宋体" w:hAnsi="宋体" w:eastAsia="宋体" w:cs="宋体"/>
                <w:color w:val="auto"/>
                <w:kern w:val="0"/>
                <w:sz w:val="22"/>
                <w:szCs w:val="22"/>
                <w:highlight w:val="none"/>
              </w:rPr>
            </w:pPr>
          </w:p>
        </w:tc>
        <w:tc>
          <w:tcPr>
            <w:tcW w:w="445" w:type="pct"/>
            <w:tcBorders>
              <w:top w:val="nil"/>
              <w:left w:val="nil"/>
              <w:bottom w:val="single" w:color="auto" w:sz="4" w:space="0"/>
              <w:right w:val="single" w:color="auto" w:sz="4" w:space="0"/>
            </w:tcBorders>
            <w:noWrap w:val="0"/>
            <w:vAlign w:val="center"/>
          </w:tcPr>
          <w:p w14:paraId="45E1ED01">
            <w:pPr>
              <w:widowControl/>
              <w:ind w:firstLine="440"/>
              <w:jc w:val="left"/>
              <w:rPr>
                <w:rFonts w:ascii="宋体" w:hAnsi="宋体" w:eastAsia="宋体" w:cs="宋体"/>
                <w:color w:val="auto"/>
                <w:kern w:val="0"/>
                <w:sz w:val="22"/>
                <w:szCs w:val="22"/>
                <w:highlight w:val="none"/>
              </w:rPr>
            </w:pPr>
          </w:p>
        </w:tc>
        <w:tc>
          <w:tcPr>
            <w:tcW w:w="372" w:type="pct"/>
            <w:tcBorders>
              <w:top w:val="nil"/>
              <w:left w:val="nil"/>
              <w:bottom w:val="single" w:color="auto" w:sz="4" w:space="0"/>
              <w:right w:val="single" w:color="auto" w:sz="4" w:space="0"/>
            </w:tcBorders>
            <w:noWrap w:val="0"/>
            <w:vAlign w:val="center"/>
          </w:tcPr>
          <w:p w14:paraId="008C6C4F">
            <w:pPr>
              <w:widowControl/>
              <w:ind w:firstLine="440"/>
              <w:jc w:val="left"/>
              <w:rPr>
                <w:rFonts w:ascii="宋体" w:hAnsi="宋体" w:eastAsia="宋体" w:cs="宋体"/>
                <w:color w:val="auto"/>
                <w:kern w:val="0"/>
                <w:sz w:val="22"/>
                <w:szCs w:val="22"/>
                <w:highlight w:val="none"/>
              </w:rPr>
            </w:pPr>
          </w:p>
        </w:tc>
        <w:tc>
          <w:tcPr>
            <w:tcW w:w="610" w:type="pct"/>
            <w:tcBorders>
              <w:top w:val="nil"/>
              <w:left w:val="nil"/>
              <w:bottom w:val="single" w:color="auto" w:sz="4" w:space="0"/>
              <w:right w:val="single" w:color="auto" w:sz="4" w:space="0"/>
            </w:tcBorders>
            <w:noWrap w:val="0"/>
            <w:vAlign w:val="center"/>
          </w:tcPr>
          <w:p w14:paraId="4E046EB6">
            <w:pPr>
              <w:widowControl/>
              <w:ind w:firstLine="440"/>
              <w:jc w:val="left"/>
              <w:rPr>
                <w:rFonts w:ascii="宋体" w:hAnsi="宋体" w:eastAsia="宋体" w:cs="宋体"/>
                <w:color w:val="auto"/>
                <w:kern w:val="0"/>
                <w:sz w:val="22"/>
                <w:szCs w:val="22"/>
                <w:highlight w:val="none"/>
              </w:rPr>
            </w:pPr>
          </w:p>
        </w:tc>
        <w:tc>
          <w:tcPr>
            <w:tcW w:w="520" w:type="pct"/>
            <w:tcBorders>
              <w:top w:val="nil"/>
              <w:left w:val="nil"/>
              <w:bottom w:val="single" w:color="auto" w:sz="4" w:space="0"/>
              <w:right w:val="single" w:color="auto" w:sz="4" w:space="0"/>
            </w:tcBorders>
            <w:noWrap w:val="0"/>
            <w:vAlign w:val="center"/>
          </w:tcPr>
          <w:p w14:paraId="49E601F8">
            <w:pPr>
              <w:widowControl/>
              <w:ind w:firstLine="440"/>
              <w:jc w:val="left"/>
              <w:rPr>
                <w:rFonts w:ascii="宋体" w:hAnsi="宋体" w:eastAsia="宋体" w:cs="宋体"/>
                <w:color w:val="auto"/>
                <w:kern w:val="0"/>
                <w:sz w:val="22"/>
                <w:szCs w:val="22"/>
                <w:highlight w:val="none"/>
              </w:rPr>
            </w:pPr>
          </w:p>
        </w:tc>
      </w:tr>
      <w:tr w14:paraId="398F353C">
        <w:tblPrEx>
          <w:tblCellMar>
            <w:top w:w="0" w:type="dxa"/>
            <w:left w:w="108" w:type="dxa"/>
            <w:bottom w:w="0" w:type="dxa"/>
            <w:right w:w="108" w:type="dxa"/>
          </w:tblCellMar>
        </w:tblPrEx>
        <w:trPr>
          <w:trHeight w:val="692" w:hRule="atLeast"/>
        </w:trPr>
        <w:tc>
          <w:tcPr>
            <w:tcW w:w="297" w:type="pct"/>
            <w:tcBorders>
              <w:top w:val="nil"/>
              <w:left w:val="single" w:color="auto" w:sz="4" w:space="0"/>
              <w:bottom w:val="single" w:color="auto" w:sz="4" w:space="0"/>
              <w:right w:val="single" w:color="auto" w:sz="4" w:space="0"/>
            </w:tcBorders>
            <w:noWrap w:val="0"/>
            <w:vAlign w:val="center"/>
          </w:tcPr>
          <w:p w14:paraId="6AF50251">
            <w:pPr>
              <w:widowControl/>
              <w:ind w:firstLine="440"/>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c>
          <w:tcPr>
            <w:tcW w:w="1265" w:type="pct"/>
            <w:tcBorders>
              <w:top w:val="nil"/>
              <w:left w:val="nil"/>
              <w:bottom w:val="single" w:color="auto" w:sz="4" w:space="0"/>
              <w:right w:val="single" w:color="auto" w:sz="4" w:space="0"/>
            </w:tcBorders>
            <w:noWrap w:val="0"/>
            <w:vAlign w:val="center"/>
          </w:tcPr>
          <w:p w14:paraId="5DE47166">
            <w:pPr>
              <w:widowControl/>
              <w:ind w:firstLine="440"/>
              <w:jc w:val="left"/>
              <w:rPr>
                <w:rFonts w:ascii="宋体" w:hAnsi="宋体" w:eastAsia="宋体" w:cs="宋体"/>
                <w:color w:val="auto"/>
                <w:kern w:val="0"/>
                <w:sz w:val="22"/>
                <w:szCs w:val="22"/>
                <w:highlight w:val="none"/>
              </w:rPr>
            </w:pPr>
          </w:p>
        </w:tc>
        <w:tc>
          <w:tcPr>
            <w:tcW w:w="594" w:type="pct"/>
            <w:tcBorders>
              <w:top w:val="nil"/>
              <w:left w:val="nil"/>
              <w:bottom w:val="single" w:color="auto" w:sz="4" w:space="0"/>
              <w:right w:val="single" w:color="auto" w:sz="4" w:space="0"/>
            </w:tcBorders>
            <w:noWrap w:val="0"/>
            <w:vAlign w:val="center"/>
          </w:tcPr>
          <w:p w14:paraId="0530D1E3">
            <w:pPr>
              <w:widowControl/>
              <w:ind w:firstLine="440"/>
              <w:jc w:val="left"/>
              <w:rPr>
                <w:rFonts w:ascii="宋体" w:hAnsi="宋体" w:eastAsia="宋体" w:cs="宋体"/>
                <w:color w:val="auto"/>
                <w:kern w:val="0"/>
                <w:sz w:val="22"/>
                <w:szCs w:val="22"/>
                <w:highlight w:val="none"/>
              </w:rPr>
            </w:pPr>
          </w:p>
        </w:tc>
        <w:tc>
          <w:tcPr>
            <w:tcW w:w="520" w:type="pct"/>
            <w:tcBorders>
              <w:top w:val="nil"/>
              <w:left w:val="nil"/>
              <w:bottom w:val="single" w:color="auto" w:sz="4" w:space="0"/>
              <w:right w:val="single" w:color="auto" w:sz="4" w:space="0"/>
            </w:tcBorders>
            <w:noWrap w:val="0"/>
            <w:vAlign w:val="center"/>
          </w:tcPr>
          <w:p w14:paraId="53DEDFA1">
            <w:pPr>
              <w:widowControl/>
              <w:ind w:firstLine="440"/>
              <w:jc w:val="left"/>
              <w:rPr>
                <w:rFonts w:ascii="宋体" w:hAnsi="宋体" w:eastAsia="宋体" w:cs="宋体"/>
                <w:color w:val="auto"/>
                <w:kern w:val="0"/>
                <w:sz w:val="22"/>
                <w:szCs w:val="22"/>
                <w:highlight w:val="none"/>
              </w:rPr>
            </w:pPr>
          </w:p>
        </w:tc>
        <w:tc>
          <w:tcPr>
            <w:tcW w:w="372" w:type="pct"/>
            <w:tcBorders>
              <w:top w:val="nil"/>
              <w:left w:val="nil"/>
              <w:bottom w:val="single" w:color="auto" w:sz="4" w:space="0"/>
              <w:right w:val="single" w:color="auto" w:sz="4" w:space="0"/>
            </w:tcBorders>
            <w:noWrap w:val="0"/>
            <w:vAlign w:val="center"/>
          </w:tcPr>
          <w:p w14:paraId="76433788">
            <w:pPr>
              <w:widowControl/>
              <w:ind w:firstLine="440"/>
              <w:jc w:val="left"/>
              <w:rPr>
                <w:rFonts w:ascii="宋体" w:hAnsi="宋体" w:eastAsia="宋体" w:cs="宋体"/>
                <w:color w:val="auto"/>
                <w:kern w:val="0"/>
                <w:sz w:val="22"/>
                <w:szCs w:val="22"/>
                <w:highlight w:val="none"/>
              </w:rPr>
            </w:pPr>
          </w:p>
        </w:tc>
        <w:tc>
          <w:tcPr>
            <w:tcW w:w="445" w:type="pct"/>
            <w:tcBorders>
              <w:top w:val="nil"/>
              <w:left w:val="nil"/>
              <w:bottom w:val="single" w:color="auto" w:sz="4" w:space="0"/>
              <w:right w:val="single" w:color="auto" w:sz="4" w:space="0"/>
            </w:tcBorders>
            <w:noWrap w:val="0"/>
            <w:vAlign w:val="center"/>
          </w:tcPr>
          <w:p w14:paraId="42A564B9">
            <w:pPr>
              <w:widowControl/>
              <w:ind w:firstLine="440"/>
              <w:jc w:val="left"/>
              <w:rPr>
                <w:rFonts w:ascii="宋体" w:hAnsi="宋体" w:eastAsia="宋体" w:cs="宋体"/>
                <w:color w:val="auto"/>
                <w:kern w:val="0"/>
                <w:sz w:val="22"/>
                <w:szCs w:val="22"/>
                <w:highlight w:val="none"/>
              </w:rPr>
            </w:pPr>
          </w:p>
        </w:tc>
        <w:tc>
          <w:tcPr>
            <w:tcW w:w="372" w:type="pct"/>
            <w:tcBorders>
              <w:top w:val="nil"/>
              <w:left w:val="nil"/>
              <w:bottom w:val="single" w:color="auto" w:sz="4" w:space="0"/>
              <w:right w:val="single" w:color="auto" w:sz="4" w:space="0"/>
            </w:tcBorders>
            <w:noWrap w:val="0"/>
            <w:vAlign w:val="center"/>
          </w:tcPr>
          <w:p w14:paraId="7653B9FE">
            <w:pPr>
              <w:widowControl/>
              <w:ind w:firstLine="440"/>
              <w:jc w:val="left"/>
              <w:rPr>
                <w:rFonts w:ascii="宋体" w:hAnsi="宋体" w:eastAsia="宋体" w:cs="宋体"/>
                <w:color w:val="auto"/>
                <w:kern w:val="0"/>
                <w:sz w:val="22"/>
                <w:szCs w:val="22"/>
                <w:highlight w:val="none"/>
              </w:rPr>
            </w:pPr>
          </w:p>
        </w:tc>
        <w:tc>
          <w:tcPr>
            <w:tcW w:w="610" w:type="pct"/>
            <w:tcBorders>
              <w:top w:val="nil"/>
              <w:left w:val="nil"/>
              <w:bottom w:val="single" w:color="auto" w:sz="4" w:space="0"/>
              <w:right w:val="single" w:color="auto" w:sz="4" w:space="0"/>
            </w:tcBorders>
            <w:noWrap w:val="0"/>
            <w:vAlign w:val="center"/>
          </w:tcPr>
          <w:p w14:paraId="2B372D9C">
            <w:pPr>
              <w:widowControl/>
              <w:ind w:firstLine="440"/>
              <w:jc w:val="left"/>
              <w:rPr>
                <w:rFonts w:ascii="宋体" w:hAnsi="宋体" w:eastAsia="宋体" w:cs="宋体"/>
                <w:color w:val="auto"/>
                <w:kern w:val="0"/>
                <w:sz w:val="22"/>
                <w:szCs w:val="22"/>
                <w:highlight w:val="none"/>
              </w:rPr>
            </w:pPr>
          </w:p>
        </w:tc>
        <w:tc>
          <w:tcPr>
            <w:tcW w:w="520" w:type="pct"/>
            <w:tcBorders>
              <w:top w:val="nil"/>
              <w:left w:val="nil"/>
              <w:bottom w:val="single" w:color="auto" w:sz="4" w:space="0"/>
              <w:right w:val="single" w:color="auto" w:sz="4" w:space="0"/>
            </w:tcBorders>
            <w:noWrap w:val="0"/>
            <w:vAlign w:val="center"/>
          </w:tcPr>
          <w:p w14:paraId="7A005817">
            <w:pPr>
              <w:widowControl/>
              <w:ind w:firstLine="440"/>
              <w:jc w:val="left"/>
              <w:rPr>
                <w:rFonts w:ascii="宋体" w:hAnsi="宋体" w:eastAsia="宋体" w:cs="宋体"/>
                <w:color w:val="auto"/>
                <w:kern w:val="0"/>
                <w:sz w:val="22"/>
                <w:szCs w:val="22"/>
                <w:highlight w:val="none"/>
              </w:rPr>
            </w:pPr>
          </w:p>
        </w:tc>
      </w:tr>
    </w:tbl>
    <w:p w14:paraId="2BFDE055">
      <w:pPr>
        <w:widowControl/>
        <w:ind w:firstLine="480"/>
        <w:jc w:val="left"/>
        <w:rPr>
          <w:rFonts w:ascii="宋体" w:hAnsi="宋体" w:cs="Arial"/>
          <w:color w:val="auto"/>
          <w:kern w:val="0"/>
          <w:sz w:val="24"/>
          <w:szCs w:val="20"/>
          <w:highlight w:val="none"/>
        </w:rPr>
      </w:pPr>
      <w:r>
        <w:rPr>
          <w:rFonts w:hint="eastAsia" w:ascii="宋体" w:hAnsi="宋体" w:cs="Arial"/>
          <w:color w:val="auto"/>
          <w:kern w:val="0"/>
          <w:sz w:val="24"/>
          <w:szCs w:val="20"/>
          <w:highlight w:val="none"/>
        </w:rPr>
        <w:t>注：此验收单一式2份：供货单位、收货单位各执一份</w:t>
      </w:r>
    </w:p>
    <w:p w14:paraId="59AB54F7">
      <w:pPr>
        <w:widowControl/>
        <w:ind w:firstLine="560"/>
        <w:jc w:val="left"/>
        <w:rPr>
          <w:rFonts w:ascii="宋体" w:hAnsi="宋体" w:cs="Arial"/>
          <w:color w:val="auto"/>
          <w:kern w:val="0"/>
          <w:sz w:val="28"/>
          <w:szCs w:val="28"/>
          <w:highlight w:val="none"/>
        </w:rPr>
      </w:pPr>
    </w:p>
    <w:p w14:paraId="2EC04A82">
      <w:pPr>
        <w:widowControl/>
        <w:jc w:val="left"/>
        <w:rPr>
          <w:rFonts w:ascii="宋体" w:hAnsi="宋体" w:cs="Arial"/>
          <w:b/>
          <w:bCs/>
          <w:color w:val="auto"/>
          <w:kern w:val="0"/>
          <w:sz w:val="28"/>
          <w:szCs w:val="28"/>
          <w:highlight w:val="none"/>
        </w:rPr>
      </w:pPr>
      <w:r>
        <w:rPr>
          <w:rFonts w:hint="eastAsia" w:ascii="宋体" w:hAnsi="宋体" w:cs="Arial"/>
          <w:b/>
          <w:bCs/>
          <w:color w:val="auto"/>
          <w:kern w:val="0"/>
          <w:sz w:val="28"/>
          <w:szCs w:val="28"/>
          <w:highlight w:val="none"/>
        </w:rPr>
        <w:t xml:space="preserve">供货单位（盖章）： </w:t>
      </w:r>
    </w:p>
    <w:p w14:paraId="3F6274F2">
      <w:pPr>
        <w:widowControl/>
        <w:jc w:val="left"/>
        <w:rPr>
          <w:rFonts w:ascii="宋体" w:hAnsi="宋体" w:cs="Arial"/>
          <w:b/>
          <w:bCs/>
          <w:color w:val="auto"/>
          <w:kern w:val="0"/>
          <w:sz w:val="28"/>
          <w:szCs w:val="28"/>
          <w:highlight w:val="none"/>
        </w:rPr>
      </w:pPr>
      <w:r>
        <w:rPr>
          <w:rFonts w:hint="eastAsia" w:ascii="宋体" w:hAnsi="宋体" w:cs="Arial"/>
          <w:b/>
          <w:bCs/>
          <w:color w:val="auto"/>
          <w:kern w:val="0"/>
          <w:sz w:val="28"/>
          <w:szCs w:val="28"/>
          <w:highlight w:val="none"/>
        </w:rPr>
        <w:t xml:space="preserve">配 送 人：                              </w:t>
      </w:r>
    </w:p>
    <w:p w14:paraId="2CCF059E">
      <w:pPr>
        <w:widowControl/>
        <w:spacing w:line="400" w:lineRule="exact"/>
        <w:jc w:val="left"/>
        <w:rPr>
          <w:rFonts w:ascii="宋体" w:hAnsi="宋体" w:cs="Arial"/>
          <w:b/>
          <w:bCs/>
          <w:color w:val="auto"/>
          <w:kern w:val="0"/>
          <w:sz w:val="28"/>
          <w:szCs w:val="28"/>
          <w:highlight w:val="none"/>
        </w:rPr>
      </w:pPr>
      <w:r>
        <w:rPr>
          <w:rFonts w:hint="eastAsia" w:ascii="宋体" w:hAnsi="宋体" w:cs="Arial"/>
          <w:b/>
          <w:bCs/>
          <w:color w:val="auto"/>
          <w:kern w:val="0"/>
          <w:sz w:val="28"/>
          <w:szCs w:val="28"/>
          <w:highlight w:val="none"/>
        </w:rPr>
        <w:t xml:space="preserve">联系电话：                             </w:t>
      </w:r>
    </w:p>
    <w:p w14:paraId="1ADBD21A">
      <w:pPr>
        <w:widowControl/>
        <w:jc w:val="left"/>
        <w:rPr>
          <w:rFonts w:ascii="宋体" w:hAnsi="宋体" w:cs="Arial"/>
          <w:b/>
          <w:bCs/>
          <w:color w:val="auto"/>
          <w:kern w:val="0"/>
          <w:sz w:val="28"/>
          <w:szCs w:val="28"/>
          <w:highlight w:val="none"/>
        </w:rPr>
      </w:pPr>
      <w:r>
        <w:rPr>
          <w:rFonts w:hint="eastAsia" w:ascii="宋体" w:hAnsi="宋体" w:cs="Arial"/>
          <w:b/>
          <w:bCs/>
          <w:color w:val="auto"/>
          <w:kern w:val="0"/>
          <w:sz w:val="28"/>
          <w:szCs w:val="28"/>
          <w:highlight w:val="none"/>
        </w:rPr>
        <w:t xml:space="preserve">日 </w:t>
      </w:r>
      <w:r>
        <w:rPr>
          <w:rFonts w:ascii="宋体" w:hAnsi="宋体" w:cs="Arial"/>
          <w:b/>
          <w:bCs/>
          <w:color w:val="auto"/>
          <w:kern w:val="0"/>
          <w:sz w:val="28"/>
          <w:szCs w:val="28"/>
          <w:highlight w:val="none"/>
        </w:rPr>
        <w:t xml:space="preserve">   </w:t>
      </w:r>
      <w:r>
        <w:rPr>
          <w:rFonts w:hint="eastAsia" w:ascii="宋体" w:hAnsi="宋体" w:cs="Arial"/>
          <w:b/>
          <w:bCs/>
          <w:color w:val="auto"/>
          <w:kern w:val="0"/>
          <w:sz w:val="28"/>
          <w:szCs w:val="28"/>
          <w:highlight w:val="none"/>
        </w:rPr>
        <w:t xml:space="preserve">期：                                 </w:t>
      </w:r>
    </w:p>
    <w:p w14:paraId="619D1D13">
      <w:pPr>
        <w:widowControl/>
        <w:jc w:val="left"/>
        <w:rPr>
          <w:rFonts w:ascii="宋体" w:hAnsi="宋体" w:cs="Arial"/>
          <w:b/>
          <w:bCs/>
          <w:color w:val="auto"/>
          <w:kern w:val="0"/>
          <w:sz w:val="28"/>
          <w:szCs w:val="28"/>
          <w:highlight w:val="none"/>
        </w:rPr>
      </w:pPr>
    </w:p>
    <w:p w14:paraId="1D24D3E5">
      <w:pPr>
        <w:widowControl/>
        <w:jc w:val="left"/>
        <w:rPr>
          <w:rFonts w:ascii="宋体" w:hAnsi="宋体" w:cs="Arial"/>
          <w:b/>
          <w:bCs/>
          <w:color w:val="auto"/>
          <w:kern w:val="0"/>
          <w:sz w:val="28"/>
          <w:szCs w:val="28"/>
          <w:highlight w:val="none"/>
        </w:rPr>
      </w:pPr>
      <w:r>
        <w:rPr>
          <w:rFonts w:hint="eastAsia" w:ascii="宋体" w:hAnsi="宋体" w:cs="Arial"/>
          <w:b/>
          <w:bCs/>
          <w:color w:val="auto"/>
          <w:kern w:val="0"/>
          <w:sz w:val="28"/>
          <w:szCs w:val="28"/>
          <w:highlight w:val="none"/>
        </w:rPr>
        <w:t>收货单位（盖章）：昆明医科大学第二附属医院</w:t>
      </w:r>
    </w:p>
    <w:p w14:paraId="54EEF308">
      <w:pPr>
        <w:widowControl/>
        <w:jc w:val="left"/>
        <w:rPr>
          <w:rFonts w:ascii="宋体" w:hAnsi="宋体" w:cs="Arial"/>
          <w:b/>
          <w:bCs/>
          <w:color w:val="auto"/>
          <w:kern w:val="0"/>
          <w:sz w:val="28"/>
          <w:szCs w:val="28"/>
          <w:highlight w:val="none"/>
        </w:rPr>
      </w:pPr>
      <w:r>
        <w:rPr>
          <w:rFonts w:hint="eastAsia" w:ascii="宋体" w:hAnsi="宋体" w:cs="Arial"/>
          <w:b/>
          <w:bCs/>
          <w:color w:val="auto"/>
          <w:kern w:val="0"/>
          <w:sz w:val="28"/>
          <w:szCs w:val="28"/>
          <w:highlight w:val="none"/>
        </w:rPr>
        <w:t xml:space="preserve">接 收 人：                              </w:t>
      </w:r>
    </w:p>
    <w:p w14:paraId="2D14CBCB">
      <w:pPr>
        <w:widowControl/>
        <w:spacing w:line="400" w:lineRule="exact"/>
        <w:jc w:val="left"/>
        <w:rPr>
          <w:rFonts w:ascii="宋体" w:hAnsi="宋体" w:cs="Arial"/>
          <w:b/>
          <w:bCs/>
          <w:color w:val="auto"/>
          <w:kern w:val="0"/>
          <w:sz w:val="28"/>
          <w:szCs w:val="28"/>
          <w:highlight w:val="none"/>
        </w:rPr>
      </w:pPr>
      <w:r>
        <w:rPr>
          <w:rFonts w:hint="eastAsia" w:ascii="宋体" w:hAnsi="宋体" w:cs="Arial"/>
          <w:b/>
          <w:bCs/>
          <w:color w:val="auto"/>
          <w:kern w:val="0"/>
          <w:sz w:val="28"/>
          <w:szCs w:val="28"/>
          <w:highlight w:val="none"/>
        </w:rPr>
        <w:t xml:space="preserve">联系电话：                             </w:t>
      </w:r>
    </w:p>
    <w:p w14:paraId="5B5483E1">
      <w:pPr>
        <w:widowControl/>
        <w:jc w:val="left"/>
        <w:rPr>
          <w:rFonts w:ascii="宋体" w:hAnsi="宋体" w:cs="宋体"/>
          <w:color w:val="auto"/>
          <w:sz w:val="36"/>
          <w:szCs w:val="36"/>
          <w:highlight w:val="none"/>
        </w:rPr>
      </w:pPr>
      <w:r>
        <w:rPr>
          <w:rFonts w:hint="eastAsia" w:ascii="宋体" w:hAnsi="宋体" w:cs="Arial"/>
          <w:b/>
          <w:bCs/>
          <w:color w:val="auto"/>
          <w:kern w:val="0"/>
          <w:sz w:val="28"/>
          <w:szCs w:val="28"/>
          <w:highlight w:val="none"/>
        </w:rPr>
        <w:t xml:space="preserve">日 </w:t>
      </w:r>
      <w:r>
        <w:rPr>
          <w:rFonts w:ascii="宋体" w:hAnsi="宋体" w:cs="Arial"/>
          <w:b/>
          <w:bCs/>
          <w:color w:val="auto"/>
          <w:kern w:val="0"/>
          <w:sz w:val="28"/>
          <w:szCs w:val="28"/>
          <w:highlight w:val="none"/>
        </w:rPr>
        <w:t xml:space="preserve">   </w:t>
      </w:r>
      <w:r>
        <w:rPr>
          <w:rFonts w:hint="eastAsia" w:ascii="宋体" w:hAnsi="宋体" w:cs="Arial"/>
          <w:b/>
          <w:bCs/>
          <w:color w:val="auto"/>
          <w:kern w:val="0"/>
          <w:sz w:val="28"/>
          <w:szCs w:val="28"/>
          <w:highlight w:val="none"/>
        </w:rPr>
        <w:t xml:space="preserve">期：         </w:t>
      </w:r>
    </w:p>
    <w:p w14:paraId="46618322">
      <w:pPr>
        <w:rPr>
          <w:color w:val="auto"/>
          <w:highlight w:val="none"/>
        </w:rPr>
      </w:pPr>
    </w:p>
    <w:p w14:paraId="5E93AF96">
      <w:pPr>
        <w:rPr>
          <w:rFonts w:hint="eastAsia" w:ascii="宋体" w:hAnsi="宋体" w:cs="宋体"/>
          <w:color w:val="auto"/>
          <w:highlight w:val="none"/>
        </w:rPr>
      </w:pPr>
      <w:r>
        <w:rPr>
          <w:rFonts w:hint="eastAsia" w:ascii="宋体" w:hAnsi="宋体" w:cs="宋体"/>
          <w:color w:val="auto"/>
          <w:highlight w:val="none"/>
        </w:rPr>
        <w:br w:type="page"/>
      </w:r>
    </w:p>
    <w:p w14:paraId="20027DAE">
      <w:pPr>
        <w:pStyle w:val="2"/>
        <w:spacing w:before="0" w:after="0" w:line="720" w:lineRule="auto"/>
        <w:jc w:val="center"/>
        <w:rPr>
          <w:rFonts w:hint="eastAsia" w:ascii="宋体" w:hAnsi="宋体" w:cs="宋体"/>
          <w:color w:val="auto"/>
          <w:highlight w:val="none"/>
        </w:rPr>
      </w:pPr>
      <w:bookmarkStart w:id="270" w:name="_Toc12847"/>
      <w:bookmarkEnd w:id="270"/>
      <w:bookmarkStart w:id="271" w:name="_Toc31034"/>
      <w:bookmarkEnd w:id="271"/>
      <w:bookmarkStart w:id="272" w:name="_Toc8577"/>
      <w:bookmarkStart w:id="273" w:name="_Toc9767"/>
      <w:bookmarkStart w:id="274" w:name="_Toc22373"/>
      <w:bookmarkStart w:id="275" w:name="_Toc13077"/>
      <w:r>
        <w:rPr>
          <w:rFonts w:hint="eastAsia" w:ascii="宋体" w:hAnsi="宋体" w:cs="宋体"/>
          <w:color w:val="auto"/>
          <w:highlight w:val="none"/>
        </w:rPr>
        <w:t xml:space="preserve">第六章 </w:t>
      </w:r>
      <w:bookmarkEnd w:id="272"/>
      <w:r>
        <w:rPr>
          <w:rFonts w:hint="eastAsia" w:ascii="宋体" w:hAnsi="宋体" w:cs="宋体"/>
          <w:color w:val="auto"/>
          <w:highlight w:val="none"/>
        </w:rPr>
        <w:t>招标内容及要求</w:t>
      </w:r>
      <w:bookmarkEnd w:id="273"/>
      <w:bookmarkEnd w:id="274"/>
      <w:bookmarkEnd w:id="275"/>
    </w:p>
    <w:p w14:paraId="31BAC849">
      <w:pPr>
        <w:adjustRightInd w:val="0"/>
        <w:spacing w:before="317" w:beforeLines="100" w:after="317" w:afterLines="100" w:line="276" w:lineRule="auto"/>
        <w:ind w:firstLine="311" w:firstLineChars="100"/>
        <w:jc w:val="center"/>
        <w:rPr>
          <w:rFonts w:hint="eastAsia" w:ascii="宋体" w:hAnsi="宋体" w:cs="宋体"/>
          <w:b/>
          <w:bCs/>
          <w:color w:val="auto"/>
          <w:highlight w:val="none"/>
        </w:rPr>
      </w:pPr>
      <w:bookmarkStart w:id="276" w:name="_Toc107480862"/>
      <w:bookmarkStart w:id="277" w:name="_Toc11443"/>
      <w:bookmarkStart w:id="278" w:name="_Toc2672"/>
      <w:bookmarkStart w:id="279" w:name="_Toc28863"/>
      <w:bookmarkStart w:id="280" w:name="_Toc216513803"/>
      <w:bookmarkStart w:id="281" w:name="_Toc512937853"/>
      <w:bookmarkStart w:id="282" w:name="_Toc139268688"/>
      <w:bookmarkStart w:id="283" w:name="_Toc24798"/>
      <w:r>
        <w:rPr>
          <w:rFonts w:hint="eastAsia" w:ascii="宋体" w:hAnsi="宋体" w:cs="宋体"/>
          <w:b/>
          <w:bCs/>
          <w:color w:val="auto"/>
          <w:sz w:val="31"/>
          <w:highlight w:val="none"/>
        </w:rPr>
        <w:t>说明：</w:t>
      </w:r>
    </w:p>
    <w:p w14:paraId="0B36512D">
      <w:pPr>
        <w:adjustRightInd w:val="0"/>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color w:val="auto"/>
          <w:sz w:val="24"/>
          <w:szCs w:val="24"/>
          <w:highlight w:val="none"/>
        </w:rPr>
        <w:t>各投标人必须对本章中的技术、服务要求作出全面、真实的反映，同时填写技术要求偏离表。若投标文件中响应情况与招标文件采购需求内容不符或无有效证明，而投标人又未在投标文件中作出说明和解释的，评标委员会在评审时将视为不响应该条技术、服务要求的规定。</w:t>
      </w:r>
    </w:p>
    <w:p w14:paraId="4BCFD1AE">
      <w:pPr>
        <w:adjustRightInd w:val="0"/>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本章各项技术参数、规格和性能要求如出现引用某一特定的专利技术、商标、名称、设计、原产地或供应者等情况，则仅起参考作用。投标人可选用实质上“相当于”或“优于”该参考技术规格要求的产品投标。</w:t>
      </w:r>
    </w:p>
    <w:p w14:paraId="2BB5AE11">
      <w:pPr>
        <w:adjustRightInd w:val="0"/>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投标人应严格按照《中华人民共和国政府采购法》《中华人民共和国政府采购法实施条例》《政府采购货物和服务招标投标管理办法》(财政部令第87号)等有关法律、法规的规定进行投标，合同签订后采购人将按照中标人投标文件中所投货物、工程或者服务进行验收，一旦发现虚假应标行为，取消该中标人的中标资格、撤销合同，并保留追究其法律责任的权利。验收时，交付的产品必须与投标产品的品牌、型号、规格、技术参数、性能说明、生产厂家等各项内容一致，投标人在投标时务必认真核实并如实填写产品品牌、型号、规格、技术参数、性能说明、生产厂家等各项信息。</w:t>
      </w:r>
    </w:p>
    <w:p w14:paraId="16161D37">
      <w:pPr>
        <w:adjustRightInd w:val="0"/>
        <w:spacing w:line="360" w:lineRule="auto"/>
        <w:ind w:firstLine="482" w:firstLineChars="2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本文件的解释权属于采购人、采购代理机构。</w:t>
      </w:r>
    </w:p>
    <w:p w14:paraId="02F4357F">
      <w:pPr>
        <w:tabs>
          <w:tab w:val="left" w:pos="1470"/>
        </w:tabs>
        <w:spacing w:line="360" w:lineRule="auto"/>
        <w:ind w:left="1079" w:leftChars="257" w:hanging="539"/>
        <w:jc w:val="center"/>
        <w:outlineLvl w:val="1"/>
        <w:rPr>
          <w:rFonts w:hint="eastAsia" w:ascii="宋体" w:hAnsi="宋体" w:cs="宋体"/>
          <w:bCs/>
          <w:color w:val="auto"/>
          <w:sz w:val="24"/>
          <w:szCs w:val="24"/>
          <w:highlight w:val="none"/>
        </w:rPr>
      </w:pPr>
      <w:r>
        <w:rPr>
          <w:rFonts w:hint="eastAsia" w:ascii="宋体" w:hAnsi="宋体" w:cs="宋体"/>
          <w:b/>
          <w:color w:val="auto"/>
          <w:sz w:val="28"/>
          <w:szCs w:val="28"/>
          <w:highlight w:val="none"/>
        </w:rPr>
        <w:br w:type="page"/>
      </w:r>
      <w:bookmarkEnd w:id="276"/>
      <w:bookmarkEnd w:id="277"/>
      <w:bookmarkEnd w:id="278"/>
      <w:bookmarkEnd w:id="279"/>
      <w:bookmarkEnd w:id="280"/>
      <w:bookmarkEnd w:id="281"/>
      <w:bookmarkEnd w:id="282"/>
      <w:bookmarkEnd w:id="283"/>
      <w:bookmarkStart w:id="284" w:name="_Toc30192"/>
      <w:bookmarkStart w:id="285" w:name="_Toc1087"/>
      <w:bookmarkStart w:id="286" w:name="_Toc3947"/>
      <w:r>
        <w:rPr>
          <w:rFonts w:hint="eastAsia" w:ascii="宋体" w:hAnsi="宋体" w:cs="宋体"/>
          <w:b/>
          <w:color w:val="auto"/>
          <w:sz w:val="28"/>
          <w:szCs w:val="28"/>
          <w:highlight w:val="none"/>
        </w:rPr>
        <w:t>一、货物需求一览表</w:t>
      </w:r>
      <w:bookmarkEnd w:id="284"/>
      <w:bookmarkEnd w:id="285"/>
      <w:bookmarkEnd w:id="286"/>
    </w:p>
    <w:tbl>
      <w:tblPr>
        <w:tblStyle w:val="37"/>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5"/>
        <w:gridCol w:w="872"/>
        <w:gridCol w:w="872"/>
        <w:gridCol w:w="1787"/>
        <w:gridCol w:w="630"/>
        <w:gridCol w:w="1359"/>
        <w:gridCol w:w="1656"/>
        <w:gridCol w:w="1656"/>
      </w:tblGrid>
      <w:tr w14:paraId="08610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8"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5341021E">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bookmarkStart w:id="287" w:name="_Toc139268689"/>
            <w:bookmarkStart w:id="288" w:name="_Toc14014"/>
            <w:bookmarkStart w:id="289" w:name="_Toc13264"/>
            <w:bookmarkStart w:id="290" w:name="_Toc107480863"/>
            <w:bookmarkStart w:id="291" w:name="_Toc4933"/>
            <w:bookmarkStart w:id="292" w:name="_Toc23585"/>
            <w:r>
              <w:rPr>
                <w:rFonts w:hint="eastAsia" w:ascii="宋体" w:hAnsi="宋体" w:eastAsia="宋体" w:cs="宋体"/>
                <w:b/>
                <w:bCs/>
                <w:i w:val="0"/>
                <w:iCs w:val="0"/>
                <w:color w:val="000000"/>
                <w:kern w:val="0"/>
                <w:sz w:val="24"/>
                <w:szCs w:val="24"/>
                <w:highlight w:val="none"/>
                <w:u w:val="none"/>
                <w:lang w:val="en-US" w:eastAsia="zh-CN" w:bidi="ar"/>
              </w:rPr>
              <w:t>序号</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754CC1F4">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标段代码</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27FFF00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是否允许进口</w:t>
            </w:r>
          </w:p>
        </w:tc>
        <w:tc>
          <w:tcPr>
            <w:tcW w:w="928"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7DF069A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项目名称</w:t>
            </w:r>
          </w:p>
        </w:tc>
        <w:tc>
          <w:tcPr>
            <w:tcW w:w="327"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67CADDA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数量</w:t>
            </w:r>
          </w:p>
        </w:tc>
        <w:tc>
          <w:tcPr>
            <w:tcW w:w="706"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45CBA91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计量单位</w:t>
            </w:r>
          </w:p>
        </w:tc>
        <w:tc>
          <w:tcPr>
            <w:tcW w:w="860"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2CA427F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预算单价(元)</w:t>
            </w:r>
          </w:p>
        </w:tc>
        <w:tc>
          <w:tcPr>
            <w:tcW w:w="860"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3FB8D614">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cs="宋体"/>
                <w:b/>
                <w:bCs/>
                <w:i w:val="0"/>
                <w:iCs w:val="0"/>
                <w:color w:val="000000"/>
                <w:kern w:val="0"/>
                <w:sz w:val="24"/>
                <w:szCs w:val="24"/>
                <w:highlight w:val="none"/>
                <w:u w:val="none"/>
                <w:lang w:val="en-US" w:eastAsia="zh-CN" w:bidi="ar"/>
              </w:rPr>
              <w:t>最高单价限价</w:t>
            </w:r>
            <w:r>
              <w:rPr>
                <w:rFonts w:hint="eastAsia" w:ascii="宋体" w:hAnsi="宋体" w:eastAsia="宋体" w:cs="宋体"/>
                <w:b/>
                <w:bCs/>
                <w:i w:val="0"/>
                <w:iCs w:val="0"/>
                <w:color w:val="000000"/>
                <w:kern w:val="0"/>
                <w:sz w:val="24"/>
                <w:szCs w:val="24"/>
                <w:highlight w:val="none"/>
                <w:u w:val="none"/>
                <w:lang w:val="en-US" w:eastAsia="zh-CN" w:bidi="ar"/>
              </w:rPr>
              <w:t>(元)</w:t>
            </w:r>
          </w:p>
        </w:tc>
      </w:tr>
      <w:tr w14:paraId="2AA38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08"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59BE3BB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1</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02B3F29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1</w:t>
            </w:r>
          </w:p>
        </w:tc>
        <w:tc>
          <w:tcPr>
            <w:tcW w:w="453" w:type="pct"/>
            <w:tcBorders>
              <w:top w:val="single" w:color="000000" w:sz="4" w:space="0"/>
              <w:left w:val="single" w:color="000000" w:sz="4" w:space="0"/>
              <w:bottom w:val="single" w:color="000000" w:sz="4" w:space="0"/>
              <w:right w:val="single" w:color="000000" w:sz="4" w:space="0"/>
            </w:tcBorders>
            <w:shd w:val="clear" w:color="000000" w:fill="FFFFFF"/>
            <w:vAlign w:val="center"/>
          </w:tcPr>
          <w:p w14:paraId="5DA5A7F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是</w:t>
            </w:r>
          </w:p>
        </w:tc>
        <w:tc>
          <w:tcPr>
            <w:tcW w:w="1787"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60030F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sz w:val="24"/>
                <w:szCs w:val="24"/>
                <w:highlight w:val="none"/>
                <w:u w:val="none"/>
                <w:lang w:val="en-US" w:eastAsia="zh-CN"/>
              </w:rPr>
              <w:t>超声内镜系统</w:t>
            </w:r>
          </w:p>
        </w:tc>
        <w:tc>
          <w:tcPr>
            <w:tcW w:w="63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35FE50D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1</w:t>
            </w:r>
          </w:p>
        </w:tc>
        <w:tc>
          <w:tcPr>
            <w:tcW w:w="1360"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28E7914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lang w:val="en-US" w:eastAsia="zh-CN"/>
              </w:rPr>
              <w:t>套</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101E3ED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2000000</w:t>
            </w:r>
          </w:p>
        </w:tc>
        <w:tc>
          <w:tcPr>
            <w:tcW w:w="1656" w:type="dxa"/>
            <w:tcBorders>
              <w:top w:val="single" w:color="000000" w:sz="4" w:space="0"/>
              <w:left w:val="single" w:color="000000" w:sz="4" w:space="0"/>
              <w:bottom w:val="single" w:color="000000" w:sz="4" w:space="0"/>
              <w:right w:val="single" w:color="000000" w:sz="4" w:space="0"/>
            </w:tcBorders>
            <w:shd w:val="clear" w:color="000000" w:fill="FFFFFF"/>
            <w:vAlign w:val="center"/>
          </w:tcPr>
          <w:p w14:paraId="0C46763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rPr>
              <w:t>2000000</w:t>
            </w:r>
          </w:p>
        </w:tc>
      </w:tr>
    </w:tbl>
    <w:p w14:paraId="0D57916E">
      <w:pPr>
        <w:widowControl w:val="0"/>
        <w:spacing w:line="360" w:lineRule="auto"/>
        <w:ind w:firstLine="482" w:firstLineChars="200"/>
        <w:jc w:val="both"/>
        <w:rPr>
          <w:rFonts w:hint="eastAsia" w:ascii="宋体" w:hAnsi="宋体" w:cs="Arial"/>
          <w:b/>
          <w:color w:val="auto"/>
          <w:sz w:val="24"/>
          <w:highlight w:val="none"/>
        </w:rPr>
      </w:pPr>
      <w:r>
        <w:rPr>
          <w:rFonts w:hint="eastAsia" w:ascii="宋体" w:hAnsi="宋体" w:cs="Arial"/>
          <w:b/>
          <w:color w:val="auto"/>
          <w:sz w:val="24"/>
          <w:highlight w:val="none"/>
        </w:rPr>
        <w:t>核心产品：超声内镜系统。</w:t>
      </w:r>
    </w:p>
    <w:p w14:paraId="0C8E70C4">
      <w:pPr>
        <w:widowControl w:val="0"/>
        <w:spacing w:line="360" w:lineRule="auto"/>
        <w:ind w:firstLine="482" w:firstLineChars="200"/>
        <w:jc w:val="both"/>
        <w:rPr>
          <w:rFonts w:hint="eastAsia" w:ascii="宋体" w:hAnsi="宋体" w:cs="宋体"/>
          <w:color w:val="auto"/>
          <w:kern w:val="2"/>
          <w:sz w:val="24"/>
          <w:szCs w:val="24"/>
          <w:highlight w:val="none"/>
        </w:rPr>
      </w:pPr>
      <w:r>
        <w:rPr>
          <w:rFonts w:hint="eastAsia" w:ascii="宋体" w:hAnsi="宋体" w:cs="Arial"/>
          <w:b/>
          <w:color w:val="auto"/>
          <w:sz w:val="24"/>
          <w:highlight w:val="none"/>
        </w:rPr>
        <w:t>采购标的物所属</w:t>
      </w:r>
      <w:r>
        <w:rPr>
          <w:rFonts w:hint="eastAsia" w:ascii="宋体" w:hAnsi="宋体" w:cs="Arial"/>
          <w:b/>
          <w:color w:val="auto"/>
          <w:sz w:val="24"/>
          <w:highlight w:val="none"/>
          <w:lang w:val="en-US" w:eastAsia="zh-CN"/>
        </w:rPr>
        <w:t>行业</w:t>
      </w:r>
      <w:r>
        <w:rPr>
          <w:rFonts w:hint="eastAsia" w:ascii="宋体" w:hAnsi="宋体" w:cs="Arial"/>
          <w:b/>
          <w:color w:val="auto"/>
          <w:sz w:val="24"/>
          <w:highlight w:val="none"/>
        </w:rPr>
        <w:t>：工业</w:t>
      </w:r>
    </w:p>
    <w:p w14:paraId="3E521EC6">
      <w:pPr>
        <w:widowControl w:val="0"/>
        <w:spacing w:line="360" w:lineRule="auto"/>
        <w:ind w:firstLine="480" w:firstLineChars="200"/>
        <w:jc w:val="both"/>
        <w:rPr>
          <w:rFonts w:hint="eastAsia" w:ascii="宋体" w:hAnsi="宋体" w:cs="宋体"/>
          <w:color w:val="auto"/>
          <w:kern w:val="2"/>
          <w:sz w:val="24"/>
          <w:szCs w:val="24"/>
          <w:highlight w:val="none"/>
        </w:rPr>
      </w:pPr>
      <w:r>
        <w:rPr>
          <w:rFonts w:hint="eastAsia" w:ascii="宋体" w:hAnsi="宋体" w:cs="宋体"/>
          <w:color w:val="auto"/>
          <w:kern w:val="2"/>
          <w:sz w:val="24"/>
          <w:szCs w:val="24"/>
          <w:highlight w:val="none"/>
        </w:rPr>
        <w:t>注：本次招标允许进口产品投标。进口产品是指通过中国海关报关验放进入中国境内且产自关境外的产品。</w:t>
      </w:r>
    </w:p>
    <w:p w14:paraId="22A9B126">
      <w:pPr>
        <w:adjustRightInd w:val="0"/>
        <w:snapToGrid w:val="0"/>
        <w:spacing w:line="360" w:lineRule="auto"/>
        <w:rPr>
          <w:rFonts w:ascii="宋体" w:hAnsi="宋体"/>
          <w:color w:val="auto"/>
          <w:sz w:val="24"/>
          <w:highlight w:val="none"/>
        </w:rPr>
      </w:pPr>
      <w:r>
        <w:rPr>
          <w:rFonts w:hint="eastAsia" w:ascii="宋体" w:hAnsi="宋体"/>
          <w:color w:val="auto"/>
          <w:sz w:val="24"/>
          <w:highlight w:val="none"/>
        </w:rPr>
        <w:t>说明：</w:t>
      </w:r>
    </w:p>
    <w:p w14:paraId="45280BBF">
      <w:pPr>
        <w:widowControl w:val="0"/>
        <w:spacing w:line="360" w:lineRule="auto"/>
        <w:ind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1.各投标人必须对招标文件</w:t>
      </w:r>
      <w:r>
        <w:rPr>
          <w:rFonts w:hint="eastAsia" w:ascii="宋体" w:hAnsi="宋体" w:cs="宋体"/>
          <w:color w:val="auto"/>
          <w:kern w:val="2"/>
          <w:sz w:val="24"/>
          <w:szCs w:val="24"/>
          <w:highlight w:val="none"/>
          <w:lang w:eastAsia="zh-CN"/>
        </w:rPr>
        <w:t>第六章《招标内容及要求》</w:t>
      </w:r>
      <w:r>
        <w:rPr>
          <w:rFonts w:hint="eastAsia" w:ascii="宋体" w:hAnsi="宋体" w:eastAsia="宋体" w:cs="宋体"/>
          <w:color w:val="auto"/>
          <w:kern w:val="2"/>
          <w:sz w:val="24"/>
          <w:szCs w:val="24"/>
          <w:highlight w:val="none"/>
        </w:rPr>
        <w:t>中的技术要求，逐条作出全面、真实的反映，除如实填写技术规格偏离表外，投标文件中必须提供技术支持资料支持参数技术规格偏离表应答（如投标产品公开发布的技术白皮书或检测报告或彩页资料等，技术参数要求中有明确要求的，以技术参数要求中规定为准）。若投标文件中技术支持资料参数与技术规格偏离表应答不符，以技术支持资料为准；若无技术支持资料导致评标委员会无法判断的，评标委员会可认定为不响应该条技术参数要求。若出现制造商公开发布的技术白皮书、检测报告、彩页资料等技术证明文件中，同一技术参数或指标互相矛盾，视为该项技术参数不响应招标文件要求。</w:t>
      </w:r>
    </w:p>
    <w:p w14:paraId="41A56237">
      <w:pPr>
        <w:snapToGrid w:val="0"/>
        <w:spacing w:line="360" w:lineRule="auto"/>
        <w:ind w:firstLine="437"/>
        <w:rPr>
          <w:rFonts w:hint="eastAsia" w:ascii="宋体" w:hAnsi="宋体"/>
          <w:color w:val="auto"/>
          <w:sz w:val="24"/>
          <w:highlight w:val="none"/>
        </w:rPr>
      </w:pPr>
      <w:r>
        <w:rPr>
          <w:rFonts w:hint="eastAsia" w:ascii="宋体" w:hAnsi="宋体" w:eastAsia="宋体" w:cs="宋体"/>
          <w:color w:val="auto"/>
          <w:sz w:val="24"/>
          <w:szCs w:val="24"/>
          <w:highlight w:val="none"/>
        </w:rPr>
        <w:t>★</w:t>
      </w:r>
      <w:r>
        <w:rPr>
          <w:rFonts w:hint="eastAsia" w:ascii="宋体" w:hAnsi="宋体"/>
          <w:color w:val="auto"/>
          <w:sz w:val="24"/>
          <w:highlight w:val="none"/>
        </w:rPr>
        <w:t>2.投标人必须对所投包内所有产品进行完整报价，不得缺漏，否则按不实质性响应招标文件要求处理。</w:t>
      </w:r>
    </w:p>
    <w:p w14:paraId="637D973F">
      <w:pPr>
        <w:widowControl w:val="0"/>
        <w:spacing w:line="360" w:lineRule="auto"/>
        <w:ind w:firstLine="480" w:firstLineChars="200"/>
        <w:jc w:val="both"/>
        <w:rPr>
          <w:rFonts w:hint="eastAsia" w:hAnsi="宋体" w:cs="宋体"/>
          <w:color w:val="auto"/>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投标人应严格按照《中华人民共和国政府采购法》《中华人民共和国政府采购法实施条例》《政府采购货物和服务招标投标管理办法》(财政部令第87号)等有关法律、法规的规定进行投标，合同签订后采购人将按照中标人投标文件中所投货物、工程或者服务进行验收，一旦发现虚假应标行为，取消该中标人的中标资格、撤销合同，并保留追究其法律责任的权利。</w:t>
      </w:r>
      <w:r>
        <w:rPr>
          <w:rFonts w:hint="eastAsia" w:ascii="宋体" w:hAnsi="宋体" w:cs="宋体"/>
          <w:b/>
          <w:bCs/>
          <w:color w:val="auto"/>
          <w:sz w:val="24"/>
          <w:szCs w:val="24"/>
          <w:highlight w:val="none"/>
        </w:rPr>
        <w:t>验收时，交付的产品必须与投标产品的品牌、型号、规格、技术参数、性能说明、生产厂家等各项内容一致，投标人在投标时务必认真核实并如实填写产品品牌、型号、规格、技术参数、性能说明、生产厂家等各项信息。</w:t>
      </w:r>
    </w:p>
    <w:p w14:paraId="0992C2AE">
      <w:pPr>
        <w:pStyle w:val="9"/>
        <w:rPr>
          <w:rFonts w:hint="eastAsia" w:hAnsi="宋体" w:cs="宋体"/>
          <w:color w:val="auto"/>
          <w:highlight w:val="none"/>
        </w:rPr>
        <w:sectPr>
          <w:headerReference r:id="rId11" w:type="default"/>
          <w:footerReference r:id="rId12" w:type="default"/>
          <w:pgSz w:w="11906" w:h="16838"/>
          <w:pgMar w:top="1191" w:right="1191" w:bottom="1191" w:left="1304" w:header="851" w:footer="992" w:gutter="0"/>
          <w:pgNumType w:fmt="numberInDash"/>
          <w:cols w:space="720" w:num="1"/>
          <w:docGrid w:type="lines" w:linePitch="317" w:charSpace="0"/>
        </w:sectPr>
      </w:pPr>
    </w:p>
    <w:p w14:paraId="730AEA21">
      <w:pPr>
        <w:widowControl/>
        <w:tabs>
          <w:tab w:val="left" w:pos="1470"/>
        </w:tabs>
        <w:adjustRightInd/>
        <w:spacing w:line="360" w:lineRule="auto"/>
        <w:ind w:left="1079" w:leftChars="257" w:hanging="539"/>
        <w:jc w:val="center"/>
        <w:outlineLvl w:val="1"/>
        <w:rPr>
          <w:rFonts w:hint="eastAsia" w:ascii="Times New Roman" w:hAnsi="Times New Roman" w:eastAsia="宋体" w:cs="Times New Roman"/>
          <w:b/>
          <w:bCs/>
          <w:color w:val="auto"/>
          <w:sz w:val="28"/>
          <w:szCs w:val="28"/>
          <w:highlight w:val="none"/>
          <w:lang w:val="en-US" w:eastAsia="zh-CN"/>
        </w:rPr>
      </w:pPr>
      <w:bookmarkStart w:id="293" w:name="_Toc27506"/>
      <w:bookmarkStart w:id="294" w:name="_Toc32585"/>
      <w:bookmarkStart w:id="295" w:name="_Toc17159"/>
      <w:r>
        <w:rPr>
          <w:rFonts w:hint="eastAsia" w:ascii="Times New Roman" w:hAnsi="Times New Roman" w:eastAsia="宋体" w:cs="Times New Roman"/>
          <w:b/>
          <w:bCs/>
          <w:color w:val="auto"/>
          <w:sz w:val="28"/>
          <w:szCs w:val="28"/>
          <w:highlight w:val="none"/>
          <w:lang w:val="en-US" w:eastAsia="zh-CN"/>
        </w:rPr>
        <w:t>二、技术</w:t>
      </w:r>
      <w:bookmarkEnd w:id="287"/>
      <w:bookmarkEnd w:id="288"/>
      <w:bookmarkEnd w:id="289"/>
      <w:bookmarkEnd w:id="290"/>
      <w:bookmarkEnd w:id="291"/>
      <w:bookmarkEnd w:id="292"/>
      <w:bookmarkEnd w:id="293"/>
      <w:bookmarkEnd w:id="294"/>
      <w:r>
        <w:rPr>
          <w:rFonts w:hint="eastAsia" w:ascii="Times New Roman" w:hAnsi="Times New Roman" w:eastAsia="宋体" w:cs="Times New Roman"/>
          <w:b/>
          <w:bCs/>
          <w:color w:val="auto"/>
          <w:sz w:val="28"/>
          <w:szCs w:val="28"/>
          <w:highlight w:val="none"/>
          <w:lang w:val="en-US" w:eastAsia="zh-CN"/>
        </w:rPr>
        <w:t>要求</w:t>
      </w:r>
      <w:bookmarkEnd w:id="295"/>
    </w:p>
    <w:tbl>
      <w:tblPr>
        <w:tblStyle w:val="37"/>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6212"/>
        <w:gridCol w:w="1246"/>
        <w:gridCol w:w="1328"/>
      </w:tblGrid>
      <w:tr w14:paraId="6D7A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vMerge w:val="restart"/>
            <w:shd w:val="clear" w:color="auto" w:fill="auto"/>
            <w:vAlign w:val="center"/>
          </w:tcPr>
          <w:p w14:paraId="0A22EE53">
            <w:pPr>
              <w:widowControl/>
              <w:jc w:val="center"/>
              <w:rPr>
                <w:rFonts w:hint="eastAsia" w:ascii="宋体" w:hAnsi="宋体" w:eastAsia="宋体" w:cs="宋体"/>
                <w:b/>
                <w:bCs/>
                <w:color w:val="auto"/>
                <w:kern w:val="0"/>
                <w:sz w:val="24"/>
                <w:szCs w:val="24"/>
                <w:highlight w:val="none"/>
              </w:rPr>
            </w:pPr>
            <w:bookmarkStart w:id="296" w:name="_Hlk147672484"/>
            <w:bookmarkStart w:id="297" w:name="_Hlk158197695"/>
            <w:bookmarkStart w:id="298" w:name="OLE_LINK1"/>
            <w:r>
              <w:rPr>
                <w:rFonts w:hint="eastAsia" w:ascii="宋体" w:hAnsi="宋体" w:eastAsia="宋体" w:cs="宋体"/>
                <w:b/>
                <w:bCs/>
                <w:color w:val="auto"/>
                <w:kern w:val="0"/>
                <w:sz w:val="24"/>
                <w:szCs w:val="24"/>
                <w:highlight w:val="none"/>
              </w:rPr>
              <w:t>序号</w:t>
            </w:r>
          </w:p>
        </w:tc>
        <w:tc>
          <w:tcPr>
            <w:tcW w:w="3256" w:type="pct"/>
            <w:vMerge w:val="restart"/>
            <w:shd w:val="clear" w:color="auto" w:fill="auto"/>
            <w:vAlign w:val="center"/>
          </w:tcPr>
          <w:p w14:paraId="72BA66F9">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技术参数要求</w:t>
            </w:r>
          </w:p>
        </w:tc>
        <w:tc>
          <w:tcPr>
            <w:tcW w:w="653" w:type="pct"/>
            <w:vMerge w:val="restart"/>
            <w:shd w:val="clear" w:color="auto" w:fill="auto"/>
            <w:vAlign w:val="center"/>
          </w:tcPr>
          <w:p w14:paraId="49F0EF02">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分值（总分50分）</w:t>
            </w:r>
          </w:p>
        </w:tc>
        <w:tc>
          <w:tcPr>
            <w:tcW w:w="696" w:type="pct"/>
            <w:vMerge w:val="restart"/>
            <w:shd w:val="clear" w:color="auto" w:fill="auto"/>
            <w:vAlign w:val="center"/>
          </w:tcPr>
          <w:p w14:paraId="0AB9EF02">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评分标准</w:t>
            </w:r>
          </w:p>
        </w:tc>
      </w:tr>
      <w:bookmarkEnd w:id="296"/>
      <w:tr w14:paraId="57C2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3" w:type="pct"/>
            <w:vMerge w:val="continue"/>
            <w:shd w:val="clear" w:color="auto" w:fill="auto"/>
            <w:vAlign w:val="center"/>
          </w:tcPr>
          <w:p w14:paraId="4B334417">
            <w:pPr>
              <w:widowControl/>
              <w:jc w:val="left"/>
              <w:rPr>
                <w:rFonts w:hint="eastAsia" w:ascii="宋体" w:hAnsi="宋体" w:eastAsia="宋体" w:cs="宋体"/>
                <w:color w:val="auto"/>
                <w:kern w:val="0"/>
                <w:sz w:val="24"/>
                <w:szCs w:val="24"/>
                <w:highlight w:val="none"/>
              </w:rPr>
            </w:pPr>
          </w:p>
        </w:tc>
        <w:tc>
          <w:tcPr>
            <w:tcW w:w="3256" w:type="pct"/>
            <w:vMerge w:val="continue"/>
            <w:shd w:val="clear" w:color="auto" w:fill="auto"/>
            <w:vAlign w:val="center"/>
          </w:tcPr>
          <w:p w14:paraId="5E9D87ED">
            <w:pPr>
              <w:widowControl/>
              <w:jc w:val="left"/>
              <w:rPr>
                <w:rFonts w:hint="eastAsia" w:ascii="宋体" w:hAnsi="宋体" w:eastAsia="宋体" w:cs="宋体"/>
                <w:color w:val="auto"/>
                <w:kern w:val="0"/>
                <w:sz w:val="24"/>
                <w:szCs w:val="24"/>
                <w:highlight w:val="none"/>
              </w:rPr>
            </w:pPr>
          </w:p>
        </w:tc>
        <w:tc>
          <w:tcPr>
            <w:tcW w:w="653" w:type="pct"/>
            <w:vMerge w:val="continue"/>
            <w:shd w:val="clear" w:color="auto" w:fill="auto"/>
            <w:vAlign w:val="center"/>
          </w:tcPr>
          <w:p w14:paraId="607ED895">
            <w:pPr>
              <w:widowControl/>
              <w:jc w:val="left"/>
              <w:rPr>
                <w:rFonts w:hint="eastAsia" w:ascii="宋体" w:hAnsi="宋体" w:eastAsia="宋体" w:cs="宋体"/>
                <w:color w:val="auto"/>
                <w:kern w:val="0"/>
                <w:sz w:val="24"/>
                <w:szCs w:val="24"/>
                <w:highlight w:val="none"/>
              </w:rPr>
            </w:pPr>
          </w:p>
        </w:tc>
        <w:tc>
          <w:tcPr>
            <w:tcW w:w="696" w:type="pct"/>
            <w:vMerge w:val="continue"/>
            <w:shd w:val="clear" w:color="auto" w:fill="auto"/>
            <w:vAlign w:val="center"/>
          </w:tcPr>
          <w:p w14:paraId="4F6703E7">
            <w:pPr>
              <w:widowControl/>
              <w:jc w:val="left"/>
              <w:rPr>
                <w:rFonts w:hint="eastAsia" w:ascii="宋体" w:hAnsi="宋体" w:eastAsia="宋体" w:cs="宋体"/>
                <w:color w:val="auto"/>
                <w:kern w:val="0"/>
                <w:sz w:val="24"/>
                <w:szCs w:val="24"/>
                <w:highlight w:val="none"/>
              </w:rPr>
            </w:pPr>
          </w:p>
        </w:tc>
      </w:tr>
      <w:tr w14:paraId="3AAB0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393" w:type="pct"/>
            <w:shd w:val="clear" w:color="auto" w:fill="auto"/>
            <w:vAlign w:val="center"/>
          </w:tcPr>
          <w:p w14:paraId="4F0E997B">
            <w:pPr>
              <w:widowControl/>
              <w:jc w:val="center"/>
              <w:rPr>
                <w:rFonts w:hint="eastAsia" w:ascii="宋体" w:hAnsi="宋体" w:eastAsia="宋体" w:cs="宋体"/>
                <w:color w:val="000000"/>
                <w:kern w:val="0"/>
                <w:sz w:val="21"/>
                <w:szCs w:val="21"/>
                <w:highlight w:val="none"/>
                <w:lang w:val="en-US" w:eastAsia="zh-CN" w:bidi="ar-SA"/>
              </w:rPr>
            </w:pPr>
            <w:bookmarkStart w:id="299" w:name="_Hlk158141403"/>
            <w:r>
              <w:rPr>
                <w:rFonts w:hint="eastAsia" w:ascii="宋体" w:hAnsi="宋体" w:eastAsia="宋体" w:cs="宋体"/>
                <w:color w:val="000000"/>
                <w:kern w:val="0"/>
                <w:sz w:val="21"/>
                <w:szCs w:val="21"/>
                <w:highlight w:val="none"/>
                <w:lang w:val="en-US" w:eastAsia="zh-CN"/>
              </w:rPr>
              <w:t>1.</w:t>
            </w:r>
          </w:p>
        </w:tc>
        <w:tc>
          <w:tcPr>
            <w:tcW w:w="4606" w:type="pct"/>
            <w:gridSpan w:val="3"/>
            <w:shd w:val="clear" w:color="auto" w:fill="auto"/>
            <w:vAlign w:val="center"/>
          </w:tcPr>
          <w:p w14:paraId="24321A9E">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b/>
                <w:bCs/>
                <w:kern w:val="0"/>
                <w:sz w:val="21"/>
                <w:szCs w:val="21"/>
                <w:highlight w:val="none"/>
                <w:lang w:val="en-US" w:eastAsia="zh-CN" w:bidi="ar"/>
              </w:rPr>
              <w:t>超声小探头：</w:t>
            </w:r>
          </w:p>
        </w:tc>
      </w:tr>
      <w:tr w14:paraId="7436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70D401E4">
            <w:pPr>
              <w:widowControl/>
              <w:jc w:val="center"/>
              <w:rPr>
                <w:rFonts w:hint="eastAsia" w:ascii="宋体" w:hAnsi="宋体" w:eastAsia="宋体" w:cs="宋体"/>
                <w:color w:val="000000"/>
                <w:kern w:val="0"/>
                <w:sz w:val="21"/>
                <w:szCs w:val="21"/>
                <w:highlight w:val="none"/>
                <w:lang w:val="en-US" w:eastAsia="zh-CN" w:bidi="ar-SA"/>
              </w:rPr>
            </w:pPr>
            <w:bookmarkStart w:id="300" w:name="OLE_LINK9" w:colFirst="5" w:colLast="5"/>
            <w:bookmarkStart w:id="301" w:name="OLE_LINK8" w:colFirst="2" w:colLast="2"/>
            <w:bookmarkStart w:id="302" w:name="OLE_LINK6" w:colFirst="2" w:colLast="2"/>
            <w:bookmarkStart w:id="303" w:name="OLE_LINK10" w:colFirst="7" w:colLast="7"/>
            <w:r>
              <w:rPr>
                <w:rFonts w:hint="eastAsia" w:ascii="宋体" w:hAnsi="宋体" w:eastAsia="宋体" w:cs="宋体"/>
                <w:color w:val="000000"/>
                <w:kern w:val="0"/>
                <w:sz w:val="21"/>
                <w:szCs w:val="21"/>
                <w:highlight w:val="none"/>
                <w:lang w:val="en-US" w:eastAsia="zh-CN"/>
              </w:rPr>
              <w:t>1.1</w:t>
            </w:r>
          </w:p>
        </w:tc>
        <w:tc>
          <w:tcPr>
            <w:tcW w:w="3256" w:type="pct"/>
            <w:shd w:val="clear" w:color="auto" w:fill="auto"/>
            <w:vAlign w:val="center"/>
          </w:tcPr>
          <w:p w14:paraId="4AEA07E0">
            <w:pPr>
              <w:widowControl/>
              <w:jc w:val="left"/>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扫描方式机械环形扫描</w:t>
            </w:r>
          </w:p>
        </w:tc>
        <w:tc>
          <w:tcPr>
            <w:tcW w:w="653" w:type="pct"/>
            <w:shd w:val="clear" w:color="auto" w:fill="auto"/>
            <w:vAlign w:val="center"/>
          </w:tcPr>
          <w:p w14:paraId="06D93240">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rPr>
              <w:t>4</w:t>
            </w:r>
          </w:p>
        </w:tc>
        <w:tc>
          <w:tcPr>
            <w:tcW w:w="696" w:type="pct"/>
            <w:shd w:val="clear" w:color="auto" w:fill="auto"/>
            <w:vAlign w:val="center"/>
          </w:tcPr>
          <w:p w14:paraId="5EA65155">
            <w:pPr>
              <w:widowControl/>
              <w:jc w:val="left"/>
              <w:rPr>
                <w:rFonts w:hint="eastAsia" w:ascii="宋体" w:hAnsi="宋体" w:eastAsia="宋体" w:cs="宋体"/>
                <w:kern w:val="0"/>
                <w:sz w:val="21"/>
                <w:szCs w:val="21"/>
                <w:highlight w:val="none"/>
                <w:lang w:val="en-US" w:eastAsia="zh-CN" w:bidi="ar"/>
              </w:rPr>
            </w:pPr>
            <w:r>
              <w:rPr>
                <w:rFonts w:hint="eastAsia" w:ascii="宋体" w:hAnsi="宋体" w:eastAsia="宋体" w:cs="宋体"/>
                <w:color w:val="000000"/>
                <w:sz w:val="21"/>
                <w:szCs w:val="21"/>
                <w:highlight w:val="none"/>
              </w:rPr>
              <w:t>满足得分，不满足不得分</w:t>
            </w:r>
          </w:p>
        </w:tc>
      </w:tr>
      <w:tr w14:paraId="2054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2ADEECF2">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1.2</w:t>
            </w:r>
          </w:p>
        </w:tc>
        <w:tc>
          <w:tcPr>
            <w:tcW w:w="3256" w:type="pct"/>
            <w:shd w:val="clear" w:color="auto" w:fill="auto"/>
            <w:vAlign w:val="center"/>
          </w:tcPr>
          <w:p w14:paraId="797AC4C5">
            <w:pPr>
              <w:widowControl/>
              <w:jc w:val="left"/>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扫面方向：垂直于插入方向</w:t>
            </w:r>
          </w:p>
        </w:tc>
        <w:tc>
          <w:tcPr>
            <w:tcW w:w="653" w:type="pct"/>
            <w:shd w:val="clear" w:color="auto" w:fill="auto"/>
            <w:vAlign w:val="center"/>
          </w:tcPr>
          <w:p w14:paraId="6CE7DA80">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3</w:t>
            </w:r>
          </w:p>
        </w:tc>
        <w:tc>
          <w:tcPr>
            <w:tcW w:w="696" w:type="pct"/>
            <w:shd w:val="clear" w:color="auto" w:fill="auto"/>
            <w:vAlign w:val="center"/>
          </w:tcPr>
          <w:p w14:paraId="0D6DC42D">
            <w:pPr>
              <w:widowControl/>
              <w:jc w:val="left"/>
              <w:rPr>
                <w:rFonts w:hint="eastAsia" w:ascii="宋体" w:hAnsi="宋体" w:eastAsia="宋体" w:cs="宋体"/>
                <w:kern w:val="0"/>
                <w:sz w:val="21"/>
                <w:szCs w:val="21"/>
                <w:highlight w:val="none"/>
                <w:lang w:val="en-US" w:eastAsia="zh-CN" w:bidi="ar"/>
              </w:rPr>
            </w:pPr>
            <w:r>
              <w:rPr>
                <w:rFonts w:hint="eastAsia" w:ascii="宋体" w:hAnsi="宋体" w:eastAsia="宋体" w:cs="宋体"/>
                <w:color w:val="000000"/>
                <w:sz w:val="21"/>
                <w:szCs w:val="21"/>
                <w:highlight w:val="none"/>
              </w:rPr>
              <w:t>满足得分，不满足不得分</w:t>
            </w:r>
          </w:p>
        </w:tc>
      </w:tr>
      <w:tr w14:paraId="1379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4411503E">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1.3</w:t>
            </w:r>
          </w:p>
        </w:tc>
        <w:tc>
          <w:tcPr>
            <w:tcW w:w="3256" w:type="pct"/>
            <w:shd w:val="clear" w:color="auto" w:fill="auto"/>
            <w:vAlign w:val="center"/>
          </w:tcPr>
          <w:p w14:paraId="7C88A3E2">
            <w:pPr>
              <w:widowControl/>
              <w:jc w:val="left"/>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超声频率≥12MHz</w:t>
            </w:r>
          </w:p>
        </w:tc>
        <w:tc>
          <w:tcPr>
            <w:tcW w:w="653" w:type="pct"/>
            <w:shd w:val="clear" w:color="auto" w:fill="auto"/>
            <w:vAlign w:val="center"/>
          </w:tcPr>
          <w:p w14:paraId="7C0E73A3">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rPr>
              <w:t>5</w:t>
            </w:r>
          </w:p>
        </w:tc>
        <w:tc>
          <w:tcPr>
            <w:tcW w:w="696" w:type="pct"/>
            <w:shd w:val="clear" w:color="auto" w:fill="auto"/>
            <w:vAlign w:val="center"/>
          </w:tcPr>
          <w:p w14:paraId="05918E3A">
            <w:pPr>
              <w:widowControl/>
              <w:jc w:val="left"/>
              <w:rPr>
                <w:rFonts w:hint="eastAsia" w:ascii="宋体" w:hAnsi="宋体" w:eastAsia="宋体" w:cs="宋体"/>
                <w:kern w:val="0"/>
                <w:sz w:val="21"/>
                <w:szCs w:val="21"/>
                <w:highlight w:val="none"/>
                <w:lang w:val="en-US" w:eastAsia="zh-CN" w:bidi="ar"/>
              </w:rPr>
            </w:pPr>
            <w:r>
              <w:rPr>
                <w:rFonts w:hint="eastAsia" w:ascii="宋体" w:hAnsi="宋体" w:eastAsia="宋体" w:cs="宋体"/>
                <w:color w:val="000000"/>
                <w:sz w:val="21"/>
                <w:szCs w:val="21"/>
                <w:highlight w:val="none"/>
              </w:rPr>
              <w:t>满足得分，不满足不得分</w:t>
            </w:r>
          </w:p>
        </w:tc>
      </w:tr>
      <w:tr w14:paraId="1624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184DBC76">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1.4</w:t>
            </w:r>
          </w:p>
        </w:tc>
        <w:tc>
          <w:tcPr>
            <w:tcW w:w="3256" w:type="pct"/>
            <w:shd w:val="clear" w:color="auto" w:fill="auto"/>
            <w:vAlign w:val="center"/>
          </w:tcPr>
          <w:p w14:paraId="12EF1F95">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
              </w:rPr>
              <w:t>所有插入部直径≤2.8mm</w:t>
            </w:r>
          </w:p>
        </w:tc>
        <w:tc>
          <w:tcPr>
            <w:tcW w:w="653" w:type="pct"/>
            <w:shd w:val="clear" w:color="auto" w:fill="auto"/>
            <w:vAlign w:val="center"/>
          </w:tcPr>
          <w:p w14:paraId="5B6B1980">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bidi="ar-SA"/>
              </w:rPr>
              <w:t>5</w:t>
            </w:r>
          </w:p>
        </w:tc>
        <w:tc>
          <w:tcPr>
            <w:tcW w:w="696" w:type="pct"/>
            <w:shd w:val="clear" w:color="auto" w:fill="auto"/>
            <w:vAlign w:val="center"/>
          </w:tcPr>
          <w:p w14:paraId="01E5C9D5">
            <w:pPr>
              <w:widowControl/>
              <w:jc w:val="left"/>
              <w:rPr>
                <w:rFonts w:hint="eastAsia" w:ascii="宋体" w:hAnsi="宋体" w:eastAsia="宋体" w:cs="宋体"/>
                <w:kern w:val="0"/>
                <w:sz w:val="21"/>
                <w:szCs w:val="21"/>
                <w:highlight w:val="none"/>
                <w:lang w:val="en-US" w:eastAsia="zh-CN" w:bidi="ar"/>
              </w:rPr>
            </w:pPr>
            <w:r>
              <w:rPr>
                <w:rFonts w:hint="eastAsia" w:ascii="宋体" w:hAnsi="宋体" w:eastAsia="宋体" w:cs="宋体"/>
                <w:color w:val="000000"/>
                <w:sz w:val="21"/>
                <w:szCs w:val="21"/>
                <w:highlight w:val="none"/>
              </w:rPr>
              <w:t>满足得分，不满足不得分</w:t>
            </w:r>
          </w:p>
        </w:tc>
      </w:tr>
      <w:tr w14:paraId="71D2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7F80AA9D">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1.5</w:t>
            </w:r>
          </w:p>
        </w:tc>
        <w:tc>
          <w:tcPr>
            <w:tcW w:w="3256" w:type="pct"/>
            <w:shd w:val="clear" w:color="auto" w:fill="auto"/>
            <w:vAlign w:val="center"/>
          </w:tcPr>
          <w:p w14:paraId="6C86A882">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
              </w:rPr>
              <w:t>有效长度≥2050mm</w:t>
            </w:r>
          </w:p>
        </w:tc>
        <w:tc>
          <w:tcPr>
            <w:tcW w:w="653" w:type="pct"/>
            <w:shd w:val="clear" w:color="auto" w:fill="auto"/>
            <w:vAlign w:val="center"/>
          </w:tcPr>
          <w:p w14:paraId="66590D58">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5</w:t>
            </w:r>
          </w:p>
        </w:tc>
        <w:tc>
          <w:tcPr>
            <w:tcW w:w="696" w:type="pct"/>
            <w:shd w:val="clear" w:color="auto" w:fill="auto"/>
            <w:vAlign w:val="center"/>
          </w:tcPr>
          <w:p w14:paraId="08D3BDE3">
            <w:pPr>
              <w:widowControl/>
              <w:jc w:val="left"/>
              <w:rPr>
                <w:rFonts w:hint="eastAsia" w:ascii="宋体" w:hAnsi="宋体" w:eastAsia="宋体" w:cs="宋体"/>
                <w:kern w:val="0"/>
                <w:sz w:val="21"/>
                <w:szCs w:val="21"/>
                <w:highlight w:val="none"/>
                <w:lang w:val="en-US" w:eastAsia="zh-CN" w:bidi="ar"/>
              </w:rPr>
            </w:pPr>
            <w:r>
              <w:rPr>
                <w:rFonts w:hint="eastAsia" w:ascii="宋体" w:hAnsi="宋体" w:eastAsia="宋体" w:cs="宋体"/>
                <w:color w:val="000000"/>
                <w:sz w:val="21"/>
                <w:szCs w:val="21"/>
                <w:highlight w:val="none"/>
              </w:rPr>
              <w:t>满足得分，不满足不得分</w:t>
            </w:r>
          </w:p>
        </w:tc>
      </w:tr>
      <w:tr w14:paraId="0DEC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449D5590">
            <w:pPr>
              <w:widowControl/>
              <w:jc w:val="center"/>
              <w:rPr>
                <w:rFonts w:hint="eastAsia" w:ascii="Times New Roman" w:hAnsi="Times New Roman" w:eastAsia="宋体" w:cs="Times New Roman"/>
                <w:b/>
                <w:bCs/>
                <w:color w:val="000000"/>
                <w:sz w:val="24"/>
                <w:szCs w:val="21"/>
                <w:highlight w:val="none"/>
                <w:lang w:val="en-US" w:eastAsia="zh-CN" w:bidi="ar-SA"/>
              </w:rPr>
            </w:pPr>
            <w:r>
              <w:rPr>
                <w:rFonts w:hint="eastAsia"/>
                <w:b/>
                <w:bCs/>
                <w:color w:val="000000"/>
                <w:sz w:val="24"/>
                <w:highlight w:val="none"/>
                <w:lang w:val="en-US" w:eastAsia="zh-CN"/>
              </w:rPr>
              <w:t>2.</w:t>
            </w:r>
          </w:p>
        </w:tc>
        <w:tc>
          <w:tcPr>
            <w:tcW w:w="4606" w:type="pct"/>
            <w:gridSpan w:val="3"/>
            <w:shd w:val="clear" w:color="auto" w:fill="auto"/>
            <w:vAlign w:val="center"/>
          </w:tcPr>
          <w:p w14:paraId="276F4C3A">
            <w:pPr>
              <w:widowControl/>
              <w:jc w:val="left"/>
              <w:rPr>
                <w:rFonts w:hint="eastAsia" w:ascii="Times New Roman" w:hAnsi="Times New Roman" w:eastAsia="宋体" w:cs="Times New Roman"/>
                <w:b/>
                <w:bCs/>
                <w:color w:val="000000"/>
                <w:sz w:val="24"/>
                <w:szCs w:val="21"/>
                <w:highlight w:val="none"/>
                <w:lang w:val="en-US" w:eastAsia="zh-CN" w:bidi="ar-SA"/>
              </w:rPr>
            </w:pPr>
            <w:r>
              <w:rPr>
                <w:rFonts w:hint="eastAsia"/>
                <w:b/>
                <w:bCs/>
                <w:color w:val="000000"/>
                <w:sz w:val="24"/>
                <w:highlight w:val="none"/>
              </w:rPr>
              <w:t>电子上消化道内窥镜技术参数要求（治疗镜）：</w:t>
            </w:r>
          </w:p>
        </w:tc>
      </w:tr>
      <w:tr w14:paraId="293F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7429A3CD">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2.1</w:t>
            </w:r>
          </w:p>
        </w:tc>
        <w:tc>
          <w:tcPr>
            <w:tcW w:w="3256" w:type="pct"/>
            <w:shd w:val="clear" w:color="auto" w:fill="auto"/>
            <w:vAlign w:val="center"/>
          </w:tcPr>
          <w:p w14:paraId="69C08756">
            <w:pPr>
              <w:widowControl/>
              <w:jc w:val="left"/>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rPr>
              <w:t>成像芯片为高清晰实现≥1080P逐行扫描的图像输出</w:t>
            </w:r>
          </w:p>
        </w:tc>
        <w:tc>
          <w:tcPr>
            <w:tcW w:w="653" w:type="pct"/>
            <w:shd w:val="clear" w:color="auto" w:fill="auto"/>
            <w:vAlign w:val="center"/>
          </w:tcPr>
          <w:p w14:paraId="385BA3AD">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696" w:type="pct"/>
            <w:shd w:val="clear" w:color="auto" w:fill="auto"/>
            <w:vAlign w:val="center"/>
          </w:tcPr>
          <w:p w14:paraId="1422FEB4">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rPr>
              <w:t>满足得分，不满足不得分</w:t>
            </w:r>
          </w:p>
        </w:tc>
      </w:tr>
      <w:tr w14:paraId="71A6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463B6897">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2.2</w:t>
            </w:r>
          </w:p>
        </w:tc>
        <w:tc>
          <w:tcPr>
            <w:tcW w:w="3256" w:type="pct"/>
            <w:shd w:val="clear" w:color="auto" w:fill="auto"/>
            <w:vAlign w:val="center"/>
          </w:tcPr>
          <w:p w14:paraId="57056692">
            <w:pPr>
              <w:widowControl/>
              <w:jc w:val="left"/>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rPr>
              <w:t>镜身带副送管，可匹配内镜专用送水装置；</w:t>
            </w:r>
          </w:p>
        </w:tc>
        <w:tc>
          <w:tcPr>
            <w:tcW w:w="653" w:type="pct"/>
            <w:shd w:val="clear" w:color="auto" w:fill="auto"/>
            <w:vAlign w:val="center"/>
          </w:tcPr>
          <w:p w14:paraId="338F44E4">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696" w:type="pct"/>
            <w:shd w:val="clear" w:color="auto" w:fill="auto"/>
            <w:vAlign w:val="center"/>
          </w:tcPr>
          <w:p w14:paraId="348E1EBE">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rPr>
              <w:t>满足得分，不满足不得分</w:t>
            </w:r>
          </w:p>
        </w:tc>
      </w:tr>
      <w:tr w14:paraId="23168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1E6FD66E">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2.3</w:t>
            </w:r>
          </w:p>
        </w:tc>
        <w:tc>
          <w:tcPr>
            <w:tcW w:w="3256" w:type="pct"/>
            <w:shd w:val="clear" w:color="auto" w:fill="auto"/>
            <w:vAlign w:val="center"/>
          </w:tcPr>
          <w:p w14:paraId="1F7CA622">
            <w:pPr>
              <w:widowControl/>
              <w:jc w:val="left"/>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rPr>
              <w:t>视野角度为≥140度(0度直视):</w:t>
            </w:r>
            <w:r>
              <w:rPr>
                <w:rFonts w:hint="eastAsia" w:ascii="宋体" w:hAnsi="宋体" w:eastAsia="宋体" w:cs="宋体"/>
                <w:color w:val="000000"/>
                <w:sz w:val="21"/>
                <w:szCs w:val="21"/>
                <w:highlight w:val="none"/>
                <w:lang w:val="en-US" w:eastAsia="zh-CN"/>
              </w:rPr>
              <w:t>景深3-100mm，最小可视距离≤3mm；</w:t>
            </w:r>
            <w:r>
              <w:rPr>
                <w:rFonts w:hint="eastAsia" w:ascii="宋体" w:hAnsi="宋体" w:eastAsia="宋体" w:cs="宋体"/>
                <w:color w:val="000000"/>
                <w:sz w:val="21"/>
                <w:szCs w:val="21"/>
                <w:highlight w:val="none"/>
              </w:rPr>
              <w:t>弯曲角度：上≥210度、下≥</w:t>
            </w:r>
            <w:r>
              <w:rPr>
                <w:rFonts w:hint="eastAsia" w:ascii="宋体" w:hAnsi="宋体" w:eastAsia="宋体" w:cs="宋体"/>
                <w:color w:val="000000"/>
                <w:sz w:val="21"/>
                <w:szCs w:val="21"/>
                <w:highlight w:val="none"/>
                <w:lang w:val="en-US" w:eastAsia="zh-CN"/>
              </w:rPr>
              <w:t>90</w:t>
            </w:r>
            <w:r>
              <w:rPr>
                <w:rFonts w:hint="eastAsia" w:ascii="宋体" w:hAnsi="宋体" w:eastAsia="宋体" w:cs="宋体"/>
                <w:color w:val="000000"/>
                <w:sz w:val="21"/>
                <w:szCs w:val="21"/>
                <w:highlight w:val="none"/>
              </w:rPr>
              <w:t>度、右≥100度、左≥100度；</w:t>
            </w:r>
          </w:p>
        </w:tc>
        <w:tc>
          <w:tcPr>
            <w:tcW w:w="653" w:type="pct"/>
            <w:shd w:val="clear" w:color="auto" w:fill="auto"/>
            <w:vAlign w:val="center"/>
          </w:tcPr>
          <w:p w14:paraId="14704ED5">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5</w:t>
            </w:r>
          </w:p>
        </w:tc>
        <w:tc>
          <w:tcPr>
            <w:tcW w:w="696" w:type="pct"/>
            <w:shd w:val="clear" w:color="auto" w:fill="auto"/>
            <w:vAlign w:val="center"/>
          </w:tcPr>
          <w:p w14:paraId="5D292C6A">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rPr>
              <w:t>满足得分，不满足不得分</w:t>
            </w:r>
          </w:p>
        </w:tc>
      </w:tr>
      <w:tr w14:paraId="2925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6EBE9D89">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2.4</w:t>
            </w:r>
          </w:p>
        </w:tc>
        <w:tc>
          <w:tcPr>
            <w:tcW w:w="3256" w:type="pct"/>
            <w:shd w:val="clear" w:color="auto" w:fill="auto"/>
            <w:vAlign w:val="center"/>
          </w:tcPr>
          <w:p w14:paraId="72510707">
            <w:pPr>
              <w:widowControl/>
              <w:jc w:val="left"/>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先端部外径为≤10.5mm，插入部外径为≤10.8mm,管道内径≥3.2mm</w:t>
            </w:r>
          </w:p>
        </w:tc>
        <w:tc>
          <w:tcPr>
            <w:tcW w:w="653" w:type="pct"/>
            <w:shd w:val="clear" w:color="auto" w:fill="auto"/>
            <w:vAlign w:val="center"/>
          </w:tcPr>
          <w:p w14:paraId="233449F6">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rPr>
              <w:t>5</w:t>
            </w:r>
          </w:p>
        </w:tc>
        <w:tc>
          <w:tcPr>
            <w:tcW w:w="696" w:type="pct"/>
            <w:shd w:val="clear" w:color="auto" w:fill="auto"/>
            <w:vAlign w:val="center"/>
          </w:tcPr>
          <w:p w14:paraId="36F02268">
            <w:pPr>
              <w:widowControl/>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rPr>
              <w:t>满足得分，不满足不得分</w:t>
            </w:r>
          </w:p>
        </w:tc>
      </w:tr>
      <w:tr w14:paraId="23AE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1F9AAB33">
            <w:pPr>
              <w:widowControl/>
              <w:jc w:val="center"/>
              <w:rPr>
                <w:rFonts w:hint="eastAsia" w:asciiTheme="minorHAnsi" w:hAnsiTheme="minorHAnsi" w:eastAsiaTheme="minorEastAsia" w:cstheme="minorBidi"/>
                <w:b/>
                <w:bCs/>
                <w:color w:val="000000"/>
                <w:kern w:val="2"/>
                <w:sz w:val="24"/>
                <w:szCs w:val="24"/>
                <w:highlight w:val="none"/>
                <w:lang w:val="en-US" w:eastAsia="zh-CN" w:bidi="ar-SA"/>
              </w:rPr>
            </w:pPr>
            <w:r>
              <w:rPr>
                <w:rFonts w:hint="eastAsia"/>
                <w:b/>
                <w:bCs/>
                <w:color w:val="000000"/>
                <w:sz w:val="24"/>
                <w:highlight w:val="none"/>
                <w:lang w:val="en-US" w:eastAsia="zh-CN"/>
              </w:rPr>
              <w:t>3.</w:t>
            </w:r>
          </w:p>
        </w:tc>
        <w:tc>
          <w:tcPr>
            <w:tcW w:w="4606" w:type="pct"/>
            <w:gridSpan w:val="3"/>
            <w:shd w:val="clear" w:color="auto" w:fill="auto"/>
            <w:vAlign w:val="center"/>
          </w:tcPr>
          <w:p w14:paraId="68D90C99">
            <w:pPr>
              <w:widowControl/>
              <w:jc w:val="left"/>
              <w:rPr>
                <w:rFonts w:hint="eastAsia" w:asciiTheme="minorHAnsi" w:hAnsiTheme="minorHAnsi" w:eastAsiaTheme="minorEastAsia" w:cstheme="minorBidi"/>
                <w:b/>
                <w:bCs/>
                <w:color w:val="000000"/>
                <w:kern w:val="2"/>
                <w:sz w:val="24"/>
                <w:szCs w:val="24"/>
                <w:highlight w:val="none"/>
                <w:lang w:val="en-US" w:eastAsia="zh-CN" w:bidi="ar-SA"/>
              </w:rPr>
            </w:pPr>
            <w:r>
              <w:rPr>
                <w:rFonts w:hint="eastAsia"/>
                <w:b/>
                <w:bCs/>
                <w:color w:val="000000"/>
                <w:sz w:val="24"/>
                <w:highlight w:val="none"/>
              </w:rPr>
              <w:t>电子</w:t>
            </w:r>
            <w:r>
              <w:rPr>
                <w:rFonts w:hint="eastAsia"/>
                <w:b/>
                <w:bCs/>
                <w:color w:val="000000"/>
                <w:sz w:val="24"/>
                <w:highlight w:val="none"/>
                <w:lang w:val="en-US" w:eastAsia="zh-CN"/>
              </w:rPr>
              <w:t>下</w:t>
            </w:r>
            <w:r>
              <w:rPr>
                <w:rFonts w:hint="eastAsia"/>
                <w:b/>
                <w:bCs/>
                <w:color w:val="000000"/>
                <w:sz w:val="24"/>
                <w:highlight w:val="none"/>
              </w:rPr>
              <w:t>消化道内窥镜技术参数要求（治疗镜）：</w:t>
            </w:r>
          </w:p>
        </w:tc>
      </w:tr>
      <w:tr w14:paraId="3A7A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7E1D9A06">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3.1</w:t>
            </w:r>
          </w:p>
        </w:tc>
        <w:tc>
          <w:tcPr>
            <w:tcW w:w="3256" w:type="pct"/>
            <w:shd w:val="clear" w:color="auto" w:fill="auto"/>
            <w:vAlign w:val="center"/>
          </w:tcPr>
          <w:p w14:paraId="4A5532B5">
            <w:pPr>
              <w:widowControl/>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成像芯片为高清晰实现</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1080P逐行扫描的图像输出</w:t>
            </w:r>
          </w:p>
        </w:tc>
        <w:tc>
          <w:tcPr>
            <w:tcW w:w="653" w:type="pct"/>
            <w:shd w:val="clear" w:color="auto" w:fill="auto"/>
            <w:vAlign w:val="center"/>
          </w:tcPr>
          <w:p w14:paraId="51AA208C">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696" w:type="pct"/>
            <w:shd w:val="clear" w:color="auto" w:fill="auto"/>
            <w:vAlign w:val="center"/>
          </w:tcPr>
          <w:p w14:paraId="257C68DF">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满足得分，不满足不得分</w:t>
            </w:r>
          </w:p>
        </w:tc>
      </w:tr>
      <w:tr w14:paraId="1F03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0CC8AF10">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3.2</w:t>
            </w:r>
          </w:p>
        </w:tc>
        <w:tc>
          <w:tcPr>
            <w:tcW w:w="3256" w:type="pct"/>
            <w:shd w:val="clear" w:color="auto" w:fill="auto"/>
            <w:vAlign w:val="center"/>
          </w:tcPr>
          <w:p w14:paraId="0300097C">
            <w:pPr>
              <w:widowControl/>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镜身带副送管，可匹配内镜专用送水装置；</w:t>
            </w:r>
          </w:p>
        </w:tc>
        <w:tc>
          <w:tcPr>
            <w:tcW w:w="653" w:type="pct"/>
            <w:shd w:val="clear" w:color="auto" w:fill="auto"/>
            <w:vAlign w:val="center"/>
          </w:tcPr>
          <w:p w14:paraId="47E34B2C">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2</w:t>
            </w:r>
          </w:p>
        </w:tc>
        <w:tc>
          <w:tcPr>
            <w:tcW w:w="696" w:type="pct"/>
            <w:shd w:val="clear" w:color="auto" w:fill="auto"/>
            <w:vAlign w:val="center"/>
          </w:tcPr>
          <w:p w14:paraId="411C2413">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满足得分，不满足不得分</w:t>
            </w:r>
          </w:p>
        </w:tc>
      </w:tr>
      <w:tr w14:paraId="7B53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5E7C2CAD">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3.3</w:t>
            </w:r>
          </w:p>
        </w:tc>
        <w:tc>
          <w:tcPr>
            <w:tcW w:w="3256" w:type="pct"/>
            <w:shd w:val="clear" w:color="auto" w:fill="auto"/>
            <w:vAlign w:val="center"/>
          </w:tcPr>
          <w:p w14:paraId="4E4493C5">
            <w:pPr>
              <w:widowControl/>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视野角度为≥140度,景深3—100mm，最小可视距离≤4mm，先端部外径：≥9.8mm；弯曲部角度：上≥210度、下≥160度、右≥160度、左≥160度</w:t>
            </w:r>
          </w:p>
        </w:tc>
        <w:tc>
          <w:tcPr>
            <w:tcW w:w="653" w:type="pct"/>
            <w:shd w:val="clear" w:color="auto" w:fill="auto"/>
            <w:vAlign w:val="center"/>
          </w:tcPr>
          <w:p w14:paraId="28E78973">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5</w:t>
            </w:r>
          </w:p>
        </w:tc>
        <w:tc>
          <w:tcPr>
            <w:tcW w:w="696" w:type="pct"/>
            <w:shd w:val="clear" w:color="auto" w:fill="auto"/>
            <w:vAlign w:val="center"/>
          </w:tcPr>
          <w:p w14:paraId="14EED5A5">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满足得分，不满足不得分</w:t>
            </w:r>
          </w:p>
        </w:tc>
      </w:tr>
      <w:tr w14:paraId="2983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93" w:type="pct"/>
            <w:shd w:val="clear" w:color="auto" w:fill="auto"/>
            <w:vAlign w:val="center"/>
          </w:tcPr>
          <w:p w14:paraId="56A5C497">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3.4</w:t>
            </w:r>
          </w:p>
        </w:tc>
        <w:tc>
          <w:tcPr>
            <w:tcW w:w="3256" w:type="pct"/>
            <w:shd w:val="clear" w:color="auto" w:fill="auto"/>
            <w:vAlign w:val="center"/>
          </w:tcPr>
          <w:p w14:paraId="78200C6D">
            <w:pPr>
              <w:widowControl/>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先端部外径为≤12 mm，插入部外径为≤12.5 mm, 管道内径≥3.8mm</w:t>
            </w:r>
          </w:p>
        </w:tc>
        <w:tc>
          <w:tcPr>
            <w:tcW w:w="653" w:type="pct"/>
            <w:shd w:val="clear" w:color="auto" w:fill="auto"/>
            <w:vAlign w:val="center"/>
          </w:tcPr>
          <w:p w14:paraId="70B45315">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5</w:t>
            </w:r>
          </w:p>
        </w:tc>
        <w:tc>
          <w:tcPr>
            <w:tcW w:w="696" w:type="pct"/>
            <w:shd w:val="clear" w:color="auto" w:fill="auto"/>
            <w:vAlign w:val="center"/>
          </w:tcPr>
          <w:p w14:paraId="275A4DF6">
            <w:pPr>
              <w:widowControl/>
              <w:jc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满足得分，不满足不得分</w:t>
            </w:r>
          </w:p>
        </w:tc>
      </w:tr>
      <w:bookmarkEnd w:id="297"/>
      <w:bookmarkEnd w:id="299"/>
      <w:tr w14:paraId="0A70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50" w:type="pct"/>
            <w:gridSpan w:val="2"/>
            <w:shd w:val="clear" w:color="auto" w:fill="auto"/>
            <w:vAlign w:val="center"/>
          </w:tcPr>
          <w:p w14:paraId="412BEBC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总得分</w:t>
            </w:r>
          </w:p>
        </w:tc>
        <w:tc>
          <w:tcPr>
            <w:tcW w:w="653" w:type="pct"/>
            <w:shd w:val="clear" w:color="auto" w:fill="auto"/>
            <w:vAlign w:val="center"/>
          </w:tcPr>
          <w:p w14:paraId="75E5A89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w:t>
            </w:r>
          </w:p>
        </w:tc>
        <w:tc>
          <w:tcPr>
            <w:tcW w:w="696" w:type="pct"/>
            <w:shd w:val="clear" w:color="auto" w:fill="auto"/>
            <w:vAlign w:val="center"/>
          </w:tcPr>
          <w:p w14:paraId="08B80091">
            <w:pPr>
              <w:widowControl/>
              <w:jc w:val="left"/>
              <w:rPr>
                <w:rFonts w:hint="eastAsia" w:ascii="宋体" w:hAnsi="宋体" w:eastAsia="宋体" w:cs="宋体"/>
                <w:color w:val="auto"/>
                <w:kern w:val="0"/>
                <w:sz w:val="24"/>
                <w:szCs w:val="24"/>
                <w:highlight w:val="none"/>
              </w:rPr>
            </w:pPr>
          </w:p>
        </w:tc>
      </w:tr>
      <w:bookmarkEnd w:id="298"/>
      <w:bookmarkEnd w:id="300"/>
      <w:bookmarkEnd w:id="301"/>
      <w:bookmarkEnd w:id="302"/>
      <w:bookmarkEnd w:id="303"/>
    </w:tbl>
    <w:p w14:paraId="2548CFB2">
      <w:pPr>
        <w:rPr>
          <w:rFonts w:hint="eastAsia" w:ascii="Times New Roman" w:hAnsi="Times New Roman" w:eastAsia="宋体" w:cs="Times New Roman"/>
          <w:b/>
          <w:bCs/>
          <w:color w:val="auto"/>
          <w:sz w:val="28"/>
          <w:szCs w:val="28"/>
          <w:highlight w:val="none"/>
          <w:lang w:val="en-US" w:eastAsia="zh-CN"/>
        </w:rPr>
      </w:pPr>
    </w:p>
    <w:p w14:paraId="47D1B30D">
      <w:pPr>
        <w:widowControl/>
        <w:tabs>
          <w:tab w:val="left" w:pos="1470"/>
        </w:tabs>
        <w:adjustRightInd/>
        <w:spacing w:line="360" w:lineRule="auto"/>
        <w:ind w:left="1079" w:leftChars="257" w:hanging="539"/>
        <w:jc w:val="center"/>
        <w:outlineLvl w:val="1"/>
        <w:rPr>
          <w:rFonts w:hint="eastAsia" w:ascii="Times New Roman" w:hAnsi="Times New Roman" w:eastAsia="宋体" w:cs="Times New Roman"/>
          <w:b/>
          <w:bCs/>
          <w:color w:val="auto"/>
          <w:sz w:val="28"/>
          <w:szCs w:val="28"/>
          <w:highlight w:val="none"/>
          <w:lang w:val="en-US" w:eastAsia="zh-CN"/>
        </w:rPr>
      </w:pPr>
      <w:bookmarkStart w:id="304" w:name="_Toc1933"/>
      <w:r>
        <w:rPr>
          <w:rFonts w:hint="eastAsia" w:ascii="Times New Roman" w:hAnsi="Times New Roman" w:eastAsia="宋体" w:cs="Times New Roman"/>
          <w:b/>
          <w:bCs/>
          <w:color w:val="auto"/>
          <w:sz w:val="28"/>
          <w:szCs w:val="28"/>
          <w:highlight w:val="none"/>
          <w:lang w:val="en-US" w:eastAsia="zh-CN"/>
        </w:rPr>
        <w:t>三、</w:t>
      </w:r>
      <w:r>
        <w:rPr>
          <w:rFonts w:hint="eastAsia" w:ascii="宋体" w:hAnsi="宋体" w:eastAsia="宋体" w:cs="宋体"/>
          <w:b/>
          <w:bCs/>
          <w:color w:val="auto"/>
          <w:sz w:val="28"/>
          <w:szCs w:val="28"/>
          <w:highlight w:val="none"/>
          <w:lang w:val="en-US" w:eastAsia="zh-CN"/>
        </w:rPr>
        <w:t>★</w:t>
      </w:r>
      <w:r>
        <w:rPr>
          <w:rFonts w:hint="eastAsia" w:ascii="Times New Roman" w:hAnsi="Times New Roman" w:eastAsia="宋体" w:cs="Times New Roman"/>
          <w:b/>
          <w:bCs/>
          <w:color w:val="auto"/>
          <w:sz w:val="28"/>
          <w:szCs w:val="28"/>
          <w:highlight w:val="none"/>
          <w:lang w:val="en-US" w:eastAsia="zh-CN"/>
        </w:rPr>
        <w:t>单套配置清单要求</w:t>
      </w:r>
      <w:bookmarkEnd w:id="304"/>
    </w:p>
    <w:tbl>
      <w:tblPr>
        <w:tblStyle w:val="37"/>
        <w:tblW w:w="9324" w:type="dxa"/>
        <w:tblInd w:w="0" w:type="dxa"/>
        <w:tblLayout w:type="fixed"/>
        <w:tblCellMar>
          <w:top w:w="0" w:type="dxa"/>
          <w:left w:w="108" w:type="dxa"/>
          <w:bottom w:w="0" w:type="dxa"/>
          <w:right w:w="108" w:type="dxa"/>
        </w:tblCellMar>
      </w:tblPr>
      <w:tblGrid>
        <w:gridCol w:w="639"/>
        <w:gridCol w:w="6727"/>
        <w:gridCol w:w="1958"/>
      </w:tblGrid>
      <w:tr w14:paraId="18790B97">
        <w:tblPrEx>
          <w:tblCellMar>
            <w:top w:w="0" w:type="dxa"/>
            <w:left w:w="108" w:type="dxa"/>
            <w:bottom w:w="0" w:type="dxa"/>
            <w:right w:w="108" w:type="dxa"/>
          </w:tblCellMar>
        </w:tblPrEx>
        <w:trPr>
          <w:trHeight w:val="540" w:hRule="atLeast"/>
        </w:trPr>
        <w:tc>
          <w:tcPr>
            <w:tcW w:w="6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D988A9">
            <w:pPr>
              <w:widowControl/>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1</w:t>
            </w:r>
          </w:p>
        </w:tc>
        <w:tc>
          <w:tcPr>
            <w:tcW w:w="6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5A382D">
            <w:pPr>
              <w:widowControl/>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超声小探头</w:t>
            </w:r>
          </w:p>
        </w:tc>
        <w:tc>
          <w:tcPr>
            <w:tcW w:w="195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E5A225">
            <w:pPr>
              <w:widowControl/>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3套</w:t>
            </w:r>
          </w:p>
        </w:tc>
      </w:tr>
      <w:tr w14:paraId="7B55E896">
        <w:tblPrEx>
          <w:tblCellMar>
            <w:top w:w="0" w:type="dxa"/>
            <w:left w:w="108" w:type="dxa"/>
            <w:bottom w:w="0" w:type="dxa"/>
            <w:right w:w="108" w:type="dxa"/>
          </w:tblCellMar>
        </w:tblPrEx>
        <w:trPr>
          <w:trHeight w:val="540" w:hRule="atLeast"/>
        </w:trPr>
        <w:tc>
          <w:tcPr>
            <w:tcW w:w="6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E53189">
            <w:pPr>
              <w:widowControl/>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w:t>
            </w:r>
          </w:p>
        </w:tc>
        <w:tc>
          <w:tcPr>
            <w:tcW w:w="6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25DFE9">
            <w:pPr>
              <w:widowControl/>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电子上消化道治疗镜</w:t>
            </w:r>
          </w:p>
        </w:tc>
        <w:tc>
          <w:tcPr>
            <w:tcW w:w="195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C32505">
            <w:pPr>
              <w:widowControl/>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2条</w:t>
            </w:r>
          </w:p>
        </w:tc>
      </w:tr>
      <w:tr w14:paraId="61243B34">
        <w:tblPrEx>
          <w:tblCellMar>
            <w:top w:w="0" w:type="dxa"/>
            <w:left w:w="108" w:type="dxa"/>
            <w:bottom w:w="0" w:type="dxa"/>
            <w:right w:w="108" w:type="dxa"/>
          </w:tblCellMar>
        </w:tblPrEx>
        <w:trPr>
          <w:trHeight w:val="540" w:hRule="atLeast"/>
        </w:trPr>
        <w:tc>
          <w:tcPr>
            <w:tcW w:w="6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EB48AD">
            <w:pPr>
              <w:widowControl/>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w:t>
            </w:r>
          </w:p>
        </w:tc>
        <w:tc>
          <w:tcPr>
            <w:tcW w:w="6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B9952D">
            <w:pPr>
              <w:widowControl/>
              <w:jc w:val="center"/>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电子下消化道治疗镜</w:t>
            </w:r>
          </w:p>
        </w:tc>
        <w:tc>
          <w:tcPr>
            <w:tcW w:w="195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C973B6">
            <w:pPr>
              <w:widowControl/>
              <w:jc w:val="left"/>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2条</w:t>
            </w:r>
          </w:p>
        </w:tc>
      </w:tr>
      <w:tr w14:paraId="02D9BA5A">
        <w:tblPrEx>
          <w:tblCellMar>
            <w:top w:w="0" w:type="dxa"/>
            <w:left w:w="108" w:type="dxa"/>
            <w:bottom w:w="0" w:type="dxa"/>
            <w:right w:w="108" w:type="dxa"/>
          </w:tblCellMar>
        </w:tblPrEx>
        <w:trPr>
          <w:trHeight w:val="540" w:hRule="atLeast"/>
        </w:trPr>
        <w:tc>
          <w:tcPr>
            <w:tcW w:w="63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3ABA5C">
            <w:pPr>
              <w:widowControl/>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4</w:t>
            </w:r>
          </w:p>
        </w:tc>
        <w:tc>
          <w:tcPr>
            <w:tcW w:w="672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C03A9C">
            <w:pPr>
              <w:widowControl/>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送气送水按钮、吸引按钮</w:t>
            </w:r>
          </w:p>
        </w:tc>
        <w:tc>
          <w:tcPr>
            <w:tcW w:w="195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1012DB">
            <w:pPr>
              <w:widowControl/>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10套</w:t>
            </w:r>
          </w:p>
        </w:tc>
      </w:tr>
    </w:tbl>
    <w:p w14:paraId="399B59C1">
      <w:pPr>
        <w:pStyle w:val="13"/>
        <w:ind w:firstLine="420" w:firstLineChars="200"/>
        <w:jc w:val="center"/>
        <w:outlineLvl w:val="1"/>
        <w:rPr>
          <w:rFonts w:hint="eastAsia" w:ascii="宋体" w:hAnsi="宋体" w:eastAsia="宋体" w:cs="宋体"/>
          <w:b/>
          <w:color w:val="auto"/>
          <w:sz w:val="28"/>
          <w:szCs w:val="28"/>
          <w:highlight w:val="none"/>
        </w:rPr>
      </w:pPr>
      <w:r>
        <w:rPr>
          <w:rFonts w:hint="eastAsia"/>
          <w:color w:val="auto"/>
          <w:highlight w:val="none"/>
        </w:rPr>
        <w:br w:type="page"/>
      </w:r>
      <w:bookmarkStart w:id="305" w:name="_Toc12379"/>
      <w:r>
        <w:rPr>
          <w:rFonts w:hint="eastAsia" w:ascii="宋体" w:hAnsi="宋体" w:eastAsia="宋体" w:cs="宋体"/>
          <w:b/>
          <w:color w:val="auto"/>
          <w:sz w:val="28"/>
          <w:szCs w:val="28"/>
          <w:highlight w:val="none"/>
          <w:lang w:val="en-US" w:eastAsia="zh-CN"/>
        </w:rPr>
        <w:t>四</w:t>
      </w:r>
      <w:r>
        <w:rPr>
          <w:rFonts w:hint="eastAsia" w:ascii="宋体" w:hAnsi="宋体" w:eastAsia="宋体" w:cs="宋体"/>
          <w:b/>
          <w:color w:val="auto"/>
          <w:sz w:val="28"/>
          <w:szCs w:val="28"/>
          <w:highlight w:val="none"/>
        </w:rPr>
        <w:t>、商务要求</w:t>
      </w:r>
      <w:bookmarkEnd w:id="305"/>
    </w:p>
    <w:p w14:paraId="2C508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shd w:val="clear" w:color="auto" w:fill="FFFFFF"/>
          <w:lang w:val="en-US" w:eastAsia="zh-CN" w:bidi="ar"/>
        </w:rPr>
      </w:pPr>
      <w:r>
        <w:rPr>
          <w:rFonts w:hint="eastAsia" w:ascii="宋体" w:hAnsi="宋体" w:eastAsia="宋体" w:cs="宋体"/>
          <w:bCs/>
          <w:color w:val="auto"/>
          <w:sz w:val="24"/>
          <w:szCs w:val="24"/>
          <w:highlight w:val="none"/>
        </w:rPr>
        <w:t>★</w:t>
      </w:r>
      <w:r>
        <w:rPr>
          <w:rFonts w:hint="eastAsia" w:ascii="宋体" w:hAnsi="宋体" w:eastAsia="宋体" w:cs="宋体"/>
          <w:color w:val="auto"/>
          <w:kern w:val="2"/>
          <w:sz w:val="24"/>
          <w:szCs w:val="24"/>
          <w:highlight w:val="none"/>
          <w:shd w:val="clear" w:color="auto" w:fill="FFFFFF"/>
          <w:lang w:val="en-US" w:eastAsia="zh-CN" w:bidi="ar"/>
        </w:rPr>
        <w:t>1</w:t>
      </w:r>
      <w:r>
        <w:rPr>
          <w:rFonts w:hint="default" w:ascii="宋体" w:hAnsi="宋体" w:eastAsia="宋体" w:cs="宋体"/>
          <w:color w:val="auto"/>
          <w:kern w:val="2"/>
          <w:sz w:val="24"/>
          <w:szCs w:val="24"/>
          <w:highlight w:val="none"/>
          <w:shd w:val="clear" w:color="auto" w:fill="FFFFFF"/>
          <w:lang w:val="en-US" w:eastAsia="zh-CN" w:bidi="ar"/>
        </w:rPr>
        <w:t>、质保期：</w:t>
      </w:r>
      <w:r>
        <w:rPr>
          <w:rFonts w:hint="eastAsia" w:ascii="宋体" w:hAnsi="宋体" w:eastAsia="宋体" w:cs="宋体"/>
          <w:b/>
          <w:color w:val="auto"/>
          <w:kern w:val="2"/>
          <w:sz w:val="24"/>
          <w:szCs w:val="24"/>
          <w:highlight w:val="none"/>
        </w:rPr>
        <w:t>主机及电子上、下消化道治疗镜质保≥5年，超声小探头(超声内镜下用于观察组织层次结构)质保≥</w:t>
      </w:r>
      <w:r>
        <w:rPr>
          <w:rFonts w:hint="eastAsia" w:ascii="宋体" w:hAnsi="宋体" w:cs="宋体"/>
          <w:b/>
          <w:color w:val="auto"/>
          <w:kern w:val="2"/>
          <w:sz w:val="24"/>
          <w:szCs w:val="24"/>
          <w:highlight w:val="none"/>
          <w:lang w:val="en-US" w:eastAsia="zh-CN"/>
        </w:rPr>
        <w:t>1</w:t>
      </w:r>
      <w:r>
        <w:rPr>
          <w:rFonts w:hint="eastAsia" w:ascii="宋体" w:hAnsi="宋体" w:eastAsia="宋体" w:cs="宋体"/>
          <w:b/>
          <w:color w:val="auto"/>
          <w:kern w:val="2"/>
          <w:sz w:val="24"/>
          <w:szCs w:val="24"/>
          <w:highlight w:val="none"/>
        </w:rPr>
        <w:t>年</w:t>
      </w:r>
      <w:r>
        <w:rPr>
          <w:rFonts w:hint="eastAsia" w:ascii="宋体" w:hAnsi="宋体" w:cs="宋体"/>
          <w:b/>
          <w:color w:val="auto"/>
          <w:kern w:val="2"/>
          <w:sz w:val="24"/>
          <w:szCs w:val="24"/>
          <w:highlight w:val="none"/>
          <w:lang w:val="en-US" w:eastAsia="zh-CN"/>
        </w:rPr>
        <w:t>或使用频次</w:t>
      </w:r>
      <w:r>
        <w:rPr>
          <w:rFonts w:hint="eastAsia" w:ascii="宋体" w:hAnsi="宋体" w:eastAsia="宋体" w:cs="宋体"/>
          <w:b/>
          <w:color w:val="auto"/>
          <w:kern w:val="2"/>
          <w:sz w:val="24"/>
          <w:szCs w:val="24"/>
          <w:highlight w:val="none"/>
        </w:rPr>
        <w:t>≥</w:t>
      </w:r>
      <w:r>
        <w:rPr>
          <w:rFonts w:hint="eastAsia" w:ascii="宋体" w:hAnsi="宋体" w:cs="宋体"/>
          <w:b/>
          <w:color w:val="auto"/>
          <w:kern w:val="2"/>
          <w:sz w:val="24"/>
          <w:szCs w:val="24"/>
          <w:highlight w:val="none"/>
          <w:lang w:val="en-US" w:eastAsia="zh-CN"/>
        </w:rPr>
        <w:t>100次</w:t>
      </w:r>
      <w:r>
        <w:rPr>
          <w:rFonts w:hint="eastAsia" w:ascii="宋体" w:hAnsi="宋体" w:eastAsia="宋体" w:cs="宋体"/>
          <w:color w:val="auto"/>
          <w:kern w:val="2"/>
          <w:sz w:val="24"/>
          <w:szCs w:val="24"/>
          <w:highlight w:val="none"/>
          <w:shd w:val="clear" w:color="auto" w:fill="FFFFFF"/>
          <w:lang w:val="en-US" w:eastAsia="zh-CN" w:bidi="ar"/>
        </w:rPr>
        <w:t>。</w:t>
      </w:r>
    </w:p>
    <w:p w14:paraId="1B9AE3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shd w:val="clear" w:color="auto" w:fill="FFFFFF"/>
          <w:lang w:val="en-US" w:eastAsia="zh-CN" w:bidi="ar"/>
        </w:rPr>
      </w:pPr>
      <w:r>
        <w:rPr>
          <w:rFonts w:hint="eastAsia" w:ascii="宋体" w:hAnsi="宋体" w:eastAsia="宋体" w:cs="宋体"/>
          <w:color w:val="auto"/>
          <w:kern w:val="2"/>
          <w:sz w:val="24"/>
          <w:szCs w:val="24"/>
          <w:highlight w:val="none"/>
          <w:shd w:val="clear" w:color="auto" w:fill="FFFFFF"/>
          <w:lang w:val="en-US" w:eastAsia="zh-CN" w:bidi="ar"/>
        </w:rPr>
        <w:t>2</w:t>
      </w:r>
      <w:r>
        <w:rPr>
          <w:rFonts w:hint="default" w:ascii="宋体" w:hAnsi="宋体" w:eastAsia="宋体" w:cs="宋体"/>
          <w:color w:val="auto"/>
          <w:kern w:val="2"/>
          <w:sz w:val="24"/>
          <w:szCs w:val="24"/>
          <w:highlight w:val="none"/>
          <w:shd w:val="clear" w:color="auto" w:fill="FFFFFF"/>
          <w:lang w:val="en-US" w:eastAsia="zh-CN" w:bidi="ar"/>
        </w:rPr>
        <w:t>、交货期：</w:t>
      </w:r>
      <w:r>
        <w:rPr>
          <w:rFonts w:hint="eastAsia" w:ascii="宋体" w:hAnsi="宋体" w:cs="宋体"/>
          <w:color w:val="auto"/>
          <w:kern w:val="2"/>
          <w:sz w:val="24"/>
          <w:szCs w:val="24"/>
          <w:highlight w:val="none"/>
          <w:shd w:val="clear" w:color="auto" w:fill="FFFFFF"/>
          <w:lang w:val="en-US" w:eastAsia="zh-CN" w:bidi="ar"/>
        </w:rPr>
        <w:t>交货期不超过30个工作日</w:t>
      </w:r>
      <w:r>
        <w:rPr>
          <w:rFonts w:hint="eastAsia" w:ascii="宋体" w:hAnsi="宋体" w:cs="宋体"/>
          <w:color w:val="auto"/>
          <w:kern w:val="2"/>
          <w:sz w:val="24"/>
          <w:szCs w:val="24"/>
          <w:highlight w:val="none"/>
          <w:lang w:eastAsia="zh-CN"/>
        </w:rPr>
        <w:t>。</w:t>
      </w:r>
    </w:p>
    <w:p w14:paraId="21E48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cs="宋体"/>
          <w:bCs/>
          <w:color w:val="auto"/>
          <w:sz w:val="24"/>
          <w:szCs w:val="24"/>
          <w:highlight w:val="none"/>
          <w:lang w:eastAsia="zh-CN"/>
        </w:rPr>
      </w:pPr>
      <w:r>
        <w:rPr>
          <w:rFonts w:hint="eastAsia" w:ascii="宋体" w:hAnsi="宋体" w:eastAsia="宋体" w:cs="宋体"/>
          <w:color w:val="auto"/>
          <w:kern w:val="2"/>
          <w:sz w:val="24"/>
          <w:szCs w:val="24"/>
          <w:highlight w:val="none"/>
          <w:shd w:val="clear" w:color="auto" w:fill="FFFFFF"/>
          <w:lang w:val="en-US" w:eastAsia="zh-CN" w:bidi="ar"/>
        </w:rPr>
        <w:t>3</w:t>
      </w:r>
      <w:r>
        <w:rPr>
          <w:rFonts w:hint="default" w:ascii="宋体" w:hAnsi="宋体" w:eastAsia="宋体" w:cs="宋体"/>
          <w:color w:val="auto"/>
          <w:kern w:val="2"/>
          <w:sz w:val="24"/>
          <w:szCs w:val="24"/>
          <w:highlight w:val="none"/>
          <w:shd w:val="clear" w:color="auto" w:fill="FFFFFF"/>
          <w:lang w:val="en-US" w:eastAsia="zh-CN" w:bidi="ar"/>
        </w:rPr>
        <w:t>、售后服务</w:t>
      </w:r>
      <w:r>
        <w:rPr>
          <w:rFonts w:hint="eastAsia" w:ascii="宋体" w:hAnsi="宋体" w:eastAsia="宋体" w:cs="宋体"/>
          <w:color w:val="auto"/>
          <w:kern w:val="2"/>
          <w:sz w:val="24"/>
          <w:szCs w:val="24"/>
          <w:highlight w:val="none"/>
          <w:shd w:val="clear" w:color="auto" w:fill="FFFFFF"/>
          <w:lang w:val="en-US" w:eastAsia="zh-CN" w:bidi="ar"/>
        </w:rPr>
        <w:t>及培训服务</w:t>
      </w:r>
      <w:r>
        <w:rPr>
          <w:rFonts w:hint="default" w:ascii="宋体" w:hAnsi="宋体" w:eastAsia="宋体" w:cs="宋体"/>
          <w:color w:val="auto"/>
          <w:kern w:val="2"/>
          <w:sz w:val="24"/>
          <w:szCs w:val="24"/>
          <w:highlight w:val="none"/>
          <w:shd w:val="clear" w:color="auto" w:fill="FFFFFF"/>
          <w:lang w:val="en-US" w:eastAsia="zh-CN" w:bidi="ar"/>
        </w:rPr>
        <w:t>要求：</w:t>
      </w:r>
    </w:p>
    <w:p w14:paraId="1077B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shd w:val="clear" w:color="auto" w:fill="FFFFFF"/>
          <w:lang w:val="en-US" w:eastAsia="zh-CN" w:bidi="ar"/>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）设备终身维修，质保期内不收取任何维修保养服务费用，质量保证期后不收取任何维修费、差旅费等，仅收取配件费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shd w:val="clear" w:color="auto" w:fill="FFFFFF"/>
          <w:lang w:val="en-US" w:eastAsia="zh-CN" w:bidi="ar"/>
        </w:rPr>
        <w:t>保证仪器设备在报废前正常运行。</w:t>
      </w:r>
    </w:p>
    <w:p w14:paraId="5C58297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）仪器设备提供现场维修，维修人员在收到故障报告后保证2小时内响应，24小时内到达现场，48小时内无法修复提供备用机。</w:t>
      </w:r>
    </w:p>
    <w:p w14:paraId="13531F0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）仪器设备实行定期（每年</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次）</w:t>
      </w:r>
      <w:r>
        <w:rPr>
          <w:rFonts w:hint="eastAsia" w:ascii="宋体" w:hAnsi="宋体" w:eastAsia="宋体" w:cs="宋体"/>
          <w:color w:val="auto"/>
          <w:sz w:val="24"/>
          <w:szCs w:val="24"/>
          <w:highlight w:val="none"/>
          <w:lang w:val="en-US" w:eastAsia="zh-CN"/>
        </w:rPr>
        <w:t>主动</w:t>
      </w:r>
      <w:r>
        <w:rPr>
          <w:rFonts w:hint="eastAsia" w:ascii="宋体" w:hAnsi="宋体" w:eastAsia="宋体" w:cs="宋体"/>
          <w:color w:val="auto"/>
          <w:sz w:val="24"/>
          <w:szCs w:val="24"/>
          <w:highlight w:val="none"/>
        </w:rPr>
        <w:t>巡检、维护及保养。</w:t>
      </w:r>
    </w:p>
    <w:p w14:paraId="50E375D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）在使用仪器设备过程中发生的技术问题提供免费技术支持。</w:t>
      </w:r>
    </w:p>
    <w:p w14:paraId="6271EFB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）培训要求</w:t>
      </w:r>
      <w:r>
        <w:rPr>
          <w:rFonts w:hint="eastAsia" w:ascii="宋体" w:hAnsi="宋体" w:cs="宋体"/>
          <w:color w:val="auto"/>
          <w:sz w:val="24"/>
          <w:szCs w:val="24"/>
          <w:highlight w:val="none"/>
          <w:lang w:eastAsia="zh-CN"/>
        </w:rPr>
        <w:t>：按根据科室需求免费提供不少于4次</w:t>
      </w:r>
      <w:r>
        <w:rPr>
          <w:rFonts w:hint="eastAsia" w:ascii="宋体" w:hAnsi="宋体" w:cs="宋体"/>
          <w:color w:val="auto"/>
          <w:sz w:val="24"/>
          <w:szCs w:val="24"/>
          <w:highlight w:val="none"/>
          <w:lang w:val="en-US" w:eastAsia="zh-CN"/>
        </w:rPr>
        <w:t>的</w:t>
      </w:r>
      <w:r>
        <w:rPr>
          <w:rFonts w:hint="eastAsia" w:ascii="宋体" w:hAnsi="宋体" w:cs="宋体"/>
          <w:color w:val="auto"/>
          <w:sz w:val="24"/>
          <w:szCs w:val="24"/>
          <w:highlight w:val="none"/>
          <w:lang w:eastAsia="zh-CN"/>
        </w:rPr>
        <w:t>产品使用培训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培训内容包括但不限于设备的调试、使用、一般的维修、维护及保养等。</w:t>
      </w:r>
    </w:p>
    <w:p w14:paraId="26B56DB0">
      <w:pPr>
        <w:widowControl w:val="0"/>
        <w:spacing w:line="360" w:lineRule="auto"/>
        <w:ind w:firstLine="480" w:firstLineChars="200"/>
        <w:jc w:val="both"/>
        <w:rPr>
          <w:rFonts w:hint="default" w:ascii="宋体" w:hAnsi="宋体" w:eastAsia="宋体" w:cs="宋体"/>
          <w:color w:val="auto"/>
          <w:kern w:val="2"/>
          <w:sz w:val="24"/>
          <w:szCs w:val="24"/>
          <w:highlight w:val="none"/>
          <w:shd w:val="clear" w:color="auto" w:fill="FFFFFF"/>
          <w:lang w:bidi="ar"/>
        </w:rPr>
      </w:pPr>
      <w:r>
        <w:rPr>
          <w:rFonts w:hint="default" w:ascii="宋体" w:hAnsi="宋体" w:eastAsia="宋体" w:cs="宋体"/>
          <w:color w:val="auto"/>
          <w:kern w:val="2"/>
          <w:sz w:val="24"/>
          <w:szCs w:val="24"/>
          <w:highlight w:val="none"/>
          <w:shd w:val="clear" w:color="auto" w:fill="FFFFFF"/>
          <w:lang w:bidi="ar"/>
        </w:rPr>
        <w:t>★</w:t>
      </w:r>
      <w:r>
        <w:rPr>
          <w:rFonts w:hint="default" w:ascii="宋体" w:hAnsi="宋体" w:eastAsia="宋体" w:cs="宋体"/>
          <w:color w:val="auto"/>
          <w:kern w:val="2"/>
          <w:sz w:val="24"/>
          <w:szCs w:val="24"/>
          <w:highlight w:val="none"/>
          <w:shd w:val="clear" w:color="auto" w:fill="FFFFFF"/>
          <w:lang w:val="en-US" w:eastAsia="zh-CN" w:bidi="ar"/>
        </w:rPr>
        <w:t>4、</w:t>
      </w:r>
      <w:r>
        <w:rPr>
          <w:rFonts w:hint="default" w:ascii="宋体" w:hAnsi="宋体" w:eastAsia="宋体" w:cs="宋体"/>
          <w:color w:val="auto"/>
          <w:kern w:val="2"/>
          <w:sz w:val="24"/>
          <w:szCs w:val="24"/>
          <w:highlight w:val="none"/>
          <w:shd w:val="clear" w:color="auto" w:fill="FFFFFF"/>
          <w:lang w:bidi="ar"/>
        </w:rPr>
        <w:t>交付产品符合国家相关法律法规规定的质量标准，为正规厂家生产、正规渠道销售的全新合格货物，且没有任何质量瑕疵（生产日期至合同签订之日不得超过12个月）。</w:t>
      </w:r>
    </w:p>
    <w:p w14:paraId="5B4814A3">
      <w:pPr>
        <w:numPr>
          <w:ilvl w:val="0"/>
          <w:numId w:val="3"/>
        </w:num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中标单位需按指定的地点交货，必须达到合同约定的所有要求。且设备到货后，供货商应</w:t>
      </w:r>
      <w:r>
        <w:rPr>
          <w:rFonts w:hint="eastAsia" w:ascii="宋体" w:hAnsi="宋体" w:cs="宋体"/>
          <w:color w:val="auto"/>
          <w:sz w:val="24"/>
          <w:szCs w:val="24"/>
          <w:highlight w:val="none"/>
          <w:lang w:val="en-US" w:eastAsia="zh-CN"/>
        </w:rPr>
        <w:t>按照采购人要求方式进行安装，并</w:t>
      </w:r>
      <w:r>
        <w:rPr>
          <w:rFonts w:hint="eastAsia" w:ascii="宋体" w:hAnsi="宋体" w:cs="宋体"/>
          <w:color w:val="auto"/>
          <w:sz w:val="24"/>
          <w:szCs w:val="24"/>
          <w:highlight w:val="none"/>
        </w:rPr>
        <w:t>配合完成设备验收工作。</w:t>
      </w:r>
    </w:p>
    <w:p w14:paraId="6CC412E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本项目执行过程中，中标单位需指派专人负责与采购人联系售后服务事宜，为采购人提供及时有效的服务。仪器安装、技术培训和售后服务要求由经过专业培训工程师负责。</w:t>
      </w:r>
    </w:p>
    <w:p w14:paraId="54FFEB43">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7、提供长期稳定的售后服务保障。</w:t>
      </w:r>
      <w:r>
        <w:rPr>
          <w:rFonts w:hint="eastAsia" w:ascii="宋体" w:hAnsi="宋体" w:cs="宋体"/>
          <w:color w:val="auto"/>
          <w:sz w:val="24"/>
          <w:szCs w:val="24"/>
          <w:highlight w:val="none"/>
        </w:rPr>
        <w:t>售后服务联系地址和联系电话的变更，中标单位应在第一时间及时书面通知采购人和采购人使用单位。</w:t>
      </w:r>
    </w:p>
    <w:p w14:paraId="5F04531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中标单位应按照国家有关法律法规规章和“三包”规定，以及本合同或招投标文件所约定的服务承诺提供服务。</w:t>
      </w:r>
    </w:p>
    <w:p w14:paraId="3BD4CD5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设备含配套软件的，供货商或设备生产商应提供永久免费的配套软件升级服务。</w:t>
      </w:r>
    </w:p>
    <w:p w14:paraId="5F0E2A4C">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rPr>
        <w:t>运输途中的货物破损及损失风险由投标人承担，投标人承担运费。</w:t>
      </w:r>
    </w:p>
    <w:p w14:paraId="0B148F25">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11、兼容性：能接入科室现有主机或提供与超声小探头、电子消化道治疗镜相适配的主机，保障临床正常使用。</w:t>
      </w:r>
    </w:p>
    <w:p w14:paraId="3408E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cs="宋体"/>
          <w:bCs/>
          <w:color w:val="auto"/>
          <w:sz w:val="24"/>
          <w:szCs w:val="24"/>
          <w:highlight w:val="none"/>
          <w:lang w:val="en-US" w:eastAsia="zh-CN"/>
        </w:rPr>
      </w:pPr>
      <w:r>
        <w:rPr>
          <w:rFonts w:hint="default" w:ascii="宋体" w:hAnsi="宋体" w:eastAsia="宋体" w:cs="宋体"/>
          <w:color w:val="auto"/>
          <w:kern w:val="2"/>
          <w:sz w:val="24"/>
          <w:szCs w:val="24"/>
          <w:highlight w:val="none"/>
          <w:shd w:val="clear" w:color="auto" w:fill="FFFFFF"/>
          <w:lang w:bidi="ar"/>
        </w:rPr>
        <w:t>★</w:t>
      </w:r>
      <w:r>
        <w:rPr>
          <w:rFonts w:hint="eastAsia" w:ascii="宋体" w:hAnsi="宋体" w:cs="宋体"/>
          <w:bCs/>
          <w:color w:val="auto"/>
          <w:sz w:val="24"/>
          <w:szCs w:val="24"/>
          <w:highlight w:val="none"/>
          <w:lang w:val="en-US" w:eastAsia="zh-CN"/>
        </w:rPr>
        <w:t>12、接口相关：若设备使用需要接入医院信息管理系统即（PACS/HIS/LIS/HRP/EMR/集成平台/</w:t>
      </w:r>
      <w:r>
        <w:rPr>
          <w:rFonts w:hint="eastAsia" w:ascii="宋体" w:hAnsi="宋体" w:eastAsia="宋体" w:cs="宋体"/>
          <w:color w:val="auto"/>
          <w:kern w:val="0"/>
          <w:sz w:val="24"/>
          <w:szCs w:val="24"/>
          <w:highlight w:val="none"/>
        </w:rPr>
        <w:t>一体化手术室</w:t>
      </w:r>
      <w:r>
        <w:rPr>
          <w:rFonts w:hint="eastAsia" w:ascii="宋体" w:hAnsi="宋体" w:cs="宋体"/>
          <w:bCs/>
          <w:color w:val="auto"/>
          <w:sz w:val="24"/>
          <w:szCs w:val="24"/>
          <w:highlight w:val="none"/>
          <w:lang w:val="en-US" w:eastAsia="zh-CN"/>
        </w:rPr>
        <w:t>等），本次投标所提供的软件支持永久免费开放所有接口和数据；在实施及免费质保期内与甲方现使用的信息系统及医院因业务需求需要对接的系统等免费无缝集成，免费配合第三方开发接口程序，实现与医院数据中心数据对接，本项目涉及到与第三方软件业务系统所产生的接口费用包含在投标总价中。</w:t>
      </w:r>
    </w:p>
    <w:p w14:paraId="7AF1F55C">
      <w:pPr>
        <w:pStyle w:val="13"/>
        <w:ind w:firstLine="562" w:firstLineChars="200"/>
        <w:jc w:val="center"/>
        <w:outlineLvl w:val="1"/>
        <w:rPr>
          <w:rFonts w:hint="eastAsia" w:ascii="宋体" w:hAnsi="宋体" w:eastAsia="宋体" w:cs="宋体"/>
          <w:b/>
          <w:color w:val="auto"/>
          <w:sz w:val="28"/>
          <w:szCs w:val="28"/>
          <w:highlight w:val="none"/>
          <w:lang w:val="en-US" w:eastAsia="zh-CN"/>
        </w:rPr>
      </w:pPr>
      <w:bookmarkStart w:id="306" w:name="_Toc21887"/>
      <w:r>
        <w:rPr>
          <w:rFonts w:hint="eastAsia" w:ascii="宋体" w:hAnsi="宋体" w:eastAsia="宋体" w:cs="宋体"/>
          <w:b/>
          <w:color w:val="auto"/>
          <w:sz w:val="28"/>
          <w:szCs w:val="28"/>
          <w:highlight w:val="none"/>
          <w:lang w:val="en-US" w:eastAsia="zh-CN"/>
        </w:rPr>
        <w:t>五、其他要求</w:t>
      </w:r>
      <w:bookmarkEnd w:id="306"/>
    </w:p>
    <w:p w14:paraId="58798F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采购标的的验收标准</w:t>
      </w:r>
    </w:p>
    <w:p w14:paraId="6DF47E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1.设备验收：设备到达甲方指定地点后，由乙方负责进行设备的安装和调试，安装调试完毕后，由甲方测试是否合格并满足技术要求。</w:t>
      </w:r>
    </w:p>
    <w:p w14:paraId="6E86B8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2.实质性操作验收：由甲方使用部门检测是否达到国家及合同约定标准，通过后视为最终验收合格,否则甲方有权拒绝接收验收不合格的合同设备。</w:t>
      </w:r>
    </w:p>
    <w:p w14:paraId="33021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lang w:val="en-US" w:eastAsia="zh-CN"/>
        </w:rPr>
        <w:t>.甲方对设备的验收并不减轻或免除乙方应承担的质量保证责任。</w:t>
      </w:r>
    </w:p>
    <w:p w14:paraId="1888BA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Cs/>
          <w:color w:val="auto"/>
          <w:sz w:val="24"/>
          <w:szCs w:val="24"/>
          <w:highlight w:val="none"/>
          <w:lang w:val="en-US" w:eastAsia="zh-CN"/>
        </w:rPr>
      </w:pPr>
    </w:p>
    <w:p w14:paraId="6A60F2B6">
      <w:pPr>
        <w:spacing w:line="324" w:lineRule="auto"/>
        <w:ind w:firstLine="484" w:firstLineChars="202"/>
        <w:rPr>
          <w:rFonts w:hint="eastAsia" w:ascii="宋体" w:hAnsi="宋体" w:eastAsia="宋体" w:cs="宋体"/>
          <w:bCs/>
          <w:color w:val="auto"/>
          <w:sz w:val="24"/>
          <w:szCs w:val="24"/>
          <w:highlight w:val="none"/>
          <w:lang w:val="en-US" w:eastAsia="zh-CN"/>
        </w:rPr>
        <w:sectPr>
          <w:headerReference r:id="rId13" w:type="default"/>
          <w:footerReference r:id="rId14" w:type="default"/>
          <w:pgSz w:w="11906" w:h="16838"/>
          <w:pgMar w:top="1191" w:right="1191" w:bottom="1191" w:left="1304" w:header="851" w:footer="992" w:gutter="0"/>
          <w:pgNumType w:fmt="numberInDash"/>
          <w:cols w:space="720" w:num="1"/>
          <w:docGrid w:type="lines" w:linePitch="317" w:charSpace="0"/>
        </w:sectPr>
      </w:pPr>
    </w:p>
    <w:p w14:paraId="77303AE2">
      <w:pPr>
        <w:rPr>
          <w:rFonts w:hint="eastAsia" w:ascii="宋体" w:hAnsi="宋体" w:cs="宋体"/>
          <w:color w:val="auto"/>
          <w:highlight w:val="none"/>
        </w:rPr>
      </w:pPr>
    </w:p>
    <w:p w14:paraId="5E28103C">
      <w:pPr>
        <w:spacing w:line="240" w:lineRule="exact"/>
        <w:rPr>
          <w:rFonts w:hint="eastAsia" w:ascii="宋体" w:hAnsi="宋体" w:cs="宋体"/>
          <w:color w:val="auto"/>
          <w:highlight w:val="none"/>
        </w:rPr>
      </w:pPr>
      <w:r>
        <w:rPr>
          <w:rFonts w:hint="eastAsia" w:ascii="宋体" w:hAnsi="宋体" w:cs="宋体"/>
          <w:color w:val="auto"/>
          <w:highlight w:val="none"/>
        </w:rPr>
        <w:t xml:space="preserve"> </w:t>
      </w:r>
    </w:p>
    <w:p w14:paraId="2118DC5E">
      <w:pPr>
        <w:pStyle w:val="2"/>
        <w:spacing w:before="0" w:after="0" w:line="360" w:lineRule="auto"/>
        <w:jc w:val="center"/>
        <w:rPr>
          <w:rFonts w:hint="eastAsia" w:ascii="宋体" w:hAnsi="宋体" w:cs="宋体"/>
          <w:color w:val="auto"/>
          <w:highlight w:val="none"/>
        </w:rPr>
      </w:pPr>
      <w:bookmarkStart w:id="307" w:name="_Toc19163"/>
      <w:bookmarkEnd w:id="307"/>
      <w:bookmarkStart w:id="308" w:name="_Toc17654"/>
      <w:bookmarkEnd w:id="308"/>
      <w:bookmarkStart w:id="309" w:name="_Toc24075"/>
      <w:bookmarkStart w:id="310" w:name="_Toc9878"/>
      <w:bookmarkStart w:id="311" w:name="_Toc1218"/>
      <w:bookmarkStart w:id="312" w:name="_Toc16219"/>
      <w:r>
        <w:rPr>
          <w:rFonts w:hint="eastAsia" w:ascii="宋体" w:hAnsi="宋体" w:cs="宋体"/>
          <w:color w:val="auto"/>
          <w:highlight w:val="none"/>
        </w:rPr>
        <w:t>第七章 投标文件格式</w:t>
      </w:r>
      <w:bookmarkEnd w:id="309"/>
      <w:bookmarkEnd w:id="310"/>
      <w:bookmarkEnd w:id="311"/>
      <w:bookmarkEnd w:id="312"/>
    </w:p>
    <w:p w14:paraId="2C1BE627">
      <w:pPr>
        <w:rPr>
          <w:rFonts w:hint="eastAsia" w:ascii="宋体" w:hAnsi="宋体" w:cs="宋体"/>
          <w:color w:val="auto"/>
          <w:highlight w:val="none"/>
        </w:rPr>
      </w:pPr>
      <w:r>
        <w:rPr>
          <w:rFonts w:hint="eastAsia" w:ascii="宋体" w:hAnsi="宋体" w:cs="宋体"/>
          <w:color w:val="auto"/>
          <w:highlight w:val="none"/>
        </w:rPr>
        <w:t xml:space="preserve"> </w:t>
      </w:r>
    </w:p>
    <w:p w14:paraId="5582D385">
      <w:pPr>
        <w:rPr>
          <w:rFonts w:hint="eastAsia" w:ascii="宋体" w:hAnsi="宋体" w:cs="宋体"/>
          <w:color w:val="auto"/>
          <w:highlight w:val="none"/>
        </w:rPr>
      </w:pPr>
      <w:r>
        <w:rPr>
          <w:rFonts w:hint="eastAsia" w:ascii="宋体" w:hAnsi="宋体" w:cs="宋体"/>
          <w:color w:val="auto"/>
          <w:highlight w:val="none"/>
        </w:rPr>
        <w:t xml:space="preserve"> </w:t>
      </w:r>
    </w:p>
    <w:p w14:paraId="72F75C6A">
      <w:pPr>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资格审查部分封面</w:t>
      </w:r>
    </w:p>
    <w:p w14:paraId="54A19A8C">
      <w:pPr>
        <w:rPr>
          <w:rFonts w:hint="eastAsia" w:ascii="宋体" w:hAnsi="宋体" w:cs="宋体"/>
          <w:color w:val="auto"/>
          <w:highlight w:val="none"/>
        </w:rPr>
      </w:pPr>
    </w:p>
    <w:p w14:paraId="1011C9C1">
      <w:pPr>
        <w:rPr>
          <w:rFonts w:hint="eastAsia" w:ascii="宋体" w:hAnsi="宋体" w:cs="宋体"/>
          <w:color w:val="auto"/>
          <w:highlight w:val="none"/>
        </w:rPr>
      </w:pPr>
      <w:r>
        <w:rPr>
          <w:rFonts w:hint="eastAsia" w:ascii="宋体" w:hAnsi="宋体" w:cs="宋体"/>
          <w:color w:val="auto"/>
          <w:highlight w:val="none"/>
        </w:rPr>
        <w:t xml:space="preserve"> </w:t>
      </w:r>
    </w:p>
    <w:p w14:paraId="52D4AD31">
      <w:pPr>
        <w:jc w:val="center"/>
        <w:rPr>
          <w:rFonts w:hint="eastAsia" w:ascii="宋体" w:hAnsi="宋体" w:eastAsia="宋体" w:cs="宋体"/>
          <w:b/>
          <w:bCs/>
          <w:color w:val="auto"/>
          <w:sz w:val="40"/>
          <w:szCs w:val="40"/>
          <w:highlight w:val="none"/>
          <w:lang w:eastAsia="zh-CN"/>
        </w:rPr>
      </w:pPr>
      <w:r>
        <w:rPr>
          <w:rFonts w:hint="eastAsia" w:ascii="宋体" w:hAnsi="宋体" w:cs="宋体"/>
          <w:b/>
          <w:bCs/>
          <w:color w:val="auto"/>
          <w:sz w:val="36"/>
          <w:szCs w:val="36"/>
          <w:highlight w:val="none"/>
          <w:lang w:eastAsia="zh-CN"/>
        </w:rPr>
        <w:t>昆明医科大学第二附属医院高质量发展重点医疗设备更新项目-超声内镜系统</w:t>
      </w:r>
    </w:p>
    <w:p w14:paraId="518778A4">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02794D98">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1F0C98D7">
      <w:pPr>
        <w:jc w:val="center"/>
        <w:rPr>
          <w:rFonts w:hint="eastAsia" w:ascii="宋体" w:hAnsi="宋体" w:cs="宋体"/>
          <w:b/>
          <w:bCs/>
          <w:color w:val="auto"/>
          <w:sz w:val="52"/>
          <w:szCs w:val="52"/>
          <w:highlight w:val="none"/>
        </w:rPr>
      </w:pPr>
      <w:r>
        <w:rPr>
          <w:rFonts w:hint="eastAsia" w:ascii="宋体" w:hAnsi="宋体" w:cs="宋体"/>
          <w:b/>
          <w:bCs/>
          <w:color w:val="auto"/>
          <w:sz w:val="52"/>
          <w:szCs w:val="52"/>
          <w:highlight w:val="none"/>
        </w:rPr>
        <w:t>投 标 文 件</w:t>
      </w:r>
    </w:p>
    <w:p w14:paraId="1A11B705">
      <w:pPr>
        <w:jc w:val="center"/>
        <w:outlineLvl w:val="1"/>
        <w:rPr>
          <w:rFonts w:hint="eastAsia" w:ascii="宋体" w:hAnsi="宋体" w:cs="宋体"/>
          <w:b/>
          <w:bCs/>
          <w:color w:val="auto"/>
          <w:sz w:val="32"/>
          <w:szCs w:val="32"/>
          <w:highlight w:val="none"/>
        </w:rPr>
      </w:pPr>
      <w:bookmarkStart w:id="313" w:name="_Toc24186"/>
      <w:bookmarkStart w:id="314" w:name="_Toc865"/>
      <w:bookmarkStart w:id="315" w:name="_Toc3615"/>
      <w:r>
        <w:rPr>
          <w:rFonts w:hint="eastAsia" w:ascii="宋体" w:hAnsi="宋体" w:cs="宋体"/>
          <w:b/>
          <w:bCs/>
          <w:color w:val="auto"/>
          <w:sz w:val="32"/>
          <w:szCs w:val="32"/>
          <w:highlight w:val="none"/>
        </w:rPr>
        <w:t>资格审查部分</w:t>
      </w:r>
      <w:bookmarkEnd w:id="313"/>
      <w:bookmarkEnd w:id="314"/>
      <w:bookmarkEnd w:id="315"/>
    </w:p>
    <w:p w14:paraId="3B9357DA">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49DF2721">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010287C5">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0405C92F">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2C02804B">
      <w:pPr>
        <w:ind w:firstLine="562" w:firstLineChars="200"/>
        <w:rPr>
          <w:rFonts w:hint="eastAsia" w:ascii="宋体" w:hAnsi="宋体" w:cs="宋体"/>
          <w:b/>
          <w:color w:val="auto"/>
          <w:sz w:val="28"/>
          <w:szCs w:val="28"/>
          <w:highlight w:val="none"/>
        </w:rPr>
      </w:pPr>
      <w:bookmarkStart w:id="316" w:name="_Toc24434"/>
      <w:bookmarkEnd w:id="316"/>
      <w:r>
        <w:rPr>
          <w:rFonts w:hint="eastAsia" w:ascii="宋体" w:hAnsi="宋体" w:cs="宋体"/>
          <w:b/>
          <w:color w:val="auto"/>
          <w:sz w:val="28"/>
          <w:szCs w:val="28"/>
          <w:highlight w:val="none"/>
        </w:rPr>
        <w:t>投标人：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w:t>
      </w:r>
    </w:p>
    <w:p w14:paraId="315FB97A">
      <w:pPr>
        <w:ind w:firstLine="562" w:firstLineChars="200"/>
        <w:rPr>
          <w:rFonts w:hint="eastAsia" w:ascii="宋体" w:hAnsi="宋体" w:cs="宋体"/>
          <w:b/>
          <w:color w:val="auto"/>
          <w:sz w:val="28"/>
          <w:szCs w:val="28"/>
          <w:highlight w:val="none"/>
        </w:rPr>
      </w:pPr>
      <w:r>
        <w:rPr>
          <w:rFonts w:hint="eastAsia" w:ascii="宋体" w:hAnsi="宋体" w:cs="宋体"/>
          <w:b/>
          <w:color w:val="auto"/>
          <w:sz w:val="28"/>
          <w:szCs w:val="28"/>
          <w:highlight w:val="none"/>
        </w:rPr>
        <w:t>法定代表人(单位负责人)或其委托代理人：</w:t>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w:t>
      </w:r>
      <w:r>
        <w:rPr>
          <w:rFonts w:hint="eastAsia" w:ascii="宋体" w:hAnsi="宋体" w:eastAsia="宋体" w:cs="宋体"/>
          <w:b/>
          <w:color w:val="auto"/>
          <w:sz w:val="28"/>
          <w:szCs w:val="28"/>
          <w:highlight w:val="none"/>
        </w:rPr>
        <w:t>电子签章</w:t>
      </w:r>
      <w:r>
        <w:rPr>
          <w:rFonts w:hint="eastAsia" w:ascii="宋体" w:hAnsi="宋体" w:cs="宋体"/>
          <w:b/>
          <w:color w:val="auto"/>
          <w:sz w:val="28"/>
          <w:szCs w:val="28"/>
          <w:highlight w:val="none"/>
          <w:lang w:val="en-US" w:eastAsia="zh-CN"/>
        </w:rPr>
        <w:t>或签名</w:t>
      </w:r>
      <w:r>
        <w:rPr>
          <w:rFonts w:hint="eastAsia" w:ascii="宋体" w:hAnsi="宋体" w:cs="宋体"/>
          <w:b/>
          <w:color w:val="auto"/>
          <w:sz w:val="28"/>
          <w:szCs w:val="28"/>
          <w:highlight w:val="none"/>
        </w:rPr>
        <w:t>)</w:t>
      </w:r>
    </w:p>
    <w:p w14:paraId="007BF687">
      <w:pPr>
        <w:ind w:firstLine="562" w:firstLineChars="200"/>
        <w:rPr>
          <w:rFonts w:hint="eastAsia" w:ascii="宋体" w:hAnsi="宋体" w:cs="宋体"/>
          <w:color w:val="auto"/>
          <w:sz w:val="28"/>
          <w:szCs w:val="28"/>
          <w:highlight w:val="none"/>
        </w:rPr>
        <w:sectPr>
          <w:pgSz w:w="11906" w:h="16838"/>
          <w:pgMar w:top="1191" w:right="1191" w:bottom="1191" w:left="1304" w:header="851" w:footer="992" w:gutter="0"/>
          <w:pgNumType w:fmt="numberInDash"/>
          <w:cols w:space="720" w:num="1"/>
          <w:docGrid w:type="lines" w:linePitch="317" w:charSpace="0"/>
        </w:sectPr>
      </w:pPr>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日</w:t>
      </w:r>
    </w:p>
    <w:p w14:paraId="3470F37D">
      <w:pPr>
        <w:pStyle w:val="5"/>
        <w:spacing w:before="0" w:after="0" w:line="720" w:lineRule="auto"/>
        <w:rPr>
          <w:rFonts w:hint="eastAsia" w:ascii="宋体" w:hAnsi="宋体" w:cs="宋体"/>
          <w:color w:val="auto"/>
          <w:szCs w:val="28"/>
          <w:highlight w:val="none"/>
        </w:rPr>
      </w:pPr>
      <w:bookmarkStart w:id="317" w:name="_Toc24841"/>
      <w:bookmarkStart w:id="318" w:name="_Toc20842"/>
      <w:bookmarkStart w:id="319" w:name="_Toc29757"/>
      <w:r>
        <w:rPr>
          <w:rFonts w:hint="eastAsia" w:ascii="宋体" w:hAnsi="宋体" w:cs="宋体"/>
          <w:color w:val="auto"/>
          <w:szCs w:val="28"/>
          <w:highlight w:val="none"/>
        </w:rPr>
        <w:t>一、具有独立承担民事责任的能力</w:t>
      </w:r>
      <w:bookmarkEnd w:id="317"/>
      <w:bookmarkEnd w:id="318"/>
      <w:bookmarkEnd w:id="319"/>
    </w:p>
    <w:p w14:paraId="60934784">
      <w:pPr>
        <w:spacing w:line="360" w:lineRule="auto"/>
        <w:jc w:val="left"/>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）投</w:t>
      </w:r>
      <w:r>
        <w:rPr>
          <w:rFonts w:hint="eastAsia" w:ascii="宋体" w:hAnsi="宋体" w:cs="微软雅黑"/>
          <w:color w:val="auto"/>
          <w:sz w:val="24"/>
          <w:highlight w:val="none"/>
        </w:rPr>
        <w:t>标</w:t>
      </w:r>
      <w:r>
        <w:rPr>
          <w:rFonts w:hint="eastAsia" w:ascii="宋体" w:hAnsi="宋体" w:cs="Malgun Gothic"/>
          <w:color w:val="auto"/>
          <w:sz w:val="24"/>
          <w:highlight w:val="none"/>
        </w:rPr>
        <w:t>人是企</w:t>
      </w:r>
      <w:r>
        <w:rPr>
          <w:rFonts w:hint="eastAsia" w:ascii="宋体" w:hAnsi="宋体" w:cs="微软雅黑"/>
          <w:color w:val="auto"/>
          <w:sz w:val="24"/>
          <w:highlight w:val="none"/>
        </w:rPr>
        <w:t>业</w:t>
      </w:r>
      <w:r>
        <w:rPr>
          <w:rFonts w:hint="eastAsia" w:ascii="宋体" w:hAnsi="宋体" w:cs="Malgun Gothic"/>
          <w:color w:val="auto"/>
          <w:sz w:val="24"/>
          <w:highlight w:val="none"/>
        </w:rPr>
        <w:t>（包括合</w:t>
      </w:r>
      <w:r>
        <w:rPr>
          <w:rFonts w:hint="eastAsia" w:ascii="宋体" w:hAnsi="宋体" w:cs="微软雅黑"/>
          <w:color w:val="auto"/>
          <w:sz w:val="24"/>
          <w:highlight w:val="none"/>
        </w:rPr>
        <w:t>伙</w:t>
      </w:r>
      <w:r>
        <w:rPr>
          <w:rFonts w:hint="eastAsia" w:ascii="宋体" w:hAnsi="宋体" w:cs="Malgun Gothic"/>
          <w:color w:val="auto"/>
          <w:sz w:val="24"/>
          <w:highlight w:val="none"/>
        </w:rPr>
        <w:t>企</w:t>
      </w:r>
      <w:r>
        <w:rPr>
          <w:rFonts w:hint="eastAsia" w:ascii="宋体" w:hAnsi="宋体" w:cs="微软雅黑"/>
          <w:color w:val="auto"/>
          <w:sz w:val="24"/>
          <w:highlight w:val="none"/>
        </w:rPr>
        <w:t>业</w:t>
      </w:r>
      <w:r>
        <w:rPr>
          <w:rFonts w:hint="eastAsia" w:ascii="宋体" w:hAnsi="宋体" w:cs="Malgun Gothic"/>
          <w:color w:val="auto"/>
          <w:sz w:val="24"/>
          <w:highlight w:val="none"/>
        </w:rPr>
        <w:t>）的，</w:t>
      </w:r>
      <w:r>
        <w:rPr>
          <w:rFonts w:hint="eastAsia" w:ascii="宋体" w:hAnsi="宋体" w:cs="微软雅黑"/>
          <w:color w:val="auto"/>
          <w:sz w:val="24"/>
          <w:highlight w:val="none"/>
        </w:rPr>
        <w:t>应</w:t>
      </w:r>
      <w:r>
        <w:rPr>
          <w:rFonts w:hint="eastAsia" w:ascii="宋体" w:hAnsi="宋体" w:cs="Malgun Gothic"/>
          <w:color w:val="auto"/>
          <w:sz w:val="24"/>
          <w:highlight w:val="none"/>
        </w:rPr>
        <w:t>提供其在市</w:t>
      </w:r>
      <w:r>
        <w:rPr>
          <w:rFonts w:hint="eastAsia" w:ascii="宋体" w:hAnsi="宋体" w:cs="微软雅黑"/>
          <w:color w:val="auto"/>
          <w:sz w:val="24"/>
          <w:highlight w:val="none"/>
        </w:rPr>
        <w:t>场监</w:t>
      </w:r>
      <w:r>
        <w:rPr>
          <w:rFonts w:hint="eastAsia" w:ascii="宋体" w:hAnsi="宋体" w:cs="Malgun Gothic"/>
          <w:color w:val="auto"/>
          <w:sz w:val="24"/>
          <w:highlight w:val="none"/>
        </w:rPr>
        <w:t>督管理部</w:t>
      </w:r>
      <w:r>
        <w:rPr>
          <w:rFonts w:hint="eastAsia" w:ascii="宋体" w:hAnsi="宋体" w:cs="微软雅黑"/>
          <w:color w:val="auto"/>
          <w:sz w:val="24"/>
          <w:highlight w:val="none"/>
        </w:rPr>
        <w:t>门</w:t>
      </w:r>
      <w:r>
        <w:rPr>
          <w:rFonts w:hint="eastAsia" w:ascii="宋体" w:hAnsi="宋体" w:cs="Malgun Gothic"/>
          <w:color w:val="auto"/>
          <w:sz w:val="24"/>
          <w:highlight w:val="none"/>
        </w:rPr>
        <w:t>注</w:t>
      </w:r>
      <w:r>
        <w:rPr>
          <w:rFonts w:hint="eastAsia" w:ascii="宋体" w:hAnsi="宋体" w:cs="微软雅黑"/>
          <w:color w:val="auto"/>
          <w:sz w:val="24"/>
          <w:highlight w:val="none"/>
        </w:rPr>
        <w:t>册</w:t>
      </w:r>
      <w:r>
        <w:rPr>
          <w:rFonts w:hint="eastAsia" w:ascii="宋体" w:hAnsi="宋体" w:cs="Malgun Gothic"/>
          <w:color w:val="auto"/>
          <w:sz w:val="24"/>
          <w:highlight w:val="none"/>
        </w:rPr>
        <w:t>的有效“企</w:t>
      </w:r>
      <w:r>
        <w:rPr>
          <w:rFonts w:hint="eastAsia" w:ascii="宋体" w:hAnsi="宋体" w:cs="微软雅黑"/>
          <w:color w:val="auto"/>
          <w:sz w:val="24"/>
          <w:highlight w:val="none"/>
        </w:rPr>
        <w:t>业</w:t>
      </w:r>
      <w:r>
        <w:rPr>
          <w:rFonts w:hint="eastAsia" w:ascii="宋体" w:hAnsi="宋体" w:cs="Malgun Gothic"/>
          <w:color w:val="auto"/>
          <w:sz w:val="24"/>
          <w:highlight w:val="none"/>
        </w:rPr>
        <w:t>法人</w:t>
      </w:r>
      <w:r>
        <w:rPr>
          <w:rFonts w:hint="eastAsia" w:ascii="宋体" w:hAnsi="宋体" w:cs="微软雅黑"/>
          <w:color w:val="auto"/>
          <w:sz w:val="24"/>
          <w:highlight w:val="none"/>
        </w:rPr>
        <w:t>营业执</w:t>
      </w:r>
      <w:r>
        <w:rPr>
          <w:rFonts w:hint="eastAsia" w:ascii="宋体" w:hAnsi="宋体" w:cs="Malgun Gothic"/>
          <w:color w:val="auto"/>
          <w:sz w:val="24"/>
          <w:highlight w:val="none"/>
        </w:rPr>
        <w:t>照”或“</w:t>
      </w:r>
      <w:r>
        <w:rPr>
          <w:rFonts w:hint="eastAsia" w:ascii="宋体" w:hAnsi="宋体" w:cs="微软雅黑"/>
          <w:color w:val="auto"/>
          <w:sz w:val="24"/>
          <w:highlight w:val="none"/>
        </w:rPr>
        <w:t>营业执</w:t>
      </w:r>
      <w:r>
        <w:rPr>
          <w:rFonts w:hint="eastAsia" w:ascii="宋体" w:hAnsi="宋体" w:cs="Malgun Gothic"/>
          <w:color w:val="auto"/>
          <w:sz w:val="24"/>
          <w:highlight w:val="none"/>
        </w:rPr>
        <w:t>照”；</w:t>
      </w:r>
    </w:p>
    <w:p w14:paraId="0E7AB74B">
      <w:pPr>
        <w:spacing w:line="360" w:lineRule="auto"/>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ascii="宋体" w:hAnsi="宋体"/>
          <w:color w:val="auto"/>
          <w:sz w:val="24"/>
          <w:highlight w:val="none"/>
        </w:rPr>
        <w:t>投</w:t>
      </w:r>
      <w:r>
        <w:rPr>
          <w:rFonts w:hint="eastAsia" w:ascii="宋体" w:hAnsi="宋体" w:cs="微软雅黑"/>
          <w:color w:val="auto"/>
          <w:sz w:val="24"/>
          <w:highlight w:val="none"/>
        </w:rPr>
        <w:t>标</w:t>
      </w:r>
      <w:r>
        <w:rPr>
          <w:rFonts w:hint="eastAsia" w:ascii="宋体" w:hAnsi="宋体" w:cs="Malgun Gothic"/>
          <w:color w:val="auto"/>
          <w:sz w:val="24"/>
          <w:highlight w:val="none"/>
        </w:rPr>
        <w:t>人</w:t>
      </w:r>
      <w:r>
        <w:rPr>
          <w:rFonts w:hint="eastAsia" w:ascii="宋体" w:hAnsi="宋体"/>
          <w:color w:val="auto"/>
          <w:sz w:val="24"/>
          <w:highlight w:val="none"/>
        </w:rPr>
        <w:t>是事</w:t>
      </w:r>
      <w:r>
        <w:rPr>
          <w:rFonts w:hint="eastAsia" w:ascii="宋体" w:hAnsi="宋体" w:cs="微软雅黑"/>
          <w:color w:val="auto"/>
          <w:sz w:val="24"/>
          <w:highlight w:val="none"/>
        </w:rPr>
        <w:t>业单</w:t>
      </w:r>
      <w:r>
        <w:rPr>
          <w:rFonts w:hint="eastAsia" w:ascii="宋体" w:hAnsi="宋体" w:cs="Malgun Gothic"/>
          <w:color w:val="auto"/>
          <w:sz w:val="24"/>
          <w:highlight w:val="none"/>
        </w:rPr>
        <w:t>位的，</w:t>
      </w:r>
      <w:r>
        <w:rPr>
          <w:rFonts w:hint="eastAsia" w:ascii="宋体" w:hAnsi="宋体" w:cs="微软雅黑"/>
          <w:color w:val="auto"/>
          <w:sz w:val="24"/>
          <w:highlight w:val="none"/>
        </w:rPr>
        <w:t>应</w:t>
      </w:r>
      <w:r>
        <w:rPr>
          <w:rFonts w:hint="eastAsia" w:ascii="宋体" w:hAnsi="宋体" w:cs="Malgun Gothic"/>
          <w:color w:val="auto"/>
          <w:sz w:val="24"/>
          <w:highlight w:val="none"/>
        </w:rPr>
        <w:t>提供其有效的“事</w:t>
      </w:r>
      <w:r>
        <w:rPr>
          <w:rFonts w:hint="eastAsia" w:ascii="宋体" w:hAnsi="宋体" w:cs="微软雅黑"/>
          <w:color w:val="auto"/>
          <w:sz w:val="24"/>
          <w:highlight w:val="none"/>
        </w:rPr>
        <w:t>业单</w:t>
      </w:r>
      <w:r>
        <w:rPr>
          <w:rFonts w:hint="eastAsia" w:ascii="宋体" w:hAnsi="宋体" w:cs="Malgun Gothic"/>
          <w:color w:val="auto"/>
          <w:sz w:val="24"/>
          <w:highlight w:val="none"/>
        </w:rPr>
        <w:t>位法人</w:t>
      </w:r>
      <w:r>
        <w:rPr>
          <w:rFonts w:hint="eastAsia" w:ascii="宋体" w:hAnsi="宋体" w:cs="微软雅黑"/>
          <w:color w:val="auto"/>
          <w:sz w:val="24"/>
          <w:highlight w:val="none"/>
        </w:rPr>
        <w:t>证书</w:t>
      </w:r>
      <w:r>
        <w:rPr>
          <w:rFonts w:hint="eastAsia" w:ascii="宋体" w:hAnsi="宋体" w:cs="Malgun Gothic"/>
          <w:color w:val="auto"/>
          <w:sz w:val="24"/>
          <w:highlight w:val="none"/>
        </w:rPr>
        <w:t>”；</w:t>
      </w:r>
      <w:r>
        <w:rPr>
          <w:rFonts w:hint="eastAsia" w:ascii="宋体" w:hAnsi="宋体"/>
          <w:color w:val="auto"/>
          <w:sz w:val="24"/>
          <w:highlight w:val="none"/>
        </w:rPr>
        <w:t xml:space="preserve"> </w:t>
      </w:r>
    </w:p>
    <w:p w14:paraId="6822F984">
      <w:pPr>
        <w:spacing w:line="360" w:lineRule="auto"/>
        <w:jc w:val="left"/>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）投</w:t>
      </w:r>
      <w:r>
        <w:rPr>
          <w:rFonts w:hint="eastAsia" w:ascii="宋体" w:hAnsi="宋体" w:cs="微软雅黑"/>
          <w:color w:val="auto"/>
          <w:sz w:val="24"/>
          <w:highlight w:val="none"/>
        </w:rPr>
        <w:t>标</w:t>
      </w:r>
      <w:r>
        <w:rPr>
          <w:rFonts w:hint="eastAsia" w:ascii="宋体" w:hAnsi="宋体" w:cs="Malgun Gothic"/>
          <w:color w:val="auto"/>
          <w:sz w:val="24"/>
          <w:highlight w:val="none"/>
        </w:rPr>
        <w:t>人是</w:t>
      </w:r>
      <w:r>
        <w:rPr>
          <w:rFonts w:hint="eastAsia" w:ascii="宋体" w:hAnsi="宋体" w:cs="微软雅黑"/>
          <w:color w:val="auto"/>
          <w:sz w:val="24"/>
          <w:highlight w:val="none"/>
        </w:rPr>
        <w:t>个</w:t>
      </w:r>
      <w:r>
        <w:rPr>
          <w:rFonts w:hint="eastAsia" w:ascii="宋体" w:hAnsi="宋体" w:cs="Malgun Gothic"/>
          <w:color w:val="auto"/>
          <w:sz w:val="24"/>
          <w:highlight w:val="none"/>
        </w:rPr>
        <w:t>体工商</w:t>
      </w:r>
      <w:r>
        <w:rPr>
          <w:rFonts w:hint="eastAsia" w:ascii="宋体" w:hAnsi="宋体" w:cs="微软雅黑"/>
          <w:color w:val="auto"/>
          <w:sz w:val="24"/>
          <w:highlight w:val="none"/>
        </w:rPr>
        <w:t>户</w:t>
      </w:r>
      <w:r>
        <w:rPr>
          <w:rFonts w:hint="eastAsia" w:ascii="宋体" w:hAnsi="宋体" w:cs="Malgun Gothic"/>
          <w:color w:val="auto"/>
          <w:sz w:val="24"/>
          <w:highlight w:val="none"/>
        </w:rPr>
        <w:t>的，</w:t>
      </w:r>
      <w:r>
        <w:rPr>
          <w:rFonts w:hint="eastAsia" w:ascii="宋体" w:hAnsi="宋体" w:cs="微软雅黑"/>
          <w:color w:val="auto"/>
          <w:sz w:val="24"/>
          <w:highlight w:val="none"/>
        </w:rPr>
        <w:t>应</w:t>
      </w:r>
      <w:r>
        <w:rPr>
          <w:rFonts w:hint="eastAsia" w:ascii="宋体" w:hAnsi="宋体" w:cs="Malgun Gothic"/>
          <w:color w:val="auto"/>
          <w:sz w:val="24"/>
          <w:highlight w:val="none"/>
        </w:rPr>
        <w:t>提供其有效的“</w:t>
      </w:r>
      <w:r>
        <w:rPr>
          <w:rFonts w:hint="eastAsia" w:ascii="宋体" w:hAnsi="宋体" w:cs="微软雅黑"/>
          <w:color w:val="auto"/>
          <w:sz w:val="24"/>
          <w:highlight w:val="none"/>
        </w:rPr>
        <w:t>个</w:t>
      </w:r>
      <w:r>
        <w:rPr>
          <w:rFonts w:hint="eastAsia" w:ascii="宋体" w:hAnsi="宋体" w:cs="Malgun Gothic"/>
          <w:color w:val="auto"/>
          <w:sz w:val="24"/>
          <w:highlight w:val="none"/>
        </w:rPr>
        <w:t>体工商</w:t>
      </w:r>
      <w:r>
        <w:rPr>
          <w:rFonts w:hint="eastAsia" w:ascii="宋体" w:hAnsi="宋体" w:cs="微软雅黑"/>
          <w:color w:val="auto"/>
          <w:sz w:val="24"/>
          <w:highlight w:val="none"/>
        </w:rPr>
        <w:t>户营业执</w:t>
      </w:r>
      <w:r>
        <w:rPr>
          <w:rFonts w:hint="eastAsia" w:ascii="宋体" w:hAnsi="宋体" w:cs="Malgun Gothic"/>
          <w:color w:val="auto"/>
          <w:sz w:val="24"/>
          <w:highlight w:val="none"/>
        </w:rPr>
        <w:t>照”；</w:t>
      </w:r>
      <w:r>
        <w:rPr>
          <w:rFonts w:hint="eastAsia" w:ascii="宋体" w:hAnsi="宋体"/>
          <w:color w:val="auto"/>
          <w:sz w:val="24"/>
          <w:highlight w:val="none"/>
        </w:rPr>
        <w:t xml:space="preserve"> </w:t>
      </w:r>
    </w:p>
    <w:p w14:paraId="7444EAEC">
      <w:pPr>
        <w:spacing w:line="360" w:lineRule="auto"/>
        <w:jc w:val="left"/>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）投</w:t>
      </w:r>
      <w:r>
        <w:rPr>
          <w:rFonts w:hint="eastAsia" w:ascii="宋体" w:hAnsi="宋体" w:cs="微软雅黑"/>
          <w:color w:val="auto"/>
          <w:sz w:val="24"/>
          <w:highlight w:val="none"/>
        </w:rPr>
        <w:t>标</w:t>
      </w:r>
      <w:r>
        <w:rPr>
          <w:rFonts w:hint="eastAsia" w:ascii="宋体" w:hAnsi="宋体" w:cs="Malgun Gothic"/>
          <w:color w:val="auto"/>
          <w:sz w:val="24"/>
          <w:highlight w:val="none"/>
        </w:rPr>
        <w:t>人是自然人的，</w:t>
      </w:r>
      <w:r>
        <w:rPr>
          <w:rFonts w:hint="eastAsia" w:ascii="宋体" w:hAnsi="宋体" w:cs="微软雅黑"/>
          <w:color w:val="auto"/>
          <w:sz w:val="24"/>
          <w:highlight w:val="none"/>
        </w:rPr>
        <w:t>应</w:t>
      </w:r>
      <w:r>
        <w:rPr>
          <w:rFonts w:hint="eastAsia" w:ascii="宋体" w:hAnsi="宋体" w:cs="Malgun Gothic"/>
          <w:color w:val="auto"/>
          <w:sz w:val="24"/>
          <w:highlight w:val="none"/>
        </w:rPr>
        <w:t>提供其有效的自然人身</w:t>
      </w:r>
      <w:r>
        <w:rPr>
          <w:rFonts w:hint="eastAsia" w:ascii="宋体" w:hAnsi="宋体" w:cs="微软雅黑"/>
          <w:color w:val="auto"/>
          <w:sz w:val="24"/>
          <w:highlight w:val="none"/>
        </w:rPr>
        <w:t>份证</w:t>
      </w:r>
      <w:r>
        <w:rPr>
          <w:rFonts w:hint="eastAsia" w:ascii="宋体" w:hAnsi="宋体" w:cs="Malgun Gothic"/>
          <w:color w:val="auto"/>
          <w:sz w:val="24"/>
          <w:highlight w:val="none"/>
        </w:rPr>
        <w:t>明。</w:t>
      </w:r>
    </w:p>
    <w:p w14:paraId="7843F1ED">
      <w:pPr>
        <w:pStyle w:val="21"/>
        <w:tabs>
          <w:tab w:val="left" w:pos="5580"/>
        </w:tabs>
        <w:spacing w:line="360" w:lineRule="auto"/>
        <w:ind w:left="539" w:leftChars="257" w:firstLine="539"/>
        <w:rPr>
          <w:rFonts w:hint="eastAsia" w:hAnsi="宋体" w:cs="宋体"/>
          <w:color w:val="auto"/>
          <w:highlight w:val="none"/>
        </w:rPr>
      </w:pPr>
      <w:bookmarkStart w:id="320" w:name="_Toc24593"/>
      <w:bookmarkEnd w:id="320"/>
      <w:bookmarkStart w:id="321" w:name="_Toc10328"/>
      <w:r>
        <w:rPr>
          <w:rFonts w:hint="eastAsia" w:hAnsi="宋体" w:cs="宋体"/>
          <w:color w:val="auto"/>
          <w:sz w:val="24"/>
          <w:szCs w:val="24"/>
          <w:highlight w:val="none"/>
        </w:rPr>
        <w:t>（提供扫描件)</w:t>
      </w:r>
    </w:p>
    <w:bookmarkEnd w:id="321"/>
    <w:p w14:paraId="1BF25FB9">
      <w:pPr>
        <w:rPr>
          <w:rFonts w:hint="eastAsia" w:ascii="宋体" w:hAnsi="宋体" w:cs="宋体"/>
          <w:color w:val="auto"/>
          <w:highlight w:val="none"/>
        </w:rPr>
      </w:pPr>
      <w:bookmarkStart w:id="322" w:name="_Toc11747"/>
      <w:bookmarkStart w:id="323" w:name="_Toc24801"/>
    </w:p>
    <w:p w14:paraId="7B493787">
      <w:pPr>
        <w:pStyle w:val="13"/>
        <w:rPr>
          <w:rFonts w:hint="eastAsia" w:ascii="宋体" w:hAnsi="宋体" w:cs="宋体"/>
          <w:color w:val="auto"/>
          <w:highlight w:val="none"/>
        </w:rPr>
      </w:pPr>
    </w:p>
    <w:p w14:paraId="6CAB5298">
      <w:pPr>
        <w:pStyle w:val="5"/>
        <w:spacing w:before="0" w:after="0" w:line="720" w:lineRule="auto"/>
        <w:rPr>
          <w:rFonts w:hint="eastAsia" w:ascii="宋体" w:hAnsi="宋体" w:cs="宋体"/>
          <w:color w:val="auto"/>
          <w:highlight w:val="none"/>
        </w:rPr>
      </w:pPr>
      <w:bookmarkStart w:id="324" w:name="_Toc20455"/>
      <w:bookmarkStart w:id="325" w:name="_Toc31273"/>
      <w:bookmarkStart w:id="326" w:name="_Toc9300"/>
      <w:r>
        <w:rPr>
          <w:rFonts w:hint="eastAsia" w:ascii="宋体" w:hAnsi="宋体" w:cs="宋体"/>
          <w:color w:val="auto"/>
          <w:szCs w:val="28"/>
          <w:highlight w:val="none"/>
        </w:rPr>
        <w:t>二、具有良好的商业信誉和健全的财务会计制度</w:t>
      </w:r>
      <w:bookmarkEnd w:id="322"/>
      <w:bookmarkEnd w:id="323"/>
      <w:bookmarkEnd w:id="324"/>
      <w:bookmarkEnd w:id="325"/>
      <w:bookmarkEnd w:id="326"/>
    </w:p>
    <w:p w14:paraId="483DC1F0">
      <w:pPr>
        <w:widowControl w:val="0"/>
        <w:spacing w:line="360" w:lineRule="auto"/>
        <w:ind w:firstLine="480" w:firstLineChars="200"/>
        <w:jc w:val="both"/>
        <w:rPr>
          <w:rFonts w:hint="eastAsia" w:ascii="宋体" w:hAnsi="宋体" w:cs="宋体"/>
          <w:color w:val="auto"/>
          <w:kern w:val="2"/>
          <w:sz w:val="24"/>
          <w:szCs w:val="24"/>
          <w:highlight w:val="none"/>
          <w:lang w:bidi="ar"/>
        </w:rPr>
      </w:pPr>
      <w:bookmarkStart w:id="327" w:name="_Toc27285"/>
      <w:bookmarkStart w:id="328" w:name="_Toc25770"/>
      <w:r>
        <w:rPr>
          <w:rFonts w:hint="eastAsia" w:ascii="宋体" w:hAnsi="宋体" w:cs="宋体"/>
          <w:color w:val="auto"/>
          <w:kern w:val="2"/>
          <w:sz w:val="24"/>
          <w:szCs w:val="24"/>
          <w:highlight w:val="none"/>
          <w:lang w:bidi="ar"/>
        </w:rPr>
        <w:t>投标人须提供财务状况报告，内容可为以下</w:t>
      </w:r>
      <w:r>
        <w:rPr>
          <w:rFonts w:hint="eastAsia" w:ascii="宋体" w:hAnsi="宋体" w:cs="宋体"/>
          <w:color w:val="auto"/>
          <w:kern w:val="2"/>
          <w:sz w:val="24"/>
          <w:szCs w:val="24"/>
          <w:highlight w:val="none"/>
          <w:lang w:val="en-US" w:eastAsia="zh-CN" w:bidi="ar"/>
        </w:rPr>
        <w:t>三</w:t>
      </w:r>
      <w:r>
        <w:rPr>
          <w:rFonts w:hint="eastAsia" w:ascii="宋体" w:hAnsi="宋体" w:cs="宋体"/>
          <w:color w:val="auto"/>
          <w:kern w:val="2"/>
          <w:sz w:val="24"/>
          <w:szCs w:val="24"/>
          <w:highlight w:val="none"/>
          <w:lang w:bidi="ar"/>
        </w:rPr>
        <w:t xml:space="preserve">者之一： </w:t>
      </w:r>
    </w:p>
    <w:p w14:paraId="5A5CD4E8">
      <w:pPr>
        <w:widowControl w:val="0"/>
        <w:spacing w:line="360" w:lineRule="auto"/>
        <w:ind w:firstLine="480" w:firstLineChars="200"/>
        <w:jc w:val="both"/>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①提供2024年至今任意一年度经审计的财务报告</w:t>
      </w:r>
      <w:r>
        <w:rPr>
          <w:rFonts w:hint="eastAsia" w:ascii="宋体" w:hAnsi="宋体" w:cs="宋体"/>
          <w:b/>
          <w:bCs/>
          <w:color w:val="auto"/>
          <w:kern w:val="2"/>
          <w:sz w:val="24"/>
          <w:szCs w:val="24"/>
          <w:highlight w:val="none"/>
          <w:lang w:bidi="ar"/>
        </w:rPr>
        <w:t>（包括资产负债表、利润表、现金流量表、</w:t>
      </w:r>
      <w:r>
        <w:rPr>
          <w:rFonts w:hint="eastAsia" w:ascii="宋体" w:hAnsi="宋体" w:cs="宋体"/>
          <w:b/>
          <w:bCs/>
          <w:color w:val="auto"/>
          <w:kern w:val="2"/>
          <w:sz w:val="24"/>
          <w:szCs w:val="24"/>
          <w:highlight w:val="none"/>
          <w:lang w:eastAsia="zh-CN" w:bidi="ar"/>
        </w:rPr>
        <w:t>所有者权益变动表及其附注（执行小企业会计准则的可不提供所有者权益变动表）</w:t>
      </w:r>
      <w:r>
        <w:rPr>
          <w:rFonts w:hint="eastAsia" w:ascii="宋体" w:hAnsi="宋体" w:cs="宋体"/>
          <w:b/>
          <w:bCs/>
          <w:color w:val="auto"/>
          <w:kern w:val="2"/>
          <w:sz w:val="24"/>
          <w:szCs w:val="24"/>
          <w:highlight w:val="none"/>
          <w:lang w:bidi="ar"/>
        </w:rPr>
        <w:t>）</w:t>
      </w:r>
      <w:r>
        <w:rPr>
          <w:rFonts w:hint="eastAsia" w:ascii="宋体" w:hAnsi="宋体" w:cs="宋体"/>
          <w:color w:val="auto"/>
          <w:kern w:val="2"/>
          <w:sz w:val="24"/>
          <w:szCs w:val="24"/>
          <w:highlight w:val="none"/>
          <w:lang w:bidi="ar"/>
        </w:rPr>
        <w:t>，2025年1月1日至今成立的投标人</w:t>
      </w:r>
      <w:r>
        <w:rPr>
          <w:rFonts w:hint="eastAsia" w:ascii="宋体" w:hAnsi="宋体" w:cs="宋体"/>
          <w:color w:val="auto"/>
          <w:kern w:val="2"/>
          <w:sz w:val="24"/>
          <w:szCs w:val="24"/>
          <w:highlight w:val="none"/>
          <w:lang w:val="en-US" w:eastAsia="zh-CN" w:bidi="ar"/>
        </w:rPr>
        <w:t>可</w:t>
      </w:r>
      <w:r>
        <w:rPr>
          <w:rFonts w:hint="eastAsia" w:ascii="宋体" w:hAnsi="宋体" w:cs="宋体"/>
          <w:color w:val="auto"/>
          <w:kern w:val="2"/>
          <w:sz w:val="24"/>
          <w:szCs w:val="24"/>
          <w:highlight w:val="none"/>
          <w:lang w:bidi="ar"/>
        </w:rPr>
        <w:t>提供自成立至今</w:t>
      </w:r>
      <w:r>
        <w:rPr>
          <w:rFonts w:hint="eastAsia" w:ascii="宋体" w:hAnsi="宋体" w:cs="宋体"/>
          <w:color w:val="auto"/>
          <w:kern w:val="2"/>
          <w:sz w:val="24"/>
          <w:szCs w:val="24"/>
          <w:highlight w:val="none"/>
          <w:lang w:val="en-US" w:eastAsia="zh-CN" w:bidi="ar"/>
        </w:rPr>
        <w:t>自行编制</w:t>
      </w:r>
      <w:r>
        <w:rPr>
          <w:rFonts w:hint="eastAsia" w:ascii="宋体" w:hAnsi="宋体" w:cs="宋体"/>
          <w:color w:val="auto"/>
          <w:kern w:val="2"/>
          <w:sz w:val="24"/>
          <w:szCs w:val="24"/>
          <w:highlight w:val="none"/>
          <w:lang w:bidi="ar"/>
        </w:rPr>
        <w:t>的财务报表；</w:t>
      </w:r>
    </w:p>
    <w:p w14:paraId="2E7B92D2">
      <w:pPr>
        <w:widowControl w:val="0"/>
        <w:spacing w:line="360" w:lineRule="auto"/>
        <w:ind w:firstLine="480" w:firstLineChars="200"/>
        <w:jc w:val="both"/>
        <w:rPr>
          <w:rFonts w:hint="eastAsia"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bidi="ar"/>
        </w:rPr>
        <w:t>②提供自投标文件提交截止时间前三个月内基本开户银行出具的资信证明。</w:t>
      </w:r>
    </w:p>
    <w:p w14:paraId="64073B7C">
      <w:pPr>
        <w:widowControl w:val="0"/>
        <w:spacing w:line="360" w:lineRule="auto"/>
        <w:ind w:firstLine="480" w:firstLineChars="200"/>
        <w:jc w:val="both"/>
        <w:rPr>
          <w:rFonts w:hint="eastAsia" w:ascii="宋体" w:hAnsi="宋体" w:eastAsia="宋体" w:cs="宋体"/>
          <w:color w:val="auto"/>
          <w:kern w:val="2"/>
          <w:sz w:val="24"/>
          <w:szCs w:val="24"/>
          <w:highlight w:val="none"/>
          <w:lang w:bidi="ar"/>
        </w:rPr>
      </w:pPr>
      <w:r>
        <w:rPr>
          <w:rFonts w:hint="eastAsia" w:ascii="宋体" w:hAnsi="宋体" w:eastAsia="宋体" w:cs="宋体"/>
          <w:color w:val="auto"/>
          <w:kern w:val="2"/>
          <w:sz w:val="24"/>
          <w:szCs w:val="24"/>
          <w:highlight w:val="none"/>
          <w:lang w:bidi="ar"/>
        </w:rPr>
        <w:t>③财政部门认可的政府采购专业担保机构出具的投标担保函，须同时提供专业担保机构经财政部门认可的证明文件。</w:t>
      </w:r>
    </w:p>
    <w:p w14:paraId="457FFAA9">
      <w:pPr>
        <w:pStyle w:val="61"/>
        <w:ind w:firstLine="480" w:firstLineChars="200"/>
        <w:rPr>
          <w:rFonts w:hint="eastAsia" w:ascii="宋体" w:hAnsi="宋体" w:eastAsia="宋体"/>
          <w:color w:val="auto"/>
          <w:sz w:val="28"/>
          <w:szCs w:val="28"/>
          <w:highlight w:val="none"/>
        </w:rPr>
      </w:pPr>
      <w:r>
        <w:rPr>
          <w:rFonts w:hint="eastAsia" w:ascii="宋体" w:hAnsi="宋体" w:eastAsia="宋体"/>
          <w:color w:val="auto"/>
          <w:sz w:val="24"/>
          <w:szCs w:val="24"/>
          <w:highlight w:val="none"/>
        </w:rPr>
        <w:t>（提供扫描件)</w:t>
      </w:r>
    </w:p>
    <w:p w14:paraId="5A62C265">
      <w:pPr>
        <w:rPr>
          <w:rFonts w:hint="eastAsia" w:ascii="宋体" w:hAnsi="宋体" w:cs="宋体"/>
          <w:color w:val="auto"/>
          <w:highlight w:val="none"/>
        </w:rPr>
      </w:pPr>
    </w:p>
    <w:p w14:paraId="512C9059">
      <w:pPr>
        <w:pStyle w:val="13"/>
        <w:rPr>
          <w:rFonts w:hint="eastAsia" w:ascii="宋体" w:hAnsi="宋体" w:cs="宋体"/>
          <w:color w:val="auto"/>
          <w:highlight w:val="none"/>
        </w:rPr>
      </w:pPr>
    </w:p>
    <w:p w14:paraId="0EFC7E09">
      <w:pPr>
        <w:pStyle w:val="5"/>
        <w:spacing w:before="0" w:after="0" w:line="720" w:lineRule="auto"/>
        <w:rPr>
          <w:rFonts w:hint="eastAsia" w:ascii="宋体" w:hAnsi="宋体" w:cs="宋体"/>
          <w:color w:val="auto"/>
          <w:highlight w:val="none"/>
        </w:rPr>
      </w:pPr>
      <w:bookmarkStart w:id="329" w:name="_Toc32760"/>
      <w:bookmarkStart w:id="330" w:name="_Toc11299"/>
      <w:bookmarkStart w:id="331" w:name="_Toc8110"/>
      <w:r>
        <w:rPr>
          <w:rFonts w:hint="eastAsia" w:ascii="宋体" w:hAnsi="宋体" w:cs="宋体"/>
          <w:color w:val="auto"/>
          <w:szCs w:val="28"/>
          <w:highlight w:val="none"/>
        </w:rPr>
        <w:t>三、</w:t>
      </w:r>
      <w:bookmarkEnd w:id="327"/>
      <w:bookmarkEnd w:id="328"/>
      <w:r>
        <w:rPr>
          <w:rFonts w:hint="eastAsia" w:ascii="宋体" w:hAnsi="宋体" w:cs="宋体"/>
          <w:color w:val="auto"/>
          <w:szCs w:val="28"/>
          <w:highlight w:val="none"/>
        </w:rPr>
        <w:t>具有履行合同所必需的设备和专业技术能力</w:t>
      </w:r>
      <w:bookmarkEnd w:id="329"/>
      <w:bookmarkEnd w:id="330"/>
      <w:bookmarkEnd w:id="331"/>
    </w:p>
    <w:p w14:paraId="1E990164">
      <w:pPr>
        <w:pStyle w:val="61"/>
        <w:ind w:firstLine="480" w:firstLineChars="200"/>
        <w:rPr>
          <w:rFonts w:hint="eastAsia" w:ascii="宋体" w:hAnsi="宋体" w:eastAsia="宋体"/>
          <w:color w:val="auto"/>
          <w:sz w:val="24"/>
          <w:szCs w:val="24"/>
          <w:highlight w:val="none"/>
        </w:rPr>
      </w:pPr>
      <w:bookmarkStart w:id="332" w:name="_Toc14504"/>
      <w:bookmarkEnd w:id="332"/>
      <w:bookmarkStart w:id="333" w:name="_Toc23521"/>
      <w:bookmarkStart w:id="334" w:name="_Toc1209"/>
      <w:r>
        <w:rPr>
          <w:rFonts w:hint="eastAsia" w:ascii="宋体" w:hAnsi="宋体" w:eastAsia="宋体"/>
          <w:color w:val="auto"/>
          <w:sz w:val="24"/>
          <w:szCs w:val="24"/>
          <w:highlight w:val="none"/>
        </w:rPr>
        <w:t>提供具备履行合同所必需的设备和专业技术能力的证明材料</w:t>
      </w:r>
      <w:r>
        <w:rPr>
          <w:rFonts w:hint="eastAsia" w:ascii="宋体" w:hAnsi="宋体" w:eastAsia="宋体"/>
          <w:color w:val="auto"/>
          <w:sz w:val="24"/>
          <w:szCs w:val="24"/>
          <w:highlight w:val="none"/>
          <w:lang w:val="en-US" w:eastAsia="zh-CN"/>
        </w:rPr>
        <w:t>或书面声明</w:t>
      </w:r>
      <w:r>
        <w:rPr>
          <w:rFonts w:hint="eastAsia" w:ascii="宋体" w:hAnsi="宋体" w:eastAsia="宋体"/>
          <w:color w:val="auto"/>
          <w:sz w:val="24"/>
          <w:szCs w:val="24"/>
          <w:highlight w:val="none"/>
        </w:rPr>
        <w:t>。</w:t>
      </w:r>
    </w:p>
    <w:p w14:paraId="5295E79A">
      <w:pPr>
        <w:rPr>
          <w:rFonts w:hint="eastAsia" w:ascii="宋体" w:hAnsi="宋体" w:cs="宋体"/>
          <w:color w:val="auto"/>
          <w:highlight w:val="none"/>
        </w:rPr>
      </w:pPr>
    </w:p>
    <w:p w14:paraId="0AB3967F">
      <w:pPr>
        <w:rPr>
          <w:rFonts w:hint="eastAsia" w:ascii="宋体" w:hAnsi="宋体" w:cs="宋体"/>
          <w:color w:val="auto"/>
          <w:highlight w:val="none"/>
        </w:rPr>
      </w:pPr>
    </w:p>
    <w:p w14:paraId="5557C32A">
      <w:pPr>
        <w:pStyle w:val="13"/>
        <w:rPr>
          <w:rFonts w:hint="eastAsia" w:ascii="宋体" w:hAnsi="宋体" w:cs="宋体"/>
          <w:color w:val="auto"/>
          <w:highlight w:val="none"/>
        </w:rPr>
      </w:pPr>
    </w:p>
    <w:p w14:paraId="2982D928">
      <w:pPr>
        <w:pStyle w:val="13"/>
        <w:rPr>
          <w:rFonts w:hint="eastAsia" w:ascii="宋体" w:hAnsi="宋体" w:cs="宋体"/>
          <w:color w:val="auto"/>
          <w:highlight w:val="none"/>
        </w:rPr>
      </w:pPr>
    </w:p>
    <w:p w14:paraId="764EA1B1">
      <w:pPr>
        <w:pStyle w:val="5"/>
        <w:spacing w:before="0" w:after="0" w:line="720" w:lineRule="auto"/>
        <w:rPr>
          <w:rFonts w:hint="eastAsia" w:ascii="宋体" w:hAnsi="宋体" w:cs="宋体"/>
          <w:color w:val="auto"/>
          <w:highlight w:val="none"/>
        </w:rPr>
      </w:pPr>
      <w:bookmarkStart w:id="335" w:name="_Toc8322"/>
      <w:bookmarkStart w:id="336" w:name="_Toc32054"/>
      <w:bookmarkStart w:id="337" w:name="_Toc12784"/>
      <w:r>
        <w:rPr>
          <w:rFonts w:hint="eastAsia" w:ascii="宋体" w:hAnsi="宋体" w:cs="宋体"/>
          <w:color w:val="auto"/>
          <w:szCs w:val="28"/>
          <w:highlight w:val="none"/>
        </w:rPr>
        <w:t>四、</w:t>
      </w:r>
      <w:bookmarkEnd w:id="333"/>
      <w:bookmarkEnd w:id="334"/>
      <w:r>
        <w:rPr>
          <w:rFonts w:hint="eastAsia" w:ascii="宋体" w:hAnsi="宋体" w:cs="宋体"/>
          <w:color w:val="auto"/>
          <w:szCs w:val="28"/>
          <w:highlight w:val="none"/>
        </w:rPr>
        <w:t>有依法缴纳税收和社会保障资金的良好记录</w:t>
      </w:r>
      <w:bookmarkEnd w:id="335"/>
      <w:bookmarkEnd w:id="336"/>
      <w:bookmarkEnd w:id="337"/>
    </w:p>
    <w:p w14:paraId="2F0ABC13">
      <w:pPr>
        <w:spacing w:line="360" w:lineRule="auto"/>
        <w:ind w:firstLine="480" w:firstLineChars="2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提供</w:t>
      </w:r>
      <w:r>
        <w:rPr>
          <w:rFonts w:hint="eastAsia" w:ascii="宋体" w:hAnsi="宋体" w:cs="宋体"/>
          <w:color w:val="auto"/>
          <w:sz w:val="24"/>
          <w:szCs w:val="24"/>
          <w:highlight w:val="none"/>
          <w:lang w:eastAsia="zh-CN"/>
        </w:rPr>
        <w:t>2025年5月至今任意</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个月</w:t>
      </w:r>
      <w:r>
        <w:rPr>
          <w:rFonts w:hint="eastAsia" w:ascii="宋体" w:hAnsi="宋体" w:cs="宋体"/>
          <w:color w:val="auto"/>
          <w:sz w:val="24"/>
          <w:szCs w:val="24"/>
          <w:highlight w:val="none"/>
        </w:rPr>
        <w:t>依法缴纳税收和缴纳社会保障资金的证明（</w:t>
      </w:r>
      <w:r>
        <w:rPr>
          <w:rFonts w:hint="eastAsia" w:ascii="宋体" w:hAnsi="宋体" w:cs="宋体"/>
          <w:color w:val="auto"/>
          <w:sz w:val="24"/>
          <w:szCs w:val="24"/>
          <w:highlight w:val="none"/>
          <w:lang w:eastAsia="zh-CN"/>
        </w:rPr>
        <w:t>成立未满2个月的提供成立以来的税收和社会保障资金缴纳凭据或相关情况说明</w:t>
      </w:r>
      <w:r>
        <w:rPr>
          <w:rFonts w:hint="eastAsia" w:ascii="宋体" w:hAnsi="宋体" w:cs="宋体"/>
          <w:color w:val="auto"/>
          <w:sz w:val="24"/>
          <w:szCs w:val="24"/>
          <w:highlight w:val="none"/>
        </w:rPr>
        <w:t>；依法免税或不需要缴纳社会保障资金的投标人，应提供相应文件证明其依法免税或不需要缴纳社会保障资金）。（提供扫描件）</w:t>
      </w:r>
    </w:p>
    <w:p w14:paraId="00736BCD">
      <w:pPr>
        <w:pStyle w:val="5"/>
        <w:spacing w:before="0" w:after="0" w:line="720" w:lineRule="auto"/>
        <w:rPr>
          <w:rFonts w:hint="eastAsia" w:ascii="宋体" w:hAnsi="宋体" w:cs="宋体"/>
          <w:color w:val="auto"/>
          <w:highlight w:val="none"/>
        </w:rPr>
      </w:pPr>
      <w:bookmarkStart w:id="338" w:name="_Toc8069"/>
      <w:bookmarkEnd w:id="338"/>
      <w:r>
        <w:rPr>
          <w:rFonts w:hint="eastAsia" w:ascii="宋体" w:hAnsi="宋体" w:cs="宋体"/>
          <w:color w:val="auto"/>
          <w:highlight w:val="none"/>
        </w:rPr>
        <w:br w:type="page"/>
      </w:r>
      <w:bookmarkStart w:id="339" w:name="_Toc14258"/>
      <w:bookmarkStart w:id="340" w:name="_Toc14505"/>
      <w:bookmarkStart w:id="341" w:name="_Toc4825"/>
      <w:r>
        <w:rPr>
          <w:rFonts w:hint="eastAsia" w:ascii="宋体" w:hAnsi="宋体" w:cs="宋体"/>
          <w:color w:val="auto"/>
          <w:highlight w:val="none"/>
        </w:rPr>
        <w:t>五、</w:t>
      </w:r>
      <w:bookmarkStart w:id="342" w:name="_Toc4022"/>
      <w:bookmarkEnd w:id="342"/>
      <w:bookmarkStart w:id="343" w:name="_Toc30512"/>
      <w:r>
        <w:rPr>
          <w:rFonts w:hint="eastAsia" w:ascii="宋体" w:hAnsi="宋体" w:cs="宋体"/>
          <w:color w:val="auto"/>
          <w:szCs w:val="28"/>
          <w:highlight w:val="none"/>
        </w:rPr>
        <w:t>参加政府采购活动前三年内，在经营活动中没有重大违法记录</w:t>
      </w:r>
      <w:bookmarkEnd w:id="339"/>
      <w:bookmarkEnd w:id="340"/>
      <w:bookmarkEnd w:id="341"/>
    </w:p>
    <w:p w14:paraId="6F01D401">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（采购人）</w:t>
      </w:r>
    </w:p>
    <w:p w14:paraId="7B466ED5">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（投标人自行承诺及说明，内容自拟）               </w:t>
      </w:r>
    </w:p>
    <w:p w14:paraId="7C23FF30">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4D4060C7">
      <w:pPr>
        <w:spacing w:line="360" w:lineRule="auto"/>
        <w:ind w:firstLine="480" w:firstLineChars="200"/>
        <w:rPr>
          <w:rFonts w:hint="eastAsia" w:ascii="宋体" w:hAnsi="宋体" w:cs="宋体"/>
          <w:color w:val="auto"/>
          <w:sz w:val="24"/>
          <w:szCs w:val="24"/>
          <w:highlight w:val="none"/>
        </w:rPr>
      </w:pPr>
    </w:p>
    <w:p w14:paraId="574C9657">
      <w:pPr>
        <w:spacing w:line="360" w:lineRule="auto"/>
        <w:ind w:firstLine="480" w:firstLineChars="200"/>
        <w:rPr>
          <w:rFonts w:hint="eastAsia" w:ascii="宋体" w:hAnsi="宋体" w:cs="宋体"/>
          <w:color w:val="auto"/>
          <w:sz w:val="24"/>
          <w:szCs w:val="24"/>
          <w:highlight w:val="none"/>
        </w:rPr>
      </w:pPr>
    </w:p>
    <w:p w14:paraId="52FC65CD">
      <w:pPr>
        <w:spacing w:line="360" w:lineRule="auto"/>
        <w:ind w:firstLine="480" w:firstLineChars="200"/>
        <w:rPr>
          <w:rFonts w:hint="eastAsia" w:ascii="宋体" w:hAnsi="宋体" w:cs="宋体"/>
          <w:color w:val="auto"/>
          <w:sz w:val="24"/>
          <w:szCs w:val="24"/>
          <w:highlight w:val="none"/>
        </w:rPr>
      </w:pPr>
    </w:p>
    <w:p w14:paraId="7B615F3B">
      <w:pPr>
        <w:ind w:firstLine="1200" w:firstLineChars="500"/>
        <w:rPr>
          <w:rFonts w:hint="eastAsia" w:ascii="宋体" w:hAnsi="宋体" w:cs="宋体"/>
          <w:b/>
          <w:bCs/>
          <w:color w:val="auto"/>
          <w:sz w:val="24"/>
          <w:szCs w:val="24"/>
          <w:highlight w:val="none"/>
        </w:rPr>
      </w:pPr>
    </w:p>
    <w:p w14:paraId="6E825679">
      <w:pPr>
        <w:ind w:firstLine="1200" w:firstLineChars="500"/>
        <w:rPr>
          <w:rFonts w:hint="eastAsia" w:ascii="宋体" w:hAnsi="宋体" w:cs="宋体"/>
          <w:b/>
          <w:bCs/>
          <w:color w:val="auto"/>
          <w:sz w:val="24"/>
          <w:szCs w:val="24"/>
          <w:highlight w:val="none"/>
        </w:rPr>
      </w:pPr>
    </w:p>
    <w:p w14:paraId="61AEDD4E">
      <w:pPr>
        <w:ind w:firstLine="1200" w:firstLineChars="500"/>
        <w:rPr>
          <w:rFonts w:hint="eastAsia" w:ascii="宋体" w:hAnsi="宋体" w:cs="宋体"/>
          <w:b/>
          <w:bCs/>
          <w:color w:val="auto"/>
          <w:sz w:val="24"/>
          <w:szCs w:val="24"/>
          <w:highlight w:val="none"/>
        </w:rPr>
      </w:pPr>
    </w:p>
    <w:p w14:paraId="26C5BAFA">
      <w:pPr>
        <w:pStyle w:val="13"/>
        <w:rPr>
          <w:rFonts w:hint="eastAsia" w:ascii="宋体" w:hAnsi="宋体" w:cs="宋体"/>
          <w:color w:val="auto"/>
          <w:highlight w:val="none"/>
        </w:rPr>
      </w:pPr>
    </w:p>
    <w:p w14:paraId="3C5D8593">
      <w:pPr>
        <w:ind w:firstLine="1200" w:firstLineChars="500"/>
        <w:rPr>
          <w:rFonts w:hint="eastAsia" w:ascii="宋体" w:hAnsi="宋体" w:cs="宋体"/>
          <w:b/>
          <w:bCs/>
          <w:color w:val="auto"/>
          <w:sz w:val="24"/>
          <w:szCs w:val="24"/>
          <w:highlight w:val="none"/>
        </w:rPr>
      </w:pPr>
    </w:p>
    <w:p w14:paraId="0434F15F">
      <w:pPr>
        <w:ind w:firstLine="1200"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投标人：</w:t>
      </w:r>
      <w:r>
        <w:rPr>
          <w:rFonts w:hint="eastAsia" w:ascii="宋体" w:hAnsi="宋体" w:cs="宋体"/>
          <w:b/>
          <w:bCs/>
          <w:color w:val="auto"/>
          <w:sz w:val="24"/>
          <w:szCs w:val="24"/>
          <w:highlight w:val="none"/>
          <w:u w:val="single"/>
        </w:rPr>
        <w:tab/>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(电子签章)</w:t>
      </w:r>
    </w:p>
    <w:p w14:paraId="6FDAAB8B">
      <w:pP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 xml:space="preserve"> </w:t>
      </w:r>
    </w:p>
    <w:p w14:paraId="1B5F7137">
      <w:pPr>
        <w:ind w:firstLine="1200"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法定代表人(单位负责人)或其委托代理人：</w:t>
      </w:r>
      <w:r>
        <w:rPr>
          <w:rFonts w:hint="eastAsia" w:ascii="宋体" w:hAnsi="宋体" w:cs="宋体"/>
          <w:b/>
          <w:bCs/>
          <w:color w:val="auto"/>
          <w:sz w:val="24"/>
          <w:szCs w:val="24"/>
          <w:highlight w:val="none"/>
        </w:rPr>
        <w:tab/>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(电子签章或签名)</w:t>
      </w:r>
    </w:p>
    <w:p w14:paraId="02D37239">
      <w:pP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 xml:space="preserve"> </w:t>
      </w:r>
    </w:p>
    <w:p w14:paraId="3A1610A0">
      <w:pPr>
        <w:ind w:firstLine="1200" w:firstLineChars="500"/>
        <w:rPr>
          <w:rFonts w:hint="eastAsia" w:ascii="宋体" w:hAnsi="宋体" w:cs="宋体"/>
          <w:color w:val="auto"/>
          <w:highlight w:val="none"/>
        </w:rPr>
      </w:pPr>
      <w:r>
        <w:rPr>
          <w:rFonts w:hint="eastAsia" w:ascii="宋体" w:hAnsi="宋体" w:cs="宋体"/>
          <w:b/>
          <w:bCs/>
          <w:color w:val="auto"/>
          <w:sz w:val="24"/>
          <w:szCs w:val="24"/>
          <w:highlight w:val="none"/>
        </w:rPr>
        <w:t>日期：</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 xml:space="preserve">年 </w:t>
      </w:r>
      <w:r>
        <w:rPr>
          <w:rFonts w:hint="eastAsia" w:ascii="宋体" w:hAnsi="宋体" w:cs="宋体"/>
          <w:b/>
          <w:bCs/>
          <w:color w:val="auto"/>
          <w:sz w:val="24"/>
          <w:szCs w:val="24"/>
          <w:highlight w:val="none"/>
          <w:u w:val="single"/>
        </w:rPr>
        <w:tab/>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 xml:space="preserve">月 </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日</w:t>
      </w:r>
    </w:p>
    <w:p w14:paraId="4A543E1A">
      <w:pPr>
        <w:pStyle w:val="13"/>
        <w:rPr>
          <w:rFonts w:hint="eastAsia" w:ascii="宋体" w:hAnsi="宋体" w:cs="宋体"/>
          <w:b/>
          <w:color w:val="auto"/>
          <w:sz w:val="28"/>
          <w:szCs w:val="28"/>
          <w:highlight w:val="none"/>
        </w:rPr>
      </w:pPr>
    </w:p>
    <w:p w14:paraId="533E2FA4">
      <w:pPr>
        <w:pStyle w:val="13"/>
        <w:rPr>
          <w:rFonts w:hint="eastAsia" w:ascii="宋体" w:hAnsi="宋体" w:cs="宋体"/>
          <w:b/>
          <w:color w:val="auto"/>
          <w:sz w:val="28"/>
          <w:szCs w:val="28"/>
          <w:highlight w:val="none"/>
        </w:rPr>
      </w:pPr>
    </w:p>
    <w:p w14:paraId="50F209D8">
      <w:pPr>
        <w:pStyle w:val="13"/>
        <w:rPr>
          <w:rFonts w:hint="eastAsia" w:ascii="宋体" w:hAnsi="宋体" w:cs="宋体"/>
          <w:b/>
          <w:color w:val="auto"/>
          <w:sz w:val="28"/>
          <w:szCs w:val="28"/>
          <w:highlight w:val="none"/>
        </w:rPr>
      </w:pPr>
    </w:p>
    <w:p w14:paraId="57E6097D">
      <w:pPr>
        <w:pStyle w:val="13"/>
        <w:rPr>
          <w:rFonts w:hint="eastAsia" w:ascii="宋体" w:hAnsi="宋体" w:cs="宋体"/>
          <w:color w:val="auto"/>
          <w:sz w:val="24"/>
          <w:highlight w:val="none"/>
        </w:rPr>
      </w:pPr>
    </w:p>
    <w:p w14:paraId="5FDEAC69">
      <w:pPr>
        <w:pStyle w:val="13"/>
        <w:rPr>
          <w:rFonts w:hint="eastAsia" w:ascii="宋体" w:hAnsi="宋体" w:cs="宋体"/>
          <w:color w:val="auto"/>
          <w:sz w:val="24"/>
          <w:highlight w:val="none"/>
        </w:rPr>
      </w:pPr>
    </w:p>
    <w:p w14:paraId="701C5C3D">
      <w:pPr>
        <w:pStyle w:val="13"/>
        <w:rPr>
          <w:rFonts w:hint="eastAsia" w:ascii="宋体" w:hAnsi="宋体" w:cs="宋体"/>
          <w:color w:val="auto"/>
          <w:sz w:val="24"/>
          <w:highlight w:val="none"/>
        </w:rPr>
      </w:pPr>
    </w:p>
    <w:p w14:paraId="62E844F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注：重大违法记录，是指供应商因违法经营受到刑事处罚或者责令停产停业、吊销许可证或者执照、较大数额罚款等行政处罚。</w:t>
      </w:r>
    </w:p>
    <w:bookmarkEnd w:id="343"/>
    <w:p w14:paraId="01B72060">
      <w:pPr>
        <w:widowControl w:val="0"/>
        <w:spacing w:line="360" w:lineRule="auto"/>
        <w:rPr>
          <w:rFonts w:hint="eastAsia" w:ascii="宋体" w:hAnsi="宋体" w:cs="宋体"/>
          <w:color w:val="auto"/>
          <w:highlight w:val="none"/>
        </w:rPr>
      </w:pPr>
      <w:bookmarkStart w:id="344" w:name="_Toc15638"/>
      <w:bookmarkEnd w:id="344"/>
      <w:bookmarkStart w:id="345" w:name="_Toc16296"/>
      <w:bookmarkEnd w:id="345"/>
      <w:bookmarkStart w:id="346" w:name="_Toc15765"/>
    </w:p>
    <w:bookmarkEnd w:id="346"/>
    <w:p w14:paraId="1FF37C6B">
      <w:pPr>
        <w:pStyle w:val="21"/>
        <w:spacing w:line="400" w:lineRule="exact"/>
        <w:rPr>
          <w:rFonts w:hAnsi="宋体"/>
          <w:b/>
          <w:color w:val="auto"/>
          <w:szCs w:val="21"/>
          <w:highlight w:val="none"/>
        </w:rPr>
        <w:sectPr>
          <w:pgSz w:w="11906" w:h="16838"/>
          <w:pgMar w:top="1191" w:right="1219" w:bottom="1134" w:left="1219" w:header="567" w:footer="567" w:gutter="0"/>
          <w:pgNumType w:fmt="numberInDash"/>
          <w:cols w:space="720" w:num="1"/>
          <w:docGrid w:type="linesAndChars" w:linePitch="331" w:charSpace="0"/>
        </w:sectPr>
      </w:pPr>
      <w:bookmarkStart w:id="347" w:name="_Toc29133"/>
      <w:bookmarkEnd w:id="347"/>
      <w:r>
        <w:rPr>
          <w:rStyle w:val="48"/>
          <w:rFonts w:hint="eastAsia" w:ascii="宋体" w:hAnsi="宋体" w:cs="宋体"/>
          <w:b/>
          <w:bCs/>
          <w:color w:val="auto"/>
          <w:highlight w:val="none"/>
        </w:rPr>
        <w:br w:type="page"/>
      </w:r>
    </w:p>
    <w:p w14:paraId="37E51518">
      <w:pPr>
        <w:spacing w:line="440" w:lineRule="exact"/>
        <w:rPr>
          <w:rStyle w:val="48"/>
          <w:rFonts w:hint="eastAsia" w:ascii="宋体" w:hAnsi="宋体" w:cs="宋体"/>
          <w:color w:val="auto"/>
          <w:highlight w:val="none"/>
        </w:rPr>
      </w:pPr>
    </w:p>
    <w:p w14:paraId="48677C61">
      <w:pPr>
        <w:pStyle w:val="5"/>
        <w:rPr>
          <w:rFonts w:hint="eastAsia" w:ascii="宋体" w:hAnsi="宋体" w:cs="宋体"/>
          <w:color w:val="auto"/>
          <w:highlight w:val="none"/>
        </w:rPr>
      </w:pPr>
      <w:bookmarkStart w:id="348" w:name="_Toc18638"/>
      <w:bookmarkStart w:id="349" w:name="_Toc7078"/>
      <w:bookmarkStart w:id="350" w:name="_Toc19630"/>
      <w:r>
        <w:rPr>
          <w:rFonts w:hint="eastAsia" w:ascii="宋体" w:hAnsi="宋体" w:cs="宋体"/>
          <w:color w:val="auto"/>
          <w:highlight w:val="none"/>
          <w:lang w:val="en-US" w:eastAsia="zh-CN"/>
        </w:rPr>
        <w:t>六</w:t>
      </w:r>
      <w:r>
        <w:rPr>
          <w:rFonts w:hint="eastAsia" w:ascii="宋体" w:hAnsi="宋体" w:cs="宋体"/>
          <w:color w:val="auto"/>
          <w:highlight w:val="none"/>
        </w:rPr>
        <w:t>、其他</w:t>
      </w:r>
      <w:bookmarkEnd w:id="348"/>
      <w:bookmarkEnd w:id="349"/>
      <w:bookmarkEnd w:id="350"/>
    </w:p>
    <w:p w14:paraId="1E80B65C">
      <w:pPr>
        <w:spacing w:line="360" w:lineRule="auto"/>
        <w:ind w:firstLine="480"/>
        <w:rPr>
          <w:rFonts w:hint="eastAsia" w:ascii="宋体" w:hAnsi="宋体" w:cs="宋体"/>
          <w:b/>
          <w:bCs/>
          <w:color w:val="auto"/>
          <w:sz w:val="24"/>
          <w:highlight w:val="none"/>
        </w:rPr>
      </w:pPr>
      <w:r>
        <w:rPr>
          <w:rFonts w:hint="eastAsia" w:ascii="宋体" w:hAnsi="宋体" w:cs="宋体"/>
          <w:color w:val="auto"/>
          <w:sz w:val="24"/>
          <w:szCs w:val="24"/>
          <w:highlight w:val="none"/>
        </w:rPr>
        <w:t>1.法律、行政法规规定的其他条件：</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r>
        <w:rPr>
          <w:rFonts w:hint="eastAsia" w:ascii="宋体" w:hAnsi="宋体" w:cs="宋体"/>
          <w:b/>
          <w:bCs/>
          <w:color w:val="auto"/>
          <w:sz w:val="24"/>
          <w:highlight w:val="none"/>
        </w:rPr>
        <w:t>（由投标人自行承诺）</w:t>
      </w:r>
    </w:p>
    <w:p w14:paraId="6CD361FE">
      <w:pPr>
        <w:spacing w:line="360" w:lineRule="auto"/>
        <w:ind w:firstLine="480" w:firstLineChars="200"/>
        <w:jc w:val="both"/>
        <w:rPr>
          <w:rFonts w:hint="eastAsia" w:ascii="宋体" w:hAnsi="宋体" w:cs="宋体"/>
          <w:color w:val="auto"/>
          <w:sz w:val="24"/>
          <w:highlight w:val="none"/>
        </w:rPr>
      </w:pPr>
      <w:r>
        <w:rPr>
          <w:rFonts w:hint="eastAsia" w:ascii="宋体" w:hAnsi="宋体" w:cs="宋体"/>
          <w:color w:val="auto"/>
          <w:sz w:val="24"/>
          <w:szCs w:val="24"/>
          <w:highlight w:val="none"/>
        </w:rPr>
        <w:t>2.本项目的特定资格要求：</w:t>
      </w:r>
      <w:r>
        <w:rPr>
          <w:rFonts w:hint="eastAsia" w:ascii="宋体" w:hAnsi="宋体" w:cs="宋体"/>
          <w:color w:val="auto"/>
          <w:sz w:val="24"/>
          <w:highlight w:val="none"/>
        </w:rPr>
        <w:t>本项目不接受联合体投标（由投标人自行承诺）。</w:t>
      </w:r>
    </w:p>
    <w:p w14:paraId="68B84300">
      <w:pPr>
        <w:widowControl w:val="0"/>
        <w:spacing w:line="360" w:lineRule="auto"/>
        <w:ind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cs="宋体"/>
          <w:color w:val="auto"/>
          <w:sz w:val="24"/>
          <w:szCs w:val="24"/>
          <w:highlight w:val="none"/>
          <w:lang w:val="en-US" w:eastAsia="zh-CN"/>
        </w:rPr>
        <w:t>3.投标人如果是代理商或经销商且所投产品为医疗器械，须提供医疗器械经营许可/备案证，所投产品制造商医疗器械生产许可证（制造商工商注册地在中华人民共和国境外的，不做此要求）、所投产品的医疗器械注册证；投标人如果是制造商且所投产品为医疗器械，须提供医疗器械生产许可证（制造商工商注册地在中华人民共和国境外的，不做此要求）、所投产品的医疗器械注册证。医疗器械生产或经营许可证生产或经营范围须覆盖所投第二、三类医疗器械（根据中华人民共和国国务院令第739号《医疗器械监督管理条例》和国家药品监督管理局《医疗器械分类目录》的规定，在《医疗器械分类目录》内的产品必须按照《医疗器械监督管理条例》 的要求提供，其他不在《医疗器械分类目录》内的不作强行要求）。</w:t>
      </w:r>
    </w:p>
    <w:p w14:paraId="33C390E6">
      <w:pPr>
        <w:widowControl w:val="0"/>
        <w:spacing w:line="360" w:lineRule="auto"/>
        <w:ind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eastAsia="zh-CN"/>
        </w:rPr>
        <w:t>如若投标人认为投标产品不在《医疗器械分类目录》内或不作为医疗器械管理的，需提供证明材料。</w:t>
      </w:r>
      <w:r>
        <w:rPr>
          <w:rFonts w:hint="eastAsia" w:ascii="宋体" w:hAnsi="宋体" w:eastAsia="宋体" w:cs="宋体"/>
          <w:b/>
          <w:bCs/>
          <w:color w:val="auto"/>
          <w:kern w:val="2"/>
          <w:sz w:val="24"/>
          <w:szCs w:val="24"/>
          <w:highlight w:val="none"/>
        </w:rPr>
        <w:t xml:space="preserve"> </w:t>
      </w:r>
    </w:p>
    <w:p w14:paraId="354E2410">
      <w:pPr>
        <w:spacing w:line="360" w:lineRule="auto"/>
        <w:rPr>
          <w:rFonts w:hint="default" w:ascii="宋体" w:hAnsi="宋体" w:eastAsia="宋体" w:cs="宋体"/>
          <w:color w:val="auto"/>
          <w:sz w:val="24"/>
          <w:szCs w:val="24"/>
          <w:highlight w:val="none"/>
          <w:lang w:val="en-US" w:eastAsia="zh-CN"/>
        </w:rPr>
      </w:pPr>
    </w:p>
    <w:p w14:paraId="35447B1F">
      <w:pPr>
        <w:widowControl w:val="0"/>
        <w:spacing w:line="360" w:lineRule="auto"/>
        <w:ind w:firstLine="480" w:firstLineChars="200"/>
        <w:jc w:val="both"/>
        <w:rPr>
          <w:rFonts w:hint="default" w:ascii="宋体" w:hAnsi="宋体" w:eastAsia="宋体" w:cs="宋体"/>
          <w:color w:val="auto"/>
          <w:kern w:val="2"/>
          <w:sz w:val="24"/>
          <w:szCs w:val="24"/>
          <w:highlight w:val="none"/>
          <w:lang w:val="en-US" w:eastAsia="zh-CN"/>
        </w:rPr>
      </w:pPr>
      <w:r>
        <w:rPr>
          <w:rFonts w:hint="eastAsia" w:ascii="宋体" w:hAnsi="宋体" w:cs="宋体"/>
          <w:color w:val="auto"/>
          <w:kern w:val="2"/>
          <w:sz w:val="24"/>
          <w:szCs w:val="24"/>
          <w:highlight w:val="none"/>
          <w:lang w:val="en-US" w:eastAsia="zh-CN"/>
        </w:rPr>
        <w:t>4.</w:t>
      </w:r>
      <w:r>
        <w:rPr>
          <w:rFonts w:hint="eastAsia" w:ascii="宋体" w:hAnsi="宋体" w:cs="宋体"/>
          <w:color w:val="auto"/>
          <w:kern w:val="0"/>
          <w:sz w:val="24"/>
          <w:highlight w:val="none"/>
        </w:rPr>
        <w:t>若供应商所投产品为进口货物的，供应商是一级经销商的，应得到货物制造商厂家的有效授权文件（如授权函或长期代理协议或制造商资格声明等）；投标人是次级经销商的，则必须提供上一级经销商的有效授权文件和货物制造厂家对上一级经销商的有效授权，若授权中明确规定不能转授权的，转授权无效。</w:t>
      </w:r>
    </w:p>
    <w:p w14:paraId="3831C578">
      <w:pPr>
        <w:rPr>
          <w:rFonts w:hint="eastAsia" w:ascii="宋体" w:hAnsi="宋体" w:cs="宋体"/>
          <w:color w:val="auto"/>
          <w:highlight w:val="none"/>
        </w:rPr>
      </w:pPr>
    </w:p>
    <w:p w14:paraId="7F4EE085">
      <w:pPr>
        <w:rPr>
          <w:rFonts w:hint="eastAsia" w:ascii="宋体" w:hAnsi="宋体" w:cs="宋体"/>
          <w:color w:val="auto"/>
          <w:sz w:val="24"/>
          <w:szCs w:val="24"/>
          <w:highlight w:val="none"/>
          <w:u w:val="single"/>
        </w:rPr>
      </w:pPr>
    </w:p>
    <w:p w14:paraId="34571820">
      <w:pPr>
        <w:rPr>
          <w:rFonts w:hint="eastAsia" w:ascii="宋体" w:hAnsi="宋体" w:cs="宋体"/>
          <w:b/>
          <w:bCs/>
          <w:color w:val="auto"/>
          <w:sz w:val="44"/>
          <w:szCs w:val="44"/>
          <w:highlight w:val="none"/>
          <w:u w:val="single"/>
        </w:rPr>
      </w:pPr>
      <w:r>
        <w:rPr>
          <w:rFonts w:hint="eastAsia" w:ascii="宋体" w:hAnsi="宋体" w:cs="宋体"/>
          <w:b/>
          <w:bCs/>
          <w:color w:val="auto"/>
          <w:sz w:val="44"/>
          <w:szCs w:val="44"/>
          <w:highlight w:val="none"/>
        </w:rPr>
        <w:br w:type="page"/>
      </w:r>
    </w:p>
    <w:p w14:paraId="1F4A17C9">
      <w:pPr>
        <w:jc w:val="center"/>
        <w:rPr>
          <w:rFonts w:hint="eastAsia" w:ascii="宋体" w:hAnsi="宋体" w:eastAsia="宋体" w:cs="宋体"/>
          <w:b/>
          <w:bCs/>
          <w:color w:val="auto"/>
          <w:sz w:val="44"/>
          <w:szCs w:val="44"/>
          <w:highlight w:val="none"/>
          <w:lang w:eastAsia="zh-CN"/>
        </w:rPr>
      </w:pPr>
      <w:r>
        <w:rPr>
          <w:rFonts w:hint="eastAsia" w:ascii="宋体" w:hAnsi="宋体" w:cs="宋体"/>
          <w:b/>
          <w:bCs/>
          <w:color w:val="auto"/>
          <w:sz w:val="36"/>
          <w:szCs w:val="36"/>
          <w:highlight w:val="none"/>
          <w:lang w:eastAsia="zh-CN"/>
        </w:rPr>
        <w:t>昆明医科大学第二附属医院高质量发展重点医疗设备更新项目-超声内镜系统</w:t>
      </w:r>
    </w:p>
    <w:p w14:paraId="0176771E">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4D0C84CF">
      <w:pPr>
        <w:jc w:val="center"/>
        <w:rPr>
          <w:rFonts w:hint="eastAsia" w:ascii="宋体" w:hAnsi="宋体" w:cs="宋体"/>
          <w:b/>
          <w:color w:val="auto"/>
          <w:sz w:val="44"/>
          <w:szCs w:val="44"/>
          <w:highlight w:val="none"/>
        </w:rPr>
      </w:pPr>
      <w:r>
        <w:rPr>
          <w:rFonts w:hint="eastAsia" w:ascii="宋体" w:hAnsi="宋体" w:cs="宋体"/>
          <w:b/>
          <w:color w:val="auto"/>
          <w:sz w:val="44"/>
          <w:szCs w:val="44"/>
          <w:highlight w:val="none"/>
        </w:rPr>
        <w:t>商务技术部分封面</w:t>
      </w:r>
    </w:p>
    <w:p w14:paraId="4CFAD991">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53AB60D7">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0C5DDB55">
      <w:pPr>
        <w:rPr>
          <w:rFonts w:hint="eastAsia" w:ascii="宋体" w:hAnsi="宋体" w:cs="宋体"/>
          <w:b/>
          <w:bCs/>
          <w:color w:val="auto"/>
          <w:sz w:val="44"/>
          <w:szCs w:val="44"/>
          <w:highlight w:val="none"/>
        </w:rPr>
      </w:pPr>
    </w:p>
    <w:p w14:paraId="1BAA0693">
      <w:pPr>
        <w:rPr>
          <w:rFonts w:hint="eastAsia" w:ascii="宋体" w:hAnsi="宋体" w:cs="宋体"/>
          <w:b/>
          <w:bCs/>
          <w:color w:val="auto"/>
          <w:sz w:val="44"/>
          <w:szCs w:val="44"/>
          <w:highlight w:val="none"/>
        </w:rPr>
      </w:pPr>
    </w:p>
    <w:p w14:paraId="35E2EEC8">
      <w:pPr>
        <w:jc w:val="center"/>
        <w:rPr>
          <w:rFonts w:hint="eastAsia" w:ascii="宋体" w:hAnsi="宋体" w:cs="宋体"/>
          <w:b/>
          <w:bCs/>
          <w:color w:val="auto"/>
          <w:sz w:val="32"/>
          <w:szCs w:val="32"/>
          <w:highlight w:val="none"/>
        </w:rPr>
      </w:pPr>
      <w:r>
        <w:rPr>
          <w:rFonts w:hint="eastAsia" w:ascii="宋体" w:hAnsi="宋体" w:cs="宋体"/>
          <w:b/>
          <w:bCs/>
          <w:color w:val="auto"/>
          <w:sz w:val="52"/>
          <w:szCs w:val="52"/>
          <w:highlight w:val="none"/>
        </w:rPr>
        <w:t>投 标 文 件</w:t>
      </w:r>
    </w:p>
    <w:p w14:paraId="532D2B4F">
      <w:pPr>
        <w:jc w:val="center"/>
        <w:outlineLvl w:val="1"/>
        <w:rPr>
          <w:rFonts w:hint="eastAsia" w:ascii="宋体" w:hAnsi="宋体" w:cs="宋体"/>
          <w:b/>
          <w:bCs/>
          <w:color w:val="auto"/>
          <w:sz w:val="32"/>
          <w:szCs w:val="32"/>
          <w:highlight w:val="none"/>
        </w:rPr>
      </w:pPr>
      <w:bookmarkStart w:id="351" w:name="_Toc8176"/>
      <w:bookmarkStart w:id="352" w:name="_Toc9601"/>
      <w:bookmarkStart w:id="353" w:name="_Toc13826"/>
      <w:r>
        <w:rPr>
          <w:rFonts w:hint="eastAsia" w:ascii="宋体" w:hAnsi="宋体" w:cs="宋体"/>
          <w:b/>
          <w:bCs/>
          <w:color w:val="auto"/>
          <w:sz w:val="32"/>
          <w:szCs w:val="32"/>
          <w:highlight w:val="none"/>
        </w:rPr>
        <w:t>商务技术部分</w:t>
      </w:r>
      <w:bookmarkEnd w:id="351"/>
      <w:bookmarkEnd w:id="352"/>
      <w:bookmarkEnd w:id="353"/>
    </w:p>
    <w:p w14:paraId="11D8347A">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2750CD7E">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4D49B22A">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3D03D142">
      <w:pPr>
        <w:rPr>
          <w:rFonts w:hint="eastAsia" w:ascii="宋体" w:hAnsi="宋体" w:cs="宋体"/>
          <w:b/>
          <w:bCs/>
          <w:color w:val="auto"/>
          <w:sz w:val="44"/>
          <w:szCs w:val="44"/>
          <w:highlight w:val="none"/>
        </w:rPr>
      </w:pPr>
    </w:p>
    <w:p w14:paraId="3C904A14">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6930377B">
      <w:pP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 xml:space="preserve"> </w:t>
      </w:r>
    </w:p>
    <w:p w14:paraId="44C93672">
      <w:pPr>
        <w:ind w:firstLine="562" w:firstLineChars="200"/>
        <w:rPr>
          <w:rFonts w:hint="eastAsia" w:ascii="宋体" w:hAnsi="宋体" w:cs="宋体"/>
          <w:b/>
          <w:color w:val="auto"/>
          <w:sz w:val="28"/>
          <w:szCs w:val="28"/>
          <w:highlight w:val="none"/>
        </w:rPr>
      </w:pPr>
      <w:r>
        <w:rPr>
          <w:rFonts w:hint="eastAsia" w:ascii="宋体" w:hAnsi="宋体" w:cs="宋体"/>
          <w:b/>
          <w:color w:val="auto"/>
          <w:sz w:val="28"/>
          <w:szCs w:val="28"/>
          <w:highlight w:val="none"/>
        </w:rPr>
        <w:t>投标人：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w:t>
      </w:r>
    </w:p>
    <w:p w14:paraId="67122C8B">
      <w:pPr>
        <w:ind w:firstLine="562" w:firstLineChars="200"/>
        <w:rPr>
          <w:rFonts w:hint="eastAsia" w:ascii="宋体" w:hAnsi="宋体" w:cs="宋体"/>
          <w:b/>
          <w:color w:val="auto"/>
          <w:sz w:val="28"/>
          <w:szCs w:val="28"/>
          <w:highlight w:val="none"/>
        </w:rPr>
      </w:pPr>
      <w:r>
        <w:rPr>
          <w:rFonts w:hint="eastAsia" w:ascii="宋体" w:hAnsi="宋体" w:cs="宋体"/>
          <w:b/>
          <w:color w:val="auto"/>
          <w:sz w:val="28"/>
          <w:szCs w:val="28"/>
          <w:highlight w:val="none"/>
        </w:rPr>
        <w:t>法定代表人(单位负责人)或其委托代理人：</w:t>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eastAsia="zh-CN"/>
        </w:rPr>
        <w:t>电子签章或签名</w:t>
      </w:r>
      <w:r>
        <w:rPr>
          <w:rFonts w:hint="eastAsia" w:ascii="宋体" w:hAnsi="宋体" w:cs="宋体"/>
          <w:b/>
          <w:color w:val="auto"/>
          <w:sz w:val="28"/>
          <w:szCs w:val="28"/>
          <w:highlight w:val="none"/>
        </w:rPr>
        <w:t>)</w:t>
      </w:r>
    </w:p>
    <w:p w14:paraId="36AFFA21">
      <w:pPr>
        <w:ind w:firstLine="562" w:firstLineChars="200"/>
        <w:rPr>
          <w:rFonts w:hint="eastAsia" w:ascii="宋体" w:hAnsi="宋体" w:cs="宋体"/>
          <w:color w:val="auto"/>
          <w:sz w:val="28"/>
          <w:szCs w:val="28"/>
          <w:highlight w:val="none"/>
        </w:rPr>
        <w:sectPr>
          <w:footerReference r:id="rId15" w:type="default"/>
          <w:pgSz w:w="11906" w:h="16838"/>
          <w:pgMar w:top="1191" w:right="1191" w:bottom="1191" w:left="1304" w:header="851" w:footer="992" w:gutter="0"/>
          <w:pgNumType w:fmt="numberInDash"/>
          <w:cols w:space="720" w:num="1"/>
          <w:docGrid w:type="lines" w:linePitch="317" w:charSpace="0"/>
        </w:sectPr>
      </w:pPr>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日</w:t>
      </w:r>
    </w:p>
    <w:p w14:paraId="65717911">
      <w:pPr>
        <w:spacing w:line="240" w:lineRule="exact"/>
        <w:rPr>
          <w:rFonts w:hint="eastAsia" w:ascii="宋体" w:hAnsi="宋体" w:cs="宋体"/>
          <w:color w:val="auto"/>
          <w:sz w:val="28"/>
          <w:szCs w:val="28"/>
          <w:highlight w:val="none"/>
        </w:rPr>
      </w:pPr>
      <w:bookmarkStart w:id="354" w:name="_Toc10984"/>
      <w:bookmarkEnd w:id="354"/>
      <w:bookmarkStart w:id="355" w:name="_Toc28459"/>
      <w:bookmarkEnd w:id="355"/>
      <w:bookmarkStart w:id="356" w:name="_Toc15981"/>
      <w:bookmarkEnd w:id="356"/>
      <w:bookmarkStart w:id="357" w:name="_Toc31298"/>
      <w:bookmarkEnd w:id="357"/>
      <w:bookmarkStart w:id="358" w:name="_Toc29456"/>
    </w:p>
    <w:p w14:paraId="1318B0D7">
      <w:pPr>
        <w:pStyle w:val="5"/>
        <w:widowControl/>
        <w:autoSpaceDE w:val="0"/>
        <w:spacing w:before="0" w:after="0" w:line="240" w:lineRule="auto"/>
        <w:rPr>
          <w:rFonts w:hint="eastAsia" w:ascii="宋体" w:hAnsi="宋体" w:cs="宋体"/>
          <w:color w:val="auto"/>
          <w:szCs w:val="28"/>
          <w:highlight w:val="none"/>
        </w:rPr>
      </w:pPr>
      <w:bookmarkStart w:id="359" w:name="_Toc28685"/>
      <w:bookmarkStart w:id="360" w:name="_Toc10785"/>
      <w:bookmarkStart w:id="361" w:name="_Toc15505"/>
      <w:r>
        <w:rPr>
          <w:rFonts w:hint="eastAsia" w:ascii="宋体" w:hAnsi="宋体" w:cs="宋体"/>
          <w:color w:val="auto"/>
          <w:szCs w:val="28"/>
          <w:highlight w:val="none"/>
        </w:rPr>
        <w:t>一、开标一览表</w:t>
      </w:r>
      <w:bookmarkEnd w:id="358"/>
      <w:bookmarkEnd w:id="359"/>
      <w:bookmarkEnd w:id="360"/>
      <w:bookmarkEnd w:id="361"/>
    </w:p>
    <w:p w14:paraId="0EE62CEF">
      <w:pPr>
        <w:spacing w:line="200" w:lineRule="exact"/>
        <w:rPr>
          <w:rFonts w:hint="eastAsia" w:ascii="宋体" w:hAnsi="宋体" w:cs="宋体"/>
          <w:color w:val="auto"/>
          <w:highlight w:val="none"/>
        </w:rPr>
      </w:pPr>
      <w:r>
        <w:rPr>
          <w:rFonts w:hint="eastAsia" w:ascii="宋体" w:hAnsi="宋体" w:cs="宋体"/>
          <w:color w:val="auto"/>
          <w:highlight w:val="none"/>
        </w:rPr>
        <w:t xml:space="preserve"> </w:t>
      </w:r>
    </w:p>
    <w:p w14:paraId="4D828222">
      <w:pPr>
        <w:spacing w:line="480" w:lineRule="exact"/>
        <w:ind w:left="1400" w:hanging="1400" w:hangingChars="500"/>
        <w:rPr>
          <w:rFonts w:hint="eastAsia" w:ascii="宋体" w:hAnsi="宋体" w:cs="宋体"/>
          <w:color w:val="auto"/>
          <w:sz w:val="28"/>
          <w:szCs w:val="28"/>
          <w:highlight w:val="none"/>
        </w:rPr>
      </w:pPr>
      <w:r>
        <w:rPr>
          <w:rFonts w:hint="eastAsia" w:ascii="宋体" w:hAnsi="宋体" w:cs="宋体"/>
          <w:color w:val="auto"/>
          <w:sz w:val="28"/>
          <w:szCs w:val="28"/>
          <w:highlight w:val="none"/>
        </w:rPr>
        <w:t xml:space="preserve"> </w:t>
      </w:r>
    </w:p>
    <w:p w14:paraId="37C1A1BF">
      <w:pPr>
        <w:spacing w:line="480" w:lineRule="exact"/>
        <w:ind w:left="1200" w:hanging="1200" w:hangingChars="5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项目名称：</w:t>
      </w:r>
      <w:r>
        <w:rPr>
          <w:rFonts w:hint="eastAsia" w:ascii="宋体" w:hAnsi="宋体" w:cs="宋体"/>
          <w:color w:val="auto"/>
          <w:sz w:val="24"/>
          <w:szCs w:val="24"/>
          <w:highlight w:val="none"/>
          <w:u w:val="single"/>
        </w:rPr>
        <w:t xml:space="preserve">                                                </w:t>
      </w:r>
    </w:p>
    <w:p w14:paraId="2C6688BD">
      <w:pPr>
        <w:spacing w:line="480" w:lineRule="exact"/>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招标编号：</w:t>
      </w:r>
      <w:r>
        <w:rPr>
          <w:rFonts w:hint="eastAsia" w:ascii="宋体" w:hAnsi="宋体" w:cs="宋体"/>
          <w:color w:val="auto"/>
          <w:sz w:val="24"/>
          <w:szCs w:val="24"/>
          <w:highlight w:val="none"/>
          <w:lang w:eastAsia="zh-CN"/>
        </w:rPr>
        <w:t>YNZC2026-G1-02563-YYZX-0230</w:t>
      </w:r>
    </w:p>
    <w:tbl>
      <w:tblPr>
        <w:tblStyle w:val="37"/>
        <w:tblW w:w="4998" w:type="pct"/>
        <w:tblInd w:w="0" w:type="dxa"/>
        <w:tblLayout w:type="autofit"/>
        <w:tblCellMar>
          <w:top w:w="0" w:type="dxa"/>
          <w:left w:w="108" w:type="dxa"/>
          <w:bottom w:w="0" w:type="dxa"/>
          <w:right w:w="108" w:type="dxa"/>
        </w:tblCellMar>
      </w:tblPr>
      <w:tblGrid>
        <w:gridCol w:w="2193"/>
        <w:gridCol w:w="2693"/>
        <w:gridCol w:w="4737"/>
      </w:tblGrid>
      <w:tr w14:paraId="4E527790">
        <w:tblPrEx>
          <w:tblCellMar>
            <w:top w:w="0" w:type="dxa"/>
            <w:left w:w="108" w:type="dxa"/>
            <w:bottom w:w="0" w:type="dxa"/>
            <w:right w:w="108" w:type="dxa"/>
          </w:tblCellMar>
        </w:tblPrEx>
        <w:trPr>
          <w:cantSplit/>
          <w:trHeight w:val="431" w:hRule="atLeast"/>
        </w:trPr>
        <w:tc>
          <w:tcPr>
            <w:tcW w:w="1139" w:type="pct"/>
            <w:vMerge w:val="restart"/>
            <w:tcBorders>
              <w:top w:val="single" w:color="auto" w:sz="4" w:space="0"/>
              <w:left w:val="single" w:color="auto" w:sz="4" w:space="0"/>
              <w:bottom w:val="single" w:color="auto" w:sz="4" w:space="0"/>
              <w:right w:val="single" w:color="auto" w:sz="4" w:space="0"/>
            </w:tcBorders>
            <w:noWrap w:val="0"/>
            <w:vAlign w:val="center"/>
          </w:tcPr>
          <w:p w14:paraId="4BF24C5A">
            <w:pPr>
              <w:adjustRightInd w:val="0"/>
              <w:snapToGrid w:val="0"/>
              <w:spacing w:line="440" w:lineRule="exact"/>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投标总价(元)</w:t>
            </w:r>
          </w:p>
        </w:tc>
        <w:tc>
          <w:tcPr>
            <w:tcW w:w="1399" w:type="pct"/>
            <w:vMerge w:val="restart"/>
            <w:tcBorders>
              <w:top w:val="single" w:color="auto" w:sz="4" w:space="0"/>
              <w:left w:val="nil"/>
              <w:bottom w:val="single" w:color="auto" w:sz="4" w:space="0"/>
              <w:right w:val="single" w:color="auto" w:sz="4" w:space="0"/>
            </w:tcBorders>
            <w:noWrap w:val="0"/>
            <w:vAlign w:val="center"/>
          </w:tcPr>
          <w:p w14:paraId="3BA3C546">
            <w:pPr>
              <w:adjustRightInd w:val="0"/>
              <w:snapToGrid w:val="0"/>
              <w:spacing w:line="440" w:lineRule="exact"/>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交货期</w:t>
            </w:r>
          </w:p>
        </w:tc>
        <w:tc>
          <w:tcPr>
            <w:tcW w:w="2461" w:type="pct"/>
            <w:vMerge w:val="restart"/>
            <w:tcBorders>
              <w:top w:val="single" w:color="auto" w:sz="4" w:space="0"/>
              <w:left w:val="nil"/>
              <w:right w:val="single" w:color="auto" w:sz="4" w:space="0"/>
            </w:tcBorders>
            <w:noWrap w:val="0"/>
            <w:vAlign w:val="center"/>
          </w:tcPr>
          <w:p w14:paraId="082F124D">
            <w:pPr>
              <w:adjustRightInd w:val="0"/>
              <w:snapToGrid w:val="0"/>
              <w:spacing w:line="440" w:lineRule="exact"/>
              <w:jc w:val="center"/>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质保期</w:t>
            </w:r>
          </w:p>
        </w:tc>
      </w:tr>
      <w:tr w14:paraId="3803B35F">
        <w:tblPrEx>
          <w:tblCellMar>
            <w:top w:w="0" w:type="dxa"/>
            <w:left w:w="108" w:type="dxa"/>
            <w:bottom w:w="0" w:type="dxa"/>
            <w:right w:w="108" w:type="dxa"/>
          </w:tblCellMar>
        </w:tblPrEx>
        <w:trPr>
          <w:cantSplit/>
          <w:trHeight w:val="312" w:hRule="atLeast"/>
        </w:trPr>
        <w:tc>
          <w:tcPr>
            <w:tcW w:w="1139" w:type="pct"/>
            <w:vMerge w:val="continue"/>
            <w:tcBorders>
              <w:top w:val="single" w:color="auto" w:sz="4" w:space="0"/>
              <w:left w:val="single" w:color="auto" w:sz="4" w:space="0"/>
              <w:bottom w:val="single" w:color="auto" w:sz="4" w:space="0"/>
              <w:right w:val="single" w:color="auto" w:sz="4" w:space="0"/>
            </w:tcBorders>
            <w:noWrap w:val="0"/>
            <w:vAlign w:val="center"/>
          </w:tcPr>
          <w:p w14:paraId="10E4FB9E">
            <w:pPr>
              <w:rPr>
                <w:rFonts w:hint="eastAsia" w:ascii="宋体" w:hAnsi="宋体" w:eastAsia="宋体" w:cs="宋体"/>
                <w:b/>
                <w:bCs/>
                <w:color w:val="auto"/>
                <w:kern w:val="2"/>
                <w:sz w:val="24"/>
                <w:szCs w:val="24"/>
                <w:highlight w:val="none"/>
              </w:rPr>
            </w:pPr>
          </w:p>
        </w:tc>
        <w:tc>
          <w:tcPr>
            <w:tcW w:w="1399" w:type="pct"/>
            <w:vMerge w:val="continue"/>
            <w:tcBorders>
              <w:top w:val="single" w:color="auto" w:sz="4" w:space="0"/>
              <w:left w:val="nil"/>
              <w:bottom w:val="single" w:color="auto" w:sz="4" w:space="0"/>
              <w:right w:val="single" w:color="auto" w:sz="4" w:space="0"/>
            </w:tcBorders>
            <w:noWrap w:val="0"/>
            <w:vAlign w:val="center"/>
          </w:tcPr>
          <w:p w14:paraId="523C0E40">
            <w:pPr>
              <w:rPr>
                <w:rFonts w:hint="eastAsia" w:ascii="宋体" w:hAnsi="宋体" w:eastAsia="宋体" w:cs="宋体"/>
                <w:b/>
                <w:bCs/>
                <w:color w:val="auto"/>
                <w:kern w:val="2"/>
                <w:sz w:val="24"/>
                <w:szCs w:val="24"/>
                <w:highlight w:val="none"/>
              </w:rPr>
            </w:pPr>
          </w:p>
        </w:tc>
        <w:tc>
          <w:tcPr>
            <w:tcW w:w="2461" w:type="pct"/>
            <w:vMerge w:val="continue"/>
            <w:tcBorders>
              <w:left w:val="nil"/>
              <w:bottom w:val="single" w:color="auto" w:sz="4" w:space="0"/>
              <w:right w:val="single" w:color="auto" w:sz="4" w:space="0"/>
            </w:tcBorders>
            <w:noWrap w:val="0"/>
            <w:vAlign w:val="center"/>
          </w:tcPr>
          <w:p w14:paraId="7CD4E92D">
            <w:pPr>
              <w:rPr>
                <w:rFonts w:hint="eastAsia" w:ascii="宋体" w:hAnsi="宋体" w:eastAsia="宋体" w:cs="宋体"/>
                <w:b/>
                <w:bCs/>
                <w:color w:val="auto"/>
                <w:kern w:val="2"/>
                <w:sz w:val="24"/>
                <w:szCs w:val="24"/>
                <w:highlight w:val="none"/>
              </w:rPr>
            </w:pPr>
          </w:p>
        </w:tc>
      </w:tr>
      <w:tr w14:paraId="417B7BC9">
        <w:tblPrEx>
          <w:tblCellMar>
            <w:top w:w="0" w:type="dxa"/>
            <w:left w:w="108" w:type="dxa"/>
            <w:bottom w:w="0" w:type="dxa"/>
            <w:right w:w="108" w:type="dxa"/>
          </w:tblCellMar>
        </w:tblPrEx>
        <w:trPr>
          <w:cantSplit/>
          <w:trHeight w:val="1212" w:hRule="atLeast"/>
        </w:trPr>
        <w:tc>
          <w:tcPr>
            <w:tcW w:w="1139" w:type="pct"/>
            <w:tcBorders>
              <w:top w:val="single" w:color="auto" w:sz="4" w:space="0"/>
              <w:left w:val="single" w:color="auto" w:sz="4" w:space="0"/>
              <w:bottom w:val="single" w:color="auto" w:sz="4" w:space="0"/>
              <w:right w:val="single" w:color="auto" w:sz="4" w:space="0"/>
            </w:tcBorders>
            <w:noWrap w:val="0"/>
            <w:vAlign w:val="center"/>
          </w:tcPr>
          <w:p w14:paraId="4C6D7C0E">
            <w:pPr>
              <w:spacing w:line="460" w:lineRule="exact"/>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rPr>
              <w:t>小写：</w:t>
            </w:r>
          </w:p>
        </w:tc>
        <w:tc>
          <w:tcPr>
            <w:tcW w:w="1399" w:type="pct"/>
            <w:tcBorders>
              <w:top w:val="single" w:color="auto" w:sz="4" w:space="0"/>
              <w:left w:val="nil"/>
              <w:bottom w:val="single" w:color="auto" w:sz="4" w:space="0"/>
              <w:right w:val="single" w:color="auto" w:sz="4" w:space="0"/>
            </w:tcBorders>
            <w:noWrap w:val="0"/>
            <w:vAlign w:val="center"/>
          </w:tcPr>
          <w:p w14:paraId="007D82CE">
            <w:pPr>
              <w:spacing w:line="460" w:lineRule="exact"/>
              <w:jc w:val="center"/>
              <w:rPr>
                <w:rFonts w:hint="eastAsia" w:ascii="宋体" w:hAnsi="宋体" w:eastAsia="宋体" w:cs="宋体"/>
                <w:b/>
                <w:bCs/>
                <w:color w:val="auto"/>
                <w:kern w:val="2"/>
                <w:sz w:val="24"/>
                <w:szCs w:val="24"/>
                <w:highlight w:val="none"/>
              </w:rPr>
            </w:pPr>
          </w:p>
        </w:tc>
        <w:tc>
          <w:tcPr>
            <w:tcW w:w="2461" w:type="pct"/>
            <w:tcBorders>
              <w:top w:val="single" w:color="auto" w:sz="4" w:space="0"/>
              <w:left w:val="nil"/>
              <w:bottom w:val="single" w:color="auto" w:sz="4" w:space="0"/>
              <w:right w:val="single" w:color="auto" w:sz="4" w:space="0"/>
            </w:tcBorders>
            <w:noWrap w:val="0"/>
            <w:vAlign w:val="center"/>
          </w:tcPr>
          <w:p w14:paraId="6FB83DE9">
            <w:pPr>
              <w:spacing w:line="460" w:lineRule="exact"/>
              <w:jc w:val="center"/>
              <w:rPr>
                <w:rFonts w:hint="eastAsia" w:ascii="宋体" w:hAnsi="宋体" w:eastAsia="宋体" w:cs="宋体"/>
                <w:b/>
                <w:bCs/>
                <w:color w:val="auto"/>
                <w:kern w:val="2"/>
                <w:sz w:val="24"/>
                <w:szCs w:val="24"/>
                <w:highlight w:val="none"/>
              </w:rPr>
            </w:pPr>
          </w:p>
        </w:tc>
      </w:tr>
    </w:tbl>
    <w:p w14:paraId="55504E18">
      <w:pPr>
        <w:spacing w:line="420" w:lineRule="exact"/>
        <w:ind w:right="-309" w:rightChars="-147"/>
        <w:rPr>
          <w:rFonts w:hint="eastAsia" w:ascii="宋体" w:hAnsi="宋体" w:cs="宋体"/>
          <w:b/>
          <w:color w:val="auto"/>
          <w:highlight w:val="none"/>
        </w:rPr>
      </w:pPr>
      <w:r>
        <w:rPr>
          <w:rFonts w:hint="eastAsia" w:ascii="宋体" w:hAnsi="宋体" w:cs="宋体"/>
          <w:b/>
          <w:color w:val="auto"/>
          <w:highlight w:val="none"/>
        </w:rPr>
        <w:t>注：此表中的投标总价即为最终报价，不允许另有折扣说明。</w:t>
      </w:r>
    </w:p>
    <w:p w14:paraId="77F3D354">
      <w:pPr>
        <w:spacing w:line="420" w:lineRule="exact"/>
        <w:ind w:right="-309" w:rightChars="-147"/>
        <w:rPr>
          <w:rFonts w:hint="eastAsia" w:ascii="宋体" w:hAnsi="宋体" w:cs="宋体"/>
          <w:b/>
          <w:color w:val="auto"/>
          <w:highlight w:val="none"/>
        </w:rPr>
      </w:pPr>
      <w:r>
        <w:rPr>
          <w:rFonts w:hint="eastAsia" w:ascii="宋体" w:hAnsi="宋体" w:cs="宋体"/>
          <w:b/>
          <w:color w:val="auto"/>
          <w:highlight w:val="none"/>
        </w:rPr>
        <w:t>如投标文件中开标一览表的报价与政采云系统上面填的报价不一致时，以投标文件中开标一览表的报价为准。</w:t>
      </w:r>
    </w:p>
    <w:p w14:paraId="06A0D325">
      <w:pPr>
        <w:spacing w:line="600" w:lineRule="atLeast"/>
        <w:rPr>
          <w:rFonts w:hint="eastAsia" w:ascii="宋体" w:hAnsi="宋体" w:cs="宋体"/>
          <w:color w:val="auto"/>
          <w:sz w:val="28"/>
          <w:szCs w:val="28"/>
          <w:highlight w:val="none"/>
        </w:rPr>
      </w:pPr>
      <w:r>
        <w:rPr>
          <w:rFonts w:hint="eastAsia" w:ascii="宋体" w:hAnsi="宋体" w:cs="宋体"/>
          <w:color w:val="auto"/>
          <w:sz w:val="28"/>
          <w:szCs w:val="28"/>
          <w:highlight w:val="none"/>
        </w:rPr>
        <w:t xml:space="preserve"> </w:t>
      </w:r>
    </w:p>
    <w:p w14:paraId="589CC945">
      <w:pPr>
        <w:spacing w:line="600" w:lineRule="atLeast"/>
        <w:rPr>
          <w:rFonts w:hint="eastAsia" w:ascii="宋体" w:hAnsi="宋体" w:cs="宋体"/>
          <w:color w:val="auto"/>
          <w:sz w:val="28"/>
          <w:szCs w:val="28"/>
          <w:highlight w:val="none"/>
        </w:rPr>
      </w:pPr>
      <w:r>
        <w:rPr>
          <w:rFonts w:hint="eastAsia" w:ascii="宋体" w:hAnsi="宋体" w:cs="宋体"/>
          <w:color w:val="auto"/>
          <w:sz w:val="28"/>
          <w:szCs w:val="28"/>
          <w:highlight w:val="none"/>
        </w:rPr>
        <w:t xml:space="preserve">  </w:t>
      </w:r>
    </w:p>
    <w:p w14:paraId="7DD6B742">
      <w:pPr>
        <w:pStyle w:val="13"/>
        <w:rPr>
          <w:rFonts w:hint="eastAsia" w:ascii="宋体" w:hAnsi="宋体" w:cs="宋体"/>
          <w:color w:val="auto"/>
          <w:highlight w:val="none"/>
        </w:rPr>
      </w:pPr>
    </w:p>
    <w:p w14:paraId="57AF656F">
      <w:pPr>
        <w:ind w:firstLine="562" w:firstLineChars="200"/>
        <w:rPr>
          <w:rFonts w:hint="eastAsia" w:ascii="宋体" w:hAnsi="宋体" w:cs="宋体"/>
          <w:b/>
          <w:color w:val="auto"/>
          <w:sz w:val="28"/>
          <w:szCs w:val="28"/>
          <w:highlight w:val="none"/>
        </w:rPr>
      </w:pPr>
      <w:r>
        <w:rPr>
          <w:rFonts w:hint="eastAsia" w:ascii="宋体" w:hAnsi="宋体" w:cs="宋体"/>
          <w:b/>
          <w:color w:val="auto"/>
          <w:sz w:val="28"/>
          <w:szCs w:val="28"/>
          <w:highlight w:val="none"/>
        </w:rPr>
        <w:t>投标人：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w:t>
      </w:r>
    </w:p>
    <w:p w14:paraId="2D0CAB94">
      <w:pPr>
        <w:ind w:firstLine="562" w:firstLineChars="200"/>
        <w:rPr>
          <w:rFonts w:hint="eastAsia" w:ascii="宋体" w:hAnsi="宋体" w:cs="宋体"/>
          <w:b/>
          <w:color w:val="auto"/>
          <w:sz w:val="28"/>
          <w:szCs w:val="28"/>
          <w:highlight w:val="none"/>
        </w:rPr>
      </w:pPr>
      <w:r>
        <w:rPr>
          <w:rFonts w:hint="eastAsia" w:ascii="宋体" w:hAnsi="宋体" w:cs="宋体"/>
          <w:b/>
          <w:color w:val="auto"/>
          <w:sz w:val="28"/>
          <w:szCs w:val="28"/>
          <w:highlight w:val="none"/>
        </w:rPr>
        <w:t>法定代表人(单位负责人)或其委托代理人：</w:t>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w:t>
      </w:r>
      <w:r>
        <w:rPr>
          <w:rFonts w:hint="eastAsia" w:ascii="宋体" w:hAnsi="宋体" w:cs="宋体"/>
          <w:b/>
          <w:color w:val="auto"/>
          <w:sz w:val="28"/>
          <w:szCs w:val="28"/>
          <w:highlight w:val="none"/>
          <w:lang w:eastAsia="zh-CN"/>
        </w:rPr>
        <w:t>电子签章或签名</w:t>
      </w:r>
      <w:r>
        <w:rPr>
          <w:rFonts w:hint="eastAsia" w:ascii="宋体" w:hAnsi="宋体" w:cs="宋体"/>
          <w:b/>
          <w:color w:val="auto"/>
          <w:sz w:val="28"/>
          <w:szCs w:val="28"/>
          <w:highlight w:val="none"/>
        </w:rPr>
        <w:t>)</w:t>
      </w:r>
    </w:p>
    <w:p w14:paraId="4C4DEB90">
      <w:pPr>
        <w:ind w:firstLine="562" w:firstLineChars="200"/>
        <w:rPr>
          <w:rFonts w:hint="eastAsia" w:ascii="宋体" w:hAnsi="宋体" w:cs="宋体"/>
          <w:color w:val="auto"/>
          <w:sz w:val="28"/>
          <w:szCs w:val="28"/>
          <w:highlight w:val="none"/>
        </w:rPr>
        <w:sectPr>
          <w:footerReference r:id="rId16" w:type="default"/>
          <w:pgSz w:w="11906" w:h="16838"/>
          <w:pgMar w:top="1191" w:right="1191" w:bottom="1191" w:left="1304" w:header="851" w:footer="992" w:gutter="0"/>
          <w:pgNumType w:fmt="numberInDash"/>
          <w:cols w:space="720" w:num="1"/>
          <w:docGrid w:type="lines" w:linePitch="317" w:charSpace="0"/>
        </w:sectPr>
      </w:pPr>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日</w:t>
      </w:r>
    </w:p>
    <w:p w14:paraId="22A5022E">
      <w:pPr>
        <w:pStyle w:val="5"/>
        <w:widowControl/>
        <w:autoSpaceDE w:val="0"/>
        <w:spacing w:before="0" w:after="0" w:line="240" w:lineRule="auto"/>
        <w:rPr>
          <w:rFonts w:hint="eastAsia" w:ascii="宋体" w:hAnsi="宋体" w:cs="宋体"/>
          <w:color w:val="auto"/>
          <w:szCs w:val="28"/>
          <w:highlight w:val="none"/>
        </w:rPr>
      </w:pPr>
      <w:bookmarkStart w:id="362" w:name="_Toc17435"/>
      <w:bookmarkEnd w:id="362"/>
      <w:bookmarkStart w:id="363" w:name="_Toc18635"/>
      <w:bookmarkStart w:id="364" w:name="_Toc27981"/>
      <w:bookmarkStart w:id="365" w:name="_Toc2521"/>
      <w:bookmarkStart w:id="366" w:name="_Toc31841"/>
      <w:r>
        <w:rPr>
          <w:rFonts w:hint="eastAsia" w:ascii="宋体" w:hAnsi="宋体" w:cs="宋体"/>
          <w:color w:val="auto"/>
          <w:szCs w:val="28"/>
          <w:highlight w:val="none"/>
        </w:rPr>
        <w:t>二、投标函</w:t>
      </w:r>
      <w:bookmarkEnd w:id="363"/>
      <w:bookmarkEnd w:id="364"/>
      <w:bookmarkEnd w:id="365"/>
      <w:bookmarkEnd w:id="366"/>
    </w:p>
    <w:p w14:paraId="14885680">
      <w:pPr>
        <w:spacing w:line="360" w:lineRule="auto"/>
        <w:rPr>
          <w:rFonts w:hint="eastAsia" w:ascii="宋体" w:hAnsi="宋体" w:cs="宋体"/>
          <w:color w:val="auto"/>
          <w:sz w:val="24"/>
          <w:szCs w:val="24"/>
          <w:highlight w:val="none"/>
          <w:u w:val="single"/>
        </w:rPr>
      </w:pPr>
    </w:p>
    <w:p w14:paraId="298F418F">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(采购人名称)：</w:t>
      </w:r>
    </w:p>
    <w:p w14:paraId="5A7A6529">
      <w:pPr>
        <w:autoSpaceDE w:val="0"/>
        <w:autoSpaceDN w:val="0"/>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我方已仔细研究了</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(项目名称)招标文件的全部内容，</w:t>
      </w:r>
      <w:r>
        <w:rPr>
          <w:rFonts w:hint="eastAsia" w:ascii="宋体" w:hAnsi="宋体" w:cs="宋体"/>
          <w:color w:val="auto"/>
          <w:sz w:val="24"/>
          <w:highlight w:val="none"/>
        </w:rPr>
        <w:t>且对招标文件无任何异议，并愿意以“开标一览表”所填写的投标总价，向你方提供招标文件要求的货物/服务。</w:t>
      </w:r>
      <w:r>
        <w:rPr>
          <w:rFonts w:hint="eastAsia" w:ascii="宋体" w:hAnsi="宋体" w:cs="宋体"/>
          <w:color w:val="auto"/>
          <w:sz w:val="24"/>
          <w:szCs w:val="24"/>
          <w:highlight w:val="none"/>
        </w:rPr>
        <w:t xml:space="preserve">    </w:t>
      </w:r>
    </w:p>
    <w:p w14:paraId="08948697">
      <w:pPr>
        <w:numPr>
          <w:ilvl w:val="0"/>
          <w:numId w:val="4"/>
        </w:numPr>
        <w:autoSpaceDE w:val="0"/>
        <w:autoSpaceDN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我方承诺在投标有效期内不修改或撤销投标文件。否则，你方可不予退还我方的投标保证金。</w:t>
      </w:r>
    </w:p>
    <w:p w14:paraId="4CFC0556">
      <w:pPr>
        <w:autoSpaceDE w:val="0"/>
        <w:autoSpaceDN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2.本投标的投标有效期为自投标截止之日起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90</w:t>
      </w:r>
      <w:r>
        <w:rPr>
          <w:rFonts w:hint="eastAsia" w:ascii="宋体" w:hAnsi="宋体" w:cs="宋体"/>
          <w:color w:val="auto"/>
          <w:sz w:val="24"/>
          <w:highlight w:val="none"/>
        </w:rPr>
        <w:t>个日历天。</w:t>
      </w:r>
    </w:p>
    <w:p w14:paraId="1FBF77DF">
      <w:pPr>
        <w:pStyle w:val="13"/>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3.我方承诺所提交的投标文件及有关资料是完整的、真实的、准确的和有效的，否则，我方承担由此造成的任何损失及引起的任何后果。</w:t>
      </w:r>
    </w:p>
    <w:p w14:paraId="02AEAD56">
      <w:pPr>
        <w:autoSpaceDE w:val="0"/>
        <w:autoSpaceDN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4．如我方中标：</w:t>
      </w:r>
    </w:p>
    <w:p w14:paraId="24FD314E">
      <w:pPr>
        <w:autoSpaceDE w:val="0"/>
        <w:autoSpaceDN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（1）我方承诺在收到中标通知书后，在中标通知书规定的期限内与你方签订合同。</w:t>
      </w:r>
    </w:p>
    <w:p w14:paraId="31D8C0BF">
      <w:pPr>
        <w:autoSpaceDE w:val="0"/>
        <w:autoSpaceDN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（2）我方承诺按合同约定的期限和地点，提供符合招标文件要求的全部的招标货物/服务。</w:t>
      </w:r>
    </w:p>
    <w:p w14:paraId="205FEEB2">
      <w:pPr>
        <w:autoSpaceDE w:val="0"/>
        <w:autoSpaceDN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sz w:val="24"/>
          <w:highlight w:val="none"/>
        </w:rPr>
        <w:t>（3）除商务条款偏离表和技术规格偏离表列出的偏差外，我方满足招标文件的全部要求。</w:t>
      </w:r>
    </w:p>
    <w:p w14:paraId="2993F727">
      <w:pPr>
        <w:autoSpaceDE w:val="0"/>
        <w:autoSpaceDN w:val="0"/>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（其他补充说明）。</w:t>
      </w:r>
    </w:p>
    <w:p w14:paraId="4668DFC4">
      <w:pPr>
        <w:pStyle w:val="13"/>
        <w:ind w:firstLine="480" w:firstLineChars="200"/>
        <w:rPr>
          <w:rFonts w:hint="eastAsia" w:ascii="宋体" w:hAnsi="宋体" w:cs="宋体"/>
          <w:color w:val="auto"/>
          <w:kern w:val="0"/>
          <w:sz w:val="24"/>
          <w:highlight w:val="none"/>
        </w:rPr>
      </w:pPr>
    </w:p>
    <w:p w14:paraId="0A3837B4">
      <w:pPr>
        <w:spacing w:line="360" w:lineRule="auto"/>
        <w:ind w:firstLine="1205"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投 标 人：</w:t>
      </w:r>
      <w:r>
        <w:rPr>
          <w:rFonts w:hint="eastAsia" w:ascii="宋体" w:hAnsi="宋体" w:cs="宋体"/>
          <w:b/>
          <w:bCs/>
          <w:color w:val="auto"/>
          <w:sz w:val="24"/>
          <w:szCs w:val="24"/>
          <w:highlight w:val="none"/>
          <w:u w:val="single"/>
        </w:rPr>
        <w:tab/>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(电子签章)</w:t>
      </w:r>
    </w:p>
    <w:p w14:paraId="2CDCBB3F">
      <w:pPr>
        <w:spacing w:line="360" w:lineRule="auto"/>
        <w:ind w:firstLine="1205"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法定代表人(单位负责人)或其委托代理人：</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w:t>
      </w:r>
      <w:r>
        <w:rPr>
          <w:rFonts w:hint="eastAsia" w:ascii="宋体" w:hAnsi="宋体" w:cs="宋体"/>
          <w:b/>
          <w:bCs/>
          <w:color w:val="auto"/>
          <w:sz w:val="24"/>
          <w:szCs w:val="24"/>
          <w:highlight w:val="none"/>
          <w:lang w:eastAsia="zh-CN"/>
        </w:rPr>
        <w:t>电子签章或签名</w:t>
      </w:r>
      <w:r>
        <w:rPr>
          <w:rFonts w:hint="eastAsia" w:ascii="宋体" w:hAnsi="宋体" w:cs="宋体"/>
          <w:b/>
          <w:bCs/>
          <w:color w:val="auto"/>
          <w:sz w:val="24"/>
          <w:szCs w:val="24"/>
          <w:highlight w:val="none"/>
        </w:rPr>
        <w:t>)</w:t>
      </w:r>
    </w:p>
    <w:p w14:paraId="0DA8A688">
      <w:pPr>
        <w:spacing w:line="360" w:lineRule="auto"/>
        <w:ind w:firstLine="1205" w:firstLineChars="500"/>
        <w:rPr>
          <w:rFonts w:hint="eastAsia" w:ascii="宋体" w:hAnsi="宋体" w:cs="宋体"/>
          <w:b/>
          <w:bCs/>
          <w:color w:val="auto"/>
          <w:sz w:val="24"/>
          <w:szCs w:val="24"/>
          <w:highlight w:val="none"/>
          <w:u w:val="single"/>
        </w:rPr>
      </w:pPr>
      <w:r>
        <w:rPr>
          <w:rFonts w:hint="eastAsia" w:ascii="宋体" w:hAnsi="宋体" w:cs="宋体"/>
          <w:b/>
          <w:bCs/>
          <w:color w:val="auto"/>
          <w:sz w:val="24"/>
          <w:szCs w:val="24"/>
          <w:highlight w:val="none"/>
        </w:rPr>
        <w:t>地</w:t>
      </w:r>
      <w:r>
        <w:rPr>
          <w:rFonts w:hint="eastAsia" w:ascii="宋体" w:hAnsi="宋体" w:cs="宋体"/>
          <w:b/>
          <w:bCs/>
          <w:color w:val="auto"/>
          <w:sz w:val="24"/>
          <w:szCs w:val="24"/>
          <w:highlight w:val="none"/>
        </w:rPr>
        <w:tab/>
      </w:r>
      <w:r>
        <w:rPr>
          <w:rFonts w:hint="eastAsia" w:ascii="宋体" w:hAnsi="宋体" w:cs="宋体"/>
          <w:b/>
          <w:bCs/>
          <w:color w:val="auto"/>
          <w:sz w:val="24"/>
          <w:szCs w:val="24"/>
          <w:highlight w:val="none"/>
        </w:rPr>
        <w:t>址：</w:t>
      </w:r>
      <w:r>
        <w:rPr>
          <w:rFonts w:hint="eastAsia" w:ascii="宋体" w:hAnsi="宋体" w:cs="宋体"/>
          <w:b/>
          <w:bCs/>
          <w:color w:val="auto"/>
          <w:sz w:val="24"/>
          <w:szCs w:val="24"/>
          <w:highlight w:val="none"/>
          <w:u w:val="single"/>
        </w:rPr>
        <w:t xml:space="preserve">                                           </w:t>
      </w:r>
    </w:p>
    <w:p w14:paraId="1E132768">
      <w:pPr>
        <w:spacing w:line="360" w:lineRule="auto"/>
        <w:ind w:firstLine="1205"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网</w:t>
      </w:r>
      <w:r>
        <w:rPr>
          <w:rFonts w:hint="eastAsia" w:ascii="宋体" w:hAnsi="宋体" w:cs="宋体"/>
          <w:b/>
          <w:bCs/>
          <w:color w:val="auto"/>
          <w:sz w:val="24"/>
          <w:szCs w:val="24"/>
          <w:highlight w:val="none"/>
        </w:rPr>
        <w:tab/>
      </w:r>
      <w:r>
        <w:rPr>
          <w:rFonts w:hint="eastAsia" w:ascii="宋体" w:hAnsi="宋体" w:cs="宋体"/>
          <w:b/>
          <w:bCs/>
          <w:color w:val="auto"/>
          <w:sz w:val="24"/>
          <w:szCs w:val="24"/>
          <w:highlight w:val="none"/>
        </w:rPr>
        <w:t>址：</w:t>
      </w:r>
      <w:r>
        <w:rPr>
          <w:rFonts w:hint="eastAsia" w:ascii="宋体" w:hAnsi="宋体" w:cs="宋体"/>
          <w:b/>
          <w:bCs/>
          <w:color w:val="auto"/>
          <w:sz w:val="24"/>
          <w:szCs w:val="24"/>
          <w:highlight w:val="none"/>
          <w:u w:val="single"/>
        </w:rPr>
        <w:t xml:space="preserve">                                           </w:t>
      </w:r>
    </w:p>
    <w:p w14:paraId="68987D79">
      <w:pPr>
        <w:spacing w:line="360" w:lineRule="auto"/>
        <w:ind w:firstLine="1205"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电</w:t>
      </w:r>
      <w:r>
        <w:rPr>
          <w:rFonts w:hint="eastAsia" w:ascii="宋体" w:hAnsi="宋体" w:cs="宋体"/>
          <w:b/>
          <w:bCs/>
          <w:color w:val="auto"/>
          <w:sz w:val="24"/>
          <w:szCs w:val="24"/>
          <w:highlight w:val="none"/>
        </w:rPr>
        <w:tab/>
      </w:r>
      <w:r>
        <w:rPr>
          <w:rFonts w:hint="eastAsia" w:ascii="宋体" w:hAnsi="宋体" w:cs="宋体"/>
          <w:b/>
          <w:bCs/>
          <w:color w:val="auto"/>
          <w:sz w:val="24"/>
          <w:szCs w:val="24"/>
          <w:highlight w:val="none"/>
        </w:rPr>
        <w:t>话：</w:t>
      </w:r>
      <w:r>
        <w:rPr>
          <w:rFonts w:hint="eastAsia" w:ascii="宋体" w:hAnsi="宋体" w:cs="宋体"/>
          <w:b/>
          <w:bCs/>
          <w:color w:val="auto"/>
          <w:sz w:val="24"/>
          <w:szCs w:val="24"/>
          <w:highlight w:val="none"/>
          <w:u w:val="single"/>
        </w:rPr>
        <w:t xml:space="preserve">                                               </w:t>
      </w:r>
    </w:p>
    <w:p w14:paraId="2FB3B9E8">
      <w:pPr>
        <w:spacing w:line="360" w:lineRule="auto"/>
        <w:ind w:firstLine="1205"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传</w:t>
      </w:r>
      <w:r>
        <w:rPr>
          <w:rFonts w:hint="eastAsia" w:ascii="宋体" w:hAnsi="宋体" w:cs="宋体"/>
          <w:b/>
          <w:bCs/>
          <w:color w:val="auto"/>
          <w:sz w:val="24"/>
          <w:szCs w:val="24"/>
          <w:highlight w:val="none"/>
        </w:rPr>
        <w:tab/>
      </w:r>
      <w:r>
        <w:rPr>
          <w:rFonts w:hint="eastAsia" w:ascii="宋体" w:hAnsi="宋体" w:cs="宋体"/>
          <w:b/>
          <w:bCs/>
          <w:color w:val="auto"/>
          <w:sz w:val="24"/>
          <w:szCs w:val="24"/>
          <w:highlight w:val="none"/>
        </w:rPr>
        <w:t>真：</w:t>
      </w:r>
      <w:r>
        <w:rPr>
          <w:rFonts w:hint="eastAsia" w:ascii="宋体" w:hAnsi="宋体" w:cs="宋体"/>
          <w:b/>
          <w:bCs/>
          <w:color w:val="auto"/>
          <w:sz w:val="24"/>
          <w:szCs w:val="24"/>
          <w:highlight w:val="none"/>
          <w:u w:val="single"/>
        </w:rPr>
        <w:t xml:space="preserve">                                           </w:t>
      </w:r>
    </w:p>
    <w:p w14:paraId="375B657A">
      <w:pPr>
        <w:spacing w:line="360" w:lineRule="auto"/>
        <w:ind w:firstLine="1205"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邮政编码：</w:t>
      </w:r>
      <w:r>
        <w:rPr>
          <w:rFonts w:hint="eastAsia" w:ascii="宋体" w:hAnsi="宋体" w:cs="宋体"/>
          <w:b/>
          <w:bCs/>
          <w:color w:val="auto"/>
          <w:sz w:val="24"/>
          <w:szCs w:val="24"/>
          <w:highlight w:val="none"/>
          <w:u w:val="single"/>
        </w:rPr>
        <w:t xml:space="preserve">                                         </w:t>
      </w:r>
    </w:p>
    <w:p w14:paraId="01C0F27B">
      <w:pPr>
        <w:spacing w:line="360" w:lineRule="auto"/>
        <w:ind w:firstLine="1205" w:firstLineChars="500"/>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日  期：</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年</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月</w:t>
      </w:r>
      <w:r>
        <w:rPr>
          <w:rFonts w:hint="eastAsia" w:ascii="宋体" w:hAnsi="宋体" w:cs="宋体"/>
          <w:b/>
          <w:bCs/>
          <w:color w:val="auto"/>
          <w:sz w:val="24"/>
          <w:szCs w:val="24"/>
          <w:highlight w:val="none"/>
          <w:u w:val="single"/>
        </w:rPr>
        <w:t xml:space="preserve">    </w:t>
      </w:r>
      <w:r>
        <w:rPr>
          <w:rFonts w:hint="eastAsia" w:ascii="宋体" w:hAnsi="宋体" w:cs="宋体"/>
          <w:b/>
          <w:bCs/>
          <w:color w:val="auto"/>
          <w:sz w:val="24"/>
          <w:szCs w:val="24"/>
          <w:highlight w:val="none"/>
        </w:rPr>
        <w:t>日</w:t>
      </w:r>
    </w:p>
    <w:p w14:paraId="58F35BB5">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 xml:space="preserve"> </w:t>
      </w:r>
    </w:p>
    <w:p w14:paraId="6A84F403">
      <w:pPr>
        <w:spacing w:line="240" w:lineRule="exact"/>
        <w:rPr>
          <w:rFonts w:hint="eastAsia" w:ascii="宋体" w:hAnsi="宋体" w:cs="宋体"/>
          <w:b/>
          <w:bCs/>
          <w:color w:val="auto"/>
          <w:sz w:val="44"/>
          <w:szCs w:val="44"/>
          <w:highlight w:val="none"/>
        </w:rPr>
      </w:pPr>
    </w:p>
    <w:p w14:paraId="17C9022D">
      <w:pPr>
        <w:pStyle w:val="5"/>
        <w:widowControl/>
        <w:autoSpaceDE w:val="0"/>
        <w:spacing w:before="0" w:after="0" w:line="360" w:lineRule="auto"/>
        <w:ind w:firstLine="562" w:firstLineChars="200"/>
        <w:rPr>
          <w:rFonts w:hint="eastAsia" w:ascii="宋体" w:hAnsi="宋体" w:cs="宋体"/>
          <w:color w:val="auto"/>
          <w:szCs w:val="28"/>
          <w:highlight w:val="none"/>
        </w:rPr>
      </w:pPr>
      <w:bookmarkStart w:id="367" w:name="_Toc17119"/>
      <w:bookmarkEnd w:id="367"/>
      <w:bookmarkStart w:id="368" w:name="_Toc13197"/>
      <w:r>
        <w:rPr>
          <w:rFonts w:hint="eastAsia" w:ascii="宋体" w:hAnsi="宋体" w:cs="宋体"/>
          <w:color w:val="auto"/>
          <w:szCs w:val="28"/>
          <w:highlight w:val="none"/>
        </w:rPr>
        <w:br w:type="page"/>
      </w:r>
      <w:bookmarkStart w:id="369" w:name="_Toc12574"/>
      <w:bookmarkStart w:id="370" w:name="_Toc1351"/>
      <w:bookmarkStart w:id="371" w:name="_Toc2837"/>
      <w:r>
        <w:rPr>
          <w:rFonts w:hint="eastAsia" w:ascii="宋体" w:hAnsi="宋体" w:cs="宋体"/>
          <w:color w:val="auto"/>
          <w:szCs w:val="28"/>
          <w:highlight w:val="none"/>
        </w:rPr>
        <w:t>三、法定代表人(单位负责人)身份证明</w:t>
      </w:r>
      <w:bookmarkEnd w:id="368"/>
      <w:r>
        <w:rPr>
          <w:rFonts w:hint="eastAsia" w:ascii="宋体" w:hAnsi="宋体" w:cs="宋体"/>
          <w:color w:val="auto"/>
          <w:szCs w:val="28"/>
          <w:highlight w:val="none"/>
        </w:rPr>
        <w:t>书</w:t>
      </w:r>
      <w:bookmarkEnd w:id="369"/>
      <w:bookmarkEnd w:id="370"/>
      <w:bookmarkEnd w:id="371"/>
    </w:p>
    <w:p w14:paraId="16C06B9F">
      <w:pPr>
        <w:spacing w:line="200" w:lineRule="exact"/>
        <w:rPr>
          <w:rFonts w:hint="eastAsia" w:ascii="宋体" w:hAnsi="宋体" w:cs="宋体"/>
          <w:color w:val="auto"/>
          <w:highlight w:val="none"/>
        </w:rPr>
      </w:pPr>
      <w:r>
        <w:rPr>
          <w:rFonts w:hint="eastAsia" w:ascii="宋体" w:hAnsi="宋体" w:cs="宋体"/>
          <w:color w:val="auto"/>
          <w:highlight w:val="none"/>
        </w:rPr>
        <w:t xml:space="preserve"> </w:t>
      </w:r>
    </w:p>
    <w:p w14:paraId="57C227A8">
      <w:pPr>
        <w:spacing w:line="200" w:lineRule="exact"/>
        <w:rPr>
          <w:rFonts w:hint="eastAsia" w:ascii="宋体" w:hAnsi="宋体" w:cs="宋体"/>
          <w:color w:val="auto"/>
          <w:highlight w:val="none"/>
        </w:rPr>
      </w:pPr>
      <w:r>
        <w:rPr>
          <w:rFonts w:hint="eastAsia" w:ascii="宋体" w:hAnsi="宋体" w:cs="宋体"/>
          <w:color w:val="auto"/>
          <w:highlight w:val="none"/>
        </w:rPr>
        <w:t xml:space="preserve"> </w:t>
      </w:r>
    </w:p>
    <w:p w14:paraId="090AC5D2">
      <w:pPr>
        <w:spacing w:line="200" w:lineRule="exact"/>
        <w:rPr>
          <w:rFonts w:hint="eastAsia" w:ascii="宋体" w:hAnsi="宋体" w:cs="宋体"/>
          <w:color w:val="auto"/>
          <w:highlight w:val="none"/>
        </w:rPr>
      </w:pPr>
      <w:r>
        <w:rPr>
          <w:rFonts w:hint="eastAsia" w:ascii="宋体" w:hAnsi="宋体" w:cs="宋体"/>
          <w:color w:val="auto"/>
          <w:highlight w:val="none"/>
        </w:rPr>
        <w:t xml:space="preserve"> </w:t>
      </w:r>
    </w:p>
    <w:p w14:paraId="6B3B2758">
      <w:pPr>
        <w:autoSpaceDE w:val="0"/>
        <w:autoSpaceDN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6877D49E">
      <w:pPr>
        <w:autoSpaceDE w:val="0"/>
        <w:autoSpaceDN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单位性质：</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67BD679E">
      <w:pPr>
        <w:autoSpaceDE w:val="0"/>
        <w:autoSpaceDN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669A4F4A">
      <w:pPr>
        <w:autoSpaceDE w:val="0"/>
        <w:autoSpaceDN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成立时间：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3E022EB9">
      <w:pPr>
        <w:autoSpaceDE w:val="0"/>
        <w:autoSpaceDN w:val="0"/>
        <w:adjustRightIn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经营期限：</w:t>
      </w:r>
      <w:r>
        <w:rPr>
          <w:rFonts w:hint="eastAsia" w:ascii="宋体" w:hAnsi="宋体" w:cs="宋体"/>
          <w:color w:val="auto"/>
          <w:sz w:val="24"/>
          <w:highlight w:val="none"/>
          <w:u w:val="single"/>
        </w:rPr>
        <w:t xml:space="preserve">                         </w:t>
      </w:r>
    </w:p>
    <w:p w14:paraId="3CA7A189">
      <w:pPr>
        <w:spacing w:line="360" w:lineRule="auto"/>
        <w:ind w:firstLine="480" w:firstLineChars="200"/>
        <w:rPr>
          <w:rFonts w:hint="eastAsia" w:ascii="宋体" w:hAnsi="宋体" w:cs="宋体"/>
          <w:color w:val="auto"/>
          <w:sz w:val="24"/>
          <w:szCs w:val="24"/>
          <w:highlight w:val="none"/>
        </w:rPr>
      </w:pPr>
    </w:p>
    <w:p w14:paraId="69D4B93D">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姓名：</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性别：</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年龄：</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职务：</w:t>
      </w:r>
      <w:r>
        <w:rPr>
          <w:rFonts w:hint="eastAsia" w:ascii="宋体" w:hAnsi="宋体" w:cs="宋体"/>
          <w:color w:val="auto"/>
          <w:sz w:val="24"/>
          <w:szCs w:val="24"/>
          <w:highlight w:val="none"/>
          <w:u w:val="single"/>
        </w:rPr>
        <w:t xml:space="preserve">          </w:t>
      </w:r>
    </w:p>
    <w:p w14:paraId="3266C49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系</w:t>
      </w:r>
      <w:r>
        <w:rPr>
          <w:rFonts w:hint="eastAsia" w:ascii="宋体" w:hAnsi="宋体" w:cs="宋体"/>
          <w:color w:val="auto"/>
          <w:sz w:val="24"/>
          <w:szCs w:val="24"/>
          <w:highlight w:val="none"/>
          <w:u w:val="single"/>
        </w:rPr>
        <w:tab/>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(投标人名称)的法定代表人(单位负责人)。</w:t>
      </w:r>
    </w:p>
    <w:p w14:paraId="6A75C52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特此证明。</w:t>
      </w:r>
    </w:p>
    <w:p w14:paraId="7E72811A">
      <w:pPr>
        <w:spacing w:line="48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6FF46704">
      <w:pPr>
        <w:spacing w:line="48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附：法定代表人(单位负责人)身份证扫描件。</w:t>
      </w:r>
    </w:p>
    <w:p w14:paraId="4B0F00F2">
      <w:pPr>
        <w:spacing w:line="360" w:lineRule="auto"/>
        <w:ind w:left="4480"/>
        <w:jc w:val="both"/>
        <w:rPr>
          <w:rFonts w:hint="eastAsia" w:ascii="宋体" w:hAnsi="宋体" w:cs="宋体"/>
          <w:b/>
          <w:color w:val="auto"/>
          <w:sz w:val="24"/>
          <w:szCs w:val="24"/>
          <w:highlight w:val="none"/>
        </w:rPr>
      </w:pPr>
      <w:r>
        <w:rPr>
          <w:rFonts w:hint="eastAsia" w:ascii="宋体" w:hAnsi="宋体" w:cs="宋体"/>
          <w:b/>
          <w:color w:val="auto"/>
          <w:sz w:val="24"/>
          <w:szCs w:val="24"/>
          <w:highlight w:val="none"/>
        </w:rPr>
        <w:t xml:space="preserve">  </w:t>
      </w:r>
    </w:p>
    <w:p w14:paraId="11BC2FCD">
      <w:pPr>
        <w:spacing w:line="360" w:lineRule="auto"/>
        <w:ind w:left="4480"/>
        <w:jc w:val="both"/>
        <w:rPr>
          <w:rFonts w:hint="eastAsia" w:ascii="宋体" w:hAnsi="宋体" w:cs="宋体"/>
          <w:b/>
          <w:color w:val="auto"/>
          <w:sz w:val="24"/>
          <w:szCs w:val="24"/>
          <w:highlight w:val="none"/>
        </w:rPr>
      </w:pPr>
      <w:r>
        <w:rPr>
          <w:rFonts w:hint="eastAsia" w:ascii="宋体" w:hAnsi="宋体" w:cs="宋体"/>
          <w:b/>
          <w:color w:val="auto"/>
          <w:sz w:val="24"/>
          <w:szCs w:val="24"/>
          <w:highlight w:val="none"/>
        </w:rPr>
        <w:t>投标人：</w:t>
      </w:r>
      <w:r>
        <w:rPr>
          <w:rFonts w:hint="eastAsia" w:ascii="宋体" w:hAnsi="宋体" w:cs="宋体"/>
          <w:b/>
          <w:color w:val="auto"/>
          <w:sz w:val="24"/>
          <w:szCs w:val="24"/>
          <w:highlight w:val="none"/>
          <w:u w:val="single"/>
        </w:rPr>
        <w:tab/>
      </w:r>
      <w:r>
        <w:rPr>
          <w:rFonts w:hint="eastAsia" w:ascii="宋体" w:hAnsi="宋体" w:cs="宋体"/>
          <w:b/>
          <w:color w:val="auto"/>
          <w:sz w:val="24"/>
          <w:szCs w:val="24"/>
          <w:highlight w:val="none"/>
          <w:u w:val="single"/>
        </w:rPr>
        <w:t xml:space="preserve">           </w:t>
      </w:r>
      <w:r>
        <w:rPr>
          <w:rFonts w:hint="eastAsia" w:ascii="宋体" w:hAnsi="宋体" w:cs="宋体"/>
          <w:b/>
          <w:color w:val="auto"/>
          <w:sz w:val="24"/>
          <w:szCs w:val="24"/>
          <w:highlight w:val="none"/>
        </w:rPr>
        <w:t>(电子签章或签名)</w:t>
      </w:r>
    </w:p>
    <w:p w14:paraId="71B48F00">
      <w:pPr>
        <w:spacing w:line="20" w:lineRule="exact"/>
        <w:rPr>
          <w:rFonts w:hint="eastAsia" w:ascii="宋体" w:hAnsi="宋体" w:cs="宋体"/>
          <w:b/>
          <w:color w:val="auto"/>
          <w:sz w:val="24"/>
          <w:szCs w:val="24"/>
          <w:highlight w:val="none"/>
        </w:rPr>
      </w:pPr>
      <w:r>
        <w:rPr>
          <w:rFonts w:hint="eastAsia" w:ascii="宋体" w:hAnsi="宋体" w:cs="宋体"/>
          <w:b/>
          <w:color w:val="auto"/>
          <w:sz w:val="24"/>
          <w:szCs w:val="24"/>
          <w:highlight w:val="none"/>
        </w:rPr>
        <w:t xml:space="preserve"> </w:t>
      </w:r>
    </w:p>
    <w:p w14:paraId="238B61A7">
      <w:pPr>
        <w:spacing w:line="200" w:lineRule="exact"/>
        <w:rPr>
          <w:rFonts w:hint="eastAsia" w:ascii="宋体" w:hAnsi="宋体" w:cs="宋体"/>
          <w:b/>
          <w:color w:val="auto"/>
          <w:sz w:val="24"/>
          <w:szCs w:val="24"/>
          <w:highlight w:val="none"/>
        </w:rPr>
      </w:pPr>
      <w:r>
        <w:rPr>
          <w:rFonts w:hint="eastAsia" w:ascii="宋体" w:hAnsi="宋体" w:cs="宋体"/>
          <w:b/>
          <w:color w:val="auto"/>
          <w:sz w:val="24"/>
          <w:szCs w:val="24"/>
          <w:highlight w:val="none"/>
        </w:rPr>
        <w:t xml:space="preserve"> </w:t>
      </w:r>
    </w:p>
    <w:p w14:paraId="369B828B">
      <w:pPr>
        <w:spacing w:line="200" w:lineRule="exact"/>
        <w:rPr>
          <w:rFonts w:hint="eastAsia" w:ascii="宋体" w:hAnsi="宋体" w:cs="宋体"/>
          <w:b/>
          <w:color w:val="auto"/>
          <w:sz w:val="24"/>
          <w:szCs w:val="24"/>
          <w:highlight w:val="none"/>
        </w:rPr>
      </w:pPr>
      <w:r>
        <w:rPr>
          <w:rFonts w:hint="eastAsia" w:ascii="宋体" w:hAnsi="宋体" w:cs="宋体"/>
          <w:b/>
          <w:color w:val="auto"/>
          <w:sz w:val="24"/>
          <w:szCs w:val="24"/>
          <w:highlight w:val="none"/>
        </w:rPr>
        <w:t xml:space="preserve"> </w:t>
      </w:r>
    </w:p>
    <w:p w14:paraId="26264186">
      <w:pPr>
        <w:wordWrap w:val="0"/>
        <w:ind w:right="48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 xml:space="preserve">                         </w:t>
      </w:r>
    </w:p>
    <w:p w14:paraId="59ECBFD3">
      <w:pPr>
        <w:wordWrap w:val="0"/>
        <w:ind w:right="480"/>
        <w:jc w:val="center"/>
        <w:rPr>
          <w:rFonts w:hint="eastAsia" w:ascii="宋体" w:hAnsi="宋体" w:cs="宋体"/>
          <w:b/>
          <w:color w:val="auto"/>
          <w:sz w:val="24"/>
          <w:szCs w:val="24"/>
          <w:highlight w:val="none"/>
        </w:rPr>
      </w:pPr>
      <w:r>
        <w:rPr>
          <w:rFonts w:hint="eastAsia" w:ascii="宋体" w:hAnsi="宋体" w:cs="宋体"/>
          <w:b/>
          <w:color w:val="auto"/>
          <w:sz w:val="24"/>
          <w:szCs w:val="24"/>
          <w:highlight w:val="none"/>
        </w:rPr>
        <w:t xml:space="preserve">                       日  期：</w:t>
      </w:r>
      <w:r>
        <w:rPr>
          <w:rFonts w:hint="eastAsia" w:ascii="宋体" w:hAnsi="宋体" w:cs="宋体"/>
          <w:b/>
          <w:color w:val="auto"/>
          <w:sz w:val="24"/>
          <w:szCs w:val="24"/>
          <w:highlight w:val="none"/>
          <w:u w:val="single"/>
        </w:rPr>
        <w:t xml:space="preserve">     </w:t>
      </w:r>
      <w:r>
        <w:rPr>
          <w:rFonts w:hint="eastAsia" w:ascii="宋体" w:hAnsi="宋体" w:cs="宋体"/>
          <w:b/>
          <w:color w:val="auto"/>
          <w:sz w:val="24"/>
          <w:szCs w:val="24"/>
          <w:highlight w:val="none"/>
        </w:rPr>
        <w:t>年</w:t>
      </w:r>
      <w:r>
        <w:rPr>
          <w:rFonts w:hint="eastAsia" w:ascii="宋体" w:hAnsi="宋体" w:cs="宋体"/>
          <w:b/>
          <w:color w:val="auto"/>
          <w:sz w:val="24"/>
          <w:szCs w:val="24"/>
          <w:highlight w:val="none"/>
          <w:u w:val="single"/>
        </w:rPr>
        <w:t xml:space="preserve">   </w:t>
      </w:r>
      <w:r>
        <w:rPr>
          <w:rFonts w:hint="eastAsia" w:ascii="宋体" w:hAnsi="宋体" w:cs="宋体"/>
          <w:b/>
          <w:color w:val="auto"/>
          <w:sz w:val="24"/>
          <w:szCs w:val="24"/>
          <w:highlight w:val="none"/>
        </w:rPr>
        <w:t>月</w:t>
      </w:r>
      <w:r>
        <w:rPr>
          <w:rFonts w:hint="eastAsia" w:ascii="宋体" w:hAnsi="宋体" w:cs="宋体"/>
          <w:b/>
          <w:color w:val="auto"/>
          <w:sz w:val="24"/>
          <w:szCs w:val="24"/>
          <w:highlight w:val="none"/>
          <w:u w:val="single"/>
        </w:rPr>
        <w:t xml:space="preserve">   </w:t>
      </w:r>
      <w:r>
        <w:rPr>
          <w:rFonts w:hint="eastAsia" w:ascii="宋体" w:hAnsi="宋体" w:cs="宋体"/>
          <w:b/>
          <w:color w:val="auto"/>
          <w:sz w:val="24"/>
          <w:szCs w:val="24"/>
          <w:highlight w:val="none"/>
        </w:rPr>
        <w:t>日</w:t>
      </w:r>
    </w:p>
    <w:p w14:paraId="1D6C9EA7">
      <w:pPr>
        <w:spacing w:line="360" w:lineRule="auto"/>
        <w:ind w:firstLine="5760" w:firstLineChars="2400"/>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26E3A7B9">
      <w:pPr>
        <w:spacing w:line="20" w:lineRule="exact"/>
        <w:rPr>
          <w:rFonts w:hint="eastAsia" w:ascii="宋体" w:hAnsi="宋体" w:cs="宋体"/>
          <w:b/>
          <w:bCs/>
          <w:color w:val="auto"/>
          <w:sz w:val="44"/>
          <w:szCs w:val="44"/>
          <w:highlight w:val="none"/>
        </w:rPr>
      </w:pPr>
      <w:r>
        <w:rPr>
          <w:rFonts w:hint="eastAsia" w:ascii="宋体" w:hAnsi="宋体" w:cs="宋体"/>
          <w:color w:val="auto"/>
          <w:highlight w:val="none"/>
        </w:rPr>
        <w:t xml:space="preserve">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7"/>
      </w:tblGrid>
      <w:tr w14:paraId="1BA5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trPr>
        <w:tc>
          <w:tcPr>
            <w:tcW w:w="9627" w:type="dxa"/>
            <w:noWrap w:val="0"/>
            <w:vAlign w:val="center"/>
          </w:tcPr>
          <w:p w14:paraId="3DFA2290">
            <w:pPr>
              <w:widowControl w:val="0"/>
              <w:spacing w:before="317" w:beforeLines="100" w:after="317" w:afterLines="100" w:line="600" w:lineRule="exact"/>
              <w:jc w:val="center"/>
              <w:rPr>
                <w:rFonts w:hint="eastAsia" w:ascii="宋体" w:hAnsi="宋体" w:eastAsia="宋体" w:cs="宋体"/>
                <w:color w:val="auto"/>
                <w:highlight w:val="none"/>
              </w:rPr>
            </w:pPr>
            <w:bookmarkStart w:id="372" w:name="_Toc31847"/>
            <w:bookmarkEnd w:id="372"/>
            <w:bookmarkStart w:id="373" w:name="_Toc15398"/>
            <w:bookmarkEnd w:id="373"/>
            <w:bookmarkStart w:id="374" w:name="_Toc23744"/>
            <w:r>
              <w:rPr>
                <w:rFonts w:hint="eastAsia" w:ascii="宋体" w:hAnsi="宋体" w:eastAsia="宋体" w:cs="宋体"/>
                <w:color w:val="auto"/>
                <w:sz w:val="24"/>
                <w:szCs w:val="24"/>
                <w:highlight w:val="none"/>
              </w:rPr>
              <w:t>法定代表人(单位负责人)身份证正面/反面</w:t>
            </w:r>
          </w:p>
        </w:tc>
      </w:tr>
    </w:tbl>
    <w:p w14:paraId="71A0699D">
      <w:pPr>
        <w:pStyle w:val="5"/>
        <w:widowControl/>
        <w:autoSpaceDE w:val="0"/>
        <w:spacing w:before="0" w:after="0" w:line="360" w:lineRule="auto"/>
        <w:ind w:firstLine="562" w:firstLineChars="200"/>
        <w:rPr>
          <w:rFonts w:hint="eastAsia" w:ascii="宋体" w:hAnsi="宋体" w:cs="宋体"/>
          <w:color w:val="auto"/>
          <w:szCs w:val="28"/>
          <w:highlight w:val="none"/>
        </w:rPr>
      </w:pPr>
      <w:r>
        <w:rPr>
          <w:rFonts w:hint="eastAsia" w:ascii="宋体" w:hAnsi="宋体" w:cs="宋体"/>
          <w:color w:val="auto"/>
          <w:szCs w:val="28"/>
          <w:highlight w:val="none"/>
        </w:rPr>
        <w:br w:type="page"/>
      </w:r>
      <w:bookmarkStart w:id="375" w:name="_Toc13638"/>
      <w:bookmarkStart w:id="376" w:name="_Toc27153"/>
      <w:bookmarkStart w:id="377" w:name="_Toc3420"/>
      <w:r>
        <w:rPr>
          <w:rFonts w:hint="eastAsia" w:ascii="宋体" w:hAnsi="宋体" w:cs="宋体"/>
          <w:color w:val="auto"/>
          <w:szCs w:val="28"/>
          <w:highlight w:val="none"/>
        </w:rPr>
        <w:t>四、授权委托书</w:t>
      </w:r>
      <w:bookmarkEnd w:id="374"/>
      <w:bookmarkEnd w:id="375"/>
      <w:bookmarkEnd w:id="376"/>
      <w:bookmarkEnd w:id="377"/>
    </w:p>
    <w:p w14:paraId="7AE7DAD9">
      <w:pPr>
        <w:spacing w:line="200" w:lineRule="exact"/>
        <w:rPr>
          <w:rFonts w:hint="eastAsia" w:ascii="宋体" w:hAnsi="宋体" w:cs="宋体"/>
          <w:color w:val="auto"/>
          <w:highlight w:val="none"/>
        </w:rPr>
      </w:pPr>
      <w:r>
        <w:rPr>
          <w:rFonts w:hint="eastAsia" w:ascii="宋体" w:hAnsi="宋体" w:cs="宋体"/>
          <w:color w:val="auto"/>
          <w:highlight w:val="none"/>
        </w:rPr>
        <w:t xml:space="preserve"> </w:t>
      </w:r>
    </w:p>
    <w:p w14:paraId="42D28EB7">
      <w:pPr>
        <w:spacing w:line="200" w:lineRule="exact"/>
        <w:rPr>
          <w:rFonts w:hint="eastAsia" w:ascii="宋体" w:hAnsi="宋体" w:cs="宋体"/>
          <w:color w:val="auto"/>
          <w:highlight w:val="none"/>
        </w:rPr>
      </w:pPr>
      <w:r>
        <w:rPr>
          <w:rFonts w:hint="eastAsia" w:ascii="宋体" w:hAnsi="宋体" w:cs="宋体"/>
          <w:color w:val="auto"/>
          <w:highlight w:val="none"/>
        </w:rPr>
        <w:t xml:space="preserve"> </w:t>
      </w:r>
    </w:p>
    <w:p w14:paraId="1A20846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本人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(姓名)系</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(投标人名称)的法定代表人(单位负责人)，现委托</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(姓名)为我方代理人。代理人根据授权，以我方名义签署、澄清、说明、补正、撤回、修改</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（项目名称）投标文件、签订合同和处理有关事宜，其法律后果由我方承担。</w:t>
      </w:r>
    </w:p>
    <w:p w14:paraId="1303EC6B">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代理人无转委托权。</w:t>
      </w:r>
    </w:p>
    <w:p w14:paraId="53C6A1B1">
      <w:pPr>
        <w:spacing w:before="468" w:line="360" w:lineRule="auto"/>
        <w:ind w:firstLine="3373" w:firstLineChars="1400"/>
        <w:rPr>
          <w:rFonts w:hint="eastAsia" w:ascii="宋体" w:hAnsi="宋体" w:cs="宋体"/>
          <w:b/>
          <w:color w:val="auto"/>
          <w:sz w:val="24"/>
          <w:szCs w:val="24"/>
          <w:highlight w:val="none"/>
        </w:rPr>
      </w:pPr>
      <w:r>
        <w:rPr>
          <w:rFonts w:hint="eastAsia" w:ascii="宋体" w:hAnsi="宋体" w:cs="宋体"/>
          <w:b/>
          <w:color w:val="auto"/>
          <w:sz w:val="24"/>
          <w:szCs w:val="24"/>
          <w:highlight w:val="none"/>
        </w:rPr>
        <w:t>投 标 人：</w:t>
      </w:r>
      <w:r>
        <w:rPr>
          <w:rFonts w:hint="eastAsia" w:ascii="宋体" w:hAnsi="宋体" w:cs="宋体"/>
          <w:b/>
          <w:color w:val="auto"/>
          <w:sz w:val="24"/>
          <w:szCs w:val="24"/>
          <w:highlight w:val="none"/>
          <w:u w:val="single"/>
        </w:rPr>
        <w:t xml:space="preserve">                        </w:t>
      </w:r>
      <w:r>
        <w:rPr>
          <w:rFonts w:hint="eastAsia" w:ascii="宋体" w:hAnsi="宋体" w:cs="宋体"/>
          <w:b/>
          <w:color w:val="auto"/>
          <w:sz w:val="24"/>
          <w:szCs w:val="24"/>
          <w:highlight w:val="none"/>
        </w:rPr>
        <w:t>(电子签章)</w:t>
      </w:r>
    </w:p>
    <w:p w14:paraId="58622AB5">
      <w:pPr>
        <w:spacing w:before="468" w:line="360" w:lineRule="auto"/>
        <w:ind w:firstLine="3373" w:firstLineChars="1400"/>
        <w:rPr>
          <w:rFonts w:hint="eastAsia" w:ascii="宋体" w:hAnsi="宋体" w:cs="宋体"/>
          <w:b/>
          <w:color w:val="auto"/>
          <w:sz w:val="24"/>
          <w:szCs w:val="24"/>
          <w:highlight w:val="none"/>
        </w:rPr>
      </w:pPr>
      <w:r>
        <w:rPr>
          <w:rFonts w:hint="eastAsia" w:ascii="宋体" w:hAnsi="宋体" w:cs="宋体"/>
          <w:b/>
          <w:color w:val="auto"/>
          <w:sz w:val="24"/>
          <w:szCs w:val="24"/>
          <w:highlight w:val="none"/>
        </w:rPr>
        <w:t>法定代表人(单位负责人)：</w:t>
      </w:r>
      <w:r>
        <w:rPr>
          <w:rFonts w:hint="eastAsia" w:ascii="宋体" w:hAnsi="宋体" w:cs="宋体"/>
          <w:b/>
          <w:color w:val="auto"/>
          <w:sz w:val="24"/>
          <w:szCs w:val="24"/>
          <w:highlight w:val="none"/>
          <w:u w:val="single"/>
        </w:rPr>
        <w:t xml:space="preserve">           </w:t>
      </w:r>
      <w:r>
        <w:rPr>
          <w:rFonts w:hint="eastAsia" w:ascii="宋体" w:hAnsi="宋体" w:cs="宋体"/>
          <w:b/>
          <w:color w:val="auto"/>
          <w:sz w:val="24"/>
          <w:szCs w:val="24"/>
          <w:highlight w:val="none"/>
        </w:rPr>
        <w:t>(</w:t>
      </w:r>
      <w:r>
        <w:rPr>
          <w:rFonts w:hint="eastAsia" w:ascii="宋体" w:hAnsi="宋体" w:cs="宋体"/>
          <w:b/>
          <w:color w:val="auto"/>
          <w:sz w:val="24"/>
          <w:szCs w:val="24"/>
          <w:highlight w:val="none"/>
          <w:lang w:eastAsia="zh-CN"/>
        </w:rPr>
        <w:t>电子签章或签名</w:t>
      </w:r>
      <w:r>
        <w:rPr>
          <w:rFonts w:hint="eastAsia" w:ascii="宋体" w:hAnsi="宋体" w:cs="宋体"/>
          <w:b/>
          <w:color w:val="auto"/>
          <w:sz w:val="24"/>
          <w:szCs w:val="24"/>
          <w:highlight w:val="none"/>
        </w:rPr>
        <w:t>)</w:t>
      </w:r>
    </w:p>
    <w:p w14:paraId="0BAF63FE">
      <w:pPr>
        <w:autoSpaceDE w:val="0"/>
        <w:autoSpaceDN w:val="0"/>
        <w:adjustRightInd w:val="0"/>
        <w:spacing w:line="360" w:lineRule="auto"/>
        <w:ind w:firstLine="3373" w:firstLineChars="1400"/>
        <w:rPr>
          <w:rFonts w:hint="eastAsia" w:ascii="宋体" w:hAnsi="宋体" w:cs="宋体"/>
          <w:b/>
          <w:bCs/>
          <w:color w:val="auto"/>
          <w:sz w:val="24"/>
          <w:szCs w:val="24"/>
          <w:highlight w:val="none"/>
          <w:u w:val="single"/>
        </w:rPr>
      </w:pPr>
      <w:r>
        <w:rPr>
          <w:rFonts w:hint="eastAsia" w:ascii="宋体" w:hAnsi="宋体" w:cs="宋体"/>
          <w:b/>
          <w:bCs/>
          <w:color w:val="auto"/>
          <w:sz w:val="24"/>
          <w:szCs w:val="24"/>
          <w:highlight w:val="none"/>
        </w:rPr>
        <w:t>身份证号码：</w:t>
      </w:r>
      <w:r>
        <w:rPr>
          <w:rFonts w:hint="eastAsia" w:ascii="宋体" w:hAnsi="宋体" w:cs="宋体"/>
          <w:b/>
          <w:bCs/>
          <w:color w:val="auto"/>
          <w:sz w:val="24"/>
          <w:szCs w:val="24"/>
          <w:highlight w:val="none"/>
          <w:u w:val="single"/>
        </w:rPr>
        <w:t xml:space="preserve">                            </w:t>
      </w:r>
    </w:p>
    <w:p w14:paraId="193B2AFE">
      <w:pPr>
        <w:spacing w:before="468" w:line="360" w:lineRule="auto"/>
        <w:ind w:firstLine="3373" w:firstLineChars="1400"/>
        <w:rPr>
          <w:rFonts w:hint="eastAsia" w:ascii="宋体" w:hAnsi="宋体" w:cs="宋体"/>
          <w:b/>
          <w:color w:val="auto"/>
          <w:sz w:val="24"/>
          <w:szCs w:val="24"/>
          <w:highlight w:val="none"/>
        </w:rPr>
      </w:pPr>
      <w:r>
        <w:rPr>
          <w:rFonts w:hint="eastAsia" w:ascii="宋体" w:hAnsi="宋体" w:cs="宋体"/>
          <w:b/>
          <w:color w:val="auto"/>
          <w:sz w:val="24"/>
          <w:szCs w:val="24"/>
          <w:highlight w:val="none"/>
        </w:rPr>
        <w:t>委托代理人：</w:t>
      </w:r>
      <w:r>
        <w:rPr>
          <w:rFonts w:hint="eastAsia" w:ascii="宋体" w:hAnsi="宋体" w:cs="宋体"/>
          <w:b/>
          <w:color w:val="auto"/>
          <w:sz w:val="24"/>
          <w:szCs w:val="24"/>
          <w:highlight w:val="none"/>
          <w:u w:val="single"/>
        </w:rPr>
        <w:t xml:space="preserve">                       </w:t>
      </w:r>
    </w:p>
    <w:p w14:paraId="1193F8CA">
      <w:pPr>
        <w:autoSpaceDE w:val="0"/>
        <w:autoSpaceDN w:val="0"/>
        <w:adjustRightInd w:val="0"/>
        <w:spacing w:line="360" w:lineRule="auto"/>
        <w:ind w:firstLine="3373" w:firstLineChars="1400"/>
        <w:rPr>
          <w:rFonts w:hint="eastAsia" w:ascii="宋体" w:hAnsi="宋体" w:cs="宋体"/>
          <w:color w:val="auto"/>
          <w:highlight w:val="none"/>
        </w:rPr>
      </w:pPr>
      <w:r>
        <w:rPr>
          <w:rFonts w:hint="eastAsia" w:ascii="宋体" w:hAnsi="宋体" w:cs="宋体"/>
          <w:b/>
          <w:bCs/>
          <w:color w:val="auto"/>
          <w:sz w:val="24"/>
          <w:highlight w:val="none"/>
        </w:rPr>
        <w:t>身份证号码：</w:t>
      </w:r>
      <w:r>
        <w:rPr>
          <w:rFonts w:hint="eastAsia" w:ascii="宋体" w:hAnsi="宋体" w:cs="宋体"/>
          <w:b/>
          <w:bCs/>
          <w:color w:val="auto"/>
          <w:sz w:val="24"/>
          <w:highlight w:val="none"/>
          <w:u w:val="single"/>
        </w:rPr>
        <w:t xml:space="preserve">                            </w:t>
      </w:r>
    </w:p>
    <w:p w14:paraId="7D21BB1D">
      <w:pPr>
        <w:spacing w:before="468" w:line="360" w:lineRule="auto"/>
        <w:ind w:firstLine="3373" w:firstLineChars="1400"/>
        <w:rPr>
          <w:rFonts w:hint="eastAsia" w:ascii="宋体" w:hAnsi="宋体" w:cs="宋体"/>
          <w:b/>
          <w:color w:val="auto"/>
          <w:sz w:val="24"/>
          <w:szCs w:val="24"/>
          <w:highlight w:val="none"/>
        </w:rPr>
      </w:pPr>
      <w:r>
        <w:rPr>
          <w:rFonts w:hint="eastAsia" w:ascii="宋体" w:hAnsi="宋体" w:cs="宋体"/>
          <w:b/>
          <w:color w:val="auto"/>
          <w:sz w:val="24"/>
          <w:szCs w:val="24"/>
          <w:highlight w:val="none"/>
        </w:rPr>
        <w:t>日期：</w:t>
      </w:r>
      <w:r>
        <w:rPr>
          <w:rFonts w:hint="eastAsia" w:ascii="宋体" w:hAnsi="宋体" w:cs="宋体"/>
          <w:b/>
          <w:color w:val="auto"/>
          <w:sz w:val="24"/>
          <w:szCs w:val="24"/>
          <w:highlight w:val="none"/>
          <w:u w:val="single"/>
        </w:rPr>
        <w:t xml:space="preserve">       </w:t>
      </w:r>
      <w:r>
        <w:rPr>
          <w:rFonts w:hint="eastAsia" w:ascii="宋体" w:hAnsi="宋体" w:cs="宋体"/>
          <w:b/>
          <w:color w:val="auto"/>
          <w:sz w:val="24"/>
          <w:szCs w:val="24"/>
          <w:highlight w:val="none"/>
        </w:rPr>
        <w:t>年</w:t>
      </w:r>
      <w:r>
        <w:rPr>
          <w:rFonts w:hint="eastAsia" w:ascii="宋体" w:hAnsi="宋体" w:cs="宋体"/>
          <w:b/>
          <w:color w:val="auto"/>
          <w:sz w:val="24"/>
          <w:szCs w:val="24"/>
          <w:highlight w:val="none"/>
          <w:u w:val="single"/>
        </w:rPr>
        <w:t xml:space="preserve">    </w:t>
      </w:r>
      <w:r>
        <w:rPr>
          <w:rFonts w:hint="eastAsia" w:ascii="宋体" w:hAnsi="宋体" w:cs="宋体"/>
          <w:b/>
          <w:color w:val="auto"/>
          <w:sz w:val="24"/>
          <w:szCs w:val="24"/>
          <w:highlight w:val="none"/>
        </w:rPr>
        <w:t>月</w:t>
      </w:r>
      <w:r>
        <w:rPr>
          <w:rFonts w:hint="eastAsia" w:ascii="宋体" w:hAnsi="宋体" w:cs="宋体"/>
          <w:b/>
          <w:color w:val="auto"/>
          <w:sz w:val="24"/>
          <w:szCs w:val="24"/>
          <w:highlight w:val="none"/>
          <w:u w:val="single"/>
        </w:rPr>
        <w:t xml:space="preserve">    </w:t>
      </w:r>
      <w:r>
        <w:rPr>
          <w:rFonts w:hint="eastAsia" w:ascii="宋体" w:hAnsi="宋体" w:cs="宋体"/>
          <w:b/>
          <w:color w:val="auto"/>
          <w:sz w:val="24"/>
          <w:szCs w:val="24"/>
          <w:highlight w:val="none"/>
        </w:rPr>
        <w:t>日</w:t>
      </w:r>
    </w:p>
    <w:p w14:paraId="1CB1C787">
      <w:pPr>
        <w:spacing w:line="360" w:lineRule="auto"/>
        <w:ind w:right="482"/>
        <w:rPr>
          <w:rFonts w:hint="eastAsia" w:ascii="宋体" w:hAnsi="宋体" w:cs="宋体"/>
          <w:color w:val="auto"/>
          <w:sz w:val="24"/>
          <w:szCs w:val="24"/>
          <w:highlight w:val="none"/>
        </w:rPr>
      </w:pPr>
      <w:r>
        <w:rPr>
          <w:rFonts w:hint="default" w:ascii="宋体" w:hAnsi="宋体" w:eastAsia="宋体" w:cs="宋体"/>
          <w:color w:val="auto"/>
          <w:kern w:val="2"/>
          <w:sz w:val="24"/>
          <w:szCs w:val="24"/>
          <w:highlight w:val="none"/>
          <w:shd w:val="clear" w:color="auto" w:fill="FFFFFF"/>
          <w:lang w:bidi="ar"/>
        </w:rPr>
        <w:t>★</w:t>
      </w:r>
      <w:r>
        <w:rPr>
          <w:rFonts w:hint="eastAsia" w:ascii="宋体" w:hAnsi="宋体" w:cs="宋体"/>
          <w:b/>
          <w:color w:val="auto"/>
          <w:sz w:val="24"/>
          <w:szCs w:val="24"/>
          <w:highlight w:val="none"/>
        </w:rPr>
        <w:t>注：</w:t>
      </w:r>
      <w:r>
        <w:rPr>
          <w:rFonts w:hint="eastAsia" w:ascii="宋体" w:hAnsi="宋体" w:cs="宋体"/>
          <w:b/>
          <w:color w:val="auto"/>
          <w:sz w:val="24"/>
          <w:highlight w:val="none"/>
        </w:rPr>
        <w:t>附授权委托代理人身份证</w:t>
      </w:r>
      <w:r>
        <w:rPr>
          <w:rFonts w:hint="eastAsia" w:ascii="宋体" w:hAnsi="宋体" w:cs="宋体"/>
          <w:b/>
          <w:color w:val="auto"/>
          <w:sz w:val="24"/>
          <w:szCs w:val="24"/>
          <w:highlight w:val="none"/>
        </w:rPr>
        <w:t>扫描件</w:t>
      </w:r>
      <w:r>
        <w:rPr>
          <w:rFonts w:hint="eastAsia" w:ascii="宋体" w:hAnsi="宋体" w:cs="宋体"/>
          <w:b/>
          <w:color w:val="auto"/>
          <w:sz w:val="24"/>
          <w:highlight w:val="none"/>
        </w:rPr>
        <w:t>，如由法定代表人亲自签署</w:t>
      </w:r>
      <w:r>
        <w:rPr>
          <w:rFonts w:hint="eastAsia" w:ascii="宋体" w:hAnsi="宋体" w:cs="宋体"/>
          <w:b/>
          <w:bCs/>
          <w:color w:val="auto"/>
          <w:sz w:val="24"/>
          <w:highlight w:val="none"/>
        </w:rPr>
        <w:t>投标文件</w:t>
      </w:r>
      <w:r>
        <w:rPr>
          <w:rFonts w:hint="eastAsia" w:ascii="宋体" w:hAnsi="宋体" w:cs="宋体"/>
          <w:b/>
          <w:color w:val="auto"/>
          <w:sz w:val="24"/>
          <w:highlight w:val="none"/>
        </w:rPr>
        <w:t>并参与相关活动，则不需要办理授权。如由被授权的代理人签署上述文件，则必须按本格式规定填报并提交授权书，否则被授权的代理人将不被认可。</w:t>
      </w:r>
      <w:r>
        <w:rPr>
          <w:rFonts w:hint="eastAsia" w:hAnsi="宋体"/>
          <w:b/>
          <w:bCs/>
          <w:color w:val="auto"/>
          <w:sz w:val="24"/>
          <w:szCs w:val="24"/>
          <w:highlight w:val="none"/>
        </w:rPr>
        <w:t>如投标人代表不是法定代表人，应当在《法定代表人授权委托书》后提供以下材料：①授权代表由投标人缴纳社保的证明材料，其他单位代缴社保的证明材料不予认可（新成立不满两个月的不作要求）。 ②授权代表的在职证明。</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7"/>
      </w:tblGrid>
      <w:tr w14:paraId="61A7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9627" w:type="dxa"/>
            <w:noWrap w:val="0"/>
            <w:vAlign w:val="center"/>
          </w:tcPr>
          <w:p w14:paraId="747A637D">
            <w:pPr>
              <w:widowControl w:val="0"/>
              <w:spacing w:before="317" w:beforeLines="100" w:after="317" w:afterLines="100" w:line="600" w:lineRule="exact"/>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代理人身份证正面/反面</w:t>
            </w:r>
          </w:p>
        </w:tc>
      </w:tr>
    </w:tbl>
    <w:p w14:paraId="7BF93818">
      <w:pPr>
        <w:spacing w:line="240" w:lineRule="exact"/>
        <w:rPr>
          <w:rFonts w:hint="eastAsia" w:ascii="宋体" w:hAnsi="宋体" w:cs="宋体"/>
          <w:b/>
          <w:bCs/>
          <w:color w:val="auto"/>
          <w:sz w:val="44"/>
          <w:szCs w:val="44"/>
          <w:highlight w:val="none"/>
        </w:rPr>
      </w:pPr>
    </w:p>
    <w:p w14:paraId="59C8C4AC">
      <w:pPr>
        <w:pStyle w:val="5"/>
        <w:widowControl/>
        <w:autoSpaceDE w:val="0"/>
        <w:spacing w:before="0" w:after="0" w:line="360" w:lineRule="auto"/>
        <w:rPr>
          <w:rFonts w:hint="eastAsia" w:ascii="宋体" w:hAnsi="宋体" w:cs="宋体"/>
          <w:color w:val="auto"/>
          <w:szCs w:val="28"/>
          <w:highlight w:val="none"/>
        </w:rPr>
      </w:pPr>
      <w:bookmarkStart w:id="378" w:name="_Toc25271"/>
      <w:bookmarkEnd w:id="378"/>
      <w:bookmarkStart w:id="379" w:name="_Toc26620"/>
      <w:bookmarkEnd w:id="379"/>
      <w:bookmarkStart w:id="380" w:name="_Toc28613"/>
      <w:r>
        <w:rPr>
          <w:rFonts w:hint="eastAsia" w:ascii="宋体" w:hAnsi="宋体" w:cs="宋体"/>
          <w:color w:val="auto"/>
          <w:szCs w:val="28"/>
          <w:highlight w:val="none"/>
        </w:rPr>
        <w:br w:type="page"/>
      </w:r>
      <w:bookmarkStart w:id="381" w:name="_Toc31060"/>
      <w:bookmarkStart w:id="382" w:name="_Toc21100"/>
      <w:bookmarkStart w:id="383" w:name="_Toc30543"/>
      <w:bookmarkStart w:id="384" w:name="_Toc6694"/>
      <w:r>
        <w:rPr>
          <w:rFonts w:hint="eastAsia" w:ascii="宋体" w:hAnsi="宋体" w:cs="宋体"/>
          <w:color w:val="auto"/>
          <w:szCs w:val="28"/>
          <w:highlight w:val="none"/>
        </w:rPr>
        <w:t>五、投标人基本情况表</w:t>
      </w:r>
      <w:bookmarkEnd w:id="381"/>
      <w:bookmarkEnd w:id="382"/>
      <w:bookmarkEnd w:id="383"/>
      <w:bookmarkEnd w:id="384"/>
    </w:p>
    <w:tbl>
      <w:tblPr>
        <w:tblStyle w:val="37"/>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9"/>
        <w:gridCol w:w="1350"/>
        <w:gridCol w:w="2721"/>
        <w:gridCol w:w="1404"/>
        <w:gridCol w:w="1982"/>
      </w:tblGrid>
      <w:tr w14:paraId="29B1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25F216C5">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7457" w:type="dxa"/>
            <w:gridSpan w:val="4"/>
            <w:tcBorders>
              <w:top w:val="single" w:color="auto" w:sz="4" w:space="0"/>
              <w:left w:val="nil"/>
              <w:bottom w:val="single" w:color="auto" w:sz="4" w:space="0"/>
              <w:right w:val="single" w:color="auto" w:sz="4" w:space="0"/>
            </w:tcBorders>
            <w:noWrap w:val="0"/>
            <w:vAlign w:val="center"/>
          </w:tcPr>
          <w:p w14:paraId="1AD46987">
            <w:pPr>
              <w:spacing w:line="440" w:lineRule="exact"/>
              <w:jc w:val="center"/>
              <w:rPr>
                <w:rFonts w:hint="eastAsia" w:ascii="宋体" w:hAnsi="宋体" w:eastAsia="宋体" w:cs="宋体"/>
                <w:color w:val="auto"/>
                <w:sz w:val="24"/>
                <w:szCs w:val="24"/>
                <w:highlight w:val="none"/>
              </w:rPr>
            </w:pPr>
          </w:p>
        </w:tc>
      </w:tr>
      <w:tr w14:paraId="10B3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4ADCC4FD">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w:t>
            </w:r>
          </w:p>
        </w:tc>
        <w:tc>
          <w:tcPr>
            <w:tcW w:w="4071" w:type="dxa"/>
            <w:gridSpan w:val="2"/>
            <w:tcBorders>
              <w:top w:val="single" w:color="auto" w:sz="4" w:space="0"/>
              <w:left w:val="nil"/>
              <w:bottom w:val="single" w:color="auto" w:sz="4" w:space="0"/>
              <w:right w:val="single" w:color="auto" w:sz="4" w:space="0"/>
            </w:tcBorders>
            <w:noWrap w:val="0"/>
            <w:vAlign w:val="center"/>
          </w:tcPr>
          <w:p w14:paraId="74986991">
            <w:pPr>
              <w:spacing w:line="440" w:lineRule="exact"/>
              <w:jc w:val="center"/>
              <w:rPr>
                <w:rFonts w:hint="eastAsia" w:ascii="宋体" w:hAnsi="宋体" w:eastAsia="宋体" w:cs="宋体"/>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292C66C0">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1982" w:type="dxa"/>
            <w:tcBorders>
              <w:top w:val="single" w:color="auto" w:sz="4" w:space="0"/>
              <w:left w:val="nil"/>
              <w:bottom w:val="single" w:color="auto" w:sz="4" w:space="0"/>
              <w:right w:val="single" w:color="auto" w:sz="4" w:space="0"/>
            </w:tcBorders>
            <w:noWrap w:val="0"/>
            <w:vAlign w:val="center"/>
          </w:tcPr>
          <w:p w14:paraId="1C0B660E">
            <w:pPr>
              <w:spacing w:line="440" w:lineRule="exact"/>
              <w:jc w:val="center"/>
              <w:rPr>
                <w:rFonts w:hint="eastAsia" w:ascii="宋体" w:hAnsi="宋体" w:eastAsia="宋体" w:cs="宋体"/>
                <w:color w:val="auto"/>
                <w:sz w:val="24"/>
                <w:szCs w:val="24"/>
                <w:highlight w:val="none"/>
              </w:rPr>
            </w:pPr>
          </w:p>
        </w:tc>
      </w:tr>
      <w:tr w14:paraId="0062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41227D52">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7457" w:type="dxa"/>
            <w:gridSpan w:val="4"/>
            <w:tcBorders>
              <w:top w:val="single" w:color="auto" w:sz="4" w:space="0"/>
              <w:left w:val="nil"/>
              <w:bottom w:val="single" w:color="auto" w:sz="4" w:space="0"/>
              <w:right w:val="single" w:color="auto" w:sz="4" w:space="0"/>
            </w:tcBorders>
            <w:noWrap w:val="0"/>
            <w:vAlign w:val="center"/>
          </w:tcPr>
          <w:p w14:paraId="1A270E8E">
            <w:pPr>
              <w:spacing w:line="440" w:lineRule="exact"/>
              <w:jc w:val="center"/>
              <w:rPr>
                <w:rFonts w:hint="eastAsia" w:ascii="宋体" w:hAnsi="宋体" w:eastAsia="宋体" w:cs="宋体"/>
                <w:color w:val="auto"/>
                <w:sz w:val="24"/>
                <w:szCs w:val="24"/>
                <w:highlight w:val="none"/>
              </w:rPr>
            </w:pPr>
          </w:p>
        </w:tc>
      </w:tr>
      <w:tr w14:paraId="5ECB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241FCD00">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7457" w:type="dxa"/>
            <w:gridSpan w:val="4"/>
            <w:tcBorders>
              <w:top w:val="single" w:color="auto" w:sz="4" w:space="0"/>
              <w:left w:val="nil"/>
              <w:bottom w:val="single" w:color="auto" w:sz="4" w:space="0"/>
              <w:right w:val="single" w:color="auto" w:sz="4" w:space="0"/>
            </w:tcBorders>
            <w:noWrap w:val="0"/>
            <w:vAlign w:val="center"/>
          </w:tcPr>
          <w:p w14:paraId="3316DEB2">
            <w:pPr>
              <w:spacing w:line="440" w:lineRule="exact"/>
              <w:jc w:val="center"/>
              <w:rPr>
                <w:rFonts w:hint="eastAsia" w:ascii="宋体" w:hAnsi="宋体" w:eastAsia="宋体" w:cs="宋体"/>
                <w:color w:val="auto"/>
                <w:sz w:val="24"/>
                <w:szCs w:val="24"/>
                <w:highlight w:val="none"/>
              </w:rPr>
            </w:pPr>
          </w:p>
        </w:tc>
      </w:tr>
      <w:tr w14:paraId="2464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vMerge w:val="restart"/>
            <w:tcBorders>
              <w:top w:val="nil"/>
              <w:left w:val="single" w:color="auto" w:sz="4" w:space="0"/>
              <w:bottom w:val="single" w:color="auto" w:sz="4" w:space="0"/>
              <w:right w:val="single" w:color="auto" w:sz="4" w:space="0"/>
            </w:tcBorders>
            <w:noWrap w:val="0"/>
            <w:vAlign w:val="center"/>
          </w:tcPr>
          <w:p w14:paraId="67E5C3C5">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1350" w:type="dxa"/>
            <w:tcBorders>
              <w:top w:val="single" w:color="auto" w:sz="4" w:space="0"/>
              <w:left w:val="nil"/>
              <w:bottom w:val="single" w:color="auto" w:sz="4" w:space="0"/>
              <w:right w:val="single" w:color="auto" w:sz="4" w:space="0"/>
            </w:tcBorders>
            <w:noWrap w:val="0"/>
            <w:vAlign w:val="center"/>
          </w:tcPr>
          <w:p w14:paraId="51CB9D3E">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2721" w:type="dxa"/>
            <w:tcBorders>
              <w:top w:val="single" w:color="auto" w:sz="4" w:space="0"/>
              <w:left w:val="nil"/>
              <w:bottom w:val="single" w:color="auto" w:sz="4" w:space="0"/>
              <w:right w:val="single" w:color="auto" w:sz="4" w:space="0"/>
            </w:tcBorders>
            <w:noWrap w:val="0"/>
            <w:vAlign w:val="center"/>
          </w:tcPr>
          <w:p w14:paraId="0AB50669">
            <w:pPr>
              <w:spacing w:line="440" w:lineRule="exact"/>
              <w:jc w:val="center"/>
              <w:rPr>
                <w:rFonts w:hint="eastAsia" w:ascii="宋体" w:hAnsi="宋体" w:eastAsia="宋体" w:cs="宋体"/>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51BBFB20">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1982" w:type="dxa"/>
            <w:tcBorders>
              <w:top w:val="single" w:color="auto" w:sz="4" w:space="0"/>
              <w:left w:val="nil"/>
              <w:bottom w:val="single" w:color="auto" w:sz="4" w:space="0"/>
              <w:right w:val="single" w:color="auto" w:sz="4" w:space="0"/>
            </w:tcBorders>
            <w:noWrap w:val="0"/>
            <w:vAlign w:val="center"/>
          </w:tcPr>
          <w:p w14:paraId="53340E2E">
            <w:pPr>
              <w:spacing w:line="440" w:lineRule="exact"/>
              <w:jc w:val="center"/>
              <w:rPr>
                <w:rFonts w:hint="eastAsia" w:ascii="宋体" w:hAnsi="宋体" w:eastAsia="宋体" w:cs="宋体"/>
                <w:color w:val="auto"/>
                <w:sz w:val="24"/>
                <w:szCs w:val="24"/>
                <w:highlight w:val="none"/>
              </w:rPr>
            </w:pPr>
          </w:p>
        </w:tc>
      </w:tr>
      <w:tr w14:paraId="6498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vMerge w:val="continue"/>
            <w:tcBorders>
              <w:top w:val="nil"/>
              <w:left w:val="single" w:color="auto" w:sz="4" w:space="0"/>
              <w:bottom w:val="single" w:color="auto" w:sz="4" w:space="0"/>
              <w:right w:val="single" w:color="auto" w:sz="4" w:space="0"/>
            </w:tcBorders>
            <w:noWrap w:val="0"/>
            <w:vAlign w:val="center"/>
          </w:tcPr>
          <w:p w14:paraId="3FFA7ED2">
            <w:pPr>
              <w:widowControl w:val="0"/>
              <w:jc w:val="both"/>
              <w:rPr>
                <w:rFonts w:hint="eastAsia" w:ascii="宋体" w:hAnsi="宋体" w:eastAsia="宋体" w:cs="宋体"/>
                <w:color w:val="auto"/>
                <w:kern w:val="2"/>
                <w:sz w:val="24"/>
                <w:szCs w:val="24"/>
                <w:highlight w:val="none"/>
              </w:rPr>
            </w:pPr>
          </w:p>
        </w:tc>
        <w:tc>
          <w:tcPr>
            <w:tcW w:w="1350" w:type="dxa"/>
            <w:tcBorders>
              <w:top w:val="single" w:color="auto" w:sz="4" w:space="0"/>
              <w:left w:val="nil"/>
              <w:bottom w:val="single" w:color="auto" w:sz="4" w:space="0"/>
              <w:right w:val="single" w:color="auto" w:sz="4" w:space="0"/>
            </w:tcBorders>
            <w:noWrap w:val="0"/>
            <w:vAlign w:val="center"/>
          </w:tcPr>
          <w:p w14:paraId="4C74DBF5">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网址</w:t>
            </w:r>
          </w:p>
        </w:tc>
        <w:tc>
          <w:tcPr>
            <w:tcW w:w="2721" w:type="dxa"/>
            <w:tcBorders>
              <w:top w:val="single" w:color="auto" w:sz="4" w:space="0"/>
              <w:left w:val="nil"/>
              <w:bottom w:val="single" w:color="auto" w:sz="4" w:space="0"/>
              <w:right w:val="single" w:color="auto" w:sz="4" w:space="0"/>
            </w:tcBorders>
            <w:noWrap w:val="0"/>
            <w:vAlign w:val="center"/>
          </w:tcPr>
          <w:p w14:paraId="79B8047F">
            <w:pPr>
              <w:spacing w:line="440" w:lineRule="exact"/>
              <w:jc w:val="center"/>
              <w:rPr>
                <w:rFonts w:hint="eastAsia" w:ascii="宋体" w:hAnsi="宋体" w:eastAsia="宋体" w:cs="宋体"/>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1040ECE9">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1982" w:type="dxa"/>
            <w:tcBorders>
              <w:top w:val="single" w:color="auto" w:sz="4" w:space="0"/>
              <w:left w:val="nil"/>
              <w:bottom w:val="single" w:color="auto" w:sz="4" w:space="0"/>
              <w:right w:val="single" w:color="auto" w:sz="4" w:space="0"/>
            </w:tcBorders>
            <w:noWrap w:val="0"/>
            <w:vAlign w:val="center"/>
          </w:tcPr>
          <w:p w14:paraId="4F050662">
            <w:pPr>
              <w:spacing w:line="440" w:lineRule="exact"/>
              <w:jc w:val="center"/>
              <w:rPr>
                <w:rFonts w:hint="eastAsia" w:ascii="宋体" w:hAnsi="宋体" w:eastAsia="宋体" w:cs="宋体"/>
                <w:color w:val="auto"/>
                <w:sz w:val="24"/>
                <w:szCs w:val="24"/>
                <w:highlight w:val="none"/>
              </w:rPr>
            </w:pPr>
          </w:p>
        </w:tc>
      </w:tr>
      <w:tr w14:paraId="7FDF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20798CEA">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p w14:paraId="5EE9ACD6">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w:t>
            </w:r>
          </w:p>
        </w:tc>
        <w:tc>
          <w:tcPr>
            <w:tcW w:w="1350" w:type="dxa"/>
            <w:tcBorders>
              <w:top w:val="single" w:color="auto" w:sz="4" w:space="0"/>
              <w:left w:val="nil"/>
              <w:bottom w:val="single" w:color="auto" w:sz="4" w:space="0"/>
              <w:right w:val="single" w:color="auto" w:sz="4" w:space="0"/>
            </w:tcBorders>
            <w:noWrap w:val="0"/>
            <w:vAlign w:val="center"/>
          </w:tcPr>
          <w:p w14:paraId="418524D4">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2721" w:type="dxa"/>
            <w:tcBorders>
              <w:top w:val="single" w:color="auto" w:sz="4" w:space="0"/>
              <w:left w:val="nil"/>
              <w:bottom w:val="single" w:color="auto" w:sz="4" w:space="0"/>
              <w:right w:val="single" w:color="auto" w:sz="4" w:space="0"/>
            </w:tcBorders>
            <w:noWrap w:val="0"/>
            <w:vAlign w:val="center"/>
          </w:tcPr>
          <w:p w14:paraId="36731565">
            <w:pPr>
              <w:spacing w:line="440" w:lineRule="exact"/>
              <w:jc w:val="center"/>
              <w:rPr>
                <w:rFonts w:hint="eastAsia" w:ascii="宋体" w:hAnsi="宋体" w:eastAsia="宋体" w:cs="宋体"/>
                <w:color w:val="auto"/>
                <w:sz w:val="24"/>
                <w:szCs w:val="24"/>
                <w:highlight w:val="none"/>
              </w:rPr>
            </w:pPr>
          </w:p>
        </w:tc>
        <w:tc>
          <w:tcPr>
            <w:tcW w:w="1404" w:type="dxa"/>
            <w:tcBorders>
              <w:top w:val="single" w:color="auto" w:sz="4" w:space="0"/>
              <w:left w:val="nil"/>
              <w:bottom w:val="single" w:color="auto" w:sz="4" w:space="0"/>
              <w:right w:val="single" w:color="auto" w:sz="4" w:space="0"/>
            </w:tcBorders>
            <w:noWrap w:val="0"/>
            <w:vAlign w:val="center"/>
          </w:tcPr>
          <w:p w14:paraId="66342BD0">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1982" w:type="dxa"/>
            <w:tcBorders>
              <w:top w:val="single" w:color="auto" w:sz="4" w:space="0"/>
              <w:left w:val="nil"/>
              <w:bottom w:val="single" w:color="auto" w:sz="4" w:space="0"/>
              <w:right w:val="single" w:color="auto" w:sz="4" w:space="0"/>
            </w:tcBorders>
            <w:noWrap w:val="0"/>
            <w:vAlign w:val="center"/>
          </w:tcPr>
          <w:p w14:paraId="5F3AD265">
            <w:pPr>
              <w:spacing w:line="440" w:lineRule="exact"/>
              <w:jc w:val="center"/>
              <w:rPr>
                <w:rFonts w:hint="eastAsia" w:ascii="宋体" w:hAnsi="宋体" w:eastAsia="宋体" w:cs="宋体"/>
                <w:color w:val="auto"/>
                <w:sz w:val="24"/>
                <w:szCs w:val="24"/>
                <w:highlight w:val="none"/>
              </w:rPr>
            </w:pPr>
          </w:p>
        </w:tc>
      </w:tr>
      <w:tr w14:paraId="2E90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18FF836B">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投标人须知要求投标人需具有的各类资质证书(若有)</w:t>
            </w:r>
          </w:p>
        </w:tc>
        <w:tc>
          <w:tcPr>
            <w:tcW w:w="7457" w:type="dxa"/>
            <w:gridSpan w:val="4"/>
            <w:tcBorders>
              <w:top w:val="single" w:color="auto" w:sz="4" w:space="0"/>
              <w:left w:val="nil"/>
              <w:bottom w:val="single" w:color="auto" w:sz="4" w:space="0"/>
              <w:right w:val="single" w:color="auto" w:sz="4" w:space="0"/>
            </w:tcBorders>
            <w:noWrap w:val="0"/>
            <w:vAlign w:val="center"/>
          </w:tcPr>
          <w:p w14:paraId="63DDD8D2">
            <w:pPr>
              <w:spacing w:line="44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类型：                等级：                 证书号：</w:t>
            </w:r>
          </w:p>
        </w:tc>
      </w:tr>
      <w:tr w14:paraId="3858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70555D9B">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基本账户开户银行</w:t>
            </w:r>
          </w:p>
        </w:tc>
        <w:tc>
          <w:tcPr>
            <w:tcW w:w="7457" w:type="dxa"/>
            <w:gridSpan w:val="4"/>
            <w:tcBorders>
              <w:top w:val="single" w:color="auto" w:sz="4" w:space="0"/>
              <w:left w:val="nil"/>
              <w:bottom w:val="single" w:color="auto" w:sz="4" w:space="0"/>
              <w:right w:val="single" w:color="auto" w:sz="4" w:space="0"/>
            </w:tcBorders>
            <w:noWrap w:val="0"/>
            <w:vAlign w:val="center"/>
          </w:tcPr>
          <w:p w14:paraId="567B2598">
            <w:pPr>
              <w:spacing w:line="440" w:lineRule="exact"/>
              <w:jc w:val="center"/>
              <w:rPr>
                <w:rFonts w:hint="eastAsia" w:ascii="宋体" w:hAnsi="宋体" w:eastAsia="宋体" w:cs="宋体"/>
                <w:color w:val="auto"/>
                <w:sz w:val="24"/>
                <w:szCs w:val="24"/>
                <w:highlight w:val="none"/>
              </w:rPr>
            </w:pPr>
          </w:p>
        </w:tc>
      </w:tr>
      <w:tr w14:paraId="4229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6F4F8BE4">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基本账户银行账号</w:t>
            </w:r>
          </w:p>
        </w:tc>
        <w:tc>
          <w:tcPr>
            <w:tcW w:w="7457" w:type="dxa"/>
            <w:gridSpan w:val="4"/>
            <w:tcBorders>
              <w:top w:val="single" w:color="auto" w:sz="4" w:space="0"/>
              <w:left w:val="nil"/>
              <w:bottom w:val="single" w:color="auto" w:sz="4" w:space="0"/>
              <w:right w:val="single" w:color="auto" w:sz="4" w:space="0"/>
            </w:tcBorders>
            <w:noWrap w:val="0"/>
            <w:vAlign w:val="center"/>
          </w:tcPr>
          <w:p w14:paraId="0D44B2C7">
            <w:pPr>
              <w:spacing w:line="440" w:lineRule="exact"/>
              <w:jc w:val="center"/>
              <w:rPr>
                <w:rFonts w:hint="eastAsia" w:ascii="宋体" w:hAnsi="宋体" w:eastAsia="宋体" w:cs="宋体"/>
                <w:color w:val="auto"/>
                <w:sz w:val="24"/>
                <w:szCs w:val="24"/>
                <w:highlight w:val="none"/>
              </w:rPr>
            </w:pPr>
          </w:p>
        </w:tc>
      </w:tr>
      <w:tr w14:paraId="355D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62670A84">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投标人关联企业情况(包括但不限于与投标人法定代表人(单位负责人)为同一人或者存在控股、管理关系的不同单位)</w:t>
            </w:r>
          </w:p>
        </w:tc>
        <w:tc>
          <w:tcPr>
            <w:tcW w:w="7457" w:type="dxa"/>
            <w:gridSpan w:val="4"/>
            <w:tcBorders>
              <w:top w:val="single" w:color="auto" w:sz="4" w:space="0"/>
              <w:left w:val="nil"/>
              <w:bottom w:val="single" w:color="auto" w:sz="4" w:space="0"/>
              <w:right w:val="single" w:color="auto" w:sz="4" w:space="0"/>
            </w:tcBorders>
            <w:noWrap w:val="0"/>
            <w:vAlign w:val="center"/>
          </w:tcPr>
          <w:p w14:paraId="15390487">
            <w:pPr>
              <w:spacing w:line="440" w:lineRule="exact"/>
              <w:jc w:val="center"/>
              <w:rPr>
                <w:rFonts w:hint="eastAsia" w:ascii="宋体" w:hAnsi="宋体" w:eastAsia="宋体" w:cs="宋体"/>
                <w:color w:val="auto"/>
                <w:sz w:val="24"/>
                <w:szCs w:val="24"/>
                <w:highlight w:val="none"/>
              </w:rPr>
            </w:pPr>
          </w:p>
        </w:tc>
      </w:tr>
      <w:tr w14:paraId="7AE8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167630D0">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持股情况</w:t>
            </w:r>
          </w:p>
        </w:tc>
        <w:tc>
          <w:tcPr>
            <w:tcW w:w="7457" w:type="dxa"/>
            <w:gridSpan w:val="4"/>
            <w:tcBorders>
              <w:top w:val="single" w:color="auto" w:sz="4" w:space="0"/>
              <w:left w:val="nil"/>
              <w:bottom w:val="single" w:color="auto" w:sz="4" w:space="0"/>
              <w:right w:val="single" w:color="auto" w:sz="4" w:space="0"/>
            </w:tcBorders>
            <w:noWrap w:val="0"/>
            <w:vAlign w:val="center"/>
          </w:tcPr>
          <w:p w14:paraId="2DD84967">
            <w:pPr>
              <w:widowControl/>
              <w:numPr>
                <w:ilvl w:val="0"/>
                <w:numId w:val="5"/>
              </w:numPr>
              <w:ind w:firstLine="840" w:firstLineChars="400"/>
              <w:rPr>
                <w:rFonts w:hint="eastAsia" w:ascii="宋体" w:hAnsi="宋体"/>
                <w:color w:val="000000"/>
                <w:szCs w:val="21"/>
                <w:highlight w:val="none"/>
              </w:rPr>
            </w:pPr>
            <w:r>
              <w:rPr>
                <w:rFonts w:hint="eastAsia" w:ascii="宋体" w:hAnsi="宋体"/>
                <w:color w:val="000000"/>
                <w:szCs w:val="21"/>
                <w:highlight w:val="none"/>
              </w:rPr>
              <w:t>股东名称:......·持股比例：......；</w:t>
            </w:r>
          </w:p>
          <w:p w14:paraId="50C7BEC0">
            <w:pPr>
              <w:widowControl/>
              <w:numPr>
                <w:ilvl w:val="0"/>
                <w:numId w:val="5"/>
              </w:numPr>
              <w:ind w:firstLine="840" w:firstLineChars="400"/>
              <w:rPr>
                <w:rFonts w:hint="eastAsia" w:ascii="宋体" w:hAnsi="宋体"/>
                <w:color w:val="000000"/>
                <w:szCs w:val="21"/>
                <w:highlight w:val="none"/>
              </w:rPr>
            </w:pPr>
            <w:r>
              <w:rPr>
                <w:rFonts w:hint="eastAsia" w:ascii="宋体" w:hAnsi="宋体"/>
                <w:color w:val="000000"/>
                <w:szCs w:val="21"/>
                <w:highlight w:val="none"/>
              </w:rPr>
              <w:t>股东名称:......·持股比例：......；</w:t>
            </w:r>
          </w:p>
          <w:p w14:paraId="023C169D">
            <w:pPr>
              <w:widowControl/>
              <w:ind w:firstLine="1680" w:firstLineChars="800"/>
              <w:rPr>
                <w:rFonts w:hint="eastAsia" w:ascii="宋体" w:hAnsi="宋体" w:eastAsia="宋体" w:cs="宋体"/>
                <w:color w:val="auto"/>
                <w:sz w:val="24"/>
                <w:szCs w:val="24"/>
                <w:highlight w:val="none"/>
              </w:rPr>
            </w:pPr>
            <w:r>
              <w:rPr>
                <w:rFonts w:hint="eastAsia" w:ascii="宋体" w:hAnsi="宋体"/>
                <w:color w:val="000000"/>
                <w:szCs w:val="21"/>
                <w:highlight w:val="none"/>
              </w:rPr>
              <w:t>......(可自行增加)</w:t>
            </w:r>
          </w:p>
        </w:tc>
      </w:tr>
      <w:tr w14:paraId="75D2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750B7125">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持股比例最高者性别(勾选)</w:t>
            </w:r>
          </w:p>
        </w:tc>
        <w:tc>
          <w:tcPr>
            <w:tcW w:w="7457" w:type="dxa"/>
            <w:gridSpan w:val="4"/>
            <w:tcBorders>
              <w:top w:val="single" w:color="auto" w:sz="4" w:space="0"/>
              <w:left w:val="nil"/>
              <w:bottom w:val="single" w:color="auto" w:sz="4" w:space="0"/>
              <w:right w:val="single" w:color="auto" w:sz="4" w:space="0"/>
            </w:tcBorders>
            <w:noWrap w:val="0"/>
            <w:vAlign w:val="center"/>
          </w:tcPr>
          <w:p w14:paraId="10BA2721">
            <w:pPr>
              <w:widowControl/>
              <w:jc w:val="center"/>
              <w:rPr>
                <w:rFonts w:hint="eastAsia" w:ascii="宋体" w:hAnsi="宋体" w:eastAsia="宋体" w:cs="宋体"/>
                <w:color w:val="auto"/>
                <w:sz w:val="24"/>
                <w:szCs w:val="24"/>
                <w:highlight w:val="none"/>
              </w:rPr>
            </w:pPr>
            <w:r>
              <w:rPr>
                <w:rFonts w:hint="eastAsia" w:ascii="宋体" w:hAnsi="宋体"/>
                <w:color w:val="000000"/>
                <w:szCs w:val="21"/>
                <w:highlight w:val="none"/>
              </w:rPr>
              <w:t>口男.     .口女</w:t>
            </w:r>
          </w:p>
        </w:tc>
      </w:tr>
      <w:tr w14:paraId="6320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31776E6E">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供应商规模类型:(勾选)</w:t>
            </w:r>
          </w:p>
        </w:tc>
        <w:tc>
          <w:tcPr>
            <w:tcW w:w="7457" w:type="dxa"/>
            <w:gridSpan w:val="4"/>
            <w:tcBorders>
              <w:top w:val="single" w:color="auto" w:sz="4" w:space="0"/>
              <w:left w:val="nil"/>
              <w:bottom w:val="single" w:color="auto" w:sz="4" w:space="0"/>
              <w:right w:val="single" w:color="auto" w:sz="4" w:space="0"/>
            </w:tcBorders>
            <w:noWrap w:val="0"/>
            <w:vAlign w:val="center"/>
          </w:tcPr>
          <w:p w14:paraId="5ACB309B">
            <w:pPr>
              <w:widowControl/>
              <w:jc w:val="center"/>
              <w:rPr>
                <w:rFonts w:hint="eastAsia" w:ascii="宋体" w:hAnsi="宋体" w:eastAsia="宋体" w:cs="宋体"/>
                <w:color w:val="auto"/>
                <w:sz w:val="24"/>
                <w:szCs w:val="24"/>
                <w:highlight w:val="none"/>
              </w:rPr>
            </w:pPr>
            <w:r>
              <w:rPr>
                <w:rFonts w:hint="eastAsia" w:ascii="宋体" w:hAnsi="宋体"/>
                <w:color w:val="000000"/>
                <w:szCs w:val="21"/>
                <w:highlight w:val="none"/>
              </w:rPr>
              <w:t>口小微企业口中型企业口大型企业口其他(如事业单位、会计师事务所、非企业团体组织等)</w:t>
            </w:r>
          </w:p>
        </w:tc>
      </w:tr>
      <w:tr w14:paraId="1C9E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9" w:type="dxa"/>
            <w:tcBorders>
              <w:top w:val="single" w:color="auto" w:sz="4" w:space="0"/>
              <w:left w:val="single" w:color="auto" w:sz="4" w:space="0"/>
              <w:bottom w:val="single" w:color="auto" w:sz="4" w:space="0"/>
              <w:right w:val="single" w:color="auto" w:sz="4" w:space="0"/>
            </w:tcBorders>
            <w:noWrap w:val="0"/>
            <w:vAlign w:val="center"/>
          </w:tcPr>
          <w:p w14:paraId="205EC9D1">
            <w:pPr>
              <w:spacing w:line="44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7457" w:type="dxa"/>
            <w:gridSpan w:val="4"/>
            <w:tcBorders>
              <w:top w:val="single" w:color="auto" w:sz="4" w:space="0"/>
              <w:left w:val="nil"/>
              <w:bottom w:val="single" w:color="auto" w:sz="4" w:space="0"/>
              <w:right w:val="single" w:color="auto" w:sz="4" w:space="0"/>
            </w:tcBorders>
            <w:noWrap w:val="0"/>
            <w:vAlign w:val="center"/>
          </w:tcPr>
          <w:p w14:paraId="37553404">
            <w:pPr>
              <w:spacing w:line="440" w:lineRule="exact"/>
              <w:jc w:val="center"/>
              <w:rPr>
                <w:rFonts w:hint="eastAsia" w:ascii="宋体" w:hAnsi="宋体" w:eastAsia="宋体" w:cs="宋体"/>
                <w:color w:val="auto"/>
                <w:sz w:val="24"/>
                <w:szCs w:val="24"/>
                <w:highlight w:val="none"/>
              </w:rPr>
            </w:pPr>
          </w:p>
        </w:tc>
      </w:tr>
    </w:tbl>
    <w:p w14:paraId="03CD020C">
      <w:pPr>
        <w:rPr>
          <w:rFonts w:hint="eastAsia" w:ascii="宋体" w:hAnsi="宋体" w:cs="宋体"/>
          <w:color w:val="auto"/>
          <w:sz w:val="22"/>
          <w:szCs w:val="22"/>
          <w:highlight w:val="none"/>
        </w:rPr>
      </w:pPr>
      <w:r>
        <w:rPr>
          <w:rFonts w:hint="eastAsia" w:ascii="宋体" w:hAnsi="宋体" w:cs="宋体"/>
          <w:color w:val="auto"/>
          <w:sz w:val="22"/>
          <w:szCs w:val="22"/>
          <w:highlight w:val="none"/>
        </w:rPr>
        <w:t>注：投标人应根据招标文件要求在本表后附相关证明材料，如资质证书(若有)、开户许可证或基本存款账户信息等。</w:t>
      </w:r>
    </w:p>
    <w:p w14:paraId="14646D82">
      <w:pPr>
        <w:pStyle w:val="5"/>
        <w:widowControl/>
        <w:autoSpaceDE w:val="0"/>
        <w:spacing w:before="0" w:after="0" w:line="360" w:lineRule="auto"/>
        <w:rPr>
          <w:rFonts w:hint="eastAsia" w:ascii="宋体" w:hAnsi="宋体" w:cs="宋体"/>
          <w:color w:val="auto"/>
          <w:szCs w:val="28"/>
          <w:highlight w:val="none"/>
        </w:rPr>
      </w:pPr>
      <w:r>
        <w:rPr>
          <w:rFonts w:hint="eastAsia" w:ascii="宋体" w:hAnsi="宋体" w:cs="宋体"/>
          <w:b w:val="0"/>
          <w:bCs w:val="0"/>
          <w:color w:val="auto"/>
          <w:sz w:val="24"/>
          <w:szCs w:val="24"/>
          <w:highlight w:val="none"/>
        </w:rPr>
        <w:br w:type="page"/>
      </w:r>
      <w:bookmarkStart w:id="385" w:name="_Toc1883"/>
      <w:bookmarkStart w:id="386" w:name="_Toc19996"/>
      <w:bookmarkStart w:id="387" w:name="_Toc27024"/>
      <w:r>
        <w:rPr>
          <w:rFonts w:hint="eastAsia" w:ascii="宋体" w:hAnsi="宋体" w:cs="宋体"/>
          <w:color w:val="auto"/>
          <w:szCs w:val="28"/>
          <w:highlight w:val="none"/>
        </w:rPr>
        <w:t>六、投标保证金</w:t>
      </w:r>
      <w:bookmarkEnd w:id="380"/>
      <w:bookmarkEnd w:id="385"/>
      <w:bookmarkEnd w:id="386"/>
      <w:bookmarkEnd w:id="387"/>
    </w:p>
    <w:p w14:paraId="73BECCD2">
      <w:pPr>
        <w:autoSpaceDE w:val="0"/>
        <w:spacing w:line="240" w:lineRule="exact"/>
        <w:ind w:firstLine="960" w:firstLineChars="4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14B27B12">
      <w:pPr>
        <w:spacing w:before="120" w:after="120"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投标人提交的投标保证金应采用招标文件中规定的形式，并在此提供相应凭证的扫描件。</w:t>
      </w:r>
    </w:p>
    <w:p w14:paraId="791A76C4">
      <w:pPr>
        <w:autoSpaceDE w:val="0"/>
        <w:spacing w:line="360" w:lineRule="auto"/>
        <w:ind w:firstLine="960" w:firstLineChars="4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5D58F9E9">
      <w:pPr>
        <w:autoSpaceDE w:val="0"/>
        <w:spacing w:line="360" w:lineRule="auto"/>
        <w:ind w:firstLine="960" w:firstLineChars="4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7D4E9BE8">
      <w:pPr>
        <w:pStyle w:val="5"/>
        <w:widowControl/>
        <w:autoSpaceDE w:val="0"/>
        <w:spacing w:before="0" w:after="0" w:line="240" w:lineRule="auto"/>
        <w:rPr>
          <w:rFonts w:hint="eastAsia" w:ascii="宋体" w:hAnsi="宋体" w:cs="宋体"/>
          <w:color w:val="auto"/>
          <w:sz w:val="24"/>
          <w:szCs w:val="24"/>
          <w:highlight w:val="none"/>
        </w:rPr>
      </w:pPr>
      <w:bookmarkStart w:id="388" w:name="_Toc23543"/>
      <w:bookmarkEnd w:id="388"/>
      <w:bookmarkStart w:id="389" w:name="_Toc25087"/>
      <w:r>
        <w:rPr>
          <w:rFonts w:hint="eastAsia" w:ascii="宋体" w:hAnsi="宋体" w:cs="宋体"/>
          <w:color w:val="auto"/>
          <w:szCs w:val="28"/>
          <w:highlight w:val="none"/>
        </w:rPr>
        <w:br w:type="page"/>
      </w:r>
      <w:bookmarkStart w:id="390" w:name="_Toc10374"/>
      <w:bookmarkStart w:id="391" w:name="_Toc1773"/>
      <w:bookmarkStart w:id="392" w:name="_Toc22039"/>
      <w:r>
        <w:rPr>
          <w:rFonts w:hint="eastAsia" w:ascii="宋体" w:hAnsi="宋体" w:cs="宋体"/>
          <w:color w:val="auto"/>
          <w:szCs w:val="28"/>
          <w:highlight w:val="none"/>
        </w:rPr>
        <w:t>七、商务</w:t>
      </w:r>
      <w:bookmarkEnd w:id="389"/>
      <w:r>
        <w:rPr>
          <w:rFonts w:hint="eastAsia" w:ascii="宋体" w:hAnsi="宋体" w:cs="宋体"/>
          <w:color w:val="auto"/>
          <w:szCs w:val="28"/>
          <w:highlight w:val="none"/>
          <w:lang w:val="en-US" w:eastAsia="zh-CN"/>
        </w:rPr>
        <w:t>及配置</w:t>
      </w:r>
      <w:r>
        <w:rPr>
          <w:rFonts w:hint="eastAsia" w:ascii="宋体" w:hAnsi="宋体" w:cs="宋体"/>
          <w:color w:val="auto"/>
          <w:szCs w:val="28"/>
          <w:highlight w:val="none"/>
        </w:rPr>
        <w:t>偏离表</w:t>
      </w:r>
      <w:bookmarkEnd w:id="390"/>
      <w:bookmarkEnd w:id="391"/>
      <w:bookmarkEnd w:id="392"/>
    </w:p>
    <w:p w14:paraId="0CC83C87">
      <w:pPr>
        <w:autoSpaceDE w:val="0"/>
        <w:spacing w:line="360" w:lineRule="auto"/>
        <w:ind w:firstLine="241" w:firstLineChars="100"/>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(一)商务条款偏离表</w:t>
      </w:r>
    </w:p>
    <w:p w14:paraId="10980207">
      <w:pPr>
        <w:pStyle w:val="21"/>
        <w:spacing w:line="400" w:lineRule="exact"/>
        <w:ind w:firstLine="482" w:firstLineChars="200"/>
        <w:rPr>
          <w:rFonts w:hAnsi="宋体"/>
          <w:b/>
          <w:color w:val="auto"/>
          <w:sz w:val="24"/>
          <w:szCs w:val="24"/>
          <w:highlight w:val="none"/>
        </w:rPr>
      </w:pPr>
      <w:r>
        <w:rPr>
          <w:rFonts w:hint="eastAsia" w:hAnsi="宋体"/>
          <w:b/>
          <w:color w:val="auto"/>
          <w:sz w:val="24"/>
          <w:szCs w:val="24"/>
          <w:highlight w:val="none"/>
        </w:rPr>
        <w:t>投标人须逐条对应招标文件中要求的商务条款，认真填写本表。</w:t>
      </w:r>
    </w:p>
    <w:p w14:paraId="011E9A8E">
      <w:pPr>
        <w:pStyle w:val="21"/>
        <w:spacing w:line="400" w:lineRule="exact"/>
        <w:ind w:firstLine="482" w:firstLineChars="200"/>
        <w:rPr>
          <w:rFonts w:hAnsi="宋体"/>
          <w:b/>
          <w:color w:val="auto"/>
          <w:sz w:val="24"/>
          <w:szCs w:val="24"/>
          <w:highlight w:val="none"/>
        </w:rPr>
      </w:pPr>
      <w:r>
        <w:rPr>
          <w:rFonts w:hint="eastAsia" w:hAnsi="宋体"/>
          <w:b/>
          <w:color w:val="auto"/>
          <w:sz w:val="24"/>
          <w:szCs w:val="24"/>
          <w:highlight w:val="none"/>
        </w:rPr>
        <w:t>商务条款是指：招标文件第</w:t>
      </w:r>
      <w:r>
        <w:rPr>
          <w:rFonts w:hint="eastAsia" w:hAnsi="宋体"/>
          <w:b/>
          <w:color w:val="auto"/>
          <w:sz w:val="24"/>
          <w:szCs w:val="24"/>
          <w:highlight w:val="none"/>
          <w:lang w:val="en-US" w:eastAsia="zh-CN"/>
        </w:rPr>
        <w:t>六</w:t>
      </w:r>
      <w:r>
        <w:rPr>
          <w:rFonts w:hint="eastAsia" w:hAnsi="宋体"/>
          <w:b/>
          <w:color w:val="auto"/>
          <w:sz w:val="24"/>
          <w:szCs w:val="24"/>
          <w:highlight w:val="none"/>
        </w:rPr>
        <w:t>章《</w:t>
      </w:r>
      <w:r>
        <w:rPr>
          <w:rFonts w:hint="eastAsia" w:hAnsi="宋体"/>
          <w:b/>
          <w:color w:val="auto"/>
          <w:sz w:val="24"/>
          <w:szCs w:val="24"/>
          <w:highlight w:val="none"/>
          <w:lang w:val="en-US" w:eastAsia="zh-CN"/>
        </w:rPr>
        <w:t>招标内容及</w:t>
      </w:r>
      <w:r>
        <w:rPr>
          <w:rFonts w:hint="eastAsia" w:hAnsi="宋体"/>
          <w:b/>
          <w:color w:val="auto"/>
          <w:sz w:val="24"/>
          <w:szCs w:val="24"/>
          <w:highlight w:val="none"/>
        </w:rPr>
        <w:t>要求》中要求的商务要求和《</w:t>
      </w:r>
      <w:r>
        <w:rPr>
          <w:rFonts w:hint="eastAsia" w:hAnsi="宋体"/>
          <w:b/>
          <w:bCs/>
          <w:color w:val="auto"/>
          <w:sz w:val="24"/>
          <w:szCs w:val="24"/>
          <w:highlight w:val="none"/>
        </w:rPr>
        <w:t>合同条款前附表》</w:t>
      </w:r>
      <w:r>
        <w:rPr>
          <w:rFonts w:hint="eastAsia" w:hAnsi="宋体"/>
          <w:b/>
          <w:color w:val="auto"/>
          <w:sz w:val="24"/>
          <w:szCs w:val="24"/>
          <w:highlight w:val="none"/>
        </w:rPr>
        <w:t>中要求的交货期、交货地点、交货方式、定价方式、付款方式、履约保证金等要求。</w:t>
      </w:r>
    </w:p>
    <w:p w14:paraId="73398196">
      <w:pPr>
        <w:pStyle w:val="21"/>
        <w:rPr>
          <w:rFonts w:hAnsi="宋体"/>
          <w:b/>
          <w:color w:val="auto"/>
          <w:sz w:val="24"/>
          <w:szCs w:val="24"/>
          <w:highlight w:val="none"/>
        </w:rPr>
      </w:pPr>
    </w:p>
    <w:p w14:paraId="6A62E13B">
      <w:pPr>
        <w:pStyle w:val="21"/>
        <w:spacing w:line="500" w:lineRule="exact"/>
        <w:rPr>
          <w:rFonts w:hint="eastAsia" w:hAnsi="宋体"/>
          <w:b/>
          <w:color w:val="auto"/>
          <w:sz w:val="24"/>
          <w:szCs w:val="24"/>
          <w:highlight w:val="none"/>
          <w:u w:val="single"/>
        </w:rPr>
      </w:pPr>
      <w:r>
        <w:rPr>
          <w:rFonts w:hint="eastAsia" w:hAnsi="宋体"/>
          <w:b/>
          <w:color w:val="auto"/>
          <w:sz w:val="24"/>
          <w:szCs w:val="24"/>
          <w:highlight w:val="none"/>
        </w:rPr>
        <w:t>项目名称：</w:t>
      </w:r>
      <w:r>
        <w:rPr>
          <w:rFonts w:hint="eastAsia" w:hAnsi="宋体"/>
          <w:b/>
          <w:color w:val="auto"/>
          <w:sz w:val="24"/>
          <w:szCs w:val="24"/>
          <w:highlight w:val="none"/>
          <w:u w:val="single"/>
        </w:rPr>
        <w:t xml:space="preserve">     </w:t>
      </w:r>
      <w:r>
        <w:rPr>
          <w:rFonts w:hAnsi="宋体"/>
          <w:b/>
          <w:color w:val="auto"/>
          <w:sz w:val="24"/>
          <w:szCs w:val="24"/>
          <w:highlight w:val="none"/>
          <w:u w:val="single"/>
        </w:rPr>
        <w:t xml:space="preserve">   </w:t>
      </w:r>
      <w:r>
        <w:rPr>
          <w:rFonts w:hint="eastAsia" w:hAnsi="宋体"/>
          <w:b/>
          <w:color w:val="auto"/>
          <w:sz w:val="24"/>
          <w:szCs w:val="24"/>
          <w:highlight w:val="none"/>
          <w:u w:val="single"/>
        </w:rPr>
        <w:t xml:space="preserve">         </w:t>
      </w:r>
      <w:r>
        <w:rPr>
          <w:rFonts w:hint="eastAsia" w:hAnsi="宋体"/>
          <w:b/>
          <w:color w:val="auto"/>
          <w:sz w:val="24"/>
          <w:szCs w:val="24"/>
          <w:highlight w:val="none"/>
        </w:rPr>
        <w:t xml:space="preserve">    招标编号：</w:t>
      </w:r>
      <w:r>
        <w:rPr>
          <w:rFonts w:hint="eastAsia" w:hAnsi="宋体"/>
          <w:b/>
          <w:color w:val="auto"/>
          <w:sz w:val="24"/>
          <w:szCs w:val="24"/>
          <w:highlight w:val="none"/>
          <w:u w:val="single"/>
        </w:rPr>
        <w:t xml:space="preserve">     </w:t>
      </w:r>
      <w:r>
        <w:rPr>
          <w:rFonts w:hAnsi="宋体"/>
          <w:b/>
          <w:color w:val="auto"/>
          <w:sz w:val="24"/>
          <w:szCs w:val="24"/>
          <w:highlight w:val="none"/>
          <w:u w:val="single"/>
        </w:rPr>
        <w:t xml:space="preserve">   </w:t>
      </w:r>
      <w:r>
        <w:rPr>
          <w:rFonts w:hint="eastAsia" w:hAnsi="宋体"/>
          <w:b/>
          <w:color w:val="auto"/>
          <w:sz w:val="24"/>
          <w:szCs w:val="24"/>
          <w:highlight w:val="none"/>
          <w:u w:val="single"/>
        </w:rPr>
        <w:t xml:space="preserve">         </w:t>
      </w:r>
      <w:r>
        <w:rPr>
          <w:rFonts w:hint="eastAsia" w:hAnsi="宋体"/>
          <w:color w:val="auto"/>
          <w:sz w:val="24"/>
          <w:szCs w:val="24"/>
          <w:highlight w:val="none"/>
        </w:rPr>
        <w:t xml:space="preserve"> </w:t>
      </w:r>
      <w:r>
        <w:rPr>
          <w:rFonts w:hint="eastAsia" w:hAnsi="宋体"/>
          <w:b/>
          <w:color w:val="auto"/>
          <w:sz w:val="24"/>
          <w:szCs w:val="24"/>
          <w:highlight w:val="none"/>
        </w:rPr>
        <w:t xml:space="preserve">  </w:t>
      </w:r>
      <w:r>
        <w:rPr>
          <w:rFonts w:hAnsi="宋体"/>
          <w:b/>
          <w:color w:val="auto"/>
          <w:sz w:val="24"/>
          <w:szCs w:val="24"/>
          <w:highlight w:val="none"/>
        </w:rPr>
        <w:t xml:space="preserve"> </w:t>
      </w:r>
    </w:p>
    <w:tbl>
      <w:tblPr>
        <w:tblStyle w:val="37"/>
        <w:tblW w:w="10031"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191"/>
        <w:gridCol w:w="2589"/>
        <w:gridCol w:w="2417"/>
        <w:gridCol w:w="1586"/>
        <w:gridCol w:w="1630"/>
      </w:tblGrid>
      <w:tr w14:paraId="29E0F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center"/>
          </w:tcPr>
          <w:p w14:paraId="41B32613">
            <w:pPr>
              <w:pStyle w:val="21"/>
              <w:jc w:val="center"/>
              <w:rPr>
                <w:rFonts w:hAnsi="宋体"/>
                <w:b/>
                <w:color w:val="auto"/>
                <w:sz w:val="24"/>
                <w:szCs w:val="24"/>
                <w:highlight w:val="none"/>
              </w:rPr>
            </w:pPr>
            <w:r>
              <w:rPr>
                <w:rFonts w:hint="eastAsia" w:hAnsi="宋体"/>
                <w:b/>
                <w:color w:val="auto"/>
                <w:sz w:val="24"/>
                <w:szCs w:val="24"/>
                <w:highlight w:val="none"/>
              </w:rPr>
              <w:t>序号</w:t>
            </w:r>
          </w:p>
        </w:tc>
        <w:tc>
          <w:tcPr>
            <w:tcW w:w="1191" w:type="dxa"/>
            <w:noWrap w:val="0"/>
            <w:vAlign w:val="center"/>
          </w:tcPr>
          <w:p w14:paraId="62CA12AC">
            <w:pPr>
              <w:pStyle w:val="21"/>
              <w:jc w:val="center"/>
              <w:rPr>
                <w:rFonts w:hAnsi="宋体"/>
                <w:b/>
                <w:color w:val="auto"/>
                <w:sz w:val="24"/>
                <w:szCs w:val="24"/>
                <w:highlight w:val="none"/>
              </w:rPr>
            </w:pPr>
            <w:r>
              <w:rPr>
                <w:rFonts w:hint="eastAsia" w:hAnsi="宋体"/>
                <w:b/>
                <w:color w:val="auto"/>
                <w:sz w:val="24"/>
                <w:szCs w:val="24"/>
                <w:highlight w:val="none"/>
              </w:rPr>
              <w:t>招标文件页码及条目号</w:t>
            </w:r>
          </w:p>
        </w:tc>
        <w:tc>
          <w:tcPr>
            <w:tcW w:w="2589" w:type="dxa"/>
            <w:noWrap w:val="0"/>
            <w:vAlign w:val="center"/>
          </w:tcPr>
          <w:p w14:paraId="2788A78D">
            <w:pPr>
              <w:pStyle w:val="21"/>
              <w:jc w:val="center"/>
              <w:rPr>
                <w:rFonts w:hAnsi="宋体"/>
                <w:b/>
                <w:color w:val="auto"/>
                <w:sz w:val="24"/>
                <w:szCs w:val="24"/>
                <w:highlight w:val="none"/>
              </w:rPr>
            </w:pPr>
            <w:r>
              <w:rPr>
                <w:rFonts w:hint="eastAsia" w:hAnsi="宋体"/>
                <w:b/>
                <w:color w:val="auto"/>
                <w:sz w:val="24"/>
                <w:szCs w:val="24"/>
                <w:highlight w:val="none"/>
              </w:rPr>
              <w:t>招标文件的商务条款</w:t>
            </w:r>
          </w:p>
        </w:tc>
        <w:tc>
          <w:tcPr>
            <w:tcW w:w="2417" w:type="dxa"/>
            <w:noWrap w:val="0"/>
            <w:vAlign w:val="center"/>
          </w:tcPr>
          <w:p w14:paraId="301B47F4">
            <w:pPr>
              <w:pStyle w:val="21"/>
              <w:jc w:val="center"/>
              <w:rPr>
                <w:rFonts w:hAnsi="宋体"/>
                <w:b/>
                <w:color w:val="auto"/>
                <w:sz w:val="24"/>
                <w:szCs w:val="24"/>
                <w:highlight w:val="none"/>
              </w:rPr>
            </w:pPr>
            <w:r>
              <w:rPr>
                <w:rFonts w:hint="eastAsia" w:hAnsi="宋体"/>
                <w:b/>
                <w:color w:val="auto"/>
                <w:sz w:val="24"/>
                <w:szCs w:val="24"/>
                <w:highlight w:val="none"/>
              </w:rPr>
              <w:t>投标文件的商务条款</w:t>
            </w:r>
          </w:p>
        </w:tc>
        <w:tc>
          <w:tcPr>
            <w:tcW w:w="1586" w:type="dxa"/>
            <w:noWrap w:val="0"/>
            <w:vAlign w:val="center"/>
          </w:tcPr>
          <w:p w14:paraId="51D86948">
            <w:pPr>
              <w:pStyle w:val="21"/>
              <w:jc w:val="center"/>
              <w:rPr>
                <w:rFonts w:hAnsi="宋体"/>
                <w:b/>
                <w:color w:val="auto"/>
                <w:sz w:val="24"/>
                <w:szCs w:val="24"/>
                <w:highlight w:val="none"/>
              </w:rPr>
            </w:pPr>
            <w:r>
              <w:rPr>
                <w:rFonts w:hint="eastAsia" w:hAnsi="宋体"/>
                <w:b/>
                <w:color w:val="auto"/>
                <w:sz w:val="24"/>
                <w:szCs w:val="24"/>
                <w:highlight w:val="none"/>
              </w:rPr>
              <w:t>响应情况说明</w:t>
            </w:r>
          </w:p>
        </w:tc>
        <w:tc>
          <w:tcPr>
            <w:tcW w:w="1630" w:type="dxa"/>
            <w:noWrap w:val="0"/>
            <w:vAlign w:val="center"/>
          </w:tcPr>
          <w:p w14:paraId="56463074">
            <w:pPr>
              <w:pStyle w:val="21"/>
              <w:jc w:val="center"/>
              <w:rPr>
                <w:rFonts w:hAnsi="宋体"/>
                <w:b/>
                <w:bCs/>
                <w:color w:val="auto"/>
                <w:sz w:val="24"/>
                <w:szCs w:val="24"/>
                <w:highlight w:val="none"/>
              </w:rPr>
            </w:pPr>
            <w:r>
              <w:rPr>
                <w:rFonts w:hint="eastAsia" w:hAnsi="宋体"/>
                <w:b/>
                <w:bCs/>
                <w:color w:val="auto"/>
                <w:sz w:val="24"/>
                <w:szCs w:val="24"/>
                <w:highlight w:val="none"/>
              </w:rPr>
              <w:t>商务条件支持资料索引</w:t>
            </w:r>
          </w:p>
          <w:p w14:paraId="79C6D446">
            <w:pPr>
              <w:pStyle w:val="21"/>
              <w:jc w:val="center"/>
              <w:rPr>
                <w:rFonts w:hAnsi="宋体"/>
                <w:b/>
                <w:color w:val="auto"/>
                <w:sz w:val="24"/>
                <w:szCs w:val="24"/>
                <w:highlight w:val="none"/>
              </w:rPr>
            </w:pPr>
            <w:r>
              <w:rPr>
                <w:rFonts w:hint="eastAsia" w:hAnsi="宋体"/>
                <w:b/>
                <w:color w:val="auto"/>
                <w:sz w:val="24"/>
                <w:szCs w:val="24"/>
                <w:highlight w:val="none"/>
              </w:rPr>
              <w:t>（页码及条目号等）</w:t>
            </w:r>
          </w:p>
        </w:tc>
      </w:tr>
      <w:tr w14:paraId="06E1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4760A9D3">
            <w:pPr>
              <w:pStyle w:val="21"/>
              <w:rPr>
                <w:rFonts w:hAnsi="宋体"/>
                <w:color w:val="auto"/>
                <w:sz w:val="24"/>
                <w:szCs w:val="24"/>
                <w:highlight w:val="none"/>
              </w:rPr>
            </w:pPr>
          </w:p>
        </w:tc>
        <w:tc>
          <w:tcPr>
            <w:tcW w:w="1191" w:type="dxa"/>
            <w:noWrap w:val="0"/>
            <w:vAlign w:val="top"/>
          </w:tcPr>
          <w:p w14:paraId="55719E32">
            <w:pPr>
              <w:pStyle w:val="21"/>
              <w:rPr>
                <w:rFonts w:hAnsi="宋体"/>
                <w:color w:val="auto"/>
                <w:sz w:val="24"/>
                <w:szCs w:val="24"/>
                <w:highlight w:val="none"/>
              </w:rPr>
            </w:pPr>
          </w:p>
        </w:tc>
        <w:tc>
          <w:tcPr>
            <w:tcW w:w="2589" w:type="dxa"/>
            <w:noWrap w:val="0"/>
            <w:vAlign w:val="top"/>
          </w:tcPr>
          <w:p w14:paraId="6CA26714">
            <w:pPr>
              <w:pStyle w:val="21"/>
              <w:rPr>
                <w:rFonts w:hAnsi="宋体"/>
                <w:color w:val="auto"/>
                <w:sz w:val="24"/>
                <w:szCs w:val="24"/>
                <w:highlight w:val="none"/>
              </w:rPr>
            </w:pPr>
          </w:p>
        </w:tc>
        <w:tc>
          <w:tcPr>
            <w:tcW w:w="2417" w:type="dxa"/>
            <w:noWrap w:val="0"/>
            <w:vAlign w:val="top"/>
          </w:tcPr>
          <w:p w14:paraId="15BE7375">
            <w:pPr>
              <w:pStyle w:val="21"/>
              <w:rPr>
                <w:rFonts w:hAnsi="宋体"/>
                <w:color w:val="auto"/>
                <w:sz w:val="24"/>
                <w:szCs w:val="24"/>
                <w:highlight w:val="none"/>
              </w:rPr>
            </w:pPr>
          </w:p>
        </w:tc>
        <w:tc>
          <w:tcPr>
            <w:tcW w:w="1586" w:type="dxa"/>
            <w:noWrap w:val="0"/>
            <w:vAlign w:val="top"/>
          </w:tcPr>
          <w:p w14:paraId="65F0084E">
            <w:pPr>
              <w:pStyle w:val="21"/>
              <w:rPr>
                <w:rFonts w:hAnsi="宋体"/>
                <w:color w:val="auto"/>
                <w:sz w:val="24"/>
                <w:szCs w:val="24"/>
                <w:highlight w:val="none"/>
              </w:rPr>
            </w:pPr>
          </w:p>
        </w:tc>
        <w:tc>
          <w:tcPr>
            <w:tcW w:w="1630" w:type="dxa"/>
            <w:noWrap w:val="0"/>
            <w:vAlign w:val="top"/>
          </w:tcPr>
          <w:p w14:paraId="09A79717">
            <w:pPr>
              <w:pStyle w:val="21"/>
              <w:rPr>
                <w:rFonts w:hAnsi="宋体"/>
                <w:color w:val="auto"/>
                <w:sz w:val="24"/>
                <w:szCs w:val="24"/>
                <w:highlight w:val="none"/>
              </w:rPr>
            </w:pPr>
          </w:p>
        </w:tc>
      </w:tr>
      <w:tr w14:paraId="3AB3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35038C92">
            <w:pPr>
              <w:pStyle w:val="21"/>
              <w:rPr>
                <w:rFonts w:hAnsi="宋体"/>
                <w:color w:val="auto"/>
                <w:sz w:val="24"/>
                <w:szCs w:val="24"/>
                <w:highlight w:val="none"/>
              </w:rPr>
            </w:pPr>
          </w:p>
        </w:tc>
        <w:tc>
          <w:tcPr>
            <w:tcW w:w="1191" w:type="dxa"/>
            <w:noWrap w:val="0"/>
            <w:vAlign w:val="top"/>
          </w:tcPr>
          <w:p w14:paraId="0502933D">
            <w:pPr>
              <w:pStyle w:val="21"/>
              <w:rPr>
                <w:rFonts w:hAnsi="宋体"/>
                <w:color w:val="auto"/>
                <w:sz w:val="24"/>
                <w:szCs w:val="24"/>
                <w:highlight w:val="none"/>
              </w:rPr>
            </w:pPr>
          </w:p>
        </w:tc>
        <w:tc>
          <w:tcPr>
            <w:tcW w:w="2589" w:type="dxa"/>
            <w:noWrap w:val="0"/>
            <w:vAlign w:val="top"/>
          </w:tcPr>
          <w:p w14:paraId="16F1A7CD">
            <w:pPr>
              <w:pStyle w:val="21"/>
              <w:rPr>
                <w:rFonts w:hAnsi="宋体"/>
                <w:color w:val="auto"/>
                <w:sz w:val="24"/>
                <w:szCs w:val="24"/>
                <w:highlight w:val="none"/>
              </w:rPr>
            </w:pPr>
          </w:p>
        </w:tc>
        <w:tc>
          <w:tcPr>
            <w:tcW w:w="2417" w:type="dxa"/>
            <w:noWrap w:val="0"/>
            <w:vAlign w:val="top"/>
          </w:tcPr>
          <w:p w14:paraId="5A73E8C5">
            <w:pPr>
              <w:pStyle w:val="21"/>
              <w:rPr>
                <w:rFonts w:hAnsi="宋体"/>
                <w:color w:val="auto"/>
                <w:sz w:val="24"/>
                <w:szCs w:val="24"/>
                <w:highlight w:val="none"/>
              </w:rPr>
            </w:pPr>
          </w:p>
        </w:tc>
        <w:tc>
          <w:tcPr>
            <w:tcW w:w="1586" w:type="dxa"/>
            <w:noWrap w:val="0"/>
            <w:vAlign w:val="top"/>
          </w:tcPr>
          <w:p w14:paraId="0BFCE7CA">
            <w:pPr>
              <w:pStyle w:val="21"/>
              <w:rPr>
                <w:rFonts w:hAnsi="宋体"/>
                <w:color w:val="auto"/>
                <w:sz w:val="24"/>
                <w:szCs w:val="24"/>
                <w:highlight w:val="none"/>
              </w:rPr>
            </w:pPr>
          </w:p>
        </w:tc>
        <w:tc>
          <w:tcPr>
            <w:tcW w:w="1630" w:type="dxa"/>
            <w:noWrap w:val="0"/>
            <w:vAlign w:val="top"/>
          </w:tcPr>
          <w:p w14:paraId="3F37781B">
            <w:pPr>
              <w:pStyle w:val="21"/>
              <w:rPr>
                <w:rFonts w:hAnsi="宋体"/>
                <w:color w:val="auto"/>
                <w:sz w:val="24"/>
                <w:szCs w:val="24"/>
                <w:highlight w:val="none"/>
              </w:rPr>
            </w:pPr>
          </w:p>
        </w:tc>
      </w:tr>
      <w:tr w14:paraId="694D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440161D1">
            <w:pPr>
              <w:pStyle w:val="21"/>
              <w:rPr>
                <w:rFonts w:hAnsi="宋体"/>
                <w:color w:val="auto"/>
                <w:sz w:val="24"/>
                <w:szCs w:val="24"/>
                <w:highlight w:val="none"/>
              </w:rPr>
            </w:pPr>
          </w:p>
        </w:tc>
        <w:tc>
          <w:tcPr>
            <w:tcW w:w="1191" w:type="dxa"/>
            <w:noWrap w:val="0"/>
            <w:vAlign w:val="top"/>
          </w:tcPr>
          <w:p w14:paraId="4B9F95BB">
            <w:pPr>
              <w:pStyle w:val="21"/>
              <w:rPr>
                <w:rFonts w:hAnsi="宋体"/>
                <w:color w:val="auto"/>
                <w:sz w:val="24"/>
                <w:szCs w:val="24"/>
                <w:highlight w:val="none"/>
              </w:rPr>
            </w:pPr>
          </w:p>
        </w:tc>
        <w:tc>
          <w:tcPr>
            <w:tcW w:w="2589" w:type="dxa"/>
            <w:noWrap w:val="0"/>
            <w:vAlign w:val="top"/>
          </w:tcPr>
          <w:p w14:paraId="2685ACCB">
            <w:pPr>
              <w:pStyle w:val="21"/>
              <w:rPr>
                <w:rFonts w:hAnsi="宋体"/>
                <w:color w:val="auto"/>
                <w:sz w:val="24"/>
                <w:szCs w:val="24"/>
                <w:highlight w:val="none"/>
              </w:rPr>
            </w:pPr>
          </w:p>
        </w:tc>
        <w:tc>
          <w:tcPr>
            <w:tcW w:w="2417" w:type="dxa"/>
            <w:noWrap w:val="0"/>
            <w:vAlign w:val="top"/>
          </w:tcPr>
          <w:p w14:paraId="031CFD39">
            <w:pPr>
              <w:pStyle w:val="21"/>
              <w:rPr>
                <w:rFonts w:hAnsi="宋体"/>
                <w:color w:val="auto"/>
                <w:sz w:val="24"/>
                <w:szCs w:val="24"/>
                <w:highlight w:val="none"/>
              </w:rPr>
            </w:pPr>
          </w:p>
        </w:tc>
        <w:tc>
          <w:tcPr>
            <w:tcW w:w="1586" w:type="dxa"/>
            <w:noWrap w:val="0"/>
            <w:vAlign w:val="top"/>
          </w:tcPr>
          <w:p w14:paraId="715812F5">
            <w:pPr>
              <w:pStyle w:val="21"/>
              <w:rPr>
                <w:rFonts w:hAnsi="宋体"/>
                <w:color w:val="auto"/>
                <w:sz w:val="24"/>
                <w:szCs w:val="24"/>
                <w:highlight w:val="none"/>
              </w:rPr>
            </w:pPr>
          </w:p>
        </w:tc>
        <w:tc>
          <w:tcPr>
            <w:tcW w:w="1630" w:type="dxa"/>
            <w:noWrap w:val="0"/>
            <w:vAlign w:val="top"/>
          </w:tcPr>
          <w:p w14:paraId="7CFF37FB">
            <w:pPr>
              <w:pStyle w:val="21"/>
              <w:rPr>
                <w:rFonts w:hAnsi="宋体"/>
                <w:color w:val="auto"/>
                <w:sz w:val="24"/>
                <w:szCs w:val="24"/>
                <w:highlight w:val="none"/>
              </w:rPr>
            </w:pPr>
          </w:p>
        </w:tc>
      </w:tr>
      <w:tr w14:paraId="064F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77552CD1">
            <w:pPr>
              <w:pStyle w:val="21"/>
              <w:rPr>
                <w:rFonts w:hAnsi="宋体"/>
                <w:color w:val="auto"/>
                <w:sz w:val="24"/>
                <w:szCs w:val="24"/>
                <w:highlight w:val="none"/>
              </w:rPr>
            </w:pPr>
          </w:p>
        </w:tc>
        <w:tc>
          <w:tcPr>
            <w:tcW w:w="1191" w:type="dxa"/>
            <w:noWrap w:val="0"/>
            <w:vAlign w:val="top"/>
          </w:tcPr>
          <w:p w14:paraId="72FCF1D3">
            <w:pPr>
              <w:pStyle w:val="21"/>
              <w:rPr>
                <w:rFonts w:hAnsi="宋体"/>
                <w:color w:val="auto"/>
                <w:sz w:val="24"/>
                <w:szCs w:val="24"/>
                <w:highlight w:val="none"/>
              </w:rPr>
            </w:pPr>
          </w:p>
        </w:tc>
        <w:tc>
          <w:tcPr>
            <w:tcW w:w="2589" w:type="dxa"/>
            <w:noWrap w:val="0"/>
            <w:vAlign w:val="top"/>
          </w:tcPr>
          <w:p w14:paraId="5BA22076">
            <w:pPr>
              <w:pStyle w:val="21"/>
              <w:rPr>
                <w:rFonts w:hAnsi="宋体"/>
                <w:color w:val="auto"/>
                <w:sz w:val="24"/>
                <w:szCs w:val="24"/>
                <w:highlight w:val="none"/>
              </w:rPr>
            </w:pPr>
          </w:p>
        </w:tc>
        <w:tc>
          <w:tcPr>
            <w:tcW w:w="2417" w:type="dxa"/>
            <w:noWrap w:val="0"/>
            <w:vAlign w:val="top"/>
          </w:tcPr>
          <w:p w14:paraId="0CEF887F">
            <w:pPr>
              <w:pStyle w:val="21"/>
              <w:rPr>
                <w:rFonts w:hAnsi="宋体"/>
                <w:color w:val="auto"/>
                <w:sz w:val="24"/>
                <w:szCs w:val="24"/>
                <w:highlight w:val="none"/>
              </w:rPr>
            </w:pPr>
          </w:p>
        </w:tc>
        <w:tc>
          <w:tcPr>
            <w:tcW w:w="1586" w:type="dxa"/>
            <w:noWrap w:val="0"/>
            <w:vAlign w:val="top"/>
          </w:tcPr>
          <w:p w14:paraId="2AB5D23A">
            <w:pPr>
              <w:pStyle w:val="21"/>
              <w:rPr>
                <w:rFonts w:hAnsi="宋体"/>
                <w:color w:val="auto"/>
                <w:sz w:val="24"/>
                <w:szCs w:val="24"/>
                <w:highlight w:val="none"/>
              </w:rPr>
            </w:pPr>
          </w:p>
        </w:tc>
        <w:tc>
          <w:tcPr>
            <w:tcW w:w="1630" w:type="dxa"/>
            <w:noWrap w:val="0"/>
            <w:vAlign w:val="top"/>
          </w:tcPr>
          <w:p w14:paraId="44335B15">
            <w:pPr>
              <w:pStyle w:val="21"/>
              <w:rPr>
                <w:rFonts w:hAnsi="宋体"/>
                <w:color w:val="auto"/>
                <w:sz w:val="24"/>
                <w:szCs w:val="24"/>
                <w:highlight w:val="none"/>
              </w:rPr>
            </w:pPr>
          </w:p>
        </w:tc>
      </w:tr>
      <w:tr w14:paraId="3D35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18A66559">
            <w:pPr>
              <w:pStyle w:val="21"/>
              <w:rPr>
                <w:rFonts w:hAnsi="宋体"/>
                <w:color w:val="auto"/>
                <w:sz w:val="24"/>
                <w:szCs w:val="24"/>
                <w:highlight w:val="none"/>
              </w:rPr>
            </w:pPr>
          </w:p>
        </w:tc>
        <w:tc>
          <w:tcPr>
            <w:tcW w:w="1191" w:type="dxa"/>
            <w:noWrap w:val="0"/>
            <w:vAlign w:val="top"/>
          </w:tcPr>
          <w:p w14:paraId="313C3786">
            <w:pPr>
              <w:pStyle w:val="21"/>
              <w:rPr>
                <w:rFonts w:hAnsi="宋体"/>
                <w:color w:val="auto"/>
                <w:sz w:val="24"/>
                <w:szCs w:val="24"/>
                <w:highlight w:val="none"/>
              </w:rPr>
            </w:pPr>
          </w:p>
        </w:tc>
        <w:tc>
          <w:tcPr>
            <w:tcW w:w="2589" w:type="dxa"/>
            <w:noWrap w:val="0"/>
            <w:vAlign w:val="top"/>
          </w:tcPr>
          <w:p w14:paraId="2098816D">
            <w:pPr>
              <w:pStyle w:val="21"/>
              <w:rPr>
                <w:rFonts w:hAnsi="宋体"/>
                <w:color w:val="auto"/>
                <w:sz w:val="24"/>
                <w:szCs w:val="24"/>
                <w:highlight w:val="none"/>
              </w:rPr>
            </w:pPr>
          </w:p>
        </w:tc>
        <w:tc>
          <w:tcPr>
            <w:tcW w:w="2417" w:type="dxa"/>
            <w:noWrap w:val="0"/>
            <w:vAlign w:val="top"/>
          </w:tcPr>
          <w:p w14:paraId="361B9346">
            <w:pPr>
              <w:pStyle w:val="21"/>
              <w:rPr>
                <w:rFonts w:hAnsi="宋体"/>
                <w:color w:val="auto"/>
                <w:sz w:val="24"/>
                <w:szCs w:val="24"/>
                <w:highlight w:val="none"/>
              </w:rPr>
            </w:pPr>
          </w:p>
        </w:tc>
        <w:tc>
          <w:tcPr>
            <w:tcW w:w="1586" w:type="dxa"/>
            <w:noWrap w:val="0"/>
            <w:vAlign w:val="top"/>
          </w:tcPr>
          <w:p w14:paraId="1016DE63">
            <w:pPr>
              <w:pStyle w:val="21"/>
              <w:rPr>
                <w:rFonts w:hAnsi="宋体"/>
                <w:color w:val="auto"/>
                <w:sz w:val="24"/>
                <w:szCs w:val="24"/>
                <w:highlight w:val="none"/>
              </w:rPr>
            </w:pPr>
          </w:p>
        </w:tc>
        <w:tc>
          <w:tcPr>
            <w:tcW w:w="1630" w:type="dxa"/>
            <w:noWrap w:val="0"/>
            <w:vAlign w:val="top"/>
          </w:tcPr>
          <w:p w14:paraId="0D188836">
            <w:pPr>
              <w:pStyle w:val="21"/>
              <w:rPr>
                <w:rFonts w:hAnsi="宋体"/>
                <w:color w:val="auto"/>
                <w:sz w:val="24"/>
                <w:szCs w:val="24"/>
                <w:highlight w:val="none"/>
              </w:rPr>
            </w:pPr>
          </w:p>
        </w:tc>
      </w:tr>
      <w:tr w14:paraId="7376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155D7086">
            <w:pPr>
              <w:pStyle w:val="21"/>
              <w:rPr>
                <w:rFonts w:hAnsi="宋体"/>
                <w:color w:val="auto"/>
                <w:sz w:val="24"/>
                <w:szCs w:val="24"/>
                <w:highlight w:val="none"/>
              </w:rPr>
            </w:pPr>
          </w:p>
        </w:tc>
        <w:tc>
          <w:tcPr>
            <w:tcW w:w="1191" w:type="dxa"/>
            <w:noWrap w:val="0"/>
            <w:vAlign w:val="top"/>
          </w:tcPr>
          <w:p w14:paraId="51CE9776">
            <w:pPr>
              <w:pStyle w:val="21"/>
              <w:rPr>
                <w:rFonts w:hAnsi="宋体"/>
                <w:color w:val="auto"/>
                <w:sz w:val="24"/>
                <w:szCs w:val="24"/>
                <w:highlight w:val="none"/>
              </w:rPr>
            </w:pPr>
          </w:p>
        </w:tc>
        <w:tc>
          <w:tcPr>
            <w:tcW w:w="2589" w:type="dxa"/>
            <w:noWrap w:val="0"/>
            <w:vAlign w:val="top"/>
          </w:tcPr>
          <w:p w14:paraId="2A1B70EC">
            <w:pPr>
              <w:pStyle w:val="21"/>
              <w:rPr>
                <w:rFonts w:hAnsi="宋体"/>
                <w:color w:val="auto"/>
                <w:sz w:val="24"/>
                <w:szCs w:val="24"/>
                <w:highlight w:val="none"/>
              </w:rPr>
            </w:pPr>
          </w:p>
        </w:tc>
        <w:tc>
          <w:tcPr>
            <w:tcW w:w="2417" w:type="dxa"/>
            <w:noWrap w:val="0"/>
            <w:vAlign w:val="top"/>
          </w:tcPr>
          <w:p w14:paraId="3744B2A4">
            <w:pPr>
              <w:pStyle w:val="21"/>
              <w:rPr>
                <w:rFonts w:hAnsi="宋体"/>
                <w:color w:val="auto"/>
                <w:sz w:val="24"/>
                <w:szCs w:val="24"/>
                <w:highlight w:val="none"/>
              </w:rPr>
            </w:pPr>
          </w:p>
        </w:tc>
        <w:tc>
          <w:tcPr>
            <w:tcW w:w="1586" w:type="dxa"/>
            <w:noWrap w:val="0"/>
            <w:vAlign w:val="top"/>
          </w:tcPr>
          <w:p w14:paraId="5D462FB2">
            <w:pPr>
              <w:pStyle w:val="21"/>
              <w:rPr>
                <w:rFonts w:hAnsi="宋体"/>
                <w:color w:val="auto"/>
                <w:sz w:val="24"/>
                <w:szCs w:val="24"/>
                <w:highlight w:val="none"/>
              </w:rPr>
            </w:pPr>
          </w:p>
        </w:tc>
        <w:tc>
          <w:tcPr>
            <w:tcW w:w="1630" w:type="dxa"/>
            <w:noWrap w:val="0"/>
            <w:vAlign w:val="top"/>
          </w:tcPr>
          <w:p w14:paraId="21F23261">
            <w:pPr>
              <w:pStyle w:val="21"/>
              <w:rPr>
                <w:rFonts w:hAnsi="宋体"/>
                <w:color w:val="auto"/>
                <w:sz w:val="24"/>
                <w:szCs w:val="24"/>
                <w:highlight w:val="none"/>
              </w:rPr>
            </w:pPr>
          </w:p>
        </w:tc>
      </w:tr>
      <w:tr w14:paraId="44E2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4A93F062">
            <w:pPr>
              <w:pStyle w:val="21"/>
              <w:rPr>
                <w:rFonts w:hAnsi="宋体"/>
                <w:color w:val="auto"/>
                <w:sz w:val="24"/>
                <w:szCs w:val="24"/>
                <w:highlight w:val="none"/>
              </w:rPr>
            </w:pPr>
          </w:p>
        </w:tc>
        <w:tc>
          <w:tcPr>
            <w:tcW w:w="1191" w:type="dxa"/>
            <w:noWrap w:val="0"/>
            <w:vAlign w:val="top"/>
          </w:tcPr>
          <w:p w14:paraId="74920E9B">
            <w:pPr>
              <w:pStyle w:val="21"/>
              <w:rPr>
                <w:rFonts w:hAnsi="宋体"/>
                <w:color w:val="auto"/>
                <w:sz w:val="24"/>
                <w:szCs w:val="24"/>
                <w:highlight w:val="none"/>
              </w:rPr>
            </w:pPr>
          </w:p>
        </w:tc>
        <w:tc>
          <w:tcPr>
            <w:tcW w:w="2589" w:type="dxa"/>
            <w:noWrap w:val="0"/>
            <w:vAlign w:val="top"/>
          </w:tcPr>
          <w:p w14:paraId="5093CFFF">
            <w:pPr>
              <w:pStyle w:val="21"/>
              <w:rPr>
                <w:rFonts w:hAnsi="宋体"/>
                <w:color w:val="auto"/>
                <w:sz w:val="24"/>
                <w:szCs w:val="24"/>
                <w:highlight w:val="none"/>
              </w:rPr>
            </w:pPr>
          </w:p>
        </w:tc>
        <w:tc>
          <w:tcPr>
            <w:tcW w:w="2417" w:type="dxa"/>
            <w:noWrap w:val="0"/>
            <w:vAlign w:val="top"/>
          </w:tcPr>
          <w:p w14:paraId="762557F0">
            <w:pPr>
              <w:pStyle w:val="21"/>
              <w:rPr>
                <w:rFonts w:hAnsi="宋体"/>
                <w:color w:val="auto"/>
                <w:sz w:val="24"/>
                <w:szCs w:val="24"/>
                <w:highlight w:val="none"/>
              </w:rPr>
            </w:pPr>
          </w:p>
        </w:tc>
        <w:tc>
          <w:tcPr>
            <w:tcW w:w="1586" w:type="dxa"/>
            <w:noWrap w:val="0"/>
            <w:vAlign w:val="top"/>
          </w:tcPr>
          <w:p w14:paraId="70F774AD">
            <w:pPr>
              <w:pStyle w:val="21"/>
              <w:rPr>
                <w:rFonts w:hAnsi="宋体"/>
                <w:color w:val="auto"/>
                <w:sz w:val="24"/>
                <w:szCs w:val="24"/>
                <w:highlight w:val="none"/>
              </w:rPr>
            </w:pPr>
          </w:p>
        </w:tc>
        <w:tc>
          <w:tcPr>
            <w:tcW w:w="1630" w:type="dxa"/>
            <w:noWrap w:val="0"/>
            <w:vAlign w:val="top"/>
          </w:tcPr>
          <w:p w14:paraId="37C3F794">
            <w:pPr>
              <w:pStyle w:val="21"/>
              <w:rPr>
                <w:rFonts w:hAnsi="宋体"/>
                <w:color w:val="auto"/>
                <w:sz w:val="24"/>
                <w:szCs w:val="24"/>
                <w:highlight w:val="none"/>
              </w:rPr>
            </w:pPr>
          </w:p>
        </w:tc>
      </w:tr>
      <w:tr w14:paraId="5FA3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7BA04433">
            <w:pPr>
              <w:pStyle w:val="21"/>
              <w:rPr>
                <w:rFonts w:hAnsi="宋体"/>
                <w:color w:val="auto"/>
                <w:sz w:val="24"/>
                <w:szCs w:val="24"/>
                <w:highlight w:val="none"/>
              </w:rPr>
            </w:pPr>
          </w:p>
        </w:tc>
        <w:tc>
          <w:tcPr>
            <w:tcW w:w="1191" w:type="dxa"/>
            <w:noWrap w:val="0"/>
            <w:vAlign w:val="top"/>
          </w:tcPr>
          <w:p w14:paraId="77955C8D">
            <w:pPr>
              <w:pStyle w:val="21"/>
              <w:rPr>
                <w:rFonts w:hAnsi="宋体"/>
                <w:color w:val="auto"/>
                <w:sz w:val="24"/>
                <w:szCs w:val="24"/>
                <w:highlight w:val="none"/>
              </w:rPr>
            </w:pPr>
          </w:p>
        </w:tc>
        <w:tc>
          <w:tcPr>
            <w:tcW w:w="2589" w:type="dxa"/>
            <w:noWrap w:val="0"/>
            <w:vAlign w:val="top"/>
          </w:tcPr>
          <w:p w14:paraId="09905D37">
            <w:pPr>
              <w:pStyle w:val="21"/>
              <w:rPr>
                <w:rFonts w:hAnsi="宋体"/>
                <w:color w:val="auto"/>
                <w:sz w:val="24"/>
                <w:szCs w:val="24"/>
                <w:highlight w:val="none"/>
              </w:rPr>
            </w:pPr>
          </w:p>
        </w:tc>
        <w:tc>
          <w:tcPr>
            <w:tcW w:w="2417" w:type="dxa"/>
            <w:noWrap w:val="0"/>
            <w:vAlign w:val="top"/>
          </w:tcPr>
          <w:p w14:paraId="46F7A0C7">
            <w:pPr>
              <w:pStyle w:val="21"/>
              <w:rPr>
                <w:rFonts w:hAnsi="宋体"/>
                <w:color w:val="auto"/>
                <w:sz w:val="24"/>
                <w:szCs w:val="24"/>
                <w:highlight w:val="none"/>
              </w:rPr>
            </w:pPr>
          </w:p>
        </w:tc>
        <w:tc>
          <w:tcPr>
            <w:tcW w:w="1586" w:type="dxa"/>
            <w:noWrap w:val="0"/>
            <w:vAlign w:val="top"/>
          </w:tcPr>
          <w:p w14:paraId="6232BCD8">
            <w:pPr>
              <w:pStyle w:val="21"/>
              <w:rPr>
                <w:rFonts w:hAnsi="宋体"/>
                <w:color w:val="auto"/>
                <w:sz w:val="24"/>
                <w:szCs w:val="24"/>
                <w:highlight w:val="none"/>
              </w:rPr>
            </w:pPr>
          </w:p>
        </w:tc>
        <w:tc>
          <w:tcPr>
            <w:tcW w:w="1630" w:type="dxa"/>
            <w:noWrap w:val="0"/>
            <w:vAlign w:val="top"/>
          </w:tcPr>
          <w:p w14:paraId="53B358B0">
            <w:pPr>
              <w:pStyle w:val="21"/>
              <w:rPr>
                <w:rFonts w:hAnsi="宋体"/>
                <w:color w:val="auto"/>
                <w:sz w:val="24"/>
                <w:szCs w:val="24"/>
                <w:highlight w:val="none"/>
              </w:rPr>
            </w:pPr>
          </w:p>
        </w:tc>
      </w:tr>
      <w:tr w14:paraId="7910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4A56928A">
            <w:pPr>
              <w:pStyle w:val="21"/>
              <w:rPr>
                <w:rFonts w:hAnsi="宋体"/>
                <w:color w:val="auto"/>
                <w:sz w:val="24"/>
                <w:szCs w:val="24"/>
                <w:highlight w:val="none"/>
              </w:rPr>
            </w:pPr>
          </w:p>
        </w:tc>
        <w:tc>
          <w:tcPr>
            <w:tcW w:w="1191" w:type="dxa"/>
            <w:noWrap w:val="0"/>
            <w:vAlign w:val="top"/>
          </w:tcPr>
          <w:p w14:paraId="6D81ADA2">
            <w:pPr>
              <w:pStyle w:val="21"/>
              <w:rPr>
                <w:rFonts w:hAnsi="宋体"/>
                <w:color w:val="auto"/>
                <w:sz w:val="24"/>
                <w:szCs w:val="24"/>
                <w:highlight w:val="none"/>
              </w:rPr>
            </w:pPr>
          </w:p>
        </w:tc>
        <w:tc>
          <w:tcPr>
            <w:tcW w:w="2589" w:type="dxa"/>
            <w:noWrap w:val="0"/>
            <w:vAlign w:val="top"/>
          </w:tcPr>
          <w:p w14:paraId="123D6093">
            <w:pPr>
              <w:pStyle w:val="21"/>
              <w:rPr>
                <w:rFonts w:hAnsi="宋体"/>
                <w:color w:val="auto"/>
                <w:sz w:val="24"/>
                <w:szCs w:val="24"/>
                <w:highlight w:val="none"/>
              </w:rPr>
            </w:pPr>
          </w:p>
        </w:tc>
        <w:tc>
          <w:tcPr>
            <w:tcW w:w="2417" w:type="dxa"/>
            <w:noWrap w:val="0"/>
            <w:vAlign w:val="top"/>
          </w:tcPr>
          <w:p w14:paraId="3F5E3FD5">
            <w:pPr>
              <w:pStyle w:val="21"/>
              <w:rPr>
                <w:rFonts w:hAnsi="宋体"/>
                <w:color w:val="auto"/>
                <w:sz w:val="24"/>
                <w:szCs w:val="24"/>
                <w:highlight w:val="none"/>
              </w:rPr>
            </w:pPr>
          </w:p>
        </w:tc>
        <w:tc>
          <w:tcPr>
            <w:tcW w:w="1586" w:type="dxa"/>
            <w:noWrap w:val="0"/>
            <w:vAlign w:val="top"/>
          </w:tcPr>
          <w:p w14:paraId="636FDAB9">
            <w:pPr>
              <w:pStyle w:val="21"/>
              <w:rPr>
                <w:rFonts w:hAnsi="宋体"/>
                <w:color w:val="auto"/>
                <w:sz w:val="24"/>
                <w:szCs w:val="24"/>
                <w:highlight w:val="none"/>
              </w:rPr>
            </w:pPr>
          </w:p>
        </w:tc>
        <w:tc>
          <w:tcPr>
            <w:tcW w:w="1630" w:type="dxa"/>
            <w:noWrap w:val="0"/>
            <w:vAlign w:val="top"/>
          </w:tcPr>
          <w:p w14:paraId="5BF075AE">
            <w:pPr>
              <w:pStyle w:val="21"/>
              <w:rPr>
                <w:rFonts w:hAnsi="宋体"/>
                <w:color w:val="auto"/>
                <w:sz w:val="24"/>
                <w:szCs w:val="24"/>
                <w:highlight w:val="none"/>
              </w:rPr>
            </w:pPr>
          </w:p>
        </w:tc>
      </w:tr>
      <w:tr w14:paraId="71AC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noWrap w:val="0"/>
            <w:vAlign w:val="top"/>
          </w:tcPr>
          <w:p w14:paraId="0F3609EA">
            <w:pPr>
              <w:pStyle w:val="21"/>
              <w:rPr>
                <w:rFonts w:hAnsi="宋体"/>
                <w:color w:val="auto"/>
                <w:sz w:val="24"/>
                <w:szCs w:val="24"/>
                <w:highlight w:val="none"/>
              </w:rPr>
            </w:pPr>
          </w:p>
        </w:tc>
        <w:tc>
          <w:tcPr>
            <w:tcW w:w="1191" w:type="dxa"/>
            <w:noWrap w:val="0"/>
            <w:vAlign w:val="top"/>
          </w:tcPr>
          <w:p w14:paraId="133587CB">
            <w:pPr>
              <w:pStyle w:val="21"/>
              <w:rPr>
                <w:rFonts w:hAnsi="宋体"/>
                <w:color w:val="auto"/>
                <w:sz w:val="24"/>
                <w:szCs w:val="24"/>
                <w:highlight w:val="none"/>
              </w:rPr>
            </w:pPr>
          </w:p>
        </w:tc>
        <w:tc>
          <w:tcPr>
            <w:tcW w:w="2589" w:type="dxa"/>
            <w:noWrap w:val="0"/>
            <w:vAlign w:val="top"/>
          </w:tcPr>
          <w:p w14:paraId="2DB8CD20">
            <w:pPr>
              <w:pStyle w:val="21"/>
              <w:rPr>
                <w:rFonts w:hAnsi="宋体"/>
                <w:color w:val="auto"/>
                <w:sz w:val="24"/>
                <w:szCs w:val="24"/>
                <w:highlight w:val="none"/>
              </w:rPr>
            </w:pPr>
          </w:p>
        </w:tc>
        <w:tc>
          <w:tcPr>
            <w:tcW w:w="2417" w:type="dxa"/>
            <w:noWrap w:val="0"/>
            <w:vAlign w:val="top"/>
          </w:tcPr>
          <w:p w14:paraId="52DFEC0E">
            <w:pPr>
              <w:pStyle w:val="21"/>
              <w:rPr>
                <w:rFonts w:hAnsi="宋体"/>
                <w:color w:val="auto"/>
                <w:sz w:val="24"/>
                <w:szCs w:val="24"/>
                <w:highlight w:val="none"/>
              </w:rPr>
            </w:pPr>
          </w:p>
        </w:tc>
        <w:tc>
          <w:tcPr>
            <w:tcW w:w="1586" w:type="dxa"/>
            <w:noWrap w:val="0"/>
            <w:vAlign w:val="top"/>
          </w:tcPr>
          <w:p w14:paraId="10E0ED7B">
            <w:pPr>
              <w:pStyle w:val="21"/>
              <w:rPr>
                <w:rFonts w:hAnsi="宋体"/>
                <w:color w:val="auto"/>
                <w:sz w:val="24"/>
                <w:szCs w:val="24"/>
                <w:highlight w:val="none"/>
              </w:rPr>
            </w:pPr>
          </w:p>
        </w:tc>
        <w:tc>
          <w:tcPr>
            <w:tcW w:w="1630" w:type="dxa"/>
            <w:noWrap w:val="0"/>
            <w:vAlign w:val="top"/>
          </w:tcPr>
          <w:p w14:paraId="572067E2">
            <w:pPr>
              <w:pStyle w:val="21"/>
              <w:rPr>
                <w:rFonts w:hAnsi="宋体"/>
                <w:color w:val="auto"/>
                <w:sz w:val="24"/>
                <w:szCs w:val="24"/>
                <w:highlight w:val="none"/>
              </w:rPr>
            </w:pPr>
          </w:p>
        </w:tc>
      </w:tr>
    </w:tbl>
    <w:p w14:paraId="448937C8">
      <w:pPr>
        <w:pStyle w:val="21"/>
        <w:spacing w:line="600" w:lineRule="exact"/>
        <w:rPr>
          <w:rFonts w:hAnsi="宋体"/>
          <w:b/>
          <w:color w:val="auto"/>
          <w:sz w:val="24"/>
          <w:szCs w:val="24"/>
          <w:highlight w:val="none"/>
        </w:rPr>
      </w:pPr>
      <w:r>
        <w:rPr>
          <w:rFonts w:hint="eastAsia" w:hAnsi="宋体"/>
          <w:b/>
          <w:color w:val="auto"/>
          <w:sz w:val="24"/>
          <w:szCs w:val="24"/>
          <w:highlight w:val="none"/>
        </w:rPr>
        <w:t>注：对于投标产品商务条款响应要求需有证明材料支持的，必须在投标文件中提供证明材料，并将该证明材料在投标文件中的索引（页码及条目号等）标注在“</w:t>
      </w:r>
      <w:r>
        <w:rPr>
          <w:rFonts w:hint="eastAsia" w:hAnsi="宋体"/>
          <w:b/>
          <w:bCs/>
          <w:color w:val="auto"/>
          <w:sz w:val="24"/>
          <w:szCs w:val="24"/>
          <w:highlight w:val="none"/>
        </w:rPr>
        <w:t>商务条件支持资料索引</w:t>
      </w:r>
      <w:r>
        <w:rPr>
          <w:rFonts w:hint="eastAsia" w:hAnsi="宋体"/>
          <w:b/>
          <w:color w:val="auto"/>
          <w:sz w:val="24"/>
          <w:szCs w:val="24"/>
          <w:highlight w:val="none"/>
        </w:rPr>
        <w:t>”中。</w:t>
      </w:r>
    </w:p>
    <w:p w14:paraId="6B22DD7D">
      <w:pPr>
        <w:ind w:firstLine="1968" w:firstLineChars="700"/>
        <w:rPr>
          <w:rFonts w:hint="eastAsia" w:ascii="宋体" w:hAnsi="宋体" w:cs="宋体"/>
          <w:b/>
          <w:color w:val="auto"/>
          <w:sz w:val="28"/>
          <w:szCs w:val="28"/>
          <w:highlight w:val="none"/>
        </w:rPr>
      </w:pPr>
    </w:p>
    <w:p w14:paraId="7BF59BC8">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投标人：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w:t>
      </w:r>
    </w:p>
    <w:p w14:paraId="779647AC">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法定代表人(单位负责人)或其委托代理人：</w:t>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(电子签章或签名)</w:t>
      </w:r>
    </w:p>
    <w:p w14:paraId="1AEAC9B5">
      <w:pPr>
        <w:ind w:firstLine="843" w:firstLineChars="300"/>
        <w:rPr>
          <w:rFonts w:hint="eastAsia" w:ascii="宋体" w:hAnsi="宋体" w:cs="宋体"/>
          <w:color w:val="auto"/>
          <w:sz w:val="28"/>
          <w:szCs w:val="28"/>
          <w:highlight w:val="none"/>
        </w:rPr>
        <w:sectPr>
          <w:footerReference r:id="rId17" w:type="default"/>
          <w:pgSz w:w="11906" w:h="16838"/>
          <w:pgMar w:top="1191" w:right="1191" w:bottom="1191" w:left="1304" w:header="851" w:footer="992" w:gutter="0"/>
          <w:pgNumType w:fmt="numberInDash"/>
          <w:cols w:space="720" w:num="1"/>
          <w:docGrid w:type="lines" w:linePitch="317" w:charSpace="0"/>
        </w:sectPr>
      </w:pPr>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日</w:t>
      </w:r>
    </w:p>
    <w:p w14:paraId="5EDE1FD7">
      <w:pPr>
        <w:autoSpaceDE w:val="0"/>
        <w:spacing w:line="360" w:lineRule="auto"/>
        <w:ind w:firstLine="241" w:firstLineChars="1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w:t>
      </w:r>
      <w:bookmarkStart w:id="393" w:name="_Toc209978034"/>
      <w:bookmarkStart w:id="394" w:name="_Toc29437"/>
      <w:r>
        <w:rPr>
          <w:rFonts w:hint="eastAsia" w:ascii="宋体" w:hAnsi="宋体" w:eastAsia="宋体" w:cs="宋体"/>
          <w:b/>
          <w:bCs/>
          <w:color w:val="auto"/>
          <w:sz w:val="24"/>
          <w:szCs w:val="24"/>
          <w:highlight w:val="none"/>
        </w:rPr>
        <w:t>配置要求偏离表</w:t>
      </w:r>
      <w:bookmarkEnd w:id="393"/>
    </w:p>
    <w:p w14:paraId="1893A404">
      <w:pPr>
        <w:spacing w:line="360" w:lineRule="auto"/>
        <w:jc w:val="left"/>
        <w:rPr>
          <w:rFonts w:hint="eastAsia" w:ascii="宋体" w:hAnsi="宋体"/>
          <w:color w:val="auto"/>
          <w:sz w:val="24"/>
          <w:highlight w:val="none"/>
        </w:rPr>
      </w:pPr>
      <w:r>
        <w:rPr>
          <w:rFonts w:hint="eastAsia" w:ascii="宋体" w:hAnsi="宋体"/>
          <w:color w:val="auto"/>
          <w:sz w:val="24"/>
          <w:highlight w:val="none"/>
        </w:rPr>
        <w:t>根据招标文件第</w:t>
      </w:r>
      <w:r>
        <w:rPr>
          <w:rFonts w:hint="eastAsia" w:ascii="宋体" w:hAnsi="宋体"/>
          <w:color w:val="auto"/>
          <w:sz w:val="24"/>
          <w:highlight w:val="none"/>
          <w:lang w:val="en-US" w:eastAsia="zh-CN"/>
        </w:rPr>
        <w:t>六</w:t>
      </w:r>
      <w:r>
        <w:rPr>
          <w:rFonts w:hint="eastAsia" w:ascii="宋体" w:hAnsi="宋体"/>
          <w:color w:val="auto"/>
          <w:sz w:val="24"/>
          <w:highlight w:val="none"/>
        </w:rPr>
        <w:t>章《</w:t>
      </w:r>
      <w:r>
        <w:rPr>
          <w:rFonts w:hint="eastAsia" w:ascii="宋体" w:hAnsi="宋体"/>
          <w:color w:val="auto"/>
          <w:sz w:val="24"/>
          <w:highlight w:val="none"/>
          <w:lang w:eastAsia="zh-CN"/>
        </w:rPr>
        <w:t>招标内容及要求</w:t>
      </w:r>
      <w:r>
        <w:rPr>
          <w:rFonts w:hint="eastAsia" w:ascii="宋体" w:hAnsi="宋体"/>
          <w:color w:val="auto"/>
          <w:sz w:val="24"/>
          <w:highlight w:val="none"/>
        </w:rPr>
        <w:t>》中的配置要求，如实填写本表格。若招标文件第</w:t>
      </w:r>
      <w:r>
        <w:rPr>
          <w:rFonts w:hint="eastAsia" w:ascii="宋体" w:hAnsi="宋体"/>
          <w:color w:val="auto"/>
          <w:sz w:val="24"/>
          <w:highlight w:val="none"/>
          <w:lang w:val="en-US" w:eastAsia="zh-CN"/>
        </w:rPr>
        <w:t>六</w:t>
      </w:r>
      <w:r>
        <w:rPr>
          <w:rFonts w:hint="eastAsia" w:ascii="宋体" w:hAnsi="宋体"/>
          <w:color w:val="auto"/>
          <w:sz w:val="24"/>
          <w:highlight w:val="none"/>
        </w:rPr>
        <w:t>章《</w:t>
      </w:r>
      <w:r>
        <w:rPr>
          <w:rFonts w:hint="eastAsia" w:ascii="宋体" w:hAnsi="宋体"/>
          <w:color w:val="auto"/>
          <w:sz w:val="24"/>
          <w:highlight w:val="none"/>
          <w:lang w:eastAsia="zh-CN"/>
        </w:rPr>
        <w:t>招标内容及要求</w:t>
      </w:r>
      <w:r>
        <w:rPr>
          <w:rFonts w:hint="eastAsia" w:ascii="宋体" w:hAnsi="宋体"/>
          <w:color w:val="auto"/>
          <w:sz w:val="24"/>
          <w:highlight w:val="none"/>
        </w:rPr>
        <w:t>》中无配置要求的，可无需提供本表。</w:t>
      </w:r>
    </w:p>
    <w:p w14:paraId="4EEE8544">
      <w:pPr>
        <w:spacing w:line="360" w:lineRule="auto"/>
        <w:jc w:val="left"/>
        <w:rPr>
          <w:rFonts w:hint="eastAsia" w:ascii="宋体" w:hAnsi="宋体"/>
          <w:color w:val="auto"/>
          <w:sz w:val="24"/>
          <w:highlight w:val="none"/>
        </w:rPr>
      </w:pPr>
      <w:r>
        <w:rPr>
          <w:rFonts w:hint="eastAsia" w:ascii="宋体" w:hAnsi="宋体"/>
          <w:color w:val="auto"/>
          <w:sz w:val="24"/>
          <w:highlight w:val="none"/>
        </w:rPr>
        <w:t>A</w:t>
      </w:r>
      <w:r>
        <w:rPr>
          <w:rFonts w:ascii="宋体" w:hAnsi="宋体"/>
          <w:color w:val="auto"/>
          <w:sz w:val="24"/>
          <w:highlight w:val="none"/>
        </w:rPr>
        <w:t>.</w:t>
      </w:r>
      <w:r>
        <w:rPr>
          <w:rFonts w:hint="eastAsia" w:ascii="宋体" w:hAnsi="宋体"/>
          <w:color w:val="auto"/>
          <w:sz w:val="24"/>
          <w:highlight w:val="none"/>
        </w:rPr>
        <w:t>口我公司已详细阅读招标文件中《</w:t>
      </w:r>
      <w:r>
        <w:rPr>
          <w:rFonts w:hint="eastAsia" w:ascii="宋体" w:hAnsi="宋体"/>
          <w:color w:val="auto"/>
          <w:sz w:val="24"/>
          <w:highlight w:val="none"/>
          <w:lang w:eastAsia="zh-CN"/>
        </w:rPr>
        <w:t>招标内容及要求</w:t>
      </w:r>
      <w:r>
        <w:rPr>
          <w:rFonts w:hint="eastAsia" w:ascii="宋体" w:hAnsi="宋体"/>
          <w:color w:val="auto"/>
          <w:sz w:val="24"/>
          <w:highlight w:val="none"/>
        </w:rPr>
        <w:t>》的配置要求，所有配置要求均无偏离，中标后我公司将严格遵照执行。</w:t>
      </w:r>
    </w:p>
    <w:p w14:paraId="140763E7">
      <w:pPr>
        <w:spacing w:line="360" w:lineRule="auto"/>
        <w:jc w:val="left"/>
        <w:rPr>
          <w:rFonts w:ascii="宋体" w:hAnsi="宋体"/>
          <w:color w:val="auto"/>
          <w:sz w:val="24"/>
          <w:highlight w:val="none"/>
        </w:rPr>
      </w:pPr>
      <w:r>
        <w:rPr>
          <w:rFonts w:hint="eastAsia" w:ascii="宋体" w:hAnsi="宋体"/>
          <w:color w:val="auto"/>
          <w:sz w:val="24"/>
          <w:highlight w:val="none"/>
        </w:rPr>
        <w:t>B.口我公司已详细阅读招标文件中《</w:t>
      </w:r>
      <w:r>
        <w:rPr>
          <w:rFonts w:hint="eastAsia" w:ascii="宋体" w:hAnsi="宋体"/>
          <w:color w:val="auto"/>
          <w:sz w:val="24"/>
          <w:highlight w:val="none"/>
          <w:lang w:eastAsia="zh-CN"/>
        </w:rPr>
        <w:t>招标内容及要求</w:t>
      </w:r>
      <w:r>
        <w:rPr>
          <w:rFonts w:hint="eastAsia" w:ascii="宋体" w:hAnsi="宋体"/>
          <w:color w:val="auto"/>
          <w:sz w:val="24"/>
          <w:highlight w:val="none"/>
        </w:rPr>
        <w:t>》中的配置要求，除下述条款有负偏离外，其余条款我公司均予以认可，中标后将严格遵照执行。</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4227"/>
        <w:gridCol w:w="4164"/>
      </w:tblGrid>
      <w:tr w14:paraId="1A22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14:paraId="2F8E1265">
            <w:pPr>
              <w:pStyle w:val="16"/>
              <w:ind w:firstLine="0" w:firstLineChars="0"/>
              <w:jc w:val="center"/>
              <w:rPr>
                <w:rFonts w:hint="eastAsia" w:ascii="宋体" w:hAnsi="宋体"/>
                <w:b/>
                <w:color w:val="auto"/>
                <w:highlight w:val="none"/>
              </w:rPr>
            </w:pPr>
            <w:r>
              <w:rPr>
                <w:rFonts w:hint="eastAsia" w:ascii="宋体" w:hAnsi="宋体"/>
                <w:b/>
                <w:color w:val="auto"/>
                <w:highlight w:val="none"/>
              </w:rPr>
              <w:t>序号</w:t>
            </w:r>
          </w:p>
        </w:tc>
        <w:tc>
          <w:tcPr>
            <w:tcW w:w="4253" w:type="dxa"/>
            <w:noWrap w:val="0"/>
            <w:vAlign w:val="center"/>
          </w:tcPr>
          <w:p w14:paraId="5135D3ED">
            <w:pPr>
              <w:pStyle w:val="16"/>
              <w:ind w:firstLine="0" w:firstLineChars="0"/>
              <w:jc w:val="center"/>
              <w:rPr>
                <w:rFonts w:hint="eastAsia" w:ascii="宋体" w:hAnsi="宋体"/>
                <w:b/>
                <w:color w:val="auto"/>
                <w:highlight w:val="none"/>
              </w:rPr>
            </w:pPr>
            <w:r>
              <w:rPr>
                <w:rFonts w:hint="eastAsia" w:ascii="宋体" w:hAnsi="宋体" w:cs="宋体"/>
                <w:b/>
                <w:bCs/>
                <w:color w:val="auto"/>
                <w:kern w:val="0"/>
                <w:szCs w:val="21"/>
                <w:highlight w:val="none"/>
              </w:rPr>
              <w:t>招标文件要求</w:t>
            </w:r>
          </w:p>
        </w:tc>
        <w:tc>
          <w:tcPr>
            <w:tcW w:w="4189" w:type="dxa"/>
            <w:noWrap w:val="0"/>
            <w:vAlign w:val="center"/>
          </w:tcPr>
          <w:p w14:paraId="6B84F1E0">
            <w:pPr>
              <w:pStyle w:val="16"/>
              <w:ind w:firstLine="0" w:firstLineChars="0"/>
              <w:jc w:val="center"/>
              <w:rPr>
                <w:rFonts w:hint="eastAsia" w:ascii="宋体" w:hAnsi="宋体"/>
                <w:b/>
                <w:color w:val="auto"/>
                <w:highlight w:val="none"/>
              </w:rPr>
            </w:pPr>
            <w:r>
              <w:rPr>
                <w:rFonts w:hint="eastAsia" w:ascii="宋体" w:hAnsi="宋体" w:cs="宋体"/>
                <w:b/>
                <w:bCs/>
                <w:color w:val="auto"/>
                <w:kern w:val="0"/>
                <w:szCs w:val="21"/>
                <w:highlight w:val="none"/>
              </w:rPr>
              <w:t>投标文件配置响应</w:t>
            </w:r>
          </w:p>
        </w:tc>
      </w:tr>
      <w:tr w14:paraId="0E0C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14:paraId="263FDB86">
            <w:pPr>
              <w:pStyle w:val="16"/>
              <w:ind w:firstLine="0" w:firstLineChars="0"/>
              <w:jc w:val="center"/>
              <w:rPr>
                <w:rFonts w:hint="eastAsia" w:ascii="宋体" w:hAnsi="宋体"/>
                <w:color w:val="auto"/>
                <w:highlight w:val="none"/>
              </w:rPr>
            </w:pPr>
            <w:r>
              <w:rPr>
                <w:rFonts w:hint="eastAsia" w:ascii="宋体" w:hAnsi="宋体"/>
                <w:color w:val="auto"/>
                <w:highlight w:val="none"/>
              </w:rPr>
              <w:t>1</w:t>
            </w:r>
          </w:p>
        </w:tc>
        <w:tc>
          <w:tcPr>
            <w:tcW w:w="4253" w:type="dxa"/>
            <w:noWrap w:val="0"/>
            <w:vAlign w:val="center"/>
          </w:tcPr>
          <w:p w14:paraId="5AB7154D">
            <w:pPr>
              <w:pStyle w:val="16"/>
              <w:ind w:firstLine="0" w:firstLineChars="0"/>
              <w:rPr>
                <w:rFonts w:hint="eastAsia" w:ascii="宋体" w:hAnsi="宋体"/>
                <w:color w:val="auto"/>
                <w:highlight w:val="none"/>
              </w:rPr>
            </w:pPr>
          </w:p>
        </w:tc>
        <w:tc>
          <w:tcPr>
            <w:tcW w:w="4189" w:type="dxa"/>
            <w:noWrap w:val="0"/>
            <w:vAlign w:val="center"/>
          </w:tcPr>
          <w:p w14:paraId="7B3B8340">
            <w:pPr>
              <w:pStyle w:val="16"/>
              <w:ind w:firstLine="0" w:firstLineChars="0"/>
              <w:rPr>
                <w:rFonts w:hint="eastAsia" w:ascii="宋体" w:hAnsi="宋体"/>
                <w:color w:val="auto"/>
                <w:highlight w:val="none"/>
              </w:rPr>
            </w:pPr>
          </w:p>
        </w:tc>
      </w:tr>
      <w:tr w14:paraId="0F5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14:paraId="52B72E75">
            <w:pPr>
              <w:pStyle w:val="16"/>
              <w:ind w:firstLine="0" w:firstLineChars="0"/>
              <w:jc w:val="center"/>
              <w:rPr>
                <w:rFonts w:hint="eastAsia" w:ascii="宋体" w:hAnsi="宋体"/>
                <w:color w:val="auto"/>
                <w:highlight w:val="none"/>
              </w:rPr>
            </w:pPr>
            <w:r>
              <w:rPr>
                <w:rFonts w:hint="eastAsia" w:ascii="宋体" w:hAnsi="宋体"/>
                <w:color w:val="auto"/>
                <w:highlight w:val="none"/>
              </w:rPr>
              <w:t>2</w:t>
            </w:r>
          </w:p>
        </w:tc>
        <w:tc>
          <w:tcPr>
            <w:tcW w:w="4253" w:type="dxa"/>
            <w:noWrap w:val="0"/>
            <w:vAlign w:val="center"/>
          </w:tcPr>
          <w:p w14:paraId="1A9F9524">
            <w:pPr>
              <w:pStyle w:val="16"/>
              <w:ind w:firstLine="0" w:firstLineChars="0"/>
              <w:rPr>
                <w:rFonts w:hint="eastAsia" w:ascii="宋体" w:hAnsi="宋体"/>
                <w:color w:val="auto"/>
                <w:highlight w:val="none"/>
              </w:rPr>
            </w:pPr>
          </w:p>
        </w:tc>
        <w:tc>
          <w:tcPr>
            <w:tcW w:w="4189" w:type="dxa"/>
            <w:noWrap w:val="0"/>
            <w:vAlign w:val="center"/>
          </w:tcPr>
          <w:p w14:paraId="618D7A4D">
            <w:pPr>
              <w:pStyle w:val="16"/>
              <w:ind w:firstLine="0" w:firstLineChars="0"/>
              <w:rPr>
                <w:rFonts w:hint="eastAsia" w:ascii="宋体" w:hAnsi="宋体"/>
                <w:color w:val="auto"/>
                <w:highlight w:val="none"/>
              </w:rPr>
            </w:pPr>
          </w:p>
        </w:tc>
      </w:tr>
      <w:tr w14:paraId="1950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14:paraId="54685612">
            <w:pPr>
              <w:pStyle w:val="16"/>
              <w:ind w:firstLine="0" w:firstLineChars="0"/>
              <w:jc w:val="center"/>
              <w:rPr>
                <w:rFonts w:hint="eastAsia" w:ascii="宋体" w:hAnsi="宋体"/>
                <w:color w:val="auto"/>
                <w:highlight w:val="none"/>
              </w:rPr>
            </w:pPr>
            <w:r>
              <w:rPr>
                <w:rFonts w:hint="eastAsia" w:ascii="宋体" w:hAnsi="宋体"/>
                <w:color w:val="auto"/>
                <w:highlight w:val="none"/>
              </w:rPr>
              <w:t>3</w:t>
            </w:r>
          </w:p>
        </w:tc>
        <w:tc>
          <w:tcPr>
            <w:tcW w:w="4253" w:type="dxa"/>
            <w:noWrap w:val="0"/>
            <w:vAlign w:val="center"/>
          </w:tcPr>
          <w:p w14:paraId="46045744">
            <w:pPr>
              <w:pStyle w:val="16"/>
              <w:ind w:firstLine="0" w:firstLineChars="0"/>
              <w:rPr>
                <w:rFonts w:hint="eastAsia" w:ascii="宋体" w:hAnsi="宋体"/>
                <w:color w:val="auto"/>
                <w:highlight w:val="none"/>
              </w:rPr>
            </w:pPr>
          </w:p>
        </w:tc>
        <w:tc>
          <w:tcPr>
            <w:tcW w:w="4189" w:type="dxa"/>
            <w:noWrap w:val="0"/>
            <w:vAlign w:val="center"/>
          </w:tcPr>
          <w:p w14:paraId="2D626226">
            <w:pPr>
              <w:pStyle w:val="16"/>
              <w:ind w:firstLine="0" w:firstLineChars="0"/>
              <w:rPr>
                <w:rFonts w:hint="eastAsia" w:ascii="宋体" w:hAnsi="宋体"/>
                <w:color w:val="auto"/>
                <w:highlight w:val="none"/>
              </w:rPr>
            </w:pPr>
          </w:p>
        </w:tc>
      </w:tr>
      <w:tr w14:paraId="3C33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14:paraId="19676C03">
            <w:pPr>
              <w:pStyle w:val="16"/>
              <w:ind w:firstLine="0" w:firstLineChars="0"/>
              <w:jc w:val="center"/>
              <w:rPr>
                <w:rFonts w:hint="eastAsia" w:ascii="宋体" w:hAnsi="宋体"/>
                <w:color w:val="auto"/>
                <w:highlight w:val="none"/>
              </w:rPr>
            </w:pPr>
            <w:r>
              <w:rPr>
                <w:rFonts w:ascii="宋体" w:hAnsi="宋体"/>
                <w:color w:val="auto"/>
                <w:highlight w:val="none"/>
              </w:rPr>
              <w:t>…</w:t>
            </w:r>
          </w:p>
        </w:tc>
        <w:tc>
          <w:tcPr>
            <w:tcW w:w="4253" w:type="dxa"/>
            <w:noWrap w:val="0"/>
            <w:vAlign w:val="center"/>
          </w:tcPr>
          <w:p w14:paraId="5B92E533">
            <w:pPr>
              <w:pStyle w:val="16"/>
              <w:ind w:firstLine="0" w:firstLineChars="0"/>
              <w:rPr>
                <w:rFonts w:hint="eastAsia" w:ascii="宋体" w:hAnsi="宋体"/>
                <w:color w:val="auto"/>
                <w:highlight w:val="none"/>
              </w:rPr>
            </w:pPr>
          </w:p>
        </w:tc>
        <w:tc>
          <w:tcPr>
            <w:tcW w:w="4189" w:type="dxa"/>
            <w:noWrap w:val="0"/>
            <w:vAlign w:val="center"/>
          </w:tcPr>
          <w:p w14:paraId="24787F13">
            <w:pPr>
              <w:pStyle w:val="16"/>
              <w:ind w:firstLine="0" w:firstLineChars="0"/>
              <w:rPr>
                <w:rFonts w:hint="eastAsia" w:ascii="宋体" w:hAnsi="宋体"/>
                <w:color w:val="auto"/>
                <w:highlight w:val="none"/>
              </w:rPr>
            </w:pPr>
          </w:p>
        </w:tc>
      </w:tr>
      <w:tr w14:paraId="2172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14:paraId="61436F6C">
            <w:pPr>
              <w:pStyle w:val="16"/>
              <w:ind w:firstLine="0" w:firstLineChars="0"/>
              <w:jc w:val="center"/>
              <w:rPr>
                <w:rFonts w:hint="eastAsia" w:ascii="宋体" w:hAnsi="宋体"/>
                <w:color w:val="auto"/>
                <w:highlight w:val="none"/>
              </w:rPr>
            </w:pPr>
            <w:r>
              <w:rPr>
                <w:rFonts w:ascii="宋体" w:hAnsi="宋体"/>
                <w:color w:val="auto"/>
                <w:highlight w:val="none"/>
              </w:rPr>
              <w:t>…</w:t>
            </w:r>
          </w:p>
        </w:tc>
        <w:tc>
          <w:tcPr>
            <w:tcW w:w="4253" w:type="dxa"/>
            <w:noWrap w:val="0"/>
            <w:vAlign w:val="center"/>
          </w:tcPr>
          <w:p w14:paraId="17AAAAA7">
            <w:pPr>
              <w:pStyle w:val="16"/>
              <w:ind w:firstLine="0" w:firstLineChars="0"/>
              <w:rPr>
                <w:rFonts w:hint="eastAsia" w:ascii="宋体" w:hAnsi="宋体"/>
                <w:color w:val="auto"/>
                <w:highlight w:val="none"/>
              </w:rPr>
            </w:pPr>
          </w:p>
        </w:tc>
        <w:tc>
          <w:tcPr>
            <w:tcW w:w="4189" w:type="dxa"/>
            <w:noWrap w:val="0"/>
            <w:vAlign w:val="center"/>
          </w:tcPr>
          <w:p w14:paraId="6AE8ABA1">
            <w:pPr>
              <w:pStyle w:val="16"/>
              <w:ind w:firstLine="0" w:firstLineChars="0"/>
              <w:rPr>
                <w:rFonts w:hint="eastAsia" w:ascii="宋体" w:hAnsi="宋体"/>
                <w:color w:val="auto"/>
                <w:highlight w:val="none"/>
              </w:rPr>
            </w:pPr>
          </w:p>
        </w:tc>
      </w:tr>
    </w:tbl>
    <w:p w14:paraId="3FD1E073">
      <w:pPr>
        <w:pStyle w:val="16"/>
        <w:ind w:firstLine="210"/>
        <w:rPr>
          <w:rFonts w:ascii="宋体" w:hAnsi="宋体"/>
          <w:color w:val="auto"/>
          <w:highlight w:val="none"/>
        </w:rPr>
      </w:pPr>
    </w:p>
    <w:p w14:paraId="2B772EF1">
      <w:pPr>
        <w:spacing w:line="360" w:lineRule="auto"/>
        <w:jc w:val="left"/>
        <w:rPr>
          <w:rFonts w:ascii="宋体" w:hAnsi="宋体"/>
          <w:color w:val="auto"/>
          <w:sz w:val="24"/>
          <w:highlight w:val="none"/>
        </w:rPr>
      </w:pPr>
      <w:r>
        <w:rPr>
          <w:rFonts w:hint="eastAsia" w:ascii="宋体" w:hAnsi="宋体"/>
          <w:color w:val="auto"/>
          <w:sz w:val="24"/>
          <w:highlight w:val="none"/>
        </w:rPr>
        <w:t>注：</w:t>
      </w:r>
    </w:p>
    <w:p w14:paraId="6C9EF823">
      <w:pPr>
        <w:spacing w:line="360" w:lineRule="auto"/>
        <w:jc w:val="left"/>
        <w:rPr>
          <w:rFonts w:hint="eastAsia"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w:t>
      </w:r>
      <w:r>
        <w:rPr>
          <w:rFonts w:hint="eastAsia" w:ascii="宋体" w:hAnsi="宋体"/>
          <w:color w:val="auto"/>
          <w:sz w:val="24"/>
          <w:highlight w:val="none"/>
        </w:rPr>
        <w:t>投标人应根据实际情况，填写配置要求偏离表。</w:t>
      </w:r>
      <w:r>
        <w:rPr>
          <w:rFonts w:hint="eastAsia" w:ascii="宋体" w:hAnsi="宋体"/>
          <w:b/>
          <w:color w:val="auto"/>
          <w:sz w:val="28"/>
          <w:szCs w:val="28"/>
          <w:highlight w:val="none"/>
        </w:rPr>
        <w:t>若无偏离，则勾选A项即可，无需填写表格，</w:t>
      </w:r>
      <w:r>
        <w:rPr>
          <w:rFonts w:hint="eastAsia" w:ascii="宋体" w:hAnsi="宋体"/>
          <w:color w:val="auto"/>
          <w:sz w:val="24"/>
          <w:highlight w:val="none"/>
        </w:rPr>
        <w:t>并按</w:t>
      </w:r>
      <w:r>
        <w:rPr>
          <w:rFonts w:hint="eastAsia" w:ascii="宋体" w:hAnsi="宋体"/>
          <w:color w:val="auto"/>
          <w:sz w:val="24"/>
          <w:highlight w:val="none"/>
          <w:lang w:eastAsia="zh-CN"/>
        </w:rPr>
        <w:t>附件7-1</w:t>
      </w:r>
      <w:r>
        <w:rPr>
          <w:rFonts w:hint="eastAsia" w:ascii="宋体" w:hAnsi="宋体"/>
          <w:color w:val="auto"/>
          <w:sz w:val="24"/>
          <w:highlight w:val="none"/>
        </w:rPr>
        <w:t>中的</w:t>
      </w:r>
      <w:r>
        <w:rPr>
          <w:rFonts w:hint="eastAsia" w:ascii="宋体" w:hAnsi="宋体"/>
          <w:color w:val="auto"/>
          <w:sz w:val="24"/>
          <w:highlight w:val="none"/>
          <w:lang w:eastAsia="zh-CN"/>
        </w:rPr>
        <w:t>单套配置清单要求</w:t>
      </w:r>
      <w:r>
        <w:rPr>
          <w:rFonts w:hint="eastAsia" w:ascii="宋体" w:hAnsi="宋体"/>
          <w:color w:val="auto"/>
          <w:sz w:val="24"/>
          <w:highlight w:val="none"/>
        </w:rPr>
        <w:t>，列出投标产品详细配置清单。</w:t>
      </w:r>
      <w:r>
        <w:rPr>
          <w:rFonts w:hint="eastAsia" w:ascii="宋体" w:hAnsi="宋体"/>
          <w:b/>
          <w:color w:val="auto"/>
          <w:sz w:val="28"/>
          <w:szCs w:val="28"/>
          <w:highlight w:val="none"/>
        </w:rPr>
        <w:t>若有负偏离，则勾选B项，按表格要求及实际情况进行填写</w:t>
      </w:r>
      <w:r>
        <w:rPr>
          <w:rFonts w:hint="eastAsia" w:ascii="宋体" w:hAnsi="宋体"/>
          <w:color w:val="auto"/>
          <w:sz w:val="24"/>
          <w:highlight w:val="none"/>
        </w:rPr>
        <w:t>，并按</w:t>
      </w:r>
      <w:r>
        <w:rPr>
          <w:rFonts w:hint="eastAsia" w:ascii="宋体" w:hAnsi="宋体"/>
          <w:color w:val="auto"/>
          <w:sz w:val="24"/>
          <w:highlight w:val="none"/>
          <w:lang w:eastAsia="zh-CN"/>
        </w:rPr>
        <w:t>附件7-1</w:t>
      </w:r>
      <w:r>
        <w:rPr>
          <w:rFonts w:hint="eastAsia" w:ascii="宋体" w:hAnsi="宋体"/>
          <w:color w:val="auto"/>
          <w:sz w:val="24"/>
          <w:highlight w:val="none"/>
        </w:rPr>
        <w:t>中的</w:t>
      </w:r>
      <w:r>
        <w:rPr>
          <w:rFonts w:hint="eastAsia" w:ascii="宋体" w:hAnsi="宋体"/>
          <w:color w:val="auto"/>
          <w:sz w:val="24"/>
          <w:highlight w:val="none"/>
          <w:lang w:eastAsia="zh-CN"/>
        </w:rPr>
        <w:t>单套配置清单要求</w:t>
      </w:r>
      <w:r>
        <w:rPr>
          <w:rFonts w:hint="eastAsia" w:ascii="宋体" w:hAnsi="宋体"/>
          <w:color w:val="auto"/>
          <w:sz w:val="24"/>
          <w:highlight w:val="none"/>
        </w:rPr>
        <w:t>，列出投标产品详细配置清单。但不允许投标人对配置要求作正偏离响应。</w:t>
      </w:r>
    </w:p>
    <w:p w14:paraId="0363E5F0">
      <w:pPr>
        <w:spacing w:line="360" w:lineRule="auto"/>
        <w:jc w:val="left"/>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本表格中内容与投标文件其余部分不一致的，以本表格为准。</w:t>
      </w:r>
    </w:p>
    <w:p w14:paraId="7D99BD1A">
      <w:pPr>
        <w:rPr>
          <w:rFonts w:hint="eastAsia" w:ascii="宋体" w:hAnsi="宋体"/>
          <w:color w:val="auto"/>
          <w:highlight w:val="none"/>
        </w:rPr>
      </w:pPr>
    </w:p>
    <w:p w14:paraId="029C07A8">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投标人：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w:t>
      </w:r>
    </w:p>
    <w:p w14:paraId="759E0B13">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法定代表人(单位负责人)或其委托代理人：</w:t>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(电子签章或签名)</w:t>
      </w:r>
    </w:p>
    <w:p w14:paraId="571D2949">
      <w:pPr>
        <w:ind w:firstLine="843" w:firstLineChars="300"/>
        <w:rPr>
          <w:rFonts w:hint="eastAsia" w:ascii="宋体" w:hAnsi="宋体" w:cs="宋体"/>
          <w:color w:val="auto"/>
          <w:sz w:val="28"/>
          <w:szCs w:val="28"/>
          <w:highlight w:val="none"/>
        </w:rPr>
        <w:sectPr>
          <w:footerReference r:id="rId18" w:type="default"/>
          <w:pgSz w:w="11906" w:h="16838"/>
          <w:pgMar w:top="1191" w:right="1191" w:bottom="1191" w:left="1304" w:header="851" w:footer="992" w:gutter="0"/>
          <w:pgNumType w:fmt="numberInDash"/>
          <w:cols w:space="720" w:num="1"/>
          <w:docGrid w:type="lines" w:linePitch="317" w:charSpace="0"/>
        </w:sectPr>
      </w:pPr>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日</w:t>
      </w:r>
    </w:p>
    <w:p w14:paraId="01F5B9FA">
      <w:pPr>
        <w:autoSpaceDE w:val="0"/>
        <w:spacing w:line="360" w:lineRule="auto"/>
        <w:ind w:firstLine="240" w:firstLineChars="100"/>
        <w:jc w:val="left"/>
        <w:rPr>
          <w:rFonts w:hint="eastAsia" w:ascii="宋体" w:hAnsi="宋体" w:eastAsia="宋体"/>
          <w:b/>
          <w:bCs/>
          <w:color w:val="auto"/>
          <w:sz w:val="24"/>
          <w:szCs w:val="36"/>
          <w:highlight w:val="none"/>
          <w:lang w:eastAsia="zh-CN"/>
        </w:rPr>
      </w:pPr>
      <w:r>
        <w:rPr>
          <w:rFonts w:hint="eastAsia" w:ascii="宋体" w:hAnsi="宋体"/>
          <w:b/>
          <w:bCs/>
          <w:color w:val="auto"/>
          <w:sz w:val="24"/>
          <w:szCs w:val="36"/>
          <w:highlight w:val="none"/>
          <w:lang w:eastAsia="zh-CN"/>
        </w:rPr>
        <w:t>附件7-1</w:t>
      </w:r>
    </w:p>
    <w:p w14:paraId="2165DC9E">
      <w:pPr>
        <w:jc w:val="center"/>
        <w:rPr>
          <w:rFonts w:ascii="宋体" w:hAnsi="宋体" w:eastAsia="宋体"/>
          <w:b/>
          <w:bCs/>
          <w:color w:val="auto"/>
          <w:sz w:val="36"/>
          <w:szCs w:val="48"/>
          <w:highlight w:val="none"/>
        </w:rPr>
      </w:pPr>
      <w:bookmarkStart w:id="395" w:name="_Toc209978036"/>
      <w:r>
        <w:rPr>
          <w:rFonts w:ascii="宋体" w:hAnsi="宋体" w:eastAsia="宋体"/>
          <w:b/>
          <w:bCs/>
          <w:color w:val="auto"/>
          <w:sz w:val="36"/>
          <w:szCs w:val="48"/>
          <w:highlight w:val="none"/>
        </w:rPr>
        <w:t>配置</w:t>
      </w:r>
      <w:r>
        <w:rPr>
          <w:rFonts w:hint="eastAsia" w:ascii="宋体" w:hAnsi="宋体" w:eastAsia="宋体" w:cs="微软雅黑"/>
          <w:b/>
          <w:bCs/>
          <w:color w:val="auto"/>
          <w:sz w:val="36"/>
          <w:szCs w:val="48"/>
          <w:highlight w:val="none"/>
        </w:rPr>
        <w:t>清单</w:t>
      </w:r>
      <w:bookmarkEnd w:id="395"/>
    </w:p>
    <w:p w14:paraId="0661AAFE">
      <w:pPr>
        <w:rPr>
          <w:rFonts w:ascii="宋体" w:hAnsi="宋体"/>
          <w:color w:val="auto"/>
          <w:szCs w:val="21"/>
          <w:highlight w:val="none"/>
        </w:rPr>
      </w:pPr>
    </w:p>
    <w:p w14:paraId="291561A1">
      <w:pPr>
        <w:ind w:firstLine="480" w:firstLineChars="200"/>
        <w:jc w:val="left"/>
        <w:rPr>
          <w:rFonts w:ascii="宋体" w:hAnsi="宋体"/>
          <w:color w:val="auto"/>
          <w:sz w:val="24"/>
          <w:highlight w:val="none"/>
        </w:rPr>
      </w:pPr>
      <w:bookmarkStart w:id="396" w:name="OLE_LINK18"/>
      <w:bookmarkStart w:id="397" w:name="OLE_LINK17"/>
      <w:r>
        <w:rPr>
          <w:rFonts w:hint="eastAsia" w:ascii="宋体" w:hAnsi="宋体"/>
          <w:color w:val="auto"/>
          <w:sz w:val="24"/>
          <w:highlight w:val="none"/>
        </w:rPr>
        <w:t>根据</w:t>
      </w:r>
      <w:r>
        <w:rPr>
          <w:rFonts w:ascii="宋体" w:hAnsi="宋体"/>
          <w:color w:val="auto"/>
          <w:sz w:val="24"/>
          <w:highlight w:val="none"/>
        </w:rPr>
        <w:t>招标文件第</w:t>
      </w:r>
      <w:r>
        <w:rPr>
          <w:rFonts w:hint="eastAsia" w:ascii="宋体" w:hAnsi="宋体"/>
          <w:color w:val="auto"/>
          <w:sz w:val="24"/>
          <w:highlight w:val="none"/>
          <w:lang w:val="en-US" w:eastAsia="zh-CN"/>
        </w:rPr>
        <w:t>六</w:t>
      </w:r>
      <w:r>
        <w:rPr>
          <w:rFonts w:ascii="宋体" w:hAnsi="宋体"/>
          <w:color w:val="auto"/>
          <w:sz w:val="24"/>
          <w:highlight w:val="none"/>
        </w:rPr>
        <w:t>章</w:t>
      </w:r>
      <w:r>
        <w:rPr>
          <w:rFonts w:hint="eastAsia" w:ascii="宋体" w:hAnsi="宋体"/>
          <w:color w:val="auto"/>
          <w:sz w:val="24"/>
          <w:highlight w:val="none"/>
        </w:rPr>
        <w:t>《</w:t>
      </w:r>
      <w:r>
        <w:rPr>
          <w:rFonts w:hint="eastAsia" w:ascii="宋体" w:hAnsi="宋体"/>
          <w:color w:val="auto"/>
          <w:sz w:val="24"/>
          <w:highlight w:val="none"/>
          <w:lang w:eastAsia="zh-CN"/>
        </w:rPr>
        <w:t>招标内容及要求</w:t>
      </w:r>
      <w:r>
        <w:rPr>
          <w:rFonts w:hint="eastAsia" w:ascii="宋体" w:hAnsi="宋体"/>
          <w:color w:val="auto"/>
          <w:sz w:val="24"/>
          <w:highlight w:val="none"/>
        </w:rPr>
        <w:t>》</w:t>
      </w:r>
      <w:bookmarkEnd w:id="396"/>
      <w:bookmarkEnd w:id="397"/>
      <w:r>
        <w:rPr>
          <w:rFonts w:hint="eastAsia" w:ascii="宋体" w:hAnsi="宋体"/>
          <w:color w:val="auto"/>
          <w:sz w:val="24"/>
          <w:highlight w:val="none"/>
        </w:rPr>
        <w:t>，</w:t>
      </w:r>
      <w:r>
        <w:rPr>
          <w:rFonts w:ascii="宋体" w:hAnsi="宋体"/>
          <w:color w:val="auto"/>
          <w:sz w:val="24"/>
          <w:highlight w:val="none"/>
        </w:rPr>
        <w:t>列出投标产品详细配置清单</w:t>
      </w:r>
      <w:r>
        <w:rPr>
          <w:rFonts w:hint="eastAsia" w:ascii="宋体" w:hAnsi="宋体"/>
          <w:color w:val="auto"/>
          <w:sz w:val="24"/>
          <w:highlight w:val="none"/>
        </w:rPr>
        <w:t>，</w:t>
      </w:r>
      <w:r>
        <w:rPr>
          <w:rFonts w:ascii="宋体" w:hAnsi="宋体"/>
          <w:color w:val="auto"/>
          <w:sz w:val="24"/>
          <w:highlight w:val="none"/>
        </w:rPr>
        <w:t>配置清单必须包含产品名称</w:t>
      </w:r>
      <w:r>
        <w:rPr>
          <w:rFonts w:hint="eastAsia" w:ascii="宋体" w:hAnsi="宋体"/>
          <w:color w:val="auto"/>
          <w:sz w:val="24"/>
          <w:highlight w:val="none"/>
        </w:rPr>
        <w:t>、</w:t>
      </w:r>
      <w:r>
        <w:rPr>
          <w:rFonts w:ascii="宋体" w:hAnsi="宋体"/>
          <w:color w:val="auto"/>
          <w:sz w:val="24"/>
          <w:highlight w:val="none"/>
        </w:rPr>
        <w:t>制造商名称</w:t>
      </w:r>
      <w:r>
        <w:rPr>
          <w:rFonts w:hint="eastAsia" w:ascii="宋体" w:hAnsi="宋体"/>
          <w:color w:val="auto"/>
          <w:sz w:val="24"/>
          <w:highlight w:val="none"/>
        </w:rPr>
        <w:t>、</w:t>
      </w:r>
      <w:r>
        <w:rPr>
          <w:rFonts w:ascii="宋体" w:hAnsi="宋体"/>
          <w:color w:val="auto"/>
          <w:sz w:val="24"/>
          <w:highlight w:val="none"/>
        </w:rPr>
        <w:t>规格型号及数量</w:t>
      </w:r>
      <w:r>
        <w:rPr>
          <w:rFonts w:hint="eastAsia" w:ascii="宋体" w:hAnsi="宋体"/>
          <w:color w:val="auto"/>
          <w:sz w:val="24"/>
          <w:highlight w:val="none"/>
        </w:rPr>
        <w:t>。</w:t>
      </w:r>
      <w:r>
        <w:rPr>
          <w:rFonts w:ascii="宋体" w:hAnsi="宋体"/>
          <w:color w:val="auto"/>
          <w:sz w:val="24"/>
          <w:highlight w:val="none"/>
        </w:rPr>
        <w:t>格式由投标人自拟</w:t>
      </w:r>
      <w:r>
        <w:rPr>
          <w:rFonts w:hint="eastAsia" w:ascii="宋体" w:hAnsi="宋体"/>
          <w:color w:val="auto"/>
          <w:sz w:val="24"/>
          <w:highlight w:val="none"/>
        </w:rPr>
        <w:t>。</w:t>
      </w:r>
    </w:p>
    <w:p w14:paraId="3B7E3C8A">
      <w:pPr>
        <w:ind w:firstLine="480" w:firstLineChars="200"/>
        <w:jc w:val="left"/>
        <w:rPr>
          <w:rFonts w:ascii="宋体" w:hAnsi="宋体"/>
          <w:color w:val="auto"/>
          <w:sz w:val="24"/>
          <w:highlight w:val="none"/>
        </w:rPr>
      </w:pPr>
    </w:p>
    <w:p w14:paraId="7A20626C">
      <w:pPr>
        <w:ind w:firstLine="480" w:firstLineChars="200"/>
        <w:jc w:val="left"/>
        <w:rPr>
          <w:rFonts w:ascii="宋体" w:hAnsi="宋体"/>
          <w:color w:val="auto"/>
          <w:sz w:val="24"/>
          <w:highlight w:val="none"/>
        </w:rPr>
      </w:pPr>
    </w:p>
    <w:p w14:paraId="2701E15F">
      <w:pPr>
        <w:ind w:firstLine="480" w:firstLineChars="200"/>
        <w:jc w:val="left"/>
        <w:rPr>
          <w:rFonts w:ascii="宋体" w:hAnsi="宋体"/>
          <w:color w:val="auto"/>
          <w:sz w:val="24"/>
          <w:highlight w:val="none"/>
        </w:rPr>
      </w:pPr>
    </w:p>
    <w:p w14:paraId="58A1E603">
      <w:pPr>
        <w:ind w:firstLine="480" w:firstLineChars="200"/>
        <w:jc w:val="left"/>
        <w:rPr>
          <w:rFonts w:ascii="宋体" w:hAnsi="宋体"/>
          <w:color w:val="auto"/>
          <w:sz w:val="24"/>
          <w:highlight w:val="none"/>
        </w:rPr>
      </w:pPr>
    </w:p>
    <w:p w14:paraId="74347295">
      <w:pPr>
        <w:ind w:firstLine="480" w:firstLineChars="200"/>
        <w:jc w:val="left"/>
        <w:rPr>
          <w:rFonts w:ascii="宋体" w:hAnsi="宋体"/>
          <w:color w:val="auto"/>
          <w:sz w:val="24"/>
          <w:highlight w:val="none"/>
        </w:rPr>
      </w:pPr>
    </w:p>
    <w:p w14:paraId="314672E0">
      <w:pPr>
        <w:ind w:firstLine="480" w:firstLineChars="200"/>
        <w:jc w:val="left"/>
        <w:rPr>
          <w:rFonts w:ascii="宋体" w:hAnsi="宋体"/>
          <w:color w:val="auto"/>
          <w:sz w:val="24"/>
          <w:highlight w:val="none"/>
        </w:rPr>
      </w:pPr>
    </w:p>
    <w:p w14:paraId="38C76630">
      <w:pPr>
        <w:ind w:firstLine="480" w:firstLineChars="200"/>
        <w:jc w:val="left"/>
        <w:rPr>
          <w:rFonts w:ascii="宋体" w:hAnsi="宋体"/>
          <w:color w:val="auto"/>
          <w:sz w:val="24"/>
          <w:highlight w:val="none"/>
        </w:rPr>
      </w:pPr>
    </w:p>
    <w:p w14:paraId="1E7832F6">
      <w:pPr>
        <w:pStyle w:val="16"/>
        <w:ind w:firstLine="210"/>
        <w:rPr>
          <w:rFonts w:ascii="宋体" w:hAnsi="宋体"/>
          <w:color w:val="auto"/>
          <w:highlight w:val="none"/>
        </w:rPr>
      </w:pPr>
    </w:p>
    <w:p w14:paraId="539BC5CE">
      <w:pPr>
        <w:rPr>
          <w:rFonts w:ascii="宋体" w:hAnsi="宋体"/>
          <w:color w:val="auto"/>
          <w:highlight w:val="none"/>
        </w:rPr>
      </w:pPr>
    </w:p>
    <w:p w14:paraId="1D32C9BF">
      <w:pPr>
        <w:pStyle w:val="16"/>
        <w:ind w:firstLine="210"/>
        <w:rPr>
          <w:rFonts w:hint="eastAsia" w:ascii="宋体" w:hAnsi="宋体"/>
          <w:color w:val="auto"/>
          <w:highlight w:val="none"/>
        </w:rPr>
      </w:pPr>
    </w:p>
    <w:p w14:paraId="1145B708">
      <w:pPr>
        <w:spacing w:line="360" w:lineRule="auto"/>
        <w:rPr>
          <w:rFonts w:hint="eastAsia" w:ascii="宋体" w:hAnsi="宋体"/>
          <w:color w:val="auto"/>
          <w:sz w:val="24"/>
          <w:highlight w:val="none"/>
        </w:rPr>
      </w:pPr>
    </w:p>
    <w:p w14:paraId="4BD16280">
      <w:pPr>
        <w:ind w:firstLine="840"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投标人：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w:t>
      </w:r>
    </w:p>
    <w:p w14:paraId="63DD6BEE">
      <w:pPr>
        <w:ind w:firstLine="840"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法定代表人(单位负责人)或其委托代理人：</w:t>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(电子签章或签名)</w:t>
      </w:r>
    </w:p>
    <w:p w14:paraId="5B73CEB6">
      <w:pPr>
        <w:ind w:firstLine="840"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日</w:t>
      </w:r>
    </w:p>
    <w:p w14:paraId="4A53CA3A">
      <w:pPr>
        <w:pStyle w:val="5"/>
        <w:widowControl/>
        <w:autoSpaceDE w:val="0"/>
        <w:spacing w:before="0" w:after="0" w:line="240" w:lineRule="auto"/>
        <w:rPr>
          <w:rFonts w:hint="eastAsia" w:ascii="宋体" w:hAnsi="宋体" w:eastAsia="宋体" w:cs="宋体"/>
          <w:color w:val="auto"/>
          <w:szCs w:val="28"/>
          <w:highlight w:val="none"/>
        </w:rPr>
      </w:pPr>
      <w:r>
        <w:rPr>
          <w:rFonts w:hint="eastAsia" w:ascii="宋体" w:hAnsi="宋体" w:cs="宋体"/>
          <w:b w:val="0"/>
          <w:color w:val="auto"/>
          <w:sz w:val="28"/>
          <w:szCs w:val="28"/>
          <w:highlight w:val="none"/>
        </w:rPr>
        <w:br w:type="page"/>
      </w:r>
      <w:bookmarkStart w:id="398" w:name="_Toc10035"/>
      <w:bookmarkStart w:id="399" w:name="_Toc209978041"/>
      <w:bookmarkStart w:id="400" w:name="_Toc213141099"/>
      <w:r>
        <w:rPr>
          <w:rFonts w:hint="eastAsia" w:ascii="宋体" w:hAnsi="宋体" w:cs="宋体"/>
          <w:b/>
          <w:bCs w:val="0"/>
          <w:color w:val="auto"/>
          <w:sz w:val="28"/>
          <w:szCs w:val="28"/>
          <w:highlight w:val="none"/>
          <w:lang w:val="en-US" w:eastAsia="zh-CN"/>
        </w:rPr>
        <w:t>八、</w:t>
      </w:r>
      <w:r>
        <w:rPr>
          <w:rFonts w:hint="eastAsia" w:ascii="宋体" w:hAnsi="宋体" w:eastAsia="宋体" w:cs="宋体"/>
          <w:color w:val="auto"/>
          <w:szCs w:val="28"/>
          <w:highlight w:val="none"/>
        </w:rPr>
        <w:t>技术规格偏离表</w:t>
      </w:r>
      <w:bookmarkEnd w:id="398"/>
      <w:bookmarkEnd w:id="399"/>
      <w:bookmarkEnd w:id="400"/>
    </w:p>
    <w:p w14:paraId="7DC69D42">
      <w:pPr>
        <w:pStyle w:val="21"/>
        <w:ind w:firstLine="210" w:firstLineChars="100"/>
        <w:rPr>
          <w:rFonts w:hAnsi="宋体"/>
          <w:color w:val="auto"/>
          <w:szCs w:val="21"/>
          <w:highlight w:val="none"/>
        </w:rPr>
      </w:pPr>
    </w:p>
    <w:p w14:paraId="597E4A14">
      <w:pPr>
        <w:pStyle w:val="21"/>
        <w:spacing w:line="400" w:lineRule="exact"/>
        <w:ind w:firstLine="480" w:firstLineChars="200"/>
        <w:rPr>
          <w:rFonts w:hAnsi="宋体"/>
          <w:b/>
          <w:color w:val="auto"/>
          <w:sz w:val="24"/>
          <w:szCs w:val="24"/>
          <w:highlight w:val="none"/>
        </w:rPr>
      </w:pPr>
      <w:r>
        <w:rPr>
          <w:rFonts w:hint="eastAsia" w:hAnsi="宋体"/>
          <w:b/>
          <w:color w:val="auto"/>
          <w:sz w:val="24"/>
          <w:szCs w:val="24"/>
          <w:highlight w:val="none"/>
        </w:rPr>
        <w:t>投标人须逐条对应招标文件中要求的技术条款，认真填写本表。</w:t>
      </w:r>
    </w:p>
    <w:p w14:paraId="6A30D9EE">
      <w:pPr>
        <w:pStyle w:val="21"/>
        <w:spacing w:line="400" w:lineRule="exact"/>
        <w:ind w:firstLine="480" w:firstLineChars="200"/>
        <w:rPr>
          <w:rFonts w:hAnsi="宋体"/>
          <w:b/>
          <w:color w:val="auto"/>
          <w:sz w:val="24"/>
          <w:szCs w:val="24"/>
          <w:highlight w:val="none"/>
        </w:rPr>
      </w:pPr>
      <w:r>
        <w:rPr>
          <w:rFonts w:hint="eastAsia" w:hAnsi="宋体"/>
          <w:b/>
          <w:color w:val="auto"/>
          <w:sz w:val="24"/>
          <w:szCs w:val="24"/>
          <w:highlight w:val="none"/>
        </w:rPr>
        <w:t>技术条款是指：招标文件</w:t>
      </w:r>
      <w:r>
        <w:rPr>
          <w:rFonts w:hint="eastAsia" w:hAnsi="宋体"/>
          <w:b/>
          <w:color w:val="auto"/>
          <w:sz w:val="24"/>
          <w:szCs w:val="24"/>
          <w:highlight w:val="none"/>
          <w:lang w:eastAsia="zh-CN"/>
        </w:rPr>
        <w:t>第六章《招标内容及要求》</w:t>
      </w:r>
      <w:r>
        <w:rPr>
          <w:rFonts w:hint="eastAsia" w:hAnsi="宋体"/>
          <w:b/>
          <w:color w:val="auto"/>
          <w:sz w:val="24"/>
          <w:szCs w:val="24"/>
          <w:highlight w:val="none"/>
        </w:rPr>
        <w:t>中要求的技术要求。</w:t>
      </w:r>
    </w:p>
    <w:p w14:paraId="3E72ECF6">
      <w:pPr>
        <w:pStyle w:val="21"/>
        <w:ind w:firstLine="240" w:firstLineChars="100"/>
        <w:rPr>
          <w:rFonts w:hAnsi="宋体"/>
          <w:color w:val="auto"/>
          <w:sz w:val="24"/>
          <w:szCs w:val="24"/>
          <w:highlight w:val="none"/>
        </w:rPr>
      </w:pPr>
    </w:p>
    <w:p w14:paraId="248B3EBA">
      <w:pPr>
        <w:pStyle w:val="21"/>
        <w:ind w:firstLine="240" w:firstLineChars="100"/>
        <w:rPr>
          <w:rFonts w:hint="eastAsia" w:hAnsi="宋体"/>
          <w:b/>
          <w:color w:val="auto"/>
          <w:sz w:val="24"/>
          <w:szCs w:val="24"/>
          <w:highlight w:val="none"/>
          <w:u w:val="single"/>
        </w:rPr>
      </w:pPr>
      <w:r>
        <w:rPr>
          <w:rFonts w:hint="eastAsia" w:hAnsi="宋体"/>
          <w:color w:val="auto"/>
          <w:sz w:val="24"/>
          <w:szCs w:val="24"/>
          <w:highlight w:val="none"/>
        </w:rPr>
        <w:t xml:space="preserve">  </w:t>
      </w:r>
      <w:r>
        <w:rPr>
          <w:rFonts w:hint="eastAsia" w:hAnsi="宋体"/>
          <w:b/>
          <w:color w:val="auto"/>
          <w:sz w:val="24"/>
          <w:szCs w:val="24"/>
          <w:highlight w:val="none"/>
        </w:rPr>
        <w:t>项目名称：</w:t>
      </w:r>
      <w:r>
        <w:rPr>
          <w:rFonts w:hint="eastAsia" w:hAnsi="宋体"/>
          <w:b/>
          <w:color w:val="auto"/>
          <w:sz w:val="24"/>
          <w:szCs w:val="24"/>
          <w:highlight w:val="none"/>
          <w:u w:val="single"/>
        </w:rPr>
        <w:t xml:space="preserve">     </w:t>
      </w:r>
      <w:r>
        <w:rPr>
          <w:rFonts w:hAnsi="宋体"/>
          <w:b/>
          <w:color w:val="auto"/>
          <w:sz w:val="24"/>
          <w:szCs w:val="24"/>
          <w:highlight w:val="none"/>
          <w:u w:val="single"/>
        </w:rPr>
        <w:t xml:space="preserve">   </w:t>
      </w:r>
      <w:r>
        <w:rPr>
          <w:rFonts w:hint="eastAsia" w:hAnsi="宋体"/>
          <w:b/>
          <w:color w:val="auto"/>
          <w:sz w:val="24"/>
          <w:szCs w:val="24"/>
          <w:highlight w:val="none"/>
          <w:u w:val="single"/>
        </w:rPr>
        <w:t xml:space="preserve">         </w:t>
      </w:r>
      <w:r>
        <w:rPr>
          <w:rFonts w:hint="eastAsia" w:hAnsi="宋体"/>
          <w:b/>
          <w:color w:val="auto"/>
          <w:sz w:val="24"/>
          <w:szCs w:val="24"/>
          <w:highlight w:val="none"/>
        </w:rPr>
        <w:t xml:space="preserve">    招标编号：</w:t>
      </w:r>
      <w:r>
        <w:rPr>
          <w:rFonts w:hint="eastAsia" w:hAnsi="宋体"/>
          <w:b/>
          <w:color w:val="auto"/>
          <w:sz w:val="24"/>
          <w:szCs w:val="24"/>
          <w:highlight w:val="none"/>
          <w:u w:val="single"/>
        </w:rPr>
        <w:t xml:space="preserve">     </w:t>
      </w:r>
      <w:r>
        <w:rPr>
          <w:rFonts w:hAnsi="宋体"/>
          <w:b/>
          <w:color w:val="auto"/>
          <w:sz w:val="24"/>
          <w:szCs w:val="24"/>
          <w:highlight w:val="none"/>
          <w:u w:val="single"/>
        </w:rPr>
        <w:t xml:space="preserve">   </w:t>
      </w:r>
      <w:r>
        <w:rPr>
          <w:rFonts w:hint="eastAsia" w:hAnsi="宋体"/>
          <w:b/>
          <w:color w:val="auto"/>
          <w:sz w:val="24"/>
          <w:szCs w:val="24"/>
          <w:highlight w:val="none"/>
          <w:u w:val="single"/>
        </w:rPr>
        <w:t xml:space="preserve">         </w:t>
      </w:r>
      <w:r>
        <w:rPr>
          <w:rFonts w:hint="eastAsia" w:hAnsi="宋体"/>
          <w:color w:val="auto"/>
          <w:sz w:val="24"/>
          <w:szCs w:val="24"/>
          <w:highlight w:val="none"/>
        </w:rPr>
        <w:t xml:space="preserve"> </w:t>
      </w:r>
      <w:r>
        <w:rPr>
          <w:rFonts w:hint="eastAsia" w:hAnsi="宋体"/>
          <w:b/>
          <w:color w:val="auto"/>
          <w:sz w:val="24"/>
          <w:szCs w:val="24"/>
          <w:highlight w:val="none"/>
        </w:rPr>
        <w:t xml:space="preserve">  </w:t>
      </w:r>
    </w:p>
    <w:tbl>
      <w:tblPr>
        <w:tblStyle w:val="37"/>
        <w:tblW w:w="99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80"/>
        <w:gridCol w:w="2273"/>
        <w:gridCol w:w="2484"/>
        <w:gridCol w:w="1260"/>
        <w:gridCol w:w="1800"/>
      </w:tblGrid>
      <w:tr w14:paraId="1617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1008" w:type="dxa"/>
            <w:noWrap w:val="0"/>
            <w:vAlign w:val="center"/>
          </w:tcPr>
          <w:p w14:paraId="72ABB8C4">
            <w:pPr>
              <w:jc w:val="center"/>
              <w:rPr>
                <w:rFonts w:ascii="宋体" w:hAnsi="宋体" w:eastAsia="宋体" w:cs="Times New Roman"/>
                <w:b/>
                <w:color w:val="auto"/>
                <w:sz w:val="24"/>
                <w:highlight w:val="none"/>
              </w:rPr>
            </w:pPr>
            <w:r>
              <w:rPr>
                <w:rFonts w:hint="eastAsia" w:ascii="宋体" w:hAnsi="宋体" w:eastAsia="宋体" w:cs="Times New Roman"/>
                <w:b/>
                <w:color w:val="auto"/>
                <w:sz w:val="24"/>
                <w:highlight w:val="none"/>
              </w:rPr>
              <w:t>产品名称</w:t>
            </w:r>
          </w:p>
        </w:tc>
        <w:tc>
          <w:tcPr>
            <w:tcW w:w="1080" w:type="dxa"/>
            <w:noWrap w:val="0"/>
            <w:vAlign w:val="center"/>
          </w:tcPr>
          <w:p w14:paraId="7702CD03">
            <w:pPr>
              <w:jc w:val="center"/>
              <w:rPr>
                <w:rFonts w:ascii="宋体" w:hAnsi="宋体" w:eastAsia="宋体" w:cs="Times New Roman"/>
                <w:b/>
                <w:color w:val="auto"/>
                <w:sz w:val="24"/>
                <w:highlight w:val="none"/>
              </w:rPr>
            </w:pPr>
            <w:r>
              <w:rPr>
                <w:rFonts w:hint="eastAsia" w:ascii="宋体" w:hAnsi="宋体" w:eastAsia="宋体" w:cs="Times New Roman"/>
                <w:b/>
                <w:color w:val="auto"/>
                <w:sz w:val="24"/>
                <w:highlight w:val="none"/>
              </w:rPr>
              <w:t>序号</w:t>
            </w:r>
          </w:p>
        </w:tc>
        <w:tc>
          <w:tcPr>
            <w:tcW w:w="2273" w:type="dxa"/>
            <w:noWrap w:val="0"/>
            <w:vAlign w:val="center"/>
          </w:tcPr>
          <w:p w14:paraId="68AEAF5C">
            <w:pPr>
              <w:jc w:val="center"/>
              <w:rPr>
                <w:rFonts w:ascii="宋体" w:hAnsi="宋体" w:eastAsia="宋体" w:cs="Times New Roman"/>
                <w:b/>
                <w:color w:val="auto"/>
                <w:sz w:val="24"/>
                <w:highlight w:val="none"/>
              </w:rPr>
            </w:pPr>
            <w:r>
              <w:rPr>
                <w:rFonts w:hint="eastAsia" w:ascii="宋体" w:hAnsi="宋体" w:eastAsia="宋体" w:cs="Times New Roman"/>
                <w:b/>
                <w:color w:val="auto"/>
                <w:sz w:val="24"/>
                <w:highlight w:val="none"/>
              </w:rPr>
              <w:t>招标文件技术规范、要求</w:t>
            </w:r>
          </w:p>
        </w:tc>
        <w:tc>
          <w:tcPr>
            <w:tcW w:w="2484" w:type="dxa"/>
            <w:noWrap w:val="0"/>
            <w:vAlign w:val="center"/>
          </w:tcPr>
          <w:p w14:paraId="73AE5EEE">
            <w:pPr>
              <w:jc w:val="center"/>
              <w:rPr>
                <w:rFonts w:ascii="宋体" w:hAnsi="宋体" w:eastAsia="宋体" w:cs="Times New Roman"/>
                <w:b/>
                <w:color w:val="auto"/>
                <w:sz w:val="24"/>
                <w:highlight w:val="none"/>
              </w:rPr>
            </w:pPr>
            <w:r>
              <w:rPr>
                <w:rFonts w:ascii="宋体" w:hAnsi="宋体" w:eastAsia="宋体" w:cs="Times New Roman"/>
                <w:b/>
                <w:color w:val="auto"/>
                <w:sz w:val="24"/>
                <w:highlight w:val="none"/>
              </w:rPr>
              <w:t>投标品牌、型号、技术参数及配置</w:t>
            </w:r>
          </w:p>
        </w:tc>
        <w:tc>
          <w:tcPr>
            <w:tcW w:w="1260" w:type="dxa"/>
            <w:noWrap w:val="0"/>
            <w:vAlign w:val="center"/>
          </w:tcPr>
          <w:p w14:paraId="6DC457E1">
            <w:pPr>
              <w:jc w:val="center"/>
              <w:rPr>
                <w:rFonts w:ascii="宋体" w:hAnsi="宋体" w:eastAsia="宋体" w:cs="Times New Roman"/>
                <w:b/>
                <w:color w:val="auto"/>
                <w:sz w:val="24"/>
                <w:highlight w:val="none"/>
              </w:rPr>
            </w:pPr>
            <w:r>
              <w:rPr>
                <w:rFonts w:hint="eastAsia" w:ascii="宋体" w:hAnsi="宋体" w:eastAsia="宋体" w:cs="Times New Roman"/>
                <w:b/>
                <w:color w:val="auto"/>
                <w:sz w:val="24"/>
                <w:highlight w:val="none"/>
              </w:rPr>
              <w:t>偏离</w:t>
            </w:r>
          </w:p>
        </w:tc>
        <w:tc>
          <w:tcPr>
            <w:tcW w:w="1800" w:type="dxa"/>
            <w:noWrap w:val="0"/>
            <w:vAlign w:val="center"/>
          </w:tcPr>
          <w:p w14:paraId="2F34EA61">
            <w:pPr>
              <w:ind w:right="71" w:rightChars="34"/>
              <w:jc w:val="center"/>
              <w:rPr>
                <w:rFonts w:ascii="宋体" w:hAnsi="宋体" w:eastAsia="宋体" w:cs="Times New Roman"/>
                <w:b/>
                <w:color w:val="auto"/>
                <w:sz w:val="24"/>
                <w:highlight w:val="none"/>
              </w:rPr>
            </w:pPr>
            <w:r>
              <w:rPr>
                <w:rFonts w:hint="eastAsia" w:ascii="宋体" w:hAnsi="宋体" w:eastAsia="宋体" w:cs="Times New Roman"/>
                <w:b/>
                <w:bCs/>
                <w:color w:val="auto"/>
                <w:sz w:val="24"/>
                <w:highlight w:val="none"/>
              </w:rPr>
              <w:t>技术支持资料索引（页码及条目号等）</w:t>
            </w:r>
          </w:p>
        </w:tc>
      </w:tr>
      <w:tr w14:paraId="448E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1008" w:type="dxa"/>
            <w:noWrap w:val="0"/>
            <w:vAlign w:val="center"/>
          </w:tcPr>
          <w:p w14:paraId="4E7180BD">
            <w:pPr>
              <w:spacing w:line="360" w:lineRule="auto"/>
              <w:jc w:val="center"/>
              <w:rPr>
                <w:rFonts w:ascii="宋体" w:hAnsi="宋体" w:eastAsia="宋体" w:cs="Times New Roman"/>
                <w:color w:val="auto"/>
                <w:sz w:val="24"/>
                <w:highlight w:val="none"/>
              </w:rPr>
            </w:pPr>
          </w:p>
        </w:tc>
        <w:tc>
          <w:tcPr>
            <w:tcW w:w="1080" w:type="dxa"/>
            <w:noWrap w:val="0"/>
            <w:vAlign w:val="center"/>
          </w:tcPr>
          <w:p w14:paraId="0930401B">
            <w:pPr>
              <w:spacing w:line="360" w:lineRule="auto"/>
              <w:jc w:val="center"/>
              <w:rPr>
                <w:rFonts w:ascii="宋体" w:hAnsi="宋体" w:eastAsia="宋体" w:cs="Times New Roman"/>
                <w:color w:val="auto"/>
                <w:sz w:val="24"/>
                <w:highlight w:val="none"/>
              </w:rPr>
            </w:pPr>
          </w:p>
        </w:tc>
        <w:tc>
          <w:tcPr>
            <w:tcW w:w="2273" w:type="dxa"/>
            <w:noWrap w:val="0"/>
            <w:vAlign w:val="center"/>
          </w:tcPr>
          <w:p w14:paraId="3E926136">
            <w:pPr>
              <w:spacing w:line="360" w:lineRule="auto"/>
              <w:jc w:val="center"/>
              <w:rPr>
                <w:rFonts w:ascii="宋体" w:hAnsi="宋体" w:eastAsia="宋体" w:cs="Times New Roman"/>
                <w:color w:val="auto"/>
                <w:sz w:val="24"/>
                <w:highlight w:val="none"/>
              </w:rPr>
            </w:pPr>
          </w:p>
        </w:tc>
        <w:tc>
          <w:tcPr>
            <w:tcW w:w="2484" w:type="dxa"/>
            <w:noWrap w:val="0"/>
            <w:vAlign w:val="center"/>
          </w:tcPr>
          <w:p w14:paraId="7BBEF164">
            <w:pPr>
              <w:spacing w:line="360" w:lineRule="auto"/>
              <w:jc w:val="center"/>
              <w:rPr>
                <w:rFonts w:ascii="宋体" w:hAnsi="宋体" w:eastAsia="宋体" w:cs="Times New Roman"/>
                <w:color w:val="auto"/>
                <w:sz w:val="24"/>
                <w:highlight w:val="none"/>
              </w:rPr>
            </w:pPr>
          </w:p>
        </w:tc>
        <w:tc>
          <w:tcPr>
            <w:tcW w:w="1260" w:type="dxa"/>
            <w:noWrap w:val="0"/>
            <w:vAlign w:val="top"/>
          </w:tcPr>
          <w:p w14:paraId="090ED4F0">
            <w:pPr>
              <w:spacing w:line="360" w:lineRule="auto"/>
              <w:jc w:val="center"/>
              <w:rPr>
                <w:rFonts w:ascii="宋体" w:hAnsi="宋体" w:eastAsia="宋体" w:cs="Times New Roman"/>
                <w:color w:val="auto"/>
                <w:sz w:val="24"/>
                <w:highlight w:val="none"/>
              </w:rPr>
            </w:pPr>
          </w:p>
        </w:tc>
        <w:tc>
          <w:tcPr>
            <w:tcW w:w="1800" w:type="dxa"/>
            <w:noWrap w:val="0"/>
            <w:vAlign w:val="center"/>
          </w:tcPr>
          <w:p w14:paraId="3C71E45E">
            <w:pPr>
              <w:spacing w:line="360" w:lineRule="auto"/>
              <w:jc w:val="center"/>
              <w:rPr>
                <w:rFonts w:ascii="宋体" w:hAnsi="宋体" w:eastAsia="宋体" w:cs="Times New Roman"/>
                <w:color w:val="auto"/>
                <w:sz w:val="24"/>
                <w:highlight w:val="none"/>
              </w:rPr>
            </w:pPr>
          </w:p>
        </w:tc>
      </w:tr>
      <w:tr w14:paraId="67F4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 w:hRule="atLeast"/>
          <w:jc w:val="center"/>
        </w:trPr>
        <w:tc>
          <w:tcPr>
            <w:tcW w:w="1008" w:type="dxa"/>
            <w:noWrap w:val="0"/>
            <w:vAlign w:val="center"/>
          </w:tcPr>
          <w:p w14:paraId="49264FA2">
            <w:pPr>
              <w:spacing w:line="360" w:lineRule="auto"/>
              <w:jc w:val="center"/>
              <w:rPr>
                <w:rFonts w:ascii="宋体" w:hAnsi="宋体" w:eastAsia="宋体" w:cs="Times New Roman"/>
                <w:color w:val="auto"/>
                <w:sz w:val="24"/>
                <w:highlight w:val="none"/>
              </w:rPr>
            </w:pPr>
          </w:p>
        </w:tc>
        <w:tc>
          <w:tcPr>
            <w:tcW w:w="1080" w:type="dxa"/>
            <w:noWrap w:val="0"/>
            <w:vAlign w:val="center"/>
          </w:tcPr>
          <w:p w14:paraId="56265E7E">
            <w:pPr>
              <w:spacing w:line="360" w:lineRule="auto"/>
              <w:jc w:val="center"/>
              <w:rPr>
                <w:rFonts w:ascii="宋体" w:hAnsi="宋体" w:eastAsia="宋体" w:cs="Times New Roman"/>
                <w:color w:val="auto"/>
                <w:sz w:val="24"/>
                <w:highlight w:val="none"/>
              </w:rPr>
            </w:pPr>
          </w:p>
        </w:tc>
        <w:tc>
          <w:tcPr>
            <w:tcW w:w="2273" w:type="dxa"/>
            <w:noWrap w:val="0"/>
            <w:vAlign w:val="center"/>
          </w:tcPr>
          <w:p w14:paraId="4974D1EB">
            <w:pPr>
              <w:spacing w:line="360" w:lineRule="auto"/>
              <w:jc w:val="center"/>
              <w:rPr>
                <w:rFonts w:ascii="宋体" w:hAnsi="宋体" w:eastAsia="宋体" w:cs="Times New Roman"/>
                <w:color w:val="auto"/>
                <w:sz w:val="24"/>
                <w:highlight w:val="none"/>
              </w:rPr>
            </w:pPr>
          </w:p>
        </w:tc>
        <w:tc>
          <w:tcPr>
            <w:tcW w:w="2484" w:type="dxa"/>
            <w:noWrap w:val="0"/>
            <w:vAlign w:val="center"/>
          </w:tcPr>
          <w:p w14:paraId="004448EE">
            <w:pPr>
              <w:spacing w:line="360" w:lineRule="auto"/>
              <w:jc w:val="center"/>
              <w:rPr>
                <w:rFonts w:ascii="宋体" w:hAnsi="宋体" w:eastAsia="宋体" w:cs="Times New Roman"/>
                <w:color w:val="auto"/>
                <w:sz w:val="24"/>
                <w:highlight w:val="none"/>
              </w:rPr>
            </w:pPr>
          </w:p>
        </w:tc>
        <w:tc>
          <w:tcPr>
            <w:tcW w:w="1260" w:type="dxa"/>
            <w:noWrap w:val="0"/>
            <w:vAlign w:val="top"/>
          </w:tcPr>
          <w:p w14:paraId="47117D55">
            <w:pPr>
              <w:spacing w:line="360" w:lineRule="auto"/>
              <w:jc w:val="center"/>
              <w:rPr>
                <w:rFonts w:ascii="宋体" w:hAnsi="宋体" w:eastAsia="宋体" w:cs="Times New Roman"/>
                <w:color w:val="auto"/>
                <w:sz w:val="24"/>
                <w:highlight w:val="none"/>
              </w:rPr>
            </w:pPr>
          </w:p>
        </w:tc>
        <w:tc>
          <w:tcPr>
            <w:tcW w:w="1800" w:type="dxa"/>
            <w:noWrap w:val="0"/>
            <w:vAlign w:val="center"/>
          </w:tcPr>
          <w:p w14:paraId="53C1D67F">
            <w:pPr>
              <w:spacing w:line="360" w:lineRule="auto"/>
              <w:jc w:val="center"/>
              <w:rPr>
                <w:rFonts w:ascii="宋体" w:hAnsi="宋体" w:eastAsia="宋体" w:cs="Times New Roman"/>
                <w:color w:val="auto"/>
                <w:sz w:val="24"/>
                <w:highlight w:val="none"/>
              </w:rPr>
            </w:pPr>
          </w:p>
        </w:tc>
      </w:tr>
      <w:tr w14:paraId="67D6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 w:hRule="atLeast"/>
          <w:jc w:val="center"/>
        </w:trPr>
        <w:tc>
          <w:tcPr>
            <w:tcW w:w="1008" w:type="dxa"/>
            <w:noWrap w:val="0"/>
            <w:vAlign w:val="center"/>
          </w:tcPr>
          <w:p w14:paraId="22D01437">
            <w:pPr>
              <w:spacing w:line="360" w:lineRule="auto"/>
              <w:jc w:val="center"/>
              <w:rPr>
                <w:rFonts w:ascii="宋体" w:hAnsi="宋体" w:eastAsia="宋体" w:cs="Times New Roman"/>
                <w:color w:val="auto"/>
                <w:sz w:val="24"/>
                <w:highlight w:val="none"/>
              </w:rPr>
            </w:pPr>
          </w:p>
        </w:tc>
        <w:tc>
          <w:tcPr>
            <w:tcW w:w="1080" w:type="dxa"/>
            <w:noWrap w:val="0"/>
            <w:vAlign w:val="center"/>
          </w:tcPr>
          <w:p w14:paraId="4FA16096">
            <w:pPr>
              <w:spacing w:line="360" w:lineRule="auto"/>
              <w:jc w:val="center"/>
              <w:rPr>
                <w:rFonts w:ascii="宋体" w:hAnsi="宋体" w:eastAsia="宋体" w:cs="Times New Roman"/>
                <w:color w:val="auto"/>
                <w:sz w:val="24"/>
                <w:highlight w:val="none"/>
              </w:rPr>
            </w:pPr>
          </w:p>
        </w:tc>
        <w:tc>
          <w:tcPr>
            <w:tcW w:w="2273" w:type="dxa"/>
            <w:noWrap w:val="0"/>
            <w:vAlign w:val="center"/>
          </w:tcPr>
          <w:p w14:paraId="6BEAFA11">
            <w:pPr>
              <w:spacing w:line="360" w:lineRule="auto"/>
              <w:jc w:val="center"/>
              <w:rPr>
                <w:rFonts w:ascii="宋体" w:hAnsi="宋体" w:eastAsia="宋体" w:cs="Times New Roman"/>
                <w:color w:val="auto"/>
                <w:sz w:val="24"/>
                <w:highlight w:val="none"/>
              </w:rPr>
            </w:pPr>
          </w:p>
        </w:tc>
        <w:tc>
          <w:tcPr>
            <w:tcW w:w="2484" w:type="dxa"/>
            <w:noWrap w:val="0"/>
            <w:vAlign w:val="center"/>
          </w:tcPr>
          <w:p w14:paraId="22B2AED2">
            <w:pPr>
              <w:spacing w:line="360" w:lineRule="auto"/>
              <w:jc w:val="center"/>
              <w:rPr>
                <w:rFonts w:ascii="宋体" w:hAnsi="宋体" w:eastAsia="宋体" w:cs="Times New Roman"/>
                <w:color w:val="auto"/>
                <w:sz w:val="24"/>
                <w:highlight w:val="none"/>
              </w:rPr>
            </w:pPr>
          </w:p>
        </w:tc>
        <w:tc>
          <w:tcPr>
            <w:tcW w:w="1260" w:type="dxa"/>
            <w:noWrap w:val="0"/>
            <w:vAlign w:val="top"/>
          </w:tcPr>
          <w:p w14:paraId="4EC56BD2">
            <w:pPr>
              <w:spacing w:line="360" w:lineRule="auto"/>
              <w:jc w:val="center"/>
              <w:rPr>
                <w:rFonts w:ascii="宋体" w:hAnsi="宋体" w:eastAsia="宋体" w:cs="Times New Roman"/>
                <w:color w:val="auto"/>
                <w:sz w:val="24"/>
                <w:highlight w:val="none"/>
              </w:rPr>
            </w:pPr>
          </w:p>
        </w:tc>
        <w:tc>
          <w:tcPr>
            <w:tcW w:w="1800" w:type="dxa"/>
            <w:noWrap w:val="0"/>
            <w:vAlign w:val="center"/>
          </w:tcPr>
          <w:p w14:paraId="78EEA654">
            <w:pPr>
              <w:spacing w:line="360" w:lineRule="auto"/>
              <w:jc w:val="center"/>
              <w:rPr>
                <w:rFonts w:ascii="宋体" w:hAnsi="宋体" w:eastAsia="宋体" w:cs="Times New Roman"/>
                <w:color w:val="auto"/>
                <w:sz w:val="24"/>
                <w:highlight w:val="none"/>
              </w:rPr>
            </w:pPr>
          </w:p>
        </w:tc>
      </w:tr>
    </w:tbl>
    <w:p w14:paraId="4AA51EF6">
      <w:pPr>
        <w:pStyle w:val="21"/>
        <w:spacing w:line="340" w:lineRule="exact"/>
        <w:rPr>
          <w:rFonts w:hAnsi="宋体"/>
          <w:color w:val="auto"/>
          <w:sz w:val="24"/>
          <w:szCs w:val="24"/>
          <w:highlight w:val="none"/>
        </w:rPr>
      </w:pPr>
      <w:r>
        <w:rPr>
          <w:rFonts w:hint="eastAsia" w:hAnsi="宋体"/>
          <w:color w:val="auto"/>
          <w:sz w:val="24"/>
          <w:szCs w:val="24"/>
          <w:highlight w:val="none"/>
        </w:rPr>
        <w:t>注：</w:t>
      </w:r>
    </w:p>
    <w:p w14:paraId="1F14E6EB">
      <w:pPr>
        <w:pStyle w:val="21"/>
        <w:spacing w:line="260" w:lineRule="exact"/>
        <w:ind w:firstLine="240"/>
        <w:rPr>
          <w:rFonts w:hAnsi="宋体"/>
          <w:color w:val="auto"/>
          <w:sz w:val="24"/>
          <w:szCs w:val="24"/>
          <w:highlight w:val="none"/>
        </w:rPr>
      </w:pPr>
      <w:r>
        <w:rPr>
          <w:rFonts w:hint="eastAsia" w:hAnsi="宋体"/>
          <w:color w:val="auto"/>
          <w:sz w:val="24"/>
          <w:szCs w:val="24"/>
          <w:highlight w:val="none"/>
        </w:rPr>
        <w:t>1、</w:t>
      </w:r>
      <w:r>
        <w:rPr>
          <w:rFonts w:hint="eastAsia" w:hAnsi="宋体"/>
          <w:b/>
          <w:color w:val="auto"/>
          <w:sz w:val="24"/>
          <w:szCs w:val="24"/>
          <w:highlight w:val="none"/>
        </w:rPr>
        <w:t>投标人应根据投标产品的真实参数及功能填报本表，不得复制粘贴招标文件要求的技术参数，若出现投标响应与技术支持资料不符，可视情节严重程度，按照《财政部 公安部 市场监管总局关于开展2023年政府采购领域“四类”违法违规行为专项整治工作的通知》（财库〔2023〕28号）中供应商提供虚假材料的典型案例上报财政主管部门。</w:t>
      </w:r>
    </w:p>
    <w:p w14:paraId="5DC80008">
      <w:pPr>
        <w:pStyle w:val="21"/>
        <w:spacing w:line="260" w:lineRule="exact"/>
        <w:ind w:firstLine="240"/>
        <w:rPr>
          <w:rFonts w:hAnsi="宋体"/>
          <w:color w:val="auto"/>
          <w:sz w:val="24"/>
          <w:szCs w:val="24"/>
          <w:highlight w:val="none"/>
        </w:rPr>
      </w:pPr>
      <w:r>
        <w:rPr>
          <w:rFonts w:hAnsi="宋体"/>
          <w:color w:val="auto"/>
          <w:sz w:val="24"/>
          <w:szCs w:val="24"/>
          <w:highlight w:val="none"/>
        </w:rPr>
        <w:t>2</w:t>
      </w:r>
      <w:r>
        <w:rPr>
          <w:rFonts w:hint="eastAsia" w:hAnsi="宋体"/>
          <w:color w:val="auto"/>
          <w:sz w:val="24"/>
          <w:szCs w:val="24"/>
          <w:highlight w:val="none"/>
        </w:rPr>
        <w:t>、上</w:t>
      </w:r>
      <w:r>
        <w:rPr>
          <w:rFonts w:hAnsi="宋体"/>
          <w:color w:val="auto"/>
          <w:sz w:val="24"/>
          <w:szCs w:val="24"/>
          <w:highlight w:val="none"/>
        </w:rPr>
        <w:t>表中“偏离”</w:t>
      </w:r>
      <w:r>
        <w:rPr>
          <w:rFonts w:hint="eastAsia" w:hAnsi="宋体"/>
          <w:color w:val="auto"/>
          <w:sz w:val="24"/>
          <w:szCs w:val="24"/>
          <w:highlight w:val="none"/>
        </w:rPr>
        <w:t>一列，</w:t>
      </w:r>
      <w:r>
        <w:rPr>
          <w:rFonts w:hAnsi="宋体"/>
          <w:color w:val="auto"/>
          <w:sz w:val="24"/>
          <w:szCs w:val="24"/>
          <w:highlight w:val="none"/>
        </w:rPr>
        <w:t>投标人</w:t>
      </w:r>
      <w:r>
        <w:rPr>
          <w:rFonts w:hint="eastAsia" w:hAnsi="宋体"/>
          <w:color w:val="auto"/>
          <w:sz w:val="24"/>
          <w:szCs w:val="24"/>
          <w:highlight w:val="none"/>
        </w:rPr>
        <w:t>须</w:t>
      </w:r>
      <w:r>
        <w:rPr>
          <w:rFonts w:hAnsi="宋体"/>
          <w:color w:val="auto"/>
          <w:sz w:val="24"/>
          <w:szCs w:val="24"/>
          <w:highlight w:val="none"/>
        </w:rPr>
        <w:t>如实填写“</w:t>
      </w:r>
      <w:r>
        <w:rPr>
          <w:rFonts w:hint="eastAsia" w:hAnsi="宋体"/>
          <w:color w:val="auto"/>
          <w:sz w:val="24"/>
          <w:szCs w:val="24"/>
          <w:highlight w:val="none"/>
        </w:rPr>
        <w:t>正偏离</w:t>
      </w:r>
      <w:r>
        <w:rPr>
          <w:rFonts w:hAnsi="宋体"/>
          <w:color w:val="auto"/>
          <w:sz w:val="24"/>
          <w:szCs w:val="24"/>
          <w:highlight w:val="none"/>
        </w:rPr>
        <w:t>”</w:t>
      </w:r>
      <w:r>
        <w:rPr>
          <w:rFonts w:hint="eastAsia" w:hAnsi="宋体"/>
          <w:color w:val="auto"/>
          <w:sz w:val="24"/>
          <w:szCs w:val="24"/>
          <w:highlight w:val="none"/>
        </w:rPr>
        <w:t>、“负</w:t>
      </w:r>
      <w:r>
        <w:rPr>
          <w:rFonts w:hAnsi="宋体"/>
          <w:color w:val="auto"/>
          <w:sz w:val="24"/>
          <w:szCs w:val="24"/>
          <w:highlight w:val="none"/>
        </w:rPr>
        <w:t>偏离”或“无偏离”。凡投标内容</w:t>
      </w:r>
      <w:r>
        <w:rPr>
          <w:rFonts w:hint="eastAsia" w:hAnsi="宋体"/>
          <w:color w:val="auto"/>
          <w:sz w:val="24"/>
          <w:szCs w:val="24"/>
          <w:highlight w:val="none"/>
        </w:rPr>
        <w:t>高于</w:t>
      </w:r>
      <w:r>
        <w:rPr>
          <w:rFonts w:hAnsi="宋体"/>
          <w:color w:val="auto"/>
          <w:sz w:val="24"/>
          <w:szCs w:val="24"/>
          <w:highlight w:val="none"/>
        </w:rPr>
        <w:t>招标文件要求</w:t>
      </w:r>
      <w:r>
        <w:rPr>
          <w:rFonts w:hint="eastAsia" w:hAnsi="宋体"/>
          <w:color w:val="auto"/>
          <w:sz w:val="24"/>
          <w:szCs w:val="24"/>
          <w:highlight w:val="none"/>
        </w:rPr>
        <w:t>的，按</w:t>
      </w:r>
      <w:r>
        <w:rPr>
          <w:rFonts w:hAnsi="宋体"/>
          <w:color w:val="auto"/>
          <w:sz w:val="24"/>
          <w:szCs w:val="24"/>
          <w:highlight w:val="none"/>
        </w:rPr>
        <w:t>“</w:t>
      </w:r>
      <w:r>
        <w:rPr>
          <w:rFonts w:hint="eastAsia" w:hAnsi="宋体"/>
          <w:color w:val="auto"/>
          <w:sz w:val="24"/>
          <w:szCs w:val="24"/>
          <w:highlight w:val="none"/>
        </w:rPr>
        <w:t>正</w:t>
      </w:r>
      <w:r>
        <w:rPr>
          <w:rFonts w:hAnsi="宋体"/>
          <w:color w:val="auto"/>
          <w:sz w:val="24"/>
          <w:szCs w:val="24"/>
          <w:highlight w:val="none"/>
        </w:rPr>
        <w:t>偏离”填写</w:t>
      </w:r>
      <w:r>
        <w:rPr>
          <w:rFonts w:hint="eastAsia" w:hAnsi="宋体"/>
          <w:color w:val="auto"/>
          <w:sz w:val="24"/>
          <w:szCs w:val="24"/>
          <w:highlight w:val="none"/>
        </w:rPr>
        <w:t>；低于招标文件要求的，按</w:t>
      </w:r>
      <w:r>
        <w:rPr>
          <w:rFonts w:hAnsi="宋体"/>
          <w:color w:val="auto"/>
          <w:sz w:val="24"/>
          <w:szCs w:val="24"/>
          <w:highlight w:val="none"/>
        </w:rPr>
        <w:t>“</w:t>
      </w:r>
      <w:r>
        <w:rPr>
          <w:rFonts w:hint="eastAsia" w:hAnsi="宋体"/>
          <w:color w:val="auto"/>
          <w:sz w:val="24"/>
          <w:szCs w:val="24"/>
          <w:highlight w:val="none"/>
        </w:rPr>
        <w:t>负</w:t>
      </w:r>
      <w:r>
        <w:rPr>
          <w:rFonts w:hAnsi="宋体"/>
          <w:color w:val="auto"/>
          <w:sz w:val="24"/>
          <w:szCs w:val="24"/>
          <w:highlight w:val="none"/>
        </w:rPr>
        <w:t>偏离”填写</w:t>
      </w:r>
      <w:r>
        <w:rPr>
          <w:rFonts w:hint="eastAsia" w:hAnsi="宋体"/>
          <w:color w:val="auto"/>
          <w:sz w:val="24"/>
          <w:szCs w:val="24"/>
          <w:highlight w:val="none"/>
        </w:rPr>
        <w:t>；满足招标文件要求的，按“无偏离”填写。</w:t>
      </w:r>
      <w:r>
        <w:rPr>
          <w:rFonts w:hAnsi="宋体"/>
          <w:color w:val="auto"/>
          <w:sz w:val="24"/>
          <w:szCs w:val="24"/>
          <w:highlight w:val="none"/>
        </w:rPr>
        <w:t>并在</w:t>
      </w:r>
      <w:r>
        <w:rPr>
          <w:rFonts w:hint="eastAsia" w:hAnsi="宋体"/>
          <w:color w:val="auto"/>
          <w:sz w:val="24"/>
          <w:szCs w:val="24"/>
          <w:highlight w:val="none"/>
        </w:rPr>
        <w:t>“</w:t>
      </w:r>
      <w:r>
        <w:rPr>
          <w:rFonts w:hAnsi="宋体"/>
          <w:b/>
          <w:color w:val="auto"/>
          <w:sz w:val="24"/>
          <w:szCs w:val="24"/>
          <w:highlight w:val="none"/>
        </w:rPr>
        <w:t>投标品牌、型号、技术参数及配置</w:t>
      </w:r>
      <w:r>
        <w:rPr>
          <w:rFonts w:hint="eastAsia" w:hAnsi="宋体"/>
          <w:b/>
          <w:color w:val="auto"/>
          <w:sz w:val="24"/>
          <w:szCs w:val="24"/>
          <w:highlight w:val="none"/>
        </w:rPr>
        <w:t>”</w:t>
      </w:r>
      <w:r>
        <w:rPr>
          <w:rFonts w:hint="eastAsia" w:hAnsi="宋体"/>
          <w:color w:val="auto"/>
          <w:sz w:val="24"/>
          <w:szCs w:val="24"/>
          <w:highlight w:val="none"/>
        </w:rPr>
        <w:t>一列中</w:t>
      </w:r>
      <w:r>
        <w:rPr>
          <w:rFonts w:hAnsi="宋体"/>
          <w:color w:val="auto"/>
          <w:sz w:val="24"/>
          <w:szCs w:val="24"/>
          <w:highlight w:val="none"/>
        </w:rPr>
        <w:t>写明投标产品实际的技术</w:t>
      </w:r>
      <w:r>
        <w:rPr>
          <w:rFonts w:hint="eastAsia" w:hAnsi="宋体"/>
          <w:color w:val="auto"/>
          <w:sz w:val="24"/>
          <w:szCs w:val="24"/>
          <w:highlight w:val="none"/>
        </w:rPr>
        <w:t>参数</w:t>
      </w:r>
      <w:r>
        <w:rPr>
          <w:rFonts w:hAnsi="宋体"/>
          <w:color w:val="auto"/>
          <w:sz w:val="24"/>
          <w:szCs w:val="24"/>
          <w:highlight w:val="none"/>
        </w:rPr>
        <w:t>。</w:t>
      </w:r>
    </w:p>
    <w:p w14:paraId="0C17DF67">
      <w:pPr>
        <w:pStyle w:val="21"/>
        <w:spacing w:line="260" w:lineRule="exact"/>
        <w:ind w:firstLine="240"/>
        <w:rPr>
          <w:rFonts w:hAnsi="宋体"/>
          <w:color w:val="auto"/>
          <w:sz w:val="24"/>
          <w:szCs w:val="24"/>
          <w:highlight w:val="none"/>
        </w:rPr>
      </w:pPr>
      <w:r>
        <w:rPr>
          <w:rFonts w:hAnsi="宋体"/>
          <w:color w:val="auto"/>
          <w:sz w:val="24"/>
          <w:szCs w:val="24"/>
          <w:highlight w:val="none"/>
        </w:rPr>
        <w:t>3</w:t>
      </w:r>
      <w:r>
        <w:rPr>
          <w:rFonts w:hint="eastAsia" w:hAnsi="宋体"/>
          <w:color w:val="auto"/>
          <w:sz w:val="24"/>
          <w:szCs w:val="24"/>
          <w:highlight w:val="none"/>
        </w:rPr>
        <w:t>、上表“序号”一列，应对应该产品在</w:t>
      </w:r>
      <w:r>
        <w:rPr>
          <w:rFonts w:hint="eastAsia" w:hAnsi="宋体"/>
          <w:bCs/>
          <w:color w:val="auto"/>
          <w:sz w:val="24"/>
          <w:szCs w:val="24"/>
          <w:highlight w:val="none"/>
          <w:lang w:eastAsia="zh-CN"/>
        </w:rPr>
        <w:t>第六章《招标内容及要求》</w:t>
      </w:r>
      <w:r>
        <w:rPr>
          <w:rFonts w:hint="eastAsia" w:hAnsi="宋体"/>
          <w:bCs/>
          <w:color w:val="auto"/>
          <w:sz w:val="24"/>
          <w:szCs w:val="24"/>
          <w:highlight w:val="none"/>
        </w:rPr>
        <w:t>中的序号。</w:t>
      </w:r>
    </w:p>
    <w:p w14:paraId="488469BC">
      <w:pPr>
        <w:pStyle w:val="21"/>
        <w:spacing w:line="260" w:lineRule="exact"/>
        <w:ind w:firstLine="240"/>
        <w:rPr>
          <w:rFonts w:hint="eastAsia" w:hAnsi="宋体"/>
          <w:b/>
          <w:color w:val="auto"/>
          <w:sz w:val="24"/>
          <w:szCs w:val="24"/>
          <w:highlight w:val="none"/>
        </w:rPr>
      </w:pPr>
      <w:r>
        <w:rPr>
          <w:rFonts w:hAnsi="宋体"/>
          <w:bCs/>
          <w:color w:val="auto"/>
          <w:sz w:val="24"/>
          <w:szCs w:val="24"/>
          <w:highlight w:val="none"/>
        </w:rPr>
        <w:t>4</w:t>
      </w:r>
      <w:r>
        <w:rPr>
          <w:rFonts w:hint="eastAsia" w:hAnsi="宋体"/>
          <w:bCs/>
          <w:color w:val="auto"/>
          <w:sz w:val="24"/>
          <w:szCs w:val="24"/>
          <w:highlight w:val="none"/>
        </w:rPr>
        <w:t>、各投标人必须对招标文件</w:t>
      </w:r>
      <w:r>
        <w:rPr>
          <w:rFonts w:hint="eastAsia" w:hAnsi="宋体"/>
          <w:bCs/>
          <w:color w:val="auto"/>
          <w:sz w:val="24"/>
          <w:szCs w:val="24"/>
          <w:highlight w:val="none"/>
          <w:lang w:eastAsia="zh-CN"/>
        </w:rPr>
        <w:t>第六章《招标内容及要求》</w:t>
      </w:r>
      <w:r>
        <w:rPr>
          <w:rFonts w:hint="eastAsia" w:hAnsi="宋体"/>
          <w:bCs/>
          <w:color w:val="auto"/>
          <w:sz w:val="24"/>
          <w:szCs w:val="24"/>
          <w:highlight w:val="none"/>
        </w:rPr>
        <w:t>中的技术要求，逐条作出全面、真实的反映，除如实填写技术规格偏离表外，投标文件中必须提供技术支持资料支持参数技术规格偏离表应答（包括但不限于投标产品</w:t>
      </w:r>
      <w:r>
        <w:rPr>
          <w:rFonts w:hint="eastAsia" w:hAnsi="宋体"/>
          <w:color w:val="auto"/>
          <w:sz w:val="24"/>
          <w:szCs w:val="24"/>
          <w:highlight w:val="none"/>
        </w:rPr>
        <w:t>公开发布的技术白皮书、检测报告、彩页资料</w:t>
      </w:r>
      <w:r>
        <w:rPr>
          <w:rFonts w:hint="eastAsia" w:hAnsi="宋体"/>
          <w:bCs/>
          <w:color w:val="auto"/>
          <w:sz w:val="24"/>
          <w:szCs w:val="24"/>
          <w:highlight w:val="none"/>
        </w:rPr>
        <w:t>）。</w:t>
      </w:r>
      <w:r>
        <w:rPr>
          <w:rFonts w:hint="eastAsia" w:hAnsi="宋体"/>
          <w:b/>
          <w:bCs/>
          <w:color w:val="auto"/>
          <w:sz w:val="24"/>
          <w:szCs w:val="24"/>
          <w:highlight w:val="none"/>
        </w:rPr>
        <w:t>若投标文件中技术支持资料参数与技术规格偏离表应答不符，以技术支持资料为准；若无技术支持资料导致评标委员会无法判断的，评标委员会可认定为不响应该条技术参数要求。</w:t>
      </w:r>
      <w:r>
        <w:rPr>
          <w:rFonts w:hint="eastAsia" w:hAnsi="宋体"/>
          <w:b/>
          <w:color w:val="auto"/>
          <w:sz w:val="24"/>
          <w:szCs w:val="24"/>
          <w:highlight w:val="none"/>
        </w:rPr>
        <w:t>若出现制造商公开发布的技术白皮书、检测报告、彩页资料等技术证明文件中，同一技术参数或指标互相矛盾，视为该项技术参数不响应招标文件要求。</w:t>
      </w:r>
    </w:p>
    <w:p w14:paraId="4B082E54">
      <w:pPr>
        <w:pStyle w:val="21"/>
        <w:spacing w:line="260" w:lineRule="exact"/>
        <w:ind w:firstLine="241"/>
        <w:rPr>
          <w:rFonts w:hAnsi="宋体"/>
          <w:b/>
          <w:bCs/>
          <w:color w:val="auto"/>
          <w:sz w:val="24"/>
          <w:szCs w:val="24"/>
          <w:highlight w:val="none"/>
        </w:rPr>
      </w:pPr>
      <w:r>
        <w:rPr>
          <w:rFonts w:hAnsi="宋体"/>
          <w:b/>
          <w:bCs/>
          <w:color w:val="auto"/>
          <w:sz w:val="24"/>
          <w:szCs w:val="24"/>
          <w:highlight w:val="none"/>
        </w:rPr>
        <w:t>5</w:t>
      </w:r>
      <w:r>
        <w:rPr>
          <w:rFonts w:hint="eastAsia" w:hAnsi="宋体"/>
          <w:bCs/>
          <w:color w:val="auto"/>
          <w:sz w:val="24"/>
          <w:szCs w:val="24"/>
          <w:highlight w:val="none"/>
        </w:rPr>
        <w:t>、</w:t>
      </w:r>
      <w:r>
        <w:rPr>
          <w:rFonts w:hint="eastAsia" w:hAnsi="宋体"/>
          <w:b/>
          <w:bCs/>
          <w:color w:val="auto"/>
          <w:sz w:val="24"/>
          <w:szCs w:val="24"/>
          <w:highlight w:val="none"/>
        </w:rPr>
        <w:t>投标人应将支持该项技术要求响应的技术支持资料在投标文件中的索引（页码或条目号等）标注在“技术支持资料索引”一栏中。</w:t>
      </w:r>
    </w:p>
    <w:p w14:paraId="2B80B2BF">
      <w:pPr>
        <w:spacing w:line="360" w:lineRule="auto"/>
        <w:ind w:firstLine="2" w:firstLineChars="1"/>
        <w:rPr>
          <w:rFonts w:ascii="宋体" w:hAnsi="宋体"/>
          <w:b/>
          <w:color w:val="auto"/>
          <w:sz w:val="24"/>
          <w:highlight w:val="none"/>
        </w:rPr>
      </w:pPr>
    </w:p>
    <w:p w14:paraId="471D9E59">
      <w:pPr>
        <w:ind w:firstLine="840"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投标人：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w:t>
      </w:r>
    </w:p>
    <w:p w14:paraId="5F6FDB13">
      <w:pPr>
        <w:ind w:firstLine="840"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法定代表人(单位负责人)或其委托代理人：</w:t>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(电子签章或签名)</w:t>
      </w:r>
    </w:p>
    <w:p w14:paraId="30AFDF27">
      <w:pPr>
        <w:ind w:firstLine="840"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日</w:t>
      </w:r>
    </w:p>
    <w:p w14:paraId="7F4926DC">
      <w:pPr>
        <w:pStyle w:val="5"/>
        <w:widowControl/>
        <w:autoSpaceDE w:val="0"/>
        <w:spacing w:before="0" w:after="0" w:line="240" w:lineRule="auto"/>
        <w:rPr>
          <w:rFonts w:hint="eastAsia" w:ascii="宋体" w:hAnsi="宋体" w:eastAsia="宋体" w:cs="宋体"/>
          <w:b/>
          <w:color w:val="auto"/>
          <w:sz w:val="28"/>
          <w:szCs w:val="28"/>
          <w:highlight w:val="none"/>
        </w:rPr>
      </w:pPr>
      <w:r>
        <w:rPr>
          <w:rFonts w:hint="eastAsia" w:hAnsi="宋体"/>
          <w:b/>
          <w:color w:val="auto"/>
          <w:sz w:val="28"/>
          <w:szCs w:val="28"/>
          <w:highlight w:val="none"/>
        </w:rPr>
        <w:br w:type="page"/>
      </w:r>
      <w:bookmarkStart w:id="401" w:name="_Toc30925"/>
      <w:bookmarkStart w:id="402" w:name="_Toc209978042"/>
      <w:r>
        <w:rPr>
          <w:rFonts w:hint="eastAsia" w:ascii="宋体" w:hAnsi="宋体" w:eastAsia="宋体" w:cs="宋体"/>
          <w:b/>
          <w:color w:val="auto"/>
          <w:sz w:val="28"/>
          <w:szCs w:val="28"/>
          <w:highlight w:val="none"/>
          <w:lang w:val="en-US" w:eastAsia="zh-CN"/>
        </w:rPr>
        <w:t>九、</w:t>
      </w:r>
      <w:bookmarkStart w:id="403" w:name="_Toc209978043"/>
      <w:r>
        <w:rPr>
          <w:rFonts w:hint="eastAsia" w:ascii="宋体" w:hAnsi="宋体" w:eastAsia="宋体" w:cs="宋体"/>
          <w:b/>
          <w:color w:val="auto"/>
          <w:sz w:val="28"/>
          <w:szCs w:val="28"/>
          <w:highlight w:val="none"/>
        </w:rPr>
        <w:t>技术支持资料</w:t>
      </w:r>
      <w:bookmarkEnd w:id="401"/>
      <w:bookmarkEnd w:id="403"/>
    </w:p>
    <w:p w14:paraId="65D0651F">
      <w:pPr>
        <w:spacing w:line="360" w:lineRule="auto"/>
        <w:ind w:firstLine="480" w:firstLineChars="200"/>
        <w:rPr>
          <w:rFonts w:hint="eastAsia" w:ascii="宋体" w:hAnsi="宋体"/>
          <w:color w:val="auto"/>
          <w:sz w:val="24"/>
          <w:highlight w:val="none"/>
        </w:rPr>
      </w:pPr>
      <w:r>
        <w:rPr>
          <w:rFonts w:hint="eastAsia" w:ascii="宋体" w:hAnsi="宋体"/>
          <w:bCs/>
          <w:color w:val="auto"/>
          <w:sz w:val="24"/>
          <w:highlight w:val="none"/>
        </w:rPr>
        <w:t>包括但不限于投标产品</w:t>
      </w:r>
      <w:r>
        <w:rPr>
          <w:rFonts w:hint="eastAsia" w:ascii="宋体" w:hAnsi="宋体"/>
          <w:color w:val="auto"/>
          <w:sz w:val="24"/>
          <w:highlight w:val="none"/>
        </w:rPr>
        <w:t>公开发布的技术白皮书、检测报告、彩页资料。投标人根据自身实际情况和产品特点自行提供，以证明其产品具体配置情况及技术指标响应的真实性。未提供上述资料</w:t>
      </w:r>
      <w:r>
        <w:rPr>
          <w:rFonts w:hint="eastAsia" w:ascii="宋体" w:hAnsi="宋体"/>
          <w:bCs/>
          <w:color w:val="auto"/>
          <w:sz w:val="24"/>
          <w:highlight w:val="none"/>
        </w:rPr>
        <w:t>导致评标委员会无法判断的，评标委员会可认定为不响应该条技术参数要求。</w:t>
      </w:r>
      <w:r>
        <w:rPr>
          <w:rFonts w:hint="eastAsia" w:ascii="宋体" w:hAnsi="宋体"/>
          <w:color w:val="auto"/>
          <w:sz w:val="24"/>
          <w:highlight w:val="none"/>
        </w:rPr>
        <w:t>若出现制造商公开发布的技术白皮书、检测报告、彩页资料等技术证明文件中，同一技术参数或指标互相矛盾，视为该项技术参数不响应招标文件要求。</w:t>
      </w:r>
    </w:p>
    <w:p w14:paraId="2A37B6B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br w:type="page"/>
      </w:r>
    </w:p>
    <w:p w14:paraId="247AC1AD">
      <w:pPr>
        <w:pStyle w:val="5"/>
        <w:widowControl/>
        <w:autoSpaceDE w:val="0"/>
        <w:spacing w:before="0" w:after="0" w:line="240" w:lineRule="auto"/>
        <w:rPr>
          <w:rFonts w:hint="eastAsia" w:ascii="宋体" w:hAnsi="宋体" w:eastAsia="宋体" w:cs="宋体"/>
          <w:b/>
          <w:color w:val="auto"/>
          <w:sz w:val="28"/>
          <w:szCs w:val="28"/>
          <w:highlight w:val="none"/>
          <w:lang w:val="en-US" w:eastAsia="zh-CN"/>
        </w:rPr>
      </w:pPr>
      <w:bookmarkStart w:id="404" w:name="_Toc32393"/>
      <w:r>
        <w:rPr>
          <w:rFonts w:hint="eastAsia" w:ascii="宋体" w:hAnsi="宋体" w:eastAsia="宋体" w:cs="宋体"/>
          <w:b/>
          <w:color w:val="auto"/>
          <w:sz w:val="28"/>
          <w:szCs w:val="28"/>
          <w:highlight w:val="none"/>
          <w:lang w:val="en-US" w:eastAsia="zh-CN"/>
        </w:rPr>
        <w:t>十、技术文件</w:t>
      </w:r>
      <w:bookmarkEnd w:id="402"/>
      <w:bookmarkEnd w:id="404"/>
    </w:p>
    <w:p w14:paraId="018F7B4A">
      <w:pPr>
        <w:spacing w:line="360" w:lineRule="auto"/>
        <w:ind w:firstLine="480" w:firstLineChars="200"/>
        <w:rPr>
          <w:rFonts w:ascii="宋体" w:hAnsi="宋体"/>
          <w:color w:val="auto"/>
          <w:sz w:val="24"/>
          <w:highlight w:val="none"/>
        </w:rPr>
      </w:pPr>
      <w:r>
        <w:rPr>
          <w:rFonts w:ascii="宋体" w:hAnsi="宋体"/>
          <w:color w:val="auto"/>
          <w:sz w:val="24"/>
          <w:highlight w:val="none"/>
        </w:rPr>
        <w:t>应包括（但不限于）以下内容：</w:t>
      </w:r>
    </w:p>
    <w:p w14:paraId="7FB4DE58">
      <w:pPr>
        <w:spacing w:line="360" w:lineRule="auto"/>
        <w:ind w:firstLine="480" w:firstLineChars="200"/>
        <w:rPr>
          <w:rFonts w:ascii="宋体" w:hAnsi="宋体"/>
          <w:color w:val="auto"/>
          <w:sz w:val="24"/>
          <w:highlight w:val="none"/>
        </w:rPr>
      </w:pPr>
      <w:r>
        <w:rPr>
          <w:rFonts w:ascii="宋体" w:hAnsi="宋体"/>
          <w:color w:val="auto"/>
          <w:sz w:val="24"/>
          <w:highlight w:val="none"/>
        </w:rPr>
        <w:t>1.投标人基本情况（</w:t>
      </w:r>
      <w:r>
        <w:rPr>
          <w:rFonts w:hint="eastAsia" w:ascii="宋体" w:hAnsi="宋体"/>
          <w:color w:val="auto"/>
          <w:sz w:val="24"/>
          <w:highlight w:val="none"/>
        </w:rPr>
        <w:t>投标人的组织机构、制造商的</w:t>
      </w:r>
      <w:r>
        <w:rPr>
          <w:rFonts w:ascii="宋体" w:hAnsi="宋体"/>
          <w:color w:val="auto"/>
          <w:sz w:val="24"/>
          <w:highlight w:val="none"/>
        </w:rPr>
        <w:t>生产能力、主要加工机具装备等）概述；</w:t>
      </w:r>
    </w:p>
    <w:p w14:paraId="4614D0C5">
      <w:pPr>
        <w:spacing w:line="360" w:lineRule="auto"/>
        <w:ind w:firstLine="480" w:firstLineChars="200"/>
        <w:rPr>
          <w:rFonts w:ascii="宋体" w:hAnsi="宋体"/>
          <w:color w:val="auto"/>
          <w:sz w:val="21"/>
          <w:szCs w:val="21"/>
          <w:highlight w:val="none"/>
        </w:rPr>
      </w:pPr>
      <w:r>
        <w:rPr>
          <w:rFonts w:ascii="宋体" w:hAnsi="宋体"/>
          <w:color w:val="auto"/>
          <w:sz w:val="24"/>
          <w:highlight w:val="none"/>
        </w:rPr>
        <w:t>2.货物主要技术指标、参数及性能的详细说明；原材料选择、设计（使用）寿命；外购/外协件制造厂、产地等；</w:t>
      </w:r>
    </w:p>
    <w:p w14:paraId="7E86E798">
      <w:pPr>
        <w:spacing w:line="360" w:lineRule="auto"/>
        <w:ind w:firstLine="480" w:firstLineChars="200"/>
        <w:rPr>
          <w:rFonts w:ascii="宋体" w:hAnsi="宋体"/>
          <w:color w:val="auto"/>
          <w:sz w:val="24"/>
          <w:highlight w:val="none"/>
        </w:rPr>
      </w:pPr>
      <w:r>
        <w:rPr>
          <w:rFonts w:hint="eastAsia" w:ascii="宋体" w:hAnsi="宋体" w:eastAsia="宋体" w:cs="宋体"/>
          <w:bCs/>
          <w:color w:val="auto"/>
          <w:sz w:val="24"/>
          <w:szCs w:val="24"/>
          <w:highlight w:val="none"/>
        </w:rPr>
        <w:t>3.项目实施</w:t>
      </w:r>
      <w:r>
        <w:rPr>
          <w:rFonts w:hint="eastAsia" w:ascii="宋体" w:hAnsi="宋体" w:eastAsia="宋体" w:cs="宋体"/>
          <w:bCs/>
          <w:color w:val="auto"/>
          <w:sz w:val="24"/>
          <w:szCs w:val="24"/>
          <w:highlight w:val="none"/>
          <w:lang w:val="en-US" w:eastAsia="zh-CN"/>
        </w:rPr>
        <w:t>、</w:t>
      </w:r>
      <w:r>
        <w:rPr>
          <w:rFonts w:hint="default" w:ascii="宋体" w:hAnsi="宋体" w:eastAsia="宋体" w:cs="宋体"/>
          <w:bCs/>
          <w:color w:val="auto"/>
          <w:sz w:val="24"/>
          <w:szCs w:val="24"/>
          <w:highlight w:val="none"/>
          <w:lang w:val="en-US" w:eastAsia="zh-CN"/>
        </w:rPr>
        <w:t>售后服务</w:t>
      </w:r>
      <w:r>
        <w:rPr>
          <w:rFonts w:hint="eastAsia" w:ascii="宋体" w:hAnsi="宋体" w:eastAsia="宋体" w:cs="宋体"/>
          <w:bCs/>
          <w:color w:val="auto"/>
          <w:sz w:val="24"/>
          <w:szCs w:val="24"/>
          <w:highlight w:val="none"/>
          <w:lang w:val="en-US" w:eastAsia="zh-CN"/>
        </w:rPr>
        <w:t>及培训</w:t>
      </w:r>
      <w:r>
        <w:rPr>
          <w:rFonts w:hint="eastAsia" w:ascii="宋体" w:hAnsi="宋体" w:eastAsia="宋体" w:cs="宋体"/>
          <w:bCs/>
          <w:color w:val="auto"/>
          <w:sz w:val="24"/>
          <w:szCs w:val="24"/>
          <w:highlight w:val="none"/>
        </w:rPr>
        <w:t>方案</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①具体实施方案及保障措施</w:t>
      </w:r>
      <w:r>
        <w:rPr>
          <w:rFonts w:hint="eastAsia" w:ascii="宋体" w:hAnsi="宋体" w:eastAsia="宋体" w:cs="宋体"/>
          <w:bCs/>
          <w:color w:val="auto"/>
          <w:sz w:val="24"/>
          <w:szCs w:val="24"/>
          <w:highlight w:val="none"/>
          <w:lang w:val="en-US" w:eastAsia="zh-CN"/>
        </w:rPr>
        <w:t>（含货物包装、运输、储存、安装、验收、退换货等方案）</w:t>
      </w:r>
      <w:r>
        <w:rPr>
          <w:rFonts w:hint="eastAsia" w:ascii="宋体" w:hAnsi="宋体" w:eastAsia="宋体" w:cs="宋体"/>
          <w:bCs/>
          <w:color w:val="auto"/>
          <w:sz w:val="24"/>
          <w:szCs w:val="24"/>
          <w:highlight w:val="none"/>
        </w:rPr>
        <w:t>；②实施人员配置；③供应渠道及供货流程</w:t>
      </w:r>
      <w:r>
        <w:rPr>
          <w:rFonts w:hint="eastAsia" w:ascii="宋体" w:hAnsi="宋体" w:cs="宋体"/>
          <w:bCs/>
          <w:color w:val="auto"/>
          <w:sz w:val="24"/>
          <w:szCs w:val="24"/>
          <w:highlight w:val="none"/>
          <w:lang w:val="en-US" w:eastAsia="zh-CN"/>
        </w:rPr>
        <w:t>及</w:t>
      </w:r>
      <w:r>
        <w:rPr>
          <w:rFonts w:hint="eastAsia" w:ascii="宋体" w:hAnsi="宋体" w:eastAsia="宋体" w:cs="宋体"/>
          <w:bCs/>
          <w:color w:val="auto"/>
          <w:sz w:val="24"/>
          <w:szCs w:val="24"/>
          <w:highlight w:val="none"/>
        </w:rPr>
        <w:t>供货时间保证措施；④应急保障能力及措施</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⑤</w:t>
      </w:r>
      <w:r>
        <w:rPr>
          <w:rFonts w:hint="eastAsia" w:ascii="宋体" w:hAnsi="宋体" w:eastAsia="宋体" w:cs="宋体"/>
          <w:bCs/>
          <w:color w:val="auto"/>
          <w:kern w:val="2"/>
          <w:sz w:val="24"/>
          <w:szCs w:val="24"/>
          <w:highlight w:val="none"/>
          <w:lang w:val="en-US" w:eastAsia="zh-CN" w:bidi="ar-SA"/>
        </w:rPr>
        <w:t>售后及质量保证承诺及保障措施、</w:t>
      </w:r>
      <w:r>
        <w:rPr>
          <w:rFonts w:hint="eastAsia" w:ascii="宋体" w:hAnsi="宋体" w:eastAsia="宋体" w:cs="宋体"/>
          <w:bCs/>
          <w:color w:val="auto"/>
          <w:sz w:val="24"/>
          <w:szCs w:val="24"/>
          <w:highlight w:val="none"/>
          <w:lang w:eastAsia="zh-CN"/>
        </w:rPr>
        <w:t>⑥</w:t>
      </w:r>
      <w:r>
        <w:rPr>
          <w:rFonts w:hint="eastAsia" w:ascii="宋体" w:hAnsi="宋体" w:eastAsia="宋体" w:cs="宋体"/>
          <w:bCs/>
          <w:color w:val="auto"/>
          <w:kern w:val="2"/>
          <w:sz w:val="24"/>
          <w:szCs w:val="24"/>
          <w:highlight w:val="none"/>
          <w:lang w:val="en-US" w:eastAsia="zh-CN" w:bidi="ar-SA"/>
        </w:rPr>
        <w:t>培训方案（含师资力量）及保障措施；</w:t>
      </w:r>
    </w:p>
    <w:p w14:paraId="6FC7D93F">
      <w:pPr>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4</w:t>
      </w:r>
      <w:r>
        <w:rPr>
          <w:rFonts w:ascii="宋体" w:hAnsi="宋体"/>
          <w:color w:val="auto"/>
          <w:sz w:val="24"/>
          <w:highlight w:val="none"/>
        </w:rPr>
        <w:t>.投标人提出的合理化建议（如技术方案的调整、设备配置及功能等）；</w:t>
      </w:r>
    </w:p>
    <w:p w14:paraId="1708F9E2">
      <w:pPr>
        <w:spacing w:line="360" w:lineRule="auto"/>
        <w:ind w:firstLine="480" w:firstLineChars="200"/>
        <w:rPr>
          <w:rFonts w:ascii="宋体" w:hAnsi="宋体"/>
          <w:color w:val="auto"/>
          <w:sz w:val="24"/>
          <w:highlight w:val="none"/>
        </w:rPr>
      </w:pPr>
      <w:r>
        <w:rPr>
          <w:rFonts w:ascii="宋体" w:hAnsi="宋体"/>
          <w:color w:val="auto"/>
          <w:sz w:val="24"/>
          <w:highlight w:val="none"/>
        </w:rPr>
        <w:t>……</w:t>
      </w:r>
    </w:p>
    <w:p w14:paraId="7B59E3D5">
      <w:pPr>
        <w:pStyle w:val="21"/>
        <w:spacing w:line="600" w:lineRule="exact"/>
        <w:rPr>
          <w:rFonts w:hAnsi="宋体"/>
          <w:color w:val="auto"/>
          <w:szCs w:val="21"/>
          <w:highlight w:val="none"/>
        </w:rPr>
      </w:pPr>
    </w:p>
    <w:p w14:paraId="4084D246">
      <w:pPr>
        <w:spacing w:line="360" w:lineRule="auto"/>
        <w:ind w:firstLine="480" w:firstLineChars="200"/>
        <w:rPr>
          <w:rFonts w:ascii="宋体" w:hAnsi="宋体"/>
          <w:color w:val="auto"/>
          <w:sz w:val="24"/>
          <w:highlight w:val="none"/>
        </w:rPr>
      </w:pPr>
    </w:p>
    <w:p w14:paraId="20E3F010">
      <w:pPr>
        <w:rPr>
          <w:rFonts w:ascii="宋体" w:hAnsi="宋体"/>
          <w:color w:val="auto"/>
          <w:szCs w:val="21"/>
          <w:highlight w:val="none"/>
        </w:rPr>
      </w:pPr>
      <w:r>
        <w:rPr>
          <w:rFonts w:ascii="宋体" w:hAnsi="宋体"/>
          <w:color w:val="auto"/>
          <w:szCs w:val="21"/>
          <w:highlight w:val="none"/>
        </w:rPr>
        <w:br w:type="page"/>
      </w:r>
    </w:p>
    <w:p w14:paraId="5EC3CF16">
      <w:pPr>
        <w:pStyle w:val="5"/>
        <w:spacing w:before="0" w:after="0" w:line="720" w:lineRule="auto"/>
        <w:rPr>
          <w:rFonts w:hint="eastAsia" w:ascii="宋体" w:hAnsi="宋体" w:eastAsia="宋体" w:cs="宋体"/>
          <w:color w:val="auto"/>
          <w:highlight w:val="none"/>
        </w:rPr>
      </w:pPr>
      <w:bookmarkStart w:id="405" w:name="_Toc147846129"/>
      <w:bookmarkStart w:id="406" w:name="_Toc112677164"/>
      <w:bookmarkStart w:id="407" w:name="_Toc4968"/>
      <w:r>
        <w:rPr>
          <w:rFonts w:hint="eastAsia" w:ascii="宋体" w:hAnsi="宋体" w:eastAsia="宋体" w:cs="宋体"/>
          <w:color w:val="auto"/>
          <w:highlight w:val="none"/>
          <w:lang w:val="en-US" w:eastAsia="zh-CN"/>
        </w:rPr>
        <w:t>十一、</w:t>
      </w:r>
      <w:r>
        <w:rPr>
          <w:rFonts w:hint="eastAsia" w:ascii="宋体" w:hAnsi="宋体" w:eastAsia="宋体" w:cs="宋体"/>
          <w:color w:val="auto"/>
          <w:highlight w:val="none"/>
        </w:rPr>
        <w:t>无串通投标行为的承诺函</w:t>
      </w:r>
      <w:bookmarkEnd w:id="405"/>
      <w:bookmarkEnd w:id="406"/>
      <w:bookmarkEnd w:id="407"/>
    </w:p>
    <w:p w14:paraId="2E73A18C">
      <w:pPr>
        <w:spacing w:line="440" w:lineRule="exact"/>
        <w:rPr>
          <w:rFonts w:hint="eastAsia" w:ascii="宋体" w:hAnsi="宋体" w:cs="宋体"/>
          <w:b/>
          <w:color w:val="auto"/>
          <w:kern w:val="0"/>
          <w:sz w:val="24"/>
          <w:highlight w:val="none"/>
        </w:rPr>
      </w:pPr>
      <w:r>
        <w:rPr>
          <w:rFonts w:hint="eastAsia" w:ascii="宋体" w:hAnsi="宋体" w:cs="宋体"/>
          <w:b/>
          <w:color w:val="auto"/>
          <w:kern w:val="0"/>
          <w:sz w:val="24"/>
          <w:highlight w:val="none"/>
        </w:rPr>
        <w:t>一、</w:t>
      </w:r>
      <w:r>
        <w:rPr>
          <w:rFonts w:ascii="宋体" w:hAnsi="宋体" w:cs="宋体"/>
          <w:b/>
          <w:color w:val="auto"/>
          <w:kern w:val="0"/>
          <w:sz w:val="24"/>
          <w:highlight w:val="none"/>
        </w:rPr>
        <w:t>有下列情形之一的，</w:t>
      </w:r>
      <w:r>
        <w:rPr>
          <w:rFonts w:hint="eastAsia" w:ascii="宋体" w:hAnsi="宋体" w:cs="微软雅黑"/>
          <w:b/>
          <w:color w:val="auto"/>
          <w:kern w:val="0"/>
          <w:sz w:val="24"/>
          <w:highlight w:val="none"/>
        </w:rPr>
        <w:t>属</w:t>
      </w:r>
      <w:r>
        <w:rPr>
          <w:rFonts w:hint="eastAsia" w:ascii="宋体" w:hAnsi="宋体" w:cs="Malgun Gothic"/>
          <w:b/>
          <w:color w:val="auto"/>
          <w:kern w:val="0"/>
          <w:sz w:val="24"/>
          <w:highlight w:val="none"/>
        </w:rPr>
        <w:t>于</w:t>
      </w:r>
      <w:r>
        <w:rPr>
          <w:rFonts w:hint="eastAsia" w:ascii="宋体" w:hAnsi="宋体" w:cs="微软雅黑"/>
          <w:b/>
          <w:color w:val="auto"/>
          <w:kern w:val="0"/>
          <w:sz w:val="24"/>
          <w:highlight w:val="none"/>
        </w:rPr>
        <w:t>恶</w:t>
      </w:r>
      <w:r>
        <w:rPr>
          <w:rFonts w:hint="eastAsia" w:ascii="宋体" w:hAnsi="宋体" w:cs="Malgun Gothic"/>
          <w:b/>
          <w:color w:val="auto"/>
          <w:kern w:val="0"/>
          <w:sz w:val="24"/>
          <w:highlight w:val="none"/>
        </w:rPr>
        <w:t>意</w:t>
      </w:r>
      <w:r>
        <w:rPr>
          <w:rFonts w:ascii="宋体" w:hAnsi="宋体" w:cs="宋体"/>
          <w:b/>
          <w:color w:val="auto"/>
          <w:kern w:val="0"/>
          <w:sz w:val="24"/>
          <w:highlight w:val="none"/>
        </w:rPr>
        <w:t>串通投</w:t>
      </w:r>
      <w:r>
        <w:rPr>
          <w:rFonts w:hint="eastAsia" w:ascii="宋体" w:hAnsi="宋体" w:cs="微软雅黑"/>
          <w:b/>
          <w:color w:val="auto"/>
          <w:kern w:val="0"/>
          <w:sz w:val="24"/>
          <w:highlight w:val="none"/>
        </w:rPr>
        <w:t>标</w:t>
      </w:r>
      <w:r>
        <w:rPr>
          <w:rFonts w:hint="eastAsia" w:ascii="宋体" w:hAnsi="宋体" w:cs="Malgun Gothic"/>
          <w:b/>
          <w:color w:val="auto"/>
          <w:kern w:val="0"/>
          <w:sz w:val="24"/>
          <w:highlight w:val="none"/>
        </w:rPr>
        <w:t>：</w:t>
      </w:r>
    </w:p>
    <w:p w14:paraId="328D473F">
      <w:pPr>
        <w:spacing w:line="44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（一）</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直接或者</w:t>
      </w:r>
      <w:r>
        <w:rPr>
          <w:rFonts w:hint="eastAsia" w:ascii="宋体" w:hAnsi="宋体" w:cs="微软雅黑"/>
          <w:color w:val="auto"/>
          <w:kern w:val="0"/>
          <w:sz w:val="24"/>
          <w:highlight w:val="none"/>
        </w:rPr>
        <w:t>间</w:t>
      </w:r>
      <w:r>
        <w:rPr>
          <w:rFonts w:hint="eastAsia" w:ascii="宋体" w:hAnsi="宋体" w:cs="Malgun Gothic"/>
          <w:color w:val="auto"/>
          <w:kern w:val="0"/>
          <w:sz w:val="24"/>
          <w:highlight w:val="none"/>
        </w:rPr>
        <w:t>接</w:t>
      </w:r>
      <w:r>
        <w:rPr>
          <w:rFonts w:hint="eastAsia" w:ascii="宋体" w:hAnsi="宋体" w:cs="微软雅黑"/>
          <w:color w:val="auto"/>
          <w:kern w:val="0"/>
          <w:sz w:val="24"/>
          <w:highlight w:val="none"/>
        </w:rPr>
        <w:t>从</w:t>
      </w:r>
      <w:r>
        <w:rPr>
          <w:rFonts w:hint="eastAsia" w:ascii="宋体" w:hAnsi="宋体" w:cs="Malgun Gothic"/>
          <w:color w:val="auto"/>
          <w:kern w:val="0"/>
          <w:sz w:val="24"/>
          <w:highlight w:val="none"/>
        </w:rPr>
        <w:t>采</w:t>
      </w:r>
      <w:r>
        <w:rPr>
          <w:rFonts w:hint="eastAsia" w:ascii="宋体" w:hAnsi="宋体" w:cs="微软雅黑"/>
          <w:color w:val="auto"/>
          <w:kern w:val="0"/>
          <w:sz w:val="24"/>
          <w:highlight w:val="none"/>
        </w:rPr>
        <w:t>购</w:t>
      </w:r>
      <w:r>
        <w:rPr>
          <w:rFonts w:hint="eastAsia" w:ascii="宋体" w:hAnsi="宋体" w:cs="Malgun Gothic"/>
          <w:color w:val="auto"/>
          <w:kern w:val="0"/>
          <w:sz w:val="24"/>
          <w:highlight w:val="none"/>
        </w:rPr>
        <w:t>人或者采</w:t>
      </w:r>
      <w:r>
        <w:rPr>
          <w:rFonts w:hint="eastAsia" w:ascii="宋体" w:hAnsi="宋体" w:cs="微软雅黑"/>
          <w:color w:val="auto"/>
          <w:kern w:val="0"/>
          <w:sz w:val="24"/>
          <w:highlight w:val="none"/>
        </w:rPr>
        <w:t>购</w:t>
      </w:r>
      <w:r>
        <w:rPr>
          <w:rFonts w:hint="eastAsia" w:ascii="宋体" w:hAnsi="宋体" w:cs="Malgun Gothic"/>
          <w:color w:val="auto"/>
          <w:kern w:val="0"/>
          <w:sz w:val="24"/>
          <w:highlight w:val="none"/>
        </w:rPr>
        <w:t>代理机</w:t>
      </w:r>
      <w:r>
        <w:rPr>
          <w:rFonts w:hint="eastAsia" w:ascii="宋体" w:hAnsi="宋体" w:cs="微软雅黑"/>
          <w:color w:val="auto"/>
          <w:kern w:val="0"/>
          <w:sz w:val="24"/>
          <w:highlight w:val="none"/>
        </w:rPr>
        <w:t>构处获</w:t>
      </w:r>
      <w:r>
        <w:rPr>
          <w:rFonts w:hint="eastAsia" w:ascii="宋体" w:hAnsi="宋体" w:cs="Malgun Gothic"/>
          <w:color w:val="auto"/>
          <w:kern w:val="0"/>
          <w:sz w:val="24"/>
          <w:highlight w:val="none"/>
        </w:rPr>
        <w:t>得其他</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的相</w:t>
      </w:r>
      <w:r>
        <w:rPr>
          <w:rFonts w:hint="eastAsia" w:ascii="宋体" w:hAnsi="宋体" w:cs="微软雅黑"/>
          <w:color w:val="auto"/>
          <w:kern w:val="0"/>
          <w:sz w:val="24"/>
          <w:highlight w:val="none"/>
        </w:rPr>
        <w:t>关</w:t>
      </w:r>
      <w:r>
        <w:rPr>
          <w:rFonts w:hint="eastAsia" w:ascii="宋体" w:hAnsi="宋体" w:cs="Malgun Gothic"/>
          <w:color w:val="auto"/>
          <w:kern w:val="0"/>
          <w:sz w:val="24"/>
          <w:highlight w:val="none"/>
        </w:rPr>
        <w:t>情</w:t>
      </w:r>
      <w:r>
        <w:rPr>
          <w:rFonts w:hint="eastAsia" w:ascii="宋体" w:hAnsi="宋体" w:cs="微软雅黑"/>
          <w:color w:val="auto"/>
          <w:kern w:val="0"/>
          <w:sz w:val="24"/>
          <w:highlight w:val="none"/>
        </w:rPr>
        <w:t>况并</w:t>
      </w:r>
      <w:r>
        <w:rPr>
          <w:rFonts w:hint="eastAsia" w:ascii="宋体" w:hAnsi="宋体" w:cs="Malgun Gothic"/>
          <w:color w:val="auto"/>
          <w:kern w:val="0"/>
          <w:sz w:val="24"/>
          <w:highlight w:val="none"/>
        </w:rPr>
        <w:t>修改其投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文件或者</w:t>
      </w:r>
      <w:r>
        <w:rPr>
          <w:rFonts w:hint="eastAsia" w:ascii="宋体" w:hAnsi="宋体" w:cs="微软雅黑"/>
          <w:color w:val="auto"/>
          <w:kern w:val="0"/>
          <w:sz w:val="24"/>
          <w:highlight w:val="none"/>
        </w:rPr>
        <w:t>响应</w:t>
      </w:r>
      <w:r>
        <w:rPr>
          <w:rFonts w:hint="eastAsia" w:ascii="宋体" w:hAnsi="宋体" w:cs="Malgun Gothic"/>
          <w:color w:val="auto"/>
          <w:kern w:val="0"/>
          <w:sz w:val="24"/>
          <w:highlight w:val="none"/>
        </w:rPr>
        <w:t>文件；</w:t>
      </w:r>
    </w:p>
    <w:p w14:paraId="4CEF61B6">
      <w:pPr>
        <w:spacing w:line="44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（二）</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按照采</w:t>
      </w:r>
      <w:r>
        <w:rPr>
          <w:rFonts w:hint="eastAsia" w:ascii="宋体" w:hAnsi="宋体" w:cs="微软雅黑"/>
          <w:color w:val="auto"/>
          <w:kern w:val="0"/>
          <w:sz w:val="24"/>
          <w:highlight w:val="none"/>
        </w:rPr>
        <w:t>购</w:t>
      </w:r>
      <w:r>
        <w:rPr>
          <w:rFonts w:hint="eastAsia" w:ascii="宋体" w:hAnsi="宋体" w:cs="Malgun Gothic"/>
          <w:color w:val="auto"/>
          <w:kern w:val="0"/>
          <w:sz w:val="24"/>
          <w:highlight w:val="none"/>
        </w:rPr>
        <w:t>人或者采</w:t>
      </w:r>
      <w:r>
        <w:rPr>
          <w:rFonts w:hint="eastAsia" w:ascii="宋体" w:hAnsi="宋体" w:cs="微软雅黑"/>
          <w:color w:val="auto"/>
          <w:kern w:val="0"/>
          <w:sz w:val="24"/>
          <w:highlight w:val="none"/>
        </w:rPr>
        <w:t>购</w:t>
      </w:r>
      <w:r>
        <w:rPr>
          <w:rFonts w:hint="eastAsia" w:ascii="宋体" w:hAnsi="宋体" w:cs="Malgun Gothic"/>
          <w:color w:val="auto"/>
          <w:kern w:val="0"/>
          <w:sz w:val="24"/>
          <w:highlight w:val="none"/>
        </w:rPr>
        <w:t>代理机</w:t>
      </w:r>
      <w:r>
        <w:rPr>
          <w:rFonts w:hint="eastAsia" w:ascii="宋体" w:hAnsi="宋体" w:cs="微软雅黑"/>
          <w:color w:val="auto"/>
          <w:kern w:val="0"/>
          <w:sz w:val="24"/>
          <w:highlight w:val="none"/>
        </w:rPr>
        <w:t>构</w:t>
      </w:r>
      <w:r>
        <w:rPr>
          <w:rFonts w:hint="eastAsia" w:ascii="宋体" w:hAnsi="宋体" w:cs="Malgun Gothic"/>
          <w:color w:val="auto"/>
          <w:kern w:val="0"/>
          <w:sz w:val="24"/>
          <w:highlight w:val="none"/>
        </w:rPr>
        <w:t>的授意撤</w:t>
      </w:r>
      <w:r>
        <w:rPr>
          <w:rFonts w:hint="eastAsia" w:ascii="宋体" w:hAnsi="宋体" w:cs="微软雅黑"/>
          <w:color w:val="auto"/>
          <w:kern w:val="0"/>
          <w:sz w:val="24"/>
          <w:highlight w:val="none"/>
        </w:rPr>
        <w:t>换</w:t>
      </w:r>
      <w:r>
        <w:rPr>
          <w:rFonts w:hint="eastAsia" w:ascii="宋体" w:hAnsi="宋体" w:cs="Malgun Gothic"/>
          <w:color w:val="auto"/>
          <w:kern w:val="0"/>
          <w:sz w:val="24"/>
          <w:highlight w:val="none"/>
        </w:rPr>
        <w:t>、修改投</w:t>
      </w:r>
      <w:r>
        <w:rPr>
          <w:rFonts w:hint="eastAsia" w:ascii="宋体" w:hAnsi="宋体" w:cs="微软雅黑"/>
          <w:color w:val="auto"/>
          <w:kern w:val="0"/>
          <w:sz w:val="24"/>
          <w:highlight w:val="none"/>
        </w:rPr>
        <w:t>标</w:t>
      </w:r>
      <w:r>
        <w:rPr>
          <w:rFonts w:hint="eastAsia" w:ascii="宋体" w:hAnsi="宋体" w:cs="宋体"/>
          <w:color w:val="auto"/>
          <w:kern w:val="0"/>
          <w:sz w:val="24"/>
          <w:highlight w:val="none"/>
        </w:rPr>
        <w:t>文件或者</w:t>
      </w:r>
      <w:r>
        <w:rPr>
          <w:rFonts w:hint="eastAsia" w:ascii="宋体" w:hAnsi="宋体" w:cs="微软雅黑"/>
          <w:color w:val="auto"/>
          <w:kern w:val="0"/>
          <w:sz w:val="24"/>
          <w:highlight w:val="none"/>
        </w:rPr>
        <w:t>响应</w:t>
      </w:r>
      <w:r>
        <w:rPr>
          <w:rFonts w:hint="eastAsia" w:ascii="宋体" w:hAnsi="宋体" w:cs="Malgun Gothic"/>
          <w:color w:val="auto"/>
          <w:kern w:val="0"/>
          <w:sz w:val="24"/>
          <w:highlight w:val="none"/>
        </w:rPr>
        <w:t>文件；</w:t>
      </w:r>
    </w:p>
    <w:p w14:paraId="654EAFD9">
      <w:pPr>
        <w:spacing w:line="44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（三）</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之</w:t>
      </w:r>
      <w:r>
        <w:rPr>
          <w:rFonts w:hint="eastAsia" w:ascii="宋体" w:hAnsi="宋体" w:cs="微软雅黑"/>
          <w:color w:val="auto"/>
          <w:kern w:val="0"/>
          <w:sz w:val="24"/>
          <w:highlight w:val="none"/>
        </w:rPr>
        <w:t>间协</w:t>
      </w:r>
      <w:r>
        <w:rPr>
          <w:rFonts w:hint="eastAsia" w:ascii="宋体" w:hAnsi="宋体" w:cs="Malgun Gothic"/>
          <w:color w:val="auto"/>
          <w:kern w:val="0"/>
          <w:sz w:val="24"/>
          <w:highlight w:val="none"/>
        </w:rPr>
        <w:t>商</w:t>
      </w:r>
      <w:r>
        <w:rPr>
          <w:rFonts w:hint="eastAsia" w:ascii="宋体" w:hAnsi="宋体" w:cs="微软雅黑"/>
          <w:color w:val="auto"/>
          <w:kern w:val="0"/>
          <w:sz w:val="24"/>
          <w:highlight w:val="none"/>
        </w:rPr>
        <w:t>报</w:t>
      </w:r>
      <w:r>
        <w:rPr>
          <w:rFonts w:hint="eastAsia" w:ascii="宋体" w:hAnsi="宋体" w:cs="Malgun Gothic"/>
          <w:color w:val="auto"/>
          <w:kern w:val="0"/>
          <w:sz w:val="24"/>
          <w:highlight w:val="none"/>
        </w:rPr>
        <w:t>价、技</w:t>
      </w:r>
      <w:r>
        <w:rPr>
          <w:rFonts w:hint="eastAsia" w:ascii="宋体" w:hAnsi="宋体" w:cs="微软雅黑"/>
          <w:color w:val="auto"/>
          <w:kern w:val="0"/>
          <w:sz w:val="24"/>
          <w:highlight w:val="none"/>
        </w:rPr>
        <w:t>术</w:t>
      </w:r>
      <w:r>
        <w:rPr>
          <w:rFonts w:hint="eastAsia" w:ascii="宋体" w:hAnsi="宋体" w:cs="Malgun Gothic"/>
          <w:color w:val="auto"/>
          <w:kern w:val="0"/>
          <w:sz w:val="24"/>
          <w:highlight w:val="none"/>
        </w:rPr>
        <w:t>方案等投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文件或者</w:t>
      </w:r>
      <w:r>
        <w:rPr>
          <w:rFonts w:hint="eastAsia" w:ascii="宋体" w:hAnsi="宋体" w:cs="微软雅黑"/>
          <w:color w:val="auto"/>
          <w:kern w:val="0"/>
          <w:sz w:val="24"/>
          <w:highlight w:val="none"/>
        </w:rPr>
        <w:t>响应</w:t>
      </w:r>
      <w:r>
        <w:rPr>
          <w:rFonts w:hint="eastAsia" w:ascii="宋体" w:hAnsi="宋体" w:cs="Malgun Gothic"/>
          <w:color w:val="auto"/>
          <w:kern w:val="0"/>
          <w:sz w:val="24"/>
          <w:highlight w:val="none"/>
        </w:rPr>
        <w:t>文件的</w:t>
      </w:r>
      <w:r>
        <w:rPr>
          <w:rFonts w:hint="eastAsia" w:ascii="宋体" w:hAnsi="宋体" w:cs="微软雅黑"/>
          <w:color w:val="auto"/>
          <w:kern w:val="0"/>
          <w:sz w:val="24"/>
          <w:highlight w:val="none"/>
        </w:rPr>
        <w:t>实质</w:t>
      </w:r>
      <w:r>
        <w:rPr>
          <w:rFonts w:hint="eastAsia" w:ascii="宋体" w:hAnsi="宋体" w:cs="Malgun Gothic"/>
          <w:color w:val="auto"/>
          <w:kern w:val="0"/>
          <w:sz w:val="24"/>
          <w:highlight w:val="none"/>
        </w:rPr>
        <w:t>性</w:t>
      </w:r>
      <w:r>
        <w:rPr>
          <w:rFonts w:hint="eastAsia" w:ascii="宋体" w:hAnsi="宋体" w:cs="微软雅黑"/>
          <w:color w:val="auto"/>
          <w:kern w:val="0"/>
          <w:sz w:val="24"/>
          <w:highlight w:val="none"/>
        </w:rPr>
        <w:t>内</w:t>
      </w:r>
      <w:r>
        <w:rPr>
          <w:rFonts w:hint="eastAsia" w:ascii="宋体" w:hAnsi="宋体" w:cs="Malgun Gothic"/>
          <w:color w:val="auto"/>
          <w:kern w:val="0"/>
          <w:sz w:val="24"/>
          <w:highlight w:val="none"/>
        </w:rPr>
        <w:t>容；</w:t>
      </w:r>
    </w:p>
    <w:p w14:paraId="11C16EA7">
      <w:pPr>
        <w:spacing w:line="44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（四）</w:t>
      </w:r>
      <w:r>
        <w:rPr>
          <w:rFonts w:hint="eastAsia" w:ascii="宋体" w:hAnsi="宋体" w:cs="微软雅黑"/>
          <w:color w:val="auto"/>
          <w:kern w:val="0"/>
          <w:sz w:val="24"/>
          <w:highlight w:val="none"/>
        </w:rPr>
        <w:t>属</w:t>
      </w:r>
      <w:r>
        <w:rPr>
          <w:rFonts w:hint="eastAsia" w:ascii="宋体" w:hAnsi="宋体" w:cs="Malgun Gothic"/>
          <w:color w:val="auto"/>
          <w:kern w:val="0"/>
          <w:sz w:val="24"/>
          <w:highlight w:val="none"/>
        </w:rPr>
        <w:t>于同一集</w:t>
      </w:r>
      <w:r>
        <w:rPr>
          <w:rFonts w:hint="eastAsia" w:ascii="宋体" w:hAnsi="宋体" w:cs="微软雅黑"/>
          <w:color w:val="auto"/>
          <w:kern w:val="0"/>
          <w:sz w:val="24"/>
          <w:highlight w:val="none"/>
        </w:rPr>
        <w:t>团</w:t>
      </w:r>
      <w:r>
        <w:rPr>
          <w:rFonts w:hint="eastAsia" w:ascii="宋体" w:hAnsi="宋体" w:cs="Malgun Gothic"/>
          <w:color w:val="auto"/>
          <w:kern w:val="0"/>
          <w:sz w:val="24"/>
          <w:highlight w:val="none"/>
        </w:rPr>
        <w:t>、</w:t>
      </w:r>
      <w:r>
        <w:rPr>
          <w:rFonts w:hint="eastAsia" w:ascii="宋体" w:hAnsi="宋体" w:cs="微软雅黑"/>
          <w:color w:val="auto"/>
          <w:kern w:val="0"/>
          <w:sz w:val="24"/>
          <w:highlight w:val="none"/>
        </w:rPr>
        <w:t>协会</w:t>
      </w:r>
      <w:r>
        <w:rPr>
          <w:rFonts w:hint="eastAsia" w:ascii="宋体" w:hAnsi="宋体" w:cs="Malgun Gothic"/>
          <w:color w:val="auto"/>
          <w:kern w:val="0"/>
          <w:sz w:val="24"/>
          <w:highlight w:val="none"/>
        </w:rPr>
        <w:t>、商</w:t>
      </w:r>
      <w:r>
        <w:rPr>
          <w:rFonts w:hint="eastAsia" w:ascii="宋体" w:hAnsi="宋体" w:cs="微软雅黑"/>
          <w:color w:val="auto"/>
          <w:kern w:val="0"/>
          <w:sz w:val="24"/>
          <w:highlight w:val="none"/>
        </w:rPr>
        <w:t>会</w:t>
      </w:r>
      <w:r>
        <w:rPr>
          <w:rFonts w:hint="eastAsia" w:ascii="宋体" w:hAnsi="宋体" w:cs="Malgun Gothic"/>
          <w:color w:val="auto"/>
          <w:kern w:val="0"/>
          <w:sz w:val="24"/>
          <w:highlight w:val="none"/>
        </w:rPr>
        <w:t>等</w:t>
      </w:r>
      <w:r>
        <w:rPr>
          <w:rFonts w:hint="eastAsia" w:ascii="宋体" w:hAnsi="宋体" w:cs="微软雅黑"/>
          <w:color w:val="auto"/>
          <w:kern w:val="0"/>
          <w:sz w:val="24"/>
          <w:highlight w:val="none"/>
        </w:rPr>
        <w:t>组织</w:t>
      </w:r>
      <w:r>
        <w:rPr>
          <w:rFonts w:hint="eastAsia" w:ascii="宋体" w:hAnsi="宋体" w:cs="Malgun Gothic"/>
          <w:color w:val="auto"/>
          <w:kern w:val="0"/>
          <w:sz w:val="24"/>
          <w:highlight w:val="none"/>
        </w:rPr>
        <w:t>成</w:t>
      </w:r>
      <w:r>
        <w:rPr>
          <w:rFonts w:hint="eastAsia" w:ascii="宋体" w:hAnsi="宋体" w:cs="微软雅黑"/>
          <w:color w:val="auto"/>
          <w:kern w:val="0"/>
          <w:sz w:val="24"/>
          <w:highlight w:val="none"/>
        </w:rPr>
        <w:t>员</w:t>
      </w:r>
      <w:r>
        <w:rPr>
          <w:rFonts w:hint="eastAsia" w:ascii="宋体" w:hAnsi="宋体" w:cs="Malgun Gothic"/>
          <w:color w:val="auto"/>
          <w:kern w:val="0"/>
          <w:sz w:val="24"/>
          <w:highlight w:val="none"/>
        </w:rPr>
        <w:t>的</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按照</w:t>
      </w:r>
      <w:r>
        <w:rPr>
          <w:rFonts w:hint="eastAsia" w:ascii="宋体" w:hAnsi="宋体" w:cs="微软雅黑"/>
          <w:color w:val="auto"/>
          <w:kern w:val="0"/>
          <w:sz w:val="24"/>
          <w:highlight w:val="none"/>
        </w:rPr>
        <w:t>该组织</w:t>
      </w:r>
      <w:r>
        <w:rPr>
          <w:rFonts w:hint="eastAsia" w:ascii="宋体" w:hAnsi="宋体" w:cs="Malgun Gothic"/>
          <w:color w:val="auto"/>
          <w:kern w:val="0"/>
          <w:sz w:val="24"/>
          <w:highlight w:val="none"/>
        </w:rPr>
        <w:t>要求</w:t>
      </w:r>
      <w:r>
        <w:rPr>
          <w:rFonts w:hint="eastAsia" w:ascii="宋体" w:hAnsi="宋体" w:cs="微软雅黑"/>
          <w:color w:val="auto"/>
          <w:kern w:val="0"/>
          <w:sz w:val="24"/>
          <w:highlight w:val="none"/>
        </w:rPr>
        <w:t>协</w:t>
      </w:r>
      <w:r>
        <w:rPr>
          <w:rFonts w:hint="eastAsia" w:ascii="宋体" w:hAnsi="宋体" w:cs="Malgun Gothic"/>
          <w:color w:val="auto"/>
          <w:kern w:val="0"/>
          <w:sz w:val="24"/>
          <w:highlight w:val="none"/>
        </w:rPr>
        <w:t>同</w:t>
      </w:r>
      <w:r>
        <w:rPr>
          <w:rFonts w:hint="eastAsia" w:ascii="宋体" w:hAnsi="宋体" w:cs="微软雅黑"/>
          <w:color w:val="auto"/>
          <w:kern w:val="0"/>
          <w:sz w:val="24"/>
          <w:highlight w:val="none"/>
        </w:rPr>
        <w:t>参</w:t>
      </w:r>
      <w:r>
        <w:rPr>
          <w:rFonts w:hint="eastAsia" w:ascii="宋体" w:hAnsi="宋体" w:cs="Malgun Gothic"/>
          <w:color w:val="auto"/>
          <w:kern w:val="0"/>
          <w:sz w:val="24"/>
          <w:highlight w:val="none"/>
        </w:rPr>
        <w:t>加政府采</w:t>
      </w:r>
      <w:r>
        <w:rPr>
          <w:rFonts w:hint="eastAsia" w:ascii="宋体" w:hAnsi="宋体" w:cs="微软雅黑"/>
          <w:color w:val="auto"/>
          <w:kern w:val="0"/>
          <w:sz w:val="24"/>
          <w:highlight w:val="none"/>
        </w:rPr>
        <w:t>购</w:t>
      </w:r>
      <w:r>
        <w:rPr>
          <w:rFonts w:hint="eastAsia" w:ascii="宋体" w:hAnsi="宋体" w:cs="Malgun Gothic"/>
          <w:color w:val="auto"/>
          <w:kern w:val="0"/>
          <w:sz w:val="24"/>
          <w:highlight w:val="none"/>
        </w:rPr>
        <w:t>活</w:t>
      </w:r>
      <w:r>
        <w:rPr>
          <w:rFonts w:hint="eastAsia" w:ascii="宋体" w:hAnsi="宋体" w:cs="微软雅黑"/>
          <w:color w:val="auto"/>
          <w:kern w:val="0"/>
          <w:sz w:val="24"/>
          <w:highlight w:val="none"/>
        </w:rPr>
        <w:t>动</w:t>
      </w:r>
      <w:r>
        <w:rPr>
          <w:rFonts w:hint="eastAsia" w:ascii="宋体" w:hAnsi="宋体" w:cs="Malgun Gothic"/>
          <w:color w:val="auto"/>
          <w:kern w:val="0"/>
          <w:sz w:val="24"/>
          <w:highlight w:val="none"/>
        </w:rPr>
        <w:t>；</w:t>
      </w:r>
    </w:p>
    <w:p w14:paraId="0666E2FE">
      <w:pPr>
        <w:spacing w:line="44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（五）</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之</w:t>
      </w:r>
      <w:r>
        <w:rPr>
          <w:rFonts w:hint="eastAsia" w:ascii="宋体" w:hAnsi="宋体" w:cs="微软雅黑"/>
          <w:color w:val="auto"/>
          <w:kern w:val="0"/>
          <w:sz w:val="24"/>
          <w:highlight w:val="none"/>
        </w:rPr>
        <w:t>间</w:t>
      </w:r>
      <w:r>
        <w:rPr>
          <w:rFonts w:hint="eastAsia" w:ascii="宋体" w:hAnsi="宋体" w:cs="Malgun Gothic"/>
          <w:color w:val="auto"/>
          <w:kern w:val="0"/>
          <w:sz w:val="24"/>
          <w:highlight w:val="none"/>
        </w:rPr>
        <w:t>事先</w:t>
      </w:r>
      <w:r>
        <w:rPr>
          <w:rFonts w:hint="eastAsia" w:ascii="宋体" w:hAnsi="宋体" w:cs="微软雅黑"/>
          <w:color w:val="auto"/>
          <w:kern w:val="0"/>
          <w:sz w:val="24"/>
          <w:highlight w:val="none"/>
        </w:rPr>
        <w:t>约</w:t>
      </w:r>
      <w:r>
        <w:rPr>
          <w:rFonts w:hint="eastAsia" w:ascii="宋体" w:hAnsi="宋体" w:cs="Malgun Gothic"/>
          <w:color w:val="auto"/>
          <w:kern w:val="0"/>
          <w:sz w:val="24"/>
          <w:highlight w:val="none"/>
        </w:rPr>
        <w:t>定由某一特定</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中</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、成交；</w:t>
      </w:r>
    </w:p>
    <w:p w14:paraId="1D8D40AA">
      <w:pPr>
        <w:spacing w:line="44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（六）</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之</w:t>
      </w:r>
      <w:r>
        <w:rPr>
          <w:rFonts w:hint="eastAsia" w:ascii="宋体" w:hAnsi="宋体" w:cs="微软雅黑"/>
          <w:color w:val="auto"/>
          <w:kern w:val="0"/>
          <w:sz w:val="24"/>
          <w:highlight w:val="none"/>
        </w:rPr>
        <w:t>间</w:t>
      </w:r>
      <w:r>
        <w:rPr>
          <w:rFonts w:hint="eastAsia" w:ascii="宋体" w:hAnsi="宋体" w:cs="Malgun Gothic"/>
          <w:color w:val="auto"/>
          <w:kern w:val="0"/>
          <w:sz w:val="24"/>
          <w:highlight w:val="none"/>
        </w:rPr>
        <w:t>商定部分</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放弃</w:t>
      </w:r>
      <w:r>
        <w:rPr>
          <w:rFonts w:hint="eastAsia" w:ascii="宋体" w:hAnsi="宋体" w:cs="微软雅黑"/>
          <w:color w:val="auto"/>
          <w:kern w:val="0"/>
          <w:sz w:val="24"/>
          <w:highlight w:val="none"/>
        </w:rPr>
        <w:t>参</w:t>
      </w:r>
      <w:r>
        <w:rPr>
          <w:rFonts w:hint="eastAsia" w:ascii="宋体" w:hAnsi="宋体" w:cs="Malgun Gothic"/>
          <w:color w:val="auto"/>
          <w:kern w:val="0"/>
          <w:sz w:val="24"/>
          <w:highlight w:val="none"/>
        </w:rPr>
        <w:t>加政府采</w:t>
      </w:r>
      <w:r>
        <w:rPr>
          <w:rFonts w:hint="eastAsia" w:ascii="宋体" w:hAnsi="宋体" w:cs="微软雅黑"/>
          <w:color w:val="auto"/>
          <w:kern w:val="0"/>
          <w:sz w:val="24"/>
          <w:highlight w:val="none"/>
        </w:rPr>
        <w:t>购</w:t>
      </w:r>
      <w:r>
        <w:rPr>
          <w:rFonts w:hint="eastAsia" w:ascii="宋体" w:hAnsi="宋体" w:cs="Malgun Gothic"/>
          <w:color w:val="auto"/>
          <w:kern w:val="0"/>
          <w:sz w:val="24"/>
          <w:highlight w:val="none"/>
        </w:rPr>
        <w:t>活</w:t>
      </w:r>
      <w:r>
        <w:rPr>
          <w:rFonts w:hint="eastAsia" w:ascii="宋体" w:hAnsi="宋体" w:cs="微软雅黑"/>
          <w:color w:val="auto"/>
          <w:kern w:val="0"/>
          <w:sz w:val="24"/>
          <w:highlight w:val="none"/>
        </w:rPr>
        <w:t>动</w:t>
      </w:r>
      <w:r>
        <w:rPr>
          <w:rFonts w:hint="eastAsia" w:ascii="宋体" w:hAnsi="宋体" w:cs="Malgun Gothic"/>
          <w:color w:val="auto"/>
          <w:kern w:val="0"/>
          <w:sz w:val="24"/>
          <w:highlight w:val="none"/>
        </w:rPr>
        <w:t>或者放弃中</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、成交；</w:t>
      </w:r>
    </w:p>
    <w:p w14:paraId="5E93A6E1">
      <w:pPr>
        <w:spacing w:line="440" w:lineRule="exact"/>
        <w:rPr>
          <w:rFonts w:hint="eastAsia" w:ascii="宋体" w:hAnsi="宋体" w:cs="宋体"/>
          <w:color w:val="auto"/>
          <w:kern w:val="0"/>
          <w:sz w:val="24"/>
          <w:highlight w:val="none"/>
        </w:rPr>
      </w:pPr>
      <w:r>
        <w:rPr>
          <w:rFonts w:hint="eastAsia" w:ascii="宋体" w:hAnsi="宋体" w:cs="宋体"/>
          <w:color w:val="auto"/>
          <w:kern w:val="0"/>
          <w:sz w:val="24"/>
          <w:highlight w:val="none"/>
        </w:rPr>
        <w:t>（七）</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微软雅黑"/>
          <w:color w:val="auto"/>
          <w:kern w:val="0"/>
          <w:sz w:val="24"/>
          <w:highlight w:val="none"/>
        </w:rPr>
        <w:t>与</w:t>
      </w:r>
      <w:r>
        <w:rPr>
          <w:rFonts w:hint="eastAsia" w:ascii="宋体" w:hAnsi="宋体" w:cs="Malgun Gothic"/>
          <w:color w:val="auto"/>
          <w:kern w:val="0"/>
          <w:sz w:val="24"/>
          <w:highlight w:val="none"/>
        </w:rPr>
        <w:t>采</w:t>
      </w:r>
      <w:r>
        <w:rPr>
          <w:rFonts w:hint="eastAsia" w:ascii="宋体" w:hAnsi="宋体" w:cs="微软雅黑"/>
          <w:color w:val="auto"/>
          <w:kern w:val="0"/>
          <w:sz w:val="24"/>
          <w:highlight w:val="none"/>
        </w:rPr>
        <w:t>购</w:t>
      </w:r>
      <w:r>
        <w:rPr>
          <w:rFonts w:hint="eastAsia" w:ascii="宋体" w:hAnsi="宋体" w:cs="Malgun Gothic"/>
          <w:color w:val="auto"/>
          <w:kern w:val="0"/>
          <w:sz w:val="24"/>
          <w:highlight w:val="none"/>
        </w:rPr>
        <w:t>人或者采</w:t>
      </w:r>
      <w:r>
        <w:rPr>
          <w:rFonts w:hint="eastAsia" w:ascii="宋体" w:hAnsi="宋体" w:cs="微软雅黑"/>
          <w:color w:val="auto"/>
          <w:kern w:val="0"/>
          <w:sz w:val="24"/>
          <w:highlight w:val="none"/>
        </w:rPr>
        <w:t>购</w:t>
      </w:r>
      <w:r>
        <w:rPr>
          <w:rFonts w:hint="eastAsia" w:ascii="宋体" w:hAnsi="宋体" w:cs="Malgun Gothic"/>
          <w:color w:val="auto"/>
          <w:kern w:val="0"/>
          <w:sz w:val="24"/>
          <w:highlight w:val="none"/>
        </w:rPr>
        <w:t>代理机</w:t>
      </w:r>
      <w:r>
        <w:rPr>
          <w:rFonts w:hint="eastAsia" w:ascii="宋体" w:hAnsi="宋体" w:cs="微软雅黑"/>
          <w:color w:val="auto"/>
          <w:kern w:val="0"/>
          <w:sz w:val="24"/>
          <w:highlight w:val="none"/>
        </w:rPr>
        <w:t>构</w:t>
      </w:r>
      <w:r>
        <w:rPr>
          <w:rFonts w:hint="eastAsia" w:ascii="宋体" w:hAnsi="宋体" w:cs="Malgun Gothic"/>
          <w:color w:val="auto"/>
          <w:kern w:val="0"/>
          <w:sz w:val="24"/>
          <w:highlight w:val="none"/>
        </w:rPr>
        <w:t>之</w:t>
      </w:r>
      <w:r>
        <w:rPr>
          <w:rFonts w:hint="eastAsia" w:ascii="宋体" w:hAnsi="宋体" w:cs="微软雅黑"/>
          <w:color w:val="auto"/>
          <w:kern w:val="0"/>
          <w:sz w:val="24"/>
          <w:highlight w:val="none"/>
        </w:rPr>
        <w:t>间</w:t>
      </w:r>
      <w:r>
        <w:rPr>
          <w:rFonts w:hint="eastAsia" w:ascii="宋体" w:hAnsi="宋体" w:cs="Malgun Gothic"/>
          <w:color w:val="auto"/>
          <w:kern w:val="0"/>
          <w:sz w:val="24"/>
          <w:highlight w:val="none"/>
        </w:rPr>
        <w:t>、</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相互之</w:t>
      </w:r>
      <w:r>
        <w:rPr>
          <w:rFonts w:hint="eastAsia" w:ascii="宋体" w:hAnsi="宋体" w:cs="微软雅黑"/>
          <w:color w:val="auto"/>
          <w:kern w:val="0"/>
          <w:sz w:val="24"/>
          <w:highlight w:val="none"/>
        </w:rPr>
        <w:t>间</w:t>
      </w:r>
      <w:r>
        <w:rPr>
          <w:rFonts w:hint="eastAsia" w:ascii="宋体" w:hAnsi="宋体" w:cs="Malgun Gothic"/>
          <w:color w:val="auto"/>
          <w:kern w:val="0"/>
          <w:sz w:val="24"/>
          <w:highlight w:val="none"/>
        </w:rPr>
        <w:t>，</w:t>
      </w:r>
      <w:r>
        <w:rPr>
          <w:rFonts w:hint="eastAsia" w:ascii="宋体" w:hAnsi="宋体" w:cs="微软雅黑"/>
          <w:color w:val="auto"/>
          <w:kern w:val="0"/>
          <w:sz w:val="24"/>
          <w:highlight w:val="none"/>
        </w:rPr>
        <w:t>为谋</w:t>
      </w:r>
      <w:r>
        <w:rPr>
          <w:rFonts w:hint="eastAsia" w:ascii="宋体" w:hAnsi="宋体" w:cs="Malgun Gothic"/>
          <w:color w:val="auto"/>
          <w:kern w:val="0"/>
          <w:sz w:val="24"/>
          <w:highlight w:val="none"/>
        </w:rPr>
        <w:t>求特定</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中</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、成交或者排斥其他</w:t>
      </w:r>
      <w:r>
        <w:rPr>
          <w:rFonts w:ascii="宋体" w:hAnsi="宋体" w:cs="宋体"/>
          <w:color w:val="auto"/>
          <w:kern w:val="0"/>
          <w:sz w:val="24"/>
          <w:highlight w:val="none"/>
        </w:rPr>
        <w:t>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w:t>
      </w:r>
      <w:r>
        <w:rPr>
          <w:rFonts w:hint="eastAsia" w:ascii="宋体" w:hAnsi="宋体" w:cs="宋体"/>
          <w:color w:val="auto"/>
          <w:kern w:val="0"/>
          <w:sz w:val="24"/>
          <w:highlight w:val="none"/>
        </w:rPr>
        <w:t>的其他串通行</w:t>
      </w:r>
      <w:r>
        <w:rPr>
          <w:rFonts w:hint="eastAsia" w:ascii="宋体" w:hAnsi="宋体" w:cs="微软雅黑"/>
          <w:color w:val="auto"/>
          <w:kern w:val="0"/>
          <w:sz w:val="24"/>
          <w:highlight w:val="none"/>
        </w:rPr>
        <w:t>为</w:t>
      </w:r>
      <w:r>
        <w:rPr>
          <w:rFonts w:hint="eastAsia" w:ascii="宋体" w:hAnsi="宋体" w:cs="Malgun Gothic"/>
          <w:color w:val="auto"/>
          <w:kern w:val="0"/>
          <w:sz w:val="24"/>
          <w:highlight w:val="none"/>
        </w:rPr>
        <w:t>。</w:t>
      </w:r>
    </w:p>
    <w:p w14:paraId="6E60545E">
      <w:pPr>
        <w:spacing w:line="440" w:lineRule="exact"/>
        <w:rPr>
          <w:rFonts w:hint="eastAsia" w:ascii="宋体" w:hAnsi="宋体" w:cs="宋体"/>
          <w:color w:val="auto"/>
          <w:kern w:val="0"/>
          <w:sz w:val="24"/>
          <w:highlight w:val="none"/>
        </w:rPr>
      </w:pPr>
      <w:r>
        <w:rPr>
          <w:rFonts w:hint="eastAsia" w:ascii="宋体" w:hAnsi="宋体" w:cs="宋体"/>
          <w:b/>
          <w:color w:val="auto"/>
          <w:kern w:val="0"/>
          <w:sz w:val="24"/>
          <w:highlight w:val="none"/>
        </w:rPr>
        <w:t>二、</w:t>
      </w:r>
      <w:r>
        <w:rPr>
          <w:rFonts w:ascii="宋体" w:hAnsi="宋体" w:cs="宋体"/>
          <w:b/>
          <w:color w:val="auto"/>
          <w:kern w:val="0"/>
          <w:sz w:val="24"/>
          <w:highlight w:val="none"/>
        </w:rPr>
        <w:t>有下列情形之一的，</w:t>
      </w:r>
      <w:r>
        <w:rPr>
          <w:rFonts w:hint="eastAsia" w:ascii="宋体" w:hAnsi="宋体" w:cs="微软雅黑"/>
          <w:b/>
          <w:color w:val="auto"/>
          <w:kern w:val="0"/>
          <w:sz w:val="24"/>
          <w:highlight w:val="none"/>
        </w:rPr>
        <w:t>视为</w:t>
      </w:r>
      <w:r>
        <w:rPr>
          <w:rFonts w:hint="eastAsia" w:ascii="宋体" w:hAnsi="宋体" w:cs="Malgun Gothic"/>
          <w:b/>
          <w:color w:val="auto"/>
          <w:kern w:val="0"/>
          <w:sz w:val="24"/>
          <w:highlight w:val="none"/>
        </w:rPr>
        <w:t>投</w:t>
      </w:r>
      <w:r>
        <w:rPr>
          <w:rFonts w:hint="eastAsia" w:ascii="宋体" w:hAnsi="宋体" w:cs="微软雅黑"/>
          <w:b/>
          <w:color w:val="auto"/>
          <w:kern w:val="0"/>
          <w:sz w:val="24"/>
          <w:highlight w:val="none"/>
        </w:rPr>
        <w:t>标</w:t>
      </w:r>
      <w:r>
        <w:rPr>
          <w:rFonts w:hint="eastAsia" w:ascii="宋体" w:hAnsi="宋体" w:cs="Malgun Gothic"/>
          <w:b/>
          <w:color w:val="auto"/>
          <w:kern w:val="0"/>
          <w:sz w:val="24"/>
          <w:highlight w:val="none"/>
        </w:rPr>
        <w:t>人串通投</w:t>
      </w:r>
      <w:r>
        <w:rPr>
          <w:rFonts w:hint="eastAsia" w:ascii="宋体" w:hAnsi="宋体" w:cs="微软雅黑"/>
          <w:b/>
          <w:color w:val="auto"/>
          <w:kern w:val="0"/>
          <w:sz w:val="24"/>
          <w:highlight w:val="none"/>
        </w:rPr>
        <w:t>标</w:t>
      </w:r>
      <w:r>
        <w:rPr>
          <w:rFonts w:hint="eastAsia" w:ascii="宋体" w:hAnsi="宋体" w:cs="Malgun Gothic"/>
          <w:b/>
          <w:color w:val="auto"/>
          <w:kern w:val="0"/>
          <w:sz w:val="24"/>
          <w:highlight w:val="none"/>
        </w:rPr>
        <w:t>，其投</w:t>
      </w:r>
      <w:r>
        <w:rPr>
          <w:rFonts w:hint="eastAsia" w:ascii="宋体" w:hAnsi="宋体" w:cs="微软雅黑"/>
          <w:b/>
          <w:color w:val="auto"/>
          <w:kern w:val="0"/>
          <w:sz w:val="24"/>
          <w:highlight w:val="none"/>
        </w:rPr>
        <w:t>标</w:t>
      </w:r>
      <w:r>
        <w:rPr>
          <w:rFonts w:hint="eastAsia" w:ascii="宋体" w:hAnsi="宋体" w:cs="Malgun Gothic"/>
          <w:b/>
          <w:color w:val="auto"/>
          <w:kern w:val="0"/>
          <w:sz w:val="24"/>
          <w:highlight w:val="none"/>
        </w:rPr>
        <w:t>无效：</w:t>
      </w:r>
    </w:p>
    <w:p w14:paraId="30D470A6">
      <w:pPr>
        <w:spacing w:line="440" w:lineRule="exact"/>
        <w:rPr>
          <w:rFonts w:hint="eastAsia" w:ascii="宋体" w:hAnsi="宋体" w:cs="宋体"/>
          <w:color w:val="auto"/>
          <w:kern w:val="0"/>
          <w:sz w:val="24"/>
          <w:highlight w:val="none"/>
        </w:rPr>
      </w:pPr>
      <w:r>
        <w:rPr>
          <w:rFonts w:ascii="宋体" w:hAnsi="宋体" w:cs="宋体"/>
          <w:color w:val="auto"/>
          <w:kern w:val="0"/>
          <w:sz w:val="24"/>
          <w:highlight w:val="none"/>
        </w:rPr>
        <w:t>（一）不同投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人的投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文件由同一</w:t>
      </w:r>
      <w:r>
        <w:rPr>
          <w:rFonts w:hint="eastAsia" w:ascii="宋体" w:hAnsi="宋体" w:cs="微软雅黑"/>
          <w:color w:val="auto"/>
          <w:kern w:val="0"/>
          <w:sz w:val="24"/>
          <w:highlight w:val="none"/>
        </w:rPr>
        <w:t>单</w:t>
      </w:r>
      <w:r>
        <w:rPr>
          <w:rFonts w:hint="eastAsia" w:ascii="宋体" w:hAnsi="宋体" w:cs="Malgun Gothic"/>
          <w:color w:val="auto"/>
          <w:kern w:val="0"/>
          <w:sz w:val="24"/>
          <w:highlight w:val="none"/>
        </w:rPr>
        <w:t>位或者</w:t>
      </w:r>
      <w:r>
        <w:rPr>
          <w:rFonts w:hint="eastAsia" w:ascii="宋体" w:hAnsi="宋体" w:cs="微软雅黑"/>
          <w:color w:val="auto"/>
          <w:kern w:val="0"/>
          <w:sz w:val="24"/>
          <w:highlight w:val="none"/>
        </w:rPr>
        <w:t>个</w:t>
      </w:r>
      <w:r>
        <w:rPr>
          <w:rFonts w:hint="eastAsia" w:ascii="宋体" w:hAnsi="宋体" w:cs="Malgun Gothic"/>
          <w:color w:val="auto"/>
          <w:kern w:val="0"/>
          <w:sz w:val="24"/>
          <w:highlight w:val="none"/>
        </w:rPr>
        <w:t>人</w:t>
      </w:r>
      <w:r>
        <w:rPr>
          <w:rFonts w:hint="eastAsia" w:ascii="宋体" w:hAnsi="宋体" w:cs="微软雅黑"/>
          <w:color w:val="auto"/>
          <w:kern w:val="0"/>
          <w:sz w:val="24"/>
          <w:highlight w:val="none"/>
        </w:rPr>
        <w:t>编</w:t>
      </w:r>
      <w:r>
        <w:rPr>
          <w:rFonts w:hint="eastAsia" w:ascii="宋体" w:hAnsi="宋体" w:cs="Malgun Gothic"/>
          <w:color w:val="auto"/>
          <w:kern w:val="0"/>
          <w:sz w:val="24"/>
          <w:highlight w:val="none"/>
        </w:rPr>
        <w:t>制；</w:t>
      </w:r>
    </w:p>
    <w:p w14:paraId="7D94F432">
      <w:pPr>
        <w:spacing w:line="440" w:lineRule="exact"/>
        <w:rPr>
          <w:rFonts w:hint="eastAsia" w:ascii="宋体" w:hAnsi="宋体" w:cs="宋体"/>
          <w:color w:val="auto"/>
          <w:kern w:val="0"/>
          <w:sz w:val="24"/>
          <w:highlight w:val="none"/>
        </w:rPr>
      </w:pPr>
      <w:r>
        <w:rPr>
          <w:rFonts w:ascii="宋体" w:hAnsi="宋体" w:cs="宋体"/>
          <w:color w:val="auto"/>
          <w:kern w:val="0"/>
          <w:sz w:val="24"/>
          <w:highlight w:val="none"/>
        </w:rPr>
        <w:t>（二）不同投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人委托同一</w:t>
      </w:r>
      <w:r>
        <w:rPr>
          <w:rFonts w:hint="eastAsia" w:ascii="宋体" w:hAnsi="宋体" w:cs="微软雅黑"/>
          <w:color w:val="auto"/>
          <w:kern w:val="0"/>
          <w:sz w:val="24"/>
          <w:highlight w:val="none"/>
        </w:rPr>
        <w:t>单</w:t>
      </w:r>
      <w:r>
        <w:rPr>
          <w:rFonts w:hint="eastAsia" w:ascii="宋体" w:hAnsi="宋体" w:cs="Malgun Gothic"/>
          <w:color w:val="auto"/>
          <w:kern w:val="0"/>
          <w:sz w:val="24"/>
          <w:highlight w:val="none"/>
        </w:rPr>
        <w:t>位或者</w:t>
      </w:r>
      <w:r>
        <w:rPr>
          <w:rFonts w:hint="eastAsia" w:ascii="宋体" w:hAnsi="宋体" w:cs="微软雅黑"/>
          <w:color w:val="auto"/>
          <w:kern w:val="0"/>
          <w:sz w:val="24"/>
          <w:highlight w:val="none"/>
        </w:rPr>
        <w:t>个</w:t>
      </w:r>
      <w:r>
        <w:rPr>
          <w:rFonts w:hint="eastAsia" w:ascii="宋体" w:hAnsi="宋体" w:cs="Malgun Gothic"/>
          <w:color w:val="auto"/>
          <w:kern w:val="0"/>
          <w:sz w:val="24"/>
          <w:highlight w:val="none"/>
        </w:rPr>
        <w:t>人</w:t>
      </w:r>
      <w:r>
        <w:rPr>
          <w:rFonts w:hint="eastAsia" w:ascii="宋体" w:hAnsi="宋体" w:cs="微软雅黑"/>
          <w:color w:val="auto"/>
          <w:kern w:val="0"/>
          <w:sz w:val="24"/>
          <w:highlight w:val="none"/>
        </w:rPr>
        <w:t>办</w:t>
      </w:r>
      <w:r>
        <w:rPr>
          <w:rFonts w:hint="eastAsia" w:ascii="宋体" w:hAnsi="宋体" w:cs="Malgun Gothic"/>
          <w:color w:val="auto"/>
          <w:kern w:val="0"/>
          <w:sz w:val="24"/>
          <w:highlight w:val="none"/>
        </w:rPr>
        <w:t>理投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事宜；</w:t>
      </w:r>
    </w:p>
    <w:p w14:paraId="54BBC707">
      <w:pPr>
        <w:spacing w:line="440" w:lineRule="exact"/>
        <w:rPr>
          <w:rFonts w:hint="eastAsia" w:ascii="宋体" w:hAnsi="宋体" w:cs="宋体"/>
          <w:color w:val="auto"/>
          <w:kern w:val="0"/>
          <w:sz w:val="24"/>
          <w:highlight w:val="none"/>
        </w:rPr>
      </w:pPr>
      <w:r>
        <w:rPr>
          <w:rFonts w:ascii="宋体" w:hAnsi="宋体" w:cs="宋体"/>
          <w:color w:val="auto"/>
          <w:kern w:val="0"/>
          <w:sz w:val="24"/>
          <w:highlight w:val="none"/>
        </w:rPr>
        <w:t>（三）不同投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人的投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文件</w:t>
      </w:r>
      <w:r>
        <w:rPr>
          <w:rFonts w:hint="eastAsia" w:ascii="宋体" w:hAnsi="宋体" w:cs="微软雅黑"/>
          <w:color w:val="auto"/>
          <w:kern w:val="0"/>
          <w:sz w:val="24"/>
          <w:highlight w:val="none"/>
        </w:rPr>
        <w:t>载</w:t>
      </w:r>
      <w:r>
        <w:rPr>
          <w:rFonts w:hint="eastAsia" w:ascii="宋体" w:hAnsi="宋体" w:cs="Malgun Gothic"/>
          <w:color w:val="auto"/>
          <w:kern w:val="0"/>
          <w:sz w:val="24"/>
          <w:highlight w:val="none"/>
        </w:rPr>
        <w:t>明的</w:t>
      </w:r>
      <w:r>
        <w:rPr>
          <w:rFonts w:hint="eastAsia" w:ascii="宋体" w:hAnsi="宋体" w:cs="微软雅黑"/>
          <w:color w:val="auto"/>
          <w:kern w:val="0"/>
          <w:sz w:val="24"/>
          <w:highlight w:val="none"/>
        </w:rPr>
        <w:t>项</w:t>
      </w:r>
      <w:r>
        <w:rPr>
          <w:rFonts w:hint="eastAsia" w:ascii="宋体" w:hAnsi="宋体" w:cs="Malgun Gothic"/>
          <w:color w:val="auto"/>
          <w:kern w:val="0"/>
          <w:sz w:val="24"/>
          <w:highlight w:val="none"/>
        </w:rPr>
        <w:t>目管理成</w:t>
      </w:r>
      <w:r>
        <w:rPr>
          <w:rFonts w:hint="eastAsia" w:ascii="宋体" w:hAnsi="宋体" w:cs="微软雅黑"/>
          <w:color w:val="auto"/>
          <w:kern w:val="0"/>
          <w:sz w:val="24"/>
          <w:highlight w:val="none"/>
        </w:rPr>
        <w:t>员</w:t>
      </w:r>
      <w:r>
        <w:rPr>
          <w:rFonts w:hint="eastAsia" w:ascii="宋体" w:hAnsi="宋体" w:cs="Malgun Gothic"/>
          <w:color w:val="auto"/>
          <w:kern w:val="0"/>
          <w:sz w:val="24"/>
          <w:highlight w:val="none"/>
        </w:rPr>
        <w:t>或者</w:t>
      </w:r>
      <w:r>
        <w:rPr>
          <w:rFonts w:hint="eastAsia" w:ascii="宋体" w:hAnsi="宋体" w:cs="微软雅黑"/>
          <w:color w:val="auto"/>
          <w:kern w:val="0"/>
          <w:sz w:val="24"/>
          <w:highlight w:val="none"/>
        </w:rPr>
        <w:t>联</w:t>
      </w:r>
      <w:r>
        <w:rPr>
          <w:rFonts w:hint="eastAsia" w:ascii="宋体" w:hAnsi="宋体" w:cs="Malgun Gothic"/>
          <w:color w:val="auto"/>
          <w:kern w:val="0"/>
          <w:sz w:val="24"/>
          <w:highlight w:val="none"/>
        </w:rPr>
        <w:t>系人</w:t>
      </w:r>
      <w:r>
        <w:rPr>
          <w:rFonts w:hint="eastAsia" w:ascii="宋体" w:hAnsi="宋体" w:cs="微软雅黑"/>
          <w:color w:val="auto"/>
          <w:kern w:val="0"/>
          <w:sz w:val="24"/>
          <w:highlight w:val="none"/>
        </w:rPr>
        <w:t>员为</w:t>
      </w:r>
      <w:r>
        <w:rPr>
          <w:rFonts w:hint="eastAsia" w:ascii="宋体" w:hAnsi="宋体" w:cs="Malgun Gothic"/>
          <w:color w:val="auto"/>
          <w:kern w:val="0"/>
          <w:sz w:val="24"/>
          <w:highlight w:val="none"/>
        </w:rPr>
        <w:t>同一人；</w:t>
      </w:r>
    </w:p>
    <w:p w14:paraId="5EB91D70">
      <w:pPr>
        <w:spacing w:line="440" w:lineRule="exact"/>
        <w:rPr>
          <w:rFonts w:hint="eastAsia" w:ascii="宋体" w:hAnsi="宋体" w:cs="宋体"/>
          <w:color w:val="auto"/>
          <w:kern w:val="0"/>
          <w:sz w:val="24"/>
          <w:highlight w:val="none"/>
        </w:rPr>
      </w:pPr>
      <w:r>
        <w:rPr>
          <w:rFonts w:ascii="宋体" w:hAnsi="宋体" w:cs="宋体"/>
          <w:color w:val="auto"/>
          <w:kern w:val="0"/>
          <w:sz w:val="24"/>
          <w:highlight w:val="none"/>
        </w:rPr>
        <w:t>（四）不同投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人的投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文件</w:t>
      </w:r>
      <w:r>
        <w:rPr>
          <w:rFonts w:hint="eastAsia" w:ascii="宋体" w:hAnsi="宋体" w:cs="微软雅黑"/>
          <w:color w:val="auto"/>
          <w:kern w:val="0"/>
          <w:sz w:val="24"/>
          <w:highlight w:val="none"/>
        </w:rPr>
        <w:t>异</w:t>
      </w:r>
      <w:r>
        <w:rPr>
          <w:rFonts w:hint="eastAsia" w:ascii="宋体" w:hAnsi="宋体" w:cs="Malgun Gothic"/>
          <w:color w:val="auto"/>
          <w:kern w:val="0"/>
          <w:sz w:val="24"/>
          <w:highlight w:val="none"/>
        </w:rPr>
        <w:t>常一致或者投</w:t>
      </w:r>
      <w:r>
        <w:rPr>
          <w:rFonts w:hint="eastAsia" w:ascii="宋体" w:hAnsi="宋体" w:cs="微软雅黑"/>
          <w:color w:val="auto"/>
          <w:kern w:val="0"/>
          <w:sz w:val="24"/>
          <w:highlight w:val="none"/>
        </w:rPr>
        <w:t>标报</w:t>
      </w:r>
      <w:r>
        <w:rPr>
          <w:rFonts w:hint="eastAsia" w:ascii="宋体" w:hAnsi="宋体" w:cs="Malgun Gothic"/>
          <w:color w:val="auto"/>
          <w:kern w:val="0"/>
          <w:sz w:val="24"/>
          <w:highlight w:val="none"/>
        </w:rPr>
        <w:t>价呈</w:t>
      </w:r>
      <w:r>
        <w:rPr>
          <w:rFonts w:hint="eastAsia" w:ascii="宋体" w:hAnsi="宋体" w:cs="微软雅黑"/>
          <w:color w:val="auto"/>
          <w:kern w:val="0"/>
          <w:sz w:val="24"/>
          <w:highlight w:val="none"/>
        </w:rPr>
        <w:t>规</w:t>
      </w:r>
      <w:r>
        <w:rPr>
          <w:rFonts w:hint="eastAsia" w:ascii="宋体" w:hAnsi="宋体" w:cs="Malgun Gothic"/>
          <w:color w:val="auto"/>
          <w:kern w:val="0"/>
          <w:sz w:val="24"/>
          <w:highlight w:val="none"/>
        </w:rPr>
        <w:t>律性差</w:t>
      </w:r>
      <w:r>
        <w:rPr>
          <w:rFonts w:hint="eastAsia" w:ascii="宋体" w:hAnsi="宋体" w:cs="微软雅黑"/>
          <w:color w:val="auto"/>
          <w:kern w:val="0"/>
          <w:sz w:val="24"/>
          <w:highlight w:val="none"/>
        </w:rPr>
        <w:t>异</w:t>
      </w:r>
      <w:r>
        <w:rPr>
          <w:rFonts w:hint="eastAsia" w:ascii="宋体" w:hAnsi="宋体" w:cs="Malgun Gothic"/>
          <w:color w:val="auto"/>
          <w:kern w:val="0"/>
          <w:sz w:val="24"/>
          <w:highlight w:val="none"/>
        </w:rPr>
        <w:t>；</w:t>
      </w:r>
    </w:p>
    <w:p w14:paraId="7C186FBE">
      <w:pPr>
        <w:spacing w:line="440" w:lineRule="exact"/>
        <w:rPr>
          <w:rFonts w:hint="eastAsia" w:ascii="宋体" w:hAnsi="宋体" w:cs="宋体"/>
          <w:color w:val="auto"/>
          <w:kern w:val="0"/>
          <w:sz w:val="24"/>
          <w:highlight w:val="none"/>
        </w:rPr>
      </w:pPr>
      <w:r>
        <w:rPr>
          <w:rFonts w:ascii="宋体" w:hAnsi="宋体" w:cs="宋体"/>
          <w:color w:val="auto"/>
          <w:kern w:val="0"/>
          <w:sz w:val="24"/>
          <w:highlight w:val="none"/>
        </w:rPr>
        <w:t>（五）不同投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人的投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文件相互混装；</w:t>
      </w:r>
    </w:p>
    <w:p w14:paraId="20280885">
      <w:pPr>
        <w:spacing w:line="440" w:lineRule="exact"/>
        <w:rPr>
          <w:rFonts w:hint="eastAsia" w:ascii="宋体" w:hAnsi="宋体" w:cs="宋体"/>
          <w:color w:val="auto"/>
          <w:kern w:val="0"/>
          <w:sz w:val="24"/>
          <w:highlight w:val="none"/>
        </w:rPr>
      </w:pPr>
      <w:r>
        <w:rPr>
          <w:rFonts w:ascii="宋体" w:hAnsi="宋体" w:cs="宋体"/>
          <w:color w:val="auto"/>
          <w:kern w:val="0"/>
          <w:sz w:val="24"/>
          <w:highlight w:val="none"/>
        </w:rPr>
        <w:t>（六）不同投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人的投</w:t>
      </w:r>
      <w:r>
        <w:rPr>
          <w:rFonts w:hint="eastAsia" w:ascii="宋体" w:hAnsi="宋体" w:cs="微软雅黑"/>
          <w:color w:val="auto"/>
          <w:kern w:val="0"/>
          <w:sz w:val="24"/>
          <w:highlight w:val="none"/>
        </w:rPr>
        <w:t>标</w:t>
      </w:r>
      <w:r>
        <w:rPr>
          <w:rFonts w:hint="eastAsia" w:ascii="宋体" w:hAnsi="宋体" w:cs="Malgun Gothic"/>
          <w:color w:val="auto"/>
          <w:kern w:val="0"/>
          <w:sz w:val="24"/>
          <w:highlight w:val="none"/>
        </w:rPr>
        <w:t>保</w:t>
      </w:r>
      <w:r>
        <w:rPr>
          <w:rFonts w:hint="eastAsia" w:ascii="宋体" w:hAnsi="宋体" w:cs="微软雅黑"/>
          <w:color w:val="auto"/>
          <w:kern w:val="0"/>
          <w:sz w:val="24"/>
          <w:highlight w:val="none"/>
        </w:rPr>
        <w:t>证</w:t>
      </w:r>
      <w:r>
        <w:rPr>
          <w:rFonts w:hint="eastAsia" w:ascii="宋体" w:hAnsi="宋体" w:cs="Malgun Gothic"/>
          <w:color w:val="auto"/>
          <w:kern w:val="0"/>
          <w:sz w:val="24"/>
          <w:highlight w:val="none"/>
        </w:rPr>
        <w:t>金</w:t>
      </w:r>
      <w:r>
        <w:rPr>
          <w:rFonts w:hint="eastAsia" w:ascii="宋体" w:hAnsi="宋体" w:cs="微软雅黑"/>
          <w:color w:val="auto"/>
          <w:kern w:val="0"/>
          <w:sz w:val="24"/>
          <w:highlight w:val="none"/>
        </w:rPr>
        <w:t>从</w:t>
      </w:r>
      <w:r>
        <w:rPr>
          <w:rFonts w:hint="eastAsia" w:ascii="宋体" w:hAnsi="宋体" w:cs="Malgun Gothic"/>
          <w:color w:val="auto"/>
          <w:kern w:val="0"/>
          <w:sz w:val="24"/>
          <w:highlight w:val="none"/>
        </w:rPr>
        <w:t>同一</w:t>
      </w:r>
      <w:r>
        <w:rPr>
          <w:rFonts w:hint="eastAsia" w:ascii="宋体" w:hAnsi="宋体" w:cs="微软雅黑"/>
          <w:color w:val="auto"/>
          <w:kern w:val="0"/>
          <w:sz w:val="24"/>
          <w:highlight w:val="none"/>
        </w:rPr>
        <w:t>单</w:t>
      </w:r>
      <w:r>
        <w:rPr>
          <w:rFonts w:hint="eastAsia" w:ascii="宋体" w:hAnsi="宋体" w:cs="Malgun Gothic"/>
          <w:color w:val="auto"/>
          <w:kern w:val="0"/>
          <w:sz w:val="24"/>
          <w:highlight w:val="none"/>
        </w:rPr>
        <w:t>位或者</w:t>
      </w:r>
      <w:r>
        <w:rPr>
          <w:rFonts w:hint="eastAsia" w:ascii="宋体" w:hAnsi="宋体" w:cs="微软雅黑"/>
          <w:color w:val="auto"/>
          <w:kern w:val="0"/>
          <w:sz w:val="24"/>
          <w:highlight w:val="none"/>
        </w:rPr>
        <w:t>个</w:t>
      </w:r>
      <w:r>
        <w:rPr>
          <w:rFonts w:hint="eastAsia" w:ascii="宋体" w:hAnsi="宋体" w:cs="Malgun Gothic"/>
          <w:color w:val="auto"/>
          <w:kern w:val="0"/>
          <w:sz w:val="24"/>
          <w:highlight w:val="none"/>
        </w:rPr>
        <w:t>人的</w:t>
      </w:r>
      <w:r>
        <w:rPr>
          <w:rFonts w:hint="eastAsia" w:ascii="宋体" w:hAnsi="宋体" w:cs="微软雅黑"/>
          <w:color w:val="auto"/>
          <w:kern w:val="0"/>
          <w:sz w:val="24"/>
          <w:highlight w:val="none"/>
        </w:rPr>
        <w:t>账户转</w:t>
      </w:r>
      <w:r>
        <w:rPr>
          <w:rFonts w:hint="eastAsia" w:ascii="宋体" w:hAnsi="宋体" w:cs="Malgun Gothic"/>
          <w:color w:val="auto"/>
          <w:kern w:val="0"/>
          <w:sz w:val="24"/>
          <w:highlight w:val="none"/>
        </w:rPr>
        <w:t>出。</w:t>
      </w:r>
    </w:p>
    <w:p w14:paraId="330A1B8F">
      <w:pPr>
        <w:spacing w:line="440" w:lineRule="exact"/>
        <w:rPr>
          <w:rFonts w:hint="eastAsia" w:ascii="宋体" w:hAnsi="宋体" w:cs="宋体"/>
          <w:color w:val="auto"/>
          <w:kern w:val="0"/>
          <w:sz w:val="24"/>
          <w:highlight w:val="none"/>
        </w:rPr>
      </w:pPr>
    </w:p>
    <w:p w14:paraId="3B92E1AC">
      <w:pPr>
        <w:spacing w:line="440" w:lineRule="exact"/>
        <w:rPr>
          <w:rFonts w:hint="eastAsia" w:ascii="宋体" w:hAnsi="宋体" w:cs="宋体"/>
          <w:color w:val="auto"/>
          <w:kern w:val="0"/>
          <w:sz w:val="24"/>
          <w:highlight w:val="none"/>
        </w:rPr>
      </w:pPr>
      <w:r>
        <w:rPr>
          <w:rFonts w:hint="eastAsia" w:ascii="宋体" w:hAnsi="宋体" w:cs="微软雅黑"/>
          <w:b/>
          <w:color w:val="auto"/>
          <w:kern w:val="0"/>
          <w:sz w:val="24"/>
          <w:highlight w:val="none"/>
        </w:rPr>
        <w:t>请</w:t>
      </w:r>
      <w:r>
        <w:rPr>
          <w:rFonts w:hint="eastAsia" w:ascii="宋体" w:hAnsi="宋体" w:cs="Malgun Gothic"/>
          <w:b/>
          <w:color w:val="auto"/>
          <w:kern w:val="0"/>
          <w:sz w:val="24"/>
          <w:highlight w:val="none"/>
        </w:rPr>
        <w:t>投</w:t>
      </w:r>
      <w:r>
        <w:rPr>
          <w:rFonts w:hint="eastAsia" w:ascii="宋体" w:hAnsi="宋体" w:cs="微软雅黑"/>
          <w:b/>
          <w:color w:val="auto"/>
          <w:kern w:val="0"/>
          <w:sz w:val="24"/>
          <w:highlight w:val="none"/>
        </w:rPr>
        <w:t>标</w:t>
      </w:r>
      <w:r>
        <w:rPr>
          <w:rFonts w:hint="eastAsia" w:ascii="宋体" w:hAnsi="宋体" w:cs="Malgun Gothic"/>
          <w:b/>
          <w:color w:val="auto"/>
          <w:kern w:val="0"/>
          <w:sz w:val="24"/>
          <w:highlight w:val="none"/>
        </w:rPr>
        <w:t>人出具是否存在上述情形的承诺函（内容自拟），并按附表（</w:t>
      </w:r>
      <w:r>
        <w:rPr>
          <w:rFonts w:ascii="宋体" w:hAnsi="宋体" w:cs="Malgun Gothic"/>
          <w:b/>
          <w:color w:val="auto"/>
          <w:kern w:val="0"/>
          <w:sz w:val="24"/>
          <w:highlight w:val="none"/>
        </w:rPr>
        <w:t>投</w:t>
      </w:r>
      <w:r>
        <w:rPr>
          <w:rFonts w:hint="eastAsia" w:ascii="宋体" w:hAnsi="宋体" w:cs="Malgun Gothic"/>
          <w:b/>
          <w:color w:val="auto"/>
          <w:kern w:val="0"/>
          <w:sz w:val="24"/>
          <w:highlight w:val="none"/>
        </w:rPr>
        <w:t>标人在职</w:t>
      </w:r>
      <w:r>
        <w:rPr>
          <w:rFonts w:ascii="宋体" w:hAnsi="宋体" w:cs="Malgun Gothic"/>
          <w:b/>
          <w:color w:val="auto"/>
          <w:kern w:val="0"/>
          <w:sz w:val="24"/>
          <w:highlight w:val="none"/>
        </w:rPr>
        <w:t>人</w:t>
      </w:r>
      <w:r>
        <w:rPr>
          <w:rFonts w:hint="eastAsia" w:ascii="宋体" w:hAnsi="宋体" w:cs="Malgun Gothic"/>
          <w:b/>
          <w:color w:val="auto"/>
          <w:kern w:val="0"/>
          <w:sz w:val="24"/>
          <w:highlight w:val="none"/>
        </w:rPr>
        <w:t>员情况表）格式填写相关内容。如出现上述情形的，将向财政部门报告，依照政府采</w:t>
      </w:r>
      <w:r>
        <w:rPr>
          <w:rFonts w:hint="eastAsia" w:ascii="宋体" w:hAnsi="宋体" w:cs="微软雅黑"/>
          <w:b/>
          <w:color w:val="auto"/>
          <w:kern w:val="0"/>
          <w:sz w:val="24"/>
          <w:highlight w:val="none"/>
        </w:rPr>
        <w:t>购</w:t>
      </w:r>
      <w:r>
        <w:rPr>
          <w:rFonts w:hint="eastAsia" w:ascii="宋体" w:hAnsi="宋体" w:cs="Malgun Gothic"/>
          <w:b/>
          <w:color w:val="auto"/>
          <w:kern w:val="0"/>
          <w:sz w:val="24"/>
          <w:highlight w:val="none"/>
        </w:rPr>
        <w:t>法第七十七</w:t>
      </w:r>
      <w:r>
        <w:rPr>
          <w:rFonts w:hint="eastAsia" w:ascii="宋体" w:hAnsi="宋体" w:cs="微软雅黑"/>
          <w:b/>
          <w:color w:val="auto"/>
          <w:kern w:val="0"/>
          <w:sz w:val="24"/>
          <w:highlight w:val="none"/>
        </w:rPr>
        <w:t>条</w:t>
      </w:r>
      <w:r>
        <w:rPr>
          <w:rFonts w:hint="eastAsia" w:ascii="宋体" w:hAnsi="宋体" w:cs="Malgun Gothic"/>
          <w:b/>
          <w:color w:val="auto"/>
          <w:kern w:val="0"/>
          <w:sz w:val="24"/>
          <w:highlight w:val="none"/>
        </w:rPr>
        <w:t>第一款的</w:t>
      </w:r>
      <w:r>
        <w:rPr>
          <w:rFonts w:hint="eastAsia" w:ascii="宋体" w:hAnsi="宋体" w:cs="微软雅黑"/>
          <w:b/>
          <w:color w:val="auto"/>
          <w:kern w:val="0"/>
          <w:sz w:val="24"/>
          <w:highlight w:val="none"/>
        </w:rPr>
        <w:t>规</w:t>
      </w:r>
      <w:r>
        <w:rPr>
          <w:rFonts w:hint="eastAsia" w:ascii="宋体" w:hAnsi="宋体" w:cs="Malgun Gothic"/>
          <w:b/>
          <w:color w:val="auto"/>
          <w:kern w:val="0"/>
          <w:sz w:val="24"/>
          <w:highlight w:val="none"/>
        </w:rPr>
        <w:t>定追究法律</w:t>
      </w:r>
      <w:r>
        <w:rPr>
          <w:rFonts w:hint="eastAsia" w:ascii="宋体" w:hAnsi="宋体" w:cs="微软雅黑"/>
          <w:b/>
          <w:color w:val="auto"/>
          <w:kern w:val="0"/>
          <w:sz w:val="24"/>
          <w:highlight w:val="none"/>
        </w:rPr>
        <w:t>责</w:t>
      </w:r>
      <w:r>
        <w:rPr>
          <w:rFonts w:hint="eastAsia" w:ascii="宋体" w:hAnsi="宋体" w:cs="Malgun Gothic"/>
          <w:b/>
          <w:color w:val="auto"/>
          <w:kern w:val="0"/>
          <w:sz w:val="24"/>
          <w:highlight w:val="none"/>
        </w:rPr>
        <w:t>任。</w:t>
      </w:r>
      <w:r>
        <w:rPr>
          <w:rFonts w:hint="eastAsia" w:ascii="宋体" w:hAnsi="宋体" w:cs="宋体"/>
          <w:b/>
          <w:color w:val="auto"/>
          <w:kern w:val="0"/>
          <w:sz w:val="24"/>
          <w:highlight w:val="none"/>
        </w:rPr>
        <w:t xml:space="preserve"> </w:t>
      </w:r>
    </w:p>
    <w:p w14:paraId="209D2722">
      <w:pPr>
        <w:spacing w:line="360" w:lineRule="auto"/>
        <w:rPr>
          <w:rFonts w:hint="eastAsia" w:ascii="宋体" w:hAnsi="宋体"/>
          <w:color w:val="auto"/>
          <w:sz w:val="24"/>
          <w:highlight w:val="none"/>
        </w:rPr>
      </w:pPr>
    </w:p>
    <w:p w14:paraId="4AF0B50E">
      <w:pPr>
        <w:spacing w:line="400" w:lineRule="exact"/>
        <w:rPr>
          <w:rFonts w:hint="eastAsia" w:ascii="宋体" w:hAnsi="宋体"/>
          <w:b/>
          <w:color w:val="auto"/>
          <w:sz w:val="24"/>
          <w:highlight w:val="none"/>
        </w:rPr>
      </w:pPr>
      <w:r>
        <w:rPr>
          <w:rFonts w:hint="eastAsia" w:ascii="宋体" w:hAnsi="宋体"/>
          <w:b/>
          <w:color w:val="auto"/>
          <w:sz w:val="24"/>
          <w:highlight w:val="none"/>
        </w:rPr>
        <w:t>投标人</w:t>
      </w:r>
      <w:r>
        <w:rPr>
          <w:rFonts w:ascii="宋体" w:hAnsi="宋体"/>
          <w:b/>
          <w:color w:val="auto"/>
          <w:sz w:val="24"/>
          <w:highlight w:val="none"/>
        </w:rPr>
        <w:t>：</w:t>
      </w:r>
      <w:r>
        <w:rPr>
          <w:rFonts w:ascii="宋体" w:hAnsi="宋体"/>
          <w:b/>
          <w:color w:val="auto"/>
          <w:sz w:val="24"/>
          <w:highlight w:val="none"/>
          <w:u w:val="single"/>
        </w:rPr>
        <w:t xml:space="preserve">                                   </w:t>
      </w:r>
      <w:r>
        <w:rPr>
          <w:rFonts w:ascii="宋体" w:hAnsi="宋体"/>
          <w:b/>
          <w:color w:val="auto"/>
          <w:sz w:val="24"/>
          <w:highlight w:val="none"/>
        </w:rPr>
        <w:t>（</w:t>
      </w:r>
      <w:r>
        <w:rPr>
          <w:rFonts w:hint="eastAsia" w:ascii="宋体" w:hAnsi="宋体"/>
          <w:b/>
          <w:color w:val="auto"/>
          <w:sz w:val="24"/>
          <w:highlight w:val="none"/>
        </w:rPr>
        <w:t>电子签章</w:t>
      </w:r>
      <w:r>
        <w:rPr>
          <w:rFonts w:ascii="宋体" w:hAnsi="宋体"/>
          <w:b/>
          <w:color w:val="auto"/>
          <w:sz w:val="24"/>
          <w:highlight w:val="none"/>
        </w:rPr>
        <w:t>）</w:t>
      </w:r>
    </w:p>
    <w:p w14:paraId="405D92E4">
      <w:pPr>
        <w:spacing w:line="400" w:lineRule="exact"/>
        <w:ind w:firstLine="2" w:firstLineChars="1"/>
        <w:rPr>
          <w:rFonts w:ascii="宋体" w:hAnsi="宋体"/>
          <w:b/>
          <w:color w:val="auto"/>
          <w:sz w:val="24"/>
          <w:highlight w:val="none"/>
        </w:rPr>
      </w:pPr>
    </w:p>
    <w:p w14:paraId="3162EC68">
      <w:pPr>
        <w:spacing w:line="400" w:lineRule="exact"/>
        <w:ind w:firstLine="2" w:firstLineChars="1"/>
        <w:rPr>
          <w:rFonts w:hint="eastAsia" w:ascii="宋体" w:hAnsi="宋体"/>
          <w:b/>
          <w:color w:val="auto"/>
          <w:sz w:val="24"/>
          <w:highlight w:val="none"/>
        </w:rPr>
      </w:pPr>
      <w:r>
        <w:rPr>
          <w:rFonts w:ascii="宋体" w:hAnsi="宋体"/>
          <w:b/>
          <w:color w:val="auto"/>
          <w:sz w:val="24"/>
          <w:highlight w:val="none"/>
        </w:rPr>
        <w:t>法定代表人或其委托代理人：</w:t>
      </w:r>
      <w:r>
        <w:rPr>
          <w:rFonts w:ascii="宋体" w:hAnsi="宋体"/>
          <w:b/>
          <w:color w:val="auto"/>
          <w:sz w:val="24"/>
          <w:highlight w:val="none"/>
          <w:u w:val="single"/>
        </w:rPr>
        <w:t xml:space="preserve">               </w:t>
      </w:r>
      <w:r>
        <w:rPr>
          <w:rFonts w:ascii="宋体" w:hAnsi="宋体"/>
          <w:b/>
          <w:color w:val="auto"/>
          <w:sz w:val="24"/>
          <w:highlight w:val="none"/>
        </w:rPr>
        <w:t>（</w:t>
      </w:r>
      <w:r>
        <w:rPr>
          <w:rFonts w:hint="eastAsia" w:ascii="宋体" w:hAnsi="宋体"/>
          <w:b/>
          <w:color w:val="auto"/>
          <w:sz w:val="24"/>
          <w:highlight w:val="none"/>
        </w:rPr>
        <w:t>电子签章或签名</w:t>
      </w:r>
      <w:r>
        <w:rPr>
          <w:rFonts w:ascii="宋体" w:hAnsi="宋体"/>
          <w:b/>
          <w:color w:val="auto"/>
          <w:sz w:val="24"/>
          <w:highlight w:val="none"/>
        </w:rPr>
        <w:t>）</w:t>
      </w:r>
    </w:p>
    <w:p w14:paraId="1D8EF808">
      <w:pPr>
        <w:pStyle w:val="21"/>
        <w:spacing w:line="400" w:lineRule="exact"/>
        <w:rPr>
          <w:rFonts w:hAnsi="宋体"/>
          <w:b/>
          <w:color w:val="auto"/>
          <w:sz w:val="24"/>
          <w:szCs w:val="24"/>
          <w:highlight w:val="none"/>
        </w:rPr>
      </w:pPr>
    </w:p>
    <w:p w14:paraId="16AF34CD">
      <w:pPr>
        <w:pStyle w:val="21"/>
        <w:spacing w:line="400" w:lineRule="exact"/>
        <w:rPr>
          <w:rFonts w:hAnsi="宋体"/>
          <w:b/>
          <w:color w:val="auto"/>
          <w:szCs w:val="21"/>
          <w:highlight w:val="none"/>
        </w:rPr>
        <w:sectPr>
          <w:pgSz w:w="11906" w:h="16838"/>
          <w:pgMar w:top="1191" w:right="1219" w:bottom="1134" w:left="1219" w:header="567" w:footer="567" w:gutter="0"/>
          <w:pgNumType w:fmt="numberInDash"/>
          <w:cols w:space="720" w:num="1"/>
          <w:docGrid w:type="linesAndChars" w:linePitch="331" w:charSpace="0"/>
        </w:sectPr>
      </w:pPr>
      <w:r>
        <w:rPr>
          <w:rFonts w:hint="eastAsia" w:hAnsi="宋体"/>
          <w:b/>
          <w:color w:val="auto"/>
          <w:sz w:val="24"/>
          <w:szCs w:val="24"/>
          <w:highlight w:val="none"/>
        </w:rPr>
        <w:t>日期：</w:t>
      </w:r>
      <w:r>
        <w:rPr>
          <w:rFonts w:hAnsi="宋体"/>
          <w:b/>
          <w:color w:val="auto"/>
          <w:sz w:val="24"/>
          <w:szCs w:val="24"/>
          <w:highlight w:val="none"/>
          <w:u w:val="single"/>
        </w:rPr>
        <w:t xml:space="preserve">            </w:t>
      </w:r>
      <w:r>
        <w:rPr>
          <w:rFonts w:hAnsi="宋体"/>
          <w:b/>
          <w:color w:val="auto"/>
          <w:sz w:val="24"/>
          <w:szCs w:val="24"/>
          <w:highlight w:val="none"/>
        </w:rPr>
        <w:t>年</w:t>
      </w:r>
      <w:r>
        <w:rPr>
          <w:rFonts w:hAnsi="宋体"/>
          <w:b/>
          <w:color w:val="auto"/>
          <w:sz w:val="24"/>
          <w:szCs w:val="24"/>
          <w:highlight w:val="none"/>
          <w:u w:val="single"/>
        </w:rPr>
        <w:t xml:space="preserve">       </w:t>
      </w:r>
      <w:r>
        <w:rPr>
          <w:rFonts w:hAnsi="宋体"/>
          <w:b/>
          <w:color w:val="auto"/>
          <w:sz w:val="24"/>
          <w:szCs w:val="24"/>
          <w:highlight w:val="none"/>
        </w:rPr>
        <w:t>月</w:t>
      </w:r>
      <w:r>
        <w:rPr>
          <w:rFonts w:hAnsi="宋体"/>
          <w:b/>
          <w:color w:val="auto"/>
          <w:sz w:val="24"/>
          <w:szCs w:val="24"/>
          <w:highlight w:val="none"/>
          <w:u w:val="single"/>
        </w:rPr>
        <w:t xml:space="preserve">       </w:t>
      </w:r>
      <w:r>
        <w:rPr>
          <w:rFonts w:hAnsi="宋体"/>
          <w:b/>
          <w:color w:val="auto"/>
          <w:sz w:val="24"/>
          <w:szCs w:val="24"/>
          <w:highlight w:val="none"/>
        </w:rPr>
        <w:t>日</w:t>
      </w:r>
    </w:p>
    <w:p w14:paraId="48FB18E1">
      <w:pPr>
        <w:pStyle w:val="5"/>
        <w:spacing w:before="0" w:after="0" w:line="720" w:lineRule="auto"/>
        <w:rPr>
          <w:rFonts w:ascii="宋体" w:hAnsi="宋体"/>
          <w:b/>
          <w:color w:val="auto"/>
          <w:sz w:val="28"/>
          <w:szCs w:val="28"/>
          <w:highlight w:val="none"/>
        </w:rPr>
      </w:pPr>
      <w:bookmarkStart w:id="408" w:name="_Toc24963"/>
      <w:r>
        <w:rPr>
          <w:rFonts w:hint="eastAsia" w:ascii="宋体" w:hAnsi="宋体" w:eastAsia="宋体" w:cs="宋体"/>
          <w:color w:val="auto"/>
          <w:highlight w:val="none"/>
          <w:lang w:val="en-US" w:eastAsia="zh-CN"/>
        </w:rPr>
        <w:t>十二</w:t>
      </w:r>
      <w:r>
        <w:rPr>
          <w:rStyle w:val="48"/>
          <w:rFonts w:hint="eastAsia" w:ascii="宋体" w:hAnsi="宋体" w:eastAsia="宋体" w:cs="Times New Roman"/>
          <w:b/>
          <w:bCs/>
          <w:color w:val="auto"/>
          <w:szCs w:val="28"/>
          <w:highlight w:val="none"/>
          <w:lang w:val="en-US" w:eastAsia="zh-CN"/>
        </w:rPr>
        <w:t>、</w:t>
      </w:r>
      <w:r>
        <w:rPr>
          <w:rFonts w:ascii="宋体" w:hAnsi="宋体"/>
          <w:b/>
          <w:color w:val="auto"/>
          <w:sz w:val="28"/>
          <w:szCs w:val="28"/>
          <w:highlight w:val="none"/>
        </w:rPr>
        <w:t>投</w:t>
      </w:r>
      <w:r>
        <w:rPr>
          <w:rFonts w:hint="eastAsia" w:ascii="宋体" w:hAnsi="宋体" w:cs="微软雅黑"/>
          <w:b/>
          <w:color w:val="auto"/>
          <w:sz w:val="28"/>
          <w:szCs w:val="28"/>
          <w:highlight w:val="none"/>
        </w:rPr>
        <w:t>标</w:t>
      </w:r>
      <w:r>
        <w:rPr>
          <w:rFonts w:hint="eastAsia" w:ascii="宋体" w:hAnsi="宋体" w:cs="Malgun Gothic"/>
          <w:b/>
          <w:color w:val="auto"/>
          <w:sz w:val="28"/>
          <w:szCs w:val="28"/>
          <w:highlight w:val="none"/>
        </w:rPr>
        <w:t>人</w:t>
      </w:r>
      <w:r>
        <w:rPr>
          <w:rFonts w:hint="eastAsia" w:ascii="宋体" w:hAnsi="宋体"/>
          <w:b/>
          <w:color w:val="auto"/>
          <w:sz w:val="28"/>
          <w:szCs w:val="28"/>
          <w:highlight w:val="none"/>
        </w:rPr>
        <w:t>在</w:t>
      </w:r>
      <w:r>
        <w:rPr>
          <w:rFonts w:hint="eastAsia" w:ascii="宋体" w:hAnsi="宋体" w:cs="微软雅黑"/>
          <w:b/>
          <w:color w:val="auto"/>
          <w:sz w:val="28"/>
          <w:szCs w:val="28"/>
          <w:highlight w:val="none"/>
        </w:rPr>
        <w:t>职</w:t>
      </w:r>
      <w:r>
        <w:rPr>
          <w:rFonts w:ascii="宋体" w:hAnsi="宋体"/>
          <w:b/>
          <w:color w:val="auto"/>
          <w:sz w:val="28"/>
          <w:szCs w:val="28"/>
          <w:highlight w:val="none"/>
        </w:rPr>
        <w:t>人</w:t>
      </w:r>
      <w:r>
        <w:rPr>
          <w:rFonts w:hint="eastAsia" w:ascii="宋体" w:hAnsi="宋体" w:cs="微软雅黑"/>
          <w:b/>
          <w:color w:val="auto"/>
          <w:sz w:val="28"/>
          <w:szCs w:val="28"/>
          <w:highlight w:val="none"/>
        </w:rPr>
        <w:t>员</w:t>
      </w:r>
      <w:r>
        <w:rPr>
          <w:rFonts w:hint="eastAsia" w:ascii="宋体" w:hAnsi="宋体" w:cs="Malgun Gothic"/>
          <w:b/>
          <w:color w:val="auto"/>
          <w:sz w:val="28"/>
          <w:szCs w:val="28"/>
          <w:highlight w:val="none"/>
        </w:rPr>
        <w:t>情</w:t>
      </w:r>
      <w:r>
        <w:rPr>
          <w:rFonts w:hint="eastAsia" w:ascii="宋体" w:hAnsi="宋体" w:cs="微软雅黑"/>
          <w:b/>
          <w:color w:val="auto"/>
          <w:sz w:val="28"/>
          <w:szCs w:val="28"/>
          <w:highlight w:val="none"/>
        </w:rPr>
        <w:t>况</w:t>
      </w:r>
      <w:r>
        <w:rPr>
          <w:rFonts w:hint="eastAsia" w:ascii="宋体" w:hAnsi="宋体" w:cs="Malgun Gothic"/>
          <w:b/>
          <w:color w:val="auto"/>
          <w:sz w:val="28"/>
          <w:szCs w:val="28"/>
          <w:highlight w:val="none"/>
        </w:rPr>
        <w:t>表</w:t>
      </w:r>
      <w:bookmarkEnd w:id="408"/>
    </w:p>
    <w:tbl>
      <w:tblPr>
        <w:tblStyle w:val="37"/>
        <w:tblW w:w="0" w:type="auto"/>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670"/>
        <w:gridCol w:w="1393"/>
        <w:gridCol w:w="1371"/>
        <w:gridCol w:w="4284"/>
      </w:tblGrid>
      <w:tr w14:paraId="73EB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397BEC05">
            <w:pPr>
              <w:spacing w:line="360" w:lineRule="auto"/>
              <w:jc w:val="center"/>
              <w:rPr>
                <w:rFonts w:ascii="宋体" w:hAnsi="宋体" w:eastAsia="宋体" w:cs="Times New Roman"/>
                <w:b/>
                <w:color w:val="auto"/>
                <w:sz w:val="24"/>
                <w:highlight w:val="none"/>
              </w:rPr>
            </w:pPr>
            <w:r>
              <w:rPr>
                <w:rFonts w:ascii="宋体" w:hAnsi="宋体" w:eastAsia="宋体" w:cs="Times New Roman"/>
                <w:b/>
                <w:color w:val="auto"/>
                <w:sz w:val="24"/>
                <w:highlight w:val="none"/>
              </w:rPr>
              <w:t>序</w:t>
            </w:r>
            <w:r>
              <w:rPr>
                <w:rFonts w:hint="eastAsia" w:ascii="宋体" w:hAnsi="宋体" w:eastAsia="宋体" w:cs="微软雅黑"/>
                <w:b/>
                <w:color w:val="auto"/>
                <w:sz w:val="24"/>
                <w:highlight w:val="none"/>
              </w:rPr>
              <w:t>号</w:t>
            </w:r>
          </w:p>
        </w:tc>
        <w:tc>
          <w:tcPr>
            <w:tcW w:w="1701" w:type="dxa"/>
            <w:noWrap w:val="0"/>
            <w:vAlign w:val="top"/>
          </w:tcPr>
          <w:p w14:paraId="3510B539">
            <w:pPr>
              <w:spacing w:line="360" w:lineRule="auto"/>
              <w:jc w:val="center"/>
              <w:rPr>
                <w:rFonts w:ascii="宋体" w:hAnsi="宋体" w:eastAsia="宋体" w:cs="Times New Roman"/>
                <w:b/>
                <w:color w:val="auto"/>
                <w:sz w:val="24"/>
                <w:highlight w:val="none"/>
              </w:rPr>
            </w:pPr>
            <w:r>
              <w:rPr>
                <w:rFonts w:ascii="宋体" w:hAnsi="宋体" w:eastAsia="宋体" w:cs="Times New Roman"/>
                <w:b/>
                <w:color w:val="auto"/>
                <w:sz w:val="24"/>
                <w:highlight w:val="none"/>
              </w:rPr>
              <w:t>姓名</w:t>
            </w:r>
          </w:p>
        </w:tc>
        <w:tc>
          <w:tcPr>
            <w:tcW w:w="1417" w:type="dxa"/>
            <w:noWrap w:val="0"/>
            <w:vAlign w:val="top"/>
          </w:tcPr>
          <w:p w14:paraId="24AF90E5">
            <w:pPr>
              <w:spacing w:line="360" w:lineRule="auto"/>
              <w:jc w:val="center"/>
              <w:rPr>
                <w:rFonts w:ascii="宋体" w:hAnsi="宋体" w:eastAsia="宋体" w:cs="Times New Roman"/>
                <w:b/>
                <w:color w:val="auto"/>
                <w:sz w:val="24"/>
                <w:highlight w:val="none"/>
              </w:rPr>
            </w:pPr>
            <w:r>
              <w:rPr>
                <w:rFonts w:ascii="宋体" w:hAnsi="宋体" w:eastAsia="宋体" w:cs="Times New Roman"/>
                <w:b/>
                <w:color w:val="auto"/>
                <w:sz w:val="24"/>
                <w:highlight w:val="none"/>
              </w:rPr>
              <w:t>性</w:t>
            </w:r>
            <w:r>
              <w:rPr>
                <w:rFonts w:hint="eastAsia" w:ascii="宋体" w:hAnsi="宋体" w:eastAsia="宋体" w:cs="微软雅黑"/>
                <w:b/>
                <w:color w:val="auto"/>
                <w:sz w:val="24"/>
                <w:highlight w:val="none"/>
              </w:rPr>
              <w:t>别</w:t>
            </w:r>
          </w:p>
        </w:tc>
        <w:tc>
          <w:tcPr>
            <w:tcW w:w="1394" w:type="dxa"/>
            <w:noWrap w:val="0"/>
            <w:vAlign w:val="top"/>
          </w:tcPr>
          <w:p w14:paraId="4EB5F038">
            <w:pPr>
              <w:spacing w:line="360" w:lineRule="auto"/>
              <w:jc w:val="center"/>
              <w:rPr>
                <w:rFonts w:ascii="宋体" w:hAnsi="宋体" w:eastAsia="宋体" w:cs="Times New Roman"/>
                <w:b/>
                <w:color w:val="auto"/>
                <w:sz w:val="24"/>
                <w:highlight w:val="none"/>
              </w:rPr>
            </w:pPr>
            <w:r>
              <w:rPr>
                <w:rFonts w:hint="eastAsia" w:ascii="宋体" w:hAnsi="宋体" w:eastAsia="宋体" w:cs="微软雅黑"/>
                <w:b/>
                <w:color w:val="auto"/>
                <w:sz w:val="24"/>
                <w:highlight w:val="none"/>
              </w:rPr>
              <w:t>职务</w:t>
            </w:r>
          </w:p>
        </w:tc>
        <w:tc>
          <w:tcPr>
            <w:tcW w:w="4382" w:type="dxa"/>
            <w:noWrap w:val="0"/>
            <w:vAlign w:val="top"/>
          </w:tcPr>
          <w:p w14:paraId="502E0031">
            <w:pPr>
              <w:spacing w:line="360" w:lineRule="auto"/>
              <w:jc w:val="center"/>
              <w:rPr>
                <w:rFonts w:ascii="宋体" w:hAnsi="宋体" w:eastAsia="宋体" w:cs="Times New Roman"/>
                <w:b/>
                <w:color w:val="auto"/>
                <w:sz w:val="24"/>
                <w:highlight w:val="none"/>
              </w:rPr>
            </w:pPr>
            <w:r>
              <w:rPr>
                <w:rFonts w:ascii="宋体" w:hAnsi="宋体" w:eastAsia="宋体" w:cs="Times New Roman"/>
                <w:b/>
                <w:color w:val="auto"/>
                <w:sz w:val="24"/>
                <w:highlight w:val="none"/>
              </w:rPr>
              <w:t>身</w:t>
            </w:r>
            <w:r>
              <w:rPr>
                <w:rFonts w:hint="eastAsia" w:ascii="宋体" w:hAnsi="宋体" w:eastAsia="宋体" w:cs="微软雅黑"/>
                <w:b/>
                <w:color w:val="auto"/>
                <w:sz w:val="24"/>
                <w:highlight w:val="none"/>
              </w:rPr>
              <w:t>份证号</w:t>
            </w:r>
          </w:p>
        </w:tc>
      </w:tr>
      <w:tr w14:paraId="5C1B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28C7C416">
            <w:pPr>
              <w:spacing w:line="360" w:lineRule="auto"/>
              <w:jc w:val="center"/>
              <w:rPr>
                <w:rFonts w:ascii="宋体" w:hAnsi="宋体" w:eastAsia="宋体" w:cs="Times New Roman"/>
                <w:b/>
                <w:color w:val="auto"/>
                <w:sz w:val="24"/>
                <w:highlight w:val="none"/>
              </w:rPr>
            </w:pPr>
            <w:r>
              <w:rPr>
                <w:rFonts w:hint="eastAsia" w:ascii="宋体" w:hAnsi="宋体" w:eastAsia="宋体" w:cs="Times New Roman"/>
                <w:b/>
                <w:color w:val="auto"/>
                <w:sz w:val="24"/>
                <w:highlight w:val="none"/>
              </w:rPr>
              <w:t>1</w:t>
            </w:r>
          </w:p>
        </w:tc>
        <w:tc>
          <w:tcPr>
            <w:tcW w:w="1701" w:type="dxa"/>
            <w:noWrap w:val="0"/>
            <w:vAlign w:val="top"/>
          </w:tcPr>
          <w:p w14:paraId="11B1EB4A">
            <w:pPr>
              <w:spacing w:line="360" w:lineRule="auto"/>
              <w:jc w:val="center"/>
              <w:rPr>
                <w:rFonts w:ascii="宋体" w:hAnsi="宋体" w:eastAsia="宋体" w:cs="Times New Roman"/>
                <w:b/>
                <w:color w:val="auto"/>
                <w:sz w:val="24"/>
                <w:highlight w:val="none"/>
              </w:rPr>
            </w:pPr>
          </w:p>
        </w:tc>
        <w:tc>
          <w:tcPr>
            <w:tcW w:w="1417" w:type="dxa"/>
            <w:noWrap w:val="0"/>
            <w:vAlign w:val="top"/>
          </w:tcPr>
          <w:p w14:paraId="67FAB61E">
            <w:pPr>
              <w:spacing w:line="360" w:lineRule="auto"/>
              <w:jc w:val="center"/>
              <w:rPr>
                <w:rFonts w:ascii="宋体" w:hAnsi="宋体" w:eastAsia="宋体" w:cs="Times New Roman"/>
                <w:b/>
                <w:color w:val="auto"/>
                <w:sz w:val="24"/>
                <w:highlight w:val="none"/>
              </w:rPr>
            </w:pPr>
          </w:p>
        </w:tc>
        <w:tc>
          <w:tcPr>
            <w:tcW w:w="1394" w:type="dxa"/>
            <w:noWrap w:val="0"/>
            <w:vAlign w:val="top"/>
          </w:tcPr>
          <w:p w14:paraId="6A4F7B7C">
            <w:pPr>
              <w:spacing w:line="360" w:lineRule="auto"/>
              <w:jc w:val="center"/>
              <w:rPr>
                <w:rFonts w:ascii="宋体" w:hAnsi="宋体" w:eastAsia="宋体" w:cs="Times New Roman"/>
                <w:b/>
                <w:color w:val="auto"/>
                <w:sz w:val="24"/>
                <w:highlight w:val="none"/>
              </w:rPr>
            </w:pPr>
          </w:p>
        </w:tc>
        <w:tc>
          <w:tcPr>
            <w:tcW w:w="4382" w:type="dxa"/>
            <w:noWrap w:val="0"/>
            <w:vAlign w:val="top"/>
          </w:tcPr>
          <w:p w14:paraId="7C332E81">
            <w:pPr>
              <w:spacing w:line="360" w:lineRule="auto"/>
              <w:jc w:val="center"/>
              <w:rPr>
                <w:rFonts w:ascii="宋体" w:hAnsi="宋体" w:eastAsia="宋体" w:cs="Times New Roman"/>
                <w:b/>
                <w:color w:val="auto"/>
                <w:sz w:val="24"/>
                <w:highlight w:val="none"/>
              </w:rPr>
            </w:pPr>
          </w:p>
        </w:tc>
      </w:tr>
      <w:tr w14:paraId="32BB1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5C60FD09">
            <w:pPr>
              <w:spacing w:line="360" w:lineRule="auto"/>
              <w:jc w:val="center"/>
              <w:rPr>
                <w:rFonts w:ascii="宋体" w:hAnsi="宋体" w:eastAsia="宋体" w:cs="Times New Roman"/>
                <w:b/>
                <w:color w:val="auto"/>
                <w:sz w:val="24"/>
                <w:highlight w:val="none"/>
              </w:rPr>
            </w:pPr>
            <w:r>
              <w:rPr>
                <w:rFonts w:hint="eastAsia" w:ascii="宋体" w:hAnsi="宋体" w:eastAsia="宋体" w:cs="Times New Roman"/>
                <w:b/>
                <w:color w:val="auto"/>
                <w:sz w:val="24"/>
                <w:highlight w:val="none"/>
              </w:rPr>
              <w:t>2</w:t>
            </w:r>
          </w:p>
        </w:tc>
        <w:tc>
          <w:tcPr>
            <w:tcW w:w="1701" w:type="dxa"/>
            <w:noWrap w:val="0"/>
            <w:vAlign w:val="top"/>
          </w:tcPr>
          <w:p w14:paraId="0AE7794B">
            <w:pPr>
              <w:spacing w:line="360" w:lineRule="auto"/>
              <w:jc w:val="center"/>
              <w:rPr>
                <w:rFonts w:ascii="宋体" w:hAnsi="宋体" w:eastAsia="宋体" w:cs="Times New Roman"/>
                <w:b/>
                <w:color w:val="auto"/>
                <w:sz w:val="24"/>
                <w:highlight w:val="none"/>
              </w:rPr>
            </w:pPr>
          </w:p>
        </w:tc>
        <w:tc>
          <w:tcPr>
            <w:tcW w:w="1417" w:type="dxa"/>
            <w:noWrap w:val="0"/>
            <w:vAlign w:val="top"/>
          </w:tcPr>
          <w:p w14:paraId="297FDD75">
            <w:pPr>
              <w:spacing w:line="360" w:lineRule="auto"/>
              <w:jc w:val="center"/>
              <w:rPr>
                <w:rFonts w:ascii="宋体" w:hAnsi="宋体" w:eastAsia="宋体" w:cs="Times New Roman"/>
                <w:b/>
                <w:color w:val="auto"/>
                <w:sz w:val="24"/>
                <w:highlight w:val="none"/>
              </w:rPr>
            </w:pPr>
          </w:p>
        </w:tc>
        <w:tc>
          <w:tcPr>
            <w:tcW w:w="1394" w:type="dxa"/>
            <w:noWrap w:val="0"/>
            <w:vAlign w:val="top"/>
          </w:tcPr>
          <w:p w14:paraId="2DF5A3D8">
            <w:pPr>
              <w:spacing w:line="360" w:lineRule="auto"/>
              <w:jc w:val="center"/>
              <w:rPr>
                <w:rFonts w:ascii="宋体" w:hAnsi="宋体" w:eastAsia="宋体" w:cs="Times New Roman"/>
                <w:b/>
                <w:color w:val="auto"/>
                <w:sz w:val="24"/>
                <w:highlight w:val="none"/>
              </w:rPr>
            </w:pPr>
          </w:p>
        </w:tc>
        <w:tc>
          <w:tcPr>
            <w:tcW w:w="4382" w:type="dxa"/>
            <w:noWrap w:val="0"/>
            <w:vAlign w:val="top"/>
          </w:tcPr>
          <w:p w14:paraId="662182C1">
            <w:pPr>
              <w:spacing w:line="360" w:lineRule="auto"/>
              <w:jc w:val="center"/>
              <w:rPr>
                <w:rFonts w:ascii="宋体" w:hAnsi="宋体" w:eastAsia="宋体" w:cs="Times New Roman"/>
                <w:b/>
                <w:color w:val="auto"/>
                <w:sz w:val="24"/>
                <w:highlight w:val="none"/>
              </w:rPr>
            </w:pPr>
          </w:p>
        </w:tc>
      </w:tr>
      <w:tr w14:paraId="6150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1D5D2B46">
            <w:pPr>
              <w:spacing w:line="360" w:lineRule="auto"/>
              <w:jc w:val="center"/>
              <w:rPr>
                <w:rFonts w:ascii="宋体" w:hAnsi="宋体" w:eastAsia="宋体" w:cs="Times New Roman"/>
                <w:b/>
                <w:color w:val="auto"/>
                <w:sz w:val="24"/>
                <w:highlight w:val="none"/>
              </w:rPr>
            </w:pPr>
            <w:r>
              <w:rPr>
                <w:rFonts w:hint="eastAsia" w:ascii="宋体" w:hAnsi="宋体" w:eastAsia="宋体" w:cs="Times New Roman"/>
                <w:b/>
                <w:color w:val="auto"/>
                <w:sz w:val="24"/>
                <w:highlight w:val="none"/>
              </w:rPr>
              <w:t>3</w:t>
            </w:r>
          </w:p>
        </w:tc>
        <w:tc>
          <w:tcPr>
            <w:tcW w:w="1701" w:type="dxa"/>
            <w:noWrap w:val="0"/>
            <w:vAlign w:val="top"/>
          </w:tcPr>
          <w:p w14:paraId="001DABB6">
            <w:pPr>
              <w:spacing w:line="360" w:lineRule="auto"/>
              <w:jc w:val="center"/>
              <w:rPr>
                <w:rFonts w:ascii="宋体" w:hAnsi="宋体" w:eastAsia="宋体" w:cs="Times New Roman"/>
                <w:b/>
                <w:color w:val="auto"/>
                <w:sz w:val="24"/>
                <w:highlight w:val="none"/>
              </w:rPr>
            </w:pPr>
          </w:p>
        </w:tc>
        <w:tc>
          <w:tcPr>
            <w:tcW w:w="1417" w:type="dxa"/>
            <w:noWrap w:val="0"/>
            <w:vAlign w:val="top"/>
          </w:tcPr>
          <w:p w14:paraId="40A61DE1">
            <w:pPr>
              <w:spacing w:line="360" w:lineRule="auto"/>
              <w:jc w:val="center"/>
              <w:rPr>
                <w:rFonts w:ascii="宋体" w:hAnsi="宋体" w:eastAsia="宋体" w:cs="Times New Roman"/>
                <w:b/>
                <w:color w:val="auto"/>
                <w:sz w:val="24"/>
                <w:highlight w:val="none"/>
              </w:rPr>
            </w:pPr>
          </w:p>
        </w:tc>
        <w:tc>
          <w:tcPr>
            <w:tcW w:w="1394" w:type="dxa"/>
            <w:noWrap w:val="0"/>
            <w:vAlign w:val="top"/>
          </w:tcPr>
          <w:p w14:paraId="5C7B785A">
            <w:pPr>
              <w:spacing w:line="360" w:lineRule="auto"/>
              <w:jc w:val="center"/>
              <w:rPr>
                <w:rFonts w:ascii="宋体" w:hAnsi="宋体" w:eastAsia="宋体" w:cs="Times New Roman"/>
                <w:b/>
                <w:color w:val="auto"/>
                <w:sz w:val="24"/>
                <w:highlight w:val="none"/>
              </w:rPr>
            </w:pPr>
          </w:p>
        </w:tc>
        <w:tc>
          <w:tcPr>
            <w:tcW w:w="4382" w:type="dxa"/>
            <w:noWrap w:val="0"/>
            <w:vAlign w:val="top"/>
          </w:tcPr>
          <w:p w14:paraId="7FE314A5">
            <w:pPr>
              <w:spacing w:line="360" w:lineRule="auto"/>
              <w:jc w:val="center"/>
              <w:rPr>
                <w:rFonts w:ascii="宋体" w:hAnsi="宋体" w:eastAsia="宋体" w:cs="Times New Roman"/>
                <w:b/>
                <w:color w:val="auto"/>
                <w:sz w:val="24"/>
                <w:highlight w:val="none"/>
              </w:rPr>
            </w:pPr>
          </w:p>
        </w:tc>
      </w:tr>
      <w:tr w14:paraId="7ADB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691D6297">
            <w:pPr>
              <w:spacing w:line="360" w:lineRule="auto"/>
              <w:jc w:val="center"/>
              <w:rPr>
                <w:rFonts w:ascii="宋体" w:hAnsi="宋体" w:eastAsia="宋体" w:cs="Times New Roman"/>
                <w:b/>
                <w:color w:val="auto"/>
                <w:sz w:val="24"/>
                <w:highlight w:val="none"/>
              </w:rPr>
            </w:pPr>
            <w:r>
              <w:rPr>
                <w:rFonts w:ascii="宋体" w:hAnsi="宋体" w:eastAsia="宋体" w:cs="Times New Roman"/>
                <w:b/>
                <w:color w:val="auto"/>
                <w:sz w:val="24"/>
                <w:highlight w:val="none"/>
              </w:rPr>
              <w:t>…</w:t>
            </w:r>
          </w:p>
        </w:tc>
        <w:tc>
          <w:tcPr>
            <w:tcW w:w="1701" w:type="dxa"/>
            <w:noWrap w:val="0"/>
            <w:vAlign w:val="top"/>
          </w:tcPr>
          <w:p w14:paraId="7B3F5A1E">
            <w:pPr>
              <w:spacing w:line="360" w:lineRule="auto"/>
              <w:jc w:val="center"/>
              <w:rPr>
                <w:rFonts w:ascii="宋体" w:hAnsi="宋体" w:eastAsia="宋体" w:cs="Times New Roman"/>
                <w:b/>
                <w:color w:val="auto"/>
                <w:sz w:val="24"/>
                <w:highlight w:val="none"/>
              </w:rPr>
            </w:pPr>
          </w:p>
        </w:tc>
        <w:tc>
          <w:tcPr>
            <w:tcW w:w="1417" w:type="dxa"/>
            <w:noWrap w:val="0"/>
            <w:vAlign w:val="top"/>
          </w:tcPr>
          <w:p w14:paraId="1513780F">
            <w:pPr>
              <w:spacing w:line="360" w:lineRule="auto"/>
              <w:jc w:val="center"/>
              <w:rPr>
                <w:rFonts w:ascii="宋体" w:hAnsi="宋体" w:eastAsia="宋体" w:cs="Times New Roman"/>
                <w:b/>
                <w:color w:val="auto"/>
                <w:sz w:val="24"/>
                <w:highlight w:val="none"/>
              </w:rPr>
            </w:pPr>
          </w:p>
        </w:tc>
        <w:tc>
          <w:tcPr>
            <w:tcW w:w="1394" w:type="dxa"/>
            <w:noWrap w:val="0"/>
            <w:vAlign w:val="top"/>
          </w:tcPr>
          <w:p w14:paraId="36290789">
            <w:pPr>
              <w:spacing w:line="360" w:lineRule="auto"/>
              <w:jc w:val="center"/>
              <w:rPr>
                <w:rFonts w:ascii="宋体" w:hAnsi="宋体" w:eastAsia="宋体" w:cs="Times New Roman"/>
                <w:b/>
                <w:color w:val="auto"/>
                <w:sz w:val="24"/>
                <w:highlight w:val="none"/>
              </w:rPr>
            </w:pPr>
          </w:p>
        </w:tc>
        <w:tc>
          <w:tcPr>
            <w:tcW w:w="4382" w:type="dxa"/>
            <w:noWrap w:val="0"/>
            <w:vAlign w:val="top"/>
          </w:tcPr>
          <w:p w14:paraId="40E68BF5">
            <w:pPr>
              <w:spacing w:line="360" w:lineRule="auto"/>
              <w:jc w:val="center"/>
              <w:rPr>
                <w:rFonts w:ascii="宋体" w:hAnsi="宋体" w:eastAsia="宋体" w:cs="Times New Roman"/>
                <w:b/>
                <w:color w:val="auto"/>
                <w:sz w:val="24"/>
                <w:highlight w:val="none"/>
              </w:rPr>
            </w:pPr>
          </w:p>
        </w:tc>
      </w:tr>
      <w:tr w14:paraId="2F32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noWrap w:val="0"/>
            <w:vAlign w:val="top"/>
          </w:tcPr>
          <w:p w14:paraId="1EC14968">
            <w:pPr>
              <w:spacing w:line="360" w:lineRule="auto"/>
              <w:jc w:val="center"/>
              <w:rPr>
                <w:rFonts w:ascii="宋体" w:hAnsi="宋体" w:eastAsia="宋体" w:cs="Times New Roman"/>
                <w:b/>
                <w:color w:val="auto"/>
                <w:sz w:val="24"/>
                <w:highlight w:val="none"/>
              </w:rPr>
            </w:pPr>
          </w:p>
        </w:tc>
        <w:tc>
          <w:tcPr>
            <w:tcW w:w="1701" w:type="dxa"/>
            <w:noWrap w:val="0"/>
            <w:vAlign w:val="top"/>
          </w:tcPr>
          <w:p w14:paraId="2C204A0E">
            <w:pPr>
              <w:spacing w:line="360" w:lineRule="auto"/>
              <w:jc w:val="center"/>
              <w:rPr>
                <w:rFonts w:ascii="宋体" w:hAnsi="宋体" w:eastAsia="宋体" w:cs="Times New Roman"/>
                <w:b/>
                <w:color w:val="auto"/>
                <w:sz w:val="24"/>
                <w:highlight w:val="none"/>
              </w:rPr>
            </w:pPr>
          </w:p>
        </w:tc>
        <w:tc>
          <w:tcPr>
            <w:tcW w:w="1417" w:type="dxa"/>
            <w:noWrap w:val="0"/>
            <w:vAlign w:val="top"/>
          </w:tcPr>
          <w:p w14:paraId="1CBC0D1D">
            <w:pPr>
              <w:spacing w:line="360" w:lineRule="auto"/>
              <w:jc w:val="center"/>
              <w:rPr>
                <w:rFonts w:ascii="宋体" w:hAnsi="宋体" w:eastAsia="宋体" w:cs="Times New Roman"/>
                <w:b/>
                <w:color w:val="auto"/>
                <w:sz w:val="24"/>
                <w:highlight w:val="none"/>
              </w:rPr>
            </w:pPr>
          </w:p>
        </w:tc>
        <w:tc>
          <w:tcPr>
            <w:tcW w:w="1394" w:type="dxa"/>
            <w:noWrap w:val="0"/>
            <w:vAlign w:val="top"/>
          </w:tcPr>
          <w:p w14:paraId="7D16FFA8">
            <w:pPr>
              <w:spacing w:line="360" w:lineRule="auto"/>
              <w:jc w:val="center"/>
              <w:rPr>
                <w:rFonts w:ascii="宋体" w:hAnsi="宋体" w:eastAsia="宋体" w:cs="Times New Roman"/>
                <w:b/>
                <w:color w:val="auto"/>
                <w:sz w:val="24"/>
                <w:highlight w:val="none"/>
              </w:rPr>
            </w:pPr>
          </w:p>
        </w:tc>
        <w:tc>
          <w:tcPr>
            <w:tcW w:w="4382" w:type="dxa"/>
            <w:noWrap w:val="0"/>
            <w:vAlign w:val="top"/>
          </w:tcPr>
          <w:p w14:paraId="247693E1">
            <w:pPr>
              <w:spacing w:line="360" w:lineRule="auto"/>
              <w:jc w:val="center"/>
              <w:rPr>
                <w:rFonts w:ascii="宋体" w:hAnsi="宋体" w:eastAsia="宋体" w:cs="Times New Roman"/>
                <w:b/>
                <w:color w:val="auto"/>
                <w:sz w:val="24"/>
                <w:highlight w:val="none"/>
              </w:rPr>
            </w:pPr>
          </w:p>
        </w:tc>
      </w:tr>
    </w:tbl>
    <w:p w14:paraId="492BC1D7">
      <w:pPr>
        <w:spacing w:line="360" w:lineRule="auto"/>
        <w:jc w:val="left"/>
        <w:rPr>
          <w:rFonts w:ascii="宋体" w:hAnsi="宋体"/>
          <w:b/>
          <w:color w:val="auto"/>
          <w:sz w:val="24"/>
          <w:highlight w:val="none"/>
        </w:rPr>
      </w:pPr>
      <w:r>
        <w:rPr>
          <w:rFonts w:ascii="宋体" w:hAnsi="宋体"/>
          <w:b/>
          <w:color w:val="auto"/>
          <w:sz w:val="24"/>
          <w:highlight w:val="none"/>
        </w:rPr>
        <w:t>注</w:t>
      </w:r>
      <w:r>
        <w:rPr>
          <w:rFonts w:hint="eastAsia" w:ascii="宋体" w:hAnsi="宋体"/>
          <w:b/>
          <w:color w:val="auto"/>
          <w:sz w:val="24"/>
          <w:highlight w:val="none"/>
        </w:rPr>
        <w:t>：</w:t>
      </w:r>
      <w:r>
        <w:rPr>
          <w:rFonts w:hint="eastAsia" w:ascii="宋体" w:hAnsi="宋体"/>
          <w:color w:val="auto"/>
          <w:sz w:val="24"/>
          <w:highlight w:val="none"/>
        </w:rPr>
        <w:t>1、投</w:t>
      </w:r>
      <w:r>
        <w:rPr>
          <w:rFonts w:hint="eastAsia" w:ascii="宋体" w:hAnsi="宋体" w:cs="微软雅黑"/>
          <w:color w:val="auto"/>
          <w:sz w:val="24"/>
          <w:highlight w:val="none"/>
        </w:rPr>
        <w:t>标</w:t>
      </w:r>
      <w:r>
        <w:rPr>
          <w:rFonts w:hint="eastAsia" w:ascii="宋体" w:hAnsi="宋体" w:cs="Malgun Gothic"/>
          <w:color w:val="auto"/>
          <w:sz w:val="24"/>
          <w:highlight w:val="none"/>
        </w:rPr>
        <w:t>人</w:t>
      </w:r>
      <w:r>
        <w:rPr>
          <w:rFonts w:hint="eastAsia" w:ascii="宋体" w:hAnsi="宋体" w:cs="微软雅黑"/>
          <w:color w:val="auto"/>
          <w:sz w:val="24"/>
          <w:highlight w:val="none"/>
          <w:lang w:val="en-US" w:eastAsia="zh-CN"/>
        </w:rPr>
        <w:t>需</w:t>
      </w:r>
      <w:r>
        <w:rPr>
          <w:rFonts w:hint="eastAsia" w:ascii="宋体" w:hAnsi="宋体" w:cs="Malgun Gothic"/>
          <w:color w:val="auto"/>
          <w:sz w:val="24"/>
          <w:highlight w:val="none"/>
        </w:rPr>
        <w:t>如</w:t>
      </w:r>
      <w:r>
        <w:rPr>
          <w:rFonts w:hint="eastAsia" w:ascii="宋体" w:hAnsi="宋体" w:cs="微软雅黑"/>
          <w:color w:val="auto"/>
          <w:sz w:val="24"/>
          <w:highlight w:val="none"/>
        </w:rPr>
        <w:t>实填写</w:t>
      </w:r>
      <w:r>
        <w:rPr>
          <w:rFonts w:hint="eastAsia" w:ascii="宋体" w:hAnsi="宋体" w:cs="Malgun Gothic"/>
          <w:color w:val="auto"/>
          <w:sz w:val="24"/>
          <w:highlight w:val="none"/>
        </w:rPr>
        <w:t>公司所有在</w:t>
      </w:r>
      <w:r>
        <w:rPr>
          <w:rFonts w:hint="eastAsia" w:ascii="宋体" w:hAnsi="宋体" w:cs="微软雅黑"/>
          <w:color w:val="auto"/>
          <w:sz w:val="24"/>
          <w:highlight w:val="none"/>
        </w:rPr>
        <w:t>职</w:t>
      </w:r>
      <w:r>
        <w:rPr>
          <w:rFonts w:hint="eastAsia" w:ascii="宋体" w:hAnsi="宋体" w:cs="Malgun Gothic"/>
          <w:color w:val="auto"/>
          <w:sz w:val="24"/>
          <w:highlight w:val="none"/>
        </w:rPr>
        <w:t>人</w:t>
      </w:r>
      <w:r>
        <w:rPr>
          <w:rFonts w:hint="eastAsia" w:ascii="宋体" w:hAnsi="宋体" w:cs="微软雅黑"/>
          <w:color w:val="auto"/>
          <w:sz w:val="24"/>
          <w:highlight w:val="none"/>
        </w:rPr>
        <w:t>员</w:t>
      </w:r>
      <w:r>
        <w:rPr>
          <w:rFonts w:hint="eastAsia" w:ascii="宋体" w:hAnsi="宋体"/>
          <w:b/>
          <w:color w:val="auto"/>
          <w:sz w:val="24"/>
          <w:highlight w:val="none"/>
        </w:rPr>
        <w:t>。</w:t>
      </w:r>
    </w:p>
    <w:p w14:paraId="7A02DA7C">
      <w:pPr>
        <w:spacing w:line="360" w:lineRule="auto"/>
        <w:jc w:val="left"/>
        <w:rPr>
          <w:rFonts w:ascii="宋体" w:hAnsi="宋体"/>
          <w:b/>
          <w:color w:val="auto"/>
          <w:sz w:val="24"/>
          <w:highlight w:val="none"/>
        </w:rPr>
      </w:pPr>
      <w:r>
        <w:rPr>
          <w:rFonts w:hint="eastAsia" w:ascii="宋体" w:hAnsi="宋体"/>
          <w:color w:val="auto"/>
          <w:sz w:val="24"/>
          <w:highlight w:val="none"/>
        </w:rPr>
        <w:t>★</w:t>
      </w:r>
      <w:r>
        <w:rPr>
          <w:rFonts w:hint="eastAsia" w:ascii="宋体" w:hAnsi="宋体"/>
          <w:b/>
          <w:color w:val="auto"/>
          <w:sz w:val="24"/>
          <w:highlight w:val="none"/>
        </w:rPr>
        <w:t>2、</w:t>
      </w:r>
      <w:r>
        <w:rPr>
          <w:rFonts w:hint="eastAsia" w:ascii="宋体" w:hAnsi="宋体" w:cs="微软雅黑"/>
          <w:b/>
          <w:color w:val="auto"/>
          <w:sz w:val="24"/>
          <w:highlight w:val="none"/>
        </w:rPr>
        <w:t>评标</w:t>
      </w:r>
      <w:r>
        <w:rPr>
          <w:rFonts w:hint="eastAsia" w:ascii="宋体" w:hAnsi="宋体" w:cs="Malgun Gothic"/>
          <w:b/>
          <w:color w:val="auto"/>
          <w:sz w:val="24"/>
          <w:highlight w:val="none"/>
        </w:rPr>
        <w:t>委</w:t>
      </w:r>
      <w:r>
        <w:rPr>
          <w:rFonts w:hint="eastAsia" w:ascii="宋体" w:hAnsi="宋体" w:cs="微软雅黑"/>
          <w:b/>
          <w:color w:val="auto"/>
          <w:sz w:val="24"/>
          <w:highlight w:val="none"/>
        </w:rPr>
        <w:t>员会</w:t>
      </w:r>
      <w:r>
        <w:rPr>
          <w:rFonts w:hint="eastAsia" w:ascii="宋体" w:hAnsi="宋体" w:cs="Malgun Gothic"/>
          <w:b/>
          <w:color w:val="auto"/>
          <w:sz w:val="24"/>
          <w:highlight w:val="none"/>
        </w:rPr>
        <w:t>如</w:t>
      </w:r>
      <w:r>
        <w:rPr>
          <w:rFonts w:hint="eastAsia" w:ascii="宋体" w:hAnsi="宋体" w:cs="微软雅黑"/>
          <w:b/>
          <w:color w:val="auto"/>
          <w:sz w:val="24"/>
          <w:highlight w:val="none"/>
        </w:rPr>
        <w:t>发现</w:t>
      </w:r>
      <w:r>
        <w:rPr>
          <w:rFonts w:hint="eastAsia" w:ascii="宋体" w:hAnsi="宋体" w:cs="Malgun Gothic"/>
          <w:b/>
          <w:color w:val="auto"/>
          <w:sz w:val="24"/>
          <w:highlight w:val="none"/>
        </w:rPr>
        <w:t>投</w:t>
      </w:r>
      <w:r>
        <w:rPr>
          <w:rFonts w:hint="eastAsia" w:ascii="宋体" w:hAnsi="宋体" w:cs="微软雅黑"/>
          <w:b/>
          <w:color w:val="auto"/>
          <w:sz w:val="24"/>
          <w:highlight w:val="none"/>
        </w:rPr>
        <w:t>标</w:t>
      </w:r>
      <w:r>
        <w:rPr>
          <w:rFonts w:hint="eastAsia" w:ascii="宋体" w:hAnsi="宋体" w:cs="Malgun Gothic"/>
          <w:b/>
          <w:color w:val="auto"/>
          <w:sz w:val="24"/>
          <w:highlight w:val="none"/>
        </w:rPr>
        <w:t>人提供的在</w:t>
      </w:r>
      <w:r>
        <w:rPr>
          <w:rFonts w:hint="eastAsia" w:ascii="宋体" w:hAnsi="宋体" w:cs="微软雅黑"/>
          <w:b/>
          <w:color w:val="auto"/>
          <w:sz w:val="24"/>
          <w:highlight w:val="none"/>
        </w:rPr>
        <w:t>职</w:t>
      </w:r>
      <w:r>
        <w:rPr>
          <w:rFonts w:hint="eastAsia" w:ascii="宋体" w:hAnsi="宋体" w:cs="Malgun Gothic"/>
          <w:b/>
          <w:color w:val="auto"/>
          <w:sz w:val="24"/>
          <w:highlight w:val="none"/>
        </w:rPr>
        <w:t>人</w:t>
      </w:r>
      <w:r>
        <w:rPr>
          <w:rFonts w:hint="eastAsia" w:ascii="宋体" w:hAnsi="宋体" w:cs="微软雅黑"/>
          <w:b/>
          <w:color w:val="auto"/>
          <w:sz w:val="24"/>
          <w:highlight w:val="none"/>
        </w:rPr>
        <w:t>员与</w:t>
      </w:r>
      <w:r>
        <w:rPr>
          <w:rFonts w:hint="eastAsia" w:ascii="宋体" w:hAnsi="宋体" w:cs="Malgun Gothic"/>
          <w:b/>
          <w:color w:val="auto"/>
          <w:sz w:val="24"/>
          <w:highlight w:val="none"/>
        </w:rPr>
        <w:t>其他投</w:t>
      </w:r>
      <w:r>
        <w:rPr>
          <w:rFonts w:hint="eastAsia" w:ascii="宋体" w:hAnsi="宋体" w:cs="微软雅黑"/>
          <w:b/>
          <w:color w:val="auto"/>
          <w:sz w:val="24"/>
          <w:highlight w:val="none"/>
        </w:rPr>
        <w:t>标</w:t>
      </w:r>
      <w:r>
        <w:rPr>
          <w:rFonts w:hint="eastAsia" w:ascii="宋体" w:hAnsi="宋体" w:cs="Malgun Gothic"/>
          <w:b/>
          <w:color w:val="auto"/>
          <w:sz w:val="24"/>
          <w:highlight w:val="none"/>
        </w:rPr>
        <w:t>人所提供的在</w:t>
      </w:r>
      <w:r>
        <w:rPr>
          <w:rFonts w:hint="eastAsia" w:ascii="宋体" w:hAnsi="宋体" w:cs="微软雅黑"/>
          <w:b/>
          <w:color w:val="auto"/>
          <w:sz w:val="24"/>
          <w:highlight w:val="none"/>
        </w:rPr>
        <w:t>职</w:t>
      </w:r>
      <w:r>
        <w:rPr>
          <w:rFonts w:hint="eastAsia" w:ascii="宋体" w:hAnsi="宋体" w:cs="Malgun Gothic"/>
          <w:b/>
          <w:color w:val="auto"/>
          <w:sz w:val="24"/>
          <w:highlight w:val="none"/>
        </w:rPr>
        <w:t>人</w:t>
      </w:r>
      <w:r>
        <w:rPr>
          <w:rFonts w:hint="eastAsia" w:ascii="宋体" w:hAnsi="宋体" w:cs="微软雅黑"/>
          <w:b/>
          <w:color w:val="auto"/>
          <w:sz w:val="24"/>
          <w:highlight w:val="none"/>
        </w:rPr>
        <w:t>员</w:t>
      </w:r>
      <w:r>
        <w:rPr>
          <w:rFonts w:hint="eastAsia" w:ascii="宋体" w:hAnsi="宋体" w:cs="Malgun Gothic"/>
          <w:b/>
          <w:color w:val="auto"/>
          <w:sz w:val="24"/>
          <w:highlight w:val="none"/>
        </w:rPr>
        <w:t>存在重</w:t>
      </w:r>
      <w:r>
        <w:rPr>
          <w:rFonts w:hint="eastAsia" w:ascii="宋体" w:hAnsi="宋体" w:cs="微软雅黑"/>
          <w:b/>
          <w:color w:val="auto"/>
          <w:sz w:val="24"/>
          <w:highlight w:val="none"/>
        </w:rPr>
        <w:t>复</w:t>
      </w:r>
      <w:r>
        <w:rPr>
          <w:rFonts w:hint="eastAsia" w:ascii="宋体" w:hAnsi="宋体" w:cs="Malgun Gothic"/>
          <w:b/>
          <w:color w:val="auto"/>
          <w:sz w:val="24"/>
          <w:highlight w:val="none"/>
        </w:rPr>
        <w:t>的，相</w:t>
      </w:r>
      <w:r>
        <w:rPr>
          <w:rFonts w:hint="eastAsia" w:ascii="宋体" w:hAnsi="宋体" w:cs="微软雅黑"/>
          <w:b/>
          <w:color w:val="auto"/>
          <w:sz w:val="24"/>
          <w:highlight w:val="none"/>
        </w:rPr>
        <w:t>关</w:t>
      </w:r>
      <w:r>
        <w:rPr>
          <w:rFonts w:hint="eastAsia" w:ascii="宋体" w:hAnsi="宋体" w:cs="Malgun Gothic"/>
          <w:b/>
          <w:color w:val="auto"/>
          <w:sz w:val="24"/>
          <w:highlight w:val="none"/>
        </w:rPr>
        <w:t>投</w:t>
      </w:r>
      <w:r>
        <w:rPr>
          <w:rFonts w:hint="eastAsia" w:ascii="宋体" w:hAnsi="宋体" w:cs="微软雅黑"/>
          <w:b/>
          <w:color w:val="auto"/>
          <w:sz w:val="24"/>
          <w:highlight w:val="none"/>
        </w:rPr>
        <w:t>标</w:t>
      </w:r>
      <w:r>
        <w:rPr>
          <w:rFonts w:hint="eastAsia" w:ascii="宋体" w:hAnsi="宋体" w:cs="Malgun Gothic"/>
          <w:b/>
          <w:color w:val="auto"/>
          <w:sz w:val="24"/>
          <w:highlight w:val="none"/>
        </w:rPr>
        <w:t>均按不</w:t>
      </w:r>
      <w:r>
        <w:rPr>
          <w:rFonts w:hint="eastAsia" w:ascii="宋体" w:hAnsi="宋体" w:cs="微软雅黑"/>
          <w:b/>
          <w:color w:val="auto"/>
          <w:sz w:val="24"/>
          <w:highlight w:val="none"/>
        </w:rPr>
        <w:t>实质</w:t>
      </w:r>
      <w:r>
        <w:rPr>
          <w:rFonts w:hint="eastAsia" w:ascii="宋体" w:hAnsi="宋体" w:cs="Malgun Gothic"/>
          <w:b/>
          <w:color w:val="auto"/>
          <w:sz w:val="24"/>
          <w:highlight w:val="none"/>
        </w:rPr>
        <w:t>性</w:t>
      </w:r>
      <w:r>
        <w:rPr>
          <w:rFonts w:hint="eastAsia" w:ascii="宋体" w:hAnsi="宋体" w:cs="微软雅黑"/>
          <w:b/>
          <w:color w:val="auto"/>
          <w:sz w:val="24"/>
          <w:highlight w:val="none"/>
        </w:rPr>
        <w:t>响应</w:t>
      </w:r>
      <w:r>
        <w:rPr>
          <w:rFonts w:hint="eastAsia" w:ascii="宋体" w:hAnsi="宋体" w:cs="Malgun Gothic"/>
          <w:b/>
          <w:color w:val="auto"/>
          <w:sz w:val="24"/>
          <w:highlight w:val="none"/>
        </w:rPr>
        <w:t>招</w:t>
      </w:r>
      <w:r>
        <w:rPr>
          <w:rFonts w:hint="eastAsia" w:ascii="宋体" w:hAnsi="宋体" w:cs="微软雅黑"/>
          <w:b/>
          <w:color w:val="auto"/>
          <w:sz w:val="24"/>
          <w:highlight w:val="none"/>
        </w:rPr>
        <w:t>标</w:t>
      </w:r>
      <w:r>
        <w:rPr>
          <w:rFonts w:hint="eastAsia" w:ascii="宋体" w:hAnsi="宋体" w:cs="Malgun Gothic"/>
          <w:b/>
          <w:color w:val="auto"/>
          <w:sz w:val="24"/>
          <w:highlight w:val="none"/>
        </w:rPr>
        <w:t>文件要求</w:t>
      </w:r>
      <w:r>
        <w:rPr>
          <w:rFonts w:hint="eastAsia" w:ascii="宋体" w:hAnsi="宋体" w:cs="微软雅黑"/>
          <w:b/>
          <w:color w:val="auto"/>
          <w:sz w:val="24"/>
          <w:highlight w:val="none"/>
        </w:rPr>
        <w:t>处</w:t>
      </w:r>
      <w:r>
        <w:rPr>
          <w:rFonts w:hint="eastAsia" w:ascii="宋体" w:hAnsi="宋体" w:cs="Malgun Gothic"/>
          <w:b/>
          <w:color w:val="auto"/>
          <w:sz w:val="24"/>
          <w:highlight w:val="none"/>
        </w:rPr>
        <w:t>理。</w:t>
      </w:r>
    </w:p>
    <w:p w14:paraId="2ABB5B5B">
      <w:pPr>
        <w:spacing w:line="360" w:lineRule="auto"/>
        <w:ind w:firstLine="3033" w:firstLineChars="1264"/>
        <w:rPr>
          <w:rFonts w:ascii="宋体" w:hAnsi="宋体"/>
          <w:b/>
          <w:color w:val="auto"/>
          <w:sz w:val="24"/>
          <w:highlight w:val="none"/>
        </w:rPr>
      </w:pPr>
    </w:p>
    <w:p w14:paraId="3CDD0DD7">
      <w:pPr>
        <w:spacing w:line="360" w:lineRule="auto"/>
        <w:ind w:firstLine="3033" w:firstLineChars="1264"/>
        <w:rPr>
          <w:rFonts w:ascii="宋体" w:hAnsi="宋体"/>
          <w:b/>
          <w:color w:val="auto"/>
          <w:sz w:val="24"/>
          <w:highlight w:val="none"/>
        </w:rPr>
      </w:pPr>
    </w:p>
    <w:p w14:paraId="3ADD74C3">
      <w:pPr>
        <w:spacing w:line="360" w:lineRule="auto"/>
        <w:ind w:firstLine="3033" w:firstLineChars="1264"/>
        <w:rPr>
          <w:rFonts w:ascii="宋体" w:hAnsi="宋体"/>
          <w:b/>
          <w:color w:val="auto"/>
          <w:sz w:val="24"/>
          <w:highlight w:val="none"/>
        </w:rPr>
      </w:pPr>
    </w:p>
    <w:p w14:paraId="42C298D6">
      <w:pPr>
        <w:spacing w:line="360" w:lineRule="auto"/>
        <w:rPr>
          <w:rFonts w:hint="eastAsia" w:ascii="宋体" w:hAnsi="宋体"/>
          <w:color w:val="auto"/>
          <w:sz w:val="24"/>
          <w:highlight w:val="none"/>
        </w:rPr>
      </w:pPr>
    </w:p>
    <w:p w14:paraId="6D752CE5">
      <w:pPr>
        <w:spacing w:line="400" w:lineRule="exact"/>
        <w:rPr>
          <w:rFonts w:hint="eastAsia" w:ascii="宋体" w:hAnsi="宋体"/>
          <w:b/>
          <w:color w:val="auto"/>
          <w:sz w:val="24"/>
          <w:highlight w:val="none"/>
        </w:rPr>
      </w:pPr>
      <w:r>
        <w:rPr>
          <w:rFonts w:hint="eastAsia" w:ascii="宋体" w:hAnsi="宋体"/>
          <w:b/>
          <w:color w:val="auto"/>
          <w:sz w:val="24"/>
          <w:highlight w:val="none"/>
        </w:rPr>
        <w:t>投标人</w:t>
      </w:r>
      <w:r>
        <w:rPr>
          <w:rFonts w:ascii="宋体" w:hAnsi="宋体"/>
          <w:b/>
          <w:color w:val="auto"/>
          <w:sz w:val="24"/>
          <w:highlight w:val="none"/>
        </w:rPr>
        <w:t>：</w:t>
      </w:r>
      <w:r>
        <w:rPr>
          <w:rFonts w:ascii="宋体" w:hAnsi="宋体"/>
          <w:b/>
          <w:color w:val="auto"/>
          <w:sz w:val="24"/>
          <w:highlight w:val="none"/>
          <w:u w:val="single"/>
        </w:rPr>
        <w:t xml:space="preserve">                                   </w:t>
      </w:r>
      <w:r>
        <w:rPr>
          <w:rFonts w:ascii="宋体" w:hAnsi="宋体"/>
          <w:b/>
          <w:color w:val="auto"/>
          <w:sz w:val="24"/>
          <w:highlight w:val="none"/>
        </w:rPr>
        <w:t>（</w:t>
      </w:r>
      <w:r>
        <w:rPr>
          <w:rFonts w:hint="eastAsia" w:ascii="宋体" w:hAnsi="宋体"/>
          <w:b/>
          <w:color w:val="auto"/>
          <w:sz w:val="24"/>
          <w:highlight w:val="none"/>
        </w:rPr>
        <w:t>电子签章</w:t>
      </w:r>
      <w:r>
        <w:rPr>
          <w:rFonts w:ascii="宋体" w:hAnsi="宋体"/>
          <w:b/>
          <w:color w:val="auto"/>
          <w:sz w:val="24"/>
          <w:highlight w:val="none"/>
        </w:rPr>
        <w:t>）</w:t>
      </w:r>
    </w:p>
    <w:p w14:paraId="04933709">
      <w:pPr>
        <w:spacing w:line="400" w:lineRule="exact"/>
        <w:ind w:firstLine="2" w:firstLineChars="1"/>
        <w:rPr>
          <w:rFonts w:ascii="宋体" w:hAnsi="宋体"/>
          <w:b/>
          <w:color w:val="auto"/>
          <w:sz w:val="24"/>
          <w:highlight w:val="none"/>
        </w:rPr>
      </w:pPr>
    </w:p>
    <w:p w14:paraId="42003C51">
      <w:pPr>
        <w:spacing w:line="400" w:lineRule="exact"/>
        <w:ind w:firstLine="2" w:firstLineChars="1"/>
        <w:rPr>
          <w:rFonts w:hint="eastAsia" w:ascii="宋体" w:hAnsi="宋体"/>
          <w:b/>
          <w:color w:val="auto"/>
          <w:sz w:val="24"/>
          <w:highlight w:val="none"/>
        </w:rPr>
      </w:pPr>
      <w:r>
        <w:rPr>
          <w:rFonts w:ascii="宋体" w:hAnsi="宋体"/>
          <w:b/>
          <w:color w:val="auto"/>
          <w:sz w:val="24"/>
          <w:highlight w:val="none"/>
        </w:rPr>
        <w:t>法定代表人或其委托代理人：</w:t>
      </w:r>
      <w:r>
        <w:rPr>
          <w:rFonts w:ascii="宋体" w:hAnsi="宋体"/>
          <w:b/>
          <w:color w:val="auto"/>
          <w:sz w:val="24"/>
          <w:highlight w:val="none"/>
          <w:u w:val="single"/>
        </w:rPr>
        <w:t xml:space="preserve">               </w:t>
      </w:r>
      <w:r>
        <w:rPr>
          <w:rFonts w:ascii="宋体" w:hAnsi="宋体"/>
          <w:b/>
          <w:color w:val="auto"/>
          <w:sz w:val="24"/>
          <w:highlight w:val="none"/>
        </w:rPr>
        <w:t>（</w:t>
      </w:r>
      <w:r>
        <w:rPr>
          <w:rFonts w:hint="eastAsia" w:ascii="宋体" w:hAnsi="宋体"/>
          <w:b/>
          <w:color w:val="auto"/>
          <w:sz w:val="24"/>
          <w:highlight w:val="none"/>
          <w:lang w:eastAsia="zh-CN"/>
        </w:rPr>
        <w:t>电子签章或签名</w:t>
      </w:r>
      <w:r>
        <w:rPr>
          <w:rFonts w:ascii="宋体" w:hAnsi="宋体"/>
          <w:b/>
          <w:color w:val="auto"/>
          <w:sz w:val="24"/>
          <w:highlight w:val="none"/>
        </w:rPr>
        <w:t>）</w:t>
      </w:r>
    </w:p>
    <w:p w14:paraId="78FB7A1D">
      <w:pPr>
        <w:pStyle w:val="21"/>
        <w:spacing w:line="400" w:lineRule="exact"/>
        <w:rPr>
          <w:rFonts w:hAnsi="宋体"/>
          <w:b/>
          <w:color w:val="auto"/>
          <w:sz w:val="24"/>
          <w:szCs w:val="24"/>
          <w:highlight w:val="none"/>
        </w:rPr>
      </w:pPr>
    </w:p>
    <w:p w14:paraId="2E11B965">
      <w:pPr>
        <w:pStyle w:val="21"/>
        <w:spacing w:line="400" w:lineRule="exact"/>
        <w:rPr>
          <w:rFonts w:hAnsi="宋体"/>
          <w:b/>
          <w:color w:val="auto"/>
          <w:szCs w:val="21"/>
          <w:highlight w:val="none"/>
        </w:rPr>
        <w:sectPr>
          <w:pgSz w:w="11906" w:h="16838"/>
          <w:pgMar w:top="1191" w:right="1219" w:bottom="1134" w:left="1219" w:header="567" w:footer="567" w:gutter="0"/>
          <w:pgNumType w:fmt="numberInDash"/>
          <w:cols w:space="720" w:num="1"/>
          <w:docGrid w:type="linesAndChars" w:linePitch="331" w:charSpace="0"/>
        </w:sectPr>
      </w:pPr>
      <w:r>
        <w:rPr>
          <w:rFonts w:hint="eastAsia" w:hAnsi="宋体"/>
          <w:b/>
          <w:color w:val="auto"/>
          <w:sz w:val="24"/>
          <w:szCs w:val="24"/>
          <w:highlight w:val="none"/>
        </w:rPr>
        <w:t>日期：</w:t>
      </w:r>
      <w:r>
        <w:rPr>
          <w:rFonts w:hAnsi="宋体"/>
          <w:b/>
          <w:color w:val="auto"/>
          <w:sz w:val="24"/>
          <w:szCs w:val="24"/>
          <w:highlight w:val="none"/>
          <w:u w:val="single"/>
        </w:rPr>
        <w:t xml:space="preserve">            </w:t>
      </w:r>
      <w:r>
        <w:rPr>
          <w:rFonts w:hAnsi="宋体"/>
          <w:b/>
          <w:color w:val="auto"/>
          <w:sz w:val="24"/>
          <w:szCs w:val="24"/>
          <w:highlight w:val="none"/>
        </w:rPr>
        <w:t>年</w:t>
      </w:r>
      <w:r>
        <w:rPr>
          <w:rFonts w:hAnsi="宋体"/>
          <w:b/>
          <w:color w:val="auto"/>
          <w:sz w:val="24"/>
          <w:szCs w:val="24"/>
          <w:highlight w:val="none"/>
          <w:u w:val="single"/>
        </w:rPr>
        <w:t xml:space="preserve">       </w:t>
      </w:r>
      <w:r>
        <w:rPr>
          <w:rFonts w:hAnsi="宋体"/>
          <w:b/>
          <w:color w:val="auto"/>
          <w:sz w:val="24"/>
          <w:szCs w:val="24"/>
          <w:highlight w:val="none"/>
        </w:rPr>
        <w:t>月</w:t>
      </w:r>
      <w:r>
        <w:rPr>
          <w:rFonts w:hAnsi="宋体"/>
          <w:b/>
          <w:color w:val="auto"/>
          <w:sz w:val="24"/>
          <w:szCs w:val="24"/>
          <w:highlight w:val="none"/>
          <w:u w:val="single"/>
        </w:rPr>
        <w:t xml:space="preserve">       </w:t>
      </w:r>
      <w:r>
        <w:rPr>
          <w:rFonts w:hAnsi="宋体"/>
          <w:b/>
          <w:color w:val="auto"/>
          <w:sz w:val="24"/>
          <w:szCs w:val="24"/>
          <w:highlight w:val="none"/>
        </w:rPr>
        <w:t>日</w:t>
      </w:r>
    </w:p>
    <w:bookmarkEnd w:id="394"/>
    <w:p w14:paraId="650DCA80">
      <w:pPr>
        <w:pStyle w:val="5"/>
        <w:widowControl/>
        <w:numPr>
          <w:ilvl w:val="0"/>
          <w:numId w:val="0"/>
        </w:numPr>
        <w:autoSpaceDE w:val="0"/>
        <w:spacing w:before="0" w:after="0" w:line="240" w:lineRule="auto"/>
        <w:jc w:val="center"/>
        <w:rPr>
          <w:rFonts w:hint="eastAsia" w:ascii="宋体" w:hAnsi="宋体" w:cs="宋体"/>
          <w:color w:val="auto"/>
          <w:szCs w:val="28"/>
          <w:highlight w:val="none"/>
        </w:rPr>
      </w:pPr>
      <w:bookmarkStart w:id="409" w:name="_Toc3035"/>
      <w:bookmarkStart w:id="410" w:name="_Toc5182"/>
      <w:bookmarkStart w:id="411" w:name="_Toc10512"/>
      <w:r>
        <w:rPr>
          <w:rFonts w:hint="eastAsia" w:ascii="宋体" w:hAnsi="宋体"/>
          <w:color w:val="auto"/>
          <w:szCs w:val="21"/>
          <w:highlight w:val="none"/>
          <w:lang w:val="en-US" w:eastAsia="zh-CN"/>
        </w:rPr>
        <w:t>十三、</w:t>
      </w:r>
      <w:r>
        <w:rPr>
          <w:rFonts w:hint="eastAsia" w:ascii="宋体" w:hAnsi="宋体" w:cs="宋体"/>
          <w:color w:val="auto"/>
          <w:szCs w:val="28"/>
          <w:highlight w:val="none"/>
        </w:rPr>
        <w:t>分项报价表</w:t>
      </w:r>
      <w:bookmarkEnd w:id="409"/>
      <w:bookmarkEnd w:id="410"/>
      <w:bookmarkEnd w:id="411"/>
    </w:p>
    <w:tbl>
      <w:tblPr>
        <w:tblStyle w:val="37"/>
        <w:tblW w:w="54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614"/>
        <w:gridCol w:w="1379"/>
        <w:gridCol w:w="510"/>
        <w:gridCol w:w="466"/>
        <w:gridCol w:w="683"/>
        <w:gridCol w:w="758"/>
        <w:gridCol w:w="640"/>
        <w:gridCol w:w="483"/>
        <w:gridCol w:w="583"/>
        <w:gridCol w:w="485"/>
        <w:gridCol w:w="660"/>
        <w:gridCol w:w="833"/>
        <w:gridCol w:w="1008"/>
        <w:gridCol w:w="644"/>
      </w:tblGrid>
      <w:tr w14:paraId="2921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exact"/>
          <w:jc w:val="center"/>
        </w:trPr>
        <w:tc>
          <w:tcPr>
            <w:tcW w:w="373" w:type="pct"/>
            <w:shd w:val="clear" w:color="000000" w:fill="FFFFFF"/>
            <w:noWrap w:val="0"/>
            <w:vAlign w:val="center"/>
          </w:tcPr>
          <w:p w14:paraId="4ECCC9E4">
            <w:pPr>
              <w:spacing w:line="240" w:lineRule="exact"/>
              <w:jc w:val="center"/>
              <w:rPr>
                <w:rFonts w:hint="eastAsia" w:ascii="宋体" w:hAnsi="宋体" w:eastAsia="宋体" w:cs="宋体"/>
                <w:b/>
                <w:bCs/>
                <w:color w:val="auto"/>
                <w:spacing w:val="-20"/>
                <w:highlight w:val="none"/>
              </w:rPr>
            </w:pPr>
            <w:r>
              <w:rPr>
                <w:rFonts w:hint="eastAsia" w:ascii="宋体" w:hAnsi="宋体" w:eastAsia="宋体" w:cs="宋体"/>
                <w:b/>
                <w:bCs/>
                <w:color w:val="auto"/>
                <w:spacing w:val="-20"/>
                <w:highlight w:val="none"/>
              </w:rPr>
              <w:t>序号</w:t>
            </w:r>
          </w:p>
        </w:tc>
        <w:tc>
          <w:tcPr>
            <w:tcW w:w="291" w:type="pct"/>
            <w:shd w:val="clear" w:color="000000" w:fill="FFFFFF"/>
            <w:noWrap w:val="0"/>
            <w:vAlign w:val="center"/>
          </w:tcPr>
          <w:p w14:paraId="2EB08139">
            <w:pPr>
              <w:spacing w:line="240" w:lineRule="exact"/>
              <w:jc w:val="center"/>
              <w:rPr>
                <w:rFonts w:hint="eastAsia" w:ascii="宋体" w:hAnsi="宋体" w:eastAsia="宋体" w:cs="宋体"/>
                <w:b/>
                <w:bCs/>
                <w:color w:val="auto"/>
                <w:spacing w:val="-20"/>
                <w:highlight w:val="none"/>
              </w:rPr>
            </w:pPr>
            <w:r>
              <w:rPr>
                <w:rFonts w:hint="eastAsia" w:ascii="宋体" w:hAnsi="宋体" w:eastAsia="宋体" w:cs="宋体"/>
                <w:b/>
                <w:bCs/>
                <w:color w:val="auto"/>
                <w:spacing w:val="-20"/>
                <w:highlight w:val="none"/>
              </w:rPr>
              <w:t>标段代码</w:t>
            </w:r>
          </w:p>
        </w:tc>
        <w:tc>
          <w:tcPr>
            <w:tcW w:w="654" w:type="pct"/>
            <w:shd w:val="clear" w:color="000000" w:fill="FFFFFF"/>
            <w:noWrap w:val="0"/>
            <w:vAlign w:val="center"/>
          </w:tcPr>
          <w:p w14:paraId="12F0273D">
            <w:pPr>
              <w:spacing w:line="240" w:lineRule="exact"/>
              <w:jc w:val="center"/>
              <w:rPr>
                <w:rFonts w:hint="eastAsia" w:ascii="宋体" w:hAnsi="宋体" w:eastAsia="宋体" w:cs="宋体"/>
                <w:b/>
                <w:bCs/>
                <w:color w:val="auto"/>
                <w:spacing w:val="-20"/>
                <w:highlight w:val="none"/>
              </w:rPr>
            </w:pPr>
            <w:r>
              <w:rPr>
                <w:rFonts w:hint="eastAsia" w:ascii="宋体" w:hAnsi="宋体" w:eastAsia="宋体" w:cs="宋体"/>
                <w:b/>
                <w:bCs/>
                <w:color w:val="auto"/>
                <w:spacing w:val="-20"/>
                <w:highlight w:val="none"/>
              </w:rPr>
              <w:t>项目（产品）名称</w:t>
            </w:r>
          </w:p>
        </w:tc>
        <w:tc>
          <w:tcPr>
            <w:tcW w:w="242" w:type="pct"/>
            <w:shd w:val="clear" w:color="000000" w:fill="FFFFFF"/>
            <w:noWrap w:val="0"/>
            <w:vAlign w:val="center"/>
          </w:tcPr>
          <w:p w14:paraId="0972DA84">
            <w:pPr>
              <w:spacing w:line="240" w:lineRule="exact"/>
              <w:jc w:val="center"/>
              <w:rPr>
                <w:rFonts w:hint="eastAsia" w:ascii="宋体" w:hAnsi="宋体" w:eastAsia="宋体" w:cs="宋体"/>
                <w:b/>
                <w:bCs/>
                <w:color w:val="auto"/>
                <w:spacing w:val="-20"/>
                <w:highlight w:val="none"/>
              </w:rPr>
            </w:pPr>
            <w:r>
              <w:rPr>
                <w:rFonts w:hint="eastAsia" w:ascii="宋体" w:hAnsi="宋体" w:eastAsia="宋体" w:cs="宋体"/>
                <w:b/>
                <w:bCs/>
                <w:color w:val="auto"/>
                <w:spacing w:val="-20"/>
                <w:highlight w:val="none"/>
              </w:rPr>
              <w:t>数量</w:t>
            </w:r>
          </w:p>
        </w:tc>
        <w:tc>
          <w:tcPr>
            <w:tcW w:w="221" w:type="pct"/>
            <w:shd w:val="clear" w:color="000000" w:fill="FFFFFF"/>
            <w:noWrap w:val="0"/>
            <w:vAlign w:val="center"/>
          </w:tcPr>
          <w:p w14:paraId="5608EE1B">
            <w:pPr>
              <w:pStyle w:val="21"/>
              <w:spacing w:line="240" w:lineRule="atLeas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计量</w:t>
            </w:r>
            <w:r>
              <w:rPr>
                <w:rFonts w:hint="eastAsia" w:ascii="宋体" w:hAnsi="宋体" w:eastAsia="宋体" w:cs="宋体"/>
                <w:b/>
                <w:bCs/>
                <w:color w:val="auto"/>
                <w:szCs w:val="21"/>
                <w:highlight w:val="none"/>
              </w:rPr>
              <w:br w:type="textWrapping"/>
            </w:r>
            <w:r>
              <w:rPr>
                <w:rFonts w:hint="eastAsia" w:ascii="宋体" w:hAnsi="宋体" w:eastAsia="宋体" w:cs="宋体"/>
                <w:b/>
                <w:bCs/>
                <w:color w:val="auto"/>
                <w:szCs w:val="21"/>
                <w:highlight w:val="none"/>
              </w:rPr>
              <w:t>单位</w:t>
            </w:r>
          </w:p>
        </w:tc>
        <w:tc>
          <w:tcPr>
            <w:tcW w:w="324" w:type="pct"/>
            <w:shd w:val="clear" w:color="000000" w:fill="FFFFFF"/>
            <w:noWrap w:val="0"/>
            <w:vAlign w:val="center"/>
          </w:tcPr>
          <w:p w14:paraId="7EEF2B89">
            <w:pPr>
              <w:pStyle w:val="21"/>
              <w:spacing w:line="240" w:lineRule="atLeas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最高限价（元）</w:t>
            </w:r>
          </w:p>
        </w:tc>
        <w:tc>
          <w:tcPr>
            <w:tcW w:w="359" w:type="pct"/>
            <w:shd w:val="clear" w:color="000000" w:fill="FFFFFF"/>
            <w:noWrap w:val="0"/>
            <w:vAlign w:val="center"/>
          </w:tcPr>
          <w:p w14:paraId="567B2DFC">
            <w:pPr>
              <w:pStyle w:val="21"/>
              <w:spacing w:line="240" w:lineRule="atLeast"/>
              <w:jc w:val="center"/>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rPr>
              <w:t>医疗器械注册证号</w:t>
            </w:r>
            <w:r>
              <w:rPr>
                <w:rFonts w:hint="eastAsia" w:hAnsi="宋体" w:cs="宋体"/>
                <w:b/>
                <w:bCs/>
                <w:color w:val="auto"/>
                <w:szCs w:val="21"/>
                <w:highlight w:val="none"/>
                <w:lang w:eastAsia="zh-CN"/>
              </w:rPr>
              <w:t>（</w:t>
            </w:r>
            <w:r>
              <w:rPr>
                <w:rFonts w:hint="eastAsia" w:hAnsi="宋体" w:cs="宋体"/>
                <w:b/>
                <w:bCs/>
                <w:color w:val="auto"/>
                <w:szCs w:val="21"/>
                <w:highlight w:val="none"/>
                <w:lang w:val="en-US" w:eastAsia="zh-CN"/>
              </w:rPr>
              <w:t>如有</w:t>
            </w:r>
            <w:r>
              <w:rPr>
                <w:rFonts w:hint="eastAsia" w:hAnsi="宋体" w:cs="宋体"/>
                <w:b/>
                <w:bCs/>
                <w:color w:val="auto"/>
                <w:szCs w:val="21"/>
                <w:highlight w:val="none"/>
                <w:lang w:eastAsia="zh-CN"/>
              </w:rPr>
              <w:t>）</w:t>
            </w:r>
          </w:p>
        </w:tc>
        <w:tc>
          <w:tcPr>
            <w:tcW w:w="303" w:type="pct"/>
            <w:shd w:val="clear" w:color="000000" w:fill="FFFFFF"/>
            <w:noWrap w:val="0"/>
            <w:vAlign w:val="center"/>
          </w:tcPr>
          <w:p w14:paraId="2C4E6C00">
            <w:pPr>
              <w:pStyle w:val="21"/>
              <w:spacing w:line="240" w:lineRule="atLeas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制造商名称、国别</w:t>
            </w:r>
          </w:p>
        </w:tc>
        <w:tc>
          <w:tcPr>
            <w:tcW w:w="229" w:type="pct"/>
            <w:shd w:val="clear" w:color="000000" w:fill="FFFFFF"/>
            <w:noWrap w:val="0"/>
            <w:vAlign w:val="center"/>
          </w:tcPr>
          <w:p w14:paraId="0C2E8463">
            <w:pPr>
              <w:pStyle w:val="21"/>
              <w:spacing w:line="240" w:lineRule="atLeas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品牌</w:t>
            </w:r>
          </w:p>
        </w:tc>
        <w:tc>
          <w:tcPr>
            <w:tcW w:w="276" w:type="pct"/>
            <w:shd w:val="clear" w:color="000000" w:fill="FFFFFF"/>
            <w:noWrap w:val="0"/>
            <w:vAlign w:val="center"/>
          </w:tcPr>
          <w:p w14:paraId="2163183D">
            <w:pPr>
              <w:pStyle w:val="21"/>
              <w:spacing w:line="240" w:lineRule="atLeas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型号和规格</w:t>
            </w:r>
          </w:p>
        </w:tc>
        <w:tc>
          <w:tcPr>
            <w:tcW w:w="230" w:type="pct"/>
            <w:shd w:val="clear" w:color="000000" w:fill="FFFFFF"/>
            <w:noWrap w:val="0"/>
            <w:vAlign w:val="center"/>
          </w:tcPr>
          <w:p w14:paraId="3EAE100F">
            <w:pPr>
              <w:pStyle w:val="21"/>
              <w:spacing w:line="240" w:lineRule="atLeas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原产地</w:t>
            </w:r>
          </w:p>
        </w:tc>
        <w:tc>
          <w:tcPr>
            <w:tcW w:w="313" w:type="pct"/>
            <w:shd w:val="clear" w:color="000000" w:fill="FFFFFF"/>
            <w:noWrap w:val="0"/>
            <w:vAlign w:val="center"/>
          </w:tcPr>
          <w:p w14:paraId="1D1F9FFC">
            <w:pPr>
              <w:pStyle w:val="21"/>
              <w:spacing w:line="240" w:lineRule="atLeas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制造商名称</w:t>
            </w:r>
          </w:p>
        </w:tc>
        <w:tc>
          <w:tcPr>
            <w:tcW w:w="395" w:type="pct"/>
            <w:shd w:val="clear" w:color="000000" w:fill="FFFFFF"/>
            <w:noWrap w:val="0"/>
            <w:vAlign w:val="center"/>
          </w:tcPr>
          <w:p w14:paraId="19235E2C">
            <w:pPr>
              <w:pStyle w:val="21"/>
              <w:spacing w:line="240" w:lineRule="atLeast"/>
              <w:jc w:val="center"/>
              <w:rPr>
                <w:rFonts w:hint="eastAsia" w:hAnsi="宋体" w:cs="宋体"/>
                <w:b/>
                <w:bCs/>
                <w:color w:val="auto"/>
                <w:spacing w:val="-20"/>
                <w:szCs w:val="21"/>
                <w:highlight w:val="none"/>
              </w:rPr>
            </w:pPr>
            <w:r>
              <w:rPr>
                <w:rFonts w:hint="eastAsia" w:hAnsi="宋体" w:cs="宋体"/>
                <w:b/>
                <w:bCs/>
                <w:color w:val="auto"/>
                <w:szCs w:val="21"/>
                <w:highlight w:val="none"/>
              </w:rPr>
              <w:t>单价（元）</w:t>
            </w:r>
          </w:p>
        </w:tc>
        <w:tc>
          <w:tcPr>
            <w:tcW w:w="478" w:type="pct"/>
            <w:shd w:val="clear" w:color="000000" w:fill="FFFFFF"/>
            <w:noWrap w:val="0"/>
            <w:vAlign w:val="center"/>
          </w:tcPr>
          <w:p w14:paraId="4B60C422">
            <w:pPr>
              <w:pStyle w:val="21"/>
              <w:spacing w:line="240" w:lineRule="atLeast"/>
              <w:jc w:val="center"/>
              <w:rPr>
                <w:rFonts w:hint="eastAsia" w:hAnsi="宋体" w:cs="宋体"/>
                <w:b/>
                <w:bCs/>
                <w:color w:val="auto"/>
                <w:spacing w:val="-20"/>
                <w:szCs w:val="21"/>
                <w:highlight w:val="none"/>
              </w:rPr>
            </w:pPr>
            <w:r>
              <w:rPr>
                <w:rFonts w:hint="eastAsia" w:hAnsi="宋体" w:cs="宋体"/>
                <w:b/>
                <w:bCs/>
                <w:color w:val="auto"/>
                <w:szCs w:val="21"/>
                <w:highlight w:val="none"/>
              </w:rPr>
              <w:t>合价（元）</w:t>
            </w:r>
          </w:p>
        </w:tc>
        <w:tc>
          <w:tcPr>
            <w:tcW w:w="305" w:type="pct"/>
            <w:shd w:val="clear" w:color="000000" w:fill="FFFFFF"/>
            <w:noWrap w:val="0"/>
            <w:vAlign w:val="center"/>
          </w:tcPr>
          <w:p w14:paraId="193112FB">
            <w:pPr>
              <w:pStyle w:val="21"/>
              <w:spacing w:line="240" w:lineRule="atLeast"/>
              <w:jc w:val="center"/>
              <w:rPr>
                <w:rFonts w:hint="eastAsia" w:hAnsi="宋体" w:cs="宋体"/>
                <w:b/>
                <w:bCs/>
                <w:color w:val="auto"/>
                <w:spacing w:val="-20"/>
                <w:szCs w:val="21"/>
                <w:highlight w:val="none"/>
              </w:rPr>
            </w:pPr>
            <w:r>
              <w:rPr>
                <w:rFonts w:hint="eastAsia" w:hAnsi="宋体" w:cs="宋体"/>
                <w:b/>
                <w:bCs/>
                <w:color w:val="auto"/>
                <w:szCs w:val="21"/>
                <w:highlight w:val="none"/>
              </w:rPr>
              <w:t>备注</w:t>
            </w:r>
          </w:p>
        </w:tc>
      </w:tr>
      <w:tr w14:paraId="55BF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373" w:type="pct"/>
            <w:shd w:val="clear" w:color="000000" w:fill="FFFFFF"/>
            <w:noWrap w:val="0"/>
            <w:vAlign w:val="center"/>
          </w:tcPr>
          <w:p w14:paraId="5ECB84AA">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91" w:type="pct"/>
            <w:shd w:val="clear" w:color="000000" w:fill="FFFFFF"/>
            <w:noWrap w:val="0"/>
            <w:vAlign w:val="center"/>
          </w:tcPr>
          <w:p w14:paraId="3BEDD4DF">
            <w:pPr>
              <w:jc w:val="center"/>
              <w:rPr>
                <w:rFonts w:ascii="宋体" w:hAnsi="宋体" w:eastAsia="宋体" w:cs="宋体"/>
                <w:color w:val="auto"/>
                <w:highlight w:val="none"/>
              </w:rPr>
            </w:pPr>
          </w:p>
        </w:tc>
        <w:tc>
          <w:tcPr>
            <w:tcW w:w="654" w:type="pct"/>
            <w:shd w:val="clear" w:color="auto" w:fill="FFFFFF"/>
            <w:noWrap w:val="0"/>
            <w:vAlign w:val="center"/>
          </w:tcPr>
          <w:p w14:paraId="66174EA8">
            <w:pPr>
              <w:jc w:val="center"/>
              <w:rPr>
                <w:rFonts w:hint="eastAsia" w:ascii="宋体" w:hAnsi="宋体" w:eastAsia="宋体" w:cs="宋体"/>
                <w:color w:val="auto"/>
                <w:highlight w:val="none"/>
                <w:lang w:eastAsia="zh-CN"/>
              </w:rPr>
            </w:pPr>
          </w:p>
        </w:tc>
        <w:tc>
          <w:tcPr>
            <w:tcW w:w="242" w:type="pct"/>
            <w:shd w:val="clear" w:color="auto" w:fill="FFFFFF"/>
            <w:noWrap w:val="0"/>
            <w:vAlign w:val="center"/>
          </w:tcPr>
          <w:p w14:paraId="693B3108">
            <w:pPr>
              <w:jc w:val="center"/>
              <w:rPr>
                <w:rFonts w:hint="eastAsia" w:ascii="宋体" w:hAnsi="宋体" w:eastAsia="宋体" w:cs="宋体"/>
                <w:color w:val="auto"/>
                <w:highlight w:val="none"/>
                <w:lang w:val="en-US" w:eastAsia="zh-CN"/>
              </w:rPr>
            </w:pPr>
          </w:p>
        </w:tc>
        <w:tc>
          <w:tcPr>
            <w:tcW w:w="221" w:type="pct"/>
            <w:shd w:val="clear" w:color="auto" w:fill="FFFFFF"/>
            <w:noWrap w:val="0"/>
            <w:vAlign w:val="center"/>
          </w:tcPr>
          <w:p w14:paraId="322D999F">
            <w:pPr>
              <w:jc w:val="center"/>
              <w:rPr>
                <w:rFonts w:hint="eastAsia" w:ascii="宋体" w:hAnsi="宋体" w:eastAsia="宋体" w:cs="宋体"/>
                <w:color w:val="auto"/>
                <w:highlight w:val="none"/>
                <w:lang w:val="en-US" w:eastAsia="zh-CN"/>
              </w:rPr>
            </w:pPr>
          </w:p>
        </w:tc>
        <w:tc>
          <w:tcPr>
            <w:tcW w:w="324" w:type="pct"/>
            <w:shd w:val="clear" w:color="000000" w:fill="FFFFFF"/>
            <w:noWrap w:val="0"/>
            <w:vAlign w:val="center"/>
          </w:tcPr>
          <w:p w14:paraId="353F4C1A">
            <w:pPr>
              <w:spacing w:line="240" w:lineRule="exact"/>
              <w:jc w:val="center"/>
              <w:rPr>
                <w:rFonts w:hint="default" w:ascii="宋体" w:hAnsi="宋体" w:eastAsia="宋体" w:cs="宋体"/>
                <w:color w:val="auto"/>
                <w:highlight w:val="none"/>
                <w:lang w:val="en-US" w:eastAsia="zh-CN"/>
              </w:rPr>
            </w:pPr>
          </w:p>
        </w:tc>
        <w:tc>
          <w:tcPr>
            <w:tcW w:w="359" w:type="pct"/>
            <w:shd w:val="clear" w:color="000000" w:fill="FFFFFF"/>
            <w:noWrap w:val="0"/>
            <w:vAlign w:val="center"/>
          </w:tcPr>
          <w:p w14:paraId="771C5269">
            <w:pPr>
              <w:jc w:val="center"/>
              <w:rPr>
                <w:rFonts w:hint="eastAsia" w:ascii="宋体" w:hAnsi="宋体" w:eastAsia="宋体" w:cs="宋体"/>
                <w:color w:val="auto"/>
                <w:highlight w:val="none"/>
              </w:rPr>
            </w:pPr>
          </w:p>
        </w:tc>
        <w:tc>
          <w:tcPr>
            <w:tcW w:w="303" w:type="pct"/>
            <w:shd w:val="clear" w:color="000000" w:fill="FFFFFF"/>
            <w:noWrap w:val="0"/>
            <w:vAlign w:val="center"/>
          </w:tcPr>
          <w:p w14:paraId="2D0A4857">
            <w:pPr>
              <w:jc w:val="center"/>
              <w:rPr>
                <w:rFonts w:hint="eastAsia" w:ascii="宋体" w:hAnsi="宋体" w:eastAsia="宋体" w:cs="宋体"/>
                <w:color w:val="auto"/>
                <w:highlight w:val="none"/>
              </w:rPr>
            </w:pPr>
          </w:p>
        </w:tc>
        <w:tc>
          <w:tcPr>
            <w:tcW w:w="229" w:type="pct"/>
            <w:shd w:val="clear" w:color="000000" w:fill="FFFFFF"/>
            <w:noWrap w:val="0"/>
            <w:vAlign w:val="center"/>
          </w:tcPr>
          <w:p w14:paraId="0B2E2F6A">
            <w:pPr>
              <w:jc w:val="center"/>
              <w:rPr>
                <w:rFonts w:hint="eastAsia" w:ascii="宋体" w:hAnsi="宋体" w:eastAsia="宋体" w:cs="宋体"/>
                <w:color w:val="auto"/>
                <w:highlight w:val="none"/>
              </w:rPr>
            </w:pPr>
          </w:p>
        </w:tc>
        <w:tc>
          <w:tcPr>
            <w:tcW w:w="276" w:type="pct"/>
            <w:shd w:val="clear" w:color="000000" w:fill="FFFFFF"/>
            <w:noWrap w:val="0"/>
            <w:vAlign w:val="center"/>
          </w:tcPr>
          <w:p w14:paraId="1CCB3F02">
            <w:pPr>
              <w:jc w:val="center"/>
              <w:rPr>
                <w:rFonts w:hint="eastAsia" w:ascii="宋体" w:hAnsi="宋体" w:eastAsia="宋体" w:cs="宋体"/>
                <w:color w:val="auto"/>
                <w:highlight w:val="none"/>
              </w:rPr>
            </w:pPr>
          </w:p>
        </w:tc>
        <w:tc>
          <w:tcPr>
            <w:tcW w:w="230" w:type="pct"/>
            <w:shd w:val="clear" w:color="000000" w:fill="FFFFFF"/>
            <w:noWrap w:val="0"/>
            <w:vAlign w:val="center"/>
          </w:tcPr>
          <w:p w14:paraId="5B20A8B4">
            <w:pPr>
              <w:jc w:val="center"/>
              <w:rPr>
                <w:rFonts w:hint="eastAsia" w:ascii="宋体" w:hAnsi="宋体" w:eastAsia="宋体" w:cs="宋体"/>
                <w:color w:val="auto"/>
                <w:highlight w:val="none"/>
              </w:rPr>
            </w:pPr>
          </w:p>
        </w:tc>
        <w:tc>
          <w:tcPr>
            <w:tcW w:w="313" w:type="pct"/>
            <w:shd w:val="clear" w:color="000000" w:fill="FFFFFF"/>
            <w:noWrap w:val="0"/>
            <w:vAlign w:val="center"/>
          </w:tcPr>
          <w:p w14:paraId="047DC380">
            <w:pPr>
              <w:jc w:val="center"/>
              <w:rPr>
                <w:rFonts w:hint="eastAsia" w:ascii="宋体" w:hAnsi="宋体" w:eastAsia="宋体" w:cs="宋体"/>
                <w:color w:val="auto"/>
                <w:highlight w:val="none"/>
              </w:rPr>
            </w:pPr>
          </w:p>
        </w:tc>
        <w:tc>
          <w:tcPr>
            <w:tcW w:w="395" w:type="pct"/>
            <w:shd w:val="clear" w:color="000000" w:fill="FFFFFF"/>
            <w:noWrap w:val="0"/>
            <w:vAlign w:val="center"/>
          </w:tcPr>
          <w:p w14:paraId="42EFE2D0">
            <w:pPr>
              <w:jc w:val="center"/>
              <w:rPr>
                <w:rFonts w:hint="eastAsia" w:ascii="宋体" w:hAnsi="宋体" w:eastAsia="宋体" w:cs="宋体"/>
                <w:color w:val="auto"/>
                <w:highlight w:val="none"/>
              </w:rPr>
            </w:pPr>
          </w:p>
        </w:tc>
        <w:tc>
          <w:tcPr>
            <w:tcW w:w="478" w:type="pct"/>
            <w:shd w:val="clear" w:color="000000" w:fill="FFFFFF"/>
            <w:noWrap w:val="0"/>
            <w:vAlign w:val="center"/>
          </w:tcPr>
          <w:p w14:paraId="34DF440E">
            <w:pPr>
              <w:jc w:val="center"/>
              <w:rPr>
                <w:rFonts w:hint="eastAsia" w:ascii="宋体" w:hAnsi="宋体" w:eastAsia="宋体" w:cs="宋体"/>
                <w:color w:val="auto"/>
                <w:highlight w:val="none"/>
              </w:rPr>
            </w:pPr>
          </w:p>
        </w:tc>
        <w:tc>
          <w:tcPr>
            <w:tcW w:w="305" w:type="pct"/>
            <w:shd w:val="clear" w:color="000000" w:fill="FFFFFF"/>
            <w:noWrap w:val="0"/>
            <w:vAlign w:val="center"/>
          </w:tcPr>
          <w:p w14:paraId="3D461794">
            <w:pPr>
              <w:jc w:val="center"/>
              <w:rPr>
                <w:rFonts w:hint="eastAsia" w:ascii="宋体" w:hAnsi="宋体" w:eastAsia="宋体" w:cs="宋体"/>
                <w:color w:val="auto"/>
                <w:highlight w:val="none"/>
              </w:rPr>
            </w:pPr>
          </w:p>
        </w:tc>
      </w:tr>
      <w:tr w14:paraId="4014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000" w:type="pct"/>
            <w:gridSpan w:val="15"/>
            <w:shd w:val="clear" w:color="000000" w:fill="FFFFFF"/>
            <w:noWrap w:val="0"/>
            <w:vAlign w:val="center"/>
          </w:tcPr>
          <w:p w14:paraId="4FB34DB6">
            <w:pPr>
              <w:jc w:val="center"/>
              <w:rPr>
                <w:rFonts w:hint="eastAsia" w:ascii="宋体" w:hAnsi="宋体" w:eastAsia="宋体" w:cs="宋体"/>
                <w:color w:val="auto"/>
                <w:highlight w:val="none"/>
              </w:rPr>
            </w:pPr>
            <w:r>
              <w:rPr>
                <w:rFonts w:hint="eastAsia" w:ascii="宋体" w:hAnsi="宋体" w:eastAsia="宋体" w:cs="宋体"/>
                <w:b/>
                <w:bCs/>
                <w:color w:val="auto"/>
                <w:highlight w:val="none"/>
              </w:rPr>
              <w:t>投标总报价：</w:t>
            </w:r>
            <w:r>
              <w:rPr>
                <w:rFonts w:hint="eastAsia" w:ascii="宋体" w:hAnsi="宋体" w:eastAsia="宋体" w:cs="宋体"/>
                <w:b/>
                <w:bCs/>
                <w:color w:val="auto"/>
                <w:highlight w:val="none"/>
                <w:u w:val="single"/>
              </w:rPr>
              <w:t xml:space="preserve">               元</w:t>
            </w:r>
          </w:p>
        </w:tc>
      </w:tr>
    </w:tbl>
    <w:p w14:paraId="2B41C47C">
      <w:pPr>
        <w:rPr>
          <w:rFonts w:hint="eastAsia"/>
          <w:color w:val="auto"/>
          <w:highlight w:val="none"/>
        </w:rPr>
      </w:pPr>
    </w:p>
    <w:p w14:paraId="1143B8C1">
      <w:pPr>
        <w:pStyle w:val="21"/>
        <w:spacing w:line="240" w:lineRule="atLeast"/>
        <w:ind w:firstLine="422" w:firstLineChars="200"/>
        <w:rPr>
          <w:rFonts w:hint="eastAsia" w:hAnsi="宋体" w:cs="宋体"/>
          <w:b/>
          <w:color w:val="auto"/>
          <w:highlight w:val="none"/>
        </w:rPr>
      </w:pPr>
      <w:r>
        <w:rPr>
          <w:rFonts w:hint="eastAsia" w:hAnsi="宋体" w:cs="宋体"/>
          <w:b/>
          <w:color w:val="auto"/>
          <w:highlight w:val="none"/>
        </w:rPr>
        <w:t>注：</w:t>
      </w:r>
      <w:r>
        <w:rPr>
          <w:rFonts w:hint="eastAsia" w:hAnsi="宋体" w:cs="宋体"/>
          <w:b/>
          <w:color w:val="auto"/>
          <w:highlight w:val="none"/>
          <w:lang w:val="en-US" w:eastAsia="zh-CN"/>
        </w:rPr>
        <w:t>1.</w:t>
      </w:r>
      <w:r>
        <w:rPr>
          <w:rFonts w:hint="eastAsia" w:hAnsi="宋体" w:cs="宋体"/>
          <w:b/>
          <w:color w:val="auto"/>
          <w:highlight w:val="none"/>
        </w:rPr>
        <w:t>投标人的报价（单价及总价）均不得超过预算金额、预算单价及最高限价！！！！</w:t>
      </w:r>
    </w:p>
    <w:p w14:paraId="30561619">
      <w:pPr>
        <w:pStyle w:val="21"/>
        <w:spacing w:line="240" w:lineRule="atLeast"/>
        <w:ind w:firstLine="422" w:firstLineChars="200"/>
        <w:rPr>
          <w:rFonts w:hint="eastAsia" w:ascii="宋体" w:hAnsi="Courier New" w:eastAsia="宋体" w:cs="Times New Roman"/>
          <w:b/>
          <w:color w:val="auto"/>
          <w:szCs w:val="21"/>
          <w:highlight w:val="none"/>
        </w:rPr>
      </w:pPr>
      <w:r>
        <w:rPr>
          <w:rFonts w:hint="eastAsia" w:ascii="宋体" w:hAnsi="宋体" w:eastAsia="宋体" w:cs="宋体"/>
          <w:b/>
          <w:color w:val="auto"/>
          <w:szCs w:val="21"/>
          <w:highlight w:val="none"/>
          <w:lang w:val="en-US" w:eastAsia="zh-CN"/>
        </w:rPr>
        <w:t>★</w:t>
      </w:r>
      <w:r>
        <w:rPr>
          <w:rFonts w:hint="eastAsia"/>
          <w:b/>
          <w:color w:val="auto"/>
          <w:szCs w:val="21"/>
          <w:highlight w:val="none"/>
          <w:lang w:val="en-US" w:eastAsia="zh-CN"/>
        </w:rPr>
        <w:t>2</w:t>
      </w:r>
      <w:r>
        <w:rPr>
          <w:rFonts w:hint="eastAsia"/>
          <w:b/>
          <w:color w:val="auto"/>
          <w:szCs w:val="21"/>
          <w:highlight w:val="none"/>
        </w:rPr>
        <w:t>、</w:t>
      </w:r>
      <w:r>
        <w:rPr>
          <w:rFonts w:hint="eastAsia" w:ascii="宋体" w:hAnsi="Courier New" w:eastAsia="宋体" w:cs="Times New Roman"/>
          <w:b/>
          <w:color w:val="auto"/>
          <w:szCs w:val="21"/>
          <w:highlight w:val="none"/>
        </w:rPr>
        <w:t>对于单个序号的产品，只能响应一个型号，不接受多个型号对单个序号产品进行响应及报价。例如：001包：</w:t>
      </w:r>
      <w:r>
        <w:rPr>
          <w:rFonts w:hint="eastAsia" w:ascii="宋体" w:hAnsi="Courier New" w:eastAsia="宋体" w:cs="Times New Roman"/>
          <w:b/>
          <w:color w:val="auto"/>
          <w:sz w:val="21"/>
          <w:szCs w:val="21"/>
          <w:highlight w:val="none"/>
          <w:lang w:val="en-US" w:eastAsia="zh-CN"/>
        </w:rPr>
        <w:t>注射泵（输液信息采集系统）</w:t>
      </w:r>
      <w:r>
        <w:rPr>
          <w:rFonts w:hint="eastAsia" w:ascii="宋体" w:hAnsi="Courier New" w:eastAsia="宋体" w:cs="Times New Roman"/>
          <w:b/>
          <w:color w:val="auto"/>
          <w:szCs w:val="21"/>
          <w:highlight w:val="none"/>
        </w:rPr>
        <w:t>，数量</w:t>
      </w:r>
      <w:r>
        <w:rPr>
          <w:rFonts w:hint="eastAsia" w:ascii="宋体" w:hAnsi="Courier New" w:eastAsia="宋体" w:cs="Times New Roman"/>
          <w:b/>
          <w:color w:val="auto"/>
          <w:szCs w:val="21"/>
          <w:highlight w:val="none"/>
          <w:lang w:val="en-US" w:eastAsia="zh-CN"/>
        </w:rPr>
        <w:t>10</w:t>
      </w:r>
      <w:r>
        <w:rPr>
          <w:rFonts w:hint="eastAsia" w:ascii="宋体" w:hAnsi="Courier New" w:eastAsia="宋体" w:cs="Times New Roman"/>
          <w:b/>
          <w:color w:val="auto"/>
          <w:szCs w:val="21"/>
          <w:highlight w:val="none"/>
        </w:rPr>
        <w:t>台；接受的响应方式：投标产品型号为“A”，则</w:t>
      </w:r>
      <w:r>
        <w:rPr>
          <w:rFonts w:hint="eastAsia" w:ascii="宋体" w:hAnsi="Courier New" w:eastAsia="宋体" w:cs="Times New Roman"/>
          <w:b/>
          <w:color w:val="auto"/>
          <w:szCs w:val="21"/>
          <w:highlight w:val="none"/>
          <w:lang w:val="en-US" w:eastAsia="zh-CN"/>
        </w:rPr>
        <w:t>10</w:t>
      </w:r>
      <w:r>
        <w:rPr>
          <w:rFonts w:hint="eastAsia" w:ascii="宋体" w:hAnsi="Courier New" w:eastAsia="宋体" w:cs="Times New Roman"/>
          <w:b/>
          <w:color w:val="auto"/>
          <w:szCs w:val="21"/>
          <w:highlight w:val="none"/>
        </w:rPr>
        <w:t>台设备型号均为“A”，不接受的响应方式：投标产品型号“A”m台，型号“B”n台，m+n=</w:t>
      </w:r>
      <w:r>
        <w:rPr>
          <w:rFonts w:hint="eastAsia" w:ascii="宋体" w:hAnsi="Courier New" w:eastAsia="宋体" w:cs="Times New Roman"/>
          <w:b/>
          <w:color w:val="auto"/>
          <w:szCs w:val="21"/>
          <w:highlight w:val="none"/>
          <w:lang w:val="en-US" w:eastAsia="zh-CN"/>
        </w:rPr>
        <w:t>10</w:t>
      </w:r>
      <w:r>
        <w:rPr>
          <w:rFonts w:hint="eastAsia" w:ascii="宋体" w:hAnsi="Courier New" w:eastAsia="宋体" w:cs="Times New Roman"/>
          <w:b/>
          <w:color w:val="auto"/>
          <w:szCs w:val="21"/>
          <w:highlight w:val="none"/>
        </w:rPr>
        <w:t>。</w:t>
      </w:r>
    </w:p>
    <w:p w14:paraId="327B480F">
      <w:pPr>
        <w:ind w:firstLine="1687" w:firstLineChars="600"/>
        <w:rPr>
          <w:rFonts w:hint="eastAsia" w:ascii="宋体" w:hAnsi="宋体" w:cs="宋体"/>
          <w:b/>
          <w:color w:val="auto"/>
          <w:sz w:val="28"/>
          <w:szCs w:val="28"/>
          <w:highlight w:val="none"/>
        </w:rPr>
      </w:pPr>
    </w:p>
    <w:p w14:paraId="52C127F9">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投标人：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w:t>
      </w:r>
    </w:p>
    <w:p w14:paraId="328E4BBA">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法定代表人(单位负责人)或其委托代理人：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(电子签章或签名)</w:t>
      </w:r>
    </w:p>
    <w:p w14:paraId="3BA40188">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日</w:t>
      </w:r>
    </w:p>
    <w:p w14:paraId="5507F373">
      <w:pPr>
        <w:pStyle w:val="5"/>
        <w:widowControl/>
        <w:numPr>
          <w:ilvl w:val="0"/>
          <w:numId w:val="0"/>
        </w:numPr>
        <w:autoSpaceDE w:val="0"/>
        <w:spacing w:before="0" w:after="0" w:line="240" w:lineRule="auto"/>
        <w:jc w:val="center"/>
        <w:rPr>
          <w:rFonts w:hint="eastAsia" w:ascii="宋体" w:hAnsi="宋体" w:eastAsia="宋体" w:cs="宋体"/>
          <w:color w:val="auto"/>
          <w:szCs w:val="28"/>
          <w:highlight w:val="none"/>
        </w:rPr>
      </w:pPr>
      <w:r>
        <w:rPr>
          <w:rFonts w:hint="eastAsia" w:ascii="宋体" w:hAnsi="宋体" w:cs="宋体"/>
          <w:color w:val="auto"/>
          <w:sz w:val="28"/>
          <w:szCs w:val="28"/>
          <w:highlight w:val="none"/>
        </w:rPr>
        <w:br w:type="page"/>
      </w:r>
      <w:bookmarkStart w:id="412" w:name="_Toc465068300"/>
      <w:bookmarkStart w:id="413" w:name="_Toc209567839"/>
      <w:bookmarkStart w:id="414" w:name="_Toc18053883"/>
      <w:bookmarkStart w:id="415" w:name="_Toc7005"/>
      <w:r>
        <w:rPr>
          <w:rFonts w:hint="eastAsia" w:ascii="宋体" w:hAnsi="宋体" w:cs="宋体"/>
          <w:color w:val="auto"/>
          <w:sz w:val="28"/>
          <w:szCs w:val="28"/>
          <w:highlight w:val="none"/>
          <w:lang w:val="en-US" w:eastAsia="zh-CN"/>
        </w:rPr>
        <w:t>十四、</w:t>
      </w:r>
      <w:r>
        <w:rPr>
          <w:rFonts w:hint="eastAsia" w:ascii="宋体" w:hAnsi="宋体" w:eastAsia="宋体" w:cs="宋体"/>
          <w:color w:val="auto"/>
          <w:szCs w:val="28"/>
          <w:highlight w:val="none"/>
        </w:rPr>
        <w:t>节能环保产品</w:t>
      </w:r>
      <w:bookmarkEnd w:id="412"/>
      <w:r>
        <w:rPr>
          <w:rFonts w:hint="eastAsia" w:ascii="宋体" w:hAnsi="宋体" w:eastAsia="宋体" w:cs="宋体"/>
          <w:color w:val="auto"/>
          <w:szCs w:val="28"/>
          <w:highlight w:val="none"/>
        </w:rPr>
        <w:t>清单</w:t>
      </w:r>
      <w:bookmarkEnd w:id="413"/>
      <w:bookmarkEnd w:id="414"/>
      <w:bookmarkEnd w:id="415"/>
    </w:p>
    <w:tbl>
      <w:tblPr>
        <w:tblStyle w:val="37"/>
        <w:tblW w:w="9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3119"/>
        <w:gridCol w:w="2551"/>
        <w:gridCol w:w="2678"/>
      </w:tblGrid>
      <w:tr w14:paraId="51EB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76" w:type="dxa"/>
            <w:noWrap w:val="0"/>
            <w:vAlign w:val="center"/>
          </w:tcPr>
          <w:p w14:paraId="5FA80B63">
            <w:pPr>
              <w:pStyle w:val="4"/>
              <w:ind w:firstLine="422"/>
              <w:jc w:val="center"/>
              <w:rPr>
                <w:rFonts w:ascii="宋体" w:hAnsi="宋体"/>
                <w:b/>
                <w:color w:val="auto"/>
                <w:highlight w:val="none"/>
              </w:rPr>
            </w:pPr>
            <w:r>
              <w:rPr>
                <w:rFonts w:ascii="宋体" w:hAnsi="宋体"/>
                <w:b/>
                <w:color w:val="auto"/>
                <w:highlight w:val="none"/>
              </w:rPr>
              <w:t>序号</w:t>
            </w:r>
          </w:p>
        </w:tc>
        <w:tc>
          <w:tcPr>
            <w:tcW w:w="3119" w:type="dxa"/>
            <w:noWrap w:val="0"/>
            <w:vAlign w:val="center"/>
          </w:tcPr>
          <w:p w14:paraId="008B3245">
            <w:pPr>
              <w:pStyle w:val="4"/>
              <w:ind w:firstLine="422"/>
              <w:jc w:val="center"/>
              <w:rPr>
                <w:rFonts w:ascii="宋体" w:hAnsi="宋体"/>
                <w:b/>
                <w:color w:val="auto"/>
                <w:highlight w:val="none"/>
              </w:rPr>
            </w:pPr>
            <w:r>
              <w:rPr>
                <w:rFonts w:ascii="宋体" w:hAnsi="宋体"/>
                <w:b/>
                <w:color w:val="auto"/>
                <w:highlight w:val="none"/>
              </w:rPr>
              <w:t>货物名称</w:t>
            </w:r>
          </w:p>
        </w:tc>
        <w:tc>
          <w:tcPr>
            <w:tcW w:w="2551" w:type="dxa"/>
            <w:noWrap w:val="0"/>
            <w:vAlign w:val="center"/>
          </w:tcPr>
          <w:p w14:paraId="15B19641">
            <w:pPr>
              <w:pStyle w:val="4"/>
              <w:ind w:firstLine="422"/>
              <w:jc w:val="center"/>
              <w:rPr>
                <w:rFonts w:ascii="宋体" w:hAnsi="宋体"/>
                <w:b/>
                <w:color w:val="auto"/>
                <w:highlight w:val="none"/>
              </w:rPr>
            </w:pPr>
            <w:r>
              <w:rPr>
                <w:rFonts w:hint="eastAsia" w:ascii="宋体" w:hAnsi="宋体"/>
                <w:b/>
                <w:color w:val="auto"/>
                <w:highlight w:val="none"/>
              </w:rPr>
              <w:t>依据标准</w:t>
            </w:r>
          </w:p>
        </w:tc>
        <w:tc>
          <w:tcPr>
            <w:tcW w:w="2678" w:type="dxa"/>
            <w:noWrap w:val="0"/>
            <w:vAlign w:val="center"/>
          </w:tcPr>
          <w:p w14:paraId="6DE20B7C">
            <w:pPr>
              <w:pStyle w:val="4"/>
              <w:ind w:firstLine="422"/>
              <w:jc w:val="center"/>
              <w:rPr>
                <w:rFonts w:ascii="宋体" w:hAnsi="宋体"/>
                <w:b/>
                <w:color w:val="auto"/>
                <w:highlight w:val="none"/>
              </w:rPr>
            </w:pPr>
            <w:r>
              <w:rPr>
                <w:rFonts w:hint="eastAsia" w:ascii="宋体" w:hAnsi="宋体"/>
                <w:b/>
                <w:color w:val="auto"/>
                <w:highlight w:val="none"/>
              </w:rPr>
              <w:t>备注</w:t>
            </w:r>
          </w:p>
        </w:tc>
      </w:tr>
      <w:tr w14:paraId="1B4C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76" w:type="dxa"/>
            <w:noWrap w:val="0"/>
            <w:vAlign w:val="center"/>
          </w:tcPr>
          <w:p w14:paraId="2F4BBFAE">
            <w:pPr>
              <w:pStyle w:val="4"/>
              <w:ind w:firstLine="422"/>
              <w:jc w:val="center"/>
              <w:rPr>
                <w:rFonts w:ascii="宋体" w:hAnsi="宋体"/>
                <w:b/>
                <w:color w:val="auto"/>
                <w:highlight w:val="none"/>
              </w:rPr>
            </w:pPr>
            <w:r>
              <w:rPr>
                <w:rFonts w:hint="eastAsia" w:ascii="宋体" w:hAnsi="宋体"/>
                <w:b/>
                <w:color w:val="auto"/>
                <w:highlight w:val="none"/>
              </w:rPr>
              <w:t>1</w:t>
            </w:r>
          </w:p>
        </w:tc>
        <w:tc>
          <w:tcPr>
            <w:tcW w:w="3119" w:type="dxa"/>
            <w:noWrap w:val="0"/>
            <w:vAlign w:val="center"/>
          </w:tcPr>
          <w:p w14:paraId="266DC680">
            <w:pPr>
              <w:pStyle w:val="4"/>
              <w:ind w:firstLine="422"/>
              <w:jc w:val="center"/>
              <w:rPr>
                <w:rFonts w:ascii="宋体" w:hAnsi="宋体"/>
                <w:b/>
                <w:color w:val="auto"/>
                <w:highlight w:val="none"/>
              </w:rPr>
            </w:pPr>
          </w:p>
        </w:tc>
        <w:tc>
          <w:tcPr>
            <w:tcW w:w="2551" w:type="dxa"/>
            <w:noWrap w:val="0"/>
            <w:vAlign w:val="center"/>
          </w:tcPr>
          <w:p w14:paraId="740D86E3">
            <w:pPr>
              <w:pStyle w:val="4"/>
              <w:ind w:firstLine="422"/>
              <w:jc w:val="center"/>
              <w:rPr>
                <w:rFonts w:ascii="宋体" w:hAnsi="宋体"/>
                <w:b/>
                <w:color w:val="auto"/>
                <w:highlight w:val="none"/>
              </w:rPr>
            </w:pPr>
          </w:p>
        </w:tc>
        <w:tc>
          <w:tcPr>
            <w:tcW w:w="2678" w:type="dxa"/>
            <w:noWrap w:val="0"/>
            <w:vAlign w:val="center"/>
          </w:tcPr>
          <w:p w14:paraId="4EC5EB20">
            <w:pPr>
              <w:pStyle w:val="4"/>
              <w:ind w:firstLine="422"/>
              <w:jc w:val="center"/>
              <w:rPr>
                <w:rFonts w:ascii="宋体" w:hAnsi="宋体"/>
                <w:b/>
                <w:color w:val="auto"/>
                <w:highlight w:val="none"/>
              </w:rPr>
            </w:pPr>
          </w:p>
        </w:tc>
      </w:tr>
      <w:tr w14:paraId="1E0F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76" w:type="dxa"/>
            <w:noWrap w:val="0"/>
            <w:vAlign w:val="center"/>
          </w:tcPr>
          <w:p w14:paraId="3E622BDA">
            <w:pPr>
              <w:pStyle w:val="4"/>
              <w:ind w:firstLine="422"/>
              <w:jc w:val="center"/>
              <w:rPr>
                <w:rFonts w:ascii="宋体" w:hAnsi="宋体"/>
                <w:b/>
                <w:color w:val="auto"/>
                <w:highlight w:val="none"/>
              </w:rPr>
            </w:pPr>
            <w:r>
              <w:rPr>
                <w:rFonts w:hint="eastAsia" w:ascii="宋体" w:hAnsi="宋体"/>
                <w:b/>
                <w:color w:val="auto"/>
                <w:highlight w:val="none"/>
              </w:rPr>
              <w:t>2</w:t>
            </w:r>
          </w:p>
        </w:tc>
        <w:tc>
          <w:tcPr>
            <w:tcW w:w="3119" w:type="dxa"/>
            <w:noWrap w:val="0"/>
            <w:vAlign w:val="center"/>
          </w:tcPr>
          <w:p w14:paraId="60508486">
            <w:pPr>
              <w:pStyle w:val="4"/>
              <w:ind w:firstLine="422"/>
              <w:jc w:val="center"/>
              <w:rPr>
                <w:rFonts w:ascii="宋体" w:hAnsi="宋体"/>
                <w:b/>
                <w:color w:val="auto"/>
                <w:highlight w:val="none"/>
              </w:rPr>
            </w:pPr>
          </w:p>
        </w:tc>
        <w:tc>
          <w:tcPr>
            <w:tcW w:w="2551" w:type="dxa"/>
            <w:noWrap w:val="0"/>
            <w:vAlign w:val="center"/>
          </w:tcPr>
          <w:p w14:paraId="68AEA8AC">
            <w:pPr>
              <w:pStyle w:val="4"/>
              <w:ind w:firstLine="422"/>
              <w:jc w:val="center"/>
              <w:rPr>
                <w:rFonts w:ascii="宋体" w:hAnsi="宋体"/>
                <w:b/>
                <w:color w:val="auto"/>
                <w:highlight w:val="none"/>
              </w:rPr>
            </w:pPr>
          </w:p>
        </w:tc>
        <w:tc>
          <w:tcPr>
            <w:tcW w:w="2678" w:type="dxa"/>
            <w:noWrap w:val="0"/>
            <w:vAlign w:val="center"/>
          </w:tcPr>
          <w:p w14:paraId="542E8846">
            <w:pPr>
              <w:pStyle w:val="4"/>
              <w:ind w:firstLine="422"/>
              <w:jc w:val="center"/>
              <w:rPr>
                <w:rFonts w:ascii="宋体" w:hAnsi="宋体"/>
                <w:b/>
                <w:color w:val="auto"/>
                <w:highlight w:val="none"/>
              </w:rPr>
            </w:pPr>
          </w:p>
        </w:tc>
      </w:tr>
      <w:tr w14:paraId="06D6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76" w:type="dxa"/>
            <w:noWrap w:val="0"/>
            <w:vAlign w:val="center"/>
          </w:tcPr>
          <w:p w14:paraId="0D6D9671">
            <w:pPr>
              <w:pStyle w:val="4"/>
              <w:ind w:firstLine="422"/>
              <w:jc w:val="center"/>
              <w:rPr>
                <w:rFonts w:ascii="宋体" w:hAnsi="宋体"/>
                <w:b/>
                <w:color w:val="auto"/>
                <w:highlight w:val="none"/>
              </w:rPr>
            </w:pPr>
            <w:r>
              <w:rPr>
                <w:rFonts w:hint="eastAsia" w:ascii="宋体" w:hAnsi="宋体"/>
                <w:b/>
                <w:color w:val="auto"/>
                <w:highlight w:val="none"/>
              </w:rPr>
              <w:t>3</w:t>
            </w:r>
          </w:p>
        </w:tc>
        <w:tc>
          <w:tcPr>
            <w:tcW w:w="3119" w:type="dxa"/>
            <w:noWrap w:val="0"/>
            <w:vAlign w:val="center"/>
          </w:tcPr>
          <w:p w14:paraId="0AF6DAA3">
            <w:pPr>
              <w:pStyle w:val="4"/>
              <w:ind w:firstLine="422"/>
              <w:jc w:val="center"/>
              <w:rPr>
                <w:rFonts w:ascii="宋体" w:hAnsi="宋体"/>
                <w:b/>
                <w:color w:val="auto"/>
                <w:highlight w:val="none"/>
              </w:rPr>
            </w:pPr>
          </w:p>
        </w:tc>
        <w:tc>
          <w:tcPr>
            <w:tcW w:w="2551" w:type="dxa"/>
            <w:noWrap w:val="0"/>
            <w:vAlign w:val="center"/>
          </w:tcPr>
          <w:p w14:paraId="43A52C76">
            <w:pPr>
              <w:pStyle w:val="4"/>
              <w:ind w:firstLine="422"/>
              <w:jc w:val="center"/>
              <w:rPr>
                <w:rFonts w:ascii="宋体" w:hAnsi="宋体"/>
                <w:b/>
                <w:color w:val="auto"/>
                <w:highlight w:val="none"/>
              </w:rPr>
            </w:pPr>
          </w:p>
        </w:tc>
        <w:tc>
          <w:tcPr>
            <w:tcW w:w="2678" w:type="dxa"/>
            <w:noWrap w:val="0"/>
            <w:vAlign w:val="center"/>
          </w:tcPr>
          <w:p w14:paraId="58B65390">
            <w:pPr>
              <w:pStyle w:val="4"/>
              <w:ind w:firstLine="422"/>
              <w:jc w:val="center"/>
              <w:rPr>
                <w:rFonts w:ascii="宋体" w:hAnsi="宋体"/>
                <w:b/>
                <w:color w:val="auto"/>
                <w:highlight w:val="none"/>
              </w:rPr>
            </w:pPr>
          </w:p>
        </w:tc>
      </w:tr>
      <w:tr w14:paraId="70801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76" w:type="dxa"/>
            <w:noWrap w:val="0"/>
            <w:vAlign w:val="center"/>
          </w:tcPr>
          <w:p w14:paraId="311A663B">
            <w:pPr>
              <w:pStyle w:val="4"/>
              <w:ind w:firstLine="422"/>
              <w:jc w:val="center"/>
              <w:rPr>
                <w:rFonts w:ascii="宋体" w:hAnsi="宋体"/>
                <w:b/>
                <w:color w:val="auto"/>
                <w:highlight w:val="none"/>
              </w:rPr>
            </w:pPr>
            <w:r>
              <w:rPr>
                <w:rFonts w:ascii="宋体" w:hAnsi="宋体"/>
                <w:b/>
                <w:color w:val="auto"/>
                <w:highlight w:val="none"/>
              </w:rPr>
              <w:t>…</w:t>
            </w:r>
          </w:p>
        </w:tc>
        <w:tc>
          <w:tcPr>
            <w:tcW w:w="3119" w:type="dxa"/>
            <w:noWrap w:val="0"/>
            <w:vAlign w:val="center"/>
          </w:tcPr>
          <w:p w14:paraId="7DD8AA52">
            <w:pPr>
              <w:pStyle w:val="4"/>
              <w:ind w:firstLine="422"/>
              <w:jc w:val="center"/>
              <w:rPr>
                <w:rFonts w:ascii="宋体" w:hAnsi="宋体"/>
                <w:b/>
                <w:color w:val="auto"/>
                <w:highlight w:val="none"/>
              </w:rPr>
            </w:pPr>
          </w:p>
        </w:tc>
        <w:tc>
          <w:tcPr>
            <w:tcW w:w="2551" w:type="dxa"/>
            <w:noWrap w:val="0"/>
            <w:vAlign w:val="center"/>
          </w:tcPr>
          <w:p w14:paraId="7D98D0D5">
            <w:pPr>
              <w:pStyle w:val="4"/>
              <w:ind w:firstLine="422"/>
              <w:jc w:val="center"/>
              <w:rPr>
                <w:rFonts w:ascii="宋体" w:hAnsi="宋体"/>
                <w:b/>
                <w:color w:val="auto"/>
                <w:highlight w:val="none"/>
              </w:rPr>
            </w:pPr>
          </w:p>
        </w:tc>
        <w:tc>
          <w:tcPr>
            <w:tcW w:w="2678" w:type="dxa"/>
            <w:noWrap w:val="0"/>
            <w:vAlign w:val="center"/>
          </w:tcPr>
          <w:p w14:paraId="501750FC">
            <w:pPr>
              <w:pStyle w:val="4"/>
              <w:ind w:firstLine="422"/>
              <w:jc w:val="center"/>
              <w:rPr>
                <w:rFonts w:ascii="宋体" w:hAnsi="宋体"/>
                <w:b/>
                <w:color w:val="auto"/>
                <w:highlight w:val="none"/>
              </w:rPr>
            </w:pPr>
          </w:p>
        </w:tc>
      </w:tr>
      <w:tr w14:paraId="65AE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76" w:type="dxa"/>
            <w:noWrap w:val="0"/>
            <w:vAlign w:val="center"/>
          </w:tcPr>
          <w:p w14:paraId="62632AA3">
            <w:pPr>
              <w:pStyle w:val="4"/>
              <w:ind w:firstLine="422"/>
              <w:jc w:val="center"/>
              <w:rPr>
                <w:rFonts w:ascii="宋体" w:hAnsi="宋体"/>
                <w:b/>
                <w:color w:val="auto"/>
                <w:highlight w:val="none"/>
              </w:rPr>
            </w:pPr>
            <w:r>
              <w:rPr>
                <w:rFonts w:ascii="宋体" w:hAnsi="宋体"/>
                <w:b/>
                <w:color w:val="auto"/>
                <w:highlight w:val="none"/>
              </w:rPr>
              <w:t>…</w:t>
            </w:r>
          </w:p>
        </w:tc>
        <w:tc>
          <w:tcPr>
            <w:tcW w:w="3119" w:type="dxa"/>
            <w:noWrap w:val="0"/>
            <w:vAlign w:val="center"/>
          </w:tcPr>
          <w:p w14:paraId="06C11EB8">
            <w:pPr>
              <w:pStyle w:val="4"/>
              <w:ind w:firstLine="422"/>
              <w:jc w:val="center"/>
              <w:rPr>
                <w:rFonts w:ascii="宋体" w:hAnsi="宋体"/>
                <w:b/>
                <w:color w:val="auto"/>
                <w:highlight w:val="none"/>
              </w:rPr>
            </w:pPr>
          </w:p>
        </w:tc>
        <w:tc>
          <w:tcPr>
            <w:tcW w:w="2551" w:type="dxa"/>
            <w:noWrap w:val="0"/>
            <w:vAlign w:val="center"/>
          </w:tcPr>
          <w:p w14:paraId="10E671E9">
            <w:pPr>
              <w:pStyle w:val="4"/>
              <w:ind w:firstLine="422"/>
              <w:jc w:val="center"/>
              <w:rPr>
                <w:rFonts w:ascii="宋体" w:hAnsi="宋体"/>
                <w:b/>
                <w:color w:val="auto"/>
                <w:highlight w:val="none"/>
              </w:rPr>
            </w:pPr>
          </w:p>
        </w:tc>
        <w:tc>
          <w:tcPr>
            <w:tcW w:w="2678" w:type="dxa"/>
            <w:noWrap w:val="0"/>
            <w:vAlign w:val="center"/>
          </w:tcPr>
          <w:p w14:paraId="1013C2F6">
            <w:pPr>
              <w:pStyle w:val="4"/>
              <w:ind w:firstLine="422"/>
              <w:jc w:val="center"/>
              <w:rPr>
                <w:rFonts w:ascii="宋体" w:hAnsi="宋体"/>
                <w:b/>
                <w:color w:val="auto"/>
                <w:highlight w:val="none"/>
              </w:rPr>
            </w:pPr>
          </w:p>
        </w:tc>
      </w:tr>
    </w:tbl>
    <w:p w14:paraId="425D8DA7">
      <w:pPr>
        <w:pStyle w:val="4"/>
        <w:jc w:val="left"/>
        <w:rPr>
          <w:rFonts w:ascii="宋体" w:hAnsi="宋体"/>
          <w:color w:val="auto"/>
          <w:highlight w:val="none"/>
        </w:rPr>
      </w:pPr>
    </w:p>
    <w:p w14:paraId="04ACC58D">
      <w:pPr>
        <w:pStyle w:val="4"/>
        <w:jc w:val="left"/>
        <w:rPr>
          <w:rFonts w:ascii="宋体" w:hAnsi="宋体"/>
          <w:color w:val="auto"/>
          <w:highlight w:val="none"/>
        </w:rPr>
      </w:pPr>
      <w:r>
        <w:rPr>
          <w:rFonts w:ascii="宋体" w:hAnsi="宋体"/>
          <w:color w:val="auto"/>
          <w:highlight w:val="none"/>
        </w:rPr>
        <w:t>注</w:t>
      </w:r>
      <w:r>
        <w:rPr>
          <w:rFonts w:hint="eastAsia" w:ascii="宋体" w:hAnsi="宋体"/>
          <w:color w:val="auto"/>
          <w:highlight w:val="none"/>
        </w:rPr>
        <w:t>：1、</w:t>
      </w:r>
      <w:r>
        <w:rPr>
          <w:rFonts w:ascii="宋体" w:hAnsi="宋体"/>
          <w:color w:val="auto"/>
          <w:highlight w:val="none"/>
        </w:rPr>
        <w:t>本表不填写不构成废标条款</w:t>
      </w:r>
      <w:r>
        <w:rPr>
          <w:rFonts w:hint="eastAsia" w:ascii="宋体" w:hAnsi="宋体"/>
          <w:color w:val="auto"/>
          <w:highlight w:val="none"/>
        </w:rPr>
        <w:t>，</w:t>
      </w:r>
      <w:r>
        <w:rPr>
          <w:rFonts w:ascii="宋体" w:hAnsi="宋体"/>
          <w:color w:val="auto"/>
          <w:highlight w:val="none"/>
        </w:rPr>
        <w:t>但</w:t>
      </w:r>
      <w:r>
        <w:rPr>
          <w:rFonts w:hint="eastAsia" w:ascii="宋体" w:hAnsi="宋体"/>
          <w:color w:val="auto"/>
          <w:highlight w:val="none"/>
        </w:rPr>
        <w:t>造成无法认定是否属于节能环保产品的</w:t>
      </w:r>
      <w:r>
        <w:rPr>
          <w:rFonts w:ascii="宋体" w:hAnsi="宋体"/>
          <w:color w:val="auto"/>
          <w:highlight w:val="none"/>
        </w:rPr>
        <w:t>不参与</w:t>
      </w:r>
      <w:r>
        <w:rPr>
          <w:rFonts w:hint="eastAsia" w:ascii="宋体" w:hAnsi="宋体"/>
          <w:color w:val="auto"/>
          <w:highlight w:val="none"/>
        </w:rPr>
        <w:t>该项打分。</w:t>
      </w:r>
    </w:p>
    <w:p w14:paraId="417FC901">
      <w:pPr>
        <w:spacing w:line="400" w:lineRule="atLeast"/>
        <w:ind w:firstLine="315" w:firstLineChars="150"/>
        <w:rPr>
          <w:rFonts w:ascii="宋体" w:hAnsi="宋体"/>
          <w:color w:val="auto"/>
          <w:highlight w:val="none"/>
        </w:rPr>
      </w:pPr>
      <w:r>
        <w:rPr>
          <w:rFonts w:ascii="宋体" w:hAnsi="宋体"/>
          <w:color w:val="auto"/>
          <w:highlight w:val="none"/>
        </w:rPr>
        <w:t>2</w:t>
      </w:r>
      <w:r>
        <w:rPr>
          <w:rFonts w:hint="eastAsia" w:ascii="宋体" w:hAnsi="宋体"/>
          <w:color w:val="auto"/>
          <w:highlight w:val="none"/>
        </w:rPr>
        <w:t>、节能、环保产品认证证书附后。</w:t>
      </w:r>
    </w:p>
    <w:p w14:paraId="4C3E3CDC">
      <w:pPr>
        <w:spacing w:line="400" w:lineRule="atLeast"/>
        <w:ind w:firstLine="315" w:firstLineChars="150"/>
        <w:rPr>
          <w:rFonts w:ascii="宋体" w:hAnsi="宋体"/>
          <w:color w:val="auto"/>
          <w:highlight w:val="none"/>
        </w:rPr>
      </w:pPr>
    </w:p>
    <w:p w14:paraId="5B4F281E">
      <w:pPr>
        <w:spacing w:line="400" w:lineRule="atLeast"/>
        <w:ind w:firstLine="315" w:firstLineChars="150"/>
        <w:rPr>
          <w:rFonts w:hint="eastAsia" w:ascii="宋体" w:hAnsi="宋体"/>
          <w:color w:val="auto"/>
          <w:highlight w:val="none"/>
        </w:rPr>
      </w:pPr>
    </w:p>
    <w:p w14:paraId="2C4BAC11">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投标人：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w:t>
      </w:r>
    </w:p>
    <w:p w14:paraId="2593966B">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法定代表人(单位负责人)或其委托代理人：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(电子签章或签名)</w:t>
      </w:r>
    </w:p>
    <w:p w14:paraId="5939766D">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日</w:t>
      </w:r>
    </w:p>
    <w:p w14:paraId="389B1643">
      <w:pPr>
        <w:ind w:firstLine="1680" w:firstLineChars="600"/>
        <w:rPr>
          <w:rFonts w:hint="eastAsia" w:ascii="宋体" w:hAnsi="宋体" w:cs="宋体"/>
          <w:color w:val="auto"/>
          <w:sz w:val="28"/>
          <w:szCs w:val="28"/>
          <w:highlight w:val="none"/>
        </w:rPr>
        <w:sectPr>
          <w:footerReference r:id="rId19" w:type="default"/>
          <w:pgSz w:w="11906" w:h="16838"/>
          <w:pgMar w:top="1191" w:right="1191" w:bottom="1191" w:left="1304" w:header="851" w:footer="992" w:gutter="0"/>
          <w:pgNumType w:fmt="numberInDash"/>
          <w:cols w:space="720" w:num="1"/>
          <w:docGrid w:type="lines" w:linePitch="317" w:charSpace="0"/>
        </w:sectPr>
      </w:pPr>
    </w:p>
    <w:p w14:paraId="44529484">
      <w:pPr>
        <w:pStyle w:val="5"/>
        <w:widowControl/>
        <w:autoSpaceDE w:val="0"/>
        <w:spacing w:before="0" w:after="0" w:line="240" w:lineRule="auto"/>
        <w:rPr>
          <w:rFonts w:hint="eastAsia" w:ascii="宋体" w:hAnsi="宋体" w:eastAsia="宋体" w:cs="宋体"/>
          <w:color w:val="auto"/>
          <w:szCs w:val="28"/>
          <w:highlight w:val="none"/>
          <w:lang w:eastAsia="zh-CN"/>
        </w:rPr>
      </w:pPr>
      <w:bookmarkStart w:id="416" w:name="_Toc10610"/>
      <w:bookmarkEnd w:id="416"/>
      <w:bookmarkStart w:id="417" w:name="_Toc15277"/>
      <w:bookmarkEnd w:id="417"/>
      <w:bookmarkStart w:id="418" w:name="_Toc1271"/>
      <w:bookmarkStart w:id="419" w:name="_Toc15569"/>
      <w:bookmarkStart w:id="420" w:name="_Toc1217"/>
      <w:r>
        <w:rPr>
          <w:rFonts w:hint="eastAsia" w:ascii="宋体" w:hAnsi="宋体" w:cs="宋体"/>
          <w:color w:val="auto"/>
          <w:szCs w:val="28"/>
          <w:highlight w:val="none"/>
          <w:lang w:val="en-US" w:eastAsia="zh-CN"/>
        </w:rPr>
        <w:t>十五</w:t>
      </w:r>
      <w:r>
        <w:rPr>
          <w:rFonts w:hint="eastAsia" w:ascii="宋体" w:hAnsi="宋体" w:cs="宋体"/>
          <w:color w:val="auto"/>
          <w:szCs w:val="28"/>
          <w:highlight w:val="none"/>
        </w:rPr>
        <w:t>、类似项目业绩表</w:t>
      </w:r>
      <w:bookmarkEnd w:id="418"/>
      <w:bookmarkEnd w:id="419"/>
      <w:r>
        <w:rPr>
          <w:rFonts w:hint="eastAsia" w:ascii="宋体" w:hAnsi="宋体" w:cs="宋体"/>
          <w:color w:val="auto"/>
          <w:szCs w:val="28"/>
          <w:highlight w:val="none"/>
          <w:lang w:eastAsia="zh-CN"/>
        </w:rPr>
        <w:t>（</w:t>
      </w:r>
      <w:r>
        <w:rPr>
          <w:rFonts w:hint="eastAsia" w:ascii="宋体" w:hAnsi="宋体" w:cs="宋体"/>
          <w:color w:val="auto"/>
          <w:szCs w:val="28"/>
          <w:highlight w:val="none"/>
          <w:lang w:val="en-US" w:eastAsia="zh-CN"/>
        </w:rPr>
        <w:t>如有</w:t>
      </w:r>
      <w:r>
        <w:rPr>
          <w:rFonts w:hint="eastAsia" w:ascii="宋体" w:hAnsi="宋体" w:cs="宋体"/>
          <w:color w:val="auto"/>
          <w:szCs w:val="28"/>
          <w:highlight w:val="none"/>
          <w:lang w:eastAsia="zh-CN"/>
        </w:rPr>
        <w:t>）</w:t>
      </w:r>
      <w:bookmarkEnd w:id="420"/>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7"/>
        <w:gridCol w:w="2107"/>
        <w:gridCol w:w="1254"/>
        <w:gridCol w:w="1685"/>
        <w:gridCol w:w="1442"/>
        <w:gridCol w:w="1442"/>
        <w:gridCol w:w="1049"/>
      </w:tblGrid>
      <w:tr w14:paraId="697C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977" w:type="dxa"/>
            <w:noWrap w:val="0"/>
            <w:vAlign w:val="center"/>
          </w:tcPr>
          <w:p w14:paraId="24EAC272">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2107" w:type="dxa"/>
            <w:noWrap w:val="0"/>
            <w:vAlign w:val="center"/>
          </w:tcPr>
          <w:p w14:paraId="55077CD4">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合同名称</w:t>
            </w:r>
          </w:p>
        </w:tc>
        <w:tc>
          <w:tcPr>
            <w:tcW w:w="1254" w:type="dxa"/>
            <w:noWrap w:val="0"/>
            <w:vAlign w:val="center"/>
          </w:tcPr>
          <w:p w14:paraId="786701F3">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合同总价</w:t>
            </w:r>
          </w:p>
        </w:tc>
        <w:tc>
          <w:tcPr>
            <w:tcW w:w="1685" w:type="dxa"/>
            <w:noWrap w:val="0"/>
            <w:vAlign w:val="center"/>
          </w:tcPr>
          <w:p w14:paraId="58D38F9F">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使用单位名称</w:t>
            </w:r>
          </w:p>
        </w:tc>
        <w:tc>
          <w:tcPr>
            <w:tcW w:w="1442" w:type="dxa"/>
            <w:noWrap w:val="0"/>
            <w:vAlign w:val="top"/>
          </w:tcPr>
          <w:p w14:paraId="027E32D3">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使用单位联系人及联系电话</w:t>
            </w:r>
          </w:p>
        </w:tc>
        <w:tc>
          <w:tcPr>
            <w:tcW w:w="1442" w:type="dxa"/>
            <w:noWrap w:val="0"/>
            <w:vAlign w:val="center"/>
          </w:tcPr>
          <w:p w14:paraId="062C48F1">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签订合同时间</w:t>
            </w:r>
          </w:p>
        </w:tc>
        <w:tc>
          <w:tcPr>
            <w:tcW w:w="1049" w:type="dxa"/>
            <w:noWrap w:val="0"/>
            <w:vAlign w:val="center"/>
          </w:tcPr>
          <w:p w14:paraId="53148646">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14:paraId="4C10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11989B0E">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2107" w:type="dxa"/>
            <w:noWrap w:val="0"/>
            <w:vAlign w:val="center"/>
          </w:tcPr>
          <w:p w14:paraId="41E24473">
            <w:pPr>
              <w:jc w:val="center"/>
              <w:rPr>
                <w:rFonts w:hint="eastAsia" w:ascii="宋体" w:hAnsi="宋体" w:eastAsia="宋体" w:cs="宋体"/>
                <w:color w:val="auto"/>
                <w:sz w:val="24"/>
                <w:highlight w:val="none"/>
              </w:rPr>
            </w:pPr>
          </w:p>
        </w:tc>
        <w:tc>
          <w:tcPr>
            <w:tcW w:w="1254" w:type="dxa"/>
            <w:noWrap w:val="0"/>
            <w:vAlign w:val="center"/>
          </w:tcPr>
          <w:p w14:paraId="11CC3D5A">
            <w:pPr>
              <w:jc w:val="center"/>
              <w:rPr>
                <w:rFonts w:hint="eastAsia" w:ascii="宋体" w:hAnsi="宋体" w:eastAsia="宋体" w:cs="宋体"/>
                <w:color w:val="auto"/>
                <w:sz w:val="24"/>
                <w:highlight w:val="none"/>
              </w:rPr>
            </w:pPr>
          </w:p>
        </w:tc>
        <w:tc>
          <w:tcPr>
            <w:tcW w:w="1685" w:type="dxa"/>
            <w:noWrap w:val="0"/>
            <w:vAlign w:val="center"/>
          </w:tcPr>
          <w:p w14:paraId="7BAD01EB">
            <w:pPr>
              <w:jc w:val="center"/>
              <w:rPr>
                <w:rFonts w:hint="eastAsia" w:ascii="宋体" w:hAnsi="宋体" w:eastAsia="宋体" w:cs="宋体"/>
                <w:color w:val="auto"/>
                <w:sz w:val="24"/>
                <w:highlight w:val="none"/>
              </w:rPr>
            </w:pPr>
          </w:p>
        </w:tc>
        <w:tc>
          <w:tcPr>
            <w:tcW w:w="1442" w:type="dxa"/>
            <w:noWrap w:val="0"/>
            <w:vAlign w:val="top"/>
          </w:tcPr>
          <w:p w14:paraId="5A50915C">
            <w:pPr>
              <w:jc w:val="center"/>
              <w:rPr>
                <w:rFonts w:hint="eastAsia" w:ascii="宋体" w:hAnsi="宋体" w:eastAsia="宋体" w:cs="宋体"/>
                <w:color w:val="auto"/>
                <w:sz w:val="24"/>
                <w:highlight w:val="none"/>
              </w:rPr>
            </w:pPr>
          </w:p>
        </w:tc>
        <w:tc>
          <w:tcPr>
            <w:tcW w:w="1442" w:type="dxa"/>
            <w:noWrap w:val="0"/>
            <w:vAlign w:val="center"/>
          </w:tcPr>
          <w:p w14:paraId="276EAA9D">
            <w:pPr>
              <w:jc w:val="center"/>
              <w:rPr>
                <w:rFonts w:hint="eastAsia" w:ascii="宋体" w:hAnsi="宋体" w:eastAsia="宋体" w:cs="宋体"/>
                <w:color w:val="auto"/>
                <w:sz w:val="24"/>
                <w:highlight w:val="none"/>
              </w:rPr>
            </w:pPr>
          </w:p>
        </w:tc>
        <w:tc>
          <w:tcPr>
            <w:tcW w:w="1049" w:type="dxa"/>
            <w:noWrap w:val="0"/>
            <w:vAlign w:val="center"/>
          </w:tcPr>
          <w:p w14:paraId="4C2CED7D">
            <w:pPr>
              <w:jc w:val="center"/>
              <w:rPr>
                <w:rFonts w:hint="eastAsia" w:ascii="宋体" w:hAnsi="宋体" w:eastAsia="宋体" w:cs="宋体"/>
                <w:color w:val="auto"/>
                <w:sz w:val="24"/>
                <w:highlight w:val="none"/>
              </w:rPr>
            </w:pPr>
          </w:p>
        </w:tc>
      </w:tr>
      <w:tr w14:paraId="545F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5580A200">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2107" w:type="dxa"/>
            <w:noWrap w:val="0"/>
            <w:vAlign w:val="center"/>
          </w:tcPr>
          <w:p w14:paraId="3BEAAB44">
            <w:pPr>
              <w:jc w:val="center"/>
              <w:rPr>
                <w:rFonts w:hint="eastAsia" w:ascii="宋体" w:hAnsi="宋体" w:eastAsia="宋体" w:cs="宋体"/>
                <w:color w:val="auto"/>
                <w:sz w:val="24"/>
                <w:highlight w:val="none"/>
              </w:rPr>
            </w:pPr>
          </w:p>
        </w:tc>
        <w:tc>
          <w:tcPr>
            <w:tcW w:w="1254" w:type="dxa"/>
            <w:noWrap w:val="0"/>
            <w:vAlign w:val="center"/>
          </w:tcPr>
          <w:p w14:paraId="32223209">
            <w:pPr>
              <w:jc w:val="center"/>
              <w:rPr>
                <w:rFonts w:hint="eastAsia" w:ascii="宋体" w:hAnsi="宋体" w:eastAsia="宋体" w:cs="宋体"/>
                <w:color w:val="auto"/>
                <w:sz w:val="24"/>
                <w:highlight w:val="none"/>
              </w:rPr>
            </w:pPr>
          </w:p>
        </w:tc>
        <w:tc>
          <w:tcPr>
            <w:tcW w:w="1685" w:type="dxa"/>
            <w:noWrap w:val="0"/>
            <w:vAlign w:val="center"/>
          </w:tcPr>
          <w:p w14:paraId="524CF16D">
            <w:pPr>
              <w:jc w:val="center"/>
              <w:rPr>
                <w:rFonts w:hint="eastAsia" w:ascii="宋体" w:hAnsi="宋体" w:eastAsia="宋体" w:cs="宋体"/>
                <w:color w:val="auto"/>
                <w:sz w:val="24"/>
                <w:highlight w:val="none"/>
              </w:rPr>
            </w:pPr>
          </w:p>
        </w:tc>
        <w:tc>
          <w:tcPr>
            <w:tcW w:w="1442" w:type="dxa"/>
            <w:noWrap w:val="0"/>
            <w:vAlign w:val="top"/>
          </w:tcPr>
          <w:p w14:paraId="0FE68521">
            <w:pPr>
              <w:jc w:val="center"/>
              <w:rPr>
                <w:rFonts w:hint="eastAsia" w:ascii="宋体" w:hAnsi="宋体" w:eastAsia="宋体" w:cs="宋体"/>
                <w:color w:val="auto"/>
                <w:sz w:val="24"/>
                <w:highlight w:val="none"/>
              </w:rPr>
            </w:pPr>
          </w:p>
        </w:tc>
        <w:tc>
          <w:tcPr>
            <w:tcW w:w="1442" w:type="dxa"/>
            <w:noWrap w:val="0"/>
            <w:vAlign w:val="center"/>
          </w:tcPr>
          <w:p w14:paraId="17FBC470">
            <w:pPr>
              <w:jc w:val="center"/>
              <w:rPr>
                <w:rFonts w:hint="eastAsia" w:ascii="宋体" w:hAnsi="宋体" w:eastAsia="宋体" w:cs="宋体"/>
                <w:color w:val="auto"/>
                <w:sz w:val="24"/>
                <w:highlight w:val="none"/>
              </w:rPr>
            </w:pPr>
          </w:p>
        </w:tc>
        <w:tc>
          <w:tcPr>
            <w:tcW w:w="1049" w:type="dxa"/>
            <w:noWrap w:val="0"/>
            <w:vAlign w:val="center"/>
          </w:tcPr>
          <w:p w14:paraId="24136752">
            <w:pPr>
              <w:jc w:val="center"/>
              <w:rPr>
                <w:rFonts w:hint="eastAsia" w:ascii="宋体" w:hAnsi="宋体" w:eastAsia="宋体" w:cs="宋体"/>
                <w:color w:val="auto"/>
                <w:sz w:val="24"/>
                <w:highlight w:val="none"/>
              </w:rPr>
            </w:pPr>
          </w:p>
        </w:tc>
      </w:tr>
      <w:tr w14:paraId="61B0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6938F242">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2107" w:type="dxa"/>
            <w:noWrap w:val="0"/>
            <w:vAlign w:val="center"/>
          </w:tcPr>
          <w:p w14:paraId="5056D009">
            <w:pPr>
              <w:jc w:val="center"/>
              <w:rPr>
                <w:rFonts w:hint="eastAsia" w:ascii="宋体" w:hAnsi="宋体" w:eastAsia="宋体" w:cs="宋体"/>
                <w:color w:val="auto"/>
                <w:sz w:val="24"/>
                <w:highlight w:val="none"/>
              </w:rPr>
            </w:pPr>
          </w:p>
        </w:tc>
        <w:tc>
          <w:tcPr>
            <w:tcW w:w="1254" w:type="dxa"/>
            <w:noWrap w:val="0"/>
            <w:vAlign w:val="center"/>
          </w:tcPr>
          <w:p w14:paraId="384268FB">
            <w:pPr>
              <w:jc w:val="center"/>
              <w:rPr>
                <w:rFonts w:hint="eastAsia" w:ascii="宋体" w:hAnsi="宋体" w:eastAsia="宋体" w:cs="宋体"/>
                <w:color w:val="auto"/>
                <w:sz w:val="24"/>
                <w:highlight w:val="none"/>
              </w:rPr>
            </w:pPr>
          </w:p>
        </w:tc>
        <w:tc>
          <w:tcPr>
            <w:tcW w:w="1685" w:type="dxa"/>
            <w:noWrap w:val="0"/>
            <w:vAlign w:val="center"/>
          </w:tcPr>
          <w:p w14:paraId="484DE876">
            <w:pPr>
              <w:jc w:val="center"/>
              <w:rPr>
                <w:rFonts w:hint="eastAsia" w:ascii="宋体" w:hAnsi="宋体" w:eastAsia="宋体" w:cs="宋体"/>
                <w:color w:val="auto"/>
                <w:sz w:val="24"/>
                <w:highlight w:val="none"/>
              </w:rPr>
            </w:pPr>
          </w:p>
        </w:tc>
        <w:tc>
          <w:tcPr>
            <w:tcW w:w="1442" w:type="dxa"/>
            <w:noWrap w:val="0"/>
            <w:vAlign w:val="top"/>
          </w:tcPr>
          <w:p w14:paraId="7F3E57CC">
            <w:pPr>
              <w:jc w:val="center"/>
              <w:rPr>
                <w:rFonts w:hint="eastAsia" w:ascii="宋体" w:hAnsi="宋体" w:eastAsia="宋体" w:cs="宋体"/>
                <w:color w:val="auto"/>
                <w:sz w:val="24"/>
                <w:highlight w:val="none"/>
              </w:rPr>
            </w:pPr>
          </w:p>
        </w:tc>
        <w:tc>
          <w:tcPr>
            <w:tcW w:w="1442" w:type="dxa"/>
            <w:noWrap w:val="0"/>
            <w:vAlign w:val="center"/>
          </w:tcPr>
          <w:p w14:paraId="3971CFF4">
            <w:pPr>
              <w:jc w:val="center"/>
              <w:rPr>
                <w:rFonts w:hint="eastAsia" w:ascii="宋体" w:hAnsi="宋体" w:eastAsia="宋体" w:cs="宋体"/>
                <w:color w:val="auto"/>
                <w:sz w:val="24"/>
                <w:highlight w:val="none"/>
              </w:rPr>
            </w:pPr>
          </w:p>
        </w:tc>
        <w:tc>
          <w:tcPr>
            <w:tcW w:w="1049" w:type="dxa"/>
            <w:noWrap w:val="0"/>
            <w:vAlign w:val="center"/>
          </w:tcPr>
          <w:p w14:paraId="1FD1DDC5">
            <w:pPr>
              <w:jc w:val="center"/>
              <w:rPr>
                <w:rFonts w:hint="eastAsia" w:ascii="宋体" w:hAnsi="宋体" w:eastAsia="宋体" w:cs="宋体"/>
                <w:color w:val="auto"/>
                <w:sz w:val="24"/>
                <w:highlight w:val="none"/>
              </w:rPr>
            </w:pPr>
          </w:p>
        </w:tc>
      </w:tr>
      <w:tr w14:paraId="515C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3631ECDE">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2107" w:type="dxa"/>
            <w:noWrap w:val="0"/>
            <w:vAlign w:val="center"/>
          </w:tcPr>
          <w:p w14:paraId="13FB6979">
            <w:pPr>
              <w:jc w:val="center"/>
              <w:rPr>
                <w:rFonts w:hint="eastAsia" w:ascii="宋体" w:hAnsi="宋体" w:eastAsia="宋体" w:cs="宋体"/>
                <w:color w:val="auto"/>
                <w:sz w:val="24"/>
                <w:highlight w:val="none"/>
              </w:rPr>
            </w:pPr>
          </w:p>
        </w:tc>
        <w:tc>
          <w:tcPr>
            <w:tcW w:w="1254" w:type="dxa"/>
            <w:noWrap w:val="0"/>
            <w:vAlign w:val="center"/>
          </w:tcPr>
          <w:p w14:paraId="2DD998C9">
            <w:pPr>
              <w:jc w:val="center"/>
              <w:rPr>
                <w:rFonts w:hint="eastAsia" w:ascii="宋体" w:hAnsi="宋体" w:eastAsia="宋体" w:cs="宋体"/>
                <w:color w:val="auto"/>
                <w:sz w:val="24"/>
                <w:highlight w:val="none"/>
              </w:rPr>
            </w:pPr>
          </w:p>
        </w:tc>
        <w:tc>
          <w:tcPr>
            <w:tcW w:w="1685" w:type="dxa"/>
            <w:noWrap w:val="0"/>
            <w:vAlign w:val="center"/>
          </w:tcPr>
          <w:p w14:paraId="44F2834E">
            <w:pPr>
              <w:jc w:val="center"/>
              <w:rPr>
                <w:rFonts w:hint="eastAsia" w:ascii="宋体" w:hAnsi="宋体" w:eastAsia="宋体" w:cs="宋体"/>
                <w:color w:val="auto"/>
                <w:sz w:val="24"/>
                <w:highlight w:val="none"/>
              </w:rPr>
            </w:pPr>
          </w:p>
        </w:tc>
        <w:tc>
          <w:tcPr>
            <w:tcW w:w="1442" w:type="dxa"/>
            <w:noWrap w:val="0"/>
            <w:vAlign w:val="top"/>
          </w:tcPr>
          <w:p w14:paraId="3DB80044">
            <w:pPr>
              <w:jc w:val="center"/>
              <w:rPr>
                <w:rFonts w:hint="eastAsia" w:ascii="宋体" w:hAnsi="宋体" w:eastAsia="宋体" w:cs="宋体"/>
                <w:color w:val="auto"/>
                <w:sz w:val="24"/>
                <w:highlight w:val="none"/>
              </w:rPr>
            </w:pPr>
          </w:p>
        </w:tc>
        <w:tc>
          <w:tcPr>
            <w:tcW w:w="1442" w:type="dxa"/>
            <w:noWrap w:val="0"/>
            <w:vAlign w:val="center"/>
          </w:tcPr>
          <w:p w14:paraId="15CC6013">
            <w:pPr>
              <w:jc w:val="center"/>
              <w:rPr>
                <w:rFonts w:hint="eastAsia" w:ascii="宋体" w:hAnsi="宋体" w:eastAsia="宋体" w:cs="宋体"/>
                <w:color w:val="auto"/>
                <w:sz w:val="24"/>
                <w:highlight w:val="none"/>
              </w:rPr>
            </w:pPr>
          </w:p>
        </w:tc>
        <w:tc>
          <w:tcPr>
            <w:tcW w:w="1049" w:type="dxa"/>
            <w:noWrap w:val="0"/>
            <w:vAlign w:val="center"/>
          </w:tcPr>
          <w:p w14:paraId="16CB83EF">
            <w:pPr>
              <w:jc w:val="center"/>
              <w:rPr>
                <w:rFonts w:hint="eastAsia" w:ascii="宋体" w:hAnsi="宋体" w:eastAsia="宋体" w:cs="宋体"/>
                <w:color w:val="auto"/>
                <w:sz w:val="24"/>
                <w:highlight w:val="none"/>
              </w:rPr>
            </w:pPr>
          </w:p>
        </w:tc>
      </w:tr>
      <w:tr w14:paraId="62B6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7F0862D0">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2107" w:type="dxa"/>
            <w:noWrap w:val="0"/>
            <w:vAlign w:val="center"/>
          </w:tcPr>
          <w:p w14:paraId="10621F6A">
            <w:pPr>
              <w:jc w:val="center"/>
              <w:rPr>
                <w:rFonts w:hint="eastAsia" w:ascii="宋体" w:hAnsi="宋体" w:eastAsia="宋体" w:cs="宋体"/>
                <w:color w:val="auto"/>
                <w:sz w:val="24"/>
                <w:highlight w:val="none"/>
              </w:rPr>
            </w:pPr>
          </w:p>
        </w:tc>
        <w:tc>
          <w:tcPr>
            <w:tcW w:w="1254" w:type="dxa"/>
            <w:noWrap w:val="0"/>
            <w:vAlign w:val="center"/>
          </w:tcPr>
          <w:p w14:paraId="56960371">
            <w:pPr>
              <w:jc w:val="center"/>
              <w:rPr>
                <w:rFonts w:hint="eastAsia" w:ascii="宋体" w:hAnsi="宋体" w:eastAsia="宋体" w:cs="宋体"/>
                <w:color w:val="auto"/>
                <w:sz w:val="24"/>
                <w:highlight w:val="none"/>
              </w:rPr>
            </w:pPr>
          </w:p>
        </w:tc>
        <w:tc>
          <w:tcPr>
            <w:tcW w:w="1685" w:type="dxa"/>
            <w:noWrap w:val="0"/>
            <w:vAlign w:val="center"/>
          </w:tcPr>
          <w:p w14:paraId="28A739A7">
            <w:pPr>
              <w:jc w:val="center"/>
              <w:rPr>
                <w:rFonts w:hint="eastAsia" w:ascii="宋体" w:hAnsi="宋体" w:eastAsia="宋体" w:cs="宋体"/>
                <w:color w:val="auto"/>
                <w:sz w:val="24"/>
                <w:highlight w:val="none"/>
              </w:rPr>
            </w:pPr>
          </w:p>
        </w:tc>
        <w:tc>
          <w:tcPr>
            <w:tcW w:w="1442" w:type="dxa"/>
            <w:noWrap w:val="0"/>
            <w:vAlign w:val="top"/>
          </w:tcPr>
          <w:p w14:paraId="76132C9A">
            <w:pPr>
              <w:jc w:val="center"/>
              <w:rPr>
                <w:rFonts w:hint="eastAsia" w:ascii="宋体" w:hAnsi="宋体" w:eastAsia="宋体" w:cs="宋体"/>
                <w:color w:val="auto"/>
                <w:sz w:val="24"/>
                <w:highlight w:val="none"/>
              </w:rPr>
            </w:pPr>
          </w:p>
        </w:tc>
        <w:tc>
          <w:tcPr>
            <w:tcW w:w="1442" w:type="dxa"/>
            <w:noWrap w:val="0"/>
            <w:vAlign w:val="center"/>
          </w:tcPr>
          <w:p w14:paraId="0515E724">
            <w:pPr>
              <w:jc w:val="center"/>
              <w:rPr>
                <w:rFonts w:hint="eastAsia" w:ascii="宋体" w:hAnsi="宋体" w:eastAsia="宋体" w:cs="宋体"/>
                <w:color w:val="auto"/>
                <w:sz w:val="24"/>
                <w:highlight w:val="none"/>
              </w:rPr>
            </w:pPr>
          </w:p>
        </w:tc>
        <w:tc>
          <w:tcPr>
            <w:tcW w:w="1049" w:type="dxa"/>
            <w:noWrap w:val="0"/>
            <w:vAlign w:val="center"/>
          </w:tcPr>
          <w:p w14:paraId="3FD5F7AA">
            <w:pPr>
              <w:jc w:val="center"/>
              <w:rPr>
                <w:rFonts w:hint="eastAsia" w:ascii="宋体" w:hAnsi="宋体" w:eastAsia="宋体" w:cs="宋体"/>
                <w:color w:val="auto"/>
                <w:sz w:val="24"/>
                <w:highlight w:val="none"/>
              </w:rPr>
            </w:pPr>
          </w:p>
        </w:tc>
      </w:tr>
      <w:tr w14:paraId="73638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7" w:type="dxa"/>
            <w:noWrap w:val="0"/>
            <w:vAlign w:val="center"/>
          </w:tcPr>
          <w:p w14:paraId="0A424951">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c>
          <w:tcPr>
            <w:tcW w:w="2107" w:type="dxa"/>
            <w:noWrap w:val="0"/>
            <w:vAlign w:val="center"/>
          </w:tcPr>
          <w:p w14:paraId="12E84388">
            <w:pPr>
              <w:jc w:val="center"/>
              <w:rPr>
                <w:rFonts w:hint="eastAsia" w:ascii="宋体" w:hAnsi="宋体" w:eastAsia="宋体" w:cs="宋体"/>
                <w:color w:val="auto"/>
                <w:sz w:val="24"/>
                <w:highlight w:val="none"/>
              </w:rPr>
            </w:pPr>
          </w:p>
        </w:tc>
        <w:tc>
          <w:tcPr>
            <w:tcW w:w="1254" w:type="dxa"/>
            <w:noWrap w:val="0"/>
            <w:vAlign w:val="center"/>
          </w:tcPr>
          <w:p w14:paraId="6522834A">
            <w:pPr>
              <w:jc w:val="center"/>
              <w:rPr>
                <w:rFonts w:hint="eastAsia" w:ascii="宋体" w:hAnsi="宋体" w:eastAsia="宋体" w:cs="宋体"/>
                <w:color w:val="auto"/>
                <w:sz w:val="24"/>
                <w:highlight w:val="none"/>
              </w:rPr>
            </w:pPr>
          </w:p>
        </w:tc>
        <w:tc>
          <w:tcPr>
            <w:tcW w:w="1685" w:type="dxa"/>
            <w:noWrap w:val="0"/>
            <w:vAlign w:val="center"/>
          </w:tcPr>
          <w:p w14:paraId="2C94C05F">
            <w:pPr>
              <w:jc w:val="center"/>
              <w:rPr>
                <w:rFonts w:hint="eastAsia" w:ascii="宋体" w:hAnsi="宋体" w:eastAsia="宋体" w:cs="宋体"/>
                <w:color w:val="auto"/>
                <w:sz w:val="24"/>
                <w:highlight w:val="none"/>
              </w:rPr>
            </w:pPr>
          </w:p>
        </w:tc>
        <w:tc>
          <w:tcPr>
            <w:tcW w:w="1442" w:type="dxa"/>
            <w:noWrap w:val="0"/>
            <w:vAlign w:val="top"/>
          </w:tcPr>
          <w:p w14:paraId="7BA12E93">
            <w:pPr>
              <w:jc w:val="center"/>
              <w:rPr>
                <w:rFonts w:hint="eastAsia" w:ascii="宋体" w:hAnsi="宋体" w:eastAsia="宋体" w:cs="宋体"/>
                <w:color w:val="auto"/>
                <w:sz w:val="24"/>
                <w:highlight w:val="none"/>
              </w:rPr>
            </w:pPr>
          </w:p>
        </w:tc>
        <w:tc>
          <w:tcPr>
            <w:tcW w:w="1442" w:type="dxa"/>
            <w:noWrap w:val="0"/>
            <w:vAlign w:val="center"/>
          </w:tcPr>
          <w:p w14:paraId="70711256">
            <w:pPr>
              <w:jc w:val="center"/>
              <w:rPr>
                <w:rFonts w:hint="eastAsia" w:ascii="宋体" w:hAnsi="宋体" w:eastAsia="宋体" w:cs="宋体"/>
                <w:color w:val="auto"/>
                <w:sz w:val="24"/>
                <w:highlight w:val="none"/>
              </w:rPr>
            </w:pPr>
          </w:p>
        </w:tc>
        <w:tc>
          <w:tcPr>
            <w:tcW w:w="1049" w:type="dxa"/>
            <w:noWrap w:val="0"/>
            <w:vAlign w:val="center"/>
          </w:tcPr>
          <w:p w14:paraId="4D52B302">
            <w:pPr>
              <w:jc w:val="center"/>
              <w:rPr>
                <w:rFonts w:hint="eastAsia" w:ascii="宋体" w:hAnsi="宋体" w:eastAsia="宋体" w:cs="宋体"/>
                <w:color w:val="auto"/>
                <w:sz w:val="24"/>
                <w:highlight w:val="none"/>
              </w:rPr>
            </w:pPr>
          </w:p>
        </w:tc>
      </w:tr>
    </w:tbl>
    <w:p w14:paraId="31D5AE94">
      <w:pPr>
        <w:spacing w:line="360" w:lineRule="auto"/>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注：投标文件中提供类似项目的供货合同或中标/成交通知书扫描件。</w:t>
      </w:r>
    </w:p>
    <w:p w14:paraId="3808F7BE">
      <w:pPr>
        <w:ind w:firstLine="482" w:firstLineChars="200"/>
        <w:rPr>
          <w:rFonts w:hint="eastAsia" w:ascii="宋体" w:hAnsi="宋体" w:cs="宋体"/>
          <w:b/>
          <w:color w:val="auto"/>
          <w:sz w:val="24"/>
          <w:szCs w:val="24"/>
          <w:highlight w:val="none"/>
        </w:rPr>
      </w:pPr>
    </w:p>
    <w:p w14:paraId="51BE9C04">
      <w:pPr>
        <w:ind w:firstLine="1687" w:firstLineChars="600"/>
        <w:rPr>
          <w:rFonts w:hint="eastAsia" w:ascii="宋体" w:hAnsi="宋体" w:cs="宋体"/>
          <w:b/>
          <w:color w:val="auto"/>
          <w:sz w:val="28"/>
          <w:szCs w:val="28"/>
          <w:highlight w:val="none"/>
        </w:rPr>
      </w:pPr>
    </w:p>
    <w:p w14:paraId="58DB2013">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投标人：</w:t>
      </w:r>
      <w:r>
        <w:rPr>
          <w:rFonts w:hint="eastAsia" w:ascii="宋体" w:hAnsi="宋体" w:cs="宋体"/>
          <w:b/>
          <w:color w:val="auto"/>
          <w:sz w:val="28"/>
          <w:szCs w:val="28"/>
          <w:highlight w:val="none"/>
          <w:u w:val="single"/>
        </w:rPr>
        <w:tab/>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(电子签章)</w:t>
      </w:r>
    </w:p>
    <w:p w14:paraId="44078A62">
      <w:pPr>
        <w:ind w:firstLine="843" w:firstLineChars="300"/>
        <w:rPr>
          <w:rFonts w:hint="eastAsia" w:ascii="宋体" w:hAnsi="宋体" w:cs="宋体"/>
          <w:b/>
          <w:color w:val="auto"/>
          <w:sz w:val="28"/>
          <w:szCs w:val="28"/>
          <w:highlight w:val="none"/>
        </w:rPr>
      </w:pPr>
      <w:r>
        <w:rPr>
          <w:rFonts w:hint="eastAsia" w:ascii="宋体" w:hAnsi="宋体" w:cs="宋体"/>
          <w:b/>
          <w:color w:val="auto"/>
          <w:sz w:val="28"/>
          <w:szCs w:val="28"/>
          <w:highlight w:val="none"/>
        </w:rPr>
        <w:t>法定代表人(单位负责人)或其委托代理人：</w:t>
      </w:r>
      <w:r>
        <w:rPr>
          <w:rFonts w:hint="eastAsia" w:ascii="宋体" w:hAnsi="宋体" w:cs="宋体"/>
          <w:b/>
          <w:color w:val="auto"/>
          <w:sz w:val="28"/>
          <w:szCs w:val="28"/>
          <w:highlight w:val="none"/>
          <w:u w:val="single"/>
        </w:rPr>
        <w:t xml:space="preserve">     </w:t>
      </w:r>
      <w:r>
        <w:rPr>
          <w:rFonts w:hint="eastAsia" w:ascii="宋体" w:hAnsi="宋体" w:cs="宋体"/>
          <w:b/>
          <w:color w:val="auto"/>
          <w:sz w:val="28"/>
          <w:szCs w:val="28"/>
          <w:highlight w:val="none"/>
        </w:rPr>
        <w:t>(</w:t>
      </w:r>
      <w:r>
        <w:rPr>
          <w:rFonts w:hint="eastAsia" w:ascii="宋体" w:hAnsi="宋体" w:eastAsia="宋体" w:cs="宋体"/>
          <w:b/>
          <w:color w:val="auto"/>
          <w:sz w:val="28"/>
          <w:szCs w:val="28"/>
          <w:highlight w:val="none"/>
        </w:rPr>
        <w:t>电子签章</w:t>
      </w:r>
      <w:r>
        <w:rPr>
          <w:rFonts w:hint="eastAsia" w:ascii="宋体" w:hAnsi="宋体" w:cs="宋体"/>
          <w:b/>
          <w:color w:val="auto"/>
          <w:sz w:val="28"/>
          <w:szCs w:val="28"/>
          <w:highlight w:val="none"/>
          <w:lang w:val="en-US" w:eastAsia="zh-CN"/>
        </w:rPr>
        <w:t>或签名</w:t>
      </w:r>
      <w:r>
        <w:rPr>
          <w:rFonts w:hint="eastAsia" w:ascii="宋体" w:hAnsi="宋体" w:cs="宋体"/>
          <w:b/>
          <w:color w:val="auto"/>
          <w:sz w:val="28"/>
          <w:szCs w:val="28"/>
          <w:highlight w:val="none"/>
        </w:rPr>
        <w:t>)</w:t>
      </w:r>
    </w:p>
    <w:p w14:paraId="71459B8B">
      <w:pPr>
        <w:ind w:firstLine="843" w:firstLineChars="300"/>
        <w:rPr>
          <w:rFonts w:hint="eastAsia" w:ascii="宋体" w:hAnsi="宋体" w:cs="宋体"/>
          <w:color w:val="auto"/>
          <w:sz w:val="28"/>
          <w:szCs w:val="28"/>
          <w:highlight w:val="none"/>
        </w:rPr>
        <w:sectPr>
          <w:headerReference r:id="rId20" w:type="default"/>
          <w:footerReference r:id="rId21" w:type="default"/>
          <w:pgSz w:w="11906" w:h="16838"/>
          <w:pgMar w:top="1191" w:right="1191" w:bottom="1191" w:left="1304" w:header="851" w:footer="992" w:gutter="0"/>
          <w:pgNumType w:fmt="numberInDash"/>
          <w:cols w:space="720" w:num="1"/>
          <w:docGrid w:type="lines" w:linePitch="317" w:charSpace="0"/>
        </w:sectPr>
      </w:pPr>
      <w:r>
        <w:rPr>
          <w:rFonts w:hint="eastAsia" w:ascii="宋体" w:hAnsi="宋体" w:cs="宋体"/>
          <w:b/>
          <w:color w:val="auto"/>
          <w:sz w:val="28"/>
          <w:szCs w:val="28"/>
          <w:highlight w:val="none"/>
        </w:rPr>
        <w:t>日期：</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年</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月</w:t>
      </w:r>
      <w:r>
        <w:rPr>
          <w:rFonts w:hint="eastAsia" w:ascii="宋体" w:hAnsi="宋体" w:cs="宋体"/>
          <w:bCs/>
          <w:color w:val="auto"/>
          <w:sz w:val="28"/>
          <w:szCs w:val="28"/>
          <w:highlight w:val="none"/>
          <w:u w:val="single"/>
        </w:rPr>
        <w:t xml:space="preserve">     </w:t>
      </w:r>
      <w:r>
        <w:rPr>
          <w:rFonts w:hint="eastAsia" w:ascii="宋体" w:hAnsi="宋体" w:cs="宋体"/>
          <w:b/>
          <w:color w:val="auto"/>
          <w:sz w:val="28"/>
          <w:szCs w:val="28"/>
          <w:highlight w:val="none"/>
        </w:rPr>
        <w:t>日</w:t>
      </w:r>
    </w:p>
    <w:p w14:paraId="31BC574A">
      <w:pPr>
        <w:pStyle w:val="13"/>
        <w:rPr>
          <w:rFonts w:hint="eastAsia" w:ascii="宋体" w:hAnsi="宋体" w:cs="宋体"/>
          <w:color w:val="auto"/>
          <w:szCs w:val="28"/>
          <w:highlight w:val="none"/>
        </w:rPr>
      </w:pPr>
    </w:p>
    <w:p w14:paraId="3CF93A74">
      <w:pPr>
        <w:pStyle w:val="5"/>
        <w:widowControl/>
        <w:autoSpaceDE w:val="0"/>
        <w:spacing w:before="0" w:after="0" w:line="360" w:lineRule="auto"/>
        <w:ind w:left="420" w:leftChars="200"/>
        <w:rPr>
          <w:rFonts w:hint="eastAsia" w:ascii="宋体" w:hAnsi="宋体" w:cs="宋体"/>
          <w:color w:val="auto"/>
          <w:sz w:val="24"/>
          <w:szCs w:val="24"/>
          <w:highlight w:val="none"/>
        </w:rPr>
      </w:pPr>
      <w:bookmarkStart w:id="421" w:name="_Toc21190"/>
      <w:bookmarkStart w:id="422" w:name="_Toc30269"/>
      <w:bookmarkStart w:id="423" w:name="_Toc10162"/>
      <w:r>
        <w:rPr>
          <w:rFonts w:hint="eastAsia" w:ascii="宋体" w:hAnsi="宋体" w:cs="宋体"/>
          <w:color w:val="auto"/>
          <w:szCs w:val="28"/>
          <w:highlight w:val="none"/>
        </w:rPr>
        <w:t>十</w:t>
      </w:r>
      <w:r>
        <w:rPr>
          <w:rFonts w:hint="eastAsia" w:ascii="宋体" w:hAnsi="宋体" w:cs="宋体"/>
          <w:color w:val="auto"/>
          <w:szCs w:val="28"/>
          <w:highlight w:val="none"/>
          <w:lang w:val="en-US" w:eastAsia="zh-CN"/>
        </w:rPr>
        <w:t>六</w:t>
      </w:r>
      <w:r>
        <w:rPr>
          <w:rFonts w:hint="eastAsia" w:ascii="宋体" w:hAnsi="宋体" w:cs="宋体"/>
          <w:color w:val="auto"/>
          <w:szCs w:val="28"/>
          <w:highlight w:val="none"/>
        </w:rPr>
        <w:t>、其他资料</w:t>
      </w:r>
      <w:bookmarkEnd w:id="421"/>
      <w:bookmarkEnd w:id="422"/>
      <w:bookmarkEnd w:id="423"/>
    </w:p>
    <w:p w14:paraId="5ED76C71">
      <w:pPr>
        <w:spacing w:before="158" w:beforeLines="50" w:line="360" w:lineRule="auto"/>
        <w:ind w:firstLine="720" w:firstLineChars="300"/>
        <w:rPr>
          <w:rFonts w:hint="eastAsia" w:ascii="宋体" w:hAnsi="宋体" w:cs="宋体"/>
          <w:color w:val="auto"/>
          <w:sz w:val="24"/>
          <w:szCs w:val="24"/>
          <w:highlight w:val="none"/>
        </w:rPr>
      </w:pPr>
    </w:p>
    <w:p w14:paraId="23C9F9FA">
      <w:pPr>
        <w:spacing w:before="158" w:beforeLines="50" w:line="360" w:lineRule="auto"/>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(一)投标人能享受政策优惠的证明材料</w:t>
      </w:r>
    </w:p>
    <w:p w14:paraId="4741CE22">
      <w:pPr>
        <w:spacing w:before="158" w:beforeLines="50" w:line="360" w:lineRule="auto"/>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(二)招标文件要求提交的其他资料</w:t>
      </w:r>
    </w:p>
    <w:p w14:paraId="77E34195">
      <w:pPr>
        <w:spacing w:before="158" w:beforeLines="50" w:line="360" w:lineRule="auto"/>
        <w:ind w:firstLine="720" w:firstLineChars="300"/>
        <w:rPr>
          <w:rFonts w:hint="eastAsia" w:ascii="宋体" w:hAnsi="宋体" w:cs="宋体"/>
          <w:color w:val="auto"/>
          <w:sz w:val="24"/>
          <w:szCs w:val="24"/>
          <w:highlight w:val="none"/>
        </w:rPr>
      </w:pPr>
      <w:r>
        <w:rPr>
          <w:rFonts w:hint="eastAsia" w:ascii="宋体" w:hAnsi="宋体" w:cs="宋体"/>
          <w:color w:val="auto"/>
          <w:sz w:val="24"/>
          <w:szCs w:val="24"/>
          <w:highlight w:val="none"/>
        </w:rPr>
        <w:t>(三)投标人认为需要提交的其他资料</w:t>
      </w:r>
    </w:p>
    <w:p w14:paraId="25D61157">
      <w:pPr>
        <w:spacing w:line="480" w:lineRule="auto"/>
        <w:jc w:val="center"/>
        <w:rPr>
          <w:rFonts w:hint="eastAsia" w:ascii="宋体" w:hAnsi="宋体" w:cs="宋体"/>
          <w:b/>
          <w:bCs/>
          <w:color w:val="auto"/>
          <w:sz w:val="24"/>
          <w:szCs w:val="24"/>
          <w:highlight w:val="none"/>
          <w:shd w:val="clear" w:color="auto" w:fill="FFFFFF"/>
        </w:rPr>
      </w:pPr>
      <w:r>
        <w:rPr>
          <w:rFonts w:hint="eastAsia" w:ascii="宋体" w:hAnsi="宋体" w:cs="宋体"/>
          <w:color w:val="auto"/>
          <w:sz w:val="24"/>
          <w:szCs w:val="24"/>
          <w:highlight w:val="none"/>
        </w:rPr>
        <w:br w:type="page"/>
      </w:r>
      <w:bookmarkStart w:id="424" w:name="_Toc4868"/>
      <w:r>
        <w:rPr>
          <w:rFonts w:hint="eastAsia" w:ascii="宋体" w:hAnsi="宋体" w:cs="宋体"/>
          <w:b/>
          <w:bCs/>
          <w:color w:val="auto"/>
          <w:sz w:val="24"/>
          <w:szCs w:val="24"/>
          <w:highlight w:val="none"/>
          <w:shd w:val="clear" w:color="auto" w:fill="FFFFFF"/>
        </w:rPr>
        <w:t>中小企业声明函(货物)</w:t>
      </w:r>
      <w:bookmarkEnd w:id="424"/>
      <w:r>
        <w:rPr>
          <w:rFonts w:hint="eastAsia" w:ascii="宋体" w:hAnsi="宋体" w:cs="宋体"/>
          <w:b/>
          <w:bCs/>
          <w:sz w:val="24"/>
          <w:szCs w:val="24"/>
          <w:highlight w:val="none"/>
          <w:shd w:val="clear" w:color="auto" w:fill="FFFFFF"/>
        </w:rPr>
        <w:t>（如涉及）</w:t>
      </w:r>
    </w:p>
    <w:p w14:paraId="4556C9C0">
      <w:pPr>
        <w:widowControl w:val="0"/>
        <w:spacing w:line="480" w:lineRule="auto"/>
        <w:ind w:firstLine="480" w:firstLineChars="200"/>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 xml:space="preserve"> 本公司（联合体)郑重声明，根据《政府采购促进中小企业发展管理办法》(财库( 2020 )46号)的规定，本公司(联合体)参加</w:t>
      </w:r>
      <w:r>
        <w:rPr>
          <w:rFonts w:hint="eastAsia" w:ascii="宋体" w:hAnsi="宋体" w:cs="宋体"/>
          <w:color w:val="auto"/>
          <w:sz w:val="24"/>
          <w:szCs w:val="24"/>
          <w:highlight w:val="none"/>
          <w:u w:val="single"/>
          <w:shd w:val="clear" w:color="auto" w:fill="FFFFFF"/>
        </w:rPr>
        <w:t xml:space="preserve">       (单位名称) </w:t>
      </w:r>
      <w:r>
        <w:rPr>
          <w:rFonts w:hint="eastAsia" w:ascii="宋体" w:hAnsi="宋体" w:cs="宋体"/>
          <w:color w:val="auto"/>
          <w:sz w:val="24"/>
          <w:szCs w:val="24"/>
          <w:highlight w:val="none"/>
          <w:shd w:val="clear" w:color="auto" w:fill="FFFFFF"/>
        </w:rPr>
        <w:t>的</w:t>
      </w:r>
      <w:r>
        <w:rPr>
          <w:rFonts w:hint="eastAsia" w:ascii="宋体" w:hAnsi="宋体" w:cs="宋体"/>
          <w:color w:val="auto"/>
          <w:sz w:val="24"/>
          <w:szCs w:val="24"/>
          <w:highlight w:val="none"/>
          <w:u w:val="single"/>
          <w:shd w:val="clear" w:color="auto" w:fill="FFFFFF"/>
        </w:rPr>
        <w:t xml:space="preserve">    (项目名称)</w:t>
      </w:r>
      <w:r>
        <w:rPr>
          <w:rFonts w:hint="eastAsia" w:ascii="宋体" w:hAnsi="宋体" w:cs="宋体"/>
          <w:color w:val="auto"/>
          <w:sz w:val="24"/>
          <w:szCs w:val="24"/>
          <w:highlight w:val="none"/>
          <w:shd w:val="clear" w:color="auto" w:fill="FFFFFF"/>
        </w:rPr>
        <w:t>采购活动，提供的货物全部由符合政策要求的中小企业制造。相关企业(含联合体中的中小企业、签订分包意向协议的中小企业)的具体情况如下:</w:t>
      </w:r>
    </w:p>
    <w:p w14:paraId="683021FD">
      <w:pPr>
        <w:widowControl w:val="0"/>
        <w:spacing w:line="480" w:lineRule="auto"/>
        <w:ind w:firstLine="480" w:firstLineChars="200"/>
        <w:jc w:val="both"/>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 xml:space="preserve">1. </w:t>
      </w:r>
      <w:r>
        <w:rPr>
          <w:rFonts w:hint="eastAsia" w:ascii="宋体" w:hAnsi="宋体" w:cs="宋体"/>
          <w:color w:val="auto"/>
          <w:sz w:val="24"/>
          <w:szCs w:val="24"/>
          <w:highlight w:val="none"/>
          <w:u w:val="single"/>
          <w:shd w:val="clear" w:color="auto" w:fill="FFFFFF"/>
        </w:rPr>
        <w:t xml:space="preserve">       (标的名称)</w:t>
      </w:r>
      <w:r>
        <w:rPr>
          <w:rFonts w:hint="eastAsia" w:ascii="宋体" w:hAnsi="宋体" w:cs="宋体"/>
          <w:color w:val="auto"/>
          <w:sz w:val="24"/>
          <w:szCs w:val="24"/>
          <w:highlight w:val="none"/>
          <w:shd w:val="clear" w:color="auto" w:fill="FFFFFF"/>
        </w:rPr>
        <w:t>，属于</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u w:val="single"/>
          <w:shd w:val="clear" w:color="auto" w:fill="FFFFFF"/>
          <w:lang w:val="en-US" w:eastAsia="zh-CN"/>
        </w:rPr>
        <w:t>工业</w:t>
      </w:r>
      <w:r>
        <w:rPr>
          <w:rFonts w:hint="eastAsia" w:ascii="宋体" w:hAnsi="宋体" w:cs="宋体"/>
          <w:color w:val="auto"/>
          <w:sz w:val="24"/>
          <w:szCs w:val="24"/>
          <w:highlight w:val="none"/>
          <w:u w:val="single"/>
          <w:shd w:val="clear" w:color="auto" w:fill="FFFFFF"/>
        </w:rPr>
        <w:t xml:space="preserve">   (采购文件中明确的所属行业)</w:t>
      </w:r>
      <w:r>
        <w:rPr>
          <w:rFonts w:hint="eastAsia" w:ascii="宋体" w:hAnsi="宋体" w:cs="宋体"/>
          <w:color w:val="auto"/>
          <w:sz w:val="24"/>
          <w:szCs w:val="24"/>
          <w:highlight w:val="none"/>
          <w:shd w:val="clear" w:color="auto" w:fill="FFFFFF"/>
        </w:rPr>
        <w:t>行业；制造商为</w:t>
      </w:r>
      <w:r>
        <w:rPr>
          <w:rFonts w:hint="eastAsia" w:ascii="宋体" w:hAnsi="宋体" w:cs="宋体"/>
          <w:color w:val="auto"/>
          <w:sz w:val="24"/>
          <w:szCs w:val="24"/>
          <w:highlight w:val="none"/>
          <w:u w:val="single"/>
          <w:shd w:val="clear" w:color="auto" w:fill="FFFFFF"/>
        </w:rPr>
        <w:t xml:space="preserve">    (企业名称)</w:t>
      </w:r>
      <w:r>
        <w:rPr>
          <w:rFonts w:hint="eastAsia" w:ascii="宋体" w:hAnsi="宋体" w:cs="宋体"/>
          <w:color w:val="auto"/>
          <w:sz w:val="24"/>
          <w:szCs w:val="24"/>
          <w:highlight w:val="none"/>
          <w:shd w:val="clear" w:color="auto" w:fill="FFFFFF"/>
        </w:rPr>
        <w:t>，从业人员</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shd w:val="clear" w:color="auto" w:fill="FFFFFF"/>
        </w:rPr>
        <w:t>人， 营业收入为</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shd w:val="clear" w:color="auto" w:fill="FFFFFF"/>
        </w:rPr>
        <w:t>万元，资产总额为___ 万元</w:t>
      </w:r>
      <w:r>
        <w:rPr>
          <w:rFonts w:hint="eastAsia" w:ascii="宋体" w:hAnsi="宋体" w:cs="宋体"/>
          <w:color w:val="auto"/>
          <w:sz w:val="24"/>
          <w:szCs w:val="24"/>
          <w:highlight w:val="none"/>
          <w:shd w:val="clear" w:color="auto" w:fill="FFFFFF"/>
          <w:vertAlign w:val="superscript"/>
        </w:rPr>
        <w:t>1</w:t>
      </w:r>
      <w:r>
        <w:rPr>
          <w:rFonts w:hint="eastAsia" w:ascii="宋体" w:hAnsi="宋体" w:cs="宋体"/>
          <w:color w:val="auto"/>
          <w:sz w:val="24"/>
          <w:szCs w:val="24"/>
          <w:highlight w:val="none"/>
          <w:shd w:val="clear" w:color="auto" w:fill="FFFFFF"/>
        </w:rPr>
        <w:t>，属于</w:t>
      </w:r>
      <w:r>
        <w:rPr>
          <w:rFonts w:hint="eastAsia" w:ascii="宋体" w:hAnsi="宋体" w:cs="宋体"/>
          <w:color w:val="auto"/>
          <w:sz w:val="24"/>
          <w:szCs w:val="24"/>
          <w:highlight w:val="none"/>
          <w:u w:val="single"/>
          <w:shd w:val="clear" w:color="auto" w:fill="FFFFFF"/>
        </w:rPr>
        <w:t xml:space="preserve">     （中型企业、小型企业、微型企业）</w:t>
      </w:r>
      <w:r>
        <w:rPr>
          <w:rFonts w:hint="eastAsia" w:ascii="宋体" w:hAnsi="宋体" w:cs="宋体"/>
          <w:color w:val="auto"/>
          <w:sz w:val="24"/>
          <w:szCs w:val="24"/>
          <w:highlight w:val="none"/>
          <w:shd w:val="clear" w:color="auto" w:fill="FFFFFF"/>
        </w:rPr>
        <w:t>；</w:t>
      </w:r>
    </w:p>
    <w:p w14:paraId="52E0B6CE">
      <w:pPr>
        <w:widowControl w:val="0"/>
        <w:spacing w:line="360" w:lineRule="auto"/>
        <w:ind w:firstLine="480" w:firstLineChars="200"/>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2.</w:t>
      </w:r>
      <w:r>
        <w:rPr>
          <w:rFonts w:hint="eastAsia" w:ascii="宋体" w:hAnsi="宋体" w:cs="宋体"/>
          <w:color w:val="auto"/>
          <w:sz w:val="24"/>
          <w:szCs w:val="24"/>
          <w:highlight w:val="none"/>
          <w:u w:val="single"/>
          <w:shd w:val="clear" w:color="auto" w:fill="FFFFFF"/>
        </w:rPr>
        <w:t xml:space="preserve">      （标的名称)</w:t>
      </w:r>
      <w:r>
        <w:rPr>
          <w:rFonts w:hint="eastAsia" w:ascii="宋体" w:hAnsi="宋体" w:cs="宋体"/>
          <w:color w:val="auto"/>
          <w:sz w:val="24"/>
          <w:szCs w:val="24"/>
          <w:highlight w:val="none"/>
          <w:shd w:val="clear" w:color="auto" w:fill="FFFFFF"/>
        </w:rPr>
        <w:t>， 属于</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u w:val="single"/>
          <w:shd w:val="clear" w:color="auto" w:fill="FFFFFF"/>
          <w:lang w:val="en-US" w:eastAsia="zh-CN"/>
        </w:rPr>
        <w:t>工业</w:t>
      </w:r>
      <w:r>
        <w:rPr>
          <w:rFonts w:hint="eastAsia" w:ascii="宋体" w:hAnsi="宋体" w:cs="宋体"/>
          <w:color w:val="auto"/>
          <w:sz w:val="24"/>
          <w:szCs w:val="24"/>
          <w:highlight w:val="none"/>
          <w:u w:val="single"/>
          <w:shd w:val="clear" w:color="auto" w:fill="FFFFFF"/>
        </w:rPr>
        <w:t>（采购文件中明确的所属行业)</w:t>
      </w:r>
      <w:r>
        <w:rPr>
          <w:rFonts w:hint="eastAsia" w:ascii="宋体" w:hAnsi="宋体" w:cs="宋体"/>
          <w:color w:val="auto"/>
          <w:sz w:val="24"/>
          <w:szCs w:val="24"/>
          <w:highlight w:val="none"/>
          <w:shd w:val="clear" w:color="auto" w:fill="FFFFFF"/>
        </w:rPr>
        <w:t>行业；制造商为</w:t>
      </w:r>
      <w:r>
        <w:rPr>
          <w:rFonts w:hint="eastAsia" w:ascii="宋体" w:hAnsi="宋体" w:cs="宋体"/>
          <w:color w:val="auto"/>
          <w:sz w:val="24"/>
          <w:szCs w:val="24"/>
          <w:highlight w:val="none"/>
          <w:u w:val="single"/>
          <w:shd w:val="clear" w:color="auto" w:fill="FFFFFF"/>
        </w:rPr>
        <w:t xml:space="preserve">       (企业名称)</w:t>
      </w:r>
      <w:r>
        <w:rPr>
          <w:rFonts w:hint="eastAsia" w:ascii="宋体" w:hAnsi="宋体" w:cs="宋体"/>
          <w:color w:val="auto"/>
          <w:sz w:val="24"/>
          <w:szCs w:val="24"/>
          <w:highlight w:val="none"/>
          <w:shd w:val="clear" w:color="auto" w:fill="FFFFFF"/>
        </w:rPr>
        <w:t>，从业人员</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shd w:val="clear" w:color="auto" w:fill="FFFFFF"/>
        </w:rPr>
        <w:t>人， 营业收入为</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shd w:val="clear" w:color="auto" w:fill="FFFFFF"/>
        </w:rPr>
        <w:t>万元， 资产总额为</w:t>
      </w:r>
      <w:r>
        <w:rPr>
          <w:rFonts w:hint="eastAsia" w:ascii="宋体" w:hAnsi="宋体" w:cs="宋体"/>
          <w:color w:val="auto"/>
          <w:sz w:val="24"/>
          <w:szCs w:val="24"/>
          <w:highlight w:val="none"/>
          <w:u w:val="single"/>
          <w:shd w:val="clear" w:color="auto" w:fill="FFFFFF"/>
        </w:rPr>
        <w:t xml:space="preserve">      </w:t>
      </w:r>
      <w:r>
        <w:rPr>
          <w:rFonts w:hint="eastAsia" w:ascii="宋体" w:hAnsi="宋体" w:cs="宋体"/>
          <w:color w:val="auto"/>
          <w:sz w:val="24"/>
          <w:szCs w:val="24"/>
          <w:highlight w:val="none"/>
          <w:shd w:val="clear" w:color="auto" w:fill="FFFFFF"/>
        </w:rPr>
        <w:t>万元，属于</w:t>
      </w:r>
      <w:r>
        <w:rPr>
          <w:rFonts w:hint="eastAsia" w:ascii="宋体" w:hAnsi="宋体" w:cs="宋体"/>
          <w:color w:val="auto"/>
          <w:sz w:val="24"/>
          <w:szCs w:val="24"/>
          <w:highlight w:val="none"/>
          <w:u w:val="single"/>
          <w:shd w:val="clear" w:color="auto" w:fill="FFFFFF"/>
        </w:rPr>
        <w:t xml:space="preserve">   （中型企业、 小型企业、微型企业)</w:t>
      </w:r>
      <w:r>
        <w:rPr>
          <w:rFonts w:hint="eastAsia" w:ascii="宋体" w:hAnsi="宋体" w:cs="宋体"/>
          <w:color w:val="auto"/>
          <w:sz w:val="24"/>
          <w:szCs w:val="24"/>
          <w:highlight w:val="none"/>
          <w:shd w:val="clear" w:color="auto" w:fill="FFFFFF"/>
        </w:rPr>
        <w:t>；</w:t>
      </w:r>
    </w:p>
    <w:p w14:paraId="4D498964">
      <w:pPr>
        <w:widowControl w:val="0"/>
        <w:spacing w:line="480" w:lineRule="auto"/>
        <w:ind w:firstLine="480" w:firstLineChars="200"/>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w:t>
      </w:r>
    </w:p>
    <w:p w14:paraId="2256D62F">
      <w:pPr>
        <w:widowControl w:val="0"/>
        <w:spacing w:line="480" w:lineRule="auto"/>
        <w:ind w:firstLine="480" w:firstLineChars="200"/>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以上企业，不属于大企业的分支机构，不存在控股股东为大企业的情形，也不存在与大企业的负责人为同一人的情形。</w:t>
      </w:r>
    </w:p>
    <w:p w14:paraId="0230D007">
      <w:pPr>
        <w:widowControl w:val="0"/>
        <w:spacing w:line="480" w:lineRule="auto"/>
        <w:ind w:firstLine="480" w:firstLineChars="200"/>
        <w:jc w:val="both"/>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本企业对上述声明内容的真实性负责。如有虚假，将依法承担相应责任。</w:t>
      </w:r>
    </w:p>
    <w:p w14:paraId="4883275E">
      <w:pPr>
        <w:spacing w:line="480" w:lineRule="auto"/>
        <w:ind w:left="3360" w:hanging="3360" w:hangingChars="1400"/>
        <w:jc w:val="center"/>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企业名称(盖章):</w:t>
      </w:r>
    </w:p>
    <w:p w14:paraId="2F03DBB0">
      <w:pPr>
        <w:spacing w:line="480" w:lineRule="auto"/>
        <w:ind w:firstLine="4080" w:firstLineChars="1700"/>
        <w:jc w:val="both"/>
        <w:rPr>
          <w:rFonts w:hint="eastAsia"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日 期:</w:t>
      </w:r>
    </w:p>
    <w:p w14:paraId="79B2BF8C">
      <w:pPr>
        <w:spacing w:line="480" w:lineRule="auto"/>
        <w:jc w:val="both"/>
        <w:rPr>
          <w:rFonts w:hint="eastAsia" w:ascii="宋体" w:hAnsi="宋体" w:cs="宋体"/>
          <w:color w:val="auto"/>
          <w:sz w:val="24"/>
          <w:szCs w:val="24"/>
          <w:highlight w:val="none"/>
          <w:u w:val="single"/>
          <w:shd w:val="clear" w:color="auto" w:fill="FFFFFF"/>
        </w:rPr>
      </w:pPr>
      <w:r>
        <w:rPr>
          <w:rFonts w:hint="eastAsia" w:ascii="宋体" w:hAnsi="宋体" w:cs="宋体"/>
          <w:color w:val="auto"/>
          <w:sz w:val="24"/>
          <w:szCs w:val="24"/>
          <w:highlight w:val="none"/>
          <w:u w:val="single"/>
          <w:shd w:val="clear" w:color="auto" w:fill="FFFFFF"/>
        </w:rPr>
        <w:t xml:space="preserve">                   </w:t>
      </w:r>
    </w:p>
    <w:p w14:paraId="254FF8E9">
      <w:pPr>
        <w:spacing w:line="480" w:lineRule="auto"/>
        <w:rPr>
          <w:rFonts w:hint="eastAsia" w:ascii="宋体" w:hAnsi="宋体" w:cs="宋体"/>
          <w:color w:val="auto"/>
          <w:sz w:val="18"/>
          <w:szCs w:val="18"/>
          <w:highlight w:val="none"/>
          <w:shd w:val="clear" w:color="auto" w:fill="FFFFFF"/>
        </w:rPr>
      </w:pPr>
      <w:r>
        <w:rPr>
          <w:rFonts w:hint="eastAsia" w:ascii="宋体" w:hAnsi="宋体" w:cs="宋体"/>
          <w:color w:val="auto"/>
          <w:sz w:val="18"/>
          <w:szCs w:val="18"/>
          <w:highlight w:val="none"/>
          <w:shd w:val="clear" w:color="auto" w:fill="FFFFFF"/>
          <w:vertAlign w:val="superscript"/>
        </w:rPr>
        <w:t>1</w:t>
      </w:r>
      <w:r>
        <w:rPr>
          <w:rFonts w:hint="eastAsia" w:ascii="宋体" w:hAnsi="宋体" w:cs="宋体"/>
          <w:color w:val="auto"/>
          <w:sz w:val="18"/>
          <w:szCs w:val="18"/>
          <w:highlight w:val="none"/>
          <w:shd w:val="clear" w:color="auto" w:fill="FFFFFF"/>
        </w:rPr>
        <w:t>从业人员、营业收入、资产总额填报上一年度数据，无上一年度数据的新成立企业可不填报。</w:t>
      </w:r>
      <w:bookmarkStart w:id="425" w:name="_Toc468"/>
      <w:bookmarkEnd w:id="425"/>
      <w:bookmarkStart w:id="426" w:name="_Toc12254"/>
      <w:bookmarkEnd w:id="426"/>
    </w:p>
    <w:p w14:paraId="419DF83D">
      <w:pPr>
        <w:rPr>
          <w:rFonts w:hint="eastAsia" w:ascii="宋体" w:hAnsi="宋体" w:cs="宋体"/>
          <w:color w:val="auto"/>
          <w:sz w:val="18"/>
          <w:szCs w:val="18"/>
          <w:highlight w:val="none"/>
          <w:shd w:val="clear" w:color="auto" w:fill="FFFFFF"/>
        </w:rPr>
      </w:pPr>
      <w:r>
        <w:rPr>
          <w:rFonts w:hint="eastAsia" w:ascii="宋体" w:hAnsi="宋体" w:cs="宋体"/>
          <w:color w:val="auto"/>
          <w:sz w:val="18"/>
          <w:szCs w:val="18"/>
          <w:highlight w:val="none"/>
          <w:shd w:val="clear" w:color="auto" w:fill="FFFFFF"/>
        </w:rPr>
        <w:br w:type="page"/>
      </w:r>
    </w:p>
    <w:p w14:paraId="79463446">
      <w:pPr>
        <w:spacing w:line="480" w:lineRule="auto"/>
        <w:jc w:val="center"/>
        <w:rPr>
          <w:rFonts w:hint="eastAsia" w:ascii="宋体" w:hAnsi="宋体" w:cs="宋体"/>
          <w:b/>
          <w:color w:val="auto"/>
          <w:spacing w:val="6"/>
          <w:sz w:val="30"/>
          <w:szCs w:val="30"/>
          <w:highlight w:val="none"/>
        </w:rPr>
      </w:pPr>
      <w:r>
        <w:rPr>
          <w:rFonts w:hint="eastAsia" w:ascii="宋体" w:hAnsi="宋体" w:cs="宋体"/>
          <w:b/>
          <w:bCs/>
          <w:color w:val="auto"/>
          <w:sz w:val="24"/>
          <w:szCs w:val="24"/>
          <w:highlight w:val="none"/>
          <w:shd w:val="clear" w:color="auto" w:fill="FFFFFF"/>
        </w:rPr>
        <w:t>残疾人福利性单位声明函格式</w:t>
      </w:r>
      <w:r>
        <w:rPr>
          <w:rFonts w:hint="eastAsia" w:ascii="宋体" w:hAnsi="宋体" w:cs="宋体"/>
          <w:b/>
          <w:bCs/>
          <w:sz w:val="24"/>
          <w:szCs w:val="24"/>
          <w:highlight w:val="none"/>
          <w:shd w:val="clear" w:color="auto" w:fill="FFFFFF"/>
        </w:rPr>
        <w:t>（如涉及）</w:t>
      </w:r>
    </w:p>
    <w:p w14:paraId="4DE36A2D">
      <w:pPr>
        <w:spacing w:line="588" w:lineRule="exact"/>
        <w:ind w:firstLine="504" w:firstLineChars="200"/>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cs="宋体"/>
          <w:color w:val="auto"/>
          <w:sz w:val="24"/>
          <w:szCs w:val="24"/>
          <w:highlight w:val="none"/>
        </w:rPr>
        <w:t>〔2017〕 141</w:t>
      </w:r>
      <w:r>
        <w:rPr>
          <w:rFonts w:hint="eastAsia" w:ascii="宋体" w:hAnsi="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8A50844">
      <w:pPr>
        <w:spacing w:line="588" w:lineRule="exact"/>
        <w:ind w:firstLine="504" w:firstLineChars="200"/>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本单位对上述声明的真实性负责。如有虚假，将依法承担相应责任。</w:t>
      </w:r>
    </w:p>
    <w:p w14:paraId="6E036E4C">
      <w:pPr>
        <w:spacing w:line="588" w:lineRule="exact"/>
        <w:ind w:firstLine="504" w:firstLineChars="200"/>
        <w:rPr>
          <w:rFonts w:hint="eastAsia" w:ascii="宋体" w:hAnsi="宋体" w:cs="宋体"/>
          <w:color w:val="auto"/>
          <w:spacing w:val="6"/>
          <w:sz w:val="24"/>
          <w:szCs w:val="24"/>
          <w:highlight w:val="none"/>
        </w:rPr>
      </w:pPr>
    </w:p>
    <w:p w14:paraId="02B47438">
      <w:pPr>
        <w:spacing w:line="588" w:lineRule="exact"/>
        <w:ind w:firstLine="504" w:firstLineChars="200"/>
        <w:rPr>
          <w:rFonts w:hint="eastAsia" w:ascii="宋体" w:hAnsi="宋体" w:cs="宋体"/>
          <w:color w:val="auto"/>
          <w:spacing w:val="6"/>
          <w:sz w:val="24"/>
          <w:szCs w:val="24"/>
          <w:highlight w:val="none"/>
        </w:rPr>
      </w:pPr>
    </w:p>
    <w:p w14:paraId="6DCD5391">
      <w:pPr>
        <w:tabs>
          <w:tab w:val="left" w:pos="4860"/>
        </w:tabs>
        <w:spacing w:line="588" w:lineRule="exact"/>
        <w:ind w:right="1560" w:firstLine="504" w:firstLineChars="200"/>
        <w:jc w:val="center"/>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单位名称（盖章）：</w:t>
      </w:r>
    </w:p>
    <w:p w14:paraId="6364C348">
      <w:pPr>
        <w:tabs>
          <w:tab w:val="left" w:pos="4860"/>
        </w:tabs>
        <w:spacing w:line="588" w:lineRule="exact"/>
        <w:ind w:right="1560" w:firstLine="504" w:firstLineChars="200"/>
        <w:jc w:val="center"/>
        <w:rPr>
          <w:rFonts w:hint="eastAsia" w:ascii="宋体" w:hAnsi="宋体" w:cs="宋体"/>
          <w:color w:val="auto"/>
          <w:spacing w:val="6"/>
          <w:sz w:val="24"/>
          <w:szCs w:val="24"/>
          <w:highlight w:val="none"/>
        </w:rPr>
      </w:pPr>
      <w:r>
        <w:rPr>
          <w:rFonts w:hint="eastAsia" w:ascii="宋体" w:hAnsi="宋体" w:cs="宋体"/>
          <w:color w:val="auto"/>
          <w:spacing w:val="6"/>
          <w:sz w:val="24"/>
          <w:szCs w:val="24"/>
          <w:highlight w:val="none"/>
        </w:rPr>
        <w:t xml:space="preserve">       日  期：</w:t>
      </w:r>
    </w:p>
    <w:p w14:paraId="38B8213A">
      <w:pPr>
        <w:tabs>
          <w:tab w:val="left" w:pos="4860"/>
        </w:tabs>
        <w:spacing w:line="588" w:lineRule="exact"/>
        <w:ind w:right="1560"/>
        <w:jc w:val="both"/>
        <w:rPr>
          <w:rFonts w:hint="eastAsia" w:ascii="宋体" w:hAnsi="宋体" w:cs="宋体"/>
          <w:color w:val="auto"/>
          <w:spacing w:val="6"/>
          <w:sz w:val="24"/>
          <w:szCs w:val="24"/>
          <w:highlight w:val="none"/>
        </w:rPr>
      </w:pPr>
    </w:p>
    <w:p w14:paraId="66E34DAF">
      <w:pPr>
        <w:spacing w:line="480" w:lineRule="auto"/>
        <w:jc w:val="center"/>
        <w:rPr>
          <w:rFonts w:hint="eastAsia" w:ascii="宋体" w:hAnsi="宋体" w:cs="宋体"/>
          <w:b/>
          <w:bCs/>
          <w:color w:val="auto"/>
          <w:sz w:val="24"/>
          <w:szCs w:val="24"/>
          <w:highlight w:val="none"/>
          <w:shd w:val="clear" w:color="auto" w:fill="FFFFFF"/>
        </w:rPr>
      </w:pPr>
      <w:r>
        <w:rPr>
          <w:rFonts w:hint="eastAsia" w:ascii="宋体" w:hAnsi="宋体" w:cs="宋体"/>
          <w:b/>
          <w:bCs/>
          <w:color w:val="auto"/>
          <w:sz w:val="24"/>
          <w:szCs w:val="24"/>
          <w:highlight w:val="none"/>
          <w:shd w:val="clear" w:color="auto" w:fill="FFFFFF"/>
        </w:rPr>
        <w:br w:type="page"/>
      </w:r>
      <w:bookmarkStart w:id="427" w:name="_Toc28128"/>
      <w:r>
        <w:rPr>
          <w:rFonts w:hint="eastAsia" w:ascii="宋体" w:hAnsi="宋体" w:cs="宋体"/>
          <w:b/>
          <w:bCs/>
          <w:color w:val="auto"/>
          <w:sz w:val="24"/>
          <w:szCs w:val="24"/>
          <w:highlight w:val="none"/>
          <w:shd w:val="clear" w:color="auto" w:fill="FFFFFF"/>
        </w:rPr>
        <w:t>监狱企业证明文件格式</w:t>
      </w:r>
      <w:bookmarkEnd w:id="427"/>
      <w:r>
        <w:rPr>
          <w:rFonts w:hint="eastAsia" w:ascii="宋体" w:hAnsi="宋体" w:cs="宋体"/>
          <w:b/>
          <w:bCs/>
          <w:sz w:val="24"/>
          <w:szCs w:val="24"/>
          <w:highlight w:val="none"/>
          <w:shd w:val="clear" w:color="auto" w:fill="FFFFFF"/>
        </w:rPr>
        <w:t>（如涉及）</w:t>
      </w:r>
    </w:p>
    <w:p w14:paraId="5146381D">
      <w:pPr>
        <w:spacing w:line="48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根据《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C642930">
      <w:pPr>
        <w:spacing w:line="48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监狱企业参加政府采购活动时，应当提供由省级以上监狱管理局、戒毒管理局（含新疆生产建设兵团）出具的属于监狱企业的证明文件。</w:t>
      </w:r>
    </w:p>
    <w:p w14:paraId="09BC79B8">
      <w:pPr>
        <w:spacing w:line="48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4445C3C3">
      <w:pPr>
        <w:pStyle w:val="9"/>
        <w:rPr>
          <w:rFonts w:hint="eastAsia" w:hAnsi="宋体" w:cs="宋体"/>
          <w:color w:val="auto"/>
          <w:highlight w:val="none"/>
        </w:rPr>
      </w:pPr>
    </w:p>
    <w:p w14:paraId="69BC7F60">
      <w:pPr>
        <w:spacing w:line="480" w:lineRule="auto"/>
        <w:rPr>
          <w:rFonts w:hint="eastAsia" w:ascii="宋体" w:hAnsi="宋体" w:cs="宋体"/>
          <w:color w:val="auto"/>
          <w:sz w:val="18"/>
          <w:szCs w:val="18"/>
          <w:highlight w:val="none"/>
          <w:shd w:val="clear" w:color="auto" w:fill="FFFFFF"/>
        </w:rPr>
      </w:pPr>
      <w:r>
        <w:rPr>
          <w:rFonts w:hint="eastAsia" w:ascii="宋体" w:hAnsi="宋体" w:cs="宋体"/>
          <w:color w:val="auto"/>
          <w:highlight w:val="none"/>
        </w:rPr>
        <w:t>注：符合条件的监狱企业在参加政府采购活动时，应当按《财政部 司法部关于政府采购支持监狱企业发展有关问题的通知》（财库[2014]68 号）提供规定的《监狱企业证明文件》，并对证明文件的真实性负责。</w:t>
      </w:r>
    </w:p>
    <w:p w14:paraId="540FC668">
      <w:pPr>
        <w:rPr>
          <w:color w:val="auto"/>
          <w:highlight w:val="none"/>
        </w:rPr>
      </w:pPr>
      <w:r>
        <w:rPr>
          <w:color w:val="auto"/>
          <w:highlight w:val="none"/>
        </w:rPr>
        <w:br w:type="page"/>
      </w:r>
    </w:p>
    <w:p w14:paraId="46E1B28C">
      <w:pPr>
        <w:keepNext w:val="0"/>
        <w:keepLines w:val="0"/>
        <w:pageBreakBefore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关于符合本国产品标准的声明函</w:t>
      </w:r>
      <w:r>
        <w:rPr>
          <w:rFonts w:hint="eastAsia" w:ascii="宋体" w:hAnsi="宋体" w:cs="宋体"/>
          <w:b/>
          <w:bCs/>
          <w:sz w:val="24"/>
          <w:szCs w:val="24"/>
          <w:highlight w:val="none"/>
          <w:shd w:val="clear" w:color="auto" w:fill="FFFFFF"/>
        </w:rPr>
        <w:t>（如涉及）</w:t>
      </w:r>
    </w:p>
    <w:p w14:paraId="1C5109E3">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02DC8E91">
      <w:pPr>
        <w:pStyle w:val="3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279" w:leftChars="133" w:right="0" w:rightChars="0" w:firstLine="240" w:firstLineChars="100"/>
        <w:jc w:val="both"/>
        <w:textAlignment w:val="baseline"/>
        <w:rPr>
          <w:rFonts w:hint="eastAsia" w:ascii="宋体" w:hAnsi="宋体" w:eastAsia="宋体" w:cs="宋体"/>
          <w:color w:val="auto"/>
          <w:sz w:val="24"/>
          <w:szCs w:val="24"/>
          <w:highlight w:val="none"/>
        </w:rPr>
      </w:pP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lang w:val="en-US" w:eastAsia="zh-CN"/>
        </w:rPr>
        <w:t>1.</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（产品名称1）</w:t>
      </w:r>
      <w:r>
        <w:rPr>
          <w:rStyle w:val="42"/>
          <w:rFonts w:hint="eastAsia" w:ascii="宋体" w:hAnsi="宋体" w:eastAsia="宋体" w:cs="宋体"/>
          <w:caps w:val="0"/>
          <w:color w:val="auto"/>
          <w:spacing w:val="0"/>
          <w:sz w:val="24"/>
          <w:szCs w:val="24"/>
          <w:highlight w:val="none"/>
          <w:shd w:val="clear" w:color="auto" w:fill="FFFFFF"/>
          <w:vertAlign w:val="superscript"/>
        </w:rPr>
        <w:t>1</w:t>
      </w:r>
      <w:r>
        <w:rPr>
          <w:rFonts w:hint="eastAsia" w:ascii="宋体" w:hAnsi="宋体" w:eastAsia="宋体" w:cs="宋体"/>
          <w:i w:val="0"/>
          <w:iCs w:val="0"/>
          <w:caps w:val="0"/>
          <w:color w:val="auto"/>
          <w:spacing w:val="0"/>
          <w:sz w:val="24"/>
          <w:szCs w:val="24"/>
          <w:highlight w:val="none"/>
          <w:u w:val="none"/>
          <w:shd w:val="clear" w:color="auto" w:fill="FFFFFF"/>
          <w:vertAlign w:val="baseline"/>
        </w:rPr>
        <w:t>，生产厂为</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（厂名）</w:t>
      </w:r>
      <w:r>
        <w:rPr>
          <w:rStyle w:val="42"/>
          <w:rFonts w:hint="eastAsia" w:ascii="宋体" w:hAnsi="宋体" w:eastAsia="宋体" w:cs="宋体"/>
          <w:caps w:val="0"/>
          <w:color w:val="auto"/>
          <w:spacing w:val="0"/>
          <w:sz w:val="24"/>
          <w:szCs w:val="24"/>
          <w:highlight w:val="none"/>
          <w:shd w:val="clear" w:color="auto" w:fill="FFFFFF"/>
          <w:vertAlign w:val="superscript"/>
        </w:rPr>
        <w:t>2</w:t>
      </w:r>
      <w:r>
        <w:rPr>
          <w:rFonts w:hint="eastAsia" w:ascii="宋体" w:hAnsi="宋体" w:eastAsia="宋体" w:cs="宋体"/>
          <w:i w:val="0"/>
          <w:iCs w:val="0"/>
          <w:caps w:val="0"/>
          <w:color w:val="auto"/>
          <w:spacing w:val="0"/>
          <w:sz w:val="24"/>
          <w:szCs w:val="24"/>
          <w:highlight w:val="none"/>
          <w:u w:val="none"/>
          <w:shd w:val="clear" w:color="auto" w:fill="FFFFFF"/>
          <w:vertAlign w:val="baseline"/>
        </w:rPr>
        <w:t>，厂址为</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（生产厂址）</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（产品名称1）</w:t>
      </w:r>
      <w:r>
        <w:rPr>
          <w:rFonts w:hint="eastAsia" w:ascii="宋体" w:hAnsi="宋体" w:eastAsia="宋体" w:cs="宋体"/>
          <w:i w:val="0"/>
          <w:iCs w:val="0"/>
          <w:caps w:val="0"/>
          <w:color w:val="auto"/>
          <w:spacing w:val="0"/>
          <w:sz w:val="24"/>
          <w:szCs w:val="24"/>
          <w:highlight w:val="none"/>
          <w:u w:val="none"/>
          <w:shd w:val="clear" w:color="auto" w:fill="FFFFFF"/>
          <w:vertAlign w:val="baseline"/>
        </w:rPr>
        <w:t>的中国境内生产的组件成本占比≥</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（规定比例）</w:t>
      </w:r>
      <w:r>
        <w:rPr>
          <w:rStyle w:val="42"/>
          <w:rFonts w:hint="eastAsia" w:ascii="宋体" w:hAnsi="宋体" w:eastAsia="宋体" w:cs="宋体"/>
          <w:caps w:val="0"/>
          <w:color w:val="auto"/>
          <w:spacing w:val="0"/>
          <w:sz w:val="24"/>
          <w:szCs w:val="24"/>
          <w:highlight w:val="none"/>
          <w:shd w:val="clear" w:color="auto" w:fill="FFFFFF"/>
          <w:vertAlign w:val="superscript"/>
        </w:rPr>
        <w:t>3</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（产品名称1）</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（关键组件）</w:t>
      </w:r>
      <w:r>
        <w:rPr>
          <w:rStyle w:val="42"/>
          <w:rFonts w:hint="eastAsia" w:ascii="宋体" w:hAnsi="宋体" w:eastAsia="宋体" w:cs="宋体"/>
          <w:caps w:val="0"/>
          <w:color w:val="auto"/>
          <w:spacing w:val="0"/>
          <w:sz w:val="24"/>
          <w:szCs w:val="24"/>
          <w:highlight w:val="none"/>
          <w:shd w:val="clear" w:color="auto" w:fill="FFFFFF"/>
          <w:vertAlign w:val="superscript"/>
        </w:rPr>
        <w:t>4</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在中国境内生产。</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（产品名称1）</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（关键工序）</w:t>
      </w:r>
      <w:r>
        <w:rPr>
          <w:rStyle w:val="42"/>
          <w:rFonts w:hint="eastAsia" w:ascii="宋体" w:hAnsi="宋体" w:eastAsia="宋体" w:cs="宋体"/>
          <w:caps w:val="0"/>
          <w:color w:val="auto"/>
          <w:spacing w:val="0"/>
          <w:sz w:val="24"/>
          <w:szCs w:val="24"/>
          <w:highlight w:val="none"/>
          <w:shd w:val="clear" w:color="auto" w:fill="FFFFFF"/>
          <w:vertAlign w:val="superscript"/>
        </w:rPr>
        <w:t>5</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在中国境内完成。</w:t>
      </w:r>
    </w:p>
    <w:p w14:paraId="557AA5BD">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2.</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auto"/>
          <w:spacing w:val="0"/>
          <w:sz w:val="24"/>
          <w:szCs w:val="24"/>
          <w:highlight w:val="none"/>
          <w:u w:val="none"/>
          <w:shd w:val="clear" w:color="auto" w:fill="FFFFFF"/>
          <w:vertAlign w:val="baseline"/>
        </w:rPr>
        <w:t>，生产厂为</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（厂名）</w:t>
      </w:r>
      <w:r>
        <w:rPr>
          <w:rFonts w:hint="eastAsia" w:ascii="宋体" w:hAnsi="宋体" w:eastAsia="宋体" w:cs="宋体"/>
          <w:i w:val="0"/>
          <w:iCs w:val="0"/>
          <w:caps w:val="0"/>
          <w:color w:val="auto"/>
          <w:spacing w:val="0"/>
          <w:sz w:val="24"/>
          <w:szCs w:val="24"/>
          <w:highlight w:val="none"/>
          <w:u w:val="none"/>
          <w:shd w:val="clear" w:color="auto" w:fill="FFFFFF"/>
          <w:vertAlign w:val="baseline"/>
        </w:rPr>
        <w:t>，厂址为</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（生产厂址）</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auto"/>
          <w:spacing w:val="0"/>
          <w:sz w:val="24"/>
          <w:szCs w:val="24"/>
          <w:highlight w:val="none"/>
          <w:u w:val="none"/>
          <w:shd w:val="clear" w:color="auto" w:fill="FFFFFF"/>
          <w:vertAlign w:val="baseline"/>
        </w:rPr>
        <w:t>的中国境内生产的组件成本占比≥</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（规定比例）</w:t>
      </w:r>
      <w:r>
        <w:rPr>
          <w:rFonts w:hint="eastAsia" w:ascii="宋体" w:hAnsi="宋体" w:eastAsia="宋体" w:cs="宋体"/>
          <w:i w:val="0"/>
          <w:iCs w:val="0"/>
          <w:caps w:val="0"/>
          <w:color w:val="auto"/>
          <w:spacing w:val="0"/>
          <w:sz w:val="24"/>
          <w:szCs w:val="24"/>
          <w:highlight w:val="none"/>
          <w:u w:val="none"/>
          <w:shd w:val="clear" w:color="auto" w:fill="FFFFFF"/>
          <w:vertAlign w:val="baseline"/>
        </w:rPr>
        <w:t>。</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（关键组件）</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在中国境内生产。</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（产品名称2）</w:t>
      </w:r>
      <w:r>
        <w:rPr>
          <w:rFonts w:hint="eastAsia" w:ascii="宋体" w:hAnsi="宋体" w:eastAsia="宋体" w:cs="宋体"/>
          <w:i w:val="0"/>
          <w:iCs w:val="0"/>
          <w:caps w:val="0"/>
          <w:color w:val="auto"/>
          <w:spacing w:val="0"/>
          <w:sz w:val="24"/>
          <w:szCs w:val="24"/>
          <w:highlight w:val="none"/>
          <w:u w:val="none"/>
          <w:shd w:val="clear" w:color="auto" w:fill="FFFFFF"/>
          <w:vertAlign w:val="baseline"/>
        </w:rPr>
        <w:t>的</w:t>
      </w:r>
      <w:r>
        <w:rPr>
          <w:rStyle w:val="42"/>
          <w:rFonts w:hint="eastAsia" w:ascii="宋体" w:hAnsi="宋体" w:eastAsia="宋体" w:cs="宋体"/>
          <w:i w:val="0"/>
          <w:iCs w:val="0"/>
          <w:caps w:val="0"/>
          <w:color w:val="auto"/>
          <w:spacing w:val="0"/>
          <w:sz w:val="24"/>
          <w:szCs w:val="24"/>
          <w:highlight w:val="none"/>
          <w:u w:val="none"/>
          <w:shd w:val="clear" w:color="auto" w:fill="FFFFFF"/>
          <w:vertAlign w:val="baseline"/>
        </w:rPr>
        <w:t>（关键工序）</w:t>
      </w:r>
      <w:r>
        <w:rPr>
          <w:rFonts w:hint="eastAsia" w:ascii="宋体" w:hAnsi="宋体" w:eastAsia="宋体" w:cs="宋体"/>
          <w:i w:val="0"/>
          <w:iCs w:val="0"/>
          <w:caps w:val="0"/>
          <w:color w:val="auto"/>
          <w:spacing w:val="0"/>
          <w:sz w:val="24"/>
          <w:szCs w:val="24"/>
          <w:highlight w:val="none"/>
          <w:u w:val="none"/>
          <w:shd w:val="clear" w:color="auto" w:fill="FFFFFF"/>
          <w:vertAlign w:val="baseline"/>
        </w:rPr>
        <w:t>在中国境内完成。</w:t>
      </w:r>
    </w:p>
    <w:p w14:paraId="6D20B421">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w:t>
      </w:r>
    </w:p>
    <w:p w14:paraId="7D52B1CD">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48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本公司（单位）对上述声明内容的真实性负责。如有虚假，愿承担相应法律责任。</w:t>
      </w:r>
    </w:p>
    <w:p w14:paraId="69E34639">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right="0" w:firstLine="0"/>
        <w:jc w:val="left"/>
        <w:textAlignment w:val="baseline"/>
        <w:rPr>
          <w:rFonts w:hint="eastAsia" w:ascii="宋体" w:hAnsi="宋体" w:eastAsia="宋体" w:cs="宋体"/>
          <w:i w:val="0"/>
          <w:iCs w:val="0"/>
          <w:caps w:val="0"/>
          <w:color w:val="auto"/>
          <w:spacing w:val="0"/>
          <w:sz w:val="24"/>
          <w:szCs w:val="24"/>
          <w:highlight w:val="none"/>
          <w:u w:val="none"/>
          <w:shd w:val="clear" w:color="auto" w:fill="FFFFFF"/>
          <w:vertAlign w:val="baseline"/>
        </w:rPr>
      </w:pPr>
    </w:p>
    <w:p w14:paraId="155FE919">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right="0" w:firstLine="0"/>
        <w:jc w:val="left"/>
        <w:textAlignment w:val="baseline"/>
        <w:rPr>
          <w:rFonts w:hint="eastAsia" w:ascii="宋体" w:hAnsi="宋体" w:eastAsia="宋体" w:cs="宋体"/>
          <w:i w:val="0"/>
          <w:iCs w:val="0"/>
          <w:caps w:val="0"/>
          <w:color w:val="auto"/>
          <w:spacing w:val="0"/>
          <w:sz w:val="24"/>
          <w:szCs w:val="24"/>
          <w:highlight w:val="none"/>
          <w:u w:val="none"/>
          <w:shd w:val="clear" w:color="auto" w:fill="FFFFFF"/>
          <w:vertAlign w:val="baseline"/>
        </w:rPr>
      </w:pPr>
    </w:p>
    <w:p w14:paraId="242839B0">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right="0" w:firstLine="0"/>
        <w:jc w:val="center"/>
        <w:textAlignment w:val="baseline"/>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公司（单位）名称（盖章）：</w:t>
      </w:r>
    </w:p>
    <w:p w14:paraId="6822DC27">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rightChars="0" w:firstLine="0" w:firstLineChars="0"/>
        <w:jc w:val="center"/>
        <w:textAlignment w:val="baseline"/>
        <w:rPr>
          <w:rFonts w:hint="eastAsia" w:ascii="宋体" w:hAnsi="宋体" w:eastAsia="宋体" w:cs="宋体"/>
          <w:color w:val="auto"/>
          <w:sz w:val="28"/>
          <w:szCs w:val="28"/>
          <w:highlight w:val="none"/>
        </w:rPr>
      </w:pPr>
      <w:r>
        <w:rPr>
          <w:rFonts w:hint="eastAsia" w:ascii="宋体" w:hAnsi="宋体" w:eastAsia="宋体" w:cs="宋体"/>
          <w:i w:val="0"/>
          <w:iCs w:val="0"/>
          <w:caps w:val="0"/>
          <w:color w:val="auto"/>
          <w:spacing w:val="0"/>
          <w:sz w:val="24"/>
          <w:szCs w:val="24"/>
          <w:highlight w:val="none"/>
          <w:u w:val="none"/>
          <w:shd w:val="clear" w:color="auto" w:fill="FFFFFF"/>
          <w:vertAlign w:val="baseline"/>
        </w:rPr>
        <w:t>日期：</w:t>
      </w:r>
      <w:r>
        <w:rPr>
          <w:rFonts w:hint="eastAsia" w:ascii="宋体" w:hAnsi="宋体" w:eastAsia="宋体" w:cs="宋体"/>
          <w:i w:val="0"/>
          <w:iCs w:val="0"/>
          <w:caps w:val="0"/>
          <w:color w:val="auto"/>
          <w:spacing w:val="0"/>
          <w:sz w:val="24"/>
          <w:szCs w:val="24"/>
          <w:highlight w:val="none"/>
          <w:u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u w:val="none"/>
          <w:shd w:val="clear" w:color="auto" w:fill="FFFFFF"/>
          <w:vertAlign w:val="baseline"/>
        </w:rPr>
        <w:t>年</w:t>
      </w:r>
      <w:r>
        <w:rPr>
          <w:rFonts w:hint="eastAsia" w:ascii="宋体" w:hAnsi="宋体" w:eastAsia="宋体" w:cs="宋体"/>
          <w:i w:val="0"/>
          <w:iCs w:val="0"/>
          <w:caps w:val="0"/>
          <w:color w:val="auto"/>
          <w:spacing w:val="0"/>
          <w:sz w:val="24"/>
          <w:szCs w:val="24"/>
          <w:highlight w:val="none"/>
          <w:u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u w:val="none"/>
          <w:shd w:val="clear" w:color="auto" w:fill="FFFFFF"/>
          <w:vertAlign w:val="baseline"/>
        </w:rPr>
        <w:t>月</w:t>
      </w:r>
      <w:r>
        <w:rPr>
          <w:rFonts w:hint="eastAsia" w:ascii="宋体" w:hAnsi="宋体" w:eastAsia="宋体" w:cs="宋体"/>
          <w:i w:val="0"/>
          <w:iCs w:val="0"/>
          <w:caps w:val="0"/>
          <w:color w:val="auto"/>
          <w:spacing w:val="0"/>
          <w:sz w:val="24"/>
          <w:szCs w:val="24"/>
          <w:highlight w:val="none"/>
          <w:u w:val="none"/>
          <w:shd w:val="clear" w:color="auto"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u w:val="none"/>
          <w:shd w:val="clear" w:color="auto" w:fill="FFFFFF"/>
          <w:vertAlign w:val="baseline"/>
        </w:rPr>
        <w:t>日</w:t>
      </w:r>
    </w:p>
    <w:p w14:paraId="3536B2E4">
      <w:pPr>
        <w:pStyle w:val="34"/>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30" w:beforeAutospacing="0" w:after="30" w:afterAutospacing="0" w:line="560" w:lineRule="atLeast"/>
        <w:ind w:left="0" w:leftChars="0" w:right="0" w:firstLine="0"/>
        <w:textAlignment w:val="baseline"/>
        <w:rPr>
          <w:rFonts w:hint="eastAsia" w:ascii="宋体" w:hAnsi="宋体" w:eastAsia="宋体" w:cs="宋体"/>
          <w:color w:val="auto"/>
          <w:sz w:val="28"/>
          <w:szCs w:val="28"/>
          <w:highlight w:val="none"/>
        </w:rPr>
      </w:pPr>
      <w:r>
        <w:rPr>
          <w:rFonts w:hint="eastAsia" w:ascii="宋体" w:hAnsi="宋体" w:eastAsia="宋体" w:cs="宋体"/>
          <w:i w:val="0"/>
          <w:iCs w:val="0"/>
          <w:caps w:val="0"/>
          <w:color w:val="auto"/>
          <w:spacing w:val="0"/>
          <w:sz w:val="28"/>
          <w:szCs w:val="28"/>
          <w:highlight w:val="none"/>
          <w:u w:val="none"/>
          <w:shd w:val="clear" w:color="auto" w:fill="FFFFFF"/>
          <w:vertAlign w:val="baseline"/>
        </w:rPr>
        <w:t>__________________</w:t>
      </w:r>
    </w:p>
    <w:p w14:paraId="0024EB0B">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1.产品如有型号，请在“产品名称”栏一并填写。</w:t>
      </w:r>
    </w:p>
    <w:p w14:paraId="55C5D88A">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u w:val="none"/>
          <w:shd w:val="clear" w:color="auto" w:fill="FFFFFF"/>
          <w:vertAlign w:val="baseline"/>
        </w:rPr>
        <w:t>2.生产厂名与厂址应与生产厂营业执照载明的相关信息保持一致。</w:t>
      </w:r>
    </w:p>
    <w:p w14:paraId="7046EFD9">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3.该产品的中国境内生产的组件成本占比相关要求实施前，“规定比例”栏可不填，下同。</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auto"/>
          <w:spacing w:val="0"/>
          <w:sz w:val="21"/>
          <w:szCs w:val="21"/>
          <w:highlight w:val="none"/>
          <w:u w:val="none"/>
          <w:shd w:val="clear" w:color="auto" w:fill="FFFFFF"/>
          <w:vertAlign w:val="baseline"/>
        </w:rPr>
        <w:t>“规定比例”栏可不填</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p>
    <w:p w14:paraId="3EEC1B69">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4.该产品的关键组件要求实施前，“关键组件”栏可不填，下同。</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auto"/>
          <w:spacing w:val="0"/>
          <w:sz w:val="21"/>
          <w:szCs w:val="21"/>
          <w:highlight w:val="none"/>
          <w:u w:val="none"/>
          <w:shd w:val="clear" w:color="auto" w:fill="FFFFFF"/>
          <w:vertAlign w:val="baseline"/>
        </w:rPr>
        <w:t>“关键组件”栏可不填</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p>
    <w:p w14:paraId="19007367">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rPr>
        <w:t>5.该产品的关键工序要求实施前，“关键工序”栏可不填，下同。</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val="en-US" w:eastAsia="zh-CN"/>
        </w:rPr>
        <w:t>本项目</w:t>
      </w:r>
      <w:r>
        <w:rPr>
          <w:rFonts w:hint="eastAsia" w:ascii="宋体" w:hAnsi="宋体" w:eastAsia="宋体" w:cs="宋体"/>
          <w:b/>
          <w:bCs/>
          <w:i w:val="0"/>
          <w:iCs w:val="0"/>
          <w:caps w:val="0"/>
          <w:color w:val="auto"/>
          <w:spacing w:val="0"/>
          <w:sz w:val="21"/>
          <w:szCs w:val="21"/>
          <w:highlight w:val="none"/>
          <w:u w:val="none"/>
          <w:shd w:val="clear" w:color="auto" w:fill="FFFFFF"/>
          <w:vertAlign w:val="baseline"/>
        </w:rPr>
        <w:t>“关键工序”栏可不填</w:t>
      </w:r>
      <w:r>
        <w:rPr>
          <w:rFonts w:hint="eastAsia" w:ascii="宋体" w:hAnsi="宋体" w:eastAsia="宋体" w:cs="宋体"/>
          <w:b/>
          <w:bCs/>
          <w:i w:val="0"/>
          <w:iCs w:val="0"/>
          <w:caps w:val="0"/>
          <w:color w:val="auto"/>
          <w:spacing w:val="0"/>
          <w:sz w:val="21"/>
          <w:szCs w:val="21"/>
          <w:highlight w:val="none"/>
          <w:u w:val="none"/>
          <w:shd w:val="clear" w:color="auto" w:fill="FFFFFF"/>
          <w:vertAlign w:val="baseline"/>
          <w:lang w:eastAsia="zh-CN"/>
        </w:rPr>
        <w:t>）</w:t>
      </w:r>
    </w:p>
    <w:p w14:paraId="6E7CE77B">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t>6</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.招标代理机构将随中标、成交结果同时公告中标、成交供应商提供的《声明函》或有关证明文件，请各投标人如实进行声明。</w:t>
      </w:r>
    </w:p>
    <w:p w14:paraId="170DED0B">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t>7</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.供应商提供虚假《声明函》、虚假证明文件谋取中标、成交的，依照《中华人民共和国政府采购法》等法律法规规定追究相应责任。</w:t>
      </w:r>
    </w:p>
    <w:p w14:paraId="1556389C">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baseline"/>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pP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val="en-US" w:eastAsia="zh-CN"/>
        </w:rPr>
        <w:t>8</w:t>
      </w:r>
      <w:r>
        <w:rPr>
          <w:rFonts w:hint="eastAsia" w:ascii="宋体" w:hAnsi="宋体" w:eastAsia="宋体" w:cs="宋体"/>
          <w:b w:val="0"/>
          <w:bCs w:val="0"/>
          <w:i w:val="0"/>
          <w:iCs w:val="0"/>
          <w:caps w:val="0"/>
          <w:color w:val="auto"/>
          <w:spacing w:val="0"/>
          <w:sz w:val="21"/>
          <w:szCs w:val="21"/>
          <w:highlight w:val="none"/>
          <w:u w:val="none"/>
          <w:shd w:val="clear" w:color="auto" w:fill="FFFFFF"/>
          <w:vertAlign w:val="baseline"/>
          <w:lang w:eastAsia="zh-CN"/>
        </w:rPr>
        <w:t>.若供应商认为提供的货物不符合本国产品标准，可以不填写声明函，不享受价格评审优惠政策。</w:t>
      </w:r>
    </w:p>
    <w:p w14:paraId="09137079">
      <w:pPr>
        <w:pStyle w:val="3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422" w:firstLineChars="200"/>
        <w:jc w:val="both"/>
        <w:textAlignment w:val="baseline"/>
        <w:rPr>
          <w:rFonts w:hint="eastAsia" w:ascii="宋体" w:hAnsi="宋体" w:eastAsia="宋体" w:cs="宋体"/>
          <w:b/>
          <w:bCs/>
          <w:i w:val="0"/>
          <w:iCs w:val="0"/>
          <w:caps w:val="0"/>
          <w:color w:val="auto"/>
          <w:spacing w:val="0"/>
          <w:sz w:val="21"/>
          <w:szCs w:val="21"/>
          <w:highlight w:val="none"/>
          <w:u w:val="none"/>
          <w:shd w:val="clear" w:color="auto" w:fill="FFFFFF"/>
          <w:vertAlign w:val="baseline"/>
        </w:rPr>
      </w:pPr>
    </w:p>
    <w:p w14:paraId="35C7594B">
      <w:pPr>
        <w:spacing w:line="480" w:lineRule="auto"/>
        <w:jc w:val="center"/>
        <w:rPr>
          <w:rStyle w:val="40"/>
          <w:rFonts w:hint="eastAsia" w:ascii="宋体" w:hAnsi="宋体" w:cs="宋体"/>
          <w:color w:val="000000"/>
          <w:sz w:val="24"/>
          <w:szCs w:val="24"/>
          <w:highlight w:val="none"/>
          <w:shd w:val="clear" w:color="auto" w:fill="FFFFFF"/>
        </w:rPr>
      </w:pPr>
      <w:r>
        <w:rPr>
          <w:rFonts w:hint="eastAsia" w:ascii="宋体" w:hAnsi="宋体" w:eastAsia="宋体" w:cs="宋体"/>
          <w:b/>
          <w:bCs/>
          <w:i w:val="0"/>
          <w:iCs w:val="0"/>
          <w:caps w:val="0"/>
          <w:color w:val="auto"/>
          <w:spacing w:val="0"/>
          <w:sz w:val="21"/>
          <w:szCs w:val="21"/>
          <w:highlight w:val="none"/>
          <w:u w:val="none"/>
          <w:shd w:val="clear" w:color="auto" w:fill="FFFFFF"/>
          <w:vertAlign w:val="baseline"/>
        </w:rPr>
        <w:br w:type="page"/>
      </w:r>
      <w:r>
        <w:rPr>
          <w:rStyle w:val="40"/>
          <w:rFonts w:hint="eastAsia" w:ascii="宋体" w:hAnsi="宋体" w:cs="宋体"/>
          <w:color w:val="000000"/>
          <w:sz w:val="24"/>
          <w:szCs w:val="24"/>
          <w:highlight w:val="none"/>
          <w:shd w:val="clear" w:color="auto" w:fill="FFFFFF"/>
        </w:rPr>
        <w:t>产品成本占比承诺函</w:t>
      </w:r>
      <w:r>
        <w:rPr>
          <w:rFonts w:hint="eastAsia" w:ascii="宋体" w:hAnsi="宋体" w:cs="宋体"/>
          <w:b/>
          <w:bCs/>
          <w:sz w:val="24"/>
          <w:szCs w:val="24"/>
          <w:highlight w:val="none"/>
          <w:shd w:val="clear" w:color="auto" w:fill="FFFFFF"/>
        </w:rPr>
        <w:t>（如涉及）</w:t>
      </w:r>
    </w:p>
    <w:p w14:paraId="203398CA">
      <w:pPr>
        <w:spacing w:line="360" w:lineRule="auto"/>
        <w:ind w:firstLine="480" w:firstLineChars="200"/>
        <w:rPr>
          <w:rFonts w:hint="eastAsia" w:ascii="宋体" w:hAnsi="宋体" w:cs="宋体"/>
          <w:color w:val="333333"/>
          <w:sz w:val="24"/>
          <w:szCs w:val="24"/>
          <w:highlight w:val="none"/>
          <w:shd w:val="clear" w:color="auto" w:fill="FFFFFF"/>
        </w:rPr>
      </w:pPr>
      <w:r>
        <w:rPr>
          <w:rFonts w:hint="eastAsia" w:ascii="宋体" w:hAnsi="宋体" w:cs="宋体"/>
          <w:color w:val="333333"/>
          <w:sz w:val="24"/>
          <w:szCs w:val="24"/>
          <w:highlight w:val="none"/>
          <w:shd w:val="clear" w:color="auto" w:fill="FFFFFF"/>
        </w:rPr>
        <w:t>我公司（单位）郑重承诺，我公司已阅读并理解《国务院办公厅关于在政府采购中实施本国产品标准及相关政策的通知》（国办发〔2025〕34号）的规定。据此承诺如下：</w:t>
      </w:r>
    </w:p>
    <w:p w14:paraId="6673F5ED">
      <w:pPr>
        <w:spacing w:line="360" w:lineRule="auto"/>
        <w:ind w:firstLine="480" w:firstLineChars="200"/>
        <w:rPr>
          <w:rFonts w:hint="eastAsia" w:ascii="宋体" w:hAnsi="宋体" w:cs="宋体"/>
          <w:spacing w:val="6"/>
          <w:sz w:val="24"/>
          <w:szCs w:val="24"/>
          <w:highlight w:val="none"/>
        </w:rPr>
      </w:pPr>
      <w:r>
        <w:rPr>
          <w:rFonts w:hint="eastAsia" w:ascii="宋体" w:hAnsi="宋体" w:cs="宋体"/>
          <w:color w:val="333333"/>
          <w:sz w:val="24"/>
          <w:szCs w:val="24"/>
          <w:highlight w:val="none"/>
          <w:shd w:val="clear" w:color="auto" w:fill="FFFFFF"/>
        </w:rPr>
        <w:t>为本采购项目或者采购包提供的符合本国产品标准的产品成本之和占提供的全部产品成本之和的比例为</w:t>
      </w:r>
      <w:r>
        <w:rPr>
          <w:rFonts w:hint="eastAsia" w:ascii="宋体" w:hAnsi="宋体" w:cs="宋体"/>
          <w:color w:val="000000"/>
          <w:sz w:val="24"/>
          <w:szCs w:val="24"/>
          <w:highlight w:val="none"/>
          <w:u w:val="single"/>
          <w:shd w:val="clear" w:color="auto" w:fill="FFFFFF"/>
        </w:rPr>
        <w:t xml:space="preserve">        </w:t>
      </w:r>
      <w:r>
        <w:rPr>
          <w:rFonts w:hint="eastAsia" w:ascii="宋体" w:hAnsi="宋体" w:cs="宋体"/>
          <w:spacing w:val="6"/>
          <w:sz w:val="24"/>
          <w:szCs w:val="24"/>
          <w:highlight w:val="none"/>
        </w:rPr>
        <w:t>%。</w:t>
      </w:r>
    </w:p>
    <w:p w14:paraId="4A00D7B9">
      <w:pPr>
        <w:spacing w:line="360" w:lineRule="auto"/>
        <w:ind w:firstLine="480" w:firstLineChars="200"/>
        <w:rPr>
          <w:rFonts w:hint="eastAsia" w:ascii="宋体" w:hAnsi="宋体" w:cs="宋体"/>
          <w:color w:val="000000"/>
          <w:sz w:val="24"/>
          <w:szCs w:val="24"/>
          <w:highlight w:val="none"/>
        </w:rPr>
      </w:pPr>
    </w:p>
    <w:p w14:paraId="650C1C7A">
      <w:pPr>
        <w:pStyle w:val="34"/>
        <w:spacing w:before="0" w:beforeAutospacing="0" w:after="0" w:afterAutospacing="0" w:line="360" w:lineRule="auto"/>
        <w:jc w:val="right"/>
        <w:rPr>
          <w:rFonts w:hint="eastAsia" w:ascii="宋体" w:hAnsi="宋体" w:cs="宋体"/>
          <w:color w:val="333333"/>
          <w:highlight w:val="none"/>
        </w:rPr>
      </w:pPr>
      <w:r>
        <w:rPr>
          <w:rFonts w:hint="eastAsia" w:ascii="宋体" w:hAnsi="宋体" w:cs="宋体"/>
          <w:color w:val="333333"/>
          <w:highlight w:val="none"/>
          <w:shd w:val="clear" w:color="auto" w:fill="FFFFFF"/>
        </w:rPr>
        <w:t>公司（单位）名称（盖章）：　        </w:t>
      </w:r>
    </w:p>
    <w:p w14:paraId="6FAAC80D">
      <w:pPr>
        <w:spacing w:line="360" w:lineRule="auto"/>
        <w:ind w:firstLine="480" w:firstLineChars="200"/>
        <w:jc w:val="right"/>
        <w:rPr>
          <w:rFonts w:hint="eastAsia" w:ascii="宋体" w:hAnsi="宋体" w:cs="宋体"/>
          <w:color w:val="000000"/>
          <w:sz w:val="24"/>
          <w:szCs w:val="24"/>
          <w:highlight w:val="none"/>
        </w:rPr>
      </w:pPr>
      <w:r>
        <w:rPr>
          <w:rFonts w:hint="eastAsia" w:ascii="宋体" w:hAnsi="宋体" w:cs="宋体"/>
          <w:color w:val="333333"/>
          <w:sz w:val="24"/>
          <w:szCs w:val="24"/>
          <w:highlight w:val="none"/>
          <w:shd w:val="clear" w:color="auto" w:fill="FFFFFF"/>
        </w:rPr>
        <w:t>日期：　     年　  月　  日     </w:t>
      </w:r>
    </w:p>
    <w:p w14:paraId="1F218BB8">
      <w:pPr>
        <w:spacing w:line="360" w:lineRule="auto"/>
        <w:rPr>
          <w:rFonts w:hint="eastAsia" w:ascii="宋体" w:hAnsi="宋体" w:cs="宋体"/>
          <w:color w:val="000000"/>
          <w:sz w:val="24"/>
          <w:szCs w:val="24"/>
          <w:highlight w:val="none"/>
        </w:rPr>
      </w:pPr>
    </w:p>
    <w:p w14:paraId="375904D0">
      <w:pPr>
        <w:spacing w:line="360" w:lineRule="auto"/>
        <w:rPr>
          <w:rFonts w:hint="eastAsia" w:ascii="宋体" w:hAnsi="宋体" w:cs="宋体"/>
          <w:color w:val="000000"/>
          <w:sz w:val="24"/>
          <w:szCs w:val="24"/>
          <w:highlight w:val="none"/>
        </w:rPr>
      </w:pPr>
    </w:p>
    <w:p w14:paraId="70F16103">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注：</w:t>
      </w:r>
    </w:p>
    <w:p w14:paraId="593965F7">
      <w:pPr>
        <w:spacing w:line="360" w:lineRule="auto"/>
        <w:rPr>
          <w:rFonts w:hint="eastAsia" w:ascii="宋体" w:hAnsi="宋体" w:cs="宋体"/>
          <w:color w:val="333333"/>
          <w:sz w:val="24"/>
          <w:szCs w:val="24"/>
          <w:highlight w:val="none"/>
          <w:shd w:val="clear" w:color="auto" w:fill="FFFFFF"/>
        </w:rPr>
      </w:pPr>
      <w:r>
        <w:rPr>
          <w:rFonts w:hint="eastAsia" w:ascii="宋体" w:hAnsi="宋体" w:cs="宋体"/>
          <w:color w:val="333333"/>
          <w:sz w:val="24"/>
          <w:szCs w:val="24"/>
          <w:highlight w:val="none"/>
          <w:shd w:val="clear" w:color="auto" w:fill="FFFFFF"/>
        </w:rPr>
        <w:t>1.本承诺函应按包分别提供。</w:t>
      </w:r>
    </w:p>
    <w:p w14:paraId="672B2BC9">
      <w:pPr>
        <w:spacing w:line="360" w:lineRule="auto"/>
        <w:rPr>
          <w:rFonts w:hint="eastAsia" w:ascii="宋体" w:hAnsi="宋体" w:cs="宋体"/>
          <w:color w:val="333333"/>
          <w:sz w:val="24"/>
          <w:szCs w:val="24"/>
          <w:highlight w:val="none"/>
          <w:shd w:val="clear" w:color="auto" w:fill="FFFFFF"/>
        </w:rPr>
      </w:pPr>
      <w:r>
        <w:rPr>
          <w:rFonts w:hint="eastAsia" w:ascii="宋体" w:hAnsi="宋体" w:cs="宋体"/>
          <w:color w:val="333333"/>
          <w:sz w:val="24"/>
          <w:szCs w:val="24"/>
          <w:highlight w:val="none"/>
          <w:shd w:val="clear" w:color="auto" w:fill="FFFFFF"/>
        </w:rPr>
        <w:t>2.单一产品采购无须提供本承诺函；供应商提供产品全部为本国产品，且提供了《关于符合本国产品标准的声明函》时，无须提供本承诺函。</w:t>
      </w:r>
    </w:p>
    <w:p w14:paraId="6C3A5AA6">
      <w:pPr>
        <w:spacing w:line="480" w:lineRule="auto"/>
        <w:rPr>
          <w:rFonts w:hint="eastAsia" w:ascii="宋体" w:hAnsi="宋体" w:cs="宋体"/>
          <w:color w:val="000000"/>
          <w:sz w:val="24"/>
          <w:szCs w:val="24"/>
          <w:highlight w:val="none"/>
          <w:shd w:val="clear" w:color="auto" w:fill="FFFFFF"/>
        </w:rPr>
      </w:pPr>
      <w:r>
        <w:rPr>
          <w:rFonts w:hint="eastAsia" w:ascii="宋体" w:hAnsi="宋体" w:cs="宋体"/>
          <w:color w:val="333333"/>
          <w:sz w:val="24"/>
          <w:szCs w:val="24"/>
          <w:highlight w:val="none"/>
          <w:shd w:val="clear" w:color="auto" w:fill="FFFFFF"/>
        </w:rPr>
        <w:t>3.当采购项目或单个采购包中含有多种产品，且供应商提供的产品同时包含本国产品及非本国产品，则供应商除需提供《关于符合本国产品标准的声明函》外，还需提供本承诺函；否则，不享受</w:t>
      </w:r>
      <w:r>
        <w:rPr>
          <w:rFonts w:hint="eastAsia" w:ascii="宋体" w:hAnsi="宋体" w:cs="宋体"/>
          <w:sz w:val="24"/>
          <w:szCs w:val="24"/>
          <w:highlight w:val="none"/>
        </w:rPr>
        <w:t>价格评审优惠</w:t>
      </w:r>
      <w:r>
        <w:rPr>
          <w:rFonts w:hint="eastAsia" w:ascii="宋体" w:hAnsi="宋体" w:cs="宋体"/>
          <w:color w:val="333333"/>
          <w:sz w:val="24"/>
          <w:szCs w:val="24"/>
          <w:highlight w:val="none"/>
          <w:shd w:val="clear" w:color="auto" w:fill="FFFFFF"/>
        </w:rPr>
        <w:t>。</w:t>
      </w:r>
    </w:p>
    <w:p w14:paraId="6E7785A8">
      <w:pPr>
        <w:keepNext w:val="0"/>
        <w:keepLines w:val="0"/>
        <w:pageBreakBefore w:val="0"/>
        <w:kinsoku/>
        <w:wordWrap/>
        <w:overflowPunct/>
        <w:topLinePunct w:val="0"/>
        <w:autoSpaceDE/>
        <w:autoSpaceDN/>
        <w:bidi w:val="0"/>
        <w:adjustRightInd/>
        <w:snapToGrid/>
        <w:spacing w:line="480" w:lineRule="auto"/>
        <w:jc w:val="left"/>
        <w:textAlignment w:val="auto"/>
        <w:rPr>
          <w:rFonts w:hint="eastAsia" w:ascii="宋体" w:hAnsi="宋体" w:eastAsia="宋体" w:cs="宋体"/>
          <w:color w:val="auto"/>
          <w:sz w:val="24"/>
          <w:szCs w:val="24"/>
          <w:highlight w:val="none"/>
          <w:shd w:val="clear" w:color="auto" w:fill="FFFFFF"/>
        </w:rPr>
      </w:pPr>
    </w:p>
    <w:p w14:paraId="04F88270">
      <w:pPr>
        <w:rPr>
          <w:color w:val="auto"/>
          <w:highlight w:val="none"/>
        </w:rPr>
      </w:pPr>
    </w:p>
    <w:p w14:paraId="40E9AB5F">
      <w:pPr>
        <w:rPr>
          <w:color w:val="auto"/>
          <w:highlight w:val="none"/>
        </w:rPr>
      </w:pPr>
    </w:p>
    <w:sectPr>
      <w:headerReference r:id="rId22" w:type="default"/>
      <w:footerReference r:id="rId23" w:type="default"/>
      <w:pgSz w:w="11906" w:h="16838"/>
      <w:pgMar w:top="1191" w:right="1191" w:bottom="1191" w:left="1304" w:header="851" w:footer="992" w:gutter="0"/>
      <w:pgNumType w:fmt="numberInDash"/>
      <w:cols w:space="720"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swiss"/>
    <w:pitch w:val="default"/>
    <w:sig w:usb0="9000002F" w:usb1="29D77CFB" w:usb2="00000012" w:usb3="00000000" w:csb0="00080001" w:csb1="00000000"/>
  </w:font>
  <w:font w:name="Wingdings 2">
    <w:panose1 w:val="05020102010507070707"/>
    <w:charset w:val="02"/>
    <w:family w:val="roman"/>
    <w:pitch w:val="default"/>
    <w:sig w:usb0="00000000" w:usb1="00000000" w:usb2="00000000" w:usb3="00000000" w:csb0="8000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宋体-18030">
    <w:altName w:val="微软雅黑"/>
    <w:panose1 w:val="00000000000000000000"/>
    <w:charset w:val="86"/>
    <w:family w:val="modern"/>
    <w:pitch w:val="default"/>
    <w:sig w:usb0="00000000" w:usb1="00000000" w:usb2="0000001E" w:usb3="00000000" w:csb0="003C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DEC96">
    <w:pPr>
      <w:pStyle w:val="2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F9B04">
    <w:pPr>
      <w:pStyle w:val="25"/>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D99039">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- 61 -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ealU63gEAAMADAAAOAAAAAAAA&#10;AAEAIAAAAB4BAABkcnMvZTJvRG9jLnhtbFBLBQYAAAAABgAGAFkBAABuBQAAAAA=&#10;">
              <v:fill on="f" focussize="0,0"/>
              <v:stroke on="f"/>
              <v:imagedata o:title=""/>
              <o:lock v:ext="edit" aspectratio="f"/>
              <v:textbox inset="0mm,0mm,0mm,0mm" style="mso-fit-shape-to-text:t;">
                <w:txbxContent>
                  <w:p w14:paraId="27D99039">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- 61 -</w:t>
                    </w:r>
                    <w:r>
                      <w:rPr>
                        <w:rFonts w:hint="eastAsia"/>
                      </w:rPr>
                      <w:fldChar w:fldCharType="end"/>
                    </w:r>
                  </w:p>
                </w:txbxContent>
              </v:textbox>
            </v:shape>
          </w:pict>
        </mc:Fallback>
      </mc:AlternateContent>
    </w:r>
  </w:p>
  <w:p w14:paraId="5212BAC2">
    <w:pPr>
      <w:pStyle w:val="25"/>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0A780">
    <w:pPr>
      <w:pStyle w:val="25"/>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9C12C0">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- 61 -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oHlTT3gEAAMADAAAOAAAAAAAA&#10;AAEAIAAAAB4BAABkcnMvZTJvRG9jLnhtbFBLBQYAAAAABgAGAFkBAABuBQAAAAA=&#10;">
              <v:fill on="f" focussize="0,0"/>
              <v:stroke on="f"/>
              <v:imagedata o:title=""/>
              <o:lock v:ext="edit" aspectratio="f"/>
              <v:textbox inset="0mm,0mm,0mm,0mm" style="mso-fit-shape-to-text:t;">
                <w:txbxContent>
                  <w:p w14:paraId="4F9C12C0">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- 61 -</w:t>
                    </w:r>
                    <w:r>
                      <w:rPr>
                        <w:rFonts w:hint="eastAsia"/>
                      </w:rPr>
                      <w:fldChar w:fldCharType="end"/>
                    </w:r>
                  </w:p>
                </w:txbxContent>
              </v:textbox>
            </v:shape>
          </w:pict>
        </mc:Fallback>
      </mc:AlternateContent>
    </w:r>
  </w:p>
  <w:p w14:paraId="1F0AD72D">
    <w:pPr>
      <w:pStyle w:val="25"/>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BEA17">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C3DED0">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- 65 -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NLLghvdAQAAvwMAAA4AAAAAAAAA&#10;AQAgAAAAHgEAAGRycy9lMm9Eb2MueG1sUEsFBgAAAAAGAAYAWQEAAG0FAAAAAA==&#10;">
              <v:fill on="f" focussize="0,0"/>
              <v:stroke on="f"/>
              <v:imagedata o:title=""/>
              <o:lock v:ext="edit" aspectratio="f"/>
              <v:textbox inset="0mm,0mm,0mm,0mm" style="mso-fit-shape-to-text:t;">
                <w:txbxContent>
                  <w:p w14:paraId="08C3DED0">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- 65 -</w:t>
                    </w:r>
                    <w:r>
                      <w:rPr>
                        <w:rFonts w:hint="eastAsia"/>
                      </w:rPr>
                      <w:fldChar w:fldCharType="end"/>
                    </w:r>
                  </w:p>
                </w:txbxContent>
              </v:textbox>
            </v:shape>
          </w:pict>
        </mc:Fallback>
      </mc:AlternateContent>
    </w:r>
  </w:p>
  <w:p w14:paraId="5038479D">
    <w:pPr>
      <w:pStyle w:val="25"/>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ED531">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638A05">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- 66 -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rx06e3gEAAMADAAAOAAAAAAAA&#10;AAEAIAAAAB4BAABkcnMvZTJvRG9jLnhtbFBLBQYAAAAABgAGAFkBAABuBQAAAAA=&#10;">
              <v:fill on="f" focussize="0,0"/>
              <v:stroke on="f"/>
              <v:imagedata o:title=""/>
              <o:lock v:ext="edit" aspectratio="f"/>
              <v:textbox inset="0mm,0mm,0mm,0mm" style="mso-fit-shape-to-text:t;">
                <w:txbxContent>
                  <w:p w14:paraId="00638A05">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- 66 -</w:t>
                    </w:r>
                    <w:r>
                      <w:rPr>
                        <w:rFonts w:hint="eastAsia"/>
                      </w:rPr>
                      <w:fldChar w:fldCharType="end"/>
                    </w:r>
                  </w:p>
                </w:txbxContent>
              </v:textbox>
            </v:shape>
          </w:pict>
        </mc:Fallback>
      </mc:AlternateContent>
    </w:r>
  </w:p>
  <w:p w14:paraId="3932E723">
    <w:pPr>
      <w:pStyle w:val="25"/>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82357">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929271">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- 70 -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FmdQ9jgAQAAwAMAAA4AAAAA&#10;AAAAAQAgAAAAHgEAAGRycy9lMm9Eb2MueG1sUEsFBgAAAAAGAAYAWQEAAHAFAAAAAA==&#10;">
              <v:fill on="f" focussize="0,0"/>
              <v:stroke on="f"/>
              <v:imagedata o:title=""/>
              <o:lock v:ext="edit" aspectratio="f"/>
              <v:textbox inset="0mm,0mm,0mm,0mm" style="mso-fit-shape-to-text:t;">
                <w:txbxContent>
                  <w:p w14:paraId="54929271">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- 70 -</w:t>
                    </w:r>
                    <w:r>
                      <w:rPr>
                        <w:rFonts w:hint="eastAsia"/>
                      </w:rPr>
                      <w:fldChar w:fldCharType="end"/>
                    </w:r>
                  </w:p>
                </w:txbxContent>
              </v:textbox>
            </v:shape>
          </w:pict>
        </mc:Fallback>
      </mc:AlternateContent>
    </w:r>
  </w:p>
  <w:p w14:paraId="4C0A9153">
    <w:pPr>
      <w:pStyle w:val="2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8E6A3">
    <w:pPr>
      <w:pStyle w:val="25"/>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7C64E4">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- 18 -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aGqB23gEAAL8DAAAOAAAAAAAA&#10;AAEAIAAAAB4BAABkcnMvZTJvRG9jLnhtbFBLBQYAAAAABgAGAFkBAABuBQAAAAA=&#10;">
              <v:fill on="f" focussize="0,0"/>
              <v:stroke on="f"/>
              <v:imagedata o:title=""/>
              <o:lock v:ext="edit" aspectratio="f"/>
              <v:textbox inset="0mm,0mm,0mm,0mm" style="mso-fit-shape-to-text:t;">
                <w:txbxContent>
                  <w:p w14:paraId="637C64E4">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- 18 -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9A4BD">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DEB916">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- 28 -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rS3pV3gEAAMADAAAOAAAAAAAA&#10;AAEAIAAAAB4BAABkcnMvZTJvRG9jLnhtbFBLBQYAAAAABgAGAFkBAABuBQAAAAA=&#10;">
              <v:fill on="f" focussize="0,0"/>
              <v:stroke on="f"/>
              <v:imagedata o:title=""/>
              <o:lock v:ext="edit" aspectratio="f"/>
              <v:textbox inset="0mm,0mm,0mm,0mm" style="mso-fit-shape-to-text:t;">
                <w:txbxContent>
                  <w:p w14:paraId="25DEB916">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- 28 -</w:t>
                    </w:r>
                    <w:r>
                      <w:rPr>
                        <w:rFonts w:hint="eastAsia"/>
                      </w:rPr>
                      <w:fldChar w:fldCharType="end"/>
                    </w:r>
                  </w:p>
                </w:txbxContent>
              </v:textbox>
            </v:shape>
          </w:pict>
        </mc:Fallback>
      </mc:AlternateContent>
    </w:r>
  </w:p>
  <w:p w14:paraId="26E4D093">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97738">
    <w:pPr>
      <w:pStyle w:val="2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225B2">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- 36 -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I365U3gEAAL4DAAAOAAAAAAAA&#10;AAEAIAAAAB4BAABkcnMvZTJvRG9jLnhtbFBLBQYAAAAABgAGAFkBAABuBQAAAAA=&#10;">
              <v:fill on="f" focussize="0,0"/>
              <v:stroke on="f"/>
              <v:imagedata o:title=""/>
              <o:lock v:ext="edit" aspectratio="f"/>
              <v:textbox inset="0mm,0mm,0mm,0mm" style="mso-fit-shape-to-text:t;">
                <w:txbxContent>
                  <w:p w14:paraId="216225B2">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- 36 -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F6F36">
    <w:pPr>
      <w:pStyle w:val="25"/>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B0D296">
                          <w:pPr>
                            <w:pStyle w:val="25"/>
                          </w:pPr>
                          <w:r>
                            <w:fldChar w:fldCharType="begin"/>
                          </w:r>
                          <w:r>
                            <w:instrText xml:space="preserve"> PAGE  \* MERGEFORMAT </w:instrText>
                          </w:r>
                          <w:r>
                            <w:fldChar w:fldCharType="separate"/>
                          </w:r>
                          <w:r>
                            <w:t>- 35 -</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1XJ5Md8BAADAAwAADgAAAAAA&#10;AAABACAAAAAeAQAAZHJzL2Uyb0RvYy54bWxQSwUGAAAAAAYABgBZAQAAbwUAAAAA&#10;">
              <v:fill on="f" focussize="0,0"/>
              <v:stroke on="f"/>
              <v:imagedata o:title=""/>
              <o:lock v:ext="edit" aspectratio="f"/>
              <v:textbox inset="0mm,0mm,0mm,0mm" style="mso-fit-shape-to-text:t;">
                <w:txbxContent>
                  <w:p w14:paraId="1AB0D296">
                    <w:pPr>
                      <w:pStyle w:val="25"/>
                    </w:pPr>
                    <w:r>
                      <w:fldChar w:fldCharType="begin"/>
                    </w:r>
                    <w:r>
                      <w:instrText xml:space="preserve"> PAGE  \* MERGEFORMAT </w:instrText>
                    </w:r>
                    <w:r>
                      <w:fldChar w:fldCharType="separate"/>
                    </w:r>
                    <w:r>
                      <w:t>- 35 -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41CA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A98287">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- 38 -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A2Ze+zdAQAAvwMAAA4AAAAAAAAA&#10;AQAgAAAAHgEAAGRycy9lMm9Eb2MueG1sUEsFBgAAAAAGAAYAWQEAAG0FAAAAAA==&#10;">
              <v:fill on="f" focussize="0,0"/>
              <v:stroke on="f"/>
              <v:imagedata o:title=""/>
              <o:lock v:ext="edit" aspectratio="f"/>
              <v:textbox inset="0mm,0mm,0mm,0mm" style="mso-fit-shape-to-text:t;">
                <w:txbxContent>
                  <w:p w14:paraId="50A98287">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- 38 -</w:t>
                    </w:r>
                    <w:r>
                      <w:rPr>
                        <w:rFonts w:hint="eastAsia"/>
                      </w:rPr>
                      <w:fldChar w:fldCharType="end"/>
                    </w:r>
                  </w:p>
                </w:txbxContent>
              </v:textbox>
            </v:shape>
          </w:pict>
        </mc:Fallback>
      </mc:AlternateContent>
    </w:r>
  </w:p>
  <w:p w14:paraId="3010F801">
    <w:pPr>
      <w:pStyle w:val="25"/>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BB103">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7F715F">
                          <w:pPr>
                            <w:pStyle w:val="25"/>
                          </w:pPr>
                          <w:r>
                            <w:fldChar w:fldCharType="begin"/>
                          </w:r>
                          <w:r>
                            <w:instrText xml:space="preserve"> PAGE  \* MERGEFORMAT </w:instrText>
                          </w:r>
                          <w:r>
                            <w:fldChar w:fldCharType="separate"/>
                          </w:r>
                          <w:r>
                            <w:t>- 52 -</w:t>
                          </w:r>
                          <w:r>
                            <w:fldChar w:fldCharType="end"/>
                          </w:r>
                        </w:p>
                      </w:txbxContent>
                    </wps:txbx>
                    <wps:bodyPr vert="horz" wrap="none" lIns="0" tIns="0" rIns="0" bIns="0" anchor="t" anchorCtr="0" upright="1">
                      <a:spAutoFit/>
                    </wps:bodyPr>
                  </wps:wsp>
                </a:graphicData>
              </a:graphic>
            </wp:anchor>
          </w:drawing>
        </mc:Choice>
        <mc:Fallback>
          <w:pict>
            <v:shape id="文本框 35"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YalJXgAQAAwAMAAA4AAAAA&#10;AAAAAQAgAAAAHgEAAGRycy9lMm9Eb2MueG1sUEsFBgAAAAAGAAYAWQEAAHAFAAAAAA==&#10;">
              <v:fill on="f" focussize="0,0"/>
              <v:stroke on="f"/>
              <v:imagedata o:title=""/>
              <o:lock v:ext="edit" aspectratio="f"/>
              <v:textbox inset="0mm,0mm,0mm,0mm" style="mso-fit-shape-to-text:t;">
                <w:txbxContent>
                  <w:p w14:paraId="347F715F">
                    <w:pPr>
                      <w:pStyle w:val="25"/>
                    </w:pPr>
                    <w:r>
                      <w:fldChar w:fldCharType="begin"/>
                    </w:r>
                    <w:r>
                      <w:instrText xml:space="preserve"> PAGE  \* MERGEFORMAT </w:instrText>
                    </w:r>
                    <w:r>
                      <w:fldChar w:fldCharType="separate"/>
                    </w:r>
                    <w:r>
                      <w:t>- 52 -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E78EE">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6E58E7">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- 56 -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XG7Dt8BAAC/AwAADgAAAAAA&#10;AAABACAAAAAeAQAAZHJzL2Uyb0RvYy54bWxQSwUGAAAAAAYABgBZAQAAbwUAAAAA&#10;">
              <v:fill on="f" focussize="0,0"/>
              <v:stroke on="f"/>
              <v:imagedata o:title=""/>
              <o:lock v:ext="edit" aspectratio="f"/>
              <v:textbox inset="0mm,0mm,0mm,0mm" style="mso-fit-shape-to-text:t;">
                <w:txbxContent>
                  <w:p w14:paraId="046E58E7">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- 56 -</w:t>
                    </w:r>
                    <w:r>
                      <w:rPr>
                        <w:rFonts w:hint="eastAsia"/>
                      </w:rPr>
                      <w:fldChar w:fldCharType="end"/>
                    </w:r>
                  </w:p>
                </w:txbxContent>
              </v:textbox>
            </v:shape>
          </w:pict>
        </mc:Fallback>
      </mc:AlternateContent>
    </w:r>
  </w:p>
  <w:p w14:paraId="6D4E2B42">
    <w:pPr>
      <w:pStyle w:val="25"/>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AB40B">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801D4A">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- 57 -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K34798BAAC/AwAADgAAAGRycy9lMm9Eb2MueG1srVPBjtMwEL0j8Q+W&#10;7zRpJaCq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a9qEl5w5YWni518/z7//nv/8&#10;YK+TPp2PK0q78ZSI/VvoKXfyR3Im2n0TbPoTIUZxUvd0UVf1yGS6tFwslyWFJMWmA+EXd9d9iPhe&#10;gWXJqHig8WVVxfFjxCF1SknVHFxrY/IIjfvPQZjJU6Tehx6Thf2uHwntoD4RH3oHVKeF8J2zjrag&#10;4o6WnjPzwZHIaWEmI0zGbjKEk3Sx4sjZYL7DYbEOPuh9S7jz3Hz0bw5InWYCqY2h9tgdzTVLMO5g&#10;Wpx/zznr7t1tb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dK34798BAAC/AwAADgAAAAAA&#10;AAABACAAAAAeAQAAZHJzL2Uyb0RvYy54bWxQSwUGAAAAAAYABgBZAQAAbwUAAAAA&#10;">
              <v:fill on="f" focussize="0,0"/>
              <v:stroke on="f"/>
              <v:imagedata o:title=""/>
              <o:lock v:ext="edit" aspectratio="f"/>
              <v:textbox inset="0mm,0mm,0mm,0mm" style="mso-fit-shape-to-text:t;">
                <w:txbxContent>
                  <w:p w14:paraId="63801D4A">
                    <w:pPr>
                      <w:pStyle w:val="25"/>
                      <w:rPr>
                        <w:rFonts w:hint="eastAsia"/>
                      </w:rPr>
                    </w:pPr>
                    <w:r>
                      <w:rPr>
                        <w:rFonts w:hint="eastAsia"/>
                      </w:rPr>
                      <w:fldChar w:fldCharType="begin"/>
                    </w:r>
                    <w:r>
                      <w:rPr>
                        <w:rFonts w:hint="eastAsia"/>
                      </w:rPr>
                      <w:instrText xml:space="preserve"> PAGE  \* MERGEFORMAT </w:instrText>
                    </w:r>
                    <w:r>
                      <w:rPr>
                        <w:rFonts w:hint="eastAsia"/>
                      </w:rPr>
                      <w:fldChar w:fldCharType="separate"/>
                    </w:r>
                    <w:r>
                      <w:t>- 57 -</w:t>
                    </w:r>
                    <w:r>
                      <w:rPr>
                        <w:rFonts w:hint="eastAsia"/>
                      </w:rPr>
                      <w:fldChar w:fldCharType="end"/>
                    </w:r>
                  </w:p>
                </w:txbxContent>
              </v:textbox>
            </v:shape>
          </w:pict>
        </mc:Fallback>
      </mc:AlternateContent>
    </w:r>
  </w:p>
  <w:p w14:paraId="529FEF2B">
    <w:pPr>
      <w:pStyle w:val="25"/>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5E758">
    <w:pPr>
      <w:pStyle w:val="26"/>
      <w:pBdr>
        <w:bottom w:val="single" w:color="auto" w:sz="4" w:space="1"/>
      </w:pBdr>
      <w:jc w:val="both"/>
    </w:pPr>
    <w:r>
      <w:rPr>
        <w:rFonts w:hint="eastAsia" w:ascii="宋体" w:hAnsi="宋体"/>
        <w:sz w:val="44"/>
        <w:szCs w:val="44"/>
      </w:rPr>
      <w:drawing>
        <wp:inline distT="0" distB="0" distL="114300" distR="114300">
          <wp:extent cx="136525" cy="145415"/>
          <wp:effectExtent l="0" t="0" r="15875" b="6985"/>
          <wp:docPr id="24" name="图片 1"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透明logo"/>
                  <pic:cNvPicPr>
                    <a:picLocks noChangeAspect="1"/>
                  </pic:cNvPicPr>
                </pic:nvPicPr>
                <pic:blipFill>
                  <a:blip r:embed="rId1"/>
                  <a:stretch>
                    <a:fillRect/>
                  </a:stretch>
                </pic:blipFill>
                <pic:spPr>
                  <a:xfrm>
                    <a:off x="0" y="0"/>
                    <a:ext cx="136525" cy="145415"/>
                  </a:xfrm>
                  <a:prstGeom prst="rect">
                    <a:avLst/>
                  </a:prstGeom>
                  <a:noFill/>
                  <a:ln>
                    <a:noFill/>
                  </a:ln>
                </pic:spPr>
              </pic:pic>
            </a:graphicData>
          </a:graphic>
        </wp:inline>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AA0D0">
    <w:pPr>
      <w:pStyle w:val="2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859AF">
    <w:pPr>
      <w:pStyle w:val="26"/>
      <w:pBdr>
        <w:bottom w:val="single" w:color="auto" w:sz="4" w:space="1"/>
      </w:pBdr>
      <w:jc w:val="both"/>
    </w:pPr>
    <w:r>
      <w:rPr>
        <w:rFonts w:hint="eastAsia" w:ascii="宋体" w:hAnsi="宋体"/>
        <w:sz w:val="44"/>
        <w:szCs w:val="44"/>
      </w:rPr>
      <w:drawing>
        <wp:inline distT="0" distB="0" distL="114300" distR="114300">
          <wp:extent cx="136525" cy="145415"/>
          <wp:effectExtent l="0" t="0" r="15875" b="6985"/>
          <wp:docPr id="25" name="图片 8"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透明logo"/>
                  <pic:cNvPicPr>
                    <a:picLocks noChangeAspect="1"/>
                  </pic:cNvPicPr>
                </pic:nvPicPr>
                <pic:blipFill>
                  <a:blip r:embed="rId1"/>
                  <a:stretch>
                    <a:fillRect/>
                  </a:stretch>
                </pic:blipFill>
                <pic:spPr>
                  <a:xfrm>
                    <a:off x="0" y="0"/>
                    <a:ext cx="136525" cy="145415"/>
                  </a:xfrm>
                  <a:prstGeom prst="rect">
                    <a:avLst/>
                  </a:prstGeom>
                  <a:noFill/>
                  <a:ln>
                    <a:noFill/>
                  </a:ln>
                </pic:spPr>
              </pic:pic>
            </a:graphicData>
          </a:graphic>
        </wp:inline>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1F646">
    <w:pPr>
      <w:pStyle w:val="26"/>
      <w:pBdr>
        <w:bottom w:val="single" w:color="auto" w:sz="4" w:space="1"/>
      </w:pBdr>
      <w:jc w:val="both"/>
      <w:rPr>
        <w:rFonts w:hint="eastAsia"/>
      </w:rPr>
    </w:pPr>
    <w:r>
      <w:rPr>
        <w:rFonts w:hint="eastAsia" w:ascii="宋体" w:hAnsi="宋体"/>
        <w:sz w:val="44"/>
        <w:szCs w:val="44"/>
      </w:rPr>
      <w:drawing>
        <wp:inline distT="0" distB="0" distL="114300" distR="114300">
          <wp:extent cx="136525" cy="145415"/>
          <wp:effectExtent l="0" t="0" r="15875" b="6985"/>
          <wp:docPr id="26" name="图片 3"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透明logo"/>
                  <pic:cNvPicPr>
                    <a:picLocks noChangeAspect="1"/>
                  </pic:cNvPicPr>
                </pic:nvPicPr>
                <pic:blipFill>
                  <a:blip r:embed="rId1"/>
                  <a:stretch>
                    <a:fillRect/>
                  </a:stretch>
                </pic:blipFill>
                <pic:spPr>
                  <a:xfrm>
                    <a:off x="0" y="0"/>
                    <a:ext cx="136525" cy="145415"/>
                  </a:xfrm>
                  <a:prstGeom prst="rect">
                    <a:avLst/>
                  </a:prstGeom>
                  <a:noFill/>
                  <a:ln>
                    <a:noFill/>
                  </a:ln>
                </pic:spPr>
              </pic:pic>
            </a:graphicData>
          </a:graphic>
        </wp:inline>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0ED02">
    <w:pPr>
      <w:pStyle w:val="26"/>
      <w:pBdr>
        <w:bottom w:val="single" w:color="auto" w:sz="4" w:space="1"/>
      </w:pBdr>
      <w:jc w:val="both"/>
    </w:pPr>
    <w:r>
      <w:rPr>
        <w:rFonts w:ascii="宋体" w:hAnsi="宋体"/>
        <w:sz w:val="44"/>
        <w:szCs w:val="44"/>
      </w:rPr>
      <w:drawing>
        <wp:inline distT="0" distB="0" distL="114300" distR="114300">
          <wp:extent cx="142875" cy="133350"/>
          <wp:effectExtent l="0" t="0" r="9525" b="0"/>
          <wp:docPr id="27" name="图片 5" descr="透明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透明logo"/>
                  <pic:cNvPicPr>
                    <a:picLocks noChangeAspect="1"/>
                  </pic:cNvPicPr>
                </pic:nvPicPr>
                <pic:blipFill>
                  <a:blip r:embed="rId1"/>
                  <a:stretch>
                    <a:fillRect/>
                  </a:stretch>
                </pic:blipFill>
                <pic:spPr>
                  <a:xfrm>
                    <a:off x="0" y="0"/>
                    <a:ext cx="142875" cy="133350"/>
                  </a:xfrm>
                  <a:prstGeom prst="rect">
                    <a:avLst/>
                  </a:prstGeom>
                  <a:noFill/>
                  <a:ln>
                    <a:noFill/>
                  </a:ln>
                </pic:spPr>
              </pic:pic>
            </a:graphicData>
          </a:graphic>
        </wp:inline>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69CA3">
    <w:pPr>
      <w:pStyle w:val="26"/>
      <w:jc w:val="right"/>
    </w:pPr>
    <w:r>
      <w:drawing>
        <wp:anchor distT="0" distB="0" distL="114300" distR="114300" simplePos="0" relativeHeight="251669504" behindDoc="0" locked="0" layoutInCell="1" allowOverlap="0">
          <wp:simplePos x="0" y="0"/>
          <wp:positionH relativeFrom="column">
            <wp:posOffset>-3175</wp:posOffset>
          </wp:positionH>
          <wp:positionV relativeFrom="line">
            <wp:posOffset>-635</wp:posOffset>
          </wp:positionV>
          <wp:extent cx="219075" cy="247650"/>
          <wp:effectExtent l="0" t="0" r="9525" b="0"/>
          <wp:wrapSquare wrapText="bothSides"/>
          <wp:docPr id="19" name="图片 10" descr="wps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wps7561"/>
                  <pic:cNvPicPr>
                    <a:picLocks noChangeAspect="1"/>
                  </pic:cNvPicPr>
                </pic:nvPicPr>
                <pic:blipFill>
                  <a:blip r:embed="rId1"/>
                  <a:stretch>
                    <a:fillRect/>
                  </a:stretch>
                </pic:blipFill>
                <pic:spPr>
                  <a:xfrm>
                    <a:off x="0" y="0"/>
                    <a:ext cx="219075" cy="247650"/>
                  </a:xfrm>
                  <a:prstGeom prst="rect">
                    <a:avLst/>
                  </a:prstGeom>
                  <a:noFill/>
                  <a:ln>
                    <a:noFill/>
                  </a:ln>
                </pic:spPr>
              </pic:pic>
            </a:graphicData>
          </a:graphic>
        </wp:anchor>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FE981">
    <w:pPr>
      <w:pStyle w:val="26"/>
      <w:jc w:val="right"/>
    </w:pPr>
    <w:r>
      <w:drawing>
        <wp:anchor distT="0" distB="0" distL="114300" distR="114300" simplePos="0" relativeHeight="251670528" behindDoc="0" locked="0" layoutInCell="1" allowOverlap="0">
          <wp:simplePos x="0" y="0"/>
          <wp:positionH relativeFrom="column">
            <wp:posOffset>-3175</wp:posOffset>
          </wp:positionH>
          <wp:positionV relativeFrom="line">
            <wp:posOffset>-635</wp:posOffset>
          </wp:positionV>
          <wp:extent cx="219075" cy="247650"/>
          <wp:effectExtent l="0" t="0" r="9525" b="0"/>
          <wp:wrapSquare wrapText="bothSides"/>
          <wp:docPr id="36" name="图片 12" descr="wps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wps7561"/>
                  <pic:cNvPicPr>
                    <a:picLocks noChangeAspect="1"/>
                  </pic:cNvPicPr>
                </pic:nvPicPr>
                <pic:blipFill>
                  <a:blip r:embed="rId1"/>
                  <a:stretch>
                    <a:fillRect/>
                  </a:stretch>
                </pic:blipFill>
                <pic:spPr>
                  <a:xfrm>
                    <a:off x="0" y="0"/>
                    <a:ext cx="219075" cy="247650"/>
                  </a:xfrm>
                  <a:prstGeom prst="rect">
                    <a:avLst/>
                  </a:prstGeom>
                  <a:noFill/>
                  <a:ln>
                    <a:noFill/>
                  </a:ln>
                </pic:spPr>
              </pic:pic>
            </a:graphicData>
          </a:graphic>
        </wp:anchor>
      </w:drawing>
    </w:r>
    <w:r>
      <w:rPr>
        <w:rFonts w:hint="eastAsia" w:ascii="宋体" w:hAnsi="宋体"/>
        <w:b/>
        <w:bCs/>
        <w:sz w:val="21"/>
        <w:szCs w:val="21"/>
      </w:rPr>
      <w:t>云南元大工程咨询有限责任公司</w:t>
    </w:r>
    <w:r>
      <w:rPr>
        <w:rFonts w:hint="eastAsia"/>
        <w:b/>
        <w:bCs/>
        <w:sz w:val="21"/>
        <w:szCs w:val="21"/>
      </w:rPr>
      <w:t xml:space="preserve">                                                     </w:t>
    </w:r>
    <w:r>
      <w:rPr>
        <w:rFonts w:hint="eastAsia" w:ascii="宋体" w:hAnsi="宋体"/>
        <w:b/>
        <w:bCs/>
        <w:color w:val="000000"/>
        <w:sz w:val="21"/>
        <w:szCs w:val="21"/>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529B0"/>
    <w:multiLevelType w:val="singleLevel"/>
    <w:tmpl w:val="B73529B0"/>
    <w:lvl w:ilvl="0" w:tentative="0">
      <w:start w:val="5"/>
      <w:numFmt w:val="decimal"/>
      <w:suff w:val="nothing"/>
      <w:lvlText w:val="%1、"/>
      <w:lvlJc w:val="left"/>
    </w:lvl>
  </w:abstractNum>
  <w:abstractNum w:abstractNumId="1">
    <w:nsid w:val="00000001"/>
    <w:multiLevelType w:val="singleLevel"/>
    <w:tmpl w:val="00000001"/>
    <w:lvl w:ilvl="0" w:tentative="0">
      <w:start w:val="1"/>
      <w:numFmt w:val="chineseCounting"/>
      <w:suff w:val="space"/>
      <w:lvlText w:val="%1、"/>
      <w:lvlJc w:val="left"/>
      <w:rPr>
        <w:rFonts w:hint="eastAsia"/>
      </w:rPr>
    </w:lvl>
  </w:abstractNum>
  <w:abstractNum w:abstractNumId="2">
    <w:nsid w:val="00000003"/>
    <w:multiLevelType w:val="singleLevel"/>
    <w:tmpl w:val="00000003"/>
    <w:lvl w:ilvl="0" w:tentative="0">
      <w:start w:val="1"/>
      <w:numFmt w:val="decimal"/>
      <w:lvlText w:val="%1."/>
      <w:lvlJc w:val="left"/>
      <w:pPr>
        <w:tabs>
          <w:tab w:val="left" w:pos="312"/>
        </w:tabs>
      </w:pPr>
    </w:lvl>
  </w:abstractNum>
  <w:abstractNum w:abstractNumId="3">
    <w:nsid w:val="28FD58F1"/>
    <w:multiLevelType w:val="singleLevel"/>
    <w:tmpl w:val="28FD58F1"/>
    <w:lvl w:ilvl="0" w:tentative="0">
      <w:start w:val="1"/>
      <w:numFmt w:val="decimal"/>
      <w:suff w:val="nothing"/>
      <w:lvlText w:val="（%1）"/>
      <w:lvlJc w:val="left"/>
    </w:lvl>
  </w:abstractNum>
  <w:abstractNum w:abstractNumId="4">
    <w:nsid w:val="6AD2381A"/>
    <w:multiLevelType w:val="multilevel"/>
    <w:tmpl w:val="6AD2381A"/>
    <w:lvl w:ilvl="0" w:tentative="0">
      <w:start w:val="1"/>
      <w:numFmt w:val="japaneseCounting"/>
      <w:lvlText w:val="第%1条"/>
      <w:lvlJc w:val="left"/>
      <w:pPr>
        <w:ind w:left="1464" w:hanging="984"/>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159"/>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iYTdjMmY1ZDllZjNjOTVlNDk0NzBiYWJkZDBhODcifQ=="/>
    <w:docVar w:name="KSO_WPS_MARK_KEY" w:val="385114c3-995f-476e-a5e2-e3102a5bb114"/>
  </w:docVars>
  <w:rsids>
    <w:rsidRoot w:val="00172A27"/>
    <w:rsid w:val="00011633"/>
    <w:rsid w:val="00030F55"/>
    <w:rsid w:val="00031AEF"/>
    <w:rsid w:val="0004284E"/>
    <w:rsid w:val="00042BED"/>
    <w:rsid w:val="00042CD8"/>
    <w:rsid w:val="00043633"/>
    <w:rsid w:val="00047E90"/>
    <w:rsid w:val="00051022"/>
    <w:rsid w:val="0005361E"/>
    <w:rsid w:val="000636B3"/>
    <w:rsid w:val="0007441C"/>
    <w:rsid w:val="000815F4"/>
    <w:rsid w:val="000820A5"/>
    <w:rsid w:val="00083B46"/>
    <w:rsid w:val="00085D0B"/>
    <w:rsid w:val="0008600F"/>
    <w:rsid w:val="0009057F"/>
    <w:rsid w:val="00091E6F"/>
    <w:rsid w:val="00094A95"/>
    <w:rsid w:val="000A3744"/>
    <w:rsid w:val="000B5703"/>
    <w:rsid w:val="000B608D"/>
    <w:rsid w:val="000B6CEF"/>
    <w:rsid w:val="000B736F"/>
    <w:rsid w:val="000C05F4"/>
    <w:rsid w:val="000C2FB1"/>
    <w:rsid w:val="000C7606"/>
    <w:rsid w:val="000D0527"/>
    <w:rsid w:val="000D4343"/>
    <w:rsid w:val="000D734F"/>
    <w:rsid w:val="000E237F"/>
    <w:rsid w:val="000E4B43"/>
    <w:rsid w:val="000E5124"/>
    <w:rsid w:val="000F4007"/>
    <w:rsid w:val="000F7138"/>
    <w:rsid w:val="000F7A98"/>
    <w:rsid w:val="00116F18"/>
    <w:rsid w:val="0013374D"/>
    <w:rsid w:val="001341D1"/>
    <w:rsid w:val="00146907"/>
    <w:rsid w:val="0014749F"/>
    <w:rsid w:val="001521FA"/>
    <w:rsid w:val="00156EB8"/>
    <w:rsid w:val="00161403"/>
    <w:rsid w:val="00162AFF"/>
    <w:rsid w:val="0016301C"/>
    <w:rsid w:val="00180065"/>
    <w:rsid w:val="00182CB0"/>
    <w:rsid w:val="00185606"/>
    <w:rsid w:val="001857AF"/>
    <w:rsid w:val="001925D3"/>
    <w:rsid w:val="00192BA5"/>
    <w:rsid w:val="001A07FD"/>
    <w:rsid w:val="001A5E86"/>
    <w:rsid w:val="001A6B28"/>
    <w:rsid w:val="001B145C"/>
    <w:rsid w:val="001B7434"/>
    <w:rsid w:val="001C208E"/>
    <w:rsid w:val="001C3FF5"/>
    <w:rsid w:val="001C4D4F"/>
    <w:rsid w:val="001D59CB"/>
    <w:rsid w:val="001E4D06"/>
    <w:rsid w:val="00203EBB"/>
    <w:rsid w:val="00204378"/>
    <w:rsid w:val="0021068D"/>
    <w:rsid w:val="0022312B"/>
    <w:rsid w:val="00223343"/>
    <w:rsid w:val="002235B9"/>
    <w:rsid w:val="0022413D"/>
    <w:rsid w:val="00237053"/>
    <w:rsid w:val="002526F3"/>
    <w:rsid w:val="0026265F"/>
    <w:rsid w:val="0027250D"/>
    <w:rsid w:val="00282311"/>
    <w:rsid w:val="00284940"/>
    <w:rsid w:val="00287ABF"/>
    <w:rsid w:val="002932BF"/>
    <w:rsid w:val="00295E3D"/>
    <w:rsid w:val="0029718E"/>
    <w:rsid w:val="002A178A"/>
    <w:rsid w:val="002A178F"/>
    <w:rsid w:val="002A65CE"/>
    <w:rsid w:val="002A7E79"/>
    <w:rsid w:val="002A7EF7"/>
    <w:rsid w:val="002B1D28"/>
    <w:rsid w:val="002B4591"/>
    <w:rsid w:val="002B6E60"/>
    <w:rsid w:val="002C17E9"/>
    <w:rsid w:val="002C4B13"/>
    <w:rsid w:val="002D0CF0"/>
    <w:rsid w:val="002D111D"/>
    <w:rsid w:val="002D5DFC"/>
    <w:rsid w:val="002F021E"/>
    <w:rsid w:val="003037B0"/>
    <w:rsid w:val="0030409B"/>
    <w:rsid w:val="0030759A"/>
    <w:rsid w:val="00307E30"/>
    <w:rsid w:val="003107FF"/>
    <w:rsid w:val="00313A88"/>
    <w:rsid w:val="0031494C"/>
    <w:rsid w:val="00324338"/>
    <w:rsid w:val="003347CA"/>
    <w:rsid w:val="00344877"/>
    <w:rsid w:val="0034581B"/>
    <w:rsid w:val="003465FA"/>
    <w:rsid w:val="00346AC4"/>
    <w:rsid w:val="00355360"/>
    <w:rsid w:val="0036146A"/>
    <w:rsid w:val="003618BB"/>
    <w:rsid w:val="00361F77"/>
    <w:rsid w:val="003654AF"/>
    <w:rsid w:val="00372568"/>
    <w:rsid w:val="0037646C"/>
    <w:rsid w:val="00377C65"/>
    <w:rsid w:val="003815C9"/>
    <w:rsid w:val="00381BBB"/>
    <w:rsid w:val="00390E93"/>
    <w:rsid w:val="00392F43"/>
    <w:rsid w:val="0039364F"/>
    <w:rsid w:val="003A249C"/>
    <w:rsid w:val="003B2498"/>
    <w:rsid w:val="003B4871"/>
    <w:rsid w:val="003B726E"/>
    <w:rsid w:val="003C22C3"/>
    <w:rsid w:val="003C360A"/>
    <w:rsid w:val="003C4CCE"/>
    <w:rsid w:val="003D31B3"/>
    <w:rsid w:val="003E46C2"/>
    <w:rsid w:val="003E63E3"/>
    <w:rsid w:val="003F0310"/>
    <w:rsid w:val="003F37CB"/>
    <w:rsid w:val="003F7656"/>
    <w:rsid w:val="00403F20"/>
    <w:rsid w:val="00406590"/>
    <w:rsid w:val="0040799E"/>
    <w:rsid w:val="00410DB4"/>
    <w:rsid w:val="00410E25"/>
    <w:rsid w:val="00414688"/>
    <w:rsid w:val="00425580"/>
    <w:rsid w:val="0043436C"/>
    <w:rsid w:val="00434DDA"/>
    <w:rsid w:val="004369DF"/>
    <w:rsid w:val="00437DD4"/>
    <w:rsid w:val="00440226"/>
    <w:rsid w:val="00464071"/>
    <w:rsid w:val="00466836"/>
    <w:rsid w:val="00481D6F"/>
    <w:rsid w:val="00483E43"/>
    <w:rsid w:val="004965CE"/>
    <w:rsid w:val="004A08E4"/>
    <w:rsid w:val="004A1EB8"/>
    <w:rsid w:val="004A7372"/>
    <w:rsid w:val="004B1E36"/>
    <w:rsid w:val="004B48CF"/>
    <w:rsid w:val="004B57EE"/>
    <w:rsid w:val="004C43D4"/>
    <w:rsid w:val="004C6049"/>
    <w:rsid w:val="004D2263"/>
    <w:rsid w:val="004E0D13"/>
    <w:rsid w:val="004F090D"/>
    <w:rsid w:val="004F4040"/>
    <w:rsid w:val="00501258"/>
    <w:rsid w:val="005045E6"/>
    <w:rsid w:val="005065F5"/>
    <w:rsid w:val="00507470"/>
    <w:rsid w:val="00510CB4"/>
    <w:rsid w:val="005277D7"/>
    <w:rsid w:val="00534357"/>
    <w:rsid w:val="0053496D"/>
    <w:rsid w:val="00545017"/>
    <w:rsid w:val="005451A9"/>
    <w:rsid w:val="005500AB"/>
    <w:rsid w:val="005652DD"/>
    <w:rsid w:val="00572B7B"/>
    <w:rsid w:val="00573201"/>
    <w:rsid w:val="00580772"/>
    <w:rsid w:val="00583614"/>
    <w:rsid w:val="00583D45"/>
    <w:rsid w:val="00583D52"/>
    <w:rsid w:val="00585E76"/>
    <w:rsid w:val="005872F4"/>
    <w:rsid w:val="00591141"/>
    <w:rsid w:val="005913D8"/>
    <w:rsid w:val="0059155C"/>
    <w:rsid w:val="005A019A"/>
    <w:rsid w:val="005A06B0"/>
    <w:rsid w:val="005B166B"/>
    <w:rsid w:val="005B331E"/>
    <w:rsid w:val="005B59F3"/>
    <w:rsid w:val="005C68DB"/>
    <w:rsid w:val="005D37A8"/>
    <w:rsid w:val="005D4F0F"/>
    <w:rsid w:val="005D5532"/>
    <w:rsid w:val="005D7B74"/>
    <w:rsid w:val="005E04AC"/>
    <w:rsid w:val="005E3C94"/>
    <w:rsid w:val="005E61C1"/>
    <w:rsid w:val="005F467F"/>
    <w:rsid w:val="005F4E8F"/>
    <w:rsid w:val="00601E2F"/>
    <w:rsid w:val="00603E36"/>
    <w:rsid w:val="0061332D"/>
    <w:rsid w:val="0061499E"/>
    <w:rsid w:val="00620306"/>
    <w:rsid w:val="00621A45"/>
    <w:rsid w:val="00623E81"/>
    <w:rsid w:val="006265A2"/>
    <w:rsid w:val="00630F0A"/>
    <w:rsid w:val="00640445"/>
    <w:rsid w:val="00641390"/>
    <w:rsid w:val="006420BC"/>
    <w:rsid w:val="0065041B"/>
    <w:rsid w:val="006523EF"/>
    <w:rsid w:val="00657848"/>
    <w:rsid w:val="00657CFE"/>
    <w:rsid w:val="00660826"/>
    <w:rsid w:val="006700EF"/>
    <w:rsid w:val="00670B46"/>
    <w:rsid w:val="00675DB9"/>
    <w:rsid w:val="0068341E"/>
    <w:rsid w:val="006852D5"/>
    <w:rsid w:val="00687017"/>
    <w:rsid w:val="00687647"/>
    <w:rsid w:val="006920CC"/>
    <w:rsid w:val="006A042F"/>
    <w:rsid w:val="006A0503"/>
    <w:rsid w:val="006A1783"/>
    <w:rsid w:val="006A5253"/>
    <w:rsid w:val="006A60AB"/>
    <w:rsid w:val="006A6C89"/>
    <w:rsid w:val="006B1B63"/>
    <w:rsid w:val="006C1FEC"/>
    <w:rsid w:val="006C30AE"/>
    <w:rsid w:val="006C4FC9"/>
    <w:rsid w:val="006C631A"/>
    <w:rsid w:val="006C6C7F"/>
    <w:rsid w:val="006D3755"/>
    <w:rsid w:val="006D45D9"/>
    <w:rsid w:val="006E05BE"/>
    <w:rsid w:val="006E141C"/>
    <w:rsid w:val="006E32A8"/>
    <w:rsid w:val="006E4E87"/>
    <w:rsid w:val="006F4904"/>
    <w:rsid w:val="0070021A"/>
    <w:rsid w:val="00710587"/>
    <w:rsid w:val="007115E2"/>
    <w:rsid w:val="00711D23"/>
    <w:rsid w:val="00713B19"/>
    <w:rsid w:val="007150EA"/>
    <w:rsid w:val="007176F5"/>
    <w:rsid w:val="00724AAB"/>
    <w:rsid w:val="0073688B"/>
    <w:rsid w:val="00741572"/>
    <w:rsid w:val="0074247B"/>
    <w:rsid w:val="00752A00"/>
    <w:rsid w:val="00754D31"/>
    <w:rsid w:val="00754DBB"/>
    <w:rsid w:val="0075743C"/>
    <w:rsid w:val="0076149B"/>
    <w:rsid w:val="00761E55"/>
    <w:rsid w:val="00761FCB"/>
    <w:rsid w:val="00775CD1"/>
    <w:rsid w:val="00777DB5"/>
    <w:rsid w:val="00777DDD"/>
    <w:rsid w:val="00784AF6"/>
    <w:rsid w:val="007900BC"/>
    <w:rsid w:val="00792020"/>
    <w:rsid w:val="007954EB"/>
    <w:rsid w:val="007A0D73"/>
    <w:rsid w:val="007B303E"/>
    <w:rsid w:val="007B732C"/>
    <w:rsid w:val="007C49FC"/>
    <w:rsid w:val="007D0E0D"/>
    <w:rsid w:val="007D1EDC"/>
    <w:rsid w:val="007D6589"/>
    <w:rsid w:val="007E24D5"/>
    <w:rsid w:val="007E260E"/>
    <w:rsid w:val="007E4B61"/>
    <w:rsid w:val="007F105F"/>
    <w:rsid w:val="008004BA"/>
    <w:rsid w:val="00802276"/>
    <w:rsid w:val="00805477"/>
    <w:rsid w:val="00813081"/>
    <w:rsid w:val="0081436A"/>
    <w:rsid w:val="00814730"/>
    <w:rsid w:val="00815200"/>
    <w:rsid w:val="00816F9A"/>
    <w:rsid w:val="00817E06"/>
    <w:rsid w:val="00853F5B"/>
    <w:rsid w:val="0085605F"/>
    <w:rsid w:val="008600AF"/>
    <w:rsid w:val="008629CA"/>
    <w:rsid w:val="008654C1"/>
    <w:rsid w:val="0087075E"/>
    <w:rsid w:val="00870F2E"/>
    <w:rsid w:val="008862AB"/>
    <w:rsid w:val="00886439"/>
    <w:rsid w:val="0089266D"/>
    <w:rsid w:val="0089496C"/>
    <w:rsid w:val="008A0C63"/>
    <w:rsid w:val="008A1B92"/>
    <w:rsid w:val="008B02BB"/>
    <w:rsid w:val="008B2498"/>
    <w:rsid w:val="008B7F58"/>
    <w:rsid w:val="008C2589"/>
    <w:rsid w:val="008C7FD9"/>
    <w:rsid w:val="008D50D6"/>
    <w:rsid w:val="008F106E"/>
    <w:rsid w:val="00905380"/>
    <w:rsid w:val="00907B3B"/>
    <w:rsid w:val="00912532"/>
    <w:rsid w:val="00914A48"/>
    <w:rsid w:val="00916252"/>
    <w:rsid w:val="00927094"/>
    <w:rsid w:val="00940EB2"/>
    <w:rsid w:val="00951476"/>
    <w:rsid w:val="0095165F"/>
    <w:rsid w:val="00955A1A"/>
    <w:rsid w:val="00957F45"/>
    <w:rsid w:val="00963583"/>
    <w:rsid w:val="009656D8"/>
    <w:rsid w:val="009657FA"/>
    <w:rsid w:val="00967531"/>
    <w:rsid w:val="00976DB0"/>
    <w:rsid w:val="0098046E"/>
    <w:rsid w:val="00994DD4"/>
    <w:rsid w:val="009B04AC"/>
    <w:rsid w:val="009B250D"/>
    <w:rsid w:val="009B3FC3"/>
    <w:rsid w:val="009B7F69"/>
    <w:rsid w:val="009C1CE3"/>
    <w:rsid w:val="009C6BDD"/>
    <w:rsid w:val="009D0921"/>
    <w:rsid w:val="009D69DC"/>
    <w:rsid w:val="009E238E"/>
    <w:rsid w:val="009E3BC2"/>
    <w:rsid w:val="00A04AF1"/>
    <w:rsid w:val="00A0544B"/>
    <w:rsid w:val="00A066DE"/>
    <w:rsid w:val="00A07340"/>
    <w:rsid w:val="00A12267"/>
    <w:rsid w:val="00A12ACE"/>
    <w:rsid w:val="00A14174"/>
    <w:rsid w:val="00A14511"/>
    <w:rsid w:val="00A24AEA"/>
    <w:rsid w:val="00A30827"/>
    <w:rsid w:val="00A333D5"/>
    <w:rsid w:val="00A34F0A"/>
    <w:rsid w:val="00A36387"/>
    <w:rsid w:val="00A41F8B"/>
    <w:rsid w:val="00A446DB"/>
    <w:rsid w:val="00A46B50"/>
    <w:rsid w:val="00A5284F"/>
    <w:rsid w:val="00A57A61"/>
    <w:rsid w:val="00A65BC4"/>
    <w:rsid w:val="00A66570"/>
    <w:rsid w:val="00A6718C"/>
    <w:rsid w:val="00A71545"/>
    <w:rsid w:val="00A71742"/>
    <w:rsid w:val="00A73EA0"/>
    <w:rsid w:val="00A90015"/>
    <w:rsid w:val="00AA0720"/>
    <w:rsid w:val="00AA0D7D"/>
    <w:rsid w:val="00AA2485"/>
    <w:rsid w:val="00AB057A"/>
    <w:rsid w:val="00AB3A51"/>
    <w:rsid w:val="00AB72B9"/>
    <w:rsid w:val="00AC2CF6"/>
    <w:rsid w:val="00AC531D"/>
    <w:rsid w:val="00AC545E"/>
    <w:rsid w:val="00AD4DCE"/>
    <w:rsid w:val="00AE2019"/>
    <w:rsid w:val="00AE4933"/>
    <w:rsid w:val="00AF0DE2"/>
    <w:rsid w:val="00AF5144"/>
    <w:rsid w:val="00AF771E"/>
    <w:rsid w:val="00B0603C"/>
    <w:rsid w:val="00B06C3B"/>
    <w:rsid w:val="00B23805"/>
    <w:rsid w:val="00B242BB"/>
    <w:rsid w:val="00B263DE"/>
    <w:rsid w:val="00B31163"/>
    <w:rsid w:val="00B3249B"/>
    <w:rsid w:val="00B34228"/>
    <w:rsid w:val="00B41944"/>
    <w:rsid w:val="00B4323A"/>
    <w:rsid w:val="00B46918"/>
    <w:rsid w:val="00B51CCB"/>
    <w:rsid w:val="00B533AB"/>
    <w:rsid w:val="00B54625"/>
    <w:rsid w:val="00B5504C"/>
    <w:rsid w:val="00B563C2"/>
    <w:rsid w:val="00B56C23"/>
    <w:rsid w:val="00B570E3"/>
    <w:rsid w:val="00B603D4"/>
    <w:rsid w:val="00B625EF"/>
    <w:rsid w:val="00B6436A"/>
    <w:rsid w:val="00B7266A"/>
    <w:rsid w:val="00B73A0D"/>
    <w:rsid w:val="00B74C80"/>
    <w:rsid w:val="00B80320"/>
    <w:rsid w:val="00B826A9"/>
    <w:rsid w:val="00B84021"/>
    <w:rsid w:val="00B910B4"/>
    <w:rsid w:val="00B93B89"/>
    <w:rsid w:val="00B95E8E"/>
    <w:rsid w:val="00BA1BB6"/>
    <w:rsid w:val="00BA47C2"/>
    <w:rsid w:val="00BB3689"/>
    <w:rsid w:val="00BB67C4"/>
    <w:rsid w:val="00BC6526"/>
    <w:rsid w:val="00BD79AC"/>
    <w:rsid w:val="00BF028E"/>
    <w:rsid w:val="00BF2C54"/>
    <w:rsid w:val="00C07FAE"/>
    <w:rsid w:val="00C13274"/>
    <w:rsid w:val="00C13FE8"/>
    <w:rsid w:val="00C22632"/>
    <w:rsid w:val="00C32331"/>
    <w:rsid w:val="00C35042"/>
    <w:rsid w:val="00C37CC7"/>
    <w:rsid w:val="00C4145A"/>
    <w:rsid w:val="00C47E75"/>
    <w:rsid w:val="00C57E14"/>
    <w:rsid w:val="00C61887"/>
    <w:rsid w:val="00C64616"/>
    <w:rsid w:val="00C6664C"/>
    <w:rsid w:val="00C66E08"/>
    <w:rsid w:val="00C71091"/>
    <w:rsid w:val="00C80BA0"/>
    <w:rsid w:val="00C81E21"/>
    <w:rsid w:val="00C844A1"/>
    <w:rsid w:val="00C92D64"/>
    <w:rsid w:val="00CA68D8"/>
    <w:rsid w:val="00CB0E27"/>
    <w:rsid w:val="00CB2995"/>
    <w:rsid w:val="00CD3EE7"/>
    <w:rsid w:val="00CE112A"/>
    <w:rsid w:val="00CE2E22"/>
    <w:rsid w:val="00CE6CE9"/>
    <w:rsid w:val="00CE7944"/>
    <w:rsid w:val="00CF5B0D"/>
    <w:rsid w:val="00D05442"/>
    <w:rsid w:val="00D069F9"/>
    <w:rsid w:val="00D0774B"/>
    <w:rsid w:val="00D1481B"/>
    <w:rsid w:val="00D14B99"/>
    <w:rsid w:val="00D16543"/>
    <w:rsid w:val="00D22D67"/>
    <w:rsid w:val="00D256BE"/>
    <w:rsid w:val="00D3093F"/>
    <w:rsid w:val="00D31965"/>
    <w:rsid w:val="00D33ABF"/>
    <w:rsid w:val="00D33DE1"/>
    <w:rsid w:val="00D4070C"/>
    <w:rsid w:val="00D51E25"/>
    <w:rsid w:val="00D57DB5"/>
    <w:rsid w:val="00D630BB"/>
    <w:rsid w:val="00D65574"/>
    <w:rsid w:val="00D7051D"/>
    <w:rsid w:val="00D71EB9"/>
    <w:rsid w:val="00D71F18"/>
    <w:rsid w:val="00D75D2C"/>
    <w:rsid w:val="00D7748A"/>
    <w:rsid w:val="00D77AF1"/>
    <w:rsid w:val="00D84755"/>
    <w:rsid w:val="00D8741D"/>
    <w:rsid w:val="00D90051"/>
    <w:rsid w:val="00D90209"/>
    <w:rsid w:val="00D93DBF"/>
    <w:rsid w:val="00D94E4C"/>
    <w:rsid w:val="00D95186"/>
    <w:rsid w:val="00D9745C"/>
    <w:rsid w:val="00DA00DF"/>
    <w:rsid w:val="00DA0174"/>
    <w:rsid w:val="00DA2AB1"/>
    <w:rsid w:val="00DB0617"/>
    <w:rsid w:val="00DB7B2B"/>
    <w:rsid w:val="00DE0969"/>
    <w:rsid w:val="00DE4940"/>
    <w:rsid w:val="00DF0A0E"/>
    <w:rsid w:val="00DF155C"/>
    <w:rsid w:val="00DF2334"/>
    <w:rsid w:val="00DF2499"/>
    <w:rsid w:val="00DF391C"/>
    <w:rsid w:val="00DF4C40"/>
    <w:rsid w:val="00DF5B6C"/>
    <w:rsid w:val="00E04CED"/>
    <w:rsid w:val="00E05EEA"/>
    <w:rsid w:val="00E14A0B"/>
    <w:rsid w:val="00E167C9"/>
    <w:rsid w:val="00E32CD5"/>
    <w:rsid w:val="00E401FA"/>
    <w:rsid w:val="00E44912"/>
    <w:rsid w:val="00E51923"/>
    <w:rsid w:val="00E54DFB"/>
    <w:rsid w:val="00E607AA"/>
    <w:rsid w:val="00E658E6"/>
    <w:rsid w:val="00E6646C"/>
    <w:rsid w:val="00E664C0"/>
    <w:rsid w:val="00E66973"/>
    <w:rsid w:val="00E72790"/>
    <w:rsid w:val="00E76977"/>
    <w:rsid w:val="00E76B7D"/>
    <w:rsid w:val="00E82A43"/>
    <w:rsid w:val="00E83ABB"/>
    <w:rsid w:val="00E87D9D"/>
    <w:rsid w:val="00E92877"/>
    <w:rsid w:val="00E93FBB"/>
    <w:rsid w:val="00E964D4"/>
    <w:rsid w:val="00EA04F9"/>
    <w:rsid w:val="00EA7593"/>
    <w:rsid w:val="00EC4920"/>
    <w:rsid w:val="00EC6C13"/>
    <w:rsid w:val="00ED26E7"/>
    <w:rsid w:val="00EE6890"/>
    <w:rsid w:val="00EE790D"/>
    <w:rsid w:val="00EF1E98"/>
    <w:rsid w:val="00F03340"/>
    <w:rsid w:val="00F0346E"/>
    <w:rsid w:val="00F04FBF"/>
    <w:rsid w:val="00F05477"/>
    <w:rsid w:val="00F135E3"/>
    <w:rsid w:val="00F14C8D"/>
    <w:rsid w:val="00F16C81"/>
    <w:rsid w:val="00F20D16"/>
    <w:rsid w:val="00F251F0"/>
    <w:rsid w:val="00F42581"/>
    <w:rsid w:val="00F42C4C"/>
    <w:rsid w:val="00F449CD"/>
    <w:rsid w:val="00F45C75"/>
    <w:rsid w:val="00F51D67"/>
    <w:rsid w:val="00F55D50"/>
    <w:rsid w:val="00F56687"/>
    <w:rsid w:val="00F62BA4"/>
    <w:rsid w:val="00F6495F"/>
    <w:rsid w:val="00F65597"/>
    <w:rsid w:val="00F655E1"/>
    <w:rsid w:val="00F774D7"/>
    <w:rsid w:val="00F80AD4"/>
    <w:rsid w:val="00F82399"/>
    <w:rsid w:val="00F86A5B"/>
    <w:rsid w:val="00F93712"/>
    <w:rsid w:val="00FA4CD5"/>
    <w:rsid w:val="00FB007A"/>
    <w:rsid w:val="00FB1E80"/>
    <w:rsid w:val="00FC1085"/>
    <w:rsid w:val="00FC4483"/>
    <w:rsid w:val="00FC7AA7"/>
    <w:rsid w:val="00FD3821"/>
    <w:rsid w:val="00FE66FE"/>
    <w:rsid w:val="00FE72C6"/>
    <w:rsid w:val="00FF082B"/>
    <w:rsid w:val="00FF6C4F"/>
    <w:rsid w:val="01066A48"/>
    <w:rsid w:val="010974DF"/>
    <w:rsid w:val="010F4B69"/>
    <w:rsid w:val="01205D5C"/>
    <w:rsid w:val="012F5F9F"/>
    <w:rsid w:val="0130676A"/>
    <w:rsid w:val="01375E41"/>
    <w:rsid w:val="013B0DE8"/>
    <w:rsid w:val="013B7A72"/>
    <w:rsid w:val="013E24BF"/>
    <w:rsid w:val="01416D8C"/>
    <w:rsid w:val="01453A14"/>
    <w:rsid w:val="01527EDF"/>
    <w:rsid w:val="01542E3B"/>
    <w:rsid w:val="01585BB8"/>
    <w:rsid w:val="015A204F"/>
    <w:rsid w:val="015A7B77"/>
    <w:rsid w:val="015E3DD7"/>
    <w:rsid w:val="015F686F"/>
    <w:rsid w:val="01666F1F"/>
    <w:rsid w:val="016A0CC6"/>
    <w:rsid w:val="016D7475"/>
    <w:rsid w:val="01735F4B"/>
    <w:rsid w:val="017D3325"/>
    <w:rsid w:val="017D6A7D"/>
    <w:rsid w:val="018569B4"/>
    <w:rsid w:val="018C6445"/>
    <w:rsid w:val="01A5481E"/>
    <w:rsid w:val="01AC4C57"/>
    <w:rsid w:val="01B13F71"/>
    <w:rsid w:val="01B871C0"/>
    <w:rsid w:val="01CC4933"/>
    <w:rsid w:val="01CC654C"/>
    <w:rsid w:val="01DC58DF"/>
    <w:rsid w:val="01E01D0E"/>
    <w:rsid w:val="01E054EB"/>
    <w:rsid w:val="01E26AB1"/>
    <w:rsid w:val="01E71F06"/>
    <w:rsid w:val="01EF5D98"/>
    <w:rsid w:val="01F46458"/>
    <w:rsid w:val="01FE0A2C"/>
    <w:rsid w:val="0201658D"/>
    <w:rsid w:val="02072DF4"/>
    <w:rsid w:val="021533E7"/>
    <w:rsid w:val="021F4076"/>
    <w:rsid w:val="02215E17"/>
    <w:rsid w:val="02217A18"/>
    <w:rsid w:val="022265DE"/>
    <w:rsid w:val="0224084D"/>
    <w:rsid w:val="02247C30"/>
    <w:rsid w:val="02251F8E"/>
    <w:rsid w:val="02261066"/>
    <w:rsid w:val="022B7034"/>
    <w:rsid w:val="02345DAF"/>
    <w:rsid w:val="02483A5D"/>
    <w:rsid w:val="025E3B16"/>
    <w:rsid w:val="025F0F7C"/>
    <w:rsid w:val="02635A2D"/>
    <w:rsid w:val="02693BD4"/>
    <w:rsid w:val="02793C5B"/>
    <w:rsid w:val="027B63D7"/>
    <w:rsid w:val="027D4063"/>
    <w:rsid w:val="02832BC7"/>
    <w:rsid w:val="02836DE2"/>
    <w:rsid w:val="028804A0"/>
    <w:rsid w:val="02895B83"/>
    <w:rsid w:val="028F5707"/>
    <w:rsid w:val="029B6E90"/>
    <w:rsid w:val="02A07D4B"/>
    <w:rsid w:val="02A26030"/>
    <w:rsid w:val="02A3377A"/>
    <w:rsid w:val="02A73DA3"/>
    <w:rsid w:val="02AA6756"/>
    <w:rsid w:val="02AD3D3A"/>
    <w:rsid w:val="02AD3D85"/>
    <w:rsid w:val="02AE6FF2"/>
    <w:rsid w:val="02B05949"/>
    <w:rsid w:val="02B07F0A"/>
    <w:rsid w:val="02B40E10"/>
    <w:rsid w:val="02B67502"/>
    <w:rsid w:val="02B964A5"/>
    <w:rsid w:val="02C2058D"/>
    <w:rsid w:val="02C37979"/>
    <w:rsid w:val="02C52D11"/>
    <w:rsid w:val="02CA6F70"/>
    <w:rsid w:val="02CF1D9B"/>
    <w:rsid w:val="02D15CAB"/>
    <w:rsid w:val="02D57887"/>
    <w:rsid w:val="02DC556E"/>
    <w:rsid w:val="02EE44B4"/>
    <w:rsid w:val="02EE68FF"/>
    <w:rsid w:val="02F46B94"/>
    <w:rsid w:val="03016A60"/>
    <w:rsid w:val="03086357"/>
    <w:rsid w:val="03093A07"/>
    <w:rsid w:val="03120381"/>
    <w:rsid w:val="03153165"/>
    <w:rsid w:val="031846AA"/>
    <w:rsid w:val="031C07A5"/>
    <w:rsid w:val="031C7ACD"/>
    <w:rsid w:val="03257081"/>
    <w:rsid w:val="03305546"/>
    <w:rsid w:val="03337D3C"/>
    <w:rsid w:val="03347BA5"/>
    <w:rsid w:val="03465DA8"/>
    <w:rsid w:val="034F0A40"/>
    <w:rsid w:val="035241DD"/>
    <w:rsid w:val="035962AC"/>
    <w:rsid w:val="0360752C"/>
    <w:rsid w:val="03630548"/>
    <w:rsid w:val="0366170B"/>
    <w:rsid w:val="036E4DF2"/>
    <w:rsid w:val="036F73CC"/>
    <w:rsid w:val="0375678B"/>
    <w:rsid w:val="037B422A"/>
    <w:rsid w:val="03842DE7"/>
    <w:rsid w:val="038D0696"/>
    <w:rsid w:val="038E5359"/>
    <w:rsid w:val="03930F87"/>
    <w:rsid w:val="03960557"/>
    <w:rsid w:val="03983ACA"/>
    <w:rsid w:val="039D36DA"/>
    <w:rsid w:val="03A861F3"/>
    <w:rsid w:val="03AC50CD"/>
    <w:rsid w:val="03B20756"/>
    <w:rsid w:val="03B23C58"/>
    <w:rsid w:val="03B35A38"/>
    <w:rsid w:val="03B45169"/>
    <w:rsid w:val="03B879BA"/>
    <w:rsid w:val="03C15054"/>
    <w:rsid w:val="03CD575C"/>
    <w:rsid w:val="03CF3A69"/>
    <w:rsid w:val="03CF7C42"/>
    <w:rsid w:val="03D53658"/>
    <w:rsid w:val="03D91130"/>
    <w:rsid w:val="03D97465"/>
    <w:rsid w:val="03FA3E38"/>
    <w:rsid w:val="04003C23"/>
    <w:rsid w:val="040445FD"/>
    <w:rsid w:val="040719FE"/>
    <w:rsid w:val="04090A66"/>
    <w:rsid w:val="04093614"/>
    <w:rsid w:val="040E4806"/>
    <w:rsid w:val="04131BA8"/>
    <w:rsid w:val="041812F0"/>
    <w:rsid w:val="041B68E1"/>
    <w:rsid w:val="04254EF7"/>
    <w:rsid w:val="04255BC3"/>
    <w:rsid w:val="04316766"/>
    <w:rsid w:val="04332B08"/>
    <w:rsid w:val="043707EE"/>
    <w:rsid w:val="043E4EEF"/>
    <w:rsid w:val="04474A49"/>
    <w:rsid w:val="04542BE6"/>
    <w:rsid w:val="045E5D63"/>
    <w:rsid w:val="04634D8F"/>
    <w:rsid w:val="04671EF4"/>
    <w:rsid w:val="046D155D"/>
    <w:rsid w:val="046D24BC"/>
    <w:rsid w:val="04742E94"/>
    <w:rsid w:val="047F15EC"/>
    <w:rsid w:val="0482591E"/>
    <w:rsid w:val="0485385C"/>
    <w:rsid w:val="04874F74"/>
    <w:rsid w:val="04A313BF"/>
    <w:rsid w:val="04A51EC4"/>
    <w:rsid w:val="04AB0032"/>
    <w:rsid w:val="04B11C19"/>
    <w:rsid w:val="04BA08C9"/>
    <w:rsid w:val="04BB3CBA"/>
    <w:rsid w:val="04BF2CB8"/>
    <w:rsid w:val="04C021BE"/>
    <w:rsid w:val="04C7198E"/>
    <w:rsid w:val="04D8286C"/>
    <w:rsid w:val="04D94F44"/>
    <w:rsid w:val="04DB4128"/>
    <w:rsid w:val="04DC1BC8"/>
    <w:rsid w:val="04DF3800"/>
    <w:rsid w:val="04E24BE1"/>
    <w:rsid w:val="04E43D0E"/>
    <w:rsid w:val="04F75026"/>
    <w:rsid w:val="04F90CBC"/>
    <w:rsid w:val="04F95927"/>
    <w:rsid w:val="04FA3462"/>
    <w:rsid w:val="050354D7"/>
    <w:rsid w:val="051162FA"/>
    <w:rsid w:val="052C3AB3"/>
    <w:rsid w:val="05321753"/>
    <w:rsid w:val="05391F80"/>
    <w:rsid w:val="053A4ACF"/>
    <w:rsid w:val="053E3845"/>
    <w:rsid w:val="05410997"/>
    <w:rsid w:val="054779AD"/>
    <w:rsid w:val="054C6B5F"/>
    <w:rsid w:val="054E74F8"/>
    <w:rsid w:val="0556011D"/>
    <w:rsid w:val="05584F57"/>
    <w:rsid w:val="05595CE0"/>
    <w:rsid w:val="055C2EC6"/>
    <w:rsid w:val="05615C15"/>
    <w:rsid w:val="056A2976"/>
    <w:rsid w:val="056F38EF"/>
    <w:rsid w:val="05720B51"/>
    <w:rsid w:val="05762528"/>
    <w:rsid w:val="057768BF"/>
    <w:rsid w:val="057B665E"/>
    <w:rsid w:val="0580501B"/>
    <w:rsid w:val="058B1B02"/>
    <w:rsid w:val="058D7738"/>
    <w:rsid w:val="058F0E70"/>
    <w:rsid w:val="058F67EC"/>
    <w:rsid w:val="05AA7E70"/>
    <w:rsid w:val="05B129F8"/>
    <w:rsid w:val="05B20B55"/>
    <w:rsid w:val="05B21DE2"/>
    <w:rsid w:val="05B872DF"/>
    <w:rsid w:val="05BB5A50"/>
    <w:rsid w:val="05C94E2E"/>
    <w:rsid w:val="05C96854"/>
    <w:rsid w:val="05CA44E8"/>
    <w:rsid w:val="05CB2D33"/>
    <w:rsid w:val="05DF622F"/>
    <w:rsid w:val="05E7509A"/>
    <w:rsid w:val="05EA3BDD"/>
    <w:rsid w:val="05EC0BBF"/>
    <w:rsid w:val="05F159E2"/>
    <w:rsid w:val="05F2506C"/>
    <w:rsid w:val="05F802BF"/>
    <w:rsid w:val="05F921F6"/>
    <w:rsid w:val="05FE23E4"/>
    <w:rsid w:val="05FF3C1A"/>
    <w:rsid w:val="06062A3D"/>
    <w:rsid w:val="06075FEC"/>
    <w:rsid w:val="060D49F6"/>
    <w:rsid w:val="06112B3C"/>
    <w:rsid w:val="061B2F96"/>
    <w:rsid w:val="06215539"/>
    <w:rsid w:val="062D2A4C"/>
    <w:rsid w:val="062E4A77"/>
    <w:rsid w:val="062F6A41"/>
    <w:rsid w:val="0638780A"/>
    <w:rsid w:val="063E0DE6"/>
    <w:rsid w:val="064176D8"/>
    <w:rsid w:val="06454C97"/>
    <w:rsid w:val="06491398"/>
    <w:rsid w:val="064B1E81"/>
    <w:rsid w:val="064D0BCD"/>
    <w:rsid w:val="06514C09"/>
    <w:rsid w:val="065710C2"/>
    <w:rsid w:val="06584D4D"/>
    <w:rsid w:val="067526A6"/>
    <w:rsid w:val="067C1522"/>
    <w:rsid w:val="068122F5"/>
    <w:rsid w:val="06837E4F"/>
    <w:rsid w:val="06843D48"/>
    <w:rsid w:val="068E3E81"/>
    <w:rsid w:val="06905732"/>
    <w:rsid w:val="06927983"/>
    <w:rsid w:val="06975731"/>
    <w:rsid w:val="069B626B"/>
    <w:rsid w:val="069C25C5"/>
    <w:rsid w:val="069C5DA9"/>
    <w:rsid w:val="06B95C2A"/>
    <w:rsid w:val="06C15D84"/>
    <w:rsid w:val="06C3703E"/>
    <w:rsid w:val="06C614AC"/>
    <w:rsid w:val="06CC61A7"/>
    <w:rsid w:val="06CF7C1B"/>
    <w:rsid w:val="06D2524A"/>
    <w:rsid w:val="06D43DFA"/>
    <w:rsid w:val="06DE3E55"/>
    <w:rsid w:val="06E51995"/>
    <w:rsid w:val="06EA3E03"/>
    <w:rsid w:val="06EC1894"/>
    <w:rsid w:val="06F42009"/>
    <w:rsid w:val="06F85DFF"/>
    <w:rsid w:val="070B081D"/>
    <w:rsid w:val="070D6D82"/>
    <w:rsid w:val="070D7104"/>
    <w:rsid w:val="071579E5"/>
    <w:rsid w:val="07165BB5"/>
    <w:rsid w:val="071664CB"/>
    <w:rsid w:val="071835F2"/>
    <w:rsid w:val="07195698"/>
    <w:rsid w:val="07257CEE"/>
    <w:rsid w:val="072C51F4"/>
    <w:rsid w:val="0730654F"/>
    <w:rsid w:val="073D207A"/>
    <w:rsid w:val="074A1497"/>
    <w:rsid w:val="074A49E1"/>
    <w:rsid w:val="074B6B0A"/>
    <w:rsid w:val="074E2E85"/>
    <w:rsid w:val="07515BF5"/>
    <w:rsid w:val="075850A0"/>
    <w:rsid w:val="076003DE"/>
    <w:rsid w:val="0760628E"/>
    <w:rsid w:val="0766079C"/>
    <w:rsid w:val="076B3425"/>
    <w:rsid w:val="076D5A34"/>
    <w:rsid w:val="0776142E"/>
    <w:rsid w:val="07764244"/>
    <w:rsid w:val="077B0190"/>
    <w:rsid w:val="0783049C"/>
    <w:rsid w:val="07870AFB"/>
    <w:rsid w:val="078748AB"/>
    <w:rsid w:val="078B665C"/>
    <w:rsid w:val="07AC3018"/>
    <w:rsid w:val="07AF1BE8"/>
    <w:rsid w:val="07BA0B8A"/>
    <w:rsid w:val="07BE249F"/>
    <w:rsid w:val="07BF409F"/>
    <w:rsid w:val="07CF3C47"/>
    <w:rsid w:val="07D76651"/>
    <w:rsid w:val="07DA01AF"/>
    <w:rsid w:val="07DA2045"/>
    <w:rsid w:val="07DC0946"/>
    <w:rsid w:val="07DD06DB"/>
    <w:rsid w:val="07DD5905"/>
    <w:rsid w:val="07DF26DB"/>
    <w:rsid w:val="07E239CC"/>
    <w:rsid w:val="07E53475"/>
    <w:rsid w:val="07E64BC5"/>
    <w:rsid w:val="07F07CAE"/>
    <w:rsid w:val="07F25F78"/>
    <w:rsid w:val="07F5509C"/>
    <w:rsid w:val="07F8725D"/>
    <w:rsid w:val="07FC2E74"/>
    <w:rsid w:val="07FE79CD"/>
    <w:rsid w:val="08015504"/>
    <w:rsid w:val="080D4B60"/>
    <w:rsid w:val="080E7859"/>
    <w:rsid w:val="080F1AFD"/>
    <w:rsid w:val="08191757"/>
    <w:rsid w:val="08275E9F"/>
    <w:rsid w:val="083927E4"/>
    <w:rsid w:val="083C0402"/>
    <w:rsid w:val="083C4608"/>
    <w:rsid w:val="08436517"/>
    <w:rsid w:val="084C154B"/>
    <w:rsid w:val="084F0A17"/>
    <w:rsid w:val="085A3CC5"/>
    <w:rsid w:val="08627391"/>
    <w:rsid w:val="086A114C"/>
    <w:rsid w:val="086E4FBF"/>
    <w:rsid w:val="08711291"/>
    <w:rsid w:val="087329A6"/>
    <w:rsid w:val="087466EA"/>
    <w:rsid w:val="087E15BA"/>
    <w:rsid w:val="087F1E63"/>
    <w:rsid w:val="088A6EB5"/>
    <w:rsid w:val="089A6A2E"/>
    <w:rsid w:val="08A46181"/>
    <w:rsid w:val="08A676CB"/>
    <w:rsid w:val="08AA0C7F"/>
    <w:rsid w:val="08B35527"/>
    <w:rsid w:val="08B51480"/>
    <w:rsid w:val="08C62846"/>
    <w:rsid w:val="08C95534"/>
    <w:rsid w:val="08CE1601"/>
    <w:rsid w:val="08D42534"/>
    <w:rsid w:val="08DE3382"/>
    <w:rsid w:val="08DE5443"/>
    <w:rsid w:val="08F6361B"/>
    <w:rsid w:val="08F77308"/>
    <w:rsid w:val="08FF6095"/>
    <w:rsid w:val="09045AED"/>
    <w:rsid w:val="09060B75"/>
    <w:rsid w:val="090653B1"/>
    <w:rsid w:val="090977B2"/>
    <w:rsid w:val="09132149"/>
    <w:rsid w:val="091A01D8"/>
    <w:rsid w:val="09207898"/>
    <w:rsid w:val="09246B7F"/>
    <w:rsid w:val="0926197A"/>
    <w:rsid w:val="092D395B"/>
    <w:rsid w:val="092F19E3"/>
    <w:rsid w:val="09325651"/>
    <w:rsid w:val="09344E19"/>
    <w:rsid w:val="09363DBC"/>
    <w:rsid w:val="09370A52"/>
    <w:rsid w:val="093D51B4"/>
    <w:rsid w:val="09525673"/>
    <w:rsid w:val="095504DD"/>
    <w:rsid w:val="095A3D80"/>
    <w:rsid w:val="09647EC4"/>
    <w:rsid w:val="09690471"/>
    <w:rsid w:val="096C6C17"/>
    <w:rsid w:val="096E0EE2"/>
    <w:rsid w:val="09766ACB"/>
    <w:rsid w:val="09767697"/>
    <w:rsid w:val="09774987"/>
    <w:rsid w:val="0980626C"/>
    <w:rsid w:val="0983157E"/>
    <w:rsid w:val="098621E3"/>
    <w:rsid w:val="098D628F"/>
    <w:rsid w:val="098E7098"/>
    <w:rsid w:val="098F50FF"/>
    <w:rsid w:val="09924AB2"/>
    <w:rsid w:val="0992713D"/>
    <w:rsid w:val="0998486F"/>
    <w:rsid w:val="09996199"/>
    <w:rsid w:val="099F1D68"/>
    <w:rsid w:val="09A92E22"/>
    <w:rsid w:val="09B25C8F"/>
    <w:rsid w:val="09B37AEC"/>
    <w:rsid w:val="09B50186"/>
    <w:rsid w:val="09BC4A90"/>
    <w:rsid w:val="09C51231"/>
    <w:rsid w:val="09C72651"/>
    <w:rsid w:val="09CC05C4"/>
    <w:rsid w:val="09D23279"/>
    <w:rsid w:val="09E23085"/>
    <w:rsid w:val="09E62EBE"/>
    <w:rsid w:val="09EF5595"/>
    <w:rsid w:val="09F1006B"/>
    <w:rsid w:val="09F2400E"/>
    <w:rsid w:val="09FE29B2"/>
    <w:rsid w:val="09FE7367"/>
    <w:rsid w:val="0A07135F"/>
    <w:rsid w:val="0A116CF4"/>
    <w:rsid w:val="0A1A42AB"/>
    <w:rsid w:val="0A1B5351"/>
    <w:rsid w:val="0A1C7EC9"/>
    <w:rsid w:val="0A2363B0"/>
    <w:rsid w:val="0A26442A"/>
    <w:rsid w:val="0A287FA0"/>
    <w:rsid w:val="0A2A0524"/>
    <w:rsid w:val="0A2C0D3B"/>
    <w:rsid w:val="0A2E5E53"/>
    <w:rsid w:val="0A310F18"/>
    <w:rsid w:val="0A321633"/>
    <w:rsid w:val="0A332E85"/>
    <w:rsid w:val="0A340E0D"/>
    <w:rsid w:val="0A341682"/>
    <w:rsid w:val="0A3838AE"/>
    <w:rsid w:val="0A3B48B9"/>
    <w:rsid w:val="0A3D172D"/>
    <w:rsid w:val="0A3F14EC"/>
    <w:rsid w:val="0A4A3E4A"/>
    <w:rsid w:val="0A522D71"/>
    <w:rsid w:val="0A544CC8"/>
    <w:rsid w:val="0A546A76"/>
    <w:rsid w:val="0A5E482E"/>
    <w:rsid w:val="0A6B6E10"/>
    <w:rsid w:val="0A7B0C26"/>
    <w:rsid w:val="0A7B1AB9"/>
    <w:rsid w:val="0A7F5E19"/>
    <w:rsid w:val="0A801619"/>
    <w:rsid w:val="0A807AEF"/>
    <w:rsid w:val="0A810269"/>
    <w:rsid w:val="0A8A693C"/>
    <w:rsid w:val="0A8C6A20"/>
    <w:rsid w:val="0A9713FA"/>
    <w:rsid w:val="0A9A05A9"/>
    <w:rsid w:val="0A9A72F3"/>
    <w:rsid w:val="0A9F3C9B"/>
    <w:rsid w:val="0AAD5036"/>
    <w:rsid w:val="0AB441B1"/>
    <w:rsid w:val="0AB94B2B"/>
    <w:rsid w:val="0ABA39F1"/>
    <w:rsid w:val="0ABB708E"/>
    <w:rsid w:val="0AC716EE"/>
    <w:rsid w:val="0ACD1AA9"/>
    <w:rsid w:val="0AD57EAC"/>
    <w:rsid w:val="0AE0655C"/>
    <w:rsid w:val="0AE778EA"/>
    <w:rsid w:val="0AE94F91"/>
    <w:rsid w:val="0AEF170F"/>
    <w:rsid w:val="0AF50251"/>
    <w:rsid w:val="0AF92D45"/>
    <w:rsid w:val="0AFC4CD1"/>
    <w:rsid w:val="0AFC55BB"/>
    <w:rsid w:val="0B0005A1"/>
    <w:rsid w:val="0B04224A"/>
    <w:rsid w:val="0B1526A9"/>
    <w:rsid w:val="0B194C41"/>
    <w:rsid w:val="0B2427D9"/>
    <w:rsid w:val="0B2A4D8F"/>
    <w:rsid w:val="0B3643CE"/>
    <w:rsid w:val="0B38329D"/>
    <w:rsid w:val="0B396B39"/>
    <w:rsid w:val="0B410063"/>
    <w:rsid w:val="0B4D1563"/>
    <w:rsid w:val="0B586D3B"/>
    <w:rsid w:val="0B5948DD"/>
    <w:rsid w:val="0B5D4231"/>
    <w:rsid w:val="0B5F1DC7"/>
    <w:rsid w:val="0B605F4D"/>
    <w:rsid w:val="0B687DEF"/>
    <w:rsid w:val="0B6A23FA"/>
    <w:rsid w:val="0B6B22C9"/>
    <w:rsid w:val="0B70168E"/>
    <w:rsid w:val="0B7B2078"/>
    <w:rsid w:val="0B7F7B23"/>
    <w:rsid w:val="0B821C7A"/>
    <w:rsid w:val="0B8B19A4"/>
    <w:rsid w:val="0BA340B9"/>
    <w:rsid w:val="0BA8074F"/>
    <w:rsid w:val="0BAA2594"/>
    <w:rsid w:val="0BB645A8"/>
    <w:rsid w:val="0BBA6DAD"/>
    <w:rsid w:val="0BBC09BB"/>
    <w:rsid w:val="0BBC0DC9"/>
    <w:rsid w:val="0BBC72FE"/>
    <w:rsid w:val="0BC154BD"/>
    <w:rsid w:val="0BC26AAB"/>
    <w:rsid w:val="0BC459F0"/>
    <w:rsid w:val="0BC8196A"/>
    <w:rsid w:val="0BC93196"/>
    <w:rsid w:val="0BCE6032"/>
    <w:rsid w:val="0BD110FA"/>
    <w:rsid w:val="0BD11F11"/>
    <w:rsid w:val="0BD53BE7"/>
    <w:rsid w:val="0BD62DF0"/>
    <w:rsid w:val="0BD85C1C"/>
    <w:rsid w:val="0BDC33FE"/>
    <w:rsid w:val="0BDC743A"/>
    <w:rsid w:val="0BE2426F"/>
    <w:rsid w:val="0BE85DDD"/>
    <w:rsid w:val="0BF027CF"/>
    <w:rsid w:val="0BF66F00"/>
    <w:rsid w:val="0BF84DC8"/>
    <w:rsid w:val="0BF977FE"/>
    <w:rsid w:val="0BFC6861"/>
    <w:rsid w:val="0C003A87"/>
    <w:rsid w:val="0C004624"/>
    <w:rsid w:val="0C0C03C9"/>
    <w:rsid w:val="0C123F38"/>
    <w:rsid w:val="0C127856"/>
    <w:rsid w:val="0C15217A"/>
    <w:rsid w:val="0C190A0A"/>
    <w:rsid w:val="0C1F3477"/>
    <w:rsid w:val="0C215BD8"/>
    <w:rsid w:val="0C2462E1"/>
    <w:rsid w:val="0C27273B"/>
    <w:rsid w:val="0C2D7534"/>
    <w:rsid w:val="0C2F0761"/>
    <w:rsid w:val="0C316782"/>
    <w:rsid w:val="0C3C3CA0"/>
    <w:rsid w:val="0C3F3A46"/>
    <w:rsid w:val="0C4018D0"/>
    <w:rsid w:val="0C405E13"/>
    <w:rsid w:val="0C4843B9"/>
    <w:rsid w:val="0C4D1731"/>
    <w:rsid w:val="0C524FEC"/>
    <w:rsid w:val="0C556C9B"/>
    <w:rsid w:val="0C572BD3"/>
    <w:rsid w:val="0C5730C1"/>
    <w:rsid w:val="0C64251E"/>
    <w:rsid w:val="0C691AB4"/>
    <w:rsid w:val="0C692F6D"/>
    <w:rsid w:val="0C6A432F"/>
    <w:rsid w:val="0C6C4136"/>
    <w:rsid w:val="0C7120BA"/>
    <w:rsid w:val="0C743DEB"/>
    <w:rsid w:val="0C7567F0"/>
    <w:rsid w:val="0C7D57C5"/>
    <w:rsid w:val="0C801498"/>
    <w:rsid w:val="0C82275E"/>
    <w:rsid w:val="0C836D6B"/>
    <w:rsid w:val="0C890893"/>
    <w:rsid w:val="0C8D251A"/>
    <w:rsid w:val="0C90777F"/>
    <w:rsid w:val="0C916659"/>
    <w:rsid w:val="0C9B1C08"/>
    <w:rsid w:val="0C9D66F6"/>
    <w:rsid w:val="0CA50FC6"/>
    <w:rsid w:val="0CA84E57"/>
    <w:rsid w:val="0CBD0903"/>
    <w:rsid w:val="0CBD341E"/>
    <w:rsid w:val="0CC32094"/>
    <w:rsid w:val="0CD143AE"/>
    <w:rsid w:val="0CD61C5E"/>
    <w:rsid w:val="0CDA2B45"/>
    <w:rsid w:val="0CE005BA"/>
    <w:rsid w:val="0CE92E2F"/>
    <w:rsid w:val="0CEF686A"/>
    <w:rsid w:val="0CF238D9"/>
    <w:rsid w:val="0CF3265F"/>
    <w:rsid w:val="0CF45132"/>
    <w:rsid w:val="0CF54C18"/>
    <w:rsid w:val="0CFB7D5D"/>
    <w:rsid w:val="0CFD33F5"/>
    <w:rsid w:val="0D0105C4"/>
    <w:rsid w:val="0D020CCB"/>
    <w:rsid w:val="0D0676A4"/>
    <w:rsid w:val="0D190F81"/>
    <w:rsid w:val="0D1D58C9"/>
    <w:rsid w:val="0D215336"/>
    <w:rsid w:val="0D262447"/>
    <w:rsid w:val="0D2B3F36"/>
    <w:rsid w:val="0D2D2A01"/>
    <w:rsid w:val="0D3333F8"/>
    <w:rsid w:val="0D361020"/>
    <w:rsid w:val="0D3F57BC"/>
    <w:rsid w:val="0D423EAE"/>
    <w:rsid w:val="0D4D506B"/>
    <w:rsid w:val="0D5261BF"/>
    <w:rsid w:val="0D57246E"/>
    <w:rsid w:val="0D6734E3"/>
    <w:rsid w:val="0D6C68E7"/>
    <w:rsid w:val="0D6E4804"/>
    <w:rsid w:val="0D7D2A79"/>
    <w:rsid w:val="0D7D3E0F"/>
    <w:rsid w:val="0D7D4536"/>
    <w:rsid w:val="0D8200F5"/>
    <w:rsid w:val="0D837D9E"/>
    <w:rsid w:val="0D86133A"/>
    <w:rsid w:val="0D893804"/>
    <w:rsid w:val="0D8D3537"/>
    <w:rsid w:val="0DA2444C"/>
    <w:rsid w:val="0DA44C4F"/>
    <w:rsid w:val="0DA63D3D"/>
    <w:rsid w:val="0DAC0338"/>
    <w:rsid w:val="0DAC7CEF"/>
    <w:rsid w:val="0DAD62D1"/>
    <w:rsid w:val="0DBB4523"/>
    <w:rsid w:val="0DC209AA"/>
    <w:rsid w:val="0DC44BEA"/>
    <w:rsid w:val="0DC906B2"/>
    <w:rsid w:val="0DC932D7"/>
    <w:rsid w:val="0DD265EC"/>
    <w:rsid w:val="0DD43F77"/>
    <w:rsid w:val="0DD9149A"/>
    <w:rsid w:val="0DDF4F23"/>
    <w:rsid w:val="0DE303D0"/>
    <w:rsid w:val="0DE805D5"/>
    <w:rsid w:val="0DE819AF"/>
    <w:rsid w:val="0DF742E8"/>
    <w:rsid w:val="0DFC545B"/>
    <w:rsid w:val="0DFE3130"/>
    <w:rsid w:val="0E0176D6"/>
    <w:rsid w:val="0E031F75"/>
    <w:rsid w:val="0E052416"/>
    <w:rsid w:val="0E20647A"/>
    <w:rsid w:val="0E2415AF"/>
    <w:rsid w:val="0E2733EC"/>
    <w:rsid w:val="0E2B77B0"/>
    <w:rsid w:val="0E2D3866"/>
    <w:rsid w:val="0E304F48"/>
    <w:rsid w:val="0E33779F"/>
    <w:rsid w:val="0E3E07E5"/>
    <w:rsid w:val="0E44758C"/>
    <w:rsid w:val="0E4504CC"/>
    <w:rsid w:val="0E4548BE"/>
    <w:rsid w:val="0E4D0FC1"/>
    <w:rsid w:val="0E511DEE"/>
    <w:rsid w:val="0E5753B1"/>
    <w:rsid w:val="0E601E8E"/>
    <w:rsid w:val="0E611762"/>
    <w:rsid w:val="0E6370CE"/>
    <w:rsid w:val="0E667D4E"/>
    <w:rsid w:val="0E6C75F4"/>
    <w:rsid w:val="0E6F1DC2"/>
    <w:rsid w:val="0E716EC7"/>
    <w:rsid w:val="0E72373D"/>
    <w:rsid w:val="0E7443C9"/>
    <w:rsid w:val="0E750747"/>
    <w:rsid w:val="0E7C4A82"/>
    <w:rsid w:val="0E8E520D"/>
    <w:rsid w:val="0E8F336A"/>
    <w:rsid w:val="0E8F359F"/>
    <w:rsid w:val="0E917529"/>
    <w:rsid w:val="0EAA3109"/>
    <w:rsid w:val="0EB75DD5"/>
    <w:rsid w:val="0EB809A9"/>
    <w:rsid w:val="0EBC646E"/>
    <w:rsid w:val="0EC25A79"/>
    <w:rsid w:val="0EC345DF"/>
    <w:rsid w:val="0ECA7B73"/>
    <w:rsid w:val="0ECD648E"/>
    <w:rsid w:val="0ECF2D08"/>
    <w:rsid w:val="0ED4462A"/>
    <w:rsid w:val="0EDA7ABD"/>
    <w:rsid w:val="0EE16478"/>
    <w:rsid w:val="0EE9317A"/>
    <w:rsid w:val="0F000C96"/>
    <w:rsid w:val="0F030982"/>
    <w:rsid w:val="0F04370F"/>
    <w:rsid w:val="0F0F50B1"/>
    <w:rsid w:val="0F1D5B6E"/>
    <w:rsid w:val="0F1F3AF7"/>
    <w:rsid w:val="0F266F83"/>
    <w:rsid w:val="0F267BBE"/>
    <w:rsid w:val="0F292A93"/>
    <w:rsid w:val="0F2B39D9"/>
    <w:rsid w:val="0F332828"/>
    <w:rsid w:val="0F383593"/>
    <w:rsid w:val="0F3C7A41"/>
    <w:rsid w:val="0F4704DA"/>
    <w:rsid w:val="0F503CB0"/>
    <w:rsid w:val="0F5346EB"/>
    <w:rsid w:val="0F565E8D"/>
    <w:rsid w:val="0F5E2F7D"/>
    <w:rsid w:val="0F6B43C5"/>
    <w:rsid w:val="0F7113C1"/>
    <w:rsid w:val="0F76462C"/>
    <w:rsid w:val="0F767D88"/>
    <w:rsid w:val="0F7958FE"/>
    <w:rsid w:val="0F895627"/>
    <w:rsid w:val="0F8A6A96"/>
    <w:rsid w:val="0F8B0C31"/>
    <w:rsid w:val="0F927664"/>
    <w:rsid w:val="0F955B67"/>
    <w:rsid w:val="0FA04150"/>
    <w:rsid w:val="0FA26B14"/>
    <w:rsid w:val="0FA40C23"/>
    <w:rsid w:val="0FB7141D"/>
    <w:rsid w:val="0FB72367"/>
    <w:rsid w:val="0FB73E77"/>
    <w:rsid w:val="0FB9413C"/>
    <w:rsid w:val="0FC06194"/>
    <w:rsid w:val="0FC47664"/>
    <w:rsid w:val="0FDB1C82"/>
    <w:rsid w:val="0FED0854"/>
    <w:rsid w:val="0FED3576"/>
    <w:rsid w:val="0FEE0B8B"/>
    <w:rsid w:val="0FEE7FF8"/>
    <w:rsid w:val="0FF63E22"/>
    <w:rsid w:val="0FFD41BD"/>
    <w:rsid w:val="0FFD5200"/>
    <w:rsid w:val="10005A8C"/>
    <w:rsid w:val="10092592"/>
    <w:rsid w:val="100A3B71"/>
    <w:rsid w:val="10211950"/>
    <w:rsid w:val="10213F6E"/>
    <w:rsid w:val="102E1B18"/>
    <w:rsid w:val="103247B3"/>
    <w:rsid w:val="10354C54"/>
    <w:rsid w:val="104071D9"/>
    <w:rsid w:val="1042731E"/>
    <w:rsid w:val="104273D7"/>
    <w:rsid w:val="10445B9A"/>
    <w:rsid w:val="10494F32"/>
    <w:rsid w:val="104A6951"/>
    <w:rsid w:val="104F21BA"/>
    <w:rsid w:val="10560D06"/>
    <w:rsid w:val="105B0B5E"/>
    <w:rsid w:val="10613C9B"/>
    <w:rsid w:val="10640B9B"/>
    <w:rsid w:val="10651D23"/>
    <w:rsid w:val="10655C5D"/>
    <w:rsid w:val="10673933"/>
    <w:rsid w:val="106C676C"/>
    <w:rsid w:val="10702130"/>
    <w:rsid w:val="107514F4"/>
    <w:rsid w:val="109E5FEF"/>
    <w:rsid w:val="10A13138"/>
    <w:rsid w:val="10B71B0D"/>
    <w:rsid w:val="10BA0DCE"/>
    <w:rsid w:val="10C20B10"/>
    <w:rsid w:val="10C3101B"/>
    <w:rsid w:val="10C876B1"/>
    <w:rsid w:val="10CA34E1"/>
    <w:rsid w:val="10CE5C82"/>
    <w:rsid w:val="10D25FC1"/>
    <w:rsid w:val="10D26878"/>
    <w:rsid w:val="10DA4B72"/>
    <w:rsid w:val="10DD09CE"/>
    <w:rsid w:val="10ED1D0E"/>
    <w:rsid w:val="10EE684F"/>
    <w:rsid w:val="10F535D3"/>
    <w:rsid w:val="11082CF7"/>
    <w:rsid w:val="11153FC3"/>
    <w:rsid w:val="11176103"/>
    <w:rsid w:val="111D7E38"/>
    <w:rsid w:val="1123195D"/>
    <w:rsid w:val="112453F4"/>
    <w:rsid w:val="112B0024"/>
    <w:rsid w:val="113F126E"/>
    <w:rsid w:val="114F1D45"/>
    <w:rsid w:val="115600D4"/>
    <w:rsid w:val="115920CE"/>
    <w:rsid w:val="115F120F"/>
    <w:rsid w:val="11647B2C"/>
    <w:rsid w:val="116D71F8"/>
    <w:rsid w:val="1174468E"/>
    <w:rsid w:val="11765524"/>
    <w:rsid w:val="117C32EA"/>
    <w:rsid w:val="118834E8"/>
    <w:rsid w:val="119908C2"/>
    <w:rsid w:val="119A3ADB"/>
    <w:rsid w:val="119E09B8"/>
    <w:rsid w:val="11A6336B"/>
    <w:rsid w:val="11AF2018"/>
    <w:rsid w:val="11B1006A"/>
    <w:rsid w:val="11B33FB3"/>
    <w:rsid w:val="11B62D7E"/>
    <w:rsid w:val="11B642AD"/>
    <w:rsid w:val="11C02D2E"/>
    <w:rsid w:val="11C605E7"/>
    <w:rsid w:val="11CC464A"/>
    <w:rsid w:val="11D37EA7"/>
    <w:rsid w:val="11D72CBF"/>
    <w:rsid w:val="11DD52AC"/>
    <w:rsid w:val="11E626AA"/>
    <w:rsid w:val="11E90B6B"/>
    <w:rsid w:val="11ED3D2F"/>
    <w:rsid w:val="11F400C8"/>
    <w:rsid w:val="11F538AA"/>
    <w:rsid w:val="11F67003"/>
    <w:rsid w:val="11F81593"/>
    <w:rsid w:val="1203277A"/>
    <w:rsid w:val="1206792D"/>
    <w:rsid w:val="120B24D6"/>
    <w:rsid w:val="1227460A"/>
    <w:rsid w:val="12275FFD"/>
    <w:rsid w:val="1228182C"/>
    <w:rsid w:val="122D2087"/>
    <w:rsid w:val="12312169"/>
    <w:rsid w:val="12365C5C"/>
    <w:rsid w:val="124368EB"/>
    <w:rsid w:val="12455342"/>
    <w:rsid w:val="12566960"/>
    <w:rsid w:val="1259358F"/>
    <w:rsid w:val="12594D28"/>
    <w:rsid w:val="125B2172"/>
    <w:rsid w:val="125C0F94"/>
    <w:rsid w:val="12665399"/>
    <w:rsid w:val="126F08F1"/>
    <w:rsid w:val="127021A7"/>
    <w:rsid w:val="127220C8"/>
    <w:rsid w:val="12735809"/>
    <w:rsid w:val="1279351E"/>
    <w:rsid w:val="127C14E4"/>
    <w:rsid w:val="127C1D9A"/>
    <w:rsid w:val="127F6497"/>
    <w:rsid w:val="12823F18"/>
    <w:rsid w:val="12861640"/>
    <w:rsid w:val="12895FE0"/>
    <w:rsid w:val="128A1CAF"/>
    <w:rsid w:val="129530C6"/>
    <w:rsid w:val="129659CF"/>
    <w:rsid w:val="129E37B8"/>
    <w:rsid w:val="129F3C34"/>
    <w:rsid w:val="12A1706C"/>
    <w:rsid w:val="12A27DC3"/>
    <w:rsid w:val="12A56C60"/>
    <w:rsid w:val="12AC1D5A"/>
    <w:rsid w:val="12AF17AA"/>
    <w:rsid w:val="12B24C82"/>
    <w:rsid w:val="12B508B1"/>
    <w:rsid w:val="12B65B63"/>
    <w:rsid w:val="12B7019C"/>
    <w:rsid w:val="12B82358"/>
    <w:rsid w:val="12B843BB"/>
    <w:rsid w:val="12CB4575"/>
    <w:rsid w:val="12CF5487"/>
    <w:rsid w:val="12D175E2"/>
    <w:rsid w:val="12D4727E"/>
    <w:rsid w:val="12D71F2E"/>
    <w:rsid w:val="12D818DA"/>
    <w:rsid w:val="12E12E71"/>
    <w:rsid w:val="12E31BDE"/>
    <w:rsid w:val="12E83881"/>
    <w:rsid w:val="12E92C46"/>
    <w:rsid w:val="12EA515C"/>
    <w:rsid w:val="12EC7AE9"/>
    <w:rsid w:val="13017E87"/>
    <w:rsid w:val="13025B91"/>
    <w:rsid w:val="13063F06"/>
    <w:rsid w:val="13071595"/>
    <w:rsid w:val="130E780C"/>
    <w:rsid w:val="13117D70"/>
    <w:rsid w:val="13144FF5"/>
    <w:rsid w:val="131A335A"/>
    <w:rsid w:val="13205782"/>
    <w:rsid w:val="13263EBB"/>
    <w:rsid w:val="132D141C"/>
    <w:rsid w:val="13313BF8"/>
    <w:rsid w:val="13390EFF"/>
    <w:rsid w:val="13425FE7"/>
    <w:rsid w:val="134A6C68"/>
    <w:rsid w:val="135720BE"/>
    <w:rsid w:val="135A334F"/>
    <w:rsid w:val="13646528"/>
    <w:rsid w:val="137131BB"/>
    <w:rsid w:val="137A683C"/>
    <w:rsid w:val="13824654"/>
    <w:rsid w:val="1384637C"/>
    <w:rsid w:val="138630FC"/>
    <w:rsid w:val="138B328C"/>
    <w:rsid w:val="138C5731"/>
    <w:rsid w:val="13903825"/>
    <w:rsid w:val="139C5FF5"/>
    <w:rsid w:val="139D1015"/>
    <w:rsid w:val="13A37472"/>
    <w:rsid w:val="13A9686B"/>
    <w:rsid w:val="13B04A88"/>
    <w:rsid w:val="13B11245"/>
    <w:rsid w:val="13B84F5A"/>
    <w:rsid w:val="13BB1CF9"/>
    <w:rsid w:val="13C46C25"/>
    <w:rsid w:val="13C54FC2"/>
    <w:rsid w:val="13C56222"/>
    <w:rsid w:val="13C83C17"/>
    <w:rsid w:val="13CD3FA3"/>
    <w:rsid w:val="13D645AE"/>
    <w:rsid w:val="13DD3F4F"/>
    <w:rsid w:val="13DE2A6A"/>
    <w:rsid w:val="13E2622E"/>
    <w:rsid w:val="13F33280"/>
    <w:rsid w:val="14092680"/>
    <w:rsid w:val="140D6D71"/>
    <w:rsid w:val="14117786"/>
    <w:rsid w:val="141E0717"/>
    <w:rsid w:val="14237BE5"/>
    <w:rsid w:val="14297453"/>
    <w:rsid w:val="143907F8"/>
    <w:rsid w:val="143C77B6"/>
    <w:rsid w:val="143E5B17"/>
    <w:rsid w:val="14404EEC"/>
    <w:rsid w:val="1445537A"/>
    <w:rsid w:val="144B12F1"/>
    <w:rsid w:val="14540C19"/>
    <w:rsid w:val="14592D75"/>
    <w:rsid w:val="145D40F9"/>
    <w:rsid w:val="146429B0"/>
    <w:rsid w:val="146733DC"/>
    <w:rsid w:val="146B1167"/>
    <w:rsid w:val="146F51D9"/>
    <w:rsid w:val="147C6697"/>
    <w:rsid w:val="14881153"/>
    <w:rsid w:val="148963AA"/>
    <w:rsid w:val="14961F15"/>
    <w:rsid w:val="14977658"/>
    <w:rsid w:val="14991C4C"/>
    <w:rsid w:val="14B25F3D"/>
    <w:rsid w:val="14B47C73"/>
    <w:rsid w:val="14B74712"/>
    <w:rsid w:val="14BD517C"/>
    <w:rsid w:val="14C72C73"/>
    <w:rsid w:val="14CF2F4A"/>
    <w:rsid w:val="14D7277E"/>
    <w:rsid w:val="14DF0BA2"/>
    <w:rsid w:val="14E13ABE"/>
    <w:rsid w:val="14EC111C"/>
    <w:rsid w:val="14F2438D"/>
    <w:rsid w:val="14FD260F"/>
    <w:rsid w:val="15060D13"/>
    <w:rsid w:val="1508059A"/>
    <w:rsid w:val="150A0F40"/>
    <w:rsid w:val="150A1CAF"/>
    <w:rsid w:val="150D5EF5"/>
    <w:rsid w:val="15115FBE"/>
    <w:rsid w:val="151E58BF"/>
    <w:rsid w:val="152010FF"/>
    <w:rsid w:val="152864F1"/>
    <w:rsid w:val="152A4D86"/>
    <w:rsid w:val="152B4878"/>
    <w:rsid w:val="152D0EAD"/>
    <w:rsid w:val="153426C4"/>
    <w:rsid w:val="15412E70"/>
    <w:rsid w:val="15451518"/>
    <w:rsid w:val="15457C9B"/>
    <w:rsid w:val="15474C21"/>
    <w:rsid w:val="154B3B30"/>
    <w:rsid w:val="154C5769"/>
    <w:rsid w:val="155B51EC"/>
    <w:rsid w:val="155D63FE"/>
    <w:rsid w:val="1566616E"/>
    <w:rsid w:val="156A48AD"/>
    <w:rsid w:val="156A4DD9"/>
    <w:rsid w:val="156C1118"/>
    <w:rsid w:val="156D22D9"/>
    <w:rsid w:val="158A0510"/>
    <w:rsid w:val="15A22D8C"/>
    <w:rsid w:val="15A24385"/>
    <w:rsid w:val="15A31535"/>
    <w:rsid w:val="15A4548C"/>
    <w:rsid w:val="15A75661"/>
    <w:rsid w:val="15A91D18"/>
    <w:rsid w:val="15B11E25"/>
    <w:rsid w:val="15BB6C7B"/>
    <w:rsid w:val="15C87753"/>
    <w:rsid w:val="15CC1BB7"/>
    <w:rsid w:val="15D41C79"/>
    <w:rsid w:val="15D84B69"/>
    <w:rsid w:val="15DB3018"/>
    <w:rsid w:val="15DD706A"/>
    <w:rsid w:val="15E85EA3"/>
    <w:rsid w:val="15FD4136"/>
    <w:rsid w:val="160457F4"/>
    <w:rsid w:val="1608552B"/>
    <w:rsid w:val="160F1A18"/>
    <w:rsid w:val="16105D65"/>
    <w:rsid w:val="161B6D47"/>
    <w:rsid w:val="16261B53"/>
    <w:rsid w:val="162A45AF"/>
    <w:rsid w:val="162B4B2F"/>
    <w:rsid w:val="163663F7"/>
    <w:rsid w:val="163F32EB"/>
    <w:rsid w:val="164200CB"/>
    <w:rsid w:val="164A5A03"/>
    <w:rsid w:val="16523ED5"/>
    <w:rsid w:val="165364C3"/>
    <w:rsid w:val="165A2BDE"/>
    <w:rsid w:val="16636CE1"/>
    <w:rsid w:val="166E0A8A"/>
    <w:rsid w:val="166F1D3D"/>
    <w:rsid w:val="16706B4D"/>
    <w:rsid w:val="16710DF6"/>
    <w:rsid w:val="1673768F"/>
    <w:rsid w:val="1675224E"/>
    <w:rsid w:val="16752821"/>
    <w:rsid w:val="16792576"/>
    <w:rsid w:val="16806552"/>
    <w:rsid w:val="16826733"/>
    <w:rsid w:val="168523D3"/>
    <w:rsid w:val="168B4CC3"/>
    <w:rsid w:val="1692495E"/>
    <w:rsid w:val="16947717"/>
    <w:rsid w:val="16A07201"/>
    <w:rsid w:val="16A100CA"/>
    <w:rsid w:val="16A13043"/>
    <w:rsid w:val="16AA4DAF"/>
    <w:rsid w:val="16AC7398"/>
    <w:rsid w:val="16AD1756"/>
    <w:rsid w:val="16AE01A6"/>
    <w:rsid w:val="16B076FD"/>
    <w:rsid w:val="16B23F2C"/>
    <w:rsid w:val="16B56AEF"/>
    <w:rsid w:val="16B943F6"/>
    <w:rsid w:val="16C805D0"/>
    <w:rsid w:val="16D04FC6"/>
    <w:rsid w:val="16D15FD8"/>
    <w:rsid w:val="16D33E72"/>
    <w:rsid w:val="16D7709E"/>
    <w:rsid w:val="16D91158"/>
    <w:rsid w:val="16DA7D18"/>
    <w:rsid w:val="16E87592"/>
    <w:rsid w:val="16E97EF9"/>
    <w:rsid w:val="16F07B27"/>
    <w:rsid w:val="16F10E05"/>
    <w:rsid w:val="16F5440C"/>
    <w:rsid w:val="16FE0496"/>
    <w:rsid w:val="17006251"/>
    <w:rsid w:val="170B17C5"/>
    <w:rsid w:val="171038A9"/>
    <w:rsid w:val="17137909"/>
    <w:rsid w:val="171A0E17"/>
    <w:rsid w:val="171B65B0"/>
    <w:rsid w:val="171D619F"/>
    <w:rsid w:val="171E24D6"/>
    <w:rsid w:val="171E475F"/>
    <w:rsid w:val="17237EFC"/>
    <w:rsid w:val="172E4346"/>
    <w:rsid w:val="173043C7"/>
    <w:rsid w:val="17384267"/>
    <w:rsid w:val="173F2DB2"/>
    <w:rsid w:val="17477185"/>
    <w:rsid w:val="1748044E"/>
    <w:rsid w:val="174D23F4"/>
    <w:rsid w:val="17532E5E"/>
    <w:rsid w:val="175937E0"/>
    <w:rsid w:val="17667D26"/>
    <w:rsid w:val="176A54AD"/>
    <w:rsid w:val="176F1347"/>
    <w:rsid w:val="1780603B"/>
    <w:rsid w:val="17A245DC"/>
    <w:rsid w:val="17A47D10"/>
    <w:rsid w:val="17A61C6F"/>
    <w:rsid w:val="17B0594D"/>
    <w:rsid w:val="17B15903"/>
    <w:rsid w:val="17B27A9B"/>
    <w:rsid w:val="17B926ED"/>
    <w:rsid w:val="17BA79E2"/>
    <w:rsid w:val="17BC4772"/>
    <w:rsid w:val="17D12728"/>
    <w:rsid w:val="17D24DD8"/>
    <w:rsid w:val="17E60A7A"/>
    <w:rsid w:val="17EB746B"/>
    <w:rsid w:val="17EF54C7"/>
    <w:rsid w:val="17F07560"/>
    <w:rsid w:val="17F84D97"/>
    <w:rsid w:val="17FB38A2"/>
    <w:rsid w:val="18030739"/>
    <w:rsid w:val="18090844"/>
    <w:rsid w:val="180C0990"/>
    <w:rsid w:val="180C0AFD"/>
    <w:rsid w:val="180E0B26"/>
    <w:rsid w:val="18117B13"/>
    <w:rsid w:val="181870D4"/>
    <w:rsid w:val="182251D3"/>
    <w:rsid w:val="18252E2F"/>
    <w:rsid w:val="182E5E4C"/>
    <w:rsid w:val="1833144C"/>
    <w:rsid w:val="183E096C"/>
    <w:rsid w:val="184C3483"/>
    <w:rsid w:val="184F2CDA"/>
    <w:rsid w:val="18531D40"/>
    <w:rsid w:val="18642B18"/>
    <w:rsid w:val="18685DE7"/>
    <w:rsid w:val="186A2283"/>
    <w:rsid w:val="1876019B"/>
    <w:rsid w:val="187C0DEA"/>
    <w:rsid w:val="188365CF"/>
    <w:rsid w:val="189F6C54"/>
    <w:rsid w:val="18A62042"/>
    <w:rsid w:val="18A73433"/>
    <w:rsid w:val="18A763D9"/>
    <w:rsid w:val="18A959DE"/>
    <w:rsid w:val="18AB19DB"/>
    <w:rsid w:val="18AD51D7"/>
    <w:rsid w:val="18B307D7"/>
    <w:rsid w:val="18B32D67"/>
    <w:rsid w:val="18B6058F"/>
    <w:rsid w:val="18D11090"/>
    <w:rsid w:val="18D25C5F"/>
    <w:rsid w:val="18DB65A0"/>
    <w:rsid w:val="18E03DC5"/>
    <w:rsid w:val="18E04B97"/>
    <w:rsid w:val="18EA00FB"/>
    <w:rsid w:val="18F46A0A"/>
    <w:rsid w:val="18F9261C"/>
    <w:rsid w:val="18FA3995"/>
    <w:rsid w:val="18FB18A2"/>
    <w:rsid w:val="18FB50F2"/>
    <w:rsid w:val="190A14A1"/>
    <w:rsid w:val="19161AC1"/>
    <w:rsid w:val="192341E3"/>
    <w:rsid w:val="19234C01"/>
    <w:rsid w:val="19273717"/>
    <w:rsid w:val="192D0E31"/>
    <w:rsid w:val="192E2A29"/>
    <w:rsid w:val="192E7999"/>
    <w:rsid w:val="1933023C"/>
    <w:rsid w:val="19354C84"/>
    <w:rsid w:val="194E7325"/>
    <w:rsid w:val="19584C54"/>
    <w:rsid w:val="195949B2"/>
    <w:rsid w:val="19595246"/>
    <w:rsid w:val="195A5190"/>
    <w:rsid w:val="1960752A"/>
    <w:rsid w:val="19677EDB"/>
    <w:rsid w:val="19681C0E"/>
    <w:rsid w:val="196D36B1"/>
    <w:rsid w:val="196D5D0B"/>
    <w:rsid w:val="196F03CB"/>
    <w:rsid w:val="19874772"/>
    <w:rsid w:val="198A4263"/>
    <w:rsid w:val="198A612F"/>
    <w:rsid w:val="19903A06"/>
    <w:rsid w:val="199E7A91"/>
    <w:rsid w:val="199F5094"/>
    <w:rsid w:val="19B60BB4"/>
    <w:rsid w:val="19CA2ECA"/>
    <w:rsid w:val="19CB2EF4"/>
    <w:rsid w:val="19D674A8"/>
    <w:rsid w:val="19D723F1"/>
    <w:rsid w:val="19D87405"/>
    <w:rsid w:val="19E055A8"/>
    <w:rsid w:val="19E0599C"/>
    <w:rsid w:val="19F11A9A"/>
    <w:rsid w:val="19FA13E8"/>
    <w:rsid w:val="1A036BA3"/>
    <w:rsid w:val="1A0B43D6"/>
    <w:rsid w:val="1A241336"/>
    <w:rsid w:val="1A2A63F9"/>
    <w:rsid w:val="1A31116E"/>
    <w:rsid w:val="1A311711"/>
    <w:rsid w:val="1A3E158C"/>
    <w:rsid w:val="1A401B3F"/>
    <w:rsid w:val="1A4101E8"/>
    <w:rsid w:val="1A446818"/>
    <w:rsid w:val="1A45702C"/>
    <w:rsid w:val="1A477774"/>
    <w:rsid w:val="1A483C1E"/>
    <w:rsid w:val="1A4A57A0"/>
    <w:rsid w:val="1A4F3D41"/>
    <w:rsid w:val="1A512FD2"/>
    <w:rsid w:val="1A5E03C2"/>
    <w:rsid w:val="1A5E2B30"/>
    <w:rsid w:val="1A61577C"/>
    <w:rsid w:val="1A67697A"/>
    <w:rsid w:val="1A6B29D9"/>
    <w:rsid w:val="1A6E5D76"/>
    <w:rsid w:val="1A716BEE"/>
    <w:rsid w:val="1A7421CF"/>
    <w:rsid w:val="1A78230D"/>
    <w:rsid w:val="1A7936B8"/>
    <w:rsid w:val="1A8A0F34"/>
    <w:rsid w:val="1A9E0C15"/>
    <w:rsid w:val="1A9F4369"/>
    <w:rsid w:val="1AA743DD"/>
    <w:rsid w:val="1AA96E85"/>
    <w:rsid w:val="1AAA519D"/>
    <w:rsid w:val="1AB50EE5"/>
    <w:rsid w:val="1AB6087E"/>
    <w:rsid w:val="1AC31C19"/>
    <w:rsid w:val="1AD054F8"/>
    <w:rsid w:val="1AD4046B"/>
    <w:rsid w:val="1AE56801"/>
    <w:rsid w:val="1AE678CE"/>
    <w:rsid w:val="1AE946EE"/>
    <w:rsid w:val="1AEE5D74"/>
    <w:rsid w:val="1AF62694"/>
    <w:rsid w:val="1AFA67BD"/>
    <w:rsid w:val="1AFD6139"/>
    <w:rsid w:val="1AFD7373"/>
    <w:rsid w:val="1AFE7001"/>
    <w:rsid w:val="1B090710"/>
    <w:rsid w:val="1B0A5DC1"/>
    <w:rsid w:val="1B0D0F4D"/>
    <w:rsid w:val="1B0E73B3"/>
    <w:rsid w:val="1B11251A"/>
    <w:rsid w:val="1B14674F"/>
    <w:rsid w:val="1B183730"/>
    <w:rsid w:val="1B1D3DDF"/>
    <w:rsid w:val="1B1E5757"/>
    <w:rsid w:val="1B2916E5"/>
    <w:rsid w:val="1B322073"/>
    <w:rsid w:val="1B40507B"/>
    <w:rsid w:val="1B4A1EFB"/>
    <w:rsid w:val="1B506076"/>
    <w:rsid w:val="1B521DC9"/>
    <w:rsid w:val="1B592A4B"/>
    <w:rsid w:val="1B5A5883"/>
    <w:rsid w:val="1B5F7FA7"/>
    <w:rsid w:val="1B63668C"/>
    <w:rsid w:val="1B75252A"/>
    <w:rsid w:val="1B773D4F"/>
    <w:rsid w:val="1B7A7838"/>
    <w:rsid w:val="1B7C14A1"/>
    <w:rsid w:val="1B7C5E2D"/>
    <w:rsid w:val="1B8076CB"/>
    <w:rsid w:val="1B821D08"/>
    <w:rsid w:val="1B862833"/>
    <w:rsid w:val="1B8F4135"/>
    <w:rsid w:val="1B8F46A0"/>
    <w:rsid w:val="1B907220"/>
    <w:rsid w:val="1B96294F"/>
    <w:rsid w:val="1BA0432B"/>
    <w:rsid w:val="1BA64965"/>
    <w:rsid w:val="1BB77278"/>
    <w:rsid w:val="1BBA7D60"/>
    <w:rsid w:val="1BBE4EC6"/>
    <w:rsid w:val="1BC83389"/>
    <w:rsid w:val="1BCB77C6"/>
    <w:rsid w:val="1BD029B6"/>
    <w:rsid w:val="1BD46CB0"/>
    <w:rsid w:val="1BD5178C"/>
    <w:rsid w:val="1BD97A80"/>
    <w:rsid w:val="1BDB5678"/>
    <w:rsid w:val="1BDC387E"/>
    <w:rsid w:val="1BE40ADF"/>
    <w:rsid w:val="1BE55780"/>
    <w:rsid w:val="1BE71058"/>
    <w:rsid w:val="1BEB4C2C"/>
    <w:rsid w:val="1BEB7AB6"/>
    <w:rsid w:val="1BF27CCF"/>
    <w:rsid w:val="1BFA3269"/>
    <w:rsid w:val="1C00080C"/>
    <w:rsid w:val="1C0434B2"/>
    <w:rsid w:val="1C056ECA"/>
    <w:rsid w:val="1C115B48"/>
    <w:rsid w:val="1C157D90"/>
    <w:rsid w:val="1C1F6CF4"/>
    <w:rsid w:val="1C216234"/>
    <w:rsid w:val="1C2B7889"/>
    <w:rsid w:val="1C351CFE"/>
    <w:rsid w:val="1C3B7046"/>
    <w:rsid w:val="1C3D13EB"/>
    <w:rsid w:val="1C457F24"/>
    <w:rsid w:val="1C4C143F"/>
    <w:rsid w:val="1C617A22"/>
    <w:rsid w:val="1C65129F"/>
    <w:rsid w:val="1C6E2DCC"/>
    <w:rsid w:val="1C7437E0"/>
    <w:rsid w:val="1C76287C"/>
    <w:rsid w:val="1C7642C5"/>
    <w:rsid w:val="1C790072"/>
    <w:rsid w:val="1C7D08AC"/>
    <w:rsid w:val="1C7F13F7"/>
    <w:rsid w:val="1C803DBA"/>
    <w:rsid w:val="1C843076"/>
    <w:rsid w:val="1C850FC5"/>
    <w:rsid w:val="1C8B02A0"/>
    <w:rsid w:val="1C8F0E42"/>
    <w:rsid w:val="1C8F2CAC"/>
    <w:rsid w:val="1C8F714F"/>
    <w:rsid w:val="1C945E62"/>
    <w:rsid w:val="1C95113D"/>
    <w:rsid w:val="1C951B74"/>
    <w:rsid w:val="1C9B54DF"/>
    <w:rsid w:val="1CAB6E93"/>
    <w:rsid w:val="1CB003C0"/>
    <w:rsid w:val="1CB3587E"/>
    <w:rsid w:val="1CB75B94"/>
    <w:rsid w:val="1CB772D9"/>
    <w:rsid w:val="1CBB5035"/>
    <w:rsid w:val="1CBE5564"/>
    <w:rsid w:val="1CC0422B"/>
    <w:rsid w:val="1CC25AC1"/>
    <w:rsid w:val="1CC7132A"/>
    <w:rsid w:val="1CCA246C"/>
    <w:rsid w:val="1CCC703D"/>
    <w:rsid w:val="1CD63CAB"/>
    <w:rsid w:val="1CD840AA"/>
    <w:rsid w:val="1CDF0421"/>
    <w:rsid w:val="1CE20E79"/>
    <w:rsid w:val="1CE767B2"/>
    <w:rsid w:val="1CF10230"/>
    <w:rsid w:val="1CF245F9"/>
    <w:rsid w:val="1CF907FB"/>
    <w:rsid w:val="1CFA1714"/>
    <w:rsid w:val="1CFC7D16"/>
    <w:rsid w:val="1D040938"/>
    <w:rsid w:val="1D065F12"/>
    <w:rsid w:val="1D0C28B4"/>
    <w:rsid w:val="1D0D5860"/>
    <w:rsid w:val="1D0E580F"/>
    <w:rsid w:val="1D0F4A6C"/>
    <w:rsid w:val="1D1518E9"/>
    <w:rsid w:val="1D172975"/>
    <w:rsid w:val="1D201BEC"/>
    <w:rsid w:val="1D2A5313"/>
    <w:rsid w:val="1D405181"/>
    <w:rsid w:val="1D4E37F9"/>
    <w:rsid w:val="1D504FA4"/>
    <w:rsid w:val="1D5507B0"/>
    <w:rsid w:val="1D5C1E36"/>
    <w:rsid w:val="1D5E0613"/>
    <w:rsid w:val="1D692518"/>
    <w:rsid w:val="1D69418F"/>
    <w:rsid w:val="1D7C2114"/>
    <w:rsid w:val="1D817075"/>
    <w:rsid w:val="1D8448B6"/>
    <w:rsid w:val="1D846372"/>
    <w:rsid w:val="1D975171"/>
    <w:rsid w:val="1D9D356A"/>
    <w:rsid w:val="1D9E440E"/>
    <w:rsid w:val="1DA50519"/>
    <w:rsid w:val="1DAC3AA0"/>
    <w:rsid w:val="1DB37CFA"/>
    <w:rsid w:val="1DB409A2"/>
    <w:rsid w:val="1DB55626"/>
    <w:rsid w:val="1DBD5182"/>
    <w:rsid w:val="1DC82412"/>
    <w:rsid w:val="1DD51824"/>
    <w:rsid w:val="1DE1781B"/>
    <w:rsid w:val="1DEA0685"/>
    <w:rsid w:val="1DEC327A"/>
    <w:rsid w:val="1DEF076F"/>
    <w:rsid w:val="1DF92447"/>
    <w:rsid w:val="1E036FCE"/>
    <w:rsid w:val="1E0C2701"/>
    <w:rsid w:val="1E0E6AFA"/>
    <w:rsid w:val="1E0F7022"/>
    <w:rsid w:val="1E1C3098"/>
    <w:rsid w:val="1E1D398A"/>
    <w:rsid w:val="1E37321D"/>
    <w:rsid w:val="1E3A3838"/>
    <w:rsid w:val="1E3D2069"/>
    <w:rsid w:val="1E4104FD"/>
    <w:rsid w:val="1E4163FC"/>
    <w:rsid w:val="1E4241EF"/>
    <w:rsid w:val="1E4419FE"/>
    <w:rsid w:val="1E4E1A57"/>
    <w:rsid w:val="1E4E34C7"/>
    <w:rsid w:val="1E4E4A3D"/>
    <w:rsid w:val="1E581686"/>
    <w:rsid w:val="1E5B4AA6"/>
    <w:rsid w:val="1E6500BF"/>
    <w:rsid w:val="1E690A57"/>
    <w:rsid w:val="1E6E0489"/>
    <w:rsid w:val="1E6F7DA5"/>
    <w:rsid w:val="1E74426A"/>
    <w:rsid w:val="1E7B6870"/>
    <w:rsid w:val="1E82066D"/>
    <w:rsid w:val="1E850848"/>
    <w:rsid w:val="1E943E4C"/>
    <w:rsid w:val="1E9811D0"/>
    <w:rsid w:val="1E987366"/>
    <w:rsid w:val="1EB37DB8"/>
    <w:rsid w:val="1EB82435"/>
    <w:rsid w:val="1EBA2573"/>
    <w:rsid w:val="1EC25CD2"/>
    <w:rsid w:val="1ECA4FED"/>
    <w:rsid w:val="1ED36602"/>
    <w:rsid w:val="1ED3667D"/>
    <w:rsid w:val="1ED460BE"/>
    <w:rsid w:val="1ED918F0"/>
    <w:rsid w:val="1EDF6C2C"/>
    <w:rsid w:val="1EE06C8F"/>
    <w:rsid w:val="1EE962A6"/>
    <w:rsid w:val="1EEB5D4D"/>
    <w:rsid w:val="1EED6ACA"/>
    <w:rsid w:val="1EED77D2"/>
    <w:rsid w:val="1EF108E0"/>
    <w:rsid w:val="1EF24653"/>
    <w:rsid w:val="1EF24C05"/>
    <w:rsid w:val="1EF503D0"/>
    <w:rsid w:val="1EF97345"/>
    <w:rsid w:val="1EFA6C70"/>
    <w:rsid w:val="1F0C0694"/>
    <w:rsid w:val="1F147ED5"/>
    <w:rsid w:val="1F181798"/>
    <w:rsid w:val="1F1D0099"/>
    <w:rsid w:val="1F233E4E"/>
    <w:rsid w:val="1F247CB0"/>
    <w:rsid w:val="1F282554"/>
    <w:rsid w:val="1F2A6433"/>
    <w:rsid w:val="1F2C1918"/>
    <w:rsid w:val="1F3472CB"/>
    <w:rsid w:val="1F3B0C11"/>
    <w:rsid w:val="1F3F7B73"/>
    <w:rsid w:val="1F44301F"/>
    <w:rsid w:val="1F467EB2"/>
    <w:rsid w:val="1F4B15BC"/>
    <w:rsid w:val="1F4E188E"/>
    <w:rsid w:val="1F506314"/>
    <w:rsid w:val="1F5533D5"/>
    <w:rsid w:val="1F5B0028"/>
    <w:rsid w:val="1F604089"/>
    <w:rsid w:val="1F617814"/>
    <w:rsid w:val="1F7E3011"/>
    <w:rsid w:val="1F896D6A"/>
    <w:rsid w:val="1F903753"/>
    <w:rsid w:val="1F941997"/>
    <w:rsid w:val="1F9610B3"/>
    <w:rsid w:val="1F9772EB"/>
    <w:rsid w:val="1F984562"/>
    <w:rsid w:val="1F9B1D74"/>
    <w:rsid w:val="1F9C068B"/>
    <w:rsid w:val="1FA318D5"/>
    <w:rsid w:val="1FA7646C"/>
    <w:rsid w:val="1FB13D6B"/>
    <w:rsid w:val="1FB4120E"/>
    <w:rsid w:val="1FB47A2F"/>
    <w:rsid w:val="1FB7103A"/>
    <w:rsid w:val="1FBA2CF7"/>
    <w:rsid w:val="1FD2426D"/>
    <w:rsid w:val="1FD5261E"/>
    <w:rsid w:val="1FE52321"/>
    <w:rsid w:val="1FE70D17"/>
    <w:rsid w:val="1FF5147F"/>
    <w:rsid w:val="1FFB090F"/>
    <w:rsid w:val="20014E73"/>
    <w:rsid w:val="20036D5E"/>
    <w:rsid w:val="20075685"/>
    <w:rsid w:val="20076AE7"/>
    <w:rsid w:val="20197940"/>
    <w:rsid w:val="201D3A6E"/>
    <w:rsid w:val="201D77D9"/>
    <w:rsid w:val="202645B9"/>
    <w:rsid w:val="202C530B"/>
    <w:rsid w:val="20364268"/>
    <w:rsid w:val="20410870"/>
    <w:rsid w:val="204B16C3"/>
    <w:rsid w:val="204F4259"/>
    <w:rsid w:val="20677BEA"/>
    <w:rsid w:val="206C2809"/>
    <w:rsid w:val="206E7D70"/>
    <w:rsid w:val="206F43D6"/>
    <w:rsid w:val="20791826"/>
    <w:rsid w:val="207E424C"/>
    <w:rsid w:val="207F53D7"/>
    <w:rsid w:val="208828C6"/>
    <w:rsid w:val="208F1D00"/>
    <w:rsid w:val="20945EC6"/>
    <w:rsid w:val="209E6D19"/>
    <w:rsid w:val="20A929C8"/>
    <w:rsid w:val="20B36E9E"/>
    <w:rsid w:val="20B53B26"/>
    <w:rsid w:val="20B67DA5"/>
    <w:rsid w:val="20C841BD"/>
    <w:rsid w:val="20D03CA3"/>
    <w:rsid w:val="20D2281D"/>
    <w:rsid w:val="20D81D57"/>
    <w:rsid w:val="20D95B86"/>
    <w:rsid w:val="20EB0D84"/>
    <w:rsid w:val="20ED20DF"/>
    <w:rsid w:val="20ED6CE8"/>
    <w:rsid w:val="20F30FEF"/>
    <w:rsid w:val="20F84C24"/>
    <w:rsid w:val="20FE3FDE"/>
    <w:rsid w:val="2100222A"/>
    <w:rsid w:val="21083C57"/>
    <w:rsid w:val="21155C47"/>
    <w:rsid w:val="21192317"/>
    <w:rsid w:val="212D740B"/>
    <w:rsid w:val="212F52E3"/>
    <w:rsid w:val="21321A13"/>
    <w:rsid w:val="21345016"/>
    <w:rsid w:val="21390795"/>
    <w:rsid w:val="214404C9"/>
    <w:rsid w:val="2147236C"/>
    <w:rsid w:val="21490C41"/>
    <w:rsid w:val="214E496B"/>
    <w:rsid w:val="215C3726"/>
    <w:rsid w:val="215C78D1"/>
    <w:rsid w:val="21613AFB"/>
    <w:rsid w:val="21713073"/>
    <w:rsid w:val="21751CA6"/>
    <w:rsid w:val="217A3AD7"/>
    <w:rsid w:val="217B06A9"/>
    <w:rsid w:val="21813113"/>
    <w:rsid w:val="218615EC"/>
    <w:rsid w:val="21883C8D"/>
    <w:rsid w:val="218C2F9C"/>
    <w:rsid w:val="219A43F9"/>
    <w:rsid w:val="21A56AF5"/>
    <w:rsid w:val="21B86CA6"/>
    <w:rsid w:val="21BC3427"/>
    <w:rsid w:val="21BF1DD8"/>
    <w:rsid w:val="21CB71C6"/>
    <w:rsid w:val="21D07567"/>
    <w:rsid w:val="21D24FAA"/>
    <w:rsid w:val="21D4251F"/>
    <w:rsid w:val="21E13C58"/>
    <w:rsid w:val="21E5308A"/>
    <w:rsid w:val="21E761D0"/>
    <w:rsid w:val="220138FF"/>
    <w:rsid w:val="22020F9C"/>
    <w:rsid w:val="22033DA0"/>
    <w:rsid w:val="220F5C44"/>
    <w:rsid w:val="2210792E"/>
    <w:rsid w:val="221478FD"/>
    <w:rsid w:val="22153CEF"/>
    <w:rsid w:val="222B0537"/>
    <w:rsid w:val="22311C10"/>
    <w:rsid w:val="224A108D"/>
    <w:rsid w:val="224A76E8"/>
    <w:rsid w:val="224C3665"/>
    <w:rsid w:val="224E530E"/>
    <w:rsid w:val="22576CAC"/>
    <w:rsid w:val="22673393"/>
    <w:rsid w:val="226A69DF"/>
    <w:rsid w:val="226D1A73"/>
    <w:rsid w:val="227118C4"/>
    <w:rsid w:val="2274785E"/>
    <w:rsid w:val="227A2634"/>
    <w:rsid w:val="228D2F50"/>
    <w:rsid w:val="2294211F"/>
    <w:rsid w:val="229A7EDD"/>
    <w:rsid w:val="229C3196"/>
    <w:rsid w:val="22A0444E"/>
    <w:rsid w:val="22A04AF7"/>
    <w:rsid w:val="22AE0860"/>
    <w:rsid w:val="22BC0F4A"/>
    <w:rsid w:val="22C14C18"/>
    <w:rsid w:val="22C2698E"/>
    <w:rsid w:val="22C348E5"/>
    <w:rsid w:val="22C500B9"/>
    <w:rsid w:val="22CD43A7"/>
    <w:rsid w:val="22CF2FA9"/>
    <w:rsid w:val="22D32D50"/>
    <w:rsid w:val="22D410CC"/>
    <w:rsid w:val="22E267F9"/>
    <w:rsid w:val="22E448F2"/>
    <w:rsid w:val="22EB7249"/>
    <w:rsid w:val="22F2788A"/>
    <w:rsid w:val="22F9367A"/>
    <w:rsid w:val="230A382B"/>
    <w:rsid w:val="230D3B9D"/>
    <w:rsid w:val="230F3EE1"/>
    <w:rsid w:val="2312270F"/>
    <w:rsid w:val="23163498"/>
    <w:rsid w:val="231B7AAA"/>
    <w:rsid w:val="232240F6"/>
    <w:rsid w:val="23256DAA"/>
    <w:rsid w:val="23390503"/>
    <w:rsid w:val="233B27C1"/>
    <w:rsid w:val="23505039"/>
    <w:rsid w:val="23565610"/>
    <w:rsid w:val="235B7191"/>
    <w:rsid w:val="235D6544"/>
    <w:rsid w:val="235F406A"/>
    <w:rsid w:val="235F5429"/>
    <w:rsid w:val="23623B5A"/>
    <w:rsid w:val="23632BB8"/>
    <w:rsid w:val="23640FB0"/>
    <w:rsid w:val="23642049"/>
    <w:rsid w:val="2368268D"/>
    <w:rsid w:val="23687E83"/>
    <w:rsid w:val="2371139D"/>
    <w:rsid w:val="23797F46"/>
    <w:rsid w:val="238268C2"/>
    <w:rsid w:val="23836902"/>
    <w:rsid w:val="23872CE5"/>
    <w:rsid w:val="238C3EED"/>
    <w:rsid w:val="23932D62"/>
    <w:rsid w:val="23995E62"/>
    <w:rsid w:val="239C706C"/>
    <w:rsid w:val="239E5DAB"/>
    <w:rsid w:val="23A04AAE"/>
    <w:rsid w:val="23B52D71"/>
    <w:rsid w:val="23BA5744"/>
    <w:rsid w:val="23BF14A7"/>
    <w:rsid w:val="23C24044"/>
    <w:rsid w:val="23C34253"/>
    <w:rsid w:val="23CD3C1F"/>
    <w:rsid w:val="23D06E28"/>
    <w:rsid w:val="23D108F4"/>
    <w:rsid w:val="23D2373C"/>
    <w:rsid w:val="23D30F57"/>
    <w:rsid w:val="23D427EC"/>
    <w:rsid w:val="23D52455"/>
    <w:rsid w:val="23D5257E"/>
    <w:rsid w:val="23E30FB9"/>
    <w:rsid w:val="23E55BB7"/>
    <w:rsid w:val="23E86947"/>
    <w:rsid w:val="23EB0E0A"/>
    <w:rsid w:val="23F57925"/>
    <w:rsid w:val="23F93412"/>
    <w:rsid w:val="24003E36"/>
    <w:rsid w:val="24025F67"/>
    <w:rsid w:val="24026973"/>
    <w:rsid w:val="2403533D"/>
    <w:rsid w:val="24082FFD"/>
    <w:rsid w:val="241729C7"/>
    <w:rsid w:val="242C4A12"/>
    <w:rsid w:val="24320492"/>
    <w:rsid w:val="24360D1A"/>
    <w:rsid w:val="243E2796"/>
    <w:rsid w:val="243F33CD"/>
    <w:rsid w:val="24473F3B"/>
    <w:rsid w:val="244C160D"/>
    <w:rsid w:val="24540554"/>
    <w:rsid w:val="245A2573"/>
    <w:rsid w:val="245C6C30"/>
    <w:rsid w:val="24612064"/>
    <w:rsid w:val="24626C85"/>
    <w:rsid w:val="246365BB"/>
    <w:rsid w:val="24691C87"/>
    <w:rsid w:val="246B71DD"/>
    <w:rsid w:val="24804C37"/>
    <w:rsid w:val="248165DC"/>
    <w:rsid w:val="24965BCE"/>
    <w:rsid w:val="249B7D4B"/>
    <w:rsid w:val="249D0F40"/>
    <w:rsid w:val="249E49F2"/>
    <w:rsid w:val="24AE0576"/>
    <w:rsid w:val="24B842AD"/>
    <w:rsid w:val="24BD6B45"/>
    <w:rsid w:val="24BE1264"/>
    <w:rsid w:val="24CC50D0"/>
    <w:rsid w:val="24CD4D69"/>
    <w:rsid w:val="24D12D46"/>
    <w:rsid w:val="24DB4FFF"/>
    <w:rsid w:val="24DC011C"/>
    <w:rsid w:val="24E4168F"/>
    <w:rsid w:val="24EB5AB1"/>
    <w:rsid w:val="24EE491C"/>
    <w:rsid w:val="24F87B69"/>
    <w:rsid w:val="24FC4ED2"/>
    <w:rsid w:val="25023CB2"/>
    <w:rsid w:val="250A6D88"/>
    <w:rsid w:val="251A608E"/>
    <w:rsid w:val="251D24AE"/>
    <w:rsid w:val="251E54C0"/>
    <w:rsid w:val="252129F0"/>
    <w:rsid w:val="25223DB4"/>
    <w:rsid w:val="2524462C"/>
    <w:rsid w:val="25244912"/>
    <w:rsid w:val="252657F0"/>
    <w:rsid w:val="252C75B8"/>
    <w:rsid w:val="253359F2"/>
    <w:rsid w:val="25384E31"/>
    <w:rsid w:val="253F67E1"/>
    <w:rsid w:val="254B4B18"/>
    <w:rsid w:val="254C6617"/>
    <w:rsid w:val="254F010E"/>
    <w:rsid w:val="25514417"/>
    <w:rsid w:val="25567657"/>
    <w:rsid w:val="25622A5F"/>
    <w:rsid w:val="25696064"/>
    <w:rsid w:val="256A4E4D"/>
    <w:rsid w:val="2572244F"/>
    <w:rsid w:val="257738AF"/>
    <w:rsid w:val="25795963"/>
    <w:rsid w:val="257F4A05"/>
    <w:rsid w:val="25861D82"/>
    <w:rsid w:val="25867E59"/>
    <w:rsid w:val="259E3493"/>
    <w:rsid w:val="259E71CD"/>
    <w:rsid w:val="25A635D9"/>
    <w:rsid w:val="25A662D7"/>
    <w:rsid w:val="25A86E75"/>
    <w:rsid w:val="25AE2938"/>
    <w:rsid w:val="25B31D75"/>
    <w:rsid w:val="25B62DE4"/>
    <w:rsid w:val="25BB0385"/>
    <w:rsid w:val="25BC2871"/>
    <w:rsid w:val="25C6309C"/>
    <w:rsid w:val="25C71A6C"/>
    <w:rsid w:val="25C86D14"/>
    <w:rsid w:val="25CA0921"/>
    <w:rsid w:val="25CB0C18"/>
    <w:rsid w:val="25D13AEB"/>
    <w:rsid w:val="25D86561"/>
    <w:rsid w:val="25E2769B"/>
    <w:rsid w:val="25EB34F5"/>
    <w:rsid w:val="25FA2770"/>
    <w:rsid w:val="260439C2"/>
    <w:rsid w:val="260C465E"/>
    <w:rsid w:val="261075B8"/>
    <w:rsid w:val="261D13BC"/>
    <w:rsid w:val="261E020C"/>
    <w:rsid w:val="262B6CE7"/>
    <w:rsid w:val="2634467E"/>
    <w:rsid w:val="26355224"/>
    <w:rsid w:val="2636468D"/>
    <w:rsid w:val="263D6298"/>
    <w:rsid w:val="26455B3C"/>
    <w:rsid w:val="26481395"/>
    <w:rsid w:val="26491D5B"/>
    <w:rsid w:val="2650545E"/>
    <w:rsid w:val="26564D95"/>
    <w:rsid w:val="265956E8"/>
    <w:rsid w:val="26635755"/>
    <w:rsid w:val="26663282"/>
    <w:rsid w:val="266C407E"/>
    <w:rsid w:val="266D5DB7"/>
    <w:rsid w:val="266F1818"/>
    <w:rsid w:val="26751DF6"/>
    <w:rsid w:val="26776AED"/>
    <w:rsid w:val="26784417"/>
    <w:rsid w:val="26831E62"/>
    <w:rsid w:val="26873A39"/>
    <w:rsid w:val="26886FB3"/>
    <w:rsid w:val="268C4B6E"/>
    <w:rsid w:val="268F2EB8"/>
    <w:rsid w:val="268F769A"/>
    <w:rsid w:val="26907D50"/>
    <w:rsid w:val="26920BFA"/>
    <w:rsid w:val="269C2A2E"/>
    <w:rsid w:val="269F0E4A"/>
    <w:rsid w:val="26A96406"/>
    <w:rsid w:val="26AE3074"/>
    <w:rsid w:val="26B038E9"/>
    <w:rsid w:val="26C61FE4"/>
    <w:rsid w:val="26CA7121"/>
    <w:rsid w:val="26D44D6F"/>
    <w:rsid w:val="26D54139"/>
    <w:rsid w:val="26DE480D"/>
    <w:rsid w:val="26E42734"/>
    <w:rsid w:val="26E44D57"/>
    <w:rsid w:val="26E524AA"/>
    <w:rsid w:val="26EE1993"/>
    <w:rsid w:val="26EE3EA9"/>
    <w:rsid w:val="26F471BF"/>
    <w:rsid w:val="27020328"/>
    <w:rsid w:val="27042DFE"/>
    <w:rsid w:val="27076EF2"/>
    <w:rsid w:val="270D2469"/>
    <w:rsid w:val="271250F7"/>
    <w:rsid w:val="271725DF"/>
    <w:rsid w:val="271B7370"/>
    <w:rsid w:val="271C25AF"/>
    <w:rsid w:val="271D191F"/>
    <w:rsid w:val="272969A2"/>
    <w:rsid w:val="272A498F"/>
    <w:rsid w:val="27316337"/>
    <w:rsid w:val="274041B2"/>
    <w:rsid w:val="27494C9F"/>
    <w:rsid w:val="274F2647"/>
    <w:rsid w:val="2756711B"/>
    <w:rsid w:val="27571033"/>
    <w:rsid w:val="275C3ED9"/>
    <w:rsid w:val="275D10E9"/>
    <w:rsid w:val="27602319"/>
    <w:rsid w:val="2762237B"/>
    <w:rsid w:val="27627383"/>
    <w:rsid w:val="27637EA1"/>
    <w:rsid w:val="276655F9"/>
    <w:rsid w:val="2774770C"/>
    <w:rsid w:val="277664C2"/>
    <w:rsid w:val="277B51EB"/>
    <w:rsid w:val="277E6196"/>
    <w:rsid w:val="27902370"/>
    <w:rsid w:val="279132F5"/>
    <w:rsid w:val="279273E5"/>
    <w:rsid w:val="279957D8"/>
    <w:rsid w:val="279A5F86"/>
    <w:rsid w:val="279D7857"/>
    <w:rsid w:val="27A512B4"/>
    <w:rsid w:val="27AC3F4C"/>
    <w:rsid w:val="27AD77B8"/>
    <w:rsid w:val="27B11BCE"/>
    <w:rsid w:val="27B22C99"/>
    <w:rsid w:val="27B37CFF"/>
    <w:rsid w:val="27BA73EE"/>
    <w:rsid w:val="27C83884"/>
    <w:rsid w:val="27D26D6E"/>
    <w:rsid w:val="27D75754"/>
    <w:rsid w:val="27DD44BD"/>
    <w:rsid w:val="27DE44F3"/>
    <w:rsid w:val="27E00E49"/>
    <w:rsid w:val="27E025E3"/>
    <w:rsid w:val="27E31C81"/>
    <w:rsid w:val="27E43769"/>
    <w:rsid w:val="27E87EB2"/>
    <w:rsid w:val="27EC36FB"/>
    <w:rsid w:val="27F843F9"/>
    <w:rsid w:val="27FC037A"/>
    <w:rsid w:val="27FC77A0"/>
    <w:rsid w:val="280011EB"/>
    <w:rsid w:val="28060F58"/>
    <w:rsid w:val="28077C52"/>
    <w:rsid w:val="280A77E0"/>
    <w:rsid w:val="28165B2E"/>
    <w:rsid w:val="281E15DD"/>
    <w:rsid w:val="28245882"/>
    <w:rsid w:val="28273885"/>
    <w:rsid w:val="2832361F"/>
    <w:rsid w:val="283D65AE"/>
    <w:rsid w:val="2847022F"/>
    <w:rsid w:val="284C53A3"/>
    <w:rsid w:val="284D6B87"/>
    <w:rsid w:val="28537D18"/>
    <w:rsid w:val="285904B0"/>
    <w:rsid w:val="28633F56"/>
    <w:rsid w:val="286C5825"/>
    <w:rsid w:val="287573C2"/>
    <w:rsid w:val="28800D94"/>
    <w:rsid w:val="2884790D"/>
    <w:rsid w:val="288904C9"/>
    <w:rsid w:val="28974527"/>
    <w:rsid w:val="289B7222"/>
    <w:rsid w:val="28A048D2"/>
    <w:rsid w:val="28A33108"/>
    <w:rsid w:val="28A42A77"/>
    <w:rsid w:val="28A51801"/>
    <w:rsid w:val="28AA34FB"/>
    <w:rsid w:val="28B9156D"/>
    <w:rsid w:val="28BA5168"/>
    <w:rsid w:val="28BB4BB3"/>
    <w:rsid w:val="28C6693F"/>
    <w:rsid w:val="28C72AD9"/>
    <w:rsid w:val="28C85178"/>
    <w:rsid w:val="28DC6197"/>
    <w:rsid w:val="28EC45F2"/>
    <w:rsid w:val="28F20CD2"/>
    <w:rsid w:val="28F32944"/>
    <w:rsid w:val="28F96D0F"/>
    <w:rsid w:val="28FD64D7"/>
    <w:rsid w:val="290D35E1"/>
    <w:rsid w:val="29121205"/>
    <w:rsid w:val="29153DEE"/>
    <w:rsid w:val="292909F1"/>
    <w:rsid w:val="293107D2"/>
    <w:rsid w:val="29423EF2"/>
    <w:rsid w:val="29464ACE"/>
    <w:rsid w:val="294D390C"/>
    <w:rsid w:val="29512576"/>
    <w:rsid w:val="29587DFA"/>
    <w:rsid w:val="29592BB1"/>
    <w:rsid w:val="295E36CF"/>
    <w:rsid w:val="29606D8E"/>
    <w:rsid w:val="296177A4"/>
    <w:rsid w:val="2965703F"/>
    <w:rsid w:val="296A3063"/>
    <w:rsid w:val="296E3DDF"/>
    <w:rsid w:val="29703302"/>
    <w:rsid w:val="297154B3"/>
    <w:rsid w:val="2973267B"/>
    <w:rsid w:val="297A56A8"/>
    <w:rsid w:val="298C5D80"/>
    <w:rsid w:val="2990451B"/>
    <w:rsid w:val="29982084"/>
    <w:rsid w:val="29A205DE"/>
    <w:rsid w:val="29AA5B4C"/>
    <w:rsid w:val="29AE6870"/>
    <w:rsid w:val="29B26810"/>
    <w:rsid w:val="29BA5809"/>
    <w:rsid w:val="29C64E2E"/>
    <w:rsid w:val="29D1351A"/>
    <w:rsid w:val="29D22306"/>
    <w:rsid w:val="29D23DD9"/>
    <w:rsid w:val="29D73B83"/>
    <w:rsid w:val="29E4176D"/>
    <w:rsid w:val="29E4351B"/>
    <w:rsid w:val="29EA7835"/>
    <w:rsid w:val="29EE6E5C"/>
    <w:rsid w:val="29F642BA"/>
    <w:rsid w:val="29F925DD"/>
    <w:rsid w:val="29F950BF"/>
    <w:rsid w:val="29FF2DE0"/>
    <w:rsid w:val="2A025CA4"/>
    <w:rsid w:val="2A120A71"/>
    <w:rsid w:val="2A131E21"/>
    <w:rsid w:val="2A17684F"/>
    <w:rsid w:val="2A192D9F"/>
    <w:rsid w:val="2A1A0CA3"/>
    <w:rsid w:val="2A1E360D"/>
    <w:rsid w:val="2A1F7557"/>
    <w:rsid w:val="2A272C3F"/>
    <w:rsid w:val="2A2B26B5"/>
    <w:rsid w:val="2A3215FA"/>
    <w:rsid w:val="2A3D1040"/>
    <w:rsid w:val="2A3D200C"/>
    <w:rsid w:val="2A407BE7"/>
    <w:rsid w:val="2A462E4E"/>
    <w:rsid w:val="2A4717DC"/>
    <w:rsid w:val="2A510FFD"/>
    <w:rsid w:val="2A586F2B"/>
    <w:rsid w:val="2A5B1EFD"/>
    <w:rsid w:val="2A6A463C"/>
    <w:rsid w:val="2A6B4CF3"/>
    <w:rsid w:val="2A7409D2"/>
    <w:rsid w:val="2A742098"/>
    <w:rsid w:val="2A7A5C2D"/>
    <w:rsid w:val="2A7C1AE7"/>
    <w:rsid w:val="2A7E571E"/>
    <w:rsid w:val="2A7F4D44"/>
    <w:rsid w:val="2A7F65E1"/>
    <w:rsid w:val="2A83282A"/>
    <w:rsid w:val="2A8A6BFC"/>
    <w:rsid w:val="2A8B7A34"/>
    <w:rsid w:val="2A94182E"/>
    <w:rsid w:val="2A967FBC"/>
    <w:rsid w:val="2A996835"/>
    <w:rsid w:val="2A9A007E"/>
    <w:rsid w:val="2A9C0585"/>
    <w:rsid w:val="2A9C2048"/>
    <w:rsid w:val="2A9C66BF"/>
    <w:rsid w:val="2A9C76F4"/>
    <w:rsid w:val="2AA44E48"/>
    <w:rsid w:val="2AA5589B"/>
    <w:rsid w:val="2AA6682D"/>
    <w:rsid w:val="2ABE1A74"/>
    <w:rsid w:val="2AC22ABA"/>
    <w:rsid w:val="2AD20567"/>
    <w:rsid w:val="2AD40439"/>
    <w:rsid w:val="2AD405B4"/>
    <w:rsid w:val="2AD636E3"/>
    <w:rsid w:val="2AD90BA6"/>
    <w:rsid w:val="2AD9215F"/>
    <w:rsid w:val="2ADE501D"/>
    <w:rsid w:val="2AE046A9"/>
    <w:rsid w:val="2AE416EB"/>
    <w:rsid w:val="2AE5634E"/>
    <w:rsid w:val="2AEE3472"/>
    <w:rsid w:val="2AF03F94"/>
    <w:rsid w:val="2AF07D24"/>
    <w:rsid w:val="2AF1578A"/>
    <w:rsid w:val="2AF54800"/>
    <w:rsid w:val="2AF86B63"/>
    <w:rsid w:val="2B05199B"/>
    <w:rsid w:val="2B0F7255"/>
    <w:rsid w:val="2B124AAA"/>
    <w:rsid w:val="2B165956"/>
    <w:rsid w:val="2B1779D9"/>
    <w:rsid w:val="2B217AF7"/>
    <w:rsid w:val="2B237F61"/>
    <w:rsid w:val="2B256729"/>
    <w:rsid w:val="2B2C7381"/>
    <w:rsid w:val="2B2F07C6"/>
    <w:rsid w:val="2B356B66"/>
    <w:rsid w:val="2B402067"/>
    <w:rsid w:val="2B4324C3"/>
    <w:rsid w:val="2B4749DA"/>
    <w:rsid w:val="2B484C12"/>
    <w:rsid w:val="2B485E04"/>
    <w:rsid w:val="2B4A732D"/>
    <w:rsid w:val="2B604AAA"/>
    <w:rsid w:val="2B614186"/>
    <w:rsid w:val="2B6233E8"/>
    <w:rsid w:val="2B7645A4"/>
    <w:rsid w:val="2B78024E"/>
    <w:rsid w:val="2B7E0B9B"/>
    <w:rsid w:val="2B7E49E9"/>
    <w:rsid w:val="2B80401C"/>
    <w:rsid w:val="2B823A00"/>
    <w:rsid w:val="2B836D64"/>
    <w:rsid w:val="2B920D55"/>
    <w:rsid w:val="2B9569B0"/>
    <w:rsid w:val="2B9C6A40"/>
    <w:rsid w:val="2B9D0D74"/>
    <w:rsid w:val="2BA2070E"/>
    <w:rsid w:val="2BAA5FAA"/>
    <w:rsid w:val="2BB86AF1"/>
    <w:rsid w:val="2BBD1B76"/>
    <w:rsid w:val="2BC0427F"/>
    <w:rsid w:val="2BC94187"/>
    <w:rsid w:val="2BCD636C"/>
    <w:rsid w:val="2BD01B21"/>
    <w:rsid w:val="2BDA1365"/>
    <w:rsid w:val="2BDC196B"/>
    <w:rsid w:val="2BE934F0"/>
    <w:rsid w:val="2BE95597"/>
    <w:rsid w:val="2BF64BE6"/>
    <w:rsid w:val="2BFB7E49"/>
    <w:rsid w:val="2C011E18"/>
    <w:rsid w:val="2C030F60"/>
    <w:rsid w:val="2C0559CB"/>
    <w:rsid w:val="2C082A04"/>
    <w:rsid w:val="2C0B3D13"/>
    <w:rsid w:val="2C1048F5"/>
    <w:rsid w:val="2C1051E7"/>
    <w:rsid w:val="2C162F47"/>
    <w:rsid w:val="2C1B2283"/>
    <w:rsid w:val="2C1E7C3A"/>
    <w:rsid w:val="2C24291A"/>
    <w:rsid w:val="2C3144A1"/>
    <w:rsid w:val="2C324A12"/>
    <w:rsid w:val="2C336E27"/>
    <w:rsid w:val="2C3C1309"/>
    <w:rsid w:val="2C42026C"/>
    <w:rsid w:val="2C464EB8"/>
    <w:rsid w:val="2C49519C"/>
    <w:rsid w:val="2C4E6294"/>
    <w:rsid w:val="2C55584A"/>
    <w:rsid w:val="2C5A286A"/>
    <w:rsid w:val="2C5B065F"/>
    <w:rsid w:val="2C5C6C9B"/>
    <w:rsid w:val="2C610FF5"/>
    <w:rsid w:val="2C633786"/>
    <w:rsid w:val="2C654010"/>
    <w:rsid w:val="2C691C5B"/>
    <w:rsid w:val="2C6E3EE3"/>
    <w:rsid w:val="2C740550"/>
    <w:rsid w:val="2C742CBC"/>
    <w:rsid w:val="2C743F88"/>
    <w:rsid w:val="2C7953B4"/>
    <w:rsid w:val="2C8433C2"/>
    <w:rsid w:val="2C8525C3"/>
    <w:rsid w:val="2C8B7151"/>
    <w:rsid w:val="2C970CA7"/>
    <w:rsid w:val="2CA27F24"/>
    <w:rsid w:val="2CA37CE8"/>
    <w:rsid w:val="2CA60F5C"/>
    <w:rsid w:val="2CA6175D"/>
    <w:rsid w:val="2CA707FF"/>
    <w:rsid w:val="2CAD2974"/>
    <w:rsid w:val="2CB15D8C"/>
    <w:rsid w:val="2CB66439"/>
    <w:rsid w:val="2CBE5BEF"/>
    <w:rsid w:val="2CC03517"/>
    <w:rsid w:val="2CC04B44"/>
    <w:rsid w:val="2CCC3A8A"/>
    <w:rsid w:val="2CD25FF6"/>
    <w:rsid w:val="2CD6501A"/>
    <w:rsid w:val="2CDD35CF"/>
    <w:rsid w:val="2CE8284E"/>
    <w:rsid w:val="2CEA2372"/>
    <w:rsid w:val="2CEB4EE3"/>
    <w:rsid w:val="2CF85B39"/>
    <w:rsid w:val="2D1234FB"/>
    <w:rsid w:val="2D184CBE"/>
    <w:rsid w:val="2D225E32"/>
    <w:rsid w:val="2D2816D8"/>
    <w:rsid w:val="2D2A5CD1"/>
    <w:rsid w:val="2D3270DB"/>
    <w:rsid w:val="2D40787B"/>
    <w:rsid w:val="2D412E63"/>
    <w:rsid w:val="2D4459A4"/>
    <w:rsid w:val="2D4B565F"/>
    <w:rsid w:val="2D5219DB"/>
    <w:rsid w:val="2D5D3C66"/>
    <w:rsid w:val="2D656C20"/>
    <w:rsid w:val="2D6575EC"/>
    <w:rsid w:val="2D6729DE"/>
    <w:rsid w:val="2D683517"/>
    <w:rsid w:val="2D6B5FF8"/>
    <w:rsid w:val="2D6E6F84"/>
    <w:rsid w:val="2D7153BC"/>
    <w:rsid w:val="2D784BC8"/>
    <w:rsid w:val="2D7B1EBA"/>
    <w:rsid w:val="2D7C6E5F"/>
    <w:rsid w:val="2D811081"/>
    <w:rsid w:val="2D836D4A"/>
    <w:rsid w:val="2D874F46"/>
    <w:rsid w:val="2DA21756"/>
    <w:rsid w:val="2DAA3BFC"/>
    <w:rsid w:val="2DAA6907"/>
    <w:rsid w:val="2DB23579"/>
    <w:rsid w:val="2DB63D6A"/>
    <w:rsid w:val="2DBA37FA"/>
    <w:rsid w:val="2DD33A33"/>
    <w:rsid w:val="2DD5339A"/>
    <w:rsid w:val="2DD862A4"/>
    <w:rsid w:val="2DD970F1"/>
    <w:rsid w:val="2DDC3D01"/>
    <w:rsid w:val="2DE079CF"/>
    <w:rsid w:val="2DE2461C"/>
    <w:rsid w:val="2DE2701D"/>
    <w:rsid w:val="2DE34026"/>
    <w:rsid w:val="2DEB1013"/>
    <w:rsid w:val="2DED7DFA"/>
    <w:rsid w:val="2DF939FD"/>
    <w:rsid w:val="2E010F22"/>
    <w:rsid w:val="2E014A7A"/>
    <w:rsid w:val="2E0223DD"/>
    <w:rsid w:val="2E0507F6"/>
    <w:rsid w:val="2E0A760D"/>
    <w:rsid w:val="2E0D76F4"/>
    <w:rsid w:val="2E100C8E"/>
    <w:rsid w:val="2E1906FE"/>
    <w:rsid w:val="2E3D27AA"/>
    <w:rsid w:val="2E424CB4"/>
    <w:rsid w:val="2E430E39"/>
    <w:rsid w:val="2E432091"/>
    <w:rsid w:val="2E4421D0"/>
    <w:rsid w:val="2E48750F"/>
    <w:rsid w:val="2E4B5A0E"/>
    <w:rsid w:val="2E4E2BC8"/>
    <w:rsid w:val="2E534CCE"/>
    <w:rsid w:val="2E5C008E"/>
    <w:rsid w:val="2E5E5D0F"/>
    <w:rsid w:val="2E6764C9"/>
    <w:rsid w:val="2E744FE7"/>
    <w:rsid w:val="2E7507E7"/>
    <w:rsid w:val="2E7F46DA"/>
    <w:rsid w:val="2E80440C"/>
    <w:rsid w:val="2E813902"/>
    <w:rsid w:val="2E861E29"/>
    <w:rsid w:val="2E872E3D"/>
    <w:rsid w:val="2E8A60B9"/>
    <w:rsid w:val="2E8F38D6"/>
    <w:rsid w:val="2E903C71"/>
    <w:rsid w:val="2E91428C"/>
    <w:rsid w:val="2E9345AB"/>
    <w:rsid w:val="2E9921C7"/>
    <w:rsid w:val="2E996742"/>
    <w:rsid w:val="2EA11458"/>
    <w:rsid w:val="2EA40F80"/>
    <w:rsid w:val="2EAE1185"/>
    <w:rsid w:val="2EB37960"/>
    <w:rsid w:val="2EB406CC"/>
    <w:rsid w:val="2EB51BB6"/>
    <w:rsid w:val="2EB536D8"/>
    <w:rsid w:val="2EBB67BE"/>
    <w:rsid w:val="2EC50D4B"/>
    <w:rsid w:val="2ECA47F8"/>
    <w:rsid w:val="2ECC3048"/>
    <w:rsid w:val="2ED973BA"/>
    <w:rsid w:val="2EDA3E8E"/>
    <w:rsid w:val="2EDA55A5"/>
    <w:rsid w:val="2EDD39F3"/>
    <w:rsid w:val="2EDF2503"/>
    <w:rsid w:val="2EE40C4C"/>
    <w:rsid w:val="2EE63891"/>
    <w:rsid w:val="2EF56EE3"/>
    <w:rsid w:val="2EFA4801"/>
    <w:rsid w:val="2F01313C"/>
    <w:rsid w:val="2F03725B"/>
    <w:rsid w:val="2F042284"/>
    <w:rsid w:val="2F05640D"/>
    <w:rsid w:val="2F066438"/>
    <w:rsid w:val="2F09154A"/>
    <w:rsid w:val="2F0A3A24"/>
    <w:rsid w:val="2F0F2DE8"/>
    <w:rsid w:val="2F103761"/>
    <w:rsid w:val="2F15304A"/>
    <w:rsid w:val="2F251F8C"/>
    <w:rsid w:val="2F2D5882"/>
    <w:rsid w:val="2F320664"/>
    <w:rsid w:val="2F344610"/>
    <w:rsid w:val="2F3762E5"/>
    <w:rsid w:val="2F395B2B"/>
    <w:rsid w:val="2F3D3B9C"/>
    <w:rsid w:val="2F405C8F"/>
    <w:rsid w:val="2F4525F6"/>
    <w:rsid w:val="2F4A02C4"/>
    <w:rsid w:val="2F4B5DEA"/>
    <w:rsid w:val="2F4D1B62"/>
    <w:rsid w:val="2F5644FF"/>
    <w:rsid w:val="2F566BAD"/>
    <w:rsid w:val="2F6173BC"/>
    <w:rsid w:val="2F924CF6"/>
    <w:rsid w:val="2F9C312F"/>
    <w:rsid w:val="2F9C6B51"/>
    <w:rsid w:val="2FA14E9F"/>
    <w:rsid w:val="2FA855E5"/>
    <w:rsid w:val="2FAA2B11"/>
    <w:rsid w:val="2FAC6889"/>
    <w:rsid w:val="2FB27C17"/>
    <w:rsid w:val="2FC34275"/>
    <w:rsid w:val="2FD47B8E"/>
    <w:rsid w:val="2FDB3AD2"/>
    <w:rsid w:val="2FDC2BFB"/>
    <w:rsid w:val="2FDD3AA9"/>
    <w:rsid w:val="2FDE3265"/>
    <w:rsid w:val="2FE35078"/>
    <w:rsid w:val="2FE51D9B"/>
    <w:rsid w:val="2FE83639"/>
    <w:rsid w:val="2FEF2C1A"/>
    <w:rsid w:val="2FF16CEE"/>
    <w:rsid w:val="2FF93D83"/>
    <w:rsid w:val="2FFA2F0A"/>
    <w:rsid w:val="3018672B"/>
    <w:rsid w:val="301B428D"/>
    <w:rsid w:val="301D1CA0"/>
    <w:rsid w:val="301F34FF"/>
    <w:rsid w:val="3025153A"/>
    <w:rsid w:val="302C3041"/>
    <w:rsid w:val="30344AD4"/>
    <w:rsid w:val="3038167C"/>
    <w:rsid w:val="303C2806"/>
    <w:rsid w:val="30402A75"/>
    <w:rsid w:val="3045414B"/>
    <w:rsid w:val="30467B28"/>
    <w:rsid w:val="30481219"/>
    <w:rsid w:val="30593A52"/>
    <w:rsid w:val="305940FD"/>
    <w:rsid w:val="305B205D"/>
    <w:rsid w:val="305C3CC8"/>
    <w:rsid w:val="305C5377"/>
    <w:rsid w:val="306B7AE0"/>
    <w:rsid w:val="3071032F"/>
    <w:rsid w:val="30711C90"/>
    <w:rsid w:val="307556CD"/>
    <w:rsid w:val="307B5C11"/>
    <w:rsid w:val="30884C0A"/>
    <w:rsid w:val="308B2942"/>
    <w:rsid w:val="30901D07"/>
    <w:rsid w:val="30957205"/>
    <w:rsid w:val="309616A4"/>
    <w:rsid w:val="30972B8C"/>
    <w:rsid w:val="30981DAD"/>
    <w:rsid w:val="309C445C"/>
    <w:rsid w:val="30A05CC2"/>
    <w:rsid w:val="30BD2FFD"/>
    <w:rsid w:val="30C76E46"/>
    <w:rsid w:val="30C97165"/>
    <w:rsid w:val="30D36097"/>
    <w:rsid w:val="30E51454"/>
    <w:rsid w:val="30E608E3"/>
    <w:rsid w:val="30EB518F"/>
    <w:rsid w:val="30F77FF5"/>
    <w:rsid w:val="30FC114A"/>
    <w:rsid w:val="30FE3126"/>
    <w:rsid w:val="3101110A"/>
    <w:rsid w:val="31081F14"/>
    <w:rsid w:val="310A5754"/>
    <w:rsid w:val="3110617B"/>
    <w:rsid w:val="311606E0"/>
    <w:rsid w:val="3116221C"/>
    <w:rsid w:val="311A1F18"/>
    <w:rsid w:val="312A0FB5"/>
    <w:rsid w:val="31435E7E"/>
    <w:rsid w:val="31454093"/>
    <w:rsid w:val="314F3F2F"/>
    <w:rsid w:val="31516EE6"/>
    <w:rsid w:val="31540BBC"/>
    <w:rsid w:val="315E1885"/>
    <w:rsid w:val="315E509F"/>
    <w:rsid w:val="31600CAE"/>
    <w:rsid w:val="316767CD"/>
    <w:rsid w:val="316F553D"/>
    <w:rsid w:val="317258B0"/>
    <w:rsid w:val="317C6EC4"/>
    <w:rsid w:val="317E0F6C"/>
    <w:rsid w:val="318329F8"/>
    <w:rsid w:val="318C0616"/>
    <w:rsid w:val="319606F5"/>
    <w:rsid w:val="319A6138"/>
    <w:rsid w:val="319B669A"/>
    <w:rsid w:val="319C5DFB"/>
    <w:rsid w:val="319D7433"/>
    <w:rsid w:val="31A57A34"/>
    <w:rsid w:val="31A81FEB"/>
    <w:rsid w:val="31AC549E"/>
    <w:rsid w:val="31B06BB2"/>
    <w:rsid w:val="31B457D3"/>
    <w:rsid w:val="31B804D9"/>
    <w:rsid w:val="31BD0FCB"/>
    <w:rsid w:val="31BD4DF8"/>
    <w:rsid w:val="31C12178"/>
    <w:rsid w:val="31C40A54"/>
    <w:rsid w:val="31CA592E"/>
    <w:rsid w:val="31D2079F"/>
    <w:rsid w:val="31E22F4B"/>
    <w:rsid w:val="31E51A73"/>
    <w:rsid w:val="31E6099A"/>
    <w:rsid w:val="31E92DD9"/>
    <w:rsid w:val="31EC0661"/>
    <w:rsid w:val="31EE13DB"/>
    <w:rsid w:val="31F434B3"/>
    <w:rsid w:val="31F6180D"/>
    <w:rsid w:val="31FA3E15"/>
    <w:rsid w:val="3204754B"/>
    <w:rsid w:val="320A693D"/>
    <w:rsid w:val="320F5741"/>
    <w:rsid w:val="32130E41"/>
    <w:rsid w:val="3213790C"/>
    <w:rsid w:val="32171DEB"/>
    <w:rsid w:val="32230DD1"/>
    <w:rsid w:val="32261397"/>
    <w:rsid w:val="322B47E8"/>
    <w:rsid w:val="322D5174"/>
    <w:rsid w:val="32323931"/>
    <w:rsid w:val="32356386"/>
    <w:rsid w:val="32356C79"/>
    <w:rsid w:val="323C4918"/>
    <w:rsid w:val="323D419D"/>
    <w:rsid w:val="32531849"/>
    <w:rsid w:val="32671C48"/>
    <w:rsid w:val="32696CB3"/>
    <w:rsid w:val="326A20D3"/>
    <w:rsid w:val="32701994"/>
    <w:rsid w:val="32781D39"/>
    <w:rsid w:val="327A531D"/>
    <w:rsid w:val="327F7A63"/>
    <w:rsid w:val="32806122"/>
    <w:rsid w:val="328B290A"/>
    <w:rsid w:val="32901F1E"/>
    <w:rsid w:val="329D695D"/>
    <w:rsid w:val="32A13F64"/>
    <w:rsid w:val="32A1746F"/>
    <w:rsid w:val="32A44700"/>
    <w:rsid w:val="32A74F77"/>
    <w:rsid w:val="32AF7663"/>
    <w:rsid w:val="32B0079C"/>
    <w:rsid w:val="32B80FE0"/>
    <w:rsid w:val="32BC6F66"/>
    <w:rsid w:val="32C616AF"/>
    <w:rsid w:val="32C7758B"/>
    <w:rsid w:val="32CD20E1"/>
    <w:rsid w:val="32D51B95"/>
    <w:rsid w:val="32DC6C3D"/>
    <w:rsid w:val="32E620B2"/>
    <w:rsid w:val="32EF4CA4"/>
    <w:rsid w:val="32F07AD3"/>
    <w:rsid w:val="32FF4E68"/>
    <w:rsid w:val="33012173"/>
    <w:rsid w:val="3307027A"/>
    <w:rsid w:val="330D3AE3"/>
    <w:rsid w:val="33121D46"/>
    <w:rsid w:val="33170AD4"/>
    <w:rsid w:val="331C7249"/>
    <w:rsid w:val="331E6519"/>
    <w:rsid w:val="331F1BF8"/>
    <w:rsid w:val="3326503C"/>
    <w:rsid w:val="332762C3"/>
    <w:rsid w:val="332A16B7"/>
    <w:rsid w:val="332A7EC8"/>
    <w:rsid w:val="33386758"/>
    <w:rsid w:val="3344502A"/>
    <w:rsid w:val="33475FD1"/>
    <w:rsid w:val="334E278D"/>
    <w:rsid w:val="33501410"/>
    <w:rsid w:val="3361459B"/>
    <w:rsid w:val="33703E0D"/>
    <w:rsid w:val="3370774E"/>
    <w:rsid w:val="337656C6"/>
    <w:rsid w:val="33780EA1"/>
    <w:rsid w:val="33861CFA"/>
    <w:rsid w:val="338874CA"/>
    <w:rsid w:val="338B4A07"/>
    <w:rsid w:val="339047DC"/>
    <w:rsid w:val="33905E8E"/>
    <w:rsid w:val="339174E4"/>
    <w:rsid w:val="33922BA4"/>
    <w:rsid w:val="3395257E"/>
    <w:rsid w:val="33962013"/>
    <w:rsid w:val="33977CCF"/>
    <w:rsid w:val="339877B9"/>
    <w:rsid w:val="339C09C3"/>
    <w:rsid w:val="339C1778"/>
    <w:rsid w:val="339D721B"/>
    <w:rsid w:val="339F0C19"/>
    <w:rsid w:val="33A53D1B"/>
    <w:rsid w:val="33BB3369"/>
    <w:rsid w:val="33BD487F"/>
    <w:rsid w:val="33BE22DC"/>
    <w:rsid w:val="33BE5883"/>
    <w:rsid w:val="33BF5551"/>
    <w:rsid w:val="33C1244A"/>
    <w:rsid w:val="33CC22D4"/>
    <w:rsid w:val="33CC6C3A"/>
    <w:rsid w:val="33D564A5"/>
    <w:rsid w:val="33DF67D8"/>
    <w:rsid w:val="33E12879"/>
    <w:rsid w:val="33EC331A"/>
    <w:rsid w:val="33EC6FB6"/>
    <w:rsid w:val="33EE5A64"/>
    <w:rsid w:val="33F9172C"/>
    <w:rsid w:val="33FB5FA1"/>
    <w:rsid w:val="340A74A4"/>
    <w:rsid w:val="340D6A5E"/>
    <w:rsid w:val="341F6D5D"/>
    <w:rsid w:val="342B004A"/>
    <w:rsid w:val="34320F6A"/>
    <w:rsid w:val="34347437"/>
    <w:rsid w:val="343A2C67"/>
    <w:rsid w:val="345901E2"/>
    <w:rsid w:val="345B0C87"/>
    <w:rsid w:val="345B612A"/>
    <w:rsid w:val="34610E0E"/>
    <w:rsid w:val="346D4150"/>
    <w:rsid w:val="34727975"/>
    <w:rsid w:val="34776B38"/>
    <w:rsid w:val="347A51A8"/>
    <w:rsid w:val="347D0F19"/>
    <w:rsid w:val="347E30FA"/>
    <w:rsid w:val="348A53AC"/>
    <w:rsid w:val="348A615B"/>
    <w:rsid w:val="348D5440"/>
    <w:rsid w:val="34960CBE"/>
    <w:rsid w:val="34994DEC"/>
    <w:rsid w:val="34996154"/>
    <w:rsid w:val="349A69EF"/>
    <w:rsid w:val="34AA4679"/>
    <w:rsid w:val="34AE1165"/>
    <w:rsid w:val="34C3798A"/>
    <w:rsid w:val="34C41DDC"/>
    <w:rsid w:val="34C52EA2"/>
    <w:rsid w:val="34C60D9C"/>
    <w:rsid w:val="34C62353"/>
    <w:rsid w:val="34DB32BB"/>
    <w:rsid w:val="34F35D01"/>
    <w:rsid w:val="35002A15"/>
    <w:rsid w:val="35026F4B"/>
    <w:rsid w:val="35063CCC"/>
    <w:rsid w:val="35102070"/>
    <w:rsid w:val="351137B9"/>
    <w:rsid w:val="35124A0D"/>
    <w:rsid w:val="351B2D65"/>
    <w:rsid w:val="351B43C7"/>
    <w:rsid w:val="35220BE4"/>
    <w:rsid w:val="353F24BB"/>
    <w:rsid w:val="354658AF"/>
    <w:rsid w:val="35497AB7"/>
    <w:rsid w:val="355A0B35"/>
    <w:rsid w:val="355D6155"/>
    <w:rsid w:val="355F0732"/>
    <w:rsid w:val="3566572C"/>
    <w:rsid w:val="356C3F81"/>
    <w:rsid w:val="356D3631"/>
    <w:rsid w:val="356E1072"/>
    <w:rsid w:val="356F6271"/>
    <w:rsid w:val="35703816"/>
    <w:rsid w:val="35764F4A"/>
    <w:rsid w:val="357D172C"/>
    <w:rsid w:val="35812D9B"/>
    <w:rsid w:val="358304AB"/>
    <w:rsid w:val="358B781C"/>
    <w:rsid w:val="359F29EC"/>
    <w:rsid w:val="359F7869"/>
    <w:rsid w:val="35A160DC"/>
    <w:rsid w:val="35A20420"/>
    <w:rsid w:val="35A5058B"/>
    <w:rsid w:val="35AD4532"/>
    <w:rsid w:val="35AF2647"/>
    <w:rsid w:val="35B36EFA"/>
    <w:rsid w:val="35BC4B27"/>
    <w:rsid w:val="35BD2792"/>
    <w:rsid w:val="35C94AEF"/>
    <w:rsid w:val="35CC19E4"/>
    <w:rsid w:val="35D1252A"/>
    <w:rsid w:val="35D42696"/>
    <w:rsid w:val="35DC1C90"/>
    <w:rsid w:val="35E37515"/>
    <w:rsid w:val="35E40A76"/>
    <w:rsid w:val="35E65FA8"/>
    <w:rsid w:val="35EC5782"/>
    <w:rsid w:val="35EF37E1"/>
    <w:rsid w:val="35F25212"/>
    <w:rsid w:val="35F26FC0"/>
    <w:rsid w:val="35F60392"/>
    <w:rsid w:val="35FA51A5"/>
    <w:rsid w:val="35FB502F"/>
    <w:rsid w:val="35FC7E3E"/>
    <w:rsid w:val="35FD3490"/>
    <w:rsid w:val="360E16AE"/>
    <w:rsid w:val="36176647"/>
    <w:rsid w:val="36246DB0"/>
    <w:rsid w:val="363357CB"/>
    <w:rsid w:val="363E58CF"/>
    <w:rsid w:val="364066FB"/>
    <w:rsid w:val="36495C0A"/>
    <w:rsid w:val="364F5A2A"/>
    <w:rsid w:val="365519F4"/>
    <w:rsid w:val="36595DF6"/>
    <w:rsid w:val="36614384"/>
    <w:rsid w:val="366204B8"/>
    <w:rsid w:val="36631CA0"/>
    <w:rsid w:val="36717C5A"/>
    <w:rsid w:val="36774942"/>
    <w:rsid w:val="36856E78"/>
    <w:rsid w:val="36881634"/>
    <w:rsid w:val="368C76FA"/>
    <w:rsid w:val="368F76FA"/>
    <w:rsid w:val="36923F9D"/>
    <w:rsid w:val="36981915"/>
    <w:rsid w:val="36A1709F"/>
    <w:rsid w:val="36B12624"/>
    <w:rsid w:val="36B660E9"/>
    <w:rsid w:val="36B71B89"/>
    <w:rsid w:val="36CB4D77"/>
    <w:rsid w:val="36D925A0"/>
    <w:rsid w:val="36DA62AB"/>
    <w:rsid w:val="36E52680"/>
    <w:rsid w:val="36E53AF8"/>
    <w:rsid w:val="36F101A1"/>
    <w:rsid w:val="36F32FEF"/>
    <w:rsid w:val="37046440"/>
    <w:rsid w:val="37060463"/>
    <w:rsid w:val="370A5E5F"/>
    <w:rsid w:val="370D0235"/>
    <w:rsid w:val="37143AAA"/>
    <w:rsid w:val="371F2036"/>
    <w:rsid w:val="372B669C"/>
    <w:rsid w:val="372E3079"/>
    <w:rsid w:val="3736762C"/>
    <w:rsid w:val="373B1EBD"/>
    <w:rsid w:val="37427AD3"/>
    <w:rsid w:val="374B2493"/>
    <w:rsid w:val="374E59E2"/>
    <w:rsid w:val="37520F54"/>
    <w:rsid w:val="375434A7"/>
    <w:rsid w:val="37570BCB"/>
    <w:rsid w:val="375B67B8"/>
    <w:rsid w:val="37661CB3"/>
    <w:rsid w:val="376C22F6"/>
    <w:rsid w:val="376D21A7"/>
    <w:rsid w:val="377071F8"/>
    <w:rsid w:val="37707FE0"/>
    <w:rsid w:val="37717766"/>
    <w:rsid w:val="37727E4D"/>
    <w:rsid w:val="3773519C"/>
    <w:rsid w:val="377452B8"/>
    <w:rsid w:val="37773CD2"/>
    <w:rsid w:val="377B5A15"/>
    <w:rsid w:val="377F7957"/>
    <w:rsid w:val="37894E57"/>
    <w:rsid w:val="378F792B"/>
    <w:rsid w:val="37921EAB"/>
    <w:rsid w:val="37A21FE2"/>
    <w:rsid w:val="37AF3A9B"/>
    <w:rsid w:val="37C36E66"/>
    <w:rsid w:val="37C61413"/>
    <w:rsid w:val="37D71B9E"/>
    <w:rsid w:val="37D95BC3"/>
    <w:rsid w:val="37DB1B4A"/>
    <w:rsid w:val="37EA3D1D"/>
    <w:rsid w:val="37F0752F"/>
    <w:rsid w:val="38032ADD"/>
    <w:rsid w:val="38054534"/>
    <w:rsid w:val="380F70A0"/>
    <w:rsid w:val="38124799"/>
    <w:rsid w:val="38181651"/>
    <w:rsid w:val="381A129D"/>
    <w:rsid w:val="381B3AE1"/>
    <w:rsid w:val="38235C11"/>
    <w:rsid w:val="3837515E"/>
    <w:rsid w:val="384445D2"/>
    <w:rsid w:val="38466BC9"/>
    <w:rsid w:val="384B6A46"/>
    <w:rsid w:val="385979C8"/>
    <w:rsid w:val="385D671C"/>
    <w:rsid w:val="38621032"/>
    <w:rsid w:val="386C17FE"/>
    <w:rsid w:val="386F71C2"/>
    <w:rsid w:val="38864EE1"/>
    <w:rsid w:val="388D26FF"/>
    <w:rsid w:val="389007B4"/>
    <w:rsid w:val="389525C6"/>
    <w:rsid w:val="389C3F60"/>
    <w:rsid w:val="389E28DB"/>
    <w:rsid w:val="38A256ED"/>
    <w:rsid w:val="38B0624E"/>
    <w:rsid w:val="38B4706D"/>
    <w:rsid w:val="38B60D7F"/>
    <w:rsid w:val="38B6531C"/>
    <w:rsid w:val="38BA0EE3"/>
    <w:rsid w:val="38BA4416"/>
    <w:rsid w:val="38C10BE9"/>
    <w:rsid w:val="38C4603C"/>
    <w:rsid w:val="38D042A4"/>
    <w:rsid w:val="38D429AD"/>
    <w:rsid w:val="38D45CEE"/>
    <w:rsid w:val="38E1369C"/>
    <w:rsid w:val="38F02352"/>
    <w:rsid w:val="38F60C3D"/>
    <w:rsid w:val="390078F4"/>
    <w:rsid w:val="390C2146"/>
    <w:rsid w:val="390F327E"/>
    <w:rsid w:val="391754AA"/>
    <w:rsid w:val="391B2D14"/>
    <w:rsid w:val="391D4354"/>
    <w:rsid w:val="391F67F6"/>
    <w:rsid w:val="39236CE5"/>
    <w:rsid w:val="39251316"/>
    <w:rsid w:val="39273592"/>
    <w:rsid w:val="392B6496"/>
    <w:rsid w:val="39312A65"/>
    <w:rsid w:val="39396CB4"/>
    <w:rsid w:val="39404B30"/>
    <w:rsid w:val="3943543F"/>
    <w:rsid w:val="394A676A"/>
    <w:rsid w:val="394C69E7"/>
    <w:rsid w:val="394E275F"/>
    <w:rsid w:val="394F4956"/>
    <w:rsid w:val="39585980"/>
    <w:rsid w:val="395B4F36"/>
    <w:rsid w:val="39614E4F"/>
    <w:rsid w:val="39652C73"/>
    <w:rsid w:val="396A50BF"/>
    <w:rsid w:val="39730397"/>
    <w:rsid w:val="397828E0"/>
    <w:rsid w:val="39800ACE"/>
    <w:rsid w:val="398658B1"/>
    <w:rsid w:val="39980CE2"/>
    <w:rsid w:val="3998558D"/>
    <w:rsid w:val="39AA339F"/>
    <w:rsid w:val="39AB53AE"/>
    <w:rsid w:val="39AF4C4F"/>
    <w:rsid w:val="39B83678"/>
    <w:rsid w:val="39BB5459"/>
    <w:rsid w:val="39CE38A0"/>
    <w:rsid w:val="39D0636E"/>
    <w:rsid w:val="39D17CDD"/>
    <w:rsid w:val="39E700E2"/>
    <w:rsid w:val="39EA246C"/>
    <w:rsid w:val="39F14FC7"/>
    <w:rsid w:val="39F44362"/>
    <w:rsid w:val="39F62389"/>
    <w:rsid w:val="39F63B7B"/>
    <w:rsid w:val="39F925EC"/>
    <w:rsid w:val="3A035D99"/>
    <w:rsid w:val="3A0728B6"/>
    <w:rsid w:val="3A0E4679"/>
    <w:rsid w:val="3A15193A"/>
    <w:rsid w:val="3A185146"/>
    <w:rsid w:val="3A1B7A36"/>
    <w:rsid w:val="3A1F2B4F"/>
    <w:rsid w:val="3A220E5F"/>
    <w:rsid w:val="3A222B60"/>
    <w:rsid w:val="3A2644AB"/>
    <w:rsid w:val="3A30298D"/>
    <w:rsid w:val="3A3C1A7E"/>
    <w:rsid w:val="3A3C7D6C"/>
    <w:rsid w:val="3A3D6E67"/>
    <w:rsid w:val="3A3E5C67"/>
    <w:rsid w:val="3A451DB4"/>
    <w:rsid w:val="3A4936E3"/>
    <w:rsid w:val="3A4D2A17"/>
    <w:rsid w:val="3A4F7A71"/>
    <w:rsid w:val="3A58374B"/>
    <w:rsid w:val="3A5941F6"/>
    <w:rsid w:val="3A596DA8"/>
    <w:rsid w:val="3A5A1D9E"/>
    <w:rsid w:val="3A5A6C2B"/>
    <w:rsid w:val="3A5B22E9"/>
    <w:rsid w:val="3A5C3E46"/>
    <w:rsid w:val="3A5E32F8"/>
    <w:rsid w:val="3A611DF3"/>
    <w:rsid w:val="3A624674"/>
    <w:rsid w:val="3A677640"/>
    <w:rsid w:val="3A684187"/>
    <w:rsid w:val="3A6D58D7"/>
    <w:rsid w:val="3A6E0425"/>
    <w:rsid w:val="3A714BF8"/>
    <w:rsid w:val="3A7572A8"/>
    <w:rsid w:val="3A7E046D"/>
    <w:rsid w:val="3A7F656F"/>
    <w:rsid w:val="3A825363"/>
    <w:rsid w:val="3A83464D"/>
    <w:rsid w:val="3A841F02"/>
    <w:rsid w:val="3A8A5A19"/>
    <w:rsid w:val="3A8B6925"/>
    <w:rsid w:val="3A9155E6"/>
    <w:rsid w:val="3A954B7A"/>
    <w:rsid w:val="3A9B50DC"/>
    <w:rsid w:val="3A9C4E84"/>
    <w:rsid w:val="3AA11C63"/>
    <w:rsid w:val="3AA35C36"/>
    <w:rsid w:val="3AA9087F"/>
    <w:rsid w:val="3AAA4AD8"/>
    <w:rsid w:val="3AB37C0B"/>
    <w:rsid w:val="3AC07099"/>
    <w:rsid w:val="3AC90541"/>
    <w:rsid w:val="3AD0154B"/>
    <w:rsid w:val="3AD1189A"/>
    <w:rsid w:val="3AD26502"/>
    <w:rsid w:val="3AD32BE2"/>
    <w:rsid w:val="3AD55AFF"/>
    <w:rsid w:val="3AD735A4"/>
    <w:rsid w:val="3ADB5B92"/>
    <w:rsid w:val="3ADC715F"/>
    <w:rsid w:val="3AE335C6"/>
    <w:rsid w:val="3AE62874"/>
    <w:rsid w:val="3AED053C"/>
    <w:rsid w:val="3AED5FA8"/>
    <w:rsid w:val="3AF2204F"/>
    <w:rsid w:val="3AF56227"/>
    <w:rsid w:val="3AF657E1"/>
    <w:rsid w:val="3AF97E01"/>
    <w:rsid w:val="3B0032A7"/>
    <w:rsid w:val="3B03752F"/>
    <w:rsid w:val="3B0F2390"/>
    <w:rsid w:val="3B0F5F1E"/>
    <w:rsid w:val="3B1220C7"/>
    <w:rsid w:val="3B20138C"/>
    <w:rsid w:val="3B2E0A9A"/>
    <w:rsid w:val="3B3360B0"/>
    <w:rsid w:val="3B360092"/>
    <w:rsid w:val="3B3D79D2"/>
    <w:rsid w:val="3B3E7FD4"/>
    <w:rsid w:val="3B4278FE"/>
    <w:rsid w:val="3B44637B"/>
    <w:rsid w:val="3B4B0135"/>
    <w:rsid w:val="3B504E40"/>
    <w:rsid w:val="3B5762AB"/>
    <w:rsid w:val="3B5F7815"/>
    <w:rsid w:val="3B620744"/>
    <w:rsid w:val="3B6413E7"/>
    <w:rsid w:val="3B6D5ABF"/>
    <w:rsid w:val="3B7A783B"/>
    <w:rsid w:val="3B8538FA"/>
    <w:rsid w:val="3B8D6917"/>
    <w:rsid w:val="3B98772E"/>
    <w:rsid w:val="3BA40788"/>
    <w:rsid w:val="3BA8780D"/>
    <w:rsid w:val="3BB02276"/>
    <w:rsid w:val="3BB3643D"/>
    <w:rsid w:val="3BB41E71"/>
    <w:rsid w:val="3BBC1A25"/>
    <w:rsid w:val="3BC56E05"/>
    <w:rsid w:val="3BD87041"/>
    <w:rsid w:val="3BD938AF"/>
    <w:rsid w:val="3BDF0887"/>
    <w:rsid w:val="3BDF1D94"/>
    <w:rsid w:val="3BE12208"/>
    <w:rsid w:val="3BE45065"/>
    <w:rsid w:val="3BE71407"/>
    <w:rsid w:val="3BF847AA"/>
    <w:rsid w:val="3BF87CDE"/>
    <w:rsid w:val="3BFA0259"/>
    <w:rsid w:val="3C0309FF"/>
    <w:rsid w:val="3C042E3E"/>
    <w:rsid w:val="3C050C40"/>
    <w:rsid w:val="3C072663"/>
    <w:rsid w:val="3C0B2E45"/>
    <w:rsid w:val="3C0C2FD1"/>
    <w:rsid w:val="3C1A4E8D"/>
    <w:rsid w:val="3C1F76F3"/>
    <w:rsid w:val="3C23740F"/>
    <w:rsid w:val="3C257B71"/>
    <w:rsid w:val="3C2841B0"/>
    <w:rsid w:val="3C2974B3"/>
    <w:rsid w:val="3C2A25A0"/>
    <w:rsid w:val="3C301801"/>
    <w:rsid w:val="3C3C186F"/>
    <w:rsid w:val="3C3D7E2F"/>
    <w:rsid w:val="3C450BC5"/>
    <w:rsid w:val="3C456F7D"/>
    <w:rsid w:val="3C47574F"/>
    <w:rsid w:val="3C5110CE"/>
    <w:rsid w:val="3C5C5193"/>
    <w:rsid w:val="3C5D4788"/>
    <w:rsid w:val="3C6242D8"/>
    <w:rsid w:val="3C784DBC"/>
    <w:rsid w:val="3C7923FD"/>
    <w:rsid w:val="3C7E21FC"/>
    <w:rsid w:val="3C835139"/>
    <w:rsid w:val="3C887DFD"/>
    <w:rsid w:val="3C8E55CD"/>
    <w:rsid w:val="3C8E5872"/>
    <w:rsid w:val="3C913F59"/>
    <w:rsid w:val="3C940DD1"/>
    <w:rsid w:val="3C943C7F"/>
    <w:rsid w:val="3C9D3203"/>
    <w:rsid w:val="3C9E76A6"/>
    <w:rsid w:val="3C9E7D39"/>
    <w:rsid w:val="3C9F5433"/>
    <w:rsid w:val="3CA05E3F"/>
    <w:rsid w:val="3CA60FF0"/>
    <w:rsid w:val="3CAF5049"/>
    <w:rsid w:val="3CB13731"/>
    <w:rsid w:val="3CB17B91"/>
    <w:rsid w:val="3CC037D9"/>
    <w:rsid w:val="3CCC3FAB"/>
    <w:rsid w:val="3CD20233"/>
    <w:rsid w:val="3CD23409"/>
    <w:rsid w:val="3CDA5E44"/>
    <w:rsid w:val="3CDF248B"/>
    <w:rsid w:val="3CF77787"/>
    <w:rsid w:val="3CF80F5E"/>
    <w:rsid w:val="3CFA11B8"/>
    <w:rsid w:val="3CFD5614"/>
    <w:rsid w:val="3D023F8C"/>
    <w:rsid w:val="3D037D04"/>
    <w:rsid w:val="3D061853"/>
    <w:rsid w:val="3D083D85"/>
    <w:rsid w:val="3D094A3E"/>
    <w:rsid w:val="3D107860"/>
    <w:rsid w:val="3D183C46"/>
    <w:rsid w:val="3D2346F2"/>
    <w:rsid w:val="3D2B7651"/>
    <w:rsid w:val="3D2C6DEC"/>
    <w:rsid w:val="3D3F7B7E"/>
    <w:rsid w:val="3D415BFE"/>
    <w:rsid w:val="3D464AD9"/>
    <w:rsid w:val="3D466470"/>
    <w:rsid w:val="3D483413"/>
    <w:rsid w:val="3D485717"/>
    <w:rsid w:val="3D531698"/>
    <w:rsid w:val="3D580050"/>
    <w:rsid w:val="3D5B03FE"/>
    <w:rsid w:val="3D5F59D0"/>
    <w:rsid w:val="3D631F45"/>
    <w:rsid w:val="3D6E1622"/>
    <w:rsid w:val="3D9745C5"/>
    <w:rsid w:val="3D980D16"/>
    <w:rsid w:val="3D9831E5"/>
    <w:rsid w:val="3D9B1367"/>
    <w:rsid w:val="3DA638E7"/>
    <w:rsid w:val="3DA71209"/>
    <w:rsid w:val="3DC945C0"/>
    <w:rsid w:val="3DCE0347"/>
    <w:rsid w:val="3DCF044A"/>
    <w:rsid w:val="3DD82F3F"/>
    <w:rsid w:val="3DD92BAB"/>
    <w:rsid w:val="3DE10046"/>
    <w:rsid w:val="3DED7C84"/>
    <w:rsid w:val="3E012F06"/>
    <w:rsid w:val="3E0516F6"/>
    <w:rsid w:val="3E06185A"/>
    <w:rsid w:val="3E062C93"/>
    <w:rsid w:val="3E09759C"/>
    <w:rsid w:val="3E1645D3"/>
    <w:rsid w:val="3E1667F0"/>
    <w:rsid w:val="3E1A07C5"/>
    <w:rsid w:val="3E1C3D68"/>
    <w:rsid w:val="3E1D6BA4"/>
    <w:rsid w:val="3E225D40"/>
    <w:rsid w:val="3E25375E"/>
    <w:rsid w:val="3E257108"/>
    <w:rsid w:val="3E297DA1"/>
    <w:rsid w:val="3E2A2C0A"/>
    <w:rsid w:val="3E2B13A7"/>
    <w:rsid w:val="3E2E03FF"/>
    <w:rsid w:val="3E2F4ADF"/>
    <w:rsid w:val="3E37784B"/>
    <w:rsid w:val="3E381EA5"/>
    <w:rsid w:val="3E3846AB"/>
    <w:rsid w:val="3E4A4CB2"/>
    <w:rsid w:val="3E4E7D71"/>
    <w:rsid w:val="3E4F147F"/>
    <w:rsid w:val="3E5A3610"/>
    <w:rsid w:val="3E616240"/>
    <w:rsid w:val="3E63157B"/>
    <w:rsid w:val="3E672C02"/>
    <w:rsid w:val="3E6C7532"/>
    <w:rsid w:val="3E702BB8"/>
    <w:rsid w:val="3E807C4C"/>
    <w:rsid w:val="3E810402"/>
    <w:rsid w:val="3E8310AF"/>
    <w:rsid w:val="3EA03A5D"/>
    <w:rsid w:val="3EB761D7"/>
    <w:rsid w:val="3EC0309B"/>
    <w:rsid w:val="3EC40C65"/>
    <w:rsid w:val="3ECB1717"/>
    <w:rsid w:val="3ED92DDA"/>
    <w:rsid w:val="3ED96F6F"/>
    <w:rsid w:val="3EE7761A"/>
    <w:rsid w:val="3EF17DA4"/>
    <w:rsid w:val="3EF2332E"/>
    <w:rsid w:val="3EF2654D"/>
    <w:rsid w:val="3EF56437"/>
    <w:rsid w:val="3EFB607B"/>
    <w:rsid w:val="3EFF7197"/>
    <w:rsid w:val="3F035498"/>
    <w:rsid w:val="3F055C54"/>
    <w:rsid w:val="3F071900"/>
    <w:rsid w:val="3F0C5BCE"/>
    <w:rsid w:val="3F114F57"/>
    <w:rsid w:val="3F117156"/>
    <w:rsid w:val="3F1D2AEF"/>
    <w:rsid w:val="3F201122"/>
    <w:rsid w:val="3F22062E"/>
    <w:rsid w:val="3F2B0046"/>
    <w:rsid w:val="3F2F40D7"/>
    <w:rsid w:val="3F303FAB"/>
    <w:rsid w:val="3F3222E3"/>
    <w:rsid w:val="3F352F72"/>
    <w:rsid w:val="3F3774CD"/>
    <w:rsid w:val="3F416176"/>
    <w:rsid w:val="3F427C23"/>
    <w:rsid w:val="3F532102"/>
    <w:rsid w:val="3F576FA1"/>
    <w:rsid w:val="3F580906"/>
    <w:rsid w:val="3F5A3EFB"/>
    <w:rsid w:val="3F5A4D5E"/>
    <w:rsid w:val="3F7006D6"/>
    <w:rsid w:val="3F794D8F"/>
    <w:rsid w:val="3F79679A"/>
    <w:rsid w:val="3F9908B0"/>
    <w:rsid w:val="3FA367A0"/>
    <w:rsid w:val="3FA84EB2"/>
    <w:rsid w:val="3FA85DB5"/>
    <w:rsid w:val="3FAA7193"/>
    <w:rsid w:val="3FAD4B3B"/>
    <w:rsid w:val="3FB34E43"/>
    <w:rsid w:val="3FC0345D"/>
    <w:rsid w:val="3FC0576C"/>
    <w:rsid w:val="3FC24499"/>
    <w:rsid w:val="3FC24F5C"/>
    <w:rsid w:val="3FC96CE0"/>
    <w:rsid w:val="3FD03D01"/>
    <w:rsid w:val="3FD4498A"/>
    <w:rsid w:val="3FD64800"/>
    <w:rsid w:val="3FDA5EAF"/>
    <w:rsid w:val="3FDB6D16"/>
    <w:rsid w:val="3FDC701A"/>
    <w:rsid w:val="3FE0553B"/>
    <w:rsid w:val="3FE11A0A"/>
    <w:rsid w:val="3FE135FB"/>
    <w:rsid w:val="3FE221D2"/>
    <w:rsid w:val="3FE2774D"/>
    <w:rsid w:val="3FE87D28"/>
    <w:rsid w:val="3FEA089A"/>
    <w:rsid w:val="3FEA6F05"/>
    <w:rsid w:val="3FEE60A4"/>
    <w:rsid w:val="3FEE6105"/>
    <w:rsid w:val="3FEF6D26"/>
    <w:rsid w:val="3FF54F69"/>
    <w:rsid w:val="3FF974C4"/>
    <w:rsid w:val="3FFA44C9"/>
    <w:rsid w:val="3FFA719D"/>
    <w:rsid w:val="400533B5"/>
    <w:rsid w:val="400759D9"/>
    <w:rsid w:val="400969C4"/>
    <w:rsid w:val="400973E0"/>
    <w:rsid w:val="400A5241"/>
    <w:rsid w:val="40104D8F"/>
    <w:rsid w:val="401A368E"/>
    <w:rsid w:val="401E5225"/>
    <w:rsid w:val="40200EC2"/>
    <w:rsid w:val="40376069"/>
    <w:rsid w:val="40387BC5"/>
    <w:rsid w:val="403D4406"/>
    <w:rsid w:val="403E6AA8"/>
    <w:rsid w:val="40400879"/>
    <w:rsid w:val="40402847"/>
    <w:rsid w:val="404C0609"/>
    <w:rsid w:val="40502545"/>
    <w:rsid w:val="4052169A"/>
    <w:rsid w:val="405D53FA"/>
    <w:rsid w:val="40612A0F"/>
    <w:rsid w:val="406435E5"/>
    <w:rsid w:val="40657EEF"/>
    <w:rsid w:val="406C7C6F"/>
    <w:rsid w:val="406E1939"/>
    <w:rsid w:val="40776301"/>
    <w:rsid w:val="407D753B"/>
    <w:rsid w:val="40806E1B"/>
    <w:rsid w:val="4084492C"/>
    <w:rsid w:val="40856D3B"/>
    <w:rsid w:val="40896772"/>
    <w:rsid w:val="40906E9B"/>
    <w:rsid w:val="409207A7"/>
    <w:rsid w:val="40940958"/>
    <w:rsid w:val="40964502"/>
    <w:rsid w:val="40980764"/>
    <w:rsid w:val="40A56E0D"/>
    <w:rsid w:val="40A92971"/>
    <w:rsid w:val="40AF5A59"/>
    <w:rsid w:val="40B030D9"/>
    <w:rsid w:val="40B565DA"/>
    <w:rsid w:val="40BA51BE"/>
    <w:rsid w:val="40BC08F6"/>
    <w:rsid w:val="40BD00BB"/>
    <w:rsid w:val="40C177AA"/>
    <w:rsid w:val="40DC68A2"/>
    <w:rsid w:val="40E90A23"/>
    <w:rsid w:val="40EE51A8"/>
    <w:rsid w:val="40F20B1F"/>
    <w:rsid w:val="40F86916"/>
    <w:rsid w:val="40FA321B"/>
    <w:rsid w:val="40FF0DBB"/>
    <w:rsid w:val="4101607F"/>
    <w:rsid w:val="41022D94"/>
    <w:rsid w:val="41082DC3"/>
    <w:rsid w:val="411855D9"/>
    <w:rsid w:val="412170B1"/>
    <w:rsid w:val="4123014B"/>
    <w:rsid w:val="412E7544"/>
    <w:rsid w:val="41301C9A"/>
    <w:rsid w:val="41341E40"/>
    <w:rsid w:val="4137004F"/>
    <w:rsid w:val="4139028D"/>
    <w:rsid w:val="413A53EA"/>
    <w:rsid w:val="413E270C"/>
    <w:rsid w:val="414214F9"/>
    <w:rsid w:val="41473EE6"/>
    <w:rsid w:val="4149251B"/>
    <w:rsid w:val="414B1ED2"/>
    <w:rsid w:val="415037DD"/>
    <w:rsid w:val="41526D4A"/>
    <w:rsid w:val="415D5C35"/>
    <w:rsid w:val="415F730C"/>
    <w:rsid w:val="41621B71"/>
    <w:rsid w:val="41811A80"/>
    <w:rsid w:val="418C5377"/>
    <w:rsid w:val="418D69F4"/>
    <w:rsid w:val="418D7C08"/>
    <w:rsid w:val="419165DA"/>
    <w:rsid w:val="419876D6"/>
    <w:rsid w:val="41AA0EFE"/>
    <w:rsid w:val="41AE6491"/>
    <w:rsid w:val="41B31CF9"/>
    <w:rsid w:val="41B3723D"/>
    <w:rsid w:val="41C002C6"/>
    <w:rsid w:val="41C07F72"/>
    <w:rsid w:val="41C65E0E"/>
    <w:rsid w:val="41C817FD"/>
    <w:rsid w:val="41C954F1"/>
    <w:rsid w:val="41EE1F6D"/>
    <w:rsid w:val="41F61BC4"/>
    <w:rsid w:val="41F6694B"/>
    <w:rsid w:val="41FC7345"/>
    <w:rsid w:val="41FF7A7E"/>
    <w:rsid w:val="42055BCF"/>
    <w:rsid w:val="42062C90"/>
    <w:rsid w:val="420D35D1"/>
    <w:rsid w:val="42124FEB"/>
    <w:rsid w:val="421E19DD"/>
    <w:rsid w:val="42201ADB"/>
    <w:rsid w:val="42243ADD"/>
    <w:rsid w:val="4226140E"/>
    <w:rsid w:val="42262641"/>
    <w:rsid w:val="422A6BE5"/>
    <w:rsid w:val="422D7D03"/>
    <w:rsid w:val="42341F06"/>
    <w:rsid w:val="42387360"/>
    <w:rsid w:val="423A512B"/>
    <w:rsid w:val="42426BD9"/>
    <w:rsid w:val="424E09DB"/>
    <w:rsid w:val="424F14CB"/>
    <w:rsid w:val="425012F6"/>
    <w:rsid w:val="425830C6"/>
    <w:rsid w:val="425C6098"/>
    <w:rsid w:val="42646511"/>
    <w:rsid w:val="4265214F"/>
    <w:rsid w:val="42653957"/>
    <w:rsid w:val="426703CA"/>
    <w:rsid w:val="426724A2"/>
    <w:rsid w:val="426C1EA8"/>
    <w:rsid w:val="426F51A8"/>
    <w:rsid w:val="42815953"/>
    <w:rsid w:val="428A7F57"/>
    <w:rsid w:val="428D023C"/>
    <w:rsid w:val="429007CB"/>
    <w:rsid w:val="429953F0"/>
    <w:rsid w:val="42A826E7"/>
    <w:rsid w:val="42AC04F6"/>
    <w:rsid w:val="42AE6807"/>
    <w:rsid w:val="42B51AA1"/>
    <w:rsid w:val="42C30985"/>
    <w:rsid w:val="42CE5721"/>
    <w:rsid w:val="42D737C5"/>
    <w:rsid w:val="42D80A4E"/>
    <w:rsid w:val="42D83185"/>
    <w:rsid w:val="42DA1044"/>
    <w:rsid w:val="42E04F76"/>
    <w:rsid w:val="42E27E52"/>
    <w:rsid w:val="42F867E3"/>
    <w:rsid w:val="42F96836"/>
    <w:rsid w:val="42FC1238"/>
    <w:rsid w:val="43040332"/>
    <w:rsid w:val="43081AD9"/>
    <w:rsid w:val="43271B07"/>
    <w:rsid w:val="43280811"/>
    <w:rsid w:val="43284A6A"/>
    <w:rsid w:val="432F2506"/>
    <w:rsid w:val="43340E51"/>
    <w:rsid w:val="43381992"/>
    <w:rsid w:val="433F23BF"/>
    <w:rsid w:val="434A572C"/>
    <w:rsid w:val="43501147"/>
    <w:rsid w:val="43543068"/>
    <w:rsid w:val="435E7A42"/>
    <w:rsid w:val="43621575"/>
    <w:rsid w:val="436360F3"/>
    <w:rsid w:val="436624A8"/>
    <w:rsid w:val="43666F3B"/>
    <w:rsid w:val="436C0A55"/>
    <w:rsid w:val="436D064B"/>
    <w:rsid w:val="43726256"/>
    <w:rsid w:val="437460FA"/>
    <w:rsid w:val="437D37BF"/>
    <w:rsid w:val="437D5D97"/>
    <w:rsid w:val="438374A9"/>
    <w:rsid w:val="43837506"/>
    <w:rsid w:val="438A3124"/>
    <w:rsid w:val="438B5FFE"/>
    <w:rsid w:val="43AF03C9"/>
    <w:rsid w:val="43B12337"/>
    <w:rsid w:val="43B14470"/>
    <w:rsid w:val="43B43EDE"/>
    <w:rsid w:val="43B47D4C"/>
    <w:rsid w:val="43C471BD"/>
    <w:rsid w:val="43C81360"/>
    <w:rsid w:val="43CB16B2"/>
    <w:rsid w:val="43DF7E96"/>
    <w:rsid w:val="43E04F09"/>
    <w:rsid w:val="43E17880"/>
    <w:rsid w:val="43E30165"/>
    <w:rsid w:val="43E4084E"/>
    <w:rsid w:val="43E800C6"/>
    <w:rsid w:val="43F10003"/>
    <w:rsid w:val="43F3462F"/>
    <w:rsid w:val="43F52C05"/>
    <w:rsid w:val="43FB7DF3"/>
    <w:rsid w:val="43FC346C"/>
    <w:rsid w:val="440E5844"/>
    <w:rsid w:val="44117846"/>
    <w:rsid w:val="44257D8E"/>
    <w:rsid w:val="442A5D06"/>
    <w:rsid w:val="442E5908"/>
    <w:rsid w:val="4439400C"/>
    <w:rsid w:val="4439540E"/>
    <w:rsid w:val="443C548B"/>
    <w:rsid w:val="44512364"/>
    <w:rsid w:val="44560305"/>
    <w:rsid w:val="44663053"/>
    <w:rsid w:val="446636C5"/>
    <w:rsid w:val="447D1640"/>
    <w:rsid w:val="4480296D"/>
    <w:rsid w:val="448166E9"/>
    <w:rsid w:val="448678B2"/>
    <w:rsid w:val="448E51CC"/>
    <w:rsid w:val="4494624E"/>
    <w:rsid w:val="449705D5"/>
    <w:rsid w:val="449848C7"/>
    <w:rsid w:val="44AD421E"/>
    <w:rsid w:val="44AF4BA1"/>
    <w:rsid w:val="44B253BE"/>
    <w:rsid w:val="44B2632E"/>
    <w:rsid w:val="44B2697E"/>
    <w:rsid w:val="44B55895"/>
    <w:rsid w:val="44BC1818"/>
    <w:rsid w:val="44BC1ADC"/>
    <w:rsid w:val="44BC6084"/>
    <w:rsid w:val="44C33C1C"/>
    <w:rsid w:val="44C77FE4"/>
    <w:rsid w:val="44CE7E45"/>
    <w:rsid w:val="44D11736"/>
    <w:rsid w:val="44D55756"/>
    <w:rsid w:val="44DD4355"/>
    <w:rsid w:val="44E00E0F"/>
    <w:rsid w:val="44E132FE"/>
    <w:rsid w:val="44F70F49"/>
    <w:rsid w:val="44FA19ED"/>
    <w:rsid w:val="44FA649B"/>
    <w:rsid w:val="44FB7CD7"/>
    <w:rsid w:val="44FE7B0F"/>
    <w:rsid w:val="44FF0DB1"/>
    <w:rsid w:val="45085AFA"/>
    <w:rsid w:val="450939CD"/>
    <w:rsid w:val="450B3CA0"/>
    <w:rsid w:val="4510454F"/>
    <w:rsid w:val="45185AF4"/>
    <w:rsid w:val="45206383"/>
    <w:rsid w:val="45234637"/>
    <w:rsid w:val="452D38D3"/>
    <w:rsid w:val="452F4A29"/>
    <w:rsid w:val="4530540F"/>
    <w:rsid w:val="453E4193"/>
    <w:rsid w:val="454255CA"/>
    <w:rsid w:val="45455877"/>
    <w:rsid w:val="45577395"/>
    <w:rsid w:val="4561316A"/>
    <w:rsid w:val="45633AE3"/>
    <w:rsid w:val="456439F4"/>
    <w:rsid w:val="45644225"/>
    <w:rsid w:val="456F3992"/>
    <w:rsid w:val="457115EB"/>
    <w:rsid w:val="457479F1"/>
    <w:rsid w:val="45782F3E"/>
    <w:rsid w:val="4584775C"/>
    <w:rsid w:val="458B483B"/>
    <w:rsid w:val="45916EEF"/>
    <w:rsid w:val="459B600B"/>
    <w:rsid w:val="45A20CE2"/>
    <w:rsid w:val="45A81449"/>
    <w:rsid w:val="45A81950"/>
    <w:rsid w:val="45A94F0C"/>
    <w:rsid w:val="45AB2840"/>
    <w:rsid w:val="45AB71DA"/>
    <w:rsid w:val="45B20519"/>
    <w:rsid w:val="45B92244"/>
    <w:rsid w:val="45BE4FDB"/>
    <w:rsid w:val="45BE62C2"/>
    <w:rsid w:val="45C0705E"/>
    <w:rsid w:val="45CA60FD"/>
    <w:rsid w:val="45D22966"/>
    <w:rsid w:val="45DC10F2"/>
    <w:rsid w:val="45DF2335"/>
    <w:rsid w:val="45E27A68"/>
    <w:rsid w:val="45E42F61"/>
    <w:rsid w:val="45E85CE9"/>
    <w:rsid w:val="45F01DCD"/>
    <w:rsid w:val="45F62E65"/>
    <w:rsid w:val="45FD74ED"/>
    <w:rsid w:val="46050349"/>
    <w:rsid w:val="460B16A1"/>
    <w:rsid w:val="4614088C"/>
    <w:rsid w:val="46206E94"/>
    <w:rsid w:val="46221289"/>
    <w:rsid w:val="46244F73"/>
    <w:rsid w:val="4628691C"/>
    <w:rsid w:val="463158E2"/>
    <w:rsid w:val="46324558"/>
    <w:rsid w:val="46325BC0"/>
    <w:rsid w:val="46365564"/>
    <w:rsid w:val="46382CF3"/>
    <w:rsid w:val="463E4B6F"/>
    <w:rsid w:val="464B1905"/>
    <w:rsid w:val="4658217D"/>
    <w:rsid w:val="46610538"/>
    <w:rsid w:val="466C691A"/>
    <w:rsid w:val="466C778C"/>
    <w:rsid w:val="4670530F"/>
    <w:rsid w:val="467551A7"/>
    <w:rsid w:val="468676F9"/>
    <w:rsid w:val="46AB4DBE"/>
    <w:rsid w:val="46AF5FB8"/>
    <w:rsid w:val="46B35B9F"/>
    <w:rsid w:val="46B55FD0"/>
    <w:rsid w:val="46BF115D"/>
    <w:rsid w:val="46C44CB7"/>
    <w:rsid w:val="46C5380C"/>
    <w:rsid w:val="46C749A5"/>
    <w:rsid w:val="46C96A6C"/>
    <w:rsid w:val="46CB603F"/>
    <w:rsid w:val="46CC2351"/>
    <w:rsid w:val="46D21F34"/>
    <w:rsid w:val="46D35138"/>
    <w:rsid w:val="46D9742C"/>
    <w:rsid w:val="46EE5581"/>
    <w:rsid w:val="46F100B8"/>
    <w:rsid w:val="46F62029"/>
    <w:rsid w:val="46FA7FB8"/>
    <w:rsid w:val="47002DEF"/>
    <w:rsid w:val="47037841"/>
    <w:rsid w:val="470709FF"/>
    <w:rsid w:val="470B0531"/>
    <w:rsid w:val="471F3210"/>
    <w:rsid w:val="472F6522"/>
    <w:rsid w:val="47314D80"/>
    <w:rsid w:val="47336C6F"/>
    <w:rsid w:val="47402DAA"/>
    <w:rsid w:val="474750DC"/>
    <w:rsid w:val="474C419A"/>
    <w:rsid w:val="474E6907"/>
    <w:rsid w:val="474E7A5D"/>
    <w:rsid w:val="47567017"/>
    <w:rsid w:val="475E0087"/>
    <w:rsid w:val="476140B1"/>
    <w:rsid w:val="476269FC"/>
    <w:rsid w:val="47666D38"/>
    <w:rsid w:val="47763FFA"/>
    <w:rsid w:val="4780263C"/>
    <w:rsid w:val="478104EB"/>
    <w:rsid w:val="47863271"/>
    <w:rsid w:val="478839AE"/>
    <w:rsid w:val="47896D4F"/>
    <w:rsid w:val="47982A36"/>
    <w:rsid w:val="479C6D8B"/>
    <w:rsid w:val="47A21D03"/>
    <w:rsid w:val="47AC4635"/>
    <w:rsid w:val="47AD79A7"/>
    <w:rsid w:val="47B45F77"/>
    <w:rsid w:val="47B601F9"/>
    <w:rsid w:val="47BE2659"/>
    <w:rsid w:val="47C068CA"/>
    <w:rsid w:val="47C65B11"/>
    <w:rsid w:val="47C80021"/>
    <w:rsid w:val="47CC159F"/>
    <w:rsid w:val="47D31B17"/>
    <w:rsid w:val="47D64E19"/>
    <w:rsid w:val="47DD2D70"/>
    <w:rsid w:val="47E335C5"/>
    <w:rsid w:val="47EA5D49"/>
    <w:rsid w:val="47F00544"/>
    <w:rsid w:val="47FA38B9"/>
    <w:rsid w:val="480712F5"/>
    <w:rsid w:val="480735B5"/>
    <w:rsid w:val="482149DA"/>
    <w:rsid w:val="4826335E"/>
    <w:rsid w:val="482A6A56"/>
    <w:rsid w:val="482B534E"/>
    <w:rsid w:val="482E032B"/>
    <w:rsid w:val="482F1629"/>
    <w:rsid w:val="48333DEA"/>
    <w:rsid w:val="483639D2"/>
    <w:rsid w:val="483C2771"/>
    <w:rsid w:val="4844715C"/>
    <w:rsid w:val="484503C6"/>
    <w:rsid w:val="48492230"/>
    <w:rsid w:val="484A2C8B"/>
    <w:rsid w:val="484D4424"/>
    <w:rsid w:val="48511B4B"/>
    <w:rsid w:val="48587156"/>
    <w:rsid w:val="485B40A0"/>
    <w:rsid w:val="485C4105"/>
    <w:rsid w:val="48652AF4"/>
    <w:rsid w:val="48725180"/>
    <w:rsid w:val="487E153D"/>
    <w:rsid w:val="48802857"/>
    <w:rsid w:val="48813CDD"/>
    <w:rsid w:val="48817770"/>
    <w:rsid w:val="488D31C1"/>
    <w:rsid w:val="48971C07"/>
    <w:rsid w:val="489A3FC2"/>
    <w:rsid w:val="489A5DAA"/>
    <w:rsid w:val="48A04659"/>
    <w:rsid w:val="48A279B7"/>
    <w:rsid w:val="48A27CAA"/>
    <w:rsid w:val="48A31B88"/>
    <w:rsid w:val="48BC04DD"/>
    <w:rsid w:val="48BE2CF0"/>
    <w:rsid w:val="48C15D8D"/>
    <w:rsid w:val="48C25955"/>
    <w:rsid w:val="48C955E5"/>
    <w:rsid w:val="48CA6810"/>
    <w:rsid w:val="48D13B36"/>
    <w:rsid w:val="48DA439B"/>
    <w:rsid w:val="48E07B8E"/>
    <w:rsid w:val="48E44E43"/>
    <w:rsid w:val="48E4724D"/>
    <w:rsid w:val="48E53924"/>
    <w:rsid w:val="48E63F8B"/>
    <w:rsid w:val="48E94329"/>
    <w:rsid w:val="48EF0F23"/>
    <w:rsid w:val="48FB4BC3"/>
    <w:rsid w:val="48FB5804"/>
    <w:rsid w:val="48FB5D34"/>
    <w:rsid w:val="49086D1B"/>
    <w:rsid w:val="4915791B"/>
    <w:rsid w:val="491C3076"/>
    <w:rsid w:val="49324DD3"/>
    <w:rsid w:val="4939707B"/>
    <w:rsid w:val="493E078B"/>
    <w:rsid w:val="493E5E9C"/>
    <w:rsid w:val="49414B4F"/>
    <w:rsid w:val="494A552B"/>
    <w:rsid w:val="494D3B95"/>
    <w:rsid w:val="495077AD"/>
    <w:rsid w:val="49532CF3"/>
    <w:rsid w:val="49581E86"/>
    <w:rsid w:val="4958391B"/>
    <w:rsid w:val="495D7302"/>
    <w:rsid w:val="496607B9"/>
    <w:rsid w:val="4968161B"/>
    <w:rsid w:val="496C36CB"/>
    <w:rsid w:val="496D2BF3"/>
    <w:rsid w:val="49825EA3"/>
    <w:rsid w:val="498D72D3"/>
    <w:rsid w:val="499402FE"/>
    <w:rsid w:val="49956188"/>
    <w:rsid w:val="499B6E75"/>
    <w:rsid w:val="49A13026"/>
    <w:rsid w:val="49A81F15"/>
    <w:rsid w:val="49B04D70"/>
    <w:rsid w:val="49B07C49"/>
    <w:rsid w:val="49B24B36"/>
    <w:rsid w:val="49BA3A93"/>
    <w:rsid w:val="49BC5080"/>
    <w:rsid w:val="49BD004C"/>
    <w:rsid w:val="49BD1576"/>
    <w:rsid w:val="49BE7C01"/>
    <w:rsid w:val="49BF6B4D"/>
    <w:rsid w:val="49C97028"/>
    <w:rsid w:val="49CA5515"/>
    <w:rsid w:val="49DA5740"/>
    <w:rsid w:val="49DB093F"/>
    <w:rsid w:val="49DC0B0E"/>
    <w:rsid w:val="49DE64CC"/>
    <w:rsid w:val="49E13015"/>
    <w:rsid w:val="49E4252D"/>
    <w:rsid w:val="49E4389B"/>
    <w:rsid w:val="49F00F52"/>
    <w:rsid w:val="49FD72CF"/>
    <w:rsid w:val="4A122E59"/>
    <w:rsid w:val="4A1B043B"/>
    <w:rsid w:val="4A205F2C"/>
    <w:rsid w:val="4A235C8A"/>
    <w:rsid w:val="4A292935"/>
    <w:rsid w:val="4A2E6BA5"/>
    <w:rsid w:val="4A33120A"/>
    <w:rsid w:val="4A34774F"/>
    <w:rsid w:val="4A35109E"/>
    <w:rsid w:val="4A360ACF"/>
    <w:rsid w:val="4A377A65"/>
    <w:rsid w:val="4A385EDB"/>
    <w:rsid w:val="4A397CF0"/>
    <w:rsid w:val="4A3E5075"/>
    <w:rsid w:val="4A3E5F17"/>
    <w:rsid w:val="4A471EB8"/>
    <w:rsid w:val="4A474ED2"/>
    <w:rsid w:val="4A49367A"/>
    <w:rsid w:val="4A4A7180"/>
    <w:rsid w:val="4A4D16C6"/>
    <w:rsid w:val="4A653DAC"/>
    <w:rsid w:val="4A657908"/>
    <w:rsid w:val="4A735A89"/>
    <w:rsid w:val="4A835FE1"/>
    <w:rsid w:val="4A8C7C76"/>
    <w:rsid w:val="4AAB34BB"/>
    <w:rsid w:val="4AAF54B1"/>
    <w:rsid w:val="4AB00AB1"/>
    <w:rsid w:val="4AB26985"/>
    <w:rsid w:val="4AB838E8"/>
    <w:rsid w:val="4ABE4768"/>
    <w:rsid w:val="4AC07A88"/>
    <w:rsid w:val="4AC34B56"/>
    <w:rsid w:val="4AD25834"/>
    <w:rsid w:val="4AD31BF7"/>
    <w:rsid w:val="4AD625B4"/>
    <w:rsid w:val="4AD85CF3"/>
    <w:rsid w:val="4ADA3408"/>
    <w:rsid w:val="4AE12695"/>
    <w:rsid w:val="4AE5063F"/>
    <w:rsid w:val="4AEB4287"/>
    <w:rsid w:val="4AF201D5"/>
    <w:rsid w:val="4AF40DEB"/>
    <w:rsid w:val="4AF60ECE"/>
    <w:rsid w:val="4AF87CD0"/>
    <w:rsid w:val="4AFD1937"/>
    <w:rsid w:val="4AFD1ED3"/>
    <w:rsid w:val="4B052044"/>
    <w:rsid w:val="4B0A3CE8"/>
    <w:rsid w:val="4B124BB6"/>
    <w:rsid w:val="4B162370"/>
    <w:rsid w:val="4B1969EA"/>
    <w:rsid w:val="4B1E3E9D"/>
    <w:rsid w:val="4B2373E8"/>
    <w:rsid w:val="4B247B19"/>
    <w:rsid w:val="4B272E10"/>
    <w:rsid w:val="4B28699B"/>
    <w:rsid w:val="4B30610C"/>
    <w:rsid w:val="4B30654A"/>
    <w:rsid w:val="4B313770"/>
    <w:rsid w:val="4B337729"/>
    <w:rsid w:val="4B37776E"/>
    <w:rsid w:val="4B415F6D"/>
    <w:rsid w:val="4B473CCD"/>
    <w:rsid w:val="4B4A4C52"/>
    <w:rsid w:val="4B53794C"/>
    <w:rsid w:val="4B5847DE"/>
    <w:rsid w:val="4B5F2399"/>
    <w:rsid w:val="4B6C3E10"/>
    <w:rsid w:val="4B742639"/>
    <w:rsid w:val="4B800E5A"/>
    <w:rsid w:val="4B8938A4"/>
    <w:rsid w:val="4B8A6570"/>
    <w:rsid w:val="4B947A37"/>
    <w:rsid w:val="4B990B42"/>
    <w:rsid w:val="4BA21CED"/>
    <w:rsid w:val="4BA47014"/>
    <w:rsid w:val="4BA56AD4"/>
    <w:rsid w:val="4BAA137B"/>
    <w:rsid w:val="4BAA58CE"/>
    <w:rsid w:val="4BB153BE"/>
    <w:rsid w:val="4BB23021"/>
    <w:rsid w:val="4BB560F4"/>
    <w:rsid w:val="4BB64CD0"/>
    <w:rsid w:val="4BBB6D81"/>
    <w:rsid w:val="4BBF1FEB"/>
    <w:rsid w:val="4BC12085"/>
    <w:rsid w:val="4BC41A56"/>
    <w:rsid w:val="4BC859C1"/>
    <w:rsid w:val="4BD40AAB"/>
    <w:rsid w:val="4BE84CBE"/>
    <w:rsid w:val="4BEB2C94"/>
    <w:rsid w:val="4BF1099C"/>
    <w:rsid w:val="4BF623B0"/>
    <w:rsid w:val="4BF86D6D"/>
    <w:rsid w:val="4BFB0607"/>
    <w:rsid w:val="4C0007D3"/>
    <w:rsid w:val="4C00522E"/>
    <w:rsid w:val="4C051F8F"/>
    <w:rsid w:val="4C08466C"/>
    <w:rsid w:val="4C0849EF"/>
    <w:rsid w:val="4C085165"/>
    <w:rsid w:val="4C12207D"/>
    <w:rsid w:val="4C1471C6"/>
    <w:rsid w:val="4C147838"/>
    <w:rsid w:val="4C152CAE"/>
    <w:rsid w:val="4C1604D1"/>
    <w:rsid w:val="4C27778C"/>
    <w:rsid w:val="4C28045F"/>
    <w:rsid w:val="4C2F0A45"/>
    <w:rsid w:val="4C353FDB"/>
    <w:rsid w:val="4C3F1A17"/>
    <w:rsid w:val="4C3F668A"/>
    <w:rsid w:val="4C4125D9"/>
    <w:rsid w:val="4C4135CF"/>
    <w:rsid w:val="4C421DAA"/>
    <w:rsid w:val="4C4437AE"/>
    <w:rsid w:val="4C4E5B23"/>
    <w:rsid w:val="4C50471A"/>
    <w:rsid w:val="4C534C86"/>
    <w:rsid w:val="4C5D11D7"/>
    <w:rsid w:val="4C5E3199"/>
    <w:rsid w:val="4C5E6ACF"/>
    <w:rsid w:val="4C6B2FE2"/>
    <w:rsid w:val="4C6F5C19"/>
    <w:rsid w:val="4C6F79B7"/>
    <w:rsid w:val="4C787885"/>
    <w:rsid w:val="4C7E409F"/>
    <w:rsid w:val="4C807EFC"/>
    <w:rsid w:val="4C831751"/>
    <w:rsid w:val="4C84008B"/>
    <w:rsid w:val="4C8F6EBF"/>
    <w:rsid w:val="4C921493"/>
    <w:rsid w:val="4C96075E"/>
    <w:rsid w:val="4C960838"/>
    <w:rsid w:val="4C991AEB"/>
    <w:rsid w:val="4CB210AA"/>
    <w:rsid w:val="4CB4376C"/>
    <w:rsid w:val="4CBD0B1F"/>
    <w:rsid w:val="4CC22A4A"/>
    <w:rsid w:val="4CC64FB8"/>
    <w:rsid w:val="4CCA40FA"/>
    <w:rsid w:val="4CCC0113"/>
    <w:rsid w:val="4CD2789C"/>
    <w:rsid w:val="4CD8059E"/>
    <w:rsid w:val="4CDB21A1"/>
    <w:rsid w:val="4CDF7E46"/>
    <w:rsid w:val="4CE27936"/>
    <w:rsid w:val="4CE601DA"/>
    <w:rsid w:val="4CE87889"/>
    <w:rsid w:val="4CE930CE"/>
    <w:rsid w:val="4CED710E"/>
    <w:rsid w:val="4CF17AA4"/>
    <w:rsid w:val="4CF3569F"/>
    <w:rsid w:val="4CF87AFD"/>
    <w:rsid w:val="4CF92708"/>
    <w:rsid w:val="4D003857"/>
    <w:rsid w:val="4D05521E"/>
    <w:rsid w:val="4D076FF3"/>
    <w:rsid w:val="4D08414A"/>
    <w:rsid w:val="4D092506"/>
    <w:rsid w:val="4D0E38F0"/>
    <w:rsid w:val="4D1A70D0"/>
    <w:rsid w:val="4D200666"/>
    <w:rsid w:val="4D2A01C5"/>
    <w:rsid w:val="4D3A7012"/>
    <w:rsid w:val="4D3D19D7"/>
    <w:rsid w:val="4D4203D5"/>
    <w:rsid w:val="4D451508"/>
    <w:rsid w:val="4D47346B"/>
    <w:rsid w:val="4D495DF4"/>
    <w:rsid w:val="4D58121A"/>
    <w:rsid w:val="4D581CBD"/>
    <w:rsid w:val="4D685EAA"/>
    <w:rsid w:val="4D69316A"/>
    <w:rsid w:val="4D7234EB"/>
    <w:rsid w:val="4D77007F"/>
    <w:rsid w:val="4D785A58"/>
    <w:rsid w:val="4D853E44"/>
    <w:rsid w:val="4D8744C7"/>
    <w:rsid w:val="4D970124"/>
    <w:rsid w:val="4D992749"/>
    <w:rsid w:val="4DC2477B"/>
    <w:rsid w:val="4DC25072"/>
    <w:rsid w:val="4DC37AAD"/>
    <w:rsid w:val="4DC4703C"/>
    <w:rsid w:val="4DD03A81"/>
    <w:rsid w:val="4DD7091D"/>
    <w:rsid w:val="4DE1012A"/>
    <w:rsid w:val="4DE56472"/>
    <w:rsid w:val="4DEA16B8"/>
    <w:rsid w:val="4DF17ECD"/>
    <w:rsid w:val="4DF65554"/>
    <w:rsid w:val="4DF705E5"/>
    <w:rsid w:val="4DF73AC4"/>
    <w:rsid w:val="4DFA077E"/>
    <w:rsid w:val="4DFC1243"/>
    <w:rsid w:val="4E02229A"/>
    <w:rsid w:val="4E050405"/>
    <w:rsid w:val="4E132BF4"/>
    <w:rsid w:val="4E162BA9"/>
    <w:rsid w:val="4E190CEF"/>
    <w:rsid w:val="4E1E0460"/>
    <w:rsid w:val="4E1F2098"/>
    <w:rsid w:val="4E245FCD"/>
    <w:rsid w:val="4E2A37D7"/>
    <w:rsid w:val="4E2C0F3C"/>
    <w:rsid w:val="4E2F4F0E"/>
    <w:rsid w:val="4E32468A"/>
    <w:rsid w:val="4E3A10AC"/>
    <w:rsid w:val="4E3F0D8B"/>
    <w:rsid w:val="4E4168DE"/>
    <w:rsid w:val="4E452F68"/>
    <w:rsid w:val="4E4D75CC"/>
    <w:rsid w:val="4E4F602D"/>
    <w:rsid w:val="4E521DCC"/>
    <w:rsid w:val="4E563A79"/>
    <w:rsid w:val="4E5D37BF"/>
    <w:rsid w:val="4E5E7854"/>
    <w:rsid w:val="4E60113A"/>
    <w:rsid w:val="4E6F6FA8"/>
    <w:rsid w:val="4E7C40A4"/>
    <w:rsid w:val="4E8267E7"/>
    <w:rsid w:val="4E826B8B"/>
    <w:rsid w:val="4E870437"/>
    <w:rsid w:val="4E8B5ACA"/>
    <w:rsid w:val="4E915C83"/>
    <w:rsid w:val="4E920755"/>
    <w:rsid w:val="4E980798"/>
    <w:rsid w:val="4E9A5427"/>
    <w:rsid w:val="4E9A7B73"/>
    <w:rsid w:val="4E9E6AA4"/>
    <w:rsid w:val="4EA244DC"/>
    <w:rsid w:val="4EA3784C"/>
    <w:rsid w:val="4EAF41C2"/>
    <w:rsid w:val="4EB951BF"/>
    <w:rsid w:val="4EBB7642"/>
    <w:rsid w:val="4EBF6B54"/>
    <w:rsid w:val="4EC0678A"/>
    <w:rsid w:val="4EC16EB7"/>
    <w:rsid w:val="4EC935CE"/>
    <w:rsid w:val="4ECD2EF2"/>
    <w:rsid w:val="4ED11C95"/>
    <w:rsid w:val="4ED15594"/>
    <w:rsid w:val="4EDC019B"/>
    <w:rsid w:val="4EDD798C"/>
    <w:rsid w:val="4EE27137"/>
    <w:rsid w:val="4EEA4CA4"/>
    <w:rsid w:val="4EEB6A39"/>
    <w:rsid w:val="4EED611E"/>
    <w:rsid w:val="4EF44D23"/>
    <w:rsid w:val="4EF844EA"/>
    <w:rsid w:val="4EFB744F"/>
    <w:rsid w:val="4EFC3112"/>
    <w:rsid w:val="4EFC3DAA"/>
    <w:rsid w:val="4EFD1701"/>
    <w:rsid w:val="4EFF66FB"/>
    <w:rsid w:val="4F040683"/>
    <w:rsid w:val="4F130C17"/>
    <w:rsid w:val="4F166D4A"/>
    <w:rsid w:val="4F270D2D"/>
    <w:rsid w:val="4F2737C5"/>
    <w:rsid w:val="4F31723C"/>
    <w:rsid w:val="4F340C63"/>
    <w:rsid w:val="4F38629A"/>
    <w:rsid w:val="4F3E1BA7"/>
    <w:rsid w:val="4F455F5A"/>
    <w:rsid w:val="4F4B79F8"/>
    <w:rsid w:val="4F4C1097"/>
    <w:rsid w:val="4F527868"/>
    <w:rsid w:val="4F5C39D0"/>
    <w:rsid w:val="4F5D32A4"/>
    <w:rsid w:val="4F6709AC"/>
    <w:rsid w:val="4F6D642E"/>
    <w:rsid w:val="4F6F762E"/>
    <w:rsid w:val="4F767689"/>
    <w:rsid w:val="4F7B372A"/>
    <w:rsid w:val="4F8D77AB"/>
    <w:rsid w:val="4F926827"/>
    <w:rsid w:val="4F960E95"/>
    <w:rsid w:val="4F98633D"/>
    <w:rsid w:val="4FA2515B"/>
    <w:rsid w:val="4FA4623D"/>
    <w:rsid w:val="4FA86461"/>
    <w:rsid w:val="4FAA16EE"/>
    <w:rsid w:val="4FAB620C"/>
    <w:rsid w:val="4FB25D36"/>
    <w:rsid w:val="4FB55FF8"/>
    <w:rsid w:val="4FC81FB1"/>
    <w:rsid w:val="4FCF79B6"/>
    <w:rsid w:val="4FE06869"/>
    <w:rsid w:val="4FE6290C"/>
    <w:rsid w:val="4FE9200A"/>
    <w:rsid w:val="4FF42752"/>
    <w:rsid w:val="4FF67560"/>
    <w:rsid w:val="4FF87BDA"/>
    <w:rsid w:val="4FF97471"/>
    <w:rsid w:val="4FFC1820"/>
    <w:rsid w:val="4FFD4205"/>
    <w:rsid w:val="4FFF5603"/>
    <w:rsid w:val="500035DB"/>
    <w:rsid w:val="500554BB"/>
    <w:rsid w:val="50082791"/>
    <w:rsid w:val="500A21E7"/>
    <w:rsid w:val="5010424F"/>
    <w:rsid w:val="50153705"/>
    <w:rsid w:val="502318E5"/>
    <w:rsid w:val="502456DC"/>
    <w:rsid w:val="502E1C8A"/>
    <w:rsid w:val="502E37C2"/>
    <w:rsid w:val="50362188"/>
    <w:rsid w:val="503E77A0"/>
    <w:rsid w:val="504967D4"/>
    <w:rsid w:val="504C56EA"/>
    <w:rsid w:val="50523597"/>
    <w:rsid w:val="50537E95"/>
    <w:rsid w:val="50583896"/>
    <w:rsid w:val="50585CC6"/>
    <w:rsid w:val="5059113E"/>
    <w:rsid w:val="505F6CEB"/>
    <w:rsid w:val="50610B72"/>
    <w:rsid w:val="50647D29"/>
    <w:rsid w:val="50670ACC"/>
    <w:rsid w:val="506871A6"/>
    <w:rsid w:val="506B39C8"/>
    <w:rsid w:val="507054CE"/>
    <w:rsid w:val="50757758"/>
    <w:rsid w:val="507E4835"/>
    <w:rsid w:val="50807FAC"/>
    <w:rsid w:val="508159F6"/>
    <w:rsid w:val="50841FF1"/>
    <w:rsid w:val="50886047"/>
    <w:rsid w:val="50984F92"/>
    <w:rsid w:val="509E1DC6"/>
    <w:rsid w:val="509E4F4D"/>
    <w:rsid w:val="50A07C67"/>
    <w:rsid w:val="50AC4DAF"/>
    <w:rsid w:val="50B568B9"/>
    <w:rsid w:val="50B926E0"/>
    <w:rsid w:val="50BE7D72"/>
    <w:rsid w:val="50C069B4"/>
    <w:rsid w:val="50C479A8"/>
    <w:rsid w:val="50D101AA"/>
    <w:rsid w:val="50D61560"/>
    <w:rsid w:val="50D71075"/>
    <w:rsid w:val="50D77086"/>
    <w:rsid w:val="50DD28EE"/>
    <w:rsid w:val="50DE42ED"/>
    <w:rsid w:val="50E32A6C"/>
    <w:rsid w:val="50E772C9"/>
    <w:rsid w:val="50E93B81"/>
    <w:rsid w:val="50EB03BA"/>
    <w:rsid w:val="50FF7430"/>
    <w:rsid w:val="510530E4"/>
    <w:rsid w:val="510D3CD7"/>
    <w:rsid w:val="51140089"/>
    <w:rsid w:val="51161C4E"/>
    <w:rsid w:val="511848E8"/>
    <w:rsid w:val="51205736"/>
    <w:rsid w:val="51242D1A"/>
    <w:rsid w:val="51275130"/>
    <w:rsid w:val="51332596"/>
    <w:rsid w:val="51360B87"/>
    <w:rsid w:val="513938C9"/>
    <w:rsid w:val="51394095"/>
    <w:rsid w:val="513A2A02"/>
    <w:rsid w:val="513E3F26"/>
    <w:rsid w:val="51401058"/>
    <w:rsid w:val="514C1FED"/>
    <w:rsid w:val="514E5AEA"/>
    <w:rsid w:val="5156081F"/>
    <w:rsid w:val="515A3F3F"/>
    <w:rsid w:val="51600E24"/>
    <w:rsid w:val="51602B30"/>
    <w:rsid w:val="51657342"/>
    <w:rsid w:val="51722A42"/>
    <w:rsid w:val="5173706F"/>
    <w:rsid w:val="51774780"/>
    <w:rsid w:val="51853637"/>
    <w:rsid w:val="518A2050"/>
    <w:rsid w:val="518D1F26"/>
    <w:rsid w:val="519E2B14"/>
    <w:rsid w:val="51A055DC"/>
    <w:rsid w:val="51AA5DE3"/>
    <w:rsid w:val="51AC6764"/>
    <w:rsid w:val="51AD4B3B"/>
    <w:rsid w:val="51B01DB1"/>
    <w:rsid w:val="51B52056"/>
    <w:rsid w:val="51B74F5A"/>
    <w:rsid w:val="51BD002A"/>
    <w:rsid w:val="51BF0246"/>
    <w:rsid w:val="51C36CCB"/>
    <w:rsid w:val="51C4585C"/>
    <w:rsid w:val="51C471B1"/>
    <w:rsid w:val="51CA613D"/>
    <w:rsid w:val="51D3422B"/>
    <w:rsid w:val="51DB1C8D"/>
    <w:rsid w:val="51E82B6A"/>
    <w:rsid w:val="51EA4CB0"/>
    <w:rsid w:val="51EC1D13"/>
    <w:rsid w:val="51EE435D"/>
    <w:rsid w:val="52000617"/>
    <w:rsid w:val="520807CE"/>
    <w:rsid w:val="520A4783"/>
    <w:rsid w:val="520D4FCD"/>
    <w:rsid w:val="520E4EF5"/>
    <w:rsid w:val="520F69D2"/>
    <w:rsid w:val="52145799"/>
    <w:rsid w:val="521570C5"/>
    <w:rsid w:val="521D24AF"/>
    <w:rsid w:val="52242841"/>
    <w:rsid w:val="52277D53"/>
    <w:rsid w:val="522B352E"/>
    <w:rsid w:val="522F41A9"/>
    <w:rsid w:val="523E6D57"/>
    <w:rsid w:val="52417FCE"/>
    <w:rsid w:val="52474E72"/>
    <w:rsid w:val="52495D62"/>
    <w:rsid w:val="524F73D7"/>
    <w:rsid w:val="52517014"/>
    <w:rsid w:val="5254331A"/>
    <w:rsid w:val="5257222D"/>
    <w:rsid w:val="525E1819"/>
    <w:rsid w:val="52656D4B"/>
    <w:rsid w:val="526606C2"/>
    <w:rsid w:val="52690A8A"/>
    <w:rsid w:val="526D15E2"/>
    <w:rsid w:val="52702CC3"/>
    <w:rsid w:val="527C0553"/>
    <w:rsid w:val="528F5E6A"/>
    <w:rsid w:val="52994479"/>
    <w:rsid w:val="529C787B"/>
    <w:rsid w:val="52A118F2"/>
    <w:rsid w:val="52A62910"/>
    <w:rsid w:val="52AC196F"/>
    <w:rsid w:val="52B00750"/>
    <w:rsid w:val="52B23907"/>
    <w:rsid w:val="52BB751E"/>
    <w:rsid w:val="52BF0C6B"/>
    <w:rsid w:val="52BF145B"/>
    <w:rsid w:val="52BF7616"/>
    <w:rsid w:val="52C25A6D"/>
    <w:rsid w:val="52D302DE"/>
    <w:rsid w:val="52DB37D2"/>
    <w:rsid w:val="52E112D6"/>
    <w:rsid w:val="52EF771A"/>
    <w:rsid w:val="52F23609"/>
    <w:rsid w:val="52F725D3"/>
    <w:rsid w:val="53145C76"/>
    <w:rsid w:val="53155FA7"/>
    <w:rsid w:val="53243A84"/>
    <w:rsid w:val="532C2893"/>
    <w:rsid w:val="532E7557"/>
    <w:rsid w:val="53315C4B"/>
    <w:rsid w:val="53362DA5"/>
    <w:rsid w:val="533974BB"/>
    <w:rsid w:val="533A00AA"/>
    <w:rsid w:val="533C7D22"/>
    <w:rsid w:val="5345477B"/>
    <w:rsid w:val="53476182"/>
    <w:rsid w:val="53494600"/>
    <w:rsid w:val="53494C84"/>
    <w:rsid w:val="534F7E64"/>
    <w:rsid w:val="53543A44"/>
    <w:rsid w:val="53575365"/>
    <w:rsid w:val="53582DCC"/>
    <w:rsid w:val="535844AE"/>
    <w:rsid w:val="5359399F"/>
    <w:rsid w:val="53634FAD"/>
    <w:rsid w:val="536F51A3"/>
    <w:rsid w:val="53714072"/>
    <w:rsid w:val="537321AC"/>
    <w:rsid w:val="53743ED1"/>
    <w:rsid w:val="53746E0E"/>
    <w:rsid w:val="53752E08"/>
    <w:rsid w:val="537D120F"/>
    <w:rsid w:val="538C05FC"/>
    <w:rsid w:val="538E7ED0"/>
    <w:rsid w:val="53920585"/>
    <w:rsid w:val="5396301E"/>
    <w:rsid w:val="539831F9"/>
    <w:rsid w:val="53984B70"/>
    <w:rsid w:val="539A41B3"/>
    <w:rsid w:val="53A87319"/>
    <w:rsid w:val="53AA17A9"/>
    <w:rsid w:val="53B842AC"/>
    <w:rsid w:val="53BB5C95"/>
    <w:rsid w:val="53BE5711"/>
    <w:rsid w:val="53C42C43"/>
    <w:rsid w:val="53CB12B0"/>
    <w:rsid w:val="53D60E94"/>
    <w:rsid w:val="53EC1ECF"/>
    <w:rsid w:val="53F74AF6"/>
    <w:rsid w:val="53FD311C"/>
    <w:rsid w:val="53FD3B90"/>
    <w:rsid w:val="54084EF7"/>
    <w:rsid w:val="54086EC5"/>
    <w:rsid w:val="540A305C"/>
    <w:rsid w:val="5410110C"/>
    <w:rsid w:val="54131912"/>
    <w:rsid w:val="541C1529"/>
    <w:rsid w:val="54222228"/>
    <w:rsid w:val="5422763A"/>
    <w:rsid w:val="54244390"/>
    <w:rsid w:val="542A4CF1"/>
    <w:rsid w:val="54393B83"/>
    <w:rsid w:val="544615CD"/>
    <w:rsid w:val="54510C43"/>
    <w:rsid w:val="54517EF0"/>
    <w:rsid w:val="54521272"/>
    <w:rsid w:val="54521A63"/>
    <w:rsid w:val="54556703"/>
    <w:rsid w:val="5456526D"/>
    <w:rsid w:val="545B636E"/>
    <w:rsid w:val="546135C3"/>
    <w:rsid w:val="54640C31"/>
    <w:rsid w:val="546926EB"/>
    <w:rsid w:val="546B3A7C"/>
    <w:rsid w:val="546E71A0"/>
    <w:rsid w:val="547145DD"/>
    <w:rsid w:val="54753D82"/>
    <w:rsid w:val="547609DD"/>
    <w:rsid w:val="547B5D3D"/>
    <w:rsid w:val="54805EAC"/>
    <w:rsid w:val="5482587D"/>
    <w:rsid w:val="548341C1"/>
    <w:rsid w:val="5484104F"/>
    <w:rsid w:val="54886400"/>
    <w:rsid w:val="54922940"/>
    <w:rsid w:val="54923C71"/>
    <w:rsid w:val="54A43723"/>
    <w:rsid w:val="54A75B90"/>
    <w:rsid w:val="54AE280E"/>
    <w:rsid w:val="54B3060F"/>
    <w:rsid w:val="54B40DB1"/>
    <w:rsid w:val="54B4518C"/>
    <w:rsid w:val="54B9373B"/>
    <w:rsid w:val="54B95A1A"/>
    <w:rsid w:val="54C23274"/>
    <w:rsid w:val="54D26341"/>
    <w:rsid w:val="54D45BC4"/>
    <w:rsid w:val="54DB49C4"/>
    <w:rsid w:val="54DC1C2B"/>
    <w:rsid w:val="54DE1184"/>
    <w:rsid w:val="54DE7576"/>
    <w:rsid w:val="54E212F4"/>
    <w:rsid w:val="54E92EA3"/>
    <w:rsid w:val="54F2448F"/>
    <w:rsid w:val="54FB018C"/>
    <w:rsid w:val="550109C1"/>
    <w:rsid w:val="55054110"/>
    <w:rsid w:val="55067F3A"/>
    <w:rsid w:val="5508132B"/>
    <w:rsid w:val="55100B6A"/>
    <w:rsid w:val="55122FCC"/>
    <w:rsid w:val="55124B31"/>
    <w:rsid w:val="55131049"/>
    <w:rsid w:val="55164C9A"/>
    <w:rsid w:val="551A15C6"/>
    <w:rsid w:val="551F2C7C"/>
    <w:rsid w:val="55284354"/>
    <w:rsid w:val="552F12F5"/>
    <w:rsid w:val="553A18C8"/>
    <w:rsid w:val="553E699E"/>
    <w:rsid w:val="553F43DA"/>
    <w:rsid w:val="5543118E"/>
    <w:rsid w:val="5546256D"/>
    <w:rsid w:val="554F7B33"/>
    <w:rsid w:val="5558700F"/>
    <w:rsid w:val="555946AB"/>
    <w:rsid w:val="555C3C55"/>
    <w:rsid w:val="555C3E9A"/>
    <w:rsid w:val="556100F8"/>
    <w:rsid w:val="55627866"/>
    <w:rsid w:val="55627B08"/>
    <w:rsid w:val="5565088E"/>
    <w:rsid w:val="556D2C0F"/>
    <w:rsid w:val="556F7375"/>
    <w:rsid w:val="55721481"/>
    <w:rsid w:val="5579157E"/>
    <w:rsid w:val="5580275A"/>
    <w:rsid w:val="558E1858"/>
    <w:rsid w:val="55911E19"/>
    <w:rsid w:val="559601F5"/>
    <w:rsid w:val="559B253D"/>
    <w:rsid w:val="559C22A2"/>
    <w:rsid w:val="559E2967"/>
    <w:rsid w:val="559F620B"/>
    <w:rsid w:val="55A0024D"/>
    <w:rsid w:val="55A03621"/>
    <w:rsid w:val="55A17B91"/>
    <w:rsid w:val="55AA12E7"/>
    <w:rsid w:val="55AD5540"/>
    <w:rsid w:val="55AF3FB4"/>
    <w:rsid w:val="55B026BB"/>
    <w:rsid w:val="55B47996"/>
    <w:rsid w:val="55BA1450"/>
    <w:rsid w:val="55BB3061"/>
    <w:rsid w:val="55C37CDE"/>
    <w:rsid w:val="55C7591B"/>
    <w:rsid w:val="55CC5F93"/>
    <w:rsid w:val="55D22539"/>
    <w:rsid w:val="55E34C3E"/>
    <w:rsid w:val="55E53845"/>
    <w:rsid w:val="55E61A70"/>
    <w:rsid w:val="55F720C6"/>
    <w:rsid w:val="5607285D"/>
    <w:rsid w:val="560C76EF"/>
    <w:rsid w:val="560F2F20"/>
    <w:rsid w:val="56120991"/>
    <w:rsid w:val="562D50DC"/>
    <w:rsid w:val="56391F84"/>
    <w:rsid w:val="563D46B2"/>
    <w:rsid w:val="56457704"/>
    <w:rsid w:val="5648287B"/>
    <w:rsid w:val="565638FD"/>
    <w:rsid w:val="56570A4D"/>
    <w:rsid w:val="565740D6"/>
    <w:rsid w:val="5658153C"/>
    <w:rsid w:val="5667179F"/>
    <w:rsid w:val="5669552B"/>
    <w:rsid w:val="566D0271"/>
    <w:rsid w:val="566D3E5D"/>
    <w:rsid w:val="566E677D"/>
    <w:rsid w:val="56725887"/>
    <w:rsid w:val="56756FEE"/>
    <w:rsid w:val="567A14B2"/>
    <w:rsid w:val="567F2B2A"/>
    <w:rsid w:val="568B0655"/>
    <w:rsid w:val="568F6105"/>
    <w:rsid w:val="569340BF"/>
    <w:rsid w:val="569D7032"/>
    <w:rsid w:val="56A26CA4"/>
    <w:rsid w:val="56A769A9"/>
    <w:rsid w:val="56A90163"/>
    <w:rsid w:val="56AB5B70"/>
    <w:rsid w:val="56AD22B9"/>
    <w:rsid w:val="56BA554A"/>
    <w:rsid w:val="56BE12F4"/>
    <w:rsid w:val="56C500AD"/>
    <w:rsid w:val="56C768C1"/>
    <w:rsid w:val="56CA40F1"/>
    <w:rsid w:val="56CB20C5"/>
    <w:rsid w:val="56CF17A9"/>
    <w:rsid w:val="56D96A2E"/>
    <w:rsid w:val="56DE2F1C"/>
    <w:rsid w:val="56DE774E"/>
    <w:rsid w:val="56E55602"/>
    <w:rsid w:val="56ED3AE9"/>
    <w:rsid w:val="56EF6AA9"/>
    <w:rsid w:val="56F232A6"/>
    <w:rsid w:val="56FB3DE8"/>
    <w:rsid w:val="57016C0B"/>
    <w:rsid w:val="57101D0B"/>
    <w:rsid w:val="57131037"/>
    <w:rsid w:val="57132F76"/>
    <w:rsid w:val="571C57F3"/>
    <w:rsid w:val="57263372"/>
    <w:rsid w:val="572B1EDA"/>
    <w:rsid w:val="572C46C7"/>
    <w:rsid w:val="572D3F89"/>
    <w:rsid w:val="573556C2"/>
    <w:rsid w:val="573A1E53"/>
    <w:rsid w:val="57405985"/>
    <w:rsid w:val="574338C0"/>
    <w:rsid w:val="574A2360"/>
    <w:rsid w:val="575632CC"/>
    <w:rsid w:val="57606F87"/>
    <w:rsid w:val="57647F29"/>
    <w:rsid w:val="577A6D2E"/>
    <w:rsid w:val="577E0893"/>
    <w:rsid w:val="577F0575"/>
    <w:rsid w:val="57833AC4"/>
    <w:rsid w:val="57877110"/>
    <w:rsid w:val="578840B1"/>
    <w:rsid w:val="578C22E0"/>
    <w:rsid w:val="57945726"/>
    <w:rsid w:val="579D34A4"/>
    <w:rsid w:val="57AC7F76"/>
    <w:rsid w:val="57B17ABA"/>
    <w:rsid w:val="57B37249"/>
    <w:rsid w:val="57B528A1"/>
    <w:rsid w:val="57BF6AF8"/>
    <w:rsid w:val="57C969E3"/>
    <w:rsid w:val="57D2297B"/>
    <w:rsid w:val="57D57D2F"/>
    <w:rsid w:val="57D60714"/>
    <w:rsid w:val="57D94111"/>
    <w:rsid w:val="57DC2BAD"/>
    <w:rsid w:val="57F15865"/>
    <w:rsid w:val="57F67D0A"/>
    <w:rsid w:val="57FF2C6E"/>
    <w:rsid w:val="580112DD"/>
    <w:rsid w:val="58057B99"/>
    <w:rsid w:val="58075662"/>
    <w:rsid w:val="580815FA"/>
    <w:rsid w:val="5808676D"/>
    <w:rsid w:val="58164CFD"/>
    <w:rsid w:val="58201D40"/>
    <w:rsid w:val="583354EA"/>
    <w:rsid w:val="58365A5A"/>
    <w:rsid w:val="583A3C22"/>
    <w:rsid w:val="58430D07"/>
    <w:rsid w:val="584326B5"/>
    <w:rsid w:val="58492617"/>
    <w:rsid w:val="58611D04"/>
    <w:rsid w:val="586631C9"/>
    <w:rsid w:val="586846EF"/>
    <w:rsid w:val="586D2962"/>
    <w:rsid w:val="5872759C"/>
    <w:rsid w:val="58872F30"/>
    <w:rsid w:val="588B353C"/>
    <w:rsid w:val="588B7142"/>
    <w:rsid w:val="589B5B49"/>
    <w:rsid w:val="589E3418"/>
    <w:rsid w:val="589F0489"/>
    <w:rsid w:val="58AF3175"/>
    <w:rsid w:val="58B67BEB"/>
    <w:rsid w:val="58C00689"/>
    <w:rsid w:val="58C957ED"/>
    <w:rsid w:val="58CA7BFC"/>
    <w:rsid w:val="58CC7366"/>
    <w:rsid w:val="58CD149A"/>
    <w:rsid w:val="58CF1EE7"/>
    <w:rsid w:val="58DF2335"/>
    <w:rsid w:val="58E2700A"/>
    <w:rsid w:val="58E3120B"/>
    <w:rsid w:val="58ED24DC"/>
    <w:rsid w:val="58EE559B"/>
    <w:rsid w:val="58EE7F4C"/>
    <w:rsid w:val="58F46DEA"/>
    <w:rsid w:val="58FB7105"/>
    <w:rsid w:val="59060509"/>
    <w:rsid w:val="590B158E"/>
    <w:rsid w:val="590B5B1F"/>
    <w:rsid w:val="59107FD3"/>
    <w:rsid w:val="591401BA"/>
    <w:rsid w:val="59283577"/>
    <w:rsid w:val="592C532E"/>
    <w:rsid w:val="592D4E59"/>
    <w:rsid w:val="59326356"/>
    <w:rsid w:val="59495D0A"/>
    <w:rsid w:val="594A0F1E"/>
    <w:rsid w:val="594B2650"/>
    <w:rsid w:val="59550077"/>
    <w:rsid w:val="595D42F7"/>
    <w:rsid w:val="595E0345"/>
    <w:rsid w:val="59633BAD"/>
    <w:rsid w:val="59695B0E"/>
    <w:rsid w:val="597900D1"/>
    <w:rsid w:val="59831B59"/>
    <w:rsid w:val="59835887"/>
    <w:rsid w:val="5984766D"/>
    <w:rsid w:val="5986542E"/>
    <w:rsid w:val="598D1CE2"/>
    <w:rsid w:val="59941933"/>
    <w:rsid w:val="5999312B"/>
    <w:rsid w:val="59A114F8"/>
    <w:rsid w:val="59A3309B"/>
    <w:rsid w:val="59A44352"/>
    <w:rsid w:val="59A51405"/>
    <w:rsid w:val="59A93BFA"/>
    <w:rsid w:val="59AD460E"/>
    <w:rsid w:val="59B764D9"/>
    <w:rsid w:val="59BA7DD3"/>
    <w:rsid w:val="59BF0470"/>
    <w:rsid w:val="59C0730C"/>
    <w:rsid w:val="59C12B00"/>
    <w:rsid w:val="59C22C56"/>
    <w:rsid w:val="59C26B25"/>
    <w:rsid w:val="59C5315A"/>
    <w:rsid w:val="59C85BBA"/>
    <w:rsid w:val="59D70CCB"/>
    <w:rsid w:val="59DA1A0D"/>
    <w:rsid w:val="59DF73D7"/>
    <w:rsid w:val="59E01997"/>
    <w:rsid w:val="59E36A9C"/>
    <w:rsid w:val="59F112FE"/>
    <w:rsid w:val="59F26158"/>
    <w:rsid w:val="59F34F42"/>
    <w:rsid w:val="59FA1FEC"/>
    <w:rsid w:val="5A0B62FC"/>
    <w:rsid w:val="5A0C522E"/>
    <w:rsid w:val="5A132EDD"/>
    <w:rsid w:val="5A136829"/>
    <w:rsid w:val="5A143FBA"/>
    <w:rsid w:val="5A2643CB"/>
    <w:rsid w:val="5A2A46CB"/>
    <w:rsid w:val="5A2C0C87"/>
    <w:rsid w:val="5A364C43"/>
    <w:rsid w:val="5A397DDF"/>
    <w:rsid w:val="5A425696"/>
    <w:rsid w:val="5A450D3E"/>
    <w:rsid w:val="5A4A08C9"/>
    <w:rsid w:val="5A4D708A"/>
    <w:rsid w:val="5A513A05"/>
    <w:rsid w:val="5A663955"/>
    <w:rsid w:val="5A6B4DAF"/>
    <w:rsid w:val="5A73181F"/>
    <w:rsid w:val="5A761225"/>
    <w:rsid w:val="5A7B6CD4"/>
    <w:rsid w:val="5A8A4153"/>
    <w:rsid w:val="5A8E2EAB"/>
    <w:rsid w:val="5A8F4ABF"/>
    <w:rsid w:val="5A9038A8"/>
    <w:rsid w:val="5A997D5C"/>
    <w:rsid w:val="5AA158DB"/>
    <w:rsid w:val="5AAD1584"/>
    <w:rsid w:val="5AB62857"/>
    <w:rsid w:val="5AB67988"/>
    <w:rsid w:val="5AB91724"/>
    <w:rsid w:val="5ABF5901"/>
    <w:rsid w:val="5ABF7D64"/>
    <w:rsid w:val="5AC4067B"/>
    <w:rsid w:val="5AC93C88"/>
    <w:rsid w:val="5ACA5953"/>
    <w:rsid w:val="5ACB3A4A"/>
    <w:rsid w:val="5ACE14FA"/>
    <w:rsid w:val="5ACF19E6"/>
    <w:rsid w:val="5AD47477"/>
    <w:rsid w:val="5ADE2347"/>
    <w:rsid w:val="5AE3217B"/>
    <w:rsid w:val="5AE57817"/>
    <w:rsid w:val="5AE60D3F"/>
    <w:rsid w:val="5AE70490"/>
    <w:rsid w:val="5AE83DF8"/>
    <w:rsid w:val="5AEB20AC"/>
    <w:rsid w:val="5AF34ABD"/>
    <w:rsid w:val="5AF50BD0"/>
    <w:rsid w:val="5AF9268B"/>
    <w:rsid w:val="5B06430D"/>
    <w:rsid w:val="5B0C1DEE"/>
    <w:rsid w:val="5B173253"/>
    <w:rsid w:val="5B1755D4"/>
    <w:rsid w:val="5B26453F"/>
    <w:rsid w:val="5B2A49AD"/>
    <w:rsid w:val="5B3255E5"/>
    <w:rsid w:val="5B3F1217"/>
    <w:rsid w:val="5B414AC9"/>
    <w:rsid w:val="5B43724B"/>
    <w:rsid w:val="5B476CB1"/>
    <w:rsid w:val="5B500161"/>
    <w:rsid w:val="5B59062D"/>
    <w:rsid w:val="5B5E462C"/>
    <w:rsid w:val="5B6451A6"/>
    <w:rsid w:val="5B6B0AF7"/>
    <w:rsid w:val="5B75731B"/>
    <w:rsid w:val="5B7E1EB2"/>
    <w:rsid w:val="5B847D3D"/>
    <w:rsid w:val="5B861444"/>
    <w:rsid w:val="5B8A50DE"/>
    <w:rsid w:val="5B912B50"/>
    <w:rsid w:val="5B9462A0"/>
    <w:rsid w:val="5B953ED2"/>
    <w:rsid w:val="5B9718EC"/>
    <w:rsid w:val="5B993928"/>
    <w:rsid w:val="5B9955E8"/>
    <w:rsid w:val="5B9A5925"/>
    <w:rsid w:val="5B9B4306"/>
    <w:rsid w:val="5B9E436E"/>
    <w:rsid w:val="5BA13C73"/>
    <w:rsid w:val="5BA74225"/>
    <w:rsid w:val="5BAA0E05"/>
    <w:rsid w:val="5BB3110B"/>
    <w:rsid w:val="5BB478E2"/>
    <w:rsid w:val="5BB50DF9"/>
    <w:rsid w:val="5BBC76E7"/>
    <w:rsid w:val="5BBE50CA"/>
    <w:rsid w:val="5BC2290D"/>
    <w:rsid w:val="5BC90992"/>
    <w:rsid w:val="5BCB2B90"/>
    <w:rsid w:val="5BD81FA8"/>
    <w:rsid w:val="5BDD7C46"/>
    <w:rsid w:val="5BE72873"/>
    <w:rsid w:val="5BED5D88"/>
    <w:rsid w:val="5BF204A7"/>
    <w:rsid w:val="5BF53049"/>
    <w:rsid w:val="5BF53B3D"/>
    <w:rsid w:val="5BFB7164"/>
    <w:rsid w:val="5C0056E3"/>
    <w:rsid w:val="5C0276AD"/>
    <w:rsid w:val="5C0B1C47"/>
    <w:rsid w:val="5C0B2E25"/>
    <w:rsid w:val="5C17648D"/>
    <w:rsid w:val="5C1A310B"/>
    <w:rsid w:val="5C1A753A"/>
    <w:rsid w:val="5C202F01"/>
    <w:rsid w:val="5C236E8E"/>
    <w:rsid w:val="5C312060"/>
    <w:rsid w:val="5C461A91"/>
    <w:rsid w:val="5C4639E1"/>
    <w:rsid w:val="5C497FA1"/>
    <w:rsid w:val="5C4A39F7"/>
    <w:rsid w:val="5C4B3F8B"/>
    <w:rsid w:val="5C583E24"/>
    <w:rsid w:val="5C5D01F4"/>
    <w:rsid w:val="5C5D0D87"/>
    <w:rsid w:val="5C5F68AD"/>
    <w:rsid w:val="5C60208A"/>
    <w:rsid w:val="5C66535C"/>
    <w:rsid w:val="5C6D424E"/>
    <w:rsid w:val="5C727C32"/>
    <w:rsid w:val="5C774020"/>
    <w:rsid w:val="5C8318BE"/>
    <w:rsid w:val="5C836D63"/>
    <w:rsid w:val="5C847D9F"/>
    <w:rsid w:val="5C8A0E37"/>
    <w:rsid w:val="5C8F0D4E"/>
    <w:rsid w:val="5C93198C"/>
    <w:rsid w:val="5C98042B"/>
    <w:rsid w:val="5C9913E2"/>
    <w:rsid w:val="5C996170"/>
    <w:rsid w:val="5CA66466"/>
    <w:rsid w:val="5CAD630E"/>
    <w:rsid w:val="5CB33015"/>
    <w:rsid w:val="5CB46F5A"/>
    <w:rsid w:val="5CB7639B"/>
    <w:rsid w:val="5CD91E24"/>
    <w:rsid w:val="5CDE0C87"/>
    <w:rsid w:val="5CDF1DCE"/>
    <w:rsid w:val="5CE33758"/>
    <w:rsid w:val="5CE3617A"/>
    <w:rsid w:val="5CE96194"/>
    <w:rsid w:val="5CF319DE"/>
    <w:rsid w:val="5CF50E0C"/>
    <w:rsid w:val="5CF53766"/>
    <w:rsid w:val="5CFA2EAA"/>
    <w:rsid w:val="5D041404"/>
    <w:rsid w:val="5D05702F"/>
    <w:rsid w:val="5D0819AF"/>
    <w:rsid w:val="5D0B3DB3"/>
    <w:rsid w:val="5D0C00B7"/>
    <w:rsid w:val="5D131B22"/>
    <w:rsid w:val="5D15609A"/>
    <w:rsid w:val="5D1F0193"/>
    <w:rsid w:val="5D243C94"/>
    <w:rsid w:val="5D246DB0"/>
    <w:rsid w:val="5D264973"/>
    <w:rsid w:val="5D283218"/>
    <w:rsid w:val="5D2A41F3"/>
    <w:rsid w:val="5D373386"/>
    <w:rsid w:val="5D3C3250"/>
    <w:rsid w:val="5D3E70CC"/>
    <w:rsid w:val="5D412E9E"/>
    <w:rsid w:val="5D503C55"/>
    <w:rsid w:val="5D5531B4"/>
    <w:rsid w:val="5D584F8B"/>
    <w:rsid w:val="5D5E4BD3"/>
    <w:rsid w:val="5D610FBA"/>
    <w:rsid w:val="5D73062F"/>
    <w:rsid w:val="5D7519FB"/>
    <w:rsid w:val="5D754359"/>
    <w:rsid w:val="5D7D61FF"/>
    <w:rsid w:val="5D7E072C"/>
    <w:rsid w:val="5D7F5B3F"/>
    <w:rsid w:val="5D8374DA"/>
    <w:rsid w:val="5D9043C5"/>
    <w:rsid w:val="5D917380"/>
    <w:rsid w:val="5D976281"/>
    <w:rsid w:val="5D9F66F5"/>
    <w:rsid w:val="5DA8682E"/>
    <w:rsid w:val="5DBF03EB"/>
    <w:rsid w:val="5DBF5867"/>
    <w:rsid w:val="5DC04997"/>
    <w:rsid w:val="5DC53591"/>
    <w:rsid w:val="5DC85744"/>
    <w:rsid w:val="5DCF2F34"/>
    <w:rsid w:val="5DD2534B"/>
    <w:rsid w:val="5DE80B25"/>
    <w:rsid w:val="5DEB2D6E"/>
    <w:rsid w:val="5DF03535"/>
    <w:rsid w:val="5DF85FBA"/>
    <w:rsid w:val="5DFC2939"/>
    <w:rsid w:val="5DFC2E44"/>
    <w:rsid w:val="5E021BE6"/>
    <w:rsid w:val="5E027BA8"/>
    <w:rsid w:val="5E0A0BB4"/>
    <w:rsid w:val="5E0A3A10"/>
    <w:rsid w:val="5E127950"/>
    <w:rsid w:val="5E135BA1"/>
    <w:rsid w:val="5E1810CC"/>
    <w:rsid w:val="5E1B0F12"/>
    <w:rsid w:val="5E2860C8"/>
    <w:rsid w:val="5E2A0754"/>
    <w:rsid w:val="5E2B3F5E"/>
    <w:rsid w:val="5E384323"/>
    <w:rsid w:val="5E3B2009"/>
    <w:rsid w:val="5E3B3903"/>
    <w:rsid w:val="5E3C3CAB"/>
    <w:rsid w:val="5E3E2839"/>
    <w:rsid w:val="5E425E09"/>
    <w:rsid w:val="5E445E81"/>
    <w:rsid w:val="5E4E3305"/>
    <w:rsid w:val="5E561E50"/>
    <w:rsid w:val="5E6477F1"/>
    <w:rsid w:val="5E6551CC"/>
    <w:rsid w:val="5E6D2BC6"/>
    <w:rsid w:val="5E6D30C0"/>
    <w:rsid w:val="5E7516A9"/>
    <w:rsid w:val="5E754D4A"/>
    <w:rsid w:val="5E757973"/>
    <w:rsid w:val="5E825213"/>
    <w:rsid w:val="5E8B5B78"/>
    <w:rsid w:val="5E8D40BB"/>
    <w:rsid w:val="5E912506"/>
    <w:rsid w:val="5EA0790D"/>
    <w:rsid w:val="5EA20FD9"/>
    <w:rsid w:val="5EA322DC"/>
    <w:rsid w:val="5EA96EBE"/>
    <w:rsid w:val="5EAC37CE"/>
    <w:rsid w:val="5EB47C6B"/>
    <w:rsid w:val="5EB505C8"/>
    <w:rsid w:val="5EB97BFE"/>
    <w:rsid w:val="5EBB4529"/>
    <w:rsid w:val="5EBC4050"/>
    <w:rsid w:val="5EBD6D92"/>
    <w:rsid w:val="5ECE4AD3"/>
    <w:rsid w:val="5ED90A4F"/>
    <w:rsid w:val="5EDB5760"/>
    <w:rsid w:val="5EF04834"/>
    <w:rsid w:val="5EF77A28"/>
    <w:rsid w:val="5EFA508F"/>
    <w:rsid w:val="5F1A537B"/>
    <w:rsid w:val="5F1D3DA3"/>
    <w:rsid w:val="5F1E6215"/>
    <w:rsid w:val="5F207D18"/>
    <w:rsid w:val="5F22545D"/>
    <w:rsid w:val="5F24765D"/>
    <w:rsid w:val="5F290D15"/>
    <w:rsid w:val="5F2B466E"/>
    <w:rsid w:val="5F2D4A41"/>
    <w:rsid w:val="5F4209AC"/>
    <w:rsid w:val="5F424C71"/>
    <w:rsid w:val="5F432EAB"/>
    <w:rsid w:val="5F4420C1"/>
    <w:rsid w:val="5F4E1724"/>
    <w:rsid w:val="5F5244A8"/>
    <w:rsid w:val="5F58372D"/>
    <w:rsid w:val="5F5C17A0"/>
    <w:rsid w:val="5F5C28E2"/>
    <w:rsid w:val="5F654B11"/>
    <w:rsid w:val="5F6649D0"/>
    <w:rsid w:val="5F67640E"/>
    <w:rsid w:val="5F755CC4"/>
    <w:rsid w:val="5F7A430A"/>
    <w:rsid w:val="5F7F18C1"/>
    <w:rsid w:val="5F8124DD"/>
    <w:rsid w:val="5F8B58BB"/>
    <w:rsid w:val="5F94225B"/>
    <w:rsid w:val="5F9661CF"/>
    <w:rsid w:val="5F97635E"/>
    <w:rsid w:val="5F9840E4"/>
    <w:rsid w:val="5FAB0881"/>
    <w:rsid w:val="5FB567E4"/>
    <w:rsid w:val="5FB61234"/>
    <w:rsid w:val="5FB872AD"/>
    <w:rsid w:val="5FBA585B"/>
    <w:rsid w:val="5FC111DF"/>
    <w:rsid w:val="5FD4310E"/>
    <w:rsid w:val="5FD6077A"/>
    <w:rsid w:val="5FD70819"/>
    <w:rsid w:val="5FD845D7"/>
    <w:rsid w:val="5FD91EC4"/>
    <w:rsid w:val="5FDA00BB"/>
    <w:rsid w:val="5FDC6830"/>
    <w:rsid w:val="5FE13A7D"/>
    <w:rsid w:val="5FE477C4"/>
    <w:rsid w:val="5FE57F90"/>
    <w:rsid w:val="5FF842D2"/>
    <w:rsid w:val="5FF90DC7"/>
    <w:rsid w:val="5FF96B92"/>
    <w:rsid w:val="5FFB68ED"/>
    <w:rsid w:val="5FFF6B3B"/>
    <w:rsid w:val="60010018"/>
    <w:rsid w:val="60033EF8"/>
    <w:rsid w:val="6008100A"/>
    <w:rsid w:val="60103832"/>
    <w:rsid w:val="6011375B"/>
    <w:rsid w:val="60170FDD"/>
    <w:rsid w:val="601A4CAC"/>
    <w:rsid w:val="601D2D07"/>
    <w:rsid w:val="602A33E5"/>
    <w:rsid w:val="602D12EB"/>
    <w:rsid w:val="60354303"/>
    <w:rsid w:val="60381E7E"/>
    <w:rsid w:val="603B39E3"/>
    <w:rsid w:val="603D123C"/>
    <w:rsid w:val="60405096"/>
    <w:rsid w:val="60430916"/>
    <w:rsid w:val="60433F1A"/>
    <w:rsid w:val="604638DA"/>
    <w:rsid w:val="604A0111"/>
    <w:rsid w:val="604B2C00"/>
    <w:rsid w:val="60531BBE"/>
    <w:rsid w:val="60593614"/>
    <w:rsid w:val="605A2653"/>
    <w:rsid w:val="605B16EF"/>
    <w:rsid w:val="606030AA"/>
    <w:rsid w:val="606F1089"/>
    <w:rsid w:val="607029FA"/>
    <w:rsid w:val="60743486"/>
    <w:rsid w:val="60820079"/>
    <w:rsid w:val="60866FAA"/>
    <w:rsid w:val="608951D9"/>
    <w:rsid w:val="608A3E83"/>
    <w:rsid w:val="60911AB1"/>
    <w:rsid w:val="60912DAE"/>
    <w:rsid w:val="60914E6D"/>
    <w:rsid w:val="609D4A67"/>
    <w:rsid w:val="60A31E12"/>
    <w:rsid w:val="60A45BBA"/>
    <w:rsid w:val="60AB53BD"/>
    <w:rsid w:val="60AE1332"/>
    <w:rsid w:val="60B06382"/>
    <w:rsid w:val="60B238E8"/>
    <w:rsid w:val="60B8658C"/>
    <w:rsid w:val="60C56A58"/>
    <w:rsid w:val="60D05951"/>
    <w:rsid w:val="60DB671F"/>
    <w:rsid w:val="60E40FCB"/>
    <w:rsid w:val="60E727D0"/>
    <w:rsid w:val="60E76E71"/>
    <w:rsid w:val="60F431B6"/>
    <w:rsid w:val="60F4333C"/>
    <w:rsid w:val="60F80E08"/>
    <w:rsid w:val="60F80F7E"/>
    <w:rsid w:val="61101393"/>
    <w:rsid w:val="61145C77"/>
    <w:rsid w:val="6117277E"/>
    <w:rsid w:val="61181721"/>
    <w:rsid w:val="613624C4"/>
    <w:rsid w:val="613A4947"/>
    <w:rsid w:val="613B28D7"/>
    <w:rsid w:val="613B5B36"/>
    <w:rsid w:val="613C2142"/>
    <w:rsid w:val="61411BD9"/>
    <w:rsid w:val="6144456B"/>
    <w:rsid w:val="61520F1C"/>
    <w:rsid w:val="615858BA"/>
    <w:rsid w:val="615C2A71"/>
    <w:rsid w:val="61620211"/>
    <w:rsid w:val="616273AE"/>
    <w:rsid w:val="61647FDF"/>
    <w:rsid w:val="61671D60"/>
    <w:rsid w:val="616D3F1F"/>
    <w:rsid w:val="616F7D6C"/>
    <w:rsid w:val="61734F99"/>
    <w:rsid w:val="617B185C"/>
    <w:rsid w:val="617F354E"/>
    <w:rsid w:val="6182718B"/>
    <w:rsid w:val="618B6600"/>
    <w:rsid w:val="618C3A43"/>
    <w:rsid w:val="618F3B50"/>
    <w:rsid w:val="619176D1"/>
    <w:rsid w:val="619B1D96"/>
    <w:rsid w:val="619E3328"/>
    <w:rsid w:val="61A1053D"/>
    <w:rsid w:val="61A31CD2"/>
    <w:rsid w:val="61A84FD3"/>
    <w:rsid w:val="61AD6547"/>
    <w:rsid w:val="61B629E5"/>
    <w:rsid w:val="61BA64FF"/>
    <w:rsid w:val="61BE455F"/>
    <w:rsid w:val="61C16E98"/>
    <w:rsid w:val="61D67110"/>
    <w:rsid w:val="61D758C9"/>
    <w:rsid w:val="61DE0274"/>
    <w:rsid w:val="61E044C2"/>
    <w:rsid w:val="61E54BC6"/>
    <w:rsid w:val="61E61E86"/>
    <w:rsid w:val="61F14599"/>
    <w:rsid w:val="61F30697"/>
    <w:rsid w:val="61FA0D76"/>
    <w:rsid w:val="61FD12D7"/>
    <w:rsid w:val="61FF7139"/>
    <w:rsid w:val="6202633D"/>
    <w:rsid w:val="62067684"/>
    <w:rsid w:val="62072558"/>
    <w:rsid w:val="620956CC"/>
    <w:rsid w:val="620B0F65"/>
    <w:rsid w:val="620D48D5"/>
    <w:rsid w:val="62125C14"/>
    <w:rsid w:val="621C5B6D"/>
    <w:rsid w:val="621C6FEF"/>
    <w:rsid w:val="622802D4"/>
    <w:rsid w:val="622C60B8"/>
    <w:rsid w:val="622F0784"/>
    <w:rsid w:val="62365A7B"/>
    <w:rsid w:val="62421627"/>
    <w:rsid w:val="62434609"/>
    <w:rsid w:val="624779E5"/>
    <w:rsid w:val="62487455"/>
    <w:rsid w:val="624A7EEB"/>
    <w:rsid w:val="624C78D4"/>
    <w:rsid w:val="62514EEA"/>
    <w:rsid w:val="625A4EAE"/>
    <w:rsid w:val="625E3BE5"/>
    <w:rsid w:val="62632E08"/>
    <w:rsid w:val="6271733B"/>
    <w:rsid w:val="627358D5"/>
    <w:rsid w:val="62742987"/>
    <w:rsid w:val="6276629E"/>
    <w:rsid w:val="627F535F"/>
    <w:rsid w:val="6287237F"/>
    <w:rsid w:val="628841ED"/>
    <w:rsid w:val="62894017"/>
    <w:rsid w:val="628D497B"/>
    <w:rsid w:val="62915BF9"/>
    <w:rsid w:val="62935911"/>
    <w:rsid w:val="629B2D2F"/>
    <w:rsid w:val="629F4FFC"/>
    <w:rsid w:val="62AE35A5"/>
    <w:rsid w:val="62AF758F"/>
    <w:rsid w:val="62B74707"/>
    <w:rsid w:val="62C03E1E"/>
    <w:rsid w:val="62C4751A"/>
    <w:rsid w:val="62C50258"/>
    <w:rsid w:val="62C67088"/>
    <w:rsid w:val="62C70051"/>
    <w:rsid w:val="62CC1A55"/>
    <w:rsid w:val="62D033D7"/>
    <w:rsid w:val="62D24E91"/>
    <w:rsid w:val="62D56E87"/>
    <w:rsid w:val="62D64631"/>
    <w:rsid w:val="62DB42A1"/>
    <w:rsid w:val="62DC7633"/>
    <w:rsid w:val="62E4189E"/>
    <w:rsid w:val="62EA14E5"/>
    <w:rsid w:val="62F35A7A"/>
    <w:rsid w:val="62F615EE"/>
    <w:rsid w:val="6300533B"/>
    <w:rsid w:val="63005D3D"/>
    <w:rsid w:val="630F3E93"/>
    <w:rsid w:val="631779FB"/>
    <w:rsid w:val="63181EE7"/>
    <w:rsid w:val="631D0BDB"/>
    <w:rsid w:val="632150B7"/>
    <w:rsid w:val="632443AD"/>
    <w:rsid w:val="63282367"/>
    <w:rsid w:val="63292FE2"/>
    <w:rsid w:val="633640E0"/>
    <w:rsid w:val="633B5253"/>
    <w:rsid w:val="634250D9"/>
    <w:rsid w:val="63436FC8"/>
    <w:rsid w:val="634B54BD"/>
    <w:rsid w:val="634B676D"/>
    <w:rsid w:val="634F4786"/>
    <w:rsid w:val="635A7DCF"/>
    <w:rsid w:val="63654F5B"/>
    <w:rsid w:val="6365621B"/>
    <w:rsid w:val="63690152"/>
    <w:rsid w:val="636B401B"/>
    <w:rsid w:val="636C1F74"/>
    <w:rsid w:val="636D5B47"/>
    <w:rsid w:val="637356EA"/>
    <w:rsid w:val="63743354"/>
    <w:rsid w:val="63774C12"/>
    <w:rsid w:val="63790EBC"/>
    <w:rsid w:val="637A1D49"/>
    <w:rsid w:val="637D4470"/>
    <w:rsid w:val="63822E81"/>
    <w:rsid w:val="63894210"/>
    <w:rsid w:val="638A3FB7"/>
    <w:rsid w:val="639157AB"/>
    <w:rsid w:val="639B3033"/>
    <w:rsid w:val="63A92B04"/>
    <w:rsid w:val="63AB6274"/>
    <w:rsid w:val="63B252AA"/>
    <w:rsid w:val="63B268A4"/>
    <w:rsid w:val="63BF01CA"/>
    <w:rsid w:val="63C26F97"/>
    <w:rsid w:val="63C72DA4"/>
    <w:rsid w:val="63CD52B1"/>
    <w:rsid w:val="63D27965"/>
    <w:rsid w:val="63D346A3"/>
    <w:rsid w:val="63D81139"/>
    <w:rsid w:val="63DA30BD"/>
    <w:rsid w:val="63DE1E1F"/>
    <w:rsid w:val="63DF7591"/>
    <w:rsid w:val="63EC3C3C"/>
    <w:rsid w:val="63EE6769"/>
    <w:rsid w:val="63F36D5E"/>
    <w:rsid w:val="640A7E6F"/>
    <w:rsid w:val="640D5592"/>
    <w:rsid w:val="640F111D"/>
    <w:rsid w:val="641070C0"/>
    <w:rsid w:val="6415471B"/>
    <w:rsid w:val="64177A6E"/>
    <w:rsid w:val="64184A94"/>
    <w:rsid w:val="641A24E2"/>
    <w:rsid w:val="641C62B2"/>
    <w:rsid w:val="641C6342"/>
    <w:rsid w:val="641D5D90"/>
    <w:rsid w:val="64236444"/>
    <w:rsid w:val="642A4A6F"/>
    <w:rsid w:val="642A69E2"/>
    <w:rsid w:val="642E14F0"/>
    <w:rsid w:val="644106C9"/>
    <w:rsid w:val="64430863"/>
    <w:rsid w:val="64487864"/>
    <w:rsid w:val="644D16E1"/>
    <w:rsid w:val="64540CC2"/>
    <w:rsid w:val="6455416E"/>
    <w:rsid w:val="645A2BDF"/>
    <w:rsid w:val="645E43AA"/>
    <w:rsid w:val="64675F8C"/>
    <w:rsid w:val="647226A5"/>
    <w:rsid w:val="647E2BEE"/>
    <w:rsid w:val="64821DEA"/>
    <w:rsid w:val="64825505"/>
    <w:rsid w:val="6484560E"/>
    <w:rsid w:val="648834FC"/>
    <w:rsid w:val="64933326"/>
    <w:rsid w:val="649A0BB7"/>
    <w:rsid w:val="649D3EDA"/>
    <w:rsid w:val="649E604B"/>
    <w:rsid w:val="64A01811"/>
    <w:rsid w:val="64A20B38"/>
    <w:rsid w:val="64A25691"/>
    <w:rsid w:val="64AB4EC5"/>
    <w:rsid w:val="64B132E4"/>
    <w:rsid w:val="64B47BFE"/>
    <w:rsid w:val="64BE6FD9"/>
    <w:rsid w:val="64BF17F6"/>
    <w:rsid w:val="64BF5725"/>
    <w:rsid w:val="64C202A5"/>
    <w:rsid w:val="64C82295"/>
    <w:rsid w:val="64CD091C"/>
    <w:rsid w:val="64D57137"/>
    <w:rsid w:val="64D578D7"/>
    <w:rsid w:val="64D72494"/>
    <w:rsid w:val="64D76205"/>
    <w:rsid w:val="64D911C7"/>
    <w:rsid w:val="64D9683E"/>
    <w:rsid w:val="64E2648D"/>
    <w:rsid w:val="64E45FE6"/>
    <w:rsid w:val="64EA01BF"/>
    <w:rsid w:val="64EF2F60"/>
    <w:rsid w:val="64F6737C"/>
    <w:rsid w:val="65040FBB"/>
    <w:rsid w:val="65055979"/>
    <w:rsid w:val="650A6B91"/>
    <w:rsid w:val="650A7524"/>
    <w:rsid w:val="650C1046"/>
    <w:rsid w:val="650C3283"/>
    <w:rsid w:val="65146114"/>
    <w:rsid w:val="651857CC"/>
    <w:rsid w:val="651B2C2A"/>
    <w:rsid w:val="652930F2"/>
    <w:rsid w:val="65305B8D"/>
    <w:rsid w:val="653921B1"/>
    <w:rsid w:val="653C59A6"/>
    <w:rsid w:val="653E5583"/>
    <w:rsid w:val="653F64B5"/>
    <w:rsid w:val="65442CBA"/>
    <w:rsid w:val="6545060B"/>
    <w:rsid w:val="65513C14"/>
    <w:rsid w:val="65584095"/>
    <w:rsid w:val="65623F20"/>
    <w:rsid w:val="65624D19"/>
    <w:rsid w:val="656514DA"/>
    <w:rsid w:val="656C1BCD"/>
    <w:rsid w:val="65707C2C"/>
    <w:rsid w:val="6572029D"/>
    <w:rsid w:val="65741979"/>
    <w:rsid w:val="657F2E63"/>
    <w:rsid w:val="65853AE9"/>
    <w:rsid w:val="658D62E6"/>
    <w:rsid w:val="65931376"/>
    <w:rsid w:val="659805C0"/>
    <w:rsid w:val="659A1697"/>
    <w:rsid w:val="65A5705B"/>
    <w:rsid w:val="65A87423"/>
    <w:rsid w:val="65AA4C86"/>
    <w:rsid w:val="65B363DF"/>
    <w:rsid w:val="65B43AEC"/>
    <w:rsid w:val="65B8295D"/>
    <w:rsid w:val="65BB400B"/>
    <w:rsid w:val="65CE0C9E"/>
    <w:rsid w:val="65D33E68"/>
    <w:rsid w:val="65DB009A"/>
    <w:rsid w:val="65DD32BC"/>
    <w:rsid w:val="65E21CCA"/>
    <w:rsid w:val="65EC32E5"/>
    <w:rsid w:val="65F061C8"/>
    <w:rsid w:val="65F441B3"/>
    <w:rsid w:val="65F65B2A"/>
    <w:rsid w:val="65FD4589"/>
    <w:rsid w:val="65FF7A90"/>
    <w:rsid w:val="66003EE4"/>
    <w:rsid w:val="660600DF"/>
    <w:rsid w:val="66070283"/>
    <w:rsid w:val="66083B12"/>
    <w:rsid w:val="660B3E3D"/>
    <w:rsid w:val="660C6E9F"/>
    <w:rsid w:val="660E6C4E"/>
    <w:rsid w:val="66101F88"/>
    <w:rsid w:val="66191177"/>
    <w:rsid w:val="6619154B"/>
    <w:rsid w:val="661A0B89"/>
    <w:rsid w:val="66255BFF"/>
    <w:rsid w:val="662639BA"/>
    <w:rsid w:val="66270365"/>
    <w:rsid w:val="662B77A0"/>
    <w:rsid w:val="662F01E1"/>
    <w:rsid w:val="6630148C"/>
    <w:rsid w:val="66447EBD"/>
    <w:rsid w:val="66475647"/>
    <w:rsid w:val="664775F0"/>
    <w:rsid w:val="664B6F71"/>
    <w:rsid w:val="664E23DC"/>
    <w:rsid w:val="664E2650"/>
    <w:rsid w:val="664F3D0B"/>
    <w:rsid w:val="6652062B"/>
    <w:rsid w:val="665C1474"/>
    <w:rsid w:val="66615364"/>
    <w:rsid w:val="66694F4B"/>
    <w:rsid w:val="666C6F22"/>
    <w:rsid w:val="66731E80"/>
    <w:rsid w:val="667810A9"/>
    <w:rsid w:val="66831332"/>
    <w:rsid w:val="66860FFF"/>
    <w:rsid w:val="668F2D4B"/>
    <w:rsid w:val="6697363C"/>
    <w:rsid w:val="66AD64D9"/>
    <w:rsid w:val="66BE5742"/>
    <w:rsid w:val="66D13795"/>
    <w:rsid w:val="66D51723"/>
    <w:rsid w:val="66D63C10"/>
    <w:rsid w:val="66D734E4"/>
    <w:rsid w:val="66D7487B"/>
    <w:rsid w:val="66E5153A"/>
    <w:rsid w:val="66E71872"/>
    <w:rsid w:val="66EB3697"/>
    <w:rsid w:val="66EC3434"/>
    <w:rsid w:val="66F2311B"/>
    <w:rsid w:val="66F66888"/>
    <w:rsid w:val="66F727EF"/>
    <w:rsid w:val="66F77690"/>
    <w:rsid w:val="66F77E3C"/>
    <w:rsid w:val="66F8124E"/>
    <w:rsid w:val="66FD3534"/>
    <w:rsid w:val="66FD73EF"/>
    <w:rsid w:val="66FE3167"/>
    <w:rsid w:val="66FE6CC3"/>
    <w:rsid w:val="66FF280D"/>
    <w:rsid w:val="66FF5A8F"/>
    <w:rsid w:val="67006EDF"/>
    <w:rsid w:val="67094206"/>
    <w:rsid w:val="670D6659"/>
    <w:rsid w:val="671A2E3A"/>
    <w:rsid w:val="671B753A"/>
    <w:rsid w:val="671C10FB"/>
    <w:rsid w:val="672226B7"/>
    <w:rsid w:val="6724186C"/>
    <w:rsid w:val="67267330"/>
    <w:rsid w:val="672D4731"/>
    <w:rsid w:val="673858C6"/>
    <w:rsid w:val="674743C8"/>
    <w:rsid w:val="674C7A41"/>
    <w:rsid w:val="674E7649"/>
    <w:rsid w:val="6755619C"/>
    <w:rsid w:val="67582877"/>
    <w:rsid w:val="675B102C"/>
    <w:rsid w:val="675B7579"/>
    <w:rsid w:val="675D55A7"/>
    <w:rsid w:val="675F2192"/>
    <w:rsid w:val="676845C8"/>
    <w:rsid w:val="676B1118"/>
    <w:rsid w:val="676B22CD"/>
    <w:rsid w:val="67746652"/>
    <w:rsid w:val="677B3668"/>
    <w:rsid w:val="677C15A0"/>
    <w:rsid w:val="677F65D8"/>
    <w:rsid w:val="67802EFA"/>
    <w:rsid w:val="678802ED"/>
    <w:rsid w:val="67961046"/>
    <w:rsid w:val="67980139"/>
    <w:rsid w:val="679876DF"/>
    <w:rsid w:val="679B2F2F"/>
    <w:rsid w:val="679D64DC"/>
    <w:rsid w:val="67A1421E"/>
    <w:rsid w:val="67A23989"/>
    <w:rsid w:val="67A27AFC"/>
    <w:rsid w:val="67A74E48"/>
    <w:rsid w:val="67AC5B79"/>
    <w:rsid w:val="67B11C5B"/>
    <w:rsid w:val="67B6035C"/>
    <w:rsid w:val="67B6134C"/>
    <w:rsid w:val="67B877CA"/>
    <w:rsid w:val="67CA36CD"/>
    <w:rsid w:val="67CB5AE3"/>
    <w:rsid w:val="67CB7E43"/>
    <w:rsid w:val="67D01EEE"/>
    <w:rsid w:val="67D05F56"/>
    <w:rsid w:val="67D11F53"/>
    <w:rsid w:val="67DF56A4"/>
    <w:rsid w:val="67E01BA5"/>
    <w:rsid w:val="67E03808"/>
    <w:rsid w:val="67E97759"/>
    <w:rsid w:val="67EB0B9E"/>
    <w:rsid w:val="67FA3EA4"/>
    <w:rsid w:val="68006EC8"/>
    <w:rsid w:val="68094711"/>
    <w:rsid w:val="680D18B3"/>
    <w:rsid w:val="681346F9"/>
    <w:rsid w:val="68160DEC"/>
    <w:rsid w:val="68190258"/>
    <w:rsid w:val="681A5D7E"/>
    <w:rsid w:val="681D761D"/>
    <w:rsid w:val="68266375"/>
    <w:rsid w:val="68295146"/>
    <w:rsid w:val="682B0D20"/>
    <w:rsid w:val="68330BEE"/>
    <w:rsid w:val="6836153B"/>
    <w:rsid w:val="683A21CA"/>
    <w:rsid w:val="683E1810"/>
    <w:rsid w:val="683E47B8"/>
    <w:rsid w:val="683F7AD2"/>
    <w:rsid w:val="68420858"/>
    <w:rsid w:val="684B55E1"/>
    <w:rsid w:val="6850056F"/>
    <w:rsid w:val="685112E9"/>
    <w:rsid w:val="68514113"/>
    <w:rsid w:val="68541290"/>
    <w:rsid w:val="685A5826"/>
    <w:rsid w:val="685F0A3E"/>
    <w:rsid w:val="68607763"/>
    <w:rsid w:val="686C4C12"/>
    <w:rsid w:val="686F092D"/>
    <w:rsid w:val="6874626F"/>
    <w:rsid w:val="68794E8B"/>
    <w:rsid w:val="687B1AA8"/>
    <w:rsid w:val="687F00C0"/>
    <w:rsid w:val="6890596A"/>
    <w:rsid w:val="68906CCB"/>
    <w:rsid w:val="68941AA2"/>
    <w:rsid w:val="689533A1"/>
    <w:rsid w:val="6895507A"/>
    <w:rsid w:val="68965998"/>
    <w:rsid w:val="689D2BEF"/>
    <w:rsid w:val="689D5338"/>
    <w:rsid w:val="689F675E"/>
    <w:rsid w:val="68A20A77"/>
    <w:rsid w:val="68B37175"/>
    <w:rsid w:val="68C957AD"/>
    <w:rsid w:val="68C9702B"/>
    <w:rsid w:val="68CD0A14"/>
    <w:rsid w:val="68D3413B"/>
    <w:rsid w:val="68D75378"/>
    <w:rsid w:val="68D75C5B"/>
    <w:rsid w:val="68EA3C2B"/>
    <w:rsid w:val="68FD6E33"/>
    <w:rsid w:val="6903697B"/>
    <w:rsid w:val="691B586A"/>
    <w:rsid w:val="691E41B2"/>
    <w:rsid w:val="692B6129"/>
    <w:rsid w:val="692F6AA9"/>
    <w:rsid w:val="69332C99"/>
    <w:rsid w:val="6933534A"/>
    <w:rsid w:val="69341180"/>
    <w:rsid w:val="6934737D"/>
    <w:rsid w:val="693518FB"/>
    <w:rsid w:val="693C7BB9"/>
    <w:rsid w:val="693F526C"/>
    <w:rsid w:val="693F7551"/>
    <w:rsid w:val="69465531"/>
    <w:rsid w:val="6947220C"/>
    <w:rsid w:val="69560380"/>
    <w:rsid w:val="695738BD"/>
    <w:rsid w:val="69575499"/>
    <w:rsid w:val="695D7D9C"/>
    <w:rsid w:val="69690D6B"/>
    <w:rsid w:val="697E134C"/>
    <w:rsid w:val="699F1781"/>
    <w:rsid w:val="69A52143"/>
    <w:rsid w:val="69B4541D"/>
    <w:rsid w:val="69BA0787"/>
    <w:rsid w:val="69C4397C"/>
    <w:rsid w:val="69C67816"/>
    <w:rsid w:val="69CB3757"/>
    <w:rsid w:val="69CF221A"/>
    <w:rsid w:val="69CF257E"/>
    <w:rsid w:val="69D71C14"/>
    <w:rsid w:val="69D96B71"/>
    <w:rsid w:val="69E11ACF"/>
    <w:rsid w:val="69E74168"/>
    <w:rsid w:val="69E90419"/>
    <w:rsid w:val="69ED4E05"/>
    <w:rsid w:val="69FD3A97"/>
    <w:rsid w:val="6A034FCE"/>
    <w:rsid w:val="6A07144C"/>
    <w:rsid w:val="6A0C65D5"/>
    <w:rsid w:val="6A0E7AE3"/>
    <w:rsid w:val="6A156E8A"/>
    <w:rsid w:val="6A171A02"/>
    <w:rsid w:val="6A1908E3"/>
    <w:rsid w:val="6A1D1985"/>
    <w:rsid w:val="6A1E0C4C"/>
    <w:rsid w:val="6A2076C3"/>
    <w:rsid w:val="6A240F66"/>
    <w:rsid w:val="6A2D1C4E"/>
    <w:rsid w:val="6A3047AA"/>
    <w:rsid w:val="6A3550F2"/>
    <w:rsid w:val="6A381952"/>
    <w:rsid w:val="6A3F4A03"/>
    <w:rsid w:val="6A420882"/>
    <w:rsid w:val="6A436049"/>
    <w:rsid w:val="6A4A6A21"/>
    <w:rsid w:val="6A4E7B99"/>
    <w:rsid w:val="6A525926"/>
    <w:rsid w:val="6A5273D1"/>
    <w:rsid w:val="6A543885"/>
    <w:rsid w:val="6A57091D"/>
    <w:rsid w:val="6A6257BB"/>
    <w:rsid w:val="6A6910C1"/>
    <w:rsid w:val="6A7171D7"/>
    <w:rsid w:val="6A750AE2"/>
    <w:rsid w:val="6A782BBF"/>
    <w:rsid w:val="6A7A6FA8"/>
    <w:rsid w:val="6A803564"/>
    <w:rsid w:val="6A88614A"/>
    <w:rsid w:val="6A8A5C7F"/>
    <w:rsid w:val="6A8D7B0B"/>
    <w:rsid w:val="6A8F16D0"/>
    <w:rsid w:val="6A903F85"/>
    <w:rsid w:val="6A9C2E46"/>
    <w:rsid w:val="6A9D776B"/>
    <w:rsid w:val="6A9F22CE"/>
    <w:rsid w:val="6AA87672"/>
    <w:rsid w:val="6AAD3DCE"/>
    <w:rsid w:val="6ABC1EAD"/>
    <w:rsid w:val="6ABC585C"/>
    <w:rsid w:val="6ABD0EED"/>
    <w:rsid w:val="6AC133C0"/>
    <w:rsid w:val="6AC974D8"/>
    <w:rsid w:val="6ACF3D34"/>
    <w:rsid w:val="6AD439D8"/>
    <w:rsid w:val="6AD77D3B"/>
    <w:rsid w:val="6AD85FE7"/>
    <w:rsid w:val="6AD87AE0"/>
    <w:rsid w:val="6AD93742"/>
    <w:rsid w:val="6AE875B9"/>
    <w:rsid w:val="6AEB7E41"/>
    <w:rsid w:val="6AED195F"/>
    <w:rsid w:val="6AEE0ED6"/>
    <w:rsid w:val="6AEE38D8"/>
    <w:rsid w:val="6AF200A6"/>
    <w:rsid w:val="6AF512F4"/>
    <w:rsid w:val="6AF9600E"/>
    <w:rsid w:val="6AFB68EC"/>
    <w:rsid w:val="6AFD51CF"/>
    <w:rsid w:val="6AFD5828"/>
    <w:rsid w:val="6AFD7F0C"/>
    <w:rsid w:val="6B0C4EA8"/>
    <w:rsid w:val="6B1A4248"/>
    <w:rsid w:val="6B1C06F6"/>
    <w:rsid w:val="6B1E7C2F"/>
    <w:rsid w:val="6B2036AC"/>
    <w:rsid w:val="6B2769C2"/>
    <w:rsid w:val="6B2F380D"/>
    <w:rsid w:val="6B370BDA"/>
    <w:rsid w:val="6B451619"/>
    <w:rsid w:val="6B4F2441"/>
    <w:rsid w:val="6B5837AB"/>
    <w:rsid w:val="6B6429DD"/>
    <w:rsid w:val="6B661536"/>
    <w:rsid w:val="6B673E74"/>
    <w:rsid w:val="6B6C6E76"/>
    <w:rsid w:val="6B7432DC"/>
    <w:rsid w:val="6B743A82"/>
    <w:rsid w:val="6B7F1B93"/>
    <w:rsid w:val="6B8B5D96"/>
    <w:rsid w:val="6B8D46FD"/>
    <w:rsid w:val="6B8E7A00"/>
    <w:rsid w:val="6B926010"/>
    <w:rsid w:val="6B931943"/>
    <w:rsid w:val="6B970D25"/>
    <w:rsid w:val="6B9A0856"/>
    <w:rsid w:val="6B9C6539"/>
    <w:rsid w:val="6B9F6E02"/>
    <w:rsid w:val="6BA31BB1"/>
    <w:rsid w:val="6BA5131C"/>
    <w:rsid w:val="6BAA7061"/>
    <w:rsid w:val="6BBA1542"/>
    <w:rsid w:val="6BBD6A19"/>
    <w:rsid w:val="6BCE0CC9"/>
    <w:rsid w:val="6BD565AB"/>
    <w:rsid w:val="6BE52720"/>
    <w:rsid w:val="6BF94813"/>
    <w:rsid w:val="6C0677CC"/>
    <w:rsid w:val="6C0B38EA"/>
    <w:rsid w:val="6C1338EE"/>
    <w:rsid w:val="6C3111D6"/>
    <w:rsid w:val="6C312507"/>
    <w:rsid w:val="6C336D3E"/>
    <w:rsid w:val="6C3702A4"/>
    <w:rsid w:val="6C394FC3"/>
    <w:rsid w:val="6C3D0992"/>
    <w:rsid w:val="6C441988"/>
    <w:rsid w:val="6C467A32"/>
    <w:rsid w:val="6C481D33"/>
    <w:rsid w:val="6C492842"/>
    <w:rsid w:val="6C4A6009"/>
    <w:rsid w:val="6C4F21FC"/>
    <w:rsid w:val="6C570557"/>
    <w:rsid w:val="6C735652"/>
    <w:rsid w:val="6C7F5660"/>
    <w:rsid w:val="6C851344"/>
    <w:rsid w:val="6C857B97"/>
    <w:rsid w:val="6C866306"/>
    <w:rsid w:val="6C891D4F"/>
    <w:rsid w:val="6C8A2C02"/>
    <w:rsid w:val="6C976618"/>
    <w:rsid w:val="6CA21B6A"/>
    <w:rsid w:val="6CAF490C"/>
    <w:rsid w:val="6CBD2908"/>
    <w:rsid w:val="6CC369DB"/>
    <w:rsid w:val="6CC4102F"/>
    <w:rsid w:val="6CC9331B"/>
    <w:rsid w:val="6CD401EC"/>
    <w:rsid w:val="6CDE3856"/>
    <w:rsid w:val="6CE9267E"/>
    <w:rsid w:val="6CED230E"/>
    <w:rsid w:val="6CED2B28"/>
    <w:rsid w:val="6CF03AEE"/>
    <w:rsid w:val="6CF7043C"/>
    <w:rsid w:val="6CF8574D"/>
    <w:rsid w:val="6CF91D8C"/>
    <w:rsid w:val="6CFA6C68"/>
    <w:rsid w:val="6D051620"/>
    <w:rsid w:val="6D0737CE"/>
    <w:rsid w:val="6D075075"/>
    <w:rsid w:val="6D08270F"/>
    <w:rsid w:val="6D0D7C60"/>
    <w:rsid w:val="6D1652A1"/>
    <w:rsid w:val="6D1A0DA5"/>
    <w:rsid w:val="6D25364D"/>
    <w:rsid w:val="6D2A4F0D"/>
    <w:rsid w:val="6D2C31D6"/>
    <w:rsid w:val="6D330529"/>
    <w:rsid w:val="6D34387D"/>
    <w:rsid w:val="6D392A59"/>
    <w:rsid w:val="6D3C511D"/>
    <w:rsid w:val="6D3F766C"/>
    <w:rsid w:val="6D5652DD"/>
    <w:rsid w:val="6D5768B7"/>
    <w:rsid w:val="6D5A3393"/>
    <w:rsid w:val="6D601A36"/>
    <w:rsid w:val="6D683D05"/>
    <w:rsid w:val="6D6A2C2F"/>
    <w:rsid w:val="6D6B5B7D"/>
    <w:rsid w:val="6D7C77B7"/>
    <w:rsid w:val="6D7E02BC"/>
    <w:rsid w:val="6D7F2439"/>
    <w:rsid w:val="6D864941"/>
    <w:rsid w:val="6D897165"/>
    <w:rsid w:val="6D8E4518"/>
    <w:rsid w:val="6D902343"/>
    <w:rsid w:val="6D951ED6"/>
    <w:rsid w:val="6D9662DC"/>
    <w:rsid w:val="6D9B1CAE"/>
    <w:rsid w:val="6D9C4737"/>
    <w:rsid w:val="6DA27507"/>
    <w:rsid w:val="6DB207D0"/>
    <w:rsid w:val="6DBC5712"/>
    <w:rsid w:val="6DBE64B8"/>
    <w:rsid w:val="6DCC6136"/>
    <w:rsid w:val="6DD8502D"/>
    <w:rsid w:val="6DDC381E"/>
    <w:rsid w:val="6DDE33AA"/>
    <w:rsid w:val="6DE005A7"/>
    <w:rsid w:val="6DE24784"/>
    <w:rsid w:val="6DE32556"/>
    <w:rsid w:val="6DE42232"/>
    <w:rsid w:val="6DE52A70"/>
    <w:rsid w:val="6DE9770C"/>
    <w:rsid w:val="6E0018F5"/>
    <w:rsid w:val="6E115DE8"/>
    <w:rsid w:val="6E142D35"/>
    <w:rsid w:val="6E143752"/>
    <w:rsid w:val="6E151D5A"/>
    <w:rsid w:val="6E171279"/>
    <w:rsid w:val="6E1F4036"/>
    <w:rsid w:val="6E2128BE"/>
    <w:rsid w:val="6E242323"/>
    <w:rsid w:val="6E246E46"/>
    <w:rsid w:val="6E297B9D"/>
    <w:rsid w:val="6E2F1C57"/>
    <w:rsid w:val="6E3418C4"/>
    <w:rsid w:val="6E533829"/>
    <w:rsid w:val="6E5D013A"/>
    <w:rsid w:val="6E5D424F"/>
    <w:rsid w:val="6E605C81"/>
    <w:rsid w:val="6E614566"/>
    <w:rsid w:val="6E712C93"/>
    <w:rsid w:val="6E7B658E"/>
    <w:rsid w:val="6E7D3DD0"/>
    <w:rsid w:val="6E855289"/>
    <w:rsid w:val="6E8E2CF2"/>
    <w:rsid w:val="6E94767F"/>
    <w:rsid w:val="6E991824"/>
    <w:rsid w:val="6E9947B3"/>
    <w:rsid w:val="6E9A5523"/>
    <w:rsid w:val="6E9A775F"/>
    <w:rsid w:val="6E9E3FA6"/>
    <w:rsid w:val="6E9F03D8"/>
    <w:rsid w:val="6EBF45C8"/>
    <w:rsid w:val="6EC06586"/>
    <w:rsid w:val="6ED042F3"/>
    <w:rsid w:val="6EDD18B4"/>
    <w:rsid w:val="6EE3488B"/>
    <w:rsid w:val="6EEA2389"/>
    <w:rsid w:val="6EEE103D"/>
    <w:rsid w:val="6EF1606D"/>
    <w:rsid w:val="6EF71452"/>
    <w:rsid w:val="6EF73828"/>
    <w:rsid w:val="6EF86CF7"/>
    <w:rsid w:val="6EFB1A58"/>
    <w:rsid w:val="6F036E5D"/>
    <w:rsid w:val="6F050BC0"/>
    <w:rsid w:val="6F080CC6"/>
    <w:rsid w:val="6F097FDF"/>
    <w:rsid w:val="6F0D1CD6"/>
    <w:rsid w:val="6F0F4C4D"/>
    <w:rsid w:val="6F1E7E69"/>
    <w:rsid w:val="6F2868C8"/>
    <w:rsid w:val="6F293789"/>
    <w:rsid w:val="6F2B0496"/>
    <w:rsid w:val="6F2C5348"/>
    <w:rsid w:val="6F2F090E"/>
    <w:rsid w:val="6F324291"/>
    <w:rsid w:val="6F5615D5"/>
    <w:rsid w:val="6F5942E0"/>
    <w:rsid w:val="6F5F2937"/>
    <w:rsid w:val="6F6049BF"/>
    <w:rsid w:val="6F647E89"/>
    <w:rsid w:val="6F6B7A4C"/>
    <w:rsid w:val="6F6E46E3"/>
    <w:rsid w:val="6F882B72"/>
    <w:rsid w:val="6F8F1206"/>
    <w:rsid w:val="6F8F4E86"/>
    <w:rsid w:val="6FA1711B"/>
    <w:rsid w:val="6FA71788"/>
    <w:rsid w:val="6FB63D4C"/>
    <w:rsid w:val="6FB64E3E"/>
    <w:rsid w:val="6FB6744C"/>
    <w:rsid w:val="6FB97C2B"/>
    <w:rsid w:val="6FBD0418"/>
    <w:rsid w:val="6FC048BC"/>
    <w:rsid w:val="6FC56779"/>
    <w:rsid w:val="6FC70A73"/>
    <w:rsid w:val="6FCB24DF"/>
    <w:rsid w:val="6FD131C7"/>
    <w:rsid w:val="6FD5651B"/>
    <w:rsid w:val="6FD66065"/>
    <w:rsid w:val="6FD67575"/>
    <w:rsid w:val="6FD7411F"/>
    <w:rsid w:val="6FDD4897"/>
    <w:rsid w:val="6FE17402"/>
    <w:rsid w:val="6FEA1419"/>
    <w:rsid w:val="6FEF0689"/>
    <w:rsid w:val="6FFD46A9"/>
    <w:rsid w:val="70041191"/>
    <w:rsid w:val="70054994"/>
    <w:rsid w:val="70055A2E"/>
    <w:rsid w:val="70094861"/>
    <w:rsid w:val="70116EF3"/>
    <w:rsid w:val="701A5543"/>
    <w:rsid w:val="701D5921"/>
    <w:rsid w:val="70271646"/>
    <w:rsid w:val="702A3801"/>
    <w:rsid w:val="70445721"/>
    <w:rsid w:val="70495453"/>
    <w:rsid w:val="704F139A"/>
    <w:rsid w:val="70532079"/>
    <w:rsid w:val="705423B6"/>
    <w:rsid w:val="706109F2"/>
    <w:rsid w:val="70651B61"/>
    <w:rsid w:val="706F76FE"/>
    <w:rsid w:val="707137F1"/>
    <w:rsid w:val="70732A2D"/>
    <w:rsid w:val="70766CF4"/>
    <w:rsid w:val="707912BD"/>
    <w:rsid w:val="70803921"/>
    <w:rsid w:val="708061C3"/>
    <w:rsid w:val="70816B68"/>
    <w:rsid w:val="70881160"/>
    <w:rsid w:val="708D466D"/>
    <w:rsid w:val="708E2E66"/>
    <w:rsid w:val="70904285"/>
    <w:rsid w:val="7096018B"/>
    <w:rsid w:val="7098290A"/>
    <w:rsid w:val="70983EB2"/>
    <w:rsid w:val="709D12FB"/>
    <w:rsid w:val="709D2060"/>
    <w:rsid w:val="70AA0F73"/>
    <w:rsid w:val="70AE175A"/>
    <w:rsid w:val="70B84826"/>
    <w:rsid w:val="70C25F11"/>
    <w:rsid w:val="70C75C1B"/>
    <w:rsid w:val="70C801BA"/>
    <w:rsid w:val="70CB4C66"/>
    <w:rsid w:val="70D07E34"/>
    <w:rsid w:val="70D1066A"/>
    <w:rsid w:val="70D14DB1"/>
    <w:rsid w:val="70DE2209"/>
    <w:rsid w:val="70E06E29"/>
    <w:rsid w:val="70EA2DB6"/>
    <w:rsid w:val="70EC5AB1"/>
    <w:rsid w:val="70F0560F"/>
    <w:rsid w:val="70F72A90"/>
    <w:rsid w:val="70F76789"/>
    <w:rsid w:val="70F93503"/>
    <w:rsid w:val="71073280"/>
    <w:rsid w:val="71092F0B"/>
    <w:rsid w:val="711C3351"/>
    <w:rsid w:val="711F364D"/>
    <w:rsid w:val="71235557"/>
    <w:rsid w:val="71241A1C"/>
    <w:rsid w:val="71276BFD"/>
    <w:rsid w:val="712C665B"/>
    <w:rsid w:val="713E37CA"/>
    <w:rsid w:val="71415607"/>
    <w:rsid w:val="71470309"/>
    <w:rsid w:val="71480353"/>
    <w:rsid w:val="71497D42"/>
    <w:rsid w:val="714E0C12"/>
    <w:rsid w:val="71533507"/>
    <w:rsid w:val="715D0F2B"/>
    <w:rsid w:val="716B53BA"/>
    <w:rsid w:val="716C7460"/>
    <w:rsid w:val="71811901"/>
    <w:rsid w:val="71815A56"/>
    <w:rsid w:val="718657BA"/>
    <w:rsid w:val="718A2D0C"/>
    <w:rsid w:val="718C51B4"/>
    <w:rsid w:val="71914168"/>
    <w:rsid w:val="71940B11"/>
    <w:rsid w:val="71A843FB"/>
    <w:rsid w:val="71AD4DCE"/>
    <w:rsid w:val="71B61B68"/>
    <w:rsid w:val="71BC7B23"/>
    <w:rsid w:val="71C254BD"/>
    <w:rsid w:val="71C43B3E"/>
    <w:rsid w:val="71C52870"/>
    <w:rsid w:val="71C652B0"/>
    <w:rsid w:val="71CA2F8E"/>
    <w:rsid w:val="71CB1C7C"/>
    <w:rsid w:val="71D04246"/>
    <w:rsid w:val="71D747B4"/>
    <w:rsid w:val="71D93505"/>
    <w:rsid w:val="71DA6F2B"/>
    <w:rsid w:val="71E70440"/>
    <w:rsid w:val="720158B9"/>
    <w:rsid w:val="7201728A"/>
    <w:rsid w:val="72025076"/>
    <w:rsid w:val="720965F3"/>
    <w:rsid w:val="72155B21"/>
    <w:rsid w:val="72157174"/>
    <w:rsid w:val="721D249D"/>
    <w:rsid w:val="72203D1C"/>
    <w:rsid w:val="722B2C07"/>
    <w:rsid w:val="723074DF"/>
    <w:rsid w:val="72342D06"/>
    <w:rsid w:val="72362B15"/>
    <w:rsid w:val="72394BFF"/>
    <w:rsid w:val="723A1D4B"/>
    <w:rsid w:val="723B0DCB"/>
    <w:rsid w:val="723C28FC"/>
    <w:rsid w:val="723E7AD0"/>
    <w:rsid w:val="723F0DBE"/>
    <w:rsid w:val="723F67BB"/>
    <w:rsid w:val="723F6B0D"/>
    <w:rsid w:val="7245554A"/>
    <w:rsid w:val="7249173A"/>
    <w:rsid w:val="724C122A"/>
    <w:rsid w:val="724F4877"/>
    <w:rsid w:val="725505D3"/>
    <w:rsid w:val="72556D83"/>
    <w:rsid w:val="725839D3"/>
    <w:rsid w:val="7259717D"/>
    <w:rsid w:val="72621A7F"/>
    <w:rsid w:val="726D6CAB"/>
    <w:rsid w:val="72700DF5"/>
    <w:rsid w:val="72705CB2"/>
    <w:rsid w:val="72711126"/>
    <w:rsid w:val="727322D0"/>
    <w:rsid w:val="72732F9F"/>
    <w:rsid w:val="7273651B"/>
    <w:rsid w:val="727A7C8D"/>
    <w:rsid w:val="727B1F2D"/>
    <w:rsid w:val="727B319C"/>
    <w:rsid w:val="727F572A"/>
    <w:rsid w:val="72811CEE"/>
    <w:rsid w:val="728E4D06"/>
    <w:rsid w:val="72945A53"/>
    <w:rsid w:val="72987EA8"/>
    <w:rsid w:val="72B047B2"/>
    <w:rsid w:val="72C31B2D"/>
    <w:rsid w:val="72C8493B"/>
    <w:rsid w:val="72CB2CD0"/>
    <w:rsid w:val="72CD144E"/>
    <w:rsid w:val="72D134DE"/>
    <w:rsid w:val="72D57966"/>
    <w:rsid w:val="72DD01BE"/>
    <w:rsid w:val="72DD1BDE"/>
    <w:rsid w:val="72E01973"/>
    <w:rsid w:val="72E316E7"/>
    <w:rsid w:val="72E44DF3"/>
    <w:rsid w:val="72EB0130"/>
    <w:rsid w:val="72F57A4E"/>
    <w:rsid w:val="72F73362"/>
    <w:rsid w:val="72FA752B"/>
    <w:rsid w:val="72FD6392"/>
    <w:rsid w:val="72FE789D"/>
    <w:rsid w:val="72FF5447"/>
    <w:rsid w:val="72FF6B34"/>
    <w:rsid w:val="731A4C2B"/>
    <w:rsid w:val="73213812"/>
    <w:rsid w:val="732B1540"/>
    <w:rsid w:val="732C1547"/>
    <w:rsid w:val="732F34C5"/>
    <w:rsid w:val="733C60FD"/>
    <w:rsid w:val="7348540A"/>
    <w:rsid w:val="73495B32"/>
    <w:rsid w:val="734B54A4"/>
    <w:rsid w:val="73555EBD"/>
    <w:rsid w:val="735A3627"/>
    <w:rsid w:val="7363713D"/>
    <w:rsid w:val="7364132F"/>
    <w:rsid w:val="73666F58"/>
    <w:rsid w:val="736953A2"/>
    <w:rsid w:val="737F118B"/>
    <w:rsid w:val="73892637"/>
    <w:rsid w:val="738D49B5"/>
    <w:rsid w:val="738E14FD"/>
    <w:rsid w:val="739A7D73"/>
    <w:rsid w:val="73A6581B"/>
    <w:rsid w:val="73AE1BE5"/>
    <w:rsid w:val="73AF37DA"/>
    <w:rsid w:val="73AF7CC3"/>
    <w:rsid w:val="73B344B6"/>
    <w:rsid w:val="73BD1EB7"/>
    <w:rsid w:val="73CB1409"/>
    <w:rsid w:val="73CE790A"/>
    <w:rsid w:val="73CF2113"/>
    <w:rsid w:val="73D23222"/>
    <w:rsid w:val="73E003D1"/>
    <w:rsid w:val="73E23B6D"/>
    <w:rsid w:val="73E74253"/>
    <w:rsid w:val="73FB375D"/>
    <w:rsid w:val="740272D5"/>
    <w:rsid w:val="74054F84"/>
    <w:rsid w:val="740B3EAE"/>
    <w:rsid w:val="740C0D95"/>
    <w:rsid w:val="740D0733"/>
    <w:rsid w:val="740E228F"/>
    <w:rsid w:val="740E7F30"/>
    <w:rsid w:val="7416389E"/>
    <w:rsid w:val="741C0D36"/>
    <w:rsid w:val="741C619B"/>
    <w:rsid w:val="74213FF1"/>
    <w:rsid w:val="74221EBD"/>
    <w:rsid w:val="7423796B"/>
    <w:rsid w:val="742907E9"/>
    <w:rsid w:val="74295BD7"/>
    <w:rsid w:val="742D6863"/>
    <w:rsid w:val="74347BE6"/>
    <w:rsid w:val="743562A5"/>
    <w:rsid w:val="7437463E"/>
    <w:rsid w:val="743D52CE"/>
    <w:rsid w:val="744B103D"/>
    <w:rsid w:val="74516DDD"/>
    <w:rsid w:val="745200D1"/>
    <w:rsid w:val="74541440"/>
    <w:rsid w:val="74552352"/>
    <w:rsid w:val="745B0F15"/>
    <w:rsid w:val="7463285B"/>
    <w:rsid w:val="74632A5E"/>
    <w:rsid w:val="746E7D68"/>
    <w:rsid w:val="7470586B"/>
    <w:rsid w:val="7478139A"/>
    <w:rsid w:val="74795969"/>
    <w:rsid w:val="748162CE"/>
    <w:rsid w:val="748202F8"/>
    <w:rsid w:val="74834279"/>
    <w:rsid w:val="748348ED"/>
    <w:rsid w:val="74877914"/>
    <w:rsid w:val="749642FF"/>
    <w:rsid w:val="749811BB"/>
    <w:rsid w:val="749D23FA"/>
    <w:rsid w:val="74AB4AC7"/>
    <w:rsid w:val="74B65081"/>
    <w:rsid w:val="74BC310B"/>
    <w:rsid w:val="74BC781F"/>
    <w:rsid w:val="74BF4B59"/>
    <w:rsid w:val="74C43511"/>
    <w:rsid w:val="74C65346"/>
    <w:rsid w:val="74C935DC"/>
    <w:rsid w:val="74D0590E"/>
    <w:rsid w:val="74D97635"/>
    <w:rsid w:val="74E97B45"/>
    <w:rsid w:val="74EF2AE7"/>
    <w:rsid w:val="74F016BD"/>
    <w:rsid w:val="75066890"/>
    <w:rsid w:val="750B1798"/>
    <w:rsid w:val="750E2891"/>
    <w:rsid w:val="750F1CF5"/>
    <w:rsid w:val="752000AC"/>
    <w:rsid w:val="75220300"/>
    <w:rsid w:val="752539F4"/>
    <w:rsid w:val="752C6330"/>
    <w:rsid w:val="7530098F"/>
    <w:rsid w:val="75337796"/>
    <w:rsid w:val="75381CB1"/>
    <w:rsid w:val="753C6ECE"/>
    <w:rsid w:val="753D524E"/>
    <w:rsid w:val="754108DA"/>
    <w:rsid w:val="754461E9"/>
    <w:rsid w:val="75453D02"/>
    <w:rsid w:val="754629E6"/>
    <w:rsid w:val="754A0877"/>
    <w:rsid w:val="75521659"/>
    <w:rsid w:val="75533FDA"/>
    <w:rsid w:val="755706DF"/>
    <w:rsid w:val="75581C24"/>
    <w:rsid w:val="75622B13"/>
    <w:rsid w:val="756B7033"/>
    <w:rsid w:val="756C0ECD"/>
    <w:rsid w:val="757728D2"/>
    <w:rsid w:val="758E2AA6"/>
    <w:rsid w:val="758F40D3"/>
    <w:rsid w:val="759115EC"/>
    <w:rsid w:val="75913ABF"/>
    <w:rsid w:val="759F3282"/>
    <w:rsid w:val="75A212FA"/>
    <w:rsid w:val="75A46D13"/>
    <w:rsid w:val="75A7723F"/>
    <w:rsid w:val="75AB1E72"/>
    <w:rsid w:val="75B60ECF"/>
    <w:rsid w:val="75B64F3F"/>
    <w:rsid w:val="75B908EE"/>
    <w:rsid w:val="75C31803"/>
    <w:rsid w:val="75C87B64"/>
    <w:rsid w:val="75CA2C48"/>
    <w:rsid w:val="75D106D7"/>
    <w:rsid w:val="75D31A63"/>
    <w:rsid w:val="75D66DBB"/>
    <w:rsid w:val="75D73501"/>
    <w:rsid w:val="75D831F0"/>
    <w:rsid w:val="75DA08FB"/>
    <w:rsid w:val="75E1615B"/>
    <w:rsid w:val="75F2380A"/>
    <w:rsid w:val="760C6520"/>
    <w:rsid w:val="760D5CD0"/>
    <w:rsid w:val="7616035B"/>
    <w:rsid w:val="761806BD"/>
    <w:rsid w:val="76227E09"/>
    <w:rsid w:val="76276092"/>
    <w:rsid w:val="76295220"/>
    <w:rsid w:val="762A60A0"/>
    <w:rsid w:val="762A6A1E"/>
    <w:rsid w:val="762D0EFC"/>
    <w:rsid w:val="7634605A"/>
    <w:rsid w:val="76436971"/>
    <w:rsid w:val="76492863"/>
    <w:rsid w:val="764D2D48"/>
    <w:rsid w:val="764D73AD"/>
    <w:rsid w:val="7652295A"/>
    <w:rsid w:val="765859FE"/>
    <w:rsid w:val="76591F00"/>
    <w:rsid w:val="765B28D5"/>
    <w:rsid w:val="765C6931"/>
    <w:rsid w:val="76641FF3"/>
    <w:rsid w:val="766C76F7"/>
    <w:rsid w:val="766E0306"/>
    <w:rsid w:val="76734F12"/>
    <w:rsid w:val="76760B78"/>
    <w:rsid w:val="767D1A60"/>
    <w:rsid w:val="767E397C"/>
    <w:rsid w:val="76834910"/>
    <w:rsid w:val="76854545"/>
    <w:rsid w:val="768F064E"/>
    <w:rsid w:val="769E62A4"/>
    <w:rsid w:val="76A62318"/>
    <w:rsid w:val="76AD22C2"/>
    <w:rsid w:val="76B64EC4"/>
    <w:rsid w:val="76BD26F7"/>
    <w:rsid w:val="76CA2B96"/>
    <w:rsid w:val="76CE49BC"/>
    <w:rsid w:val="76D654E3"/>
    <w:rsid w:val="76E11B21"/>
    <w:rsid w:val="76F2769B"/>
    <w:rsid w:val="76F4274E"/>
    <w:rsid w:val="76F468C1"/>
    <w:rsid w:val="76F61765"/>
    <w:rsid w:val="77057AC7"/>
    <w:rsid w:val="77091C1D"/>
    <w:rsid w:val="77176176"/>
    <w:rsid w:val="77184DBB"/>
    <w:rsid w:val="77187EED"/>
    <w:rsid w:val="77273EF9"/>
    <w:rsid w:val="772810EA"/>
    <w:rsid w:val="772B7C4A"/>
    <w:rsid w:val="77353F3A"/>
    <w:rsid w:val="77355FF8"/>
    <w:rsid w:val="773B3B6C"/>
    <w:rsid w:val="773E690B"/>
    <w:rsid w:val="77400703"/>
    <w:rsid w:val="7756121A"/>
    <w:rsid w:val="7758133C"/>
    <w:rsid w:val="775B68E4"/>
    <w:rsid w:val="77606A50"/>
    <w:rsid w:val="7763584A"/>
    <w:rsid w:val="776963DA"/>
    <w:rsid w:val="777668F5"/>
    <w:rsid w:val="777942B0"/>
    <w:rsid w:val="777B48D8"/>
    <w:rsid w:val="777B6635"/>
    <w:rsid w:val="777E21DF"/>
    <w:rsid w:val="777F7BCB"/>
    <w:rsid w:val="77815231"/>
    <w:rsid w:val="7785679F"/>
    <w:rsid w:val="778D3C62"/>
    <w:rsid w:val="778F7D27"/>
    <w:rsid w:val="77A00DF4"/>
    <w:rsid w:val="77A15356"/>
    <w:rsid w:val="77A87F21"/>
    <w:rsid w:val="77AE3264"/>
    <w:rsid w:val="77B935E5"/>
    <w:rsid w:val="77BC6466"/>
    <w:rsid w:val="77C4088D"/>
    <w:rsid w:val="77D23813"/>
    <w:rsid w:val="77D45F4A"/>
    <w:rsid w:val="77D77B93"/>
    <w:rsid w:val="77DC1C29"/>
    <w:rsid w:val="77EE0CEA"/>
    <w:rsid w:val="77EF091C"/>
    <w:rsid w:val="77F109E8"/>
    <w:rsid w:val="77F56FD2"/>
    <w:rsid w:val="77FE37C0"/>
    <w:rsid w:val="780E2EA0"/>
    <w:rsid w:val="781A6637"/>
    <w:rsid w:val="78213EEA"/>
    <w:rsid w:val="782803D5"/>
    <w:rsid w:val="782A457F"/>
    <w:rsid w:val="78335386"/>
    <w:rsid w:val="783B305E"/>
    <w:rsid w:val="783C3AEF"/>
    <w:rsid w:val="783D7A4E"/>
    <w:rsid w:val="783E55CA"/>
    <w:rsid w:val="784758CF"/>
    <w:rsid w:val="78485FF0"/>
    <w:rsid w:val="784937C3"/>
    <w:rsid w:val="784C3D32"/>
    <w:rsid w:val="784E3B4B"/>
    <w:rsid w:val="7857163D"/>
    <w:rsid w:val="785A41C8"/>
    <w:rsid w:val="785C7C68"/>
    <w:rsid w:val="7861169D"/>
    <w:rsid w:val="786609D2"/>
    <w:rsid w:val="78671B47"/>
    <w:rsid w:val="78693FFC"/>
    <w:rsid w:val="787F34C3"/>
    <w:rsid w:val="78811BD8"/>
    <w:rsid w:val="7883527A"/>
    <w:rsid w:val="78862191"/>
    <w:rsid w:val="78864B66"/>
    <w:rsid w:val="788823C6"/>
    <w:rsid w:val="78920B5A"/>
    <w:rsid w:val="78947487"/>
    <w:rsid w:val="78954C16"/>
    <w:rsid w:val="78981E47"/>
    <w:rsid w:val="7898512E"/>
    <w:rsid w:val="78990247"/>
    <w:rsid w:val="789B6C35"/>
    <w:rsid w:val="78A75ED7"/>
    <w:rsid w:val="78A771BA"/>
    <w:rsid w:val="78B6638E"/>
    <w:rsid w:val="78C347C2"/>
    <w:rsid w:val="78C410EC"/>
    <w:rsid w:val="78C62E83"/>
    <w:rsid w:val="78CE0448"/>
    <w:rsid w:val="78D05AFB"/>
    <w:rsid w:val="78D5211B"/>
    <w:rsid w:val="78E97A5B"/>
    <w:rsid w:val="78EB019C"/>
    <w:rsid w:val="78EC73CE"/>
    <w:rsid w:val="78ED2141"/>
    <w:rsid w:val="78EE37FE"/>
    <w:rsid w:val="78FD39FA"/>
    <w:rsid w:val="790B0C35"/>
    <w:rsid w:val="791372F6"/>
    <w:rsid w:val="79141B3F"/>
    <w:rsid w:val="79271F70"/>
    <w:rsid w:val="792B1C50"/>
    <w:rsid w:val="792C0101"/>
    <w:rsid w:val="792D0F75"/>
    <w:rsid w:val="79375CA0"/>
    <w:rsid w:val="79386064"/>
    <w:rsid w:val="793D3346"/>
    <w:rsid w:val="79435236"/>
    <w:rsid w:val="79443176"/>
    <w:rsid w:val="79447590"/>
    <w:rsid w:val="794608DF"/>
    <w:rsid w:val="794637B7"/>
    <w:rsid w:val="79501B57"/>
    <w:rsid w:val="79595B42"/>
    <w:rsid w:val="7969495B"/>
    <w:rsid w:val="796C3F60"/>
    <w:rsid w:val="796E0E48"/>
    <w:rsid w:val="796E3111"/>
    <w:rsid w:val="797A140D"/>
    <w:rsid w:val="797B0594"/>
    <w:rsid w:val="797D7D49"/>
    <w:rsid w:val="79846BBF"/>
    <w:rsid w:val="799D3504"/>
    <w:rsid w:val="799F0BFC"/>
    <w:rsid w:val="79A143D1"/>
    <w:rsid w:val="79A44421"/>
    <w:rsid w:val="79A872C0"/>
    <w:rsid w:val="79B00387"/>
    <w:rsid w:val="79B13DC0"/>
    <w:rsid w:val="79B17F93"/>
    <w:rsid w:val="79BE5D52"/>
    <w:rsid w:val="79C8563A"/>
    <w:rsid w:val="79CB4676"/>
    <w:rsid w:val="79CC73D5"/>
    <w:rsid w:val="79CD74FE"/>
    <w:rsid w:val="79D033A0"/>
    <w:rsid w:val="79D5076B"/>
    <w:rsid w:val="79D55C9B"/>
    <w:rsid w:val="79D87769"/>
    <w:rsid w:val="79DA078F"/>
    <w:rsid w:val="79DE28E7"/>
    <w:rsid w:val="79E370AE"/>
    <w:rsid w:val="79E65A0C"/>
    <w:rsid w:val="79EB1840"/>
    <w:rsid w:val="79EC0EC1"/>
    <w:rsid w:val="79ED0B86"/>
    <w:rsid w:val="79EF70E4"/>
    <w:rsid w:val="79F24465"/>
    <w:rsid w:val="79F3603F"/>
    <w:rsid w:val="79FB0B3C"/>
    <w:rsid w:val="7A0467B1"/>
    <w:rsid w:val="7A0744D1"/>
    <w:rsid w:val="7A085072"/>
    <w:rsid w:val="7A0C60E7"/>
    <w:rsid w:val="7A1258C5"/>
    <w:rsid w:val="7A1545F8"/>
    <w:rsid w:val="7A260A8F"/>
    <w:rsid w:val="7A282520"/>
    <w:rsid w:val="7A3C369B"/>
    <w:rsid w:val="7A3F2AE4"/>
    <w:rsid w:val="7A436F7C"/>
    <w:rsid w:val="7A437B15"/>
    <w:rsid w:val="7A467EA8"/>
    <w:rsid w:val="7A5A4E87"/>
    <w:rsid w:val="7A5F5399"/>
    <w:rsid w:val="7A670DC1"/>
    <w:rsid w:val="7A6C57E5"/>
    <w:rsid w:val="7A774DAF"/>
    <w:rsid w:val="7A7F15E3"/>
    <w:rsid w:val="7A83138F"/>
    <w:rsid w:val="7A85037B"/>
    <w:rsid w:val="7A940F25"/>
    <w:rsid w:val="7A9462B6"/>
    <w:rsid w:val="7A961A4D"/>
    <w:rsid w:val="7A9A78D1"/>
    <w:rsid w:val="7A9C77BD"/>
    <w:rsid w:val="7AA92120"/>
    <w:rsid w:val="7AB363D7"/>
    <w:rsid w:val="7AB54D14"/>
    <w:rsid w:val="7AB67D8C"/>
    <w:rsid w:val="7AB77180"/>
    <w:rsid w:val="7AC14589"/>
    <w:rsid w:val="7AC83FC8"/>
    <w:rsid w:val="7ACB43A1"/>
    <w:rsid w:val="7ACE310B"/>
    <w:rsid w:val="7ACE6E75"/>
    <w:rsid w:val="7AD41DBD"/>
    <w:rsid w:val="7AE82445"/>
    <w:rsid w:val="7AF0377F"/>
    <w:rsid w:val="7AF670C8"/>
    <w:rsid w:val="7AFD6738"/>
    <w:rsid w:val="7AFE6E3A"/>
    <w:rsid w:val="7AFF72F6"/>
    <w:rsid w:val="7B106685"/>
    <w:rsid w:val="7B195822"/>
    <w:rsid w:val="7B1A5E09"/>
    <w:rsid w:val="7B1E559E"/>
    <w:rsid w:val="7B201406"/>
    <w:rsid w:val="7B22641B"/>
    <w:rsid w:val="7B3F1555"/>
    <w:rsid w:val="7B425B5E"/>
    <w:rsid w:val="7B4600E8"/>
    <w:rsid w:val="7B507E0D"/>
    <w:rsid w:val="7B5764AF"/>
    <w:rsid w:val="7B6566BD"/>
    <w:rsid w:val="7B660E1E"/>
    <w:rsid w:val="7B6A39F0"/>
    <w:rsid w:val="7B714987"/>
    <w:rsid w:val="7B744F90"/>
    <w:rsid w:val="7B821168"/>
    <w:rsid w:val="7B8E1F50"/>
    <w:rsid w:val="7B903451"/>
    <w:rsid w:val="7B97514F"/>
    <w:rsid w:val="7B99368A"/>
    <w:rsid w:val="7B9E07F1"/>
    <w:rsid w:val="7BA040F1"/>
    <w:rsid w:val="7BA14A1C"/>
    <w:rsid w:val="7BA47084"/>
    <w:rsid w:val="7BA54215"/>
    <w:rsid w:val="7BAA1F2C"/>
    <w:rsid w:val="7BB7779F"/>
    <w:rsid w:val="7BBE732B"/>
    <w:rsid w:val="7BCB0D94"/>
    <w:rsid w:val="7BD12079"/>
    <w:rsid w:val="7BD44407"/>
    <w:rsid w:val="7BE026AA"/>
    <w:rsid w:val="7BE36225"/>
    <w:rsid w:val="7BE839B7"/>
    <w:rsid w:val="7BEB4059"/>
    <w:rsid w:val="7BED4CCC"/>
    <w:rsid w:val="7BEE1668"/>
    <w:rsid w:val="7BF04785"/>
    <w:rsid w:val="7BF214C1"/>
    <w:rsid w:val="7BF36B62"/>
    <w:rsid w:val="7C1B4269"/>
    <w:rsid w:val="7C1D1AC9"/>
    <w:rsid w:val="7C232DD9"/>
    <w:rsid w:val="7C2A55A2"/>
    <w:rsid w:val="7C314D89"/>
    <w:rsid w:val="7C3364BB"/>
    <w:rsid w:val="7C446A13"/>
    <w:rsid w:val="7C4768D4"/>
    <w:rsid w:val="7C4934A5"/>
    <w:rsid w:val="7C4A0658"/>
    <w:rsid w:val="7C4B536B"/>
    <w:rsid w:val="7C4D0079"/>
    <w:rsid w:val="7C52214F"/>
    <w:rsid w:val="7C547659"/>
    <w:rsid w:val="7C55299D"/>
    <w:rsid w:val="7C58030D"/>
    <w:rsid w:val="7C664EC1"/>
    <w:rsid w:val="7C78742B"/>
    <w:rsid w:val="7C80044E"/>
    <w:rsid w:val="7C873497"/>
    <w:rsid w:val="7C8768C5"/>
    <w:rsid w:val="7C8A5C27"/>
    <w:rsid w:val="7C8B5447"/>
    <w:rsid w:val="7C8D2B6B"/>
    <w:rsid w:val="7C932453"/>
    <w:rsid w:val="7C934DE7"/>
    <w:rsid w:val="7C953BE3"/>
    <w:rsid w:val="7C9D54D2"/>
    <w:rsid w:val="7C9D6B59"/>
    <w:rsid w:val="7CA2449E"/>
    <w:rsid w:val="7CA82982"/>
    <w:rsid w:val="7CAD45BC"/>
    <w:rsid w:val="7CB116A9"/>
    <w:rsid w:val="7CB127A0"/>
    <w:rsid w:val="7CB2301F"/>
    <w:rsid w:val="7CBE3A51"/>
    <w:rsid w:val="7CC05BC2"/>
    <w:rsid w:val="7CC53873"/>
    <w:rsid w:val="7CC87BC1"/>
    <w:rsid w:val="7CD132A4"/>
    <w:rsid w:val="7CD92172"/>
    <w:rsid w:val="7CE0772A"/>
    <w:rsid w:val="7CE25338"/>
    <w:rsid w:val="7CEA0241"/>
    <w:rsid w:val="7CEB1193"/>
    <w:rsid w:val="7CF02985"/>
    <w:rsid w:val="7CF84B94"/>
    <w:rsid w:val="7D030A4F"/>
    <w:rsid w:val="7D056582"/>
    <w:rsid w:val="7D0C5E81"/>
    <w:rsid w:val="7D1721DD"/>
    <w:rsid w:val="7D176B5E"/>
    <w:rsid w:val="7D2C0077"/>
    <w:rsid w:val="7D2C0EC1"/>
    <w:rsid w:val="7D2C20B6"/>
    <w:rsid w:val="7D332EF4"/>
    <w:rsid w:val="7D34140C"/>
    <w:rsid w:val="7D393DF7"/>
    <w:rsid w:val="7D4352DB"/>
    <w:rsid w:val="7D4A45B8"/>
    <w:rsid w:val="7D4B0519"/>
    <w:rsid w:val="7D4F5A86"/>
    <w:rsid w:val="7D5250FF"/>
    <w:rsid w:val="7D5721C5"/>
    <w:rsid w:val="7D5B67C5"/>
    <w:rsid w:val="7D5D262F"/>
    <w:rsid w:val="7D7A4997"/>
    <w:rsid w:val="7D7C34F2"/>
    <w:rsid w:val="7D81402F"/>
    <w:rsid w:val="7D843283"/>
    <w:rsid w:val="7D850917"/>
    <w:rsid w:val="7D8B036D"/>
    <w:rsid w:val="7D8B5DB9"/>
    <w:rsid w:val="7D8E1A04"/>
    <w:rsid w:val="7D91049C"/>
    <w:rsid w:val="7D925CA6"/>
    <w:rsid w:val="7D9D6767"/>
    <w:rsid w:val="7DA737B9"/>
    <w:rsid w:val="7DA75CB5"/>
    <w:rsid w:val="7DA76092"/>
    <w:rsid w:val="7DB62A23"/>
    <w:rsid w:val="7DC02D63"/>
    <w:rsid w:val="7DC205F3"/>
    <w:rsid w:val="7DC40AC5"/>
    <w:rsid w:val="7DC55815"/>
    <w:rsid w:val="7DCA7547"/>
    <w:rsid w:val="7DCB56F9"/>
    <w:rsid w:val="7DD10836"/>
    <w:rsid w:val="7DD24A07"/>
    <w:rsid w:val="7DD412D2"/>
    <w:rsid w:val="7DD47685"/>
    <w:rsid w:val="7DD6794C"/>
    <w:rsid w:val="7DDC707F"/>
    <w:rsid w:val="7DE11004"/>
    <w:rsid w:val="7DE20C95"/>
    <w:rsid w:val="7DE2584F"/>
    <w:rsid w:val="7DE37E98"/>
    <w:rsid w:val="7DE415B6"/>
    <w:rsid w:val="7DEB5EEA"/>
    <w:rsid w:val="7DF17F81"/>
    <w:rsid w:val="7DFA6951"/>
    <w:rsid w:val="7DFF788D"/>
    <w:rsid w:val="7E01023E"/>
    <w:rsid w:val="7E0263DA"/>
    <w:rsid w:val="7E061337"/>
    <w:rsid w:val="7E071275"/>
    <w:rsid w:val="7E0B0110"/>
    <w:rsid w:val="7E0D5661"/>
    <w:rsid w:val="7E105CE8"/>
    <w:rsid w:val="7E156885"/>
    <w:rsid w:val="7E16370D"/>
    <w:rsid w:val="7E221091"/>
    <w:rsid w:val="7E340F89"/>
    <w:rsid w:val="7E4048AC"/>
    <w:rsid w:val="7E48758C"/>
    <w:rsid w:val="7E49178E"/>
    <w:rsid w:val="7E4E20E1"/>
    <w:rsid w:val="7E4E42BE"/>
    <w:rsid w:val="7E510BDD"/>
    <w:rsid w:val="7E536C69"/>
    <w:rsid w:val="7E5D449D"/>
    <w:rsid w:val="7E5F3432"/>
    <w:rsid w:val="7E602721"/>
    <w:rsid w:val="7E607448"/>
    <w:rsid w:val="7E623997"/>
    <w:rsid w:val="7E6512BF"/>
    <w:rsid w:val="7E675E9D"/>
    <w:rsid w:val="7E6B0C8A"/>
    <w:rsid w:val="7E7136CC"/>
    <w:rsid w:val="7E740F7D"/>
    <w:rsid w:val="7E744041"/>
    <w:rsid w:val="7E76359A"/>
    <w:rsid w:val="7E763966"/>
    <w:rsid w:val="7E7E09BD"/>
    <w:rsid w:val="7E8055E4"/>
    <w:rsid w:val="7E815EE3"/>
    <w:rsid w:val="7E837D82"/>
    <w:rsid w:val="7E852C56"/>
    <w:rsid w:val="7E873097"/>
    <w:rsid w:val="7E8A7EF6"/>
    <w:rsid w:val="7EA56B36"/>
    <w:rsid w:val="7EA65DA5"/>
    <w:rsid w:val="7EAD2F22"/>
    <w:rsid w:val="7EAF255B"/>
    <w:rsid w:val="7EAF7397"/>
    <w:rsid w:val="7EB07BF7"/>
    <w:rsid w:val="7EB67F24"/>
    <w:rsid w:val="7EBB57F9"/>
    <w:rsid w:val="7EC07259"/>
    <w:rsid w:val="7EC60FC9"/>
    <w:rsid w:val="7ECF746B"/>
    <w:rsid w:val="7EDA0B2E"/>
    <w:rsid w:val="7EDB7D56"/>
    <w:rsid w:val="7EDD7534"/>
    <w:rsid w:val="7EE36103"/>
    <w:rsid w:val="7EE44903"/>
    <w:rsid w:val="7EED01BA"/>
    <w:rsid w:val="7EEE656E"/>
    <w:rsid w:val="7EFA764E"/>
    <w:rsid w:val="7F011DF8"/>
    <w:rsid w:val="7F124A5E"/>
    <w:rsid w:val="7F1D01D6"/>
    <w:rsid w:val="7F1F284B"/>
    <w:rsid w:val="7F257AF9"/>
    <w:rsid w:val="7F3215EA"/>
    <w:rsid w:val="7F334275"/>
    <w:rsid w:val="7F375567"/>
    <w:rsid w:val="7F4120DD"/>
    <w:rsid w:val="7F437511"/>
    <w:rsid w:val="7F4412FD"/>
    <w:rsid w:val="7F4A32B5"/>
    <w:rsid w:val="7F4A651E"/>
    <w:rsid w:val="7F512408"/>
    <w:rsid w:val="7F5417F6"/>
    <w:rsid w:val="7F542E99"/>
    <w:rsid w:val="7F6125A3"/>
    <w:rsid w:val="7F65145C"/>
    <w:rsid w:val="7F6F3D49"/>
    <w:rsid w:val="7F700B74"/>
    <w:rsid w:val="7F7109D4"/>
    <w:rsid w:val="7F841B51"/>
    <w:rsid w:val="7F8504DC"/>
    <w:rsid w:val="7F8E33B3"/>
    <w:rsid w:val="7F906DA2"/>
    <w:rsid w:val="7F9531C6"/>
    <w:rsid w:val="7F9B62CF"/>
    <w:rsid w:val="7FA0574E"/>
    <w:rsid w:val="7FA2124B"/>
    <w:rsid w:val="7FAC731C"/>
    <w:rsid w:val="7FAE7080"/>
    <w:rsid w:val="7FBE6720"/>
    <w:rsid w:val="7FC134F1"/>
    <w:rsid w:val="7FC36974"/>
    <w:rsid w:val="7FCA5619"/>
    <w:rsid w:val="7FCF1612"/>
    <w:rsid w:val="7FD52433"/>
    <w:rsid w:val="7FDB3C42"/>
    <w:rsid w:val="7FDF1520"/>
    <w:rsid w:val="7FDF3365"/>
    <w:rsid w:val="7FE06151"/>
    <w:rsid w:val="7FE2771A"/>
    <w:rsid w:val="7FE81533"/>
    <w:rsid w:val="7FF11F9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39"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nhideWhenUsed="0" w:uiPriority="0"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1"/>
      <w:szCs w:val="21"/>
      <w:lang w:val="en-US" w:eastAsia="zh-CN" w:bidi="ar-SA"/>
    </w:rPr>
  </w:style>
  <w:style w:type="paragraph" w:styleId="2">
    <w:name w:val="heading 1"/>
    <w:basedOn w:val="1"/>
    <w:next w:val="1"/>
    <w:link w:val="46"/>
    <w:qFormat/>
    <w:uiPriority w:val="0"/>
    <w:pPr>
      <w:keepNext/>
      <w:keepLines/>
      <w:widowControl w:val="0"/>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4"/>
    <w:link w:val="47"/>
    <w:qFormat/>
    <w:uiPriority w:val="0"/>
    <w:pPr>
      <w:keepNext/>
      <w:keepLines/>
      <w:widowControl w:val="0"/>
      <w:spacing w:before="260" w:after="260" w:line="412" w:lineRule="auto"/>
      <w:outlineLvl w:val="1"/>
    </w:pPr>
    <w:rPr>
      <w:rFonts w:ascii="Arial" w:hAnsi="Arial" w:eastAsia="黑体" w:cs="Times New Roman"/>
      <w:b/>
      <w:bCs/>
      <w:sz w:val="32"/>
      <w:szCs w:val="32"/>
    </w:rPr>
  </w:style>
  <w:style w:type="paragraph" w:styleId="5">
    <w:name w:val="heading 3"/>
    <w:basedOn w:val="1"/>
    <w:next w:val="1"/>
    <w:link w:val="48"/>
    <w:qFormat/>
    <w:uiPriority w:val="0"/>
    <w:pPr>
      <w:keepNext/>
      <w:keepLines/>
      <w:widowControl w:val="0"/>
      <w:spacing w:before="380" w:after="380" w:line="412" w:lineRule="auto"/>
      <w:jc w:val="center"/>
      <w:outlineLvl w:val="2"/>
    </w:pPr>
    <w:rPr>
      <w:rFonts w:ascii="Times New Roman" w:hAnsi="Times New Roman" w:eastAsia="宋体" w:cs="Times New Roman"/>
      <w:b/>
      <w:bCs/>
      <w:sz w:val="28"/>
      <w:szCs w:val="32"/>
    </w:rPr>
  </w:style>
  <w:style w:type="paragraph" w:styleId="6">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7">
    <w:name w:val="heading 7"/>
    <w:basedOn w:val="1"/>
    <w:next w:val="1"/>
    <w:qFormat/>
    <w:uiPriority w:val="0"/>
    <w:pPr>
      <w:keepNext/>
      <w:keepLines/>
      <w:spacing w:before="240" w:after="64" w:line="320" w:lineRule="auto"/>
      <w:ind w:left="1526"/>
      <w:outlineLvl w:val="6"/>
    </w:pPr>
    <w:rPr>
      <w:rFonts w:ascii="Times New Roman" w:hAnsi="Times New Roman" w:eastAsia="宋体" w:cs="Times New Roman"/>
      <w:b/>
      <w:bCs/>
      <w:sz w:val="28"/>
      <w:szCs w:val="24"/>
    </w:rPr>
  </w:style>
  <w:style w:type="character" w:default="1" w:styleId="39">
    <w:name w:val="Default Paragraph Font"/>
    <w:qFormat/>
    <w:uiPriority w:val="0"/>
    <w:rPr>
      <w:rFonts w:ascii="Times New Roman" w:hAnsi="Times New Roman" w:eastAsia="宋体" w:cs="Times New Roman"/>
    </w:rPr>
  </w:style>
  <w:style w:type="table" w:default="1" w:styleId="37">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Times New Roman" w:hAnsi="Times New Roman" w:eastAsia="宋体" w:cs="Times New Roman"/>
    </w:rPr>
  </w:style>
  <w:style w:type="paragraph" w:styleId="8">
    <w:name w:val="toc 7"/>
    <w:basedOn w:val="1"/>
    <w:next w:val="1"/>
    <w:qFormat/>
    <w:uiPriority w:val="39"/>
    <w:pPr>
      <w:ind w:left="1260"/>
    </w:pPr>
    <w:rPr>
      <w:rFonts w:ascii="Calibri" w:hAnsi="Calibri" w:eastAsia="宋体" w:cs="Calibri"/>
      <w:sz w:val="18"/>
      <w:szCs w:val="18"/>
    </w:rPr>
  </w:style>
  <w:style w:type="paragraph" w:styleId="9">
    <w:name w:val="Document Map"/>
    <w:basedOn w:val="1"/>
    <w:link w:val="49"/>
    <w:qFormat/>
    <w:uiPriority w:val="99"/>
    <w:rPr>
      <w:rFonts w:ascii="宋体" w:hAnsi="Times New Roman" w:eastAsia="宋体" w:cs="Times New Roman"/>
      <w:sz w:val="18"/>
      <w:szCs w:val="18"/>
    </w:rPr>
  </w:style>
  <w:style w:type="paragraph" w:styleId="10">
    <w:name w:val="toa heading"/>
    <w:basedOn w:val="1"/>
    <w:next w:val="1"/>
    <w:qFormat/>
    <w:uiPriority w:val="0"/>
    <w:pPr>
      <w:widowControl w:val="0"/>
      <w:spacing w:before="120"/>
      <w:jc w:val="both"/>
    </w:pPr>
    <w:rPr>
      <w:rFonts w:ascii="Arial" w:hAnsi="Arial" w:eastAsia="宋体" w:cs="Arial"/>
      <w:kern w:val="2"/>
      <w:sz w:val="24"/>
      <w:szCs w:val="24"/>
    </w:rPr>
  </w:style>
  <w:style w:type="paragraph" w:styleId="11">
    <w:name w:val="annotation text"/>
    <w:basedOn w:val="1"/>
    <w:link w:val="50"/>
    <w:qFormat/>
    <w:uiPriority w:val="0"/>
    <w:pPr>
      <w:jc w:val="left"/>
    </w:pPr>
    <w:rPr>
      <w:rFonts w:ascii="Times New Roman" w:hAnsi="Times New Roman" w:eastAsia="宋体" w:cs="Times New Roman"/>
    </w:rPr>
  </w:style>
  <w:style w:type="paragraph" w:styleId="12">
    <w:name w:val="Body Text 3"/>
    <w:basedOn w:val="1"/>
    <w:link w:val="51"/>
    <w:qFormat/>
    <w:uiPriority w:val="0"/>
    <w:rPr>
      <w:rFonts w:ascii="宋体" w:hAnsi="Times New Roman" w:eastAsia="宋体" w:cs="Times New Roman"/>
      <w:sz w:val="24"/>
      <w:szCs w:val="24"/>
    </w:rPr>
  </w:style>
  <w:style w:type="paragraph" w:styleId="13">
    <w:name w:val="Body Text"/>
    <w:basedOn w:val="1"/>
    <w:next w:val="14"/>
    <w:link w:val="45"/>
    <w:qFormat/>
    <w:uiPriority w:val="99"/>
    <w:pPr>
      <w:spacing w:line="360" w:lineRule="auto"/>
    </w:pPr>
    <w:rPr>
      <w:rFonts w:ascii="Times New Roman" w:hAnsi="Times New Roman" w:eastAsia="宋体" w:cs="Times New Roman"/>
      <w:kern w:val="2"/>
      <w:sz w:val="21"/>
      <w:szCs w:val="24"/>
    </w:rPr>
  </w:style>
  <w:style w:type="paragraph" w:customStyle="1" w:styleId="14">
    <w:name w:val="style4"/>
    <w:basedOn w:val="15"/>
    <w:next w:val="17"/>
    <w:qFormat/>
    <w:uiPriority w:val="0"/>
    <w:pPr>
      <w:spacing w:before="100" w:beforeAutospacing="1" w:after="100" w:afterAutospacing="1"/>
      <w:jc w:val="left"/>
    </w:pPr>
    <w:rPr>
      <w:rFonts w:ascii="宋体" w:hAnsi="宋体" w:cs="宋体"/>
      <w:kern w:val="0"/>
      <w:sz w:val="18"/>
      <w:szCs w:val="18"/>
    </w:rPr>
  </w:style>
  <w:style w:type="paragraph" w:customStyle="1" w:styleId="15">
    <w:name w:val="正文1"/>
    <w:next w:val="16"/>
    <w:qFormat/>
    <w:uiPriority w:val="0"/>
    <w:pPr>
      <w:jc w:val="both"/>
    </w:pPr>
    <w:rPr>
      <w:rFonts w:ascii="Times New Roman" w:hAnsi="Times New Roman" w:eastAsia="宋体" w:cs="Times New Roman"/>
      <w:kern w:val="2"/>
      <w:sz w:val="21"/>
      <w:szCs w:val="21"/>
      <w:lang w:val="en-US" w:eastAsia="zh-CN" w:bidi="ar-SA"/>
    </w:rPr>
  </w:style>
  <w:style w:type="paragraph" w:styleId="16">
    <w:name w:val="Body Text First Indent"/>
    <w:basedOn w:val="13"/>
    <w:next w:val="1"/>
    <w:qFormat/>
    <w:uiPriority w:val="0"/>
    <w:pPr>
      <w:ind w:firstLine="420" w:firstLineChars="100"/>
    </w:pPr>
    <w:rPr>
      <w:rFonts w:ascii="Calibri" w:hAnsi="Calibri" w:eastAsia="宋体" w:cs="Times New Roman"/>
      <w:szCs w:val="22"/>
    </w:rPr>
  </w:style>
  <w:style w:type="paragraph" w:customStyle="1" w:styleId="17">
    <w:name w:val="2"/>
    <w:basedOn w:val="1"/>
    <w:next w:val="1"/>
    <w:qFormat/>
    <w:uiPriority w:val="0"/>
    <w:pPr>
      <w:spacing w:line="360" w:lineRule="auto"/>
    </w:pPr>
    <w:rPr>
      <w:rFonts w:ascii="Times New Roman" w:hAnsi="Times New Roman" w:eastAsia="仿宋_GB2312"/>
      <w:sz w:val="28"/>
      <w:szCs w:val="28"/>
    </w:rPr>
  </w:style>
  <w:style w:type="paragraph" w:styleId="18">
    <w:name w:val="Body Text Indent"/>
    <w:basedOn w:val="1"/>
    <w:link w:val="52"/>
    <w:qFormat/>
    <w:uiPriority w:val="0"/>
    <w:pPr>
      <w:spacing w:line="460" w:lineRule="exact"/>
      <w:ind w:firstLine="510"/>
    </w:pPr>
    <w:rPr>
      <w:rFonts w:ascii="Times New Roman" w:hAnsi="Times New Roman" w:eastAsia="宋体" w:cs="Times New Roman"/>
    </w:rPr>
  </w:style>
  <w:style w:type="paragraph" w:styleId="19">
    <w:name w:val="toc 5"/>
    <w:basedOn w:val="1"/>
    <w:next w:val="1"/>
    <w:qFormat/>
    <w:uiPriority w:val="0"/>
    <w:pPr>
      <w:ind w:left="840"/>
    </w:pPr>
    <w:rPr>
      <w:rFonts w:ascii="Calibri" w:hAnsi="Calibri" w:eastAsia="宋体" w:cs="Calibri"/>
      <w:sz w:val="18"/>
      <w:szCs w:val="18"/>
    </w:rPr>
  </w:style>
  <w:style w:type="paragraph" w:styleId="20">
    <w:name w:val="toc 3"/>
    <w:basedOn w:val="1"/>
    <w:next w:val="1"/>
    <w:qFormat/>
    <w:uiPriority w:val="39"/>
    <w:pPr>
      <w:ind w:left="420"/>
    </w:pPr>
    <w:rPr>
      <w:rFonts w:ascii="Calibri" w:hAnsi="Calibri" w:eastAsia="宋体" w:cs="Calibri"/>
      <w:i/>
      <w:iCs/>
      <w:sz w:val="20"/>
      <w:szCs w:val="20"/>
    </w:rPr>
  </w:style>
  <w:style w:type="paragraph" w:styleId="21">
    <w:name w:val="Plain Text"/>
    <w:basedOn w:val="1"/>
    <w:link w:val="53"/>
    <w:qFormat/>
    <w:uiPriority w:val="0"/>
    <w:rPr>
      <w:rFonts w:ascii="宋体" w:hAnsi="Courier New" w:eastAsia="宋体" w:cs="Times New Roman"/>
      <w:szCs w:val="20"/>
    </w:rPr>
  </w:style>
  <w:style w:type="paragraph" w:styleId="22">
    <w:name w:val="toc 8"/>
    <w:basedOn w:val="1"/>
    <w:next w:val="1"/>
    <w:qFormat/>
    <w:uiPriority w:val="0"/>
    <w:pPr>
      <w:ind w:left="1470"/>
    </w:pPr>
    <w:rPr>
      <w:rFonts w:ascii="Calibri" w:hAnsi="Calibri" w:eastAsia="宋体" w:cs="Calibri"/>
      <w:sz w:val="18"/>
      <w:szCs w:val="18"/>
    </w:rPr>
  </w:style>
  <w:style w:type="paragraph" w:styleId="23">
    <w:name w:val="Body Text Indent 2"/>
    <w:basedOn w:val="1"/>
    <w:qFormat/>
    <w:uiPriority w:val="0"/>
    <w:pPr>
      <w:spacing w:after="120" w:line="480" w:lineRule="auto"/>
      <w:ind w:left="200" w:leftChars="200"/>
    </w:pPr>
  </w:style>
  <w:style w:type="paragraph" w:styleId="24">
    <w:name w:val="Balloon Text"/>
    <w:basedOn w:val="1"/>
    <w:link w:val="54"/>
    <w:qFormat/>
    <w:uiPriority w:val="0"/>
    <w:rPr>
      <w:rFonts w:ascii="Times New Roman" w:hAnsi="Times New Roman" w:eastAsia="宋体" w:cs="Times New Roman"/>
      <w:sz w:val="18"/>
      <w:szCs w:val="18"/>
    </w:rPr>
  </w:style>
  <w:style w:type="paragraph" w:styleId="25">
    <w:name w:val="footer"/>
    <w:basedOn w:val="1"/>
    <w:link w:val="55"/>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26">
    <w:name w:val="header"/>
    <w:basedOn w:val="1"/>
    <w:link w:val="56"/>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7">
    <w:name w:val="toc 1"/>
    <w:basedOn w:val="1"/>
    <w:next w:val="1"/>
    <w:qFormat/>
    <w:uiPriority w:val="39"/>
    <w:pPr>
      <w:spacing w:before="120" w:after="120"/>
    </w:pPr>
    <w:rPr>
      <w:rFonts w:ascii="Calibri" w:hAnsi="Calibri" w:eastAsia="宋体" w:cs="Calibri"/>
      <w:b/>
      <w:bCs/>
      <w:caps/>
      <w:sz w:val="20"/>
      <w:szCs w:val="20"/>
    </w:rPr>
  </w:style>
  <w:style w:type="paragraph" w:styleId="28">
    <w:name w:val="toc 4"/>
    <w:basedOn w:val="1"/>
    <w:next w:val="1"/>
    <w:qFormat/>
    <w:uiPriority w:val="0"/>
    <w:pPr>
      <w:ind w:left="630"/>
    </w:pPr>
    <w:rPr>
      <w:rFonts w:ascii="Calibri" w:hAnsi="Calibri" w:eastAsia="宋体" w:cs="Calibri"/>
      <w:sz w:val="18"/>
      <w:szCs w:val="18"/>
    </w:rPr>
  </w:style>
  <w:style w:type="paragraph" w:styleId="29">
    <w:name w:val="footnote text"/>
    <w:basedOn w:val="1"/>
    <w:qFormat/>
    <w:uiPriority w:val="0"/>
    <w:pPr>
      <w:adjustRightInd w:val="0"/>
      <w:spacing w:line="312" w:lineRule="atLeast"/>
      <w:jc w:val="left"/>
      <w:textAlignment w:val="baseline"/>
    </w:pPr>
    <w:rPr>
      <w:rFonts w:ascii="Times New Roman" w:hAnsi="Times New Roman" w:eastAsia="宋体" w:cs="Times New Roman"/>
      <w:kern w:val="0"/>
      <w:sz w:val="18"/>
      <w:szCs w:val="20"/>
    </w:rPr>
  </w:style>
  <w:style w:type="paragraph" w:styleId="30">
    <w:name w:val="toc 6"/>
    <w:basedOn w:val="1"/>
    <w:next w:val="1"/>
    <w:qFormat/>
    <w:uiPriority w:val="0"/>
    <w:pPr>
      <w:ind w:left="1050"/>
    </w:pPr>
    <w:rPr>
      <w:rFonts w:ascii="Calibri" w:hAnsi="Calibri" w:eastAsia="宋体" w:cs="Calibri"/>
      <w:sz w:val="18"/>
      <w:szCs w:val="18"/>
    </w:rPr>
  </w:style>
  <w:style w:type="paragraph" w:styleId="31">
    <w:name w:val="toc 2"/>
    <w:basedOn w:val="1"/>
    <w:next w:val="1"/>
    <w:qFormat/>
    <w:uiPriority w:val="39"/>
    <w:pPr>
      <w:ind w:left="210"/>
    </w:pPr>
    <w:rPr>
      <w:rFonts w:ascii="Calibri" w:hAnsi="Calibri" w:eastAsia="宋体" w:cs="Calibri"/>
      <w:smallCaps/>
      <w:sz w:val="20"/>
      <w:szCs w:val="20"/>
    </w:rPr>
  </w:style>
  <w:style w:type="paragraph" w:styleId="32">
    <w:name w:val="toc 9"/>
    <w:basedOn w:val="1"/>
    <w:next w:val="1"/>
    <w:qFormat/>
    <w:uiPriority w:val="0"/>
    <w:pPr>
      <w:ind w:left="1680"/>
    </w:pPr>
    <w:rPr>
      <w:rFonts w:ascii="Calibri" w:hAnsi="Calibri" w:eastAsia="宋体" w:cs="Calibri"/>
      <w:sz w:val="18"/>
      <w:szCs w:val="18"/>
    </w:rPr>
  </w:style>
  <w:style w:type="paragraph" w:styleId="3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4">
    <w:name w:val="Normal (Web)"/>
    <w:basedOn w:val="1"/>
    <w:qFormat/>
    <w:uiPriority w:val="0"/>
    <w:pPr>
      <w:spacing w:before="100" w:beforeAutospacing="1" w:after="100" w:afterAutospacing="1"/>
    </w:pPr>
    <w:rPr>
      <w:rFonts w:ascii="Times New Roman" w:hAnsi="Times New Roman" w:eastAsia="宋体" w:cs="Times New Roman"/>
      <w:sz w:val="24"/>
      <w:szCs w:val="24"/>
    </w:rPr>
  </w:style>
  <w:style w:type="paragraph" w:styleId="35">
    <w:name w:val="annotation subject"/>
    <w:basedOn w:val="11"/>
    <w:next w:val="11"/>
    <w:link w:val="57"/>
    <w:qFormat/>
    <w:uiPriority w:val="0"/>
    <w:rPr>
      <w:rFonts w:ascii="Times New Roman" w:hAnsi="Times New Roman" w:eastAsia="宋体" w:cs="Times New Roman"/>
      <w:b/>
      <w:bCs/>
    </w:rPr>
  </w:style>
  <w:style w:type="paragraph" w:styleId="36">
    <w:name w:val="Body Text First Indent 2"/>
    <w:basedOn w:val="18"/>
    <w:qFormat/>
    <w:uiPriority w:val="0"/>
    <w:pPr>
      <w:spacing w:after="120"/>
      <w:ind w:left="420" w:leftChars="200" w:firstLine="420"/>
    </w:pPr>
    <w:rPr>
      <w:rFonts w:ascii="Times New Roman" w:hAnsi="Times New Roman" w:eastAsia="宋体" w:cs="Times New Roman"/>
    </w:rPr>
  </w:style>
  <w:style w:type="table" w:styleId="38">
    <w:name w:val="Table Grid"/>
    <w:basedOn w:val="37"/>
    <w:qFormat/>
    <w:uiPriority w:val="0"/>
    <w:pPr>
      <w:widowControl w:val="0"/>
      <w:jc w:val="both"/>
    </w:pPr>
    <w:rPr>
      <w:rFonts w:ascii="Calibri" w:hAnsi="Calibri" w:eastAsia="Times New Roman" w:cs="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0"/>
    <w:rPr>
      <w:rFonts w:ascii="Times New Roman" w:hAnsi="Times New Roman" w:eastAsia="宋体" w:cs="Times New Roman"/>
      <w:b/>
    </w:rPr>
  </w:style>
  <w:style w:type="character" w:styleId="41">
    <w:name w:val="FollowedHyperlink"/>
    <w:qFormat/>
    <w:uiPriority w:val="0"/>
    <w:rPr>
      <w:rFonts w:ascii="Times New Roman" w:hAnsi="Times New Roman" w:eastAsia="宋体" w:cs="Times New Roman"/>
      <w:color w:val="333333"/>
      <w:u w:val="none"/>
    </w:rPr>
  </w:style>
  <w:style w:type="character" w:styleId="42">
    <w:name w:val="Emphasis"/>
    <w:basedOn w:val="39"/>
    <w:qFormat/>
    <w:uiPriority w:val="0"/>
    <w:rPr>
      <w:rFonts w:ascii="Times New Roman" w:hAnsi="Times New Roman" w:eastAsia="宋体" w:cs="Times New Roman"/>
      <w:i/>
    </w:rPr>
  </w:style>
  <w:style w:type="character" w:styleId="43">
    <w:name w:val="Hyperlink"/>
    <w:qFormat/>
    <w:uiPriority w:val="99"/>
    <w:rPr>
      <w:rFonts w:ascii="Times New Roman" w:hAnsi="Times New Roman" w:eastAsia="宋体" w:cs="Times New Roman"/>
      <w:color w:val="333333"/>
      <w:u w:val="none"/>
    </w:rPr>
  </w:style>
  <w:style w:type="character" w:styleId="44">
    <w:name w:val="annotation reference"/>
    <w:qFormat/>
    <w:uiPriority w:val="0"/>
    <w:rPr>
      <w:rFonts w:ascii="Times New Roman" w:hAnsi="Times New Roman" w:eastAsia="宋体" w:cs="Times New Roman"/>
      <w:sz w:val="21"/>
      <w:szCs w:val="21"/>
    </w:rPr>
  </w:style>
  <w:style w:type="character" w:customStyle="1" w:styleId="45">
    <w:name w:val="正文文本 字符"/>
    <w:link w:val="13"/>
    <w:qFormat/>
    <w:uiPriority w:val="99"/>
    <w:rPr>
      <w:kern w:val="2"/>
      <w:sz w:val="21"/>
      <w:szCs w:val="24"/>
    </w:rPr>
  </w:style>
  <w:style w:type="character" w:customStyle="1" w:styleId="46">
    <w:name w:val="标题 1 字符"/>
    <w:link w:val="2"/>
    <w:qFormat/>
    <w:uiPriority w:val="0"/>
    <w:rPr>
      <w:rFonts w:ascii="Calibri" w:hAnsi="Calibri" w:eastAsia="宋体" w:cs="Times New Roman"/>
      <w:b/>
      <w:bCs/>
      <w:kern w:val="44"/>
      <w:sz w:val="44"/>
      <w:szCs w:val="44"/>
    </w:rPr>
  </w:style>
  <w:style w:type="character" w:customStyle="1" w:styleId="47">
    <w:name w:val="标题 2 字符"/>
    <w:link w:val="3"/>
    <w:qFormat/>
    <w:uiPriority w:val="0"/>
    <w:rPr>
      <w:rFonts w:ascii="Arial" w:hAnsi="Arial" w:eastAsia="黑体" w:cs="Times New Roman"/>
      <w:b/>
      <w:bCs/>
      <w:kern w:val="0"/>
      <w:sz w:val="32"/>
      <w:szCs w:val="32"/>
    </w:rPr>
  </w:style>
  <w:style w:type="character" w:customStyle="1" w:styleId="48">
    <w:name w:val="标题 3 字符"/>
    <w:link w:val="5"/>
    <w:qFormat/>
    <w:uiPriority w:val="0"/>
    <w:rPr>
      <w:rFonts w:ascii="Times New Roman" w:hAnsi="Times New Roman" w:eastAsia="宋体" w:cs="Times New Roman"/>
      <w:b/>
      <w:bCs/>
      <w:kern w:val="0"/>
      <w:sz w:val="28"/>
      <w:szCs w:val="32"/>
    </w:rPr>
  </w:style>
  <w:style w:type="character" w:customStyle="1" w:styleId="49">
    <w:name w:val="文档结构图 字符"/>
    <w:link w:val="9"/>
    <w:qFormat/>
    <w:uiPriority w:val="99"/>
    <w:rPr>
      <w:rFonts w:ascii="宋体" w:hAnsi="Times New Roman" w:eastAsia="宋体" w:cs="Times New Roman"/>
      <w:sz w:val="18"/>
      <w:szCs w:val="18"/>
    </w:rPr>
  </w:style>
  <w:style w:type="character" w:customStyle="1" w:styleId="50">
    <w:name w:val="批注文字 字符"/>
    <w:link w:val="11"/>
    <w:qFormat/>
    <w:uiPriority w:val="0"/>
    <w:rPr>
      <w:rFonts w:ascii="Times New Roman" w:hAnsi="Times New Roman" w:eastAsia="宋体" w:cs="Times New Roman"/>
      <w:sz w:val="21"/>
      <w:szCs w:val="21"/>
    </w:rPr>
  </w:style>
  <w:style w:type="character" w:customStyle="1" w:styleId="51">
    <w:name w:val="正文文本 3 字符"/>
    <w:link w:val="12"/>
    <w:qFormat/>
    <w:uiPriority w:val="0"/>
    <w:rPr>
      <w:rFonts w:ascii="宋体" w:hAnsi="Calibri" w:eastAsia="宋体" w:cs="Times New Roman"/>
      <w:kern w:val="0"/>
      <w:sz w:val="24"/>
      <w:szCs w:val="24"/>
    </w:rPr>
  </w:style>
  <w:style w:type="character" w:customStyle="1" w:styleId="52">
    <w:name w:val="正文文本缩进 字符"/>
    <w:link w:val="18"/>
    <w:qFormat/>
    <w:uiPriority w:val="0"/>
    <w:rPr>
      <w:rFonts w:ascii="Calibri" w:hAnsi="Calibri" w:eastAsia="宋体" w:cs="Times New Roman"/>
      <w:kern w:val="0"/>
      <w:szCs w:val="21"/>
    </w:rPr>
  </w:style>
  <w:style w:type="character" w:customStyle="1" w:styleId="53">
    <w:name w:val="纯文本 字符"/>
    <w:link w:val="21"/>
    <w:qFormat/>
    <w:uiPriority w:val="0"/>
    <w:rPr>
      <w:rFonts w:ascii="宋体" w:hAnsi="Courier New"/>
      <w:sz w:val="21"/>
    </w:rPr>
  </w:style>
  <w:style w:type="character" w:customStyle="1" w:styleId="54">
    <w:name w:val="批注框文本 字符"/>
    <w:link w:val="24"/>
    <w:qFormat/>
    <w:uiPriority w:val="0"/>
    <w:rPr>
      <w:rFonts w:ascii="Times New Roman" w:hAnsi="Times New Roman" w:eastAsia="宋体" w:cs="Times New Roman"/>
      <w:sz w:val="18"/>
      <w:szCs w:val="18"/>
    </w:rPr>
  </w:style>
  <w:style w:type="character" w:customStyle="1" w:styleId="55">
    <w:name w:val="页脚 字符"/>
    <w:link w:val="25"/>
    <w:qFormat/>
    <w:uiPriority w:val="99"/>
    <w:rPr>
      <w:rFonts w:ascii="Times New Roman" w:hAnsi="Times New Roman" w:eastAsia="宋体" w:cs="Times New Roman"/>
      <w:sz w:val="18"/>
      <w:szCs w:val="18"/>
    </w:rPr>
  </w:style>
  <w:style w:type="character" w:customStyle="1" w:styleId="56">
    <w:name w:val="页眉 字符"/>
    <w:link w:val="26"/>
    <w:qFormat/>
    <w:uiPriority w:val="99"/>
    <w:rPr>
      <w:rFonts w:ascii="Times New Roman" w:hAnsi="Times New Roman" w:eastAsia="宋体" w:cs="Times New Roman"/>
      <w:sz w:val="18"/>
      <w:szCs w:val="18"/>
    </w:rPr>
  </w:style>
  <w:style w:type="character" w:customStyle="1" w:styleId="57">
    <w:name w:val="批注主题 字符"/>
    <w:link w:val="35"/>
    <w:qFormat/>
    <w:uiPriority w:val="0"/>
    <w:rPr>
      <w:rFonts w:ascii="Times New Roman" w:hAnsi="Times New Roman" w:eastAsia="宋体" w:cs="Times New Roman"/>
      <w:b/>
      <w:bCs/>
      <w:sz w:val="21"/>
      <w:szCs w:val="21"/>
    </w:rPr>
  </w:style>
  <w:style w:type="character" w:customStyle="1" w:styleId="58">
    <w:name w:val="15"/>
    <w:qFormat/>
    <w:uiPriority w:val="0"/>
    <w:rPr>
      <w:rFonts w:hint="default" w:ascii="Times New Roman" w:hAnsi="Times New Roman" w:eastAsia="宋体" w:cs="Times New Roman"/>
      <w:b/>
      <w:bCs/>
      <w:kern w:val="44"/>
      <w:sz w:val="44"/>
      <w:szCs w:val="44"/>
    </w:rPr>
  </w:style>
  <w:style w:type="paragraph" w:customStyle="1" w:styleId="59">
    <w:name w:val="_Style 2"/>
    <w:basedOn w:val="1"/>
    <w:qFormat/>
    <w:uiPriority w:val="0"/>
    <w:rPr>
      <w:rFonts w:ascii="Times New Roman" w:hAnsi="Times New Roman" w:eastAsia="宋体" w:cs="Times New Roman"/>
    </w:rPr>
  </w:style>
  <w:style w:type="paragraph" w:customStyle="1" w:styleId="60">
    <w:name w:val="Table Paragraph"/>
    <w:basedOn w:val="1"/>
    <w:qFormat/>
    <w:uiPriority w:val="0"/>
    <w:rPr>
      <w:rFonts w:ascii="Times New Roman" w:hAnsi="Times New Roman" w:eastAsia="宋体" w:cs="Times New Roman"/>
    </w:rPr>
  </w:style>
  <w:style w:type="paragraph" w:customStyle="1" w:styleId="61">
    <w:name w:val="样式 样式 首行缩进:  2.57 字符 + 首行缩进:  2.57 字符"/>
    <w:basedOn w:val="1"/>
    <w:qFormat/>
    <w:uiPriority w:val="0"/>
    <w:pPr>
      <w:spacing w:line="360" w:lineRule="auto"/>
      <w:ind w:firstLine="771" w:firstLineChars="257"/>
    </w:pPr>
    <w:rPr>
      <w:rFonts w:ascii="Times New Roman" w:hAnsi="Times New Roman" w:eastAsia="仿宋" w:cs="宋体"/>
      <w:sz w:val="30"/>
      <w:szCs w:val="30"/>
    </w:rPr>
  </w:style>
  <w:style w:type="character" w:customStyle="1" w:styleId="62">
    <w:name w:val="16"/>
    <w:qFormat/>
    <w:uiPriority w:val="0"/>
    <w:rPr>
      <w:rFonts w:hint="default" w:ascii="Times New Roman" w:hAnsi="Times New Roman" w:eastAsia="宋体" w:cs="Times New Roman"/>
      <w:b/>
      <w:bCs/>
      <w:sz w:val="32"/>
      <w:szCs w:val="32"/>
    </w:rPr>
  </w:style>
  <w:style w:type="paragraph" w:customStyle="1" w:styleId="63">
    <w:name w:val="纯文本1"/>
    <w:basedOn w:val="1"/>
    <w:qFormat/>
    <w:uiPriority w:val="0"/>
    <w:rPr>
      <w:rFonts w:ascii="宋体" w:hAnsi="Courier New" w:eastAsia="宋体" w:cs="Times New Roman"/>
      <w:szCs w:val="22"/>
    </w:rPr>
  </w:style>
  <w:style w:type="paragraph" w:customStyle="1" w:styleId="64">
    <w:name w:val="正文缩进1"/>
    <w:basedOn w:val="1"/>
    <w:qFormat/>
    <w:uiPriority w:val="0"/>
    <w:pPr>
      <w:autoSpaceDE w:val="0"/>
      <w:autoSpaceDN w:val="0"/>
      <w:adjustRightInd w:val="0"/>
      <w:ind w:firstLine="420"/>
      <w:jc w:val="left"/>
    </w:pPr>
    <w:rPr>
      <w:rFonts w:ascii="宋体" w:hAnsi="Calibri" w:eastAsia="宋体" w:cs="Times New Roman"/>
      <w:sz w:val="24"/>
      <w:szCs w:val="22"/>
    </w:rPr>
  </w:style>
  <w:style w:type="paragraph" w:customStyle="1" w:styleId="65">
    <w:name w:val="索引 11"/>
    <w:basedOn w:val="1"/>
    <w:next w:val="1"/>
    <w:qFormat/>
    <w:uiPriority w:val="0"/>
    <w:pPr>
      <w:spacing w:line="360" w:lineRule="auto"/>
    </w:pPr>
    <w:rPr>
      <w:rFonts w:ascii="仿宋_GB2312" w:hAnsi="Times New Roman" w:eastAsia="仿宋_GB2312" w:cs="Times New Roman"/>
      <w:sz w:val="24"/>
      <w:szCs w:val="20"/>
    </w:rPr>
  </w:style>
  <w:style w:type="character" w:customStyle="1" w:styleId="66">
    <w:name w:val="font51"/>
    <w:qFormat/>
    <w:uiPriority w:val="0"/>
    <w:rPr>
      <w:rFonts w:hint="eastAsia" w:ascii="宋体" w:hAnsi="宋体" w:eastAsia="宋体" w:cs="Times New Roman"/>
      <w:color w:val="000000"/>
      <w:sz w:val="18"/>
      <w:szCs w:val="18"/>
      <w:u w:val="none"/>
    </w:rPr>
  </w:style>
  <w:style w:type="paragraph" w:customStyle="1" w:styleId="67">
    <w:name w:val="_Style 65"/>
    <w:qFormat/>
    <w:uiPriority w:val="0"/>
    <w:rPr>
      <w:rFonts w:ascii="Times New Roman" w:hAnsi="Times New Roman" w:eastAsia="宋体" w:cs="Times New Roman"/>
      <w:sz w:val="21"/>
      <w:szCs w:val="21"/>
      <w:lang w:val="en-US" w:eastAsia="zh-CN" w:bidi="ar-SA"/>
    </w:rPr>
  </w:style>
  <w:style w:type="character" w:customStyle="1" w:styleId="68">
    <w:name w:val="font81"/>
    <w:basedOn w:val="39"/>
    <w:qFormat/>
    <w:uiPriority w:val="0"/>
    <w:rPr>
      <w:rFonts w:hint="eastAsia" w:ascii="宋体" w:hAnsi="宋体" w:eastAsia="宋体" w:cs="宋体"/>
      <w:color w:val="000000"/>
      <w:sz w:val="16"/>
      <w:szCs w:val="16"/>
      <w:u w:val="none"/>
    </w:rPr>
  </w:style>
  <w:style w:type="character" w:customStyle="1" w:styleId="69">
    <w:name w:val="font91"/>
    <w:qFormat/>
    <w:uiPriority w:val="0"/>
    <w:rPr>
      <w:rFonts w:hint="eastAsia" w:ascii="宋体" w:hAnsi="宋体" w:eastAsia="宋体" w:cs="宋体"/>
      <w:color w:val="000000"/>
      <w:sz w:val="16"/>
      <w:szCs w:val="16"/>
      <w:u w:val="none"/>
    </w:rPr>
  </w:style>
  <w:style w:type="character" w:customStyle="1" w:styleId="70">
    <w:name w:val="font61"/>
    <w:qFormat/>
    <w:uiPriority w:val="0"/>
    <w:rPr>
      <w:rFonts w:hint="eastAsia" w:ascii="宋体" w:hAnsi="宋体" w:eastAsia="宋体" w:cs="宋体"/>
      <w:color w:val="000000"/>
      <w:sz w:val="16"/>
      <w:szCs w:val="16"/>
      <w:u w:val="none"/>
    </w:rPr>
  </w:style>
  <w:style w:type="paragraph" w:customStyle="1" w:styleId="71">
    <w:name w:val="BodyText1I2"/>
    <w:basedOn w:val="72"/>
    <w:qFormat/>
    <w:uiPriority w:val="99"/>
    <w:pPr>
      <w:spacing w:line="360" w:lineRule="auto"/>
      <w:ind w:firstLine="420" w:firstLineChars="200"/>
    </w:pPr>
    <w:rPr>
      <w:sz w:val="24"/>
    </w:rPr>
  </w:style>
  <w:style w:type="paragraph" w:customStyle="1" w:styleId="72">
    <w:name w:val="BodyTextIndent"/>
    <w:basedOn w:val="1"/>
    <w:qFormat/>
    <w:uiPriority w:val="99"/>
    <w:pPr>
      <w:spacing w:after="120"/>
      <w:ind w:left="420" w:leftChars="200"/>
    </w:pPr>
  </w:style>
  <w:style w:type="paragraph" w:customStyle="1" w:styleId="73">
    <w:name w:val="font0"/>
    <w:basedOn w:val="1"/>
    <w:qFormat/>
    <w:uiPriority w:val="0"/>
    <w:pPr>
      <w:spacing w:before="100" w:beforeAutospacing="1" w:after="100" w:afterAutospacing="1"/>
    </w:pPr>
    <w:rPr>
      <w:rFonts w:ascii="Arial" w:hAnsi="Arial" w:cs="Arial"/>
      <w:color w:val="000000"/>
      <w:sz w:val="20"/>
      <w:szCs w:val="20"/>
    </w:rPr>
  </w:style>
  <w:style w:type="paragraph" w:customStyle="1" w:styleId="74">
    <w:name w:val="font1"/>
    <w:basedOn w:val="1"/>
    <w:qFormat/>
    <w:uiPriority w:val="0"/>
    <w:pPr>
      <w:spacing w:before="100" w:beforeAutospacing="1" w:after="100" w:afterAutospacing="1"/>
    </w:pPr>
    <w:rPr>
      <w:rFonts w:ascii="宋体" w:hAnsi="宋体" w:cs="宋体"/>
      <w:color w:val="000000"/>
      <w:sz w:val="18"/>
      <w:szCs w:val="18"/>
    </w:rPr>
  </w:style>
  <w:style w:type="paragraph" w:customStyle="1" w:styleId="75">
    <w:name w:val="font2"/>
    <w:basedOn w:val="1"/>
    <w:qFormat/>
    <w:uiPriority w:val="0"/>
    <w:pPr>
      <w:spacing w:before="100" w:beforeAutospacing="1" w:after="100" w:afterAutospacing="1"/>
    </w:pPr>
    <w:rPr>
      <w:rFonts w:ascii="宋体" w:hAnsi="宋体" w:cs="宋体"/>
      <w:b/>
      <w:bCs/>
      <w:color w:val="000000"/>
      <w:sz w:val="18"/>
      <w:szCs w:val="18"/>
    </w:rPr>
  </w:style>
  <w:style w:type="paragraph" w:customStyle="1" w:styleId="76">
    <w:name w:val="font3"/>
    <w:basedOn w:val="1"/>
    <w:qFormat/>
    <w:uiPriority w:val="0"/>
    <w:pPr>
      <w:spacing w:before="100" w:beforeAutospacing="1" w:after="100" w:afterAutospacing="1"/>
    </w:pPr>
    <w:rPr>
      <w:rFonts w:ascii="宋体" w:hAnsi="宋体" w:cs="宋体"/>
      <w:b/>
      <w:bCs/>
      <w:color w:val="FF0000"/>
      <w:sz w:val="18"/>
      <w:szCs w:val="18"/>
    </w:rPr>
  </w:style>
  <w:style w:type="paragraph" w:customStyle="1" w:styleId="77">
    <w:name w:val="font4"/>
    <w:basedOn w:val="1"/>
    <w:qFormat/>
    <w:uiPriority w:val="0"/>
    <w:pPr>
      <w:spacing w:before="100" w:beforeAutospacing="1" w:after="100" w:afterAutospacing="1"/>
    </w:pPr>
    <w:rPr>
      <w:rFonts w:ascii="宋体" w:hAnsi="宋体" w:cs="宋体"/>
      <w:color w:val="000000"/>
      <w:sz w:val="24"/>
      <w:szCs w:val="24"/>
    </w:rPr>
  </w:style>
  <w:style w:type="paragraph" w:customStyle="1" w:styleId="78">
    <w:name w:val="et3"/>
    <w:basedOn w:val="1"/>
    <w:qFormat/>
    <w:uiPriority w:val="0"/>
    <w:pPr>
      <w:spacing w:before="100" w:beforeAutospacing="1" w:after="100" w:afterAutospacing="1"/>
      <w:textAlignment w:val="center"/>
    </w:pPr>
    <w:rPr>
      <w:rFonts w:ascii="宋体" w:hAnsi="宋体" w:cs="宋体"/>
      <w:sz w:val="18"/>
      <w:szCs w:val="18"/>
    </w:rPr>
  </w:style>
  <w:style w:type="paragraph" w:customStyle="1" w:styleId="79">
    <w:name w:val="et4"/>
    <w:basedOn w:val="1"/>
    <w:qFormat/>
    <w:uiPriority w:val="0"/>
    <w:pPr>
      <w:spacing w:before="100" w:beforeAutospacing="1" w:after="100" w:afterAutospacing="1"/>
      <w:textAlignment w:val="center"/>
    </w:pPr>
    <w:rPr>
      <w:rFonts w:ascii="宋体" w:hAnsi="宋体" w:cs="宋体"/>
      <w:sz w:val="18"/>
      <w:szCs w:val="18"/>
    </w:rPr>
  </w:style>
  <w:style w:type="paragraph" w:customStyle="1" w:styleId="80">
    <w:name w:val="et5"/>
    <w:basedOn w:val="1"/>
    <w:qFormat/>
    <w:uiPriority w:val="0"/>
    <w:pPr>
      <w:spacing w:before="100" w:beforeAutospacing="1" w:after="100" w:afterAutospacing="1"/>
      <w:jc w:val="center"/>
      <w:textAlignment w:val="center"/>
    </w:pPr>
    <w:rPr>
      <w:rFonts w:ascii="宋体" w:hAnsi="宋体" w:cs="宋体"/>
      <w:sz w:val="18"/>
      <w:szCs w:val="18"/>
    </w:rPr>
  </w:style>
  <w:style w:type="paragraph" w:customStyle="1" w:styleId="81">
    <w:name w:val="et6"/>
    <w:basedOn w:val="1"/>
    <w:qFormat/>
    <w:uiPriority w:val="0"/>
    <w:pPr>
      <w:spacing w:before="100" w:beforeAutospacing="1" w:after="100" w:afterAutospacing="1"/>
      <w:textAlignment w:val="center"/>
    </w:pPr>
    <w:rPr>
      <w:rFonts w:ascii="宋体" w:hAnsi="宋体" w:cs="宋体"/>
      <w:sz w:val="18"/>
      <w:szCs w:val="18"/>
    </w:rPr>
  </w:style>
  <w:style w:type="paragraph" w:customStyle="1" w:styleId="82">
    <w:name w:val="et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sz w:val="18"/>
      <w:szCs w:val="18"/>
    </w:rPr>
  </w:style>
  <w:style w:type="paragraph" w:customStyle="1" w:styleId="83">
    <w:name w:val="et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sz w:val="18"/>
      <w:szCs w:val="18"/>
    </w:rPr>
  </w:style>
  <w:style w:type="paragraph" w:customStyle="1" w:styleId="84">
    <w:name w:val="et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sz w:val="18"/>
      <w:szCs w:val="18"/>
    </w:rPr>
  </w:style>
  <w:style w:type="paragraph" w:customStyle="1" w:styleId="85">
    <w:name w:val="et1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sz w:val="18"/>
      <w:szCs w:val="18"/>
    </w:rPr>
  </w:style>
  <w:style w:type="paragraph" w:customStyle="1" w:styleId="86">
    <w:name w:val="et1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b/>
      <w:bCs/>
      <w:color w:val="FF0000"/>
      <w:sz w:val="18"/>
      <w:szCs w:val="18"/>
    </w:rPr>
  </w:style>
  <w:style w:type="paragraph" w:customStyle="1" w:styleId="87">
    <w:name w:val="et12"/>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sz w:val="18"/>
      <w:szCs w:val="18"/>
    </w:rPr>
  </w:style>
  <w:style w:type="paragraph" w:customStyle="1" w:styleId="88">
    <w:name w:val="et1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center"/>
    </w:pPr>
    <w:rPr>
      <w:rFonts w:ascii="宋体" w:hAnsi="宋体" w:cs="宋体"/>
      <w:sz w:val="18"/>
      <w:szCs w:val="18"/>
    </w:rPr>
  </w:style>
  <w:style w:type="paragraph" w:customStyle="1" w:styleId="89">
    <w:name w:val="et1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center"/>
    </w:pPr>
    <w:rPr>
      <w:rFonts w:ascii="宋体" w:hAnsi="宋体" w:cs="宋体"/>
      <w:sz w:val="18"/>
      <w:szCs w:val="18"/>
    </w:rPr>
  </w:style>
  <w:style w:type="paragraph" w:customStyle="1" w:styleId="90">
    <w:name w:val="et1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center"/>
    </w:pPr>
    <w:rPr>
      <w:rFonts w:ascii="宋体" w:hAnsi="宋体" w:cs="宋体"/>
      <w:sz w:val="18"/>
      <w:szCs w:val="18"/>
    </w:rPr>
  </w:style>
  <w:style w:type="paragraph" w:customStyle="1" w:styleId="91">
    <w:name w:val="et1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center"/>
    </w:pPr>
    <w:rPr>
      <w:rFonts w:ascii="宋体" w:hAnsi="宋体" w:cs="宋体"/>
      <w:sz w:val="18"/>
      <w:szCs w:val="18"/>
    </w:rPr>
  </w:style>
  <w:style w:type="character" w:customStyle="1" w:styleId="92">
    <w:name w:val="font11"/>
    <w:qFormat/>
    <w:uiPriority w:val="0"/>
    <w:rPr>
      <w:rFonts w:hint="eastAsia" w:ascii="宋体" w:hAnsi="宋体" w:eastAsia="宋体" w:cs="Times New Roman"/>
      <w:color w:val="000000"/>
      <w:sz w:val="18"/>
      <w:szCs w:val="18"/>
      <w:u w:val="none"/>
    </w:rPr>
  </w:style>
  <w:style w:type="character" w:customStyle="1" w:styleId="93">
    <w:name w:val="_Style 91"/>
    <w:unhideWhenUsed/>
    <w:qFormat/>
    <w:uiPriority w:val="99"/>
    <w:rPr>
      <w:rFonts w:ascii="Times New Roman" w:hAnsi="Times New Roman" w:eastAsia="宋体" w:cs="Times New Roman"/>
      <w:color w:val="605E5C"/>
      <w:shd w:val="clear" w:color="auto" w:fill="E1DFDD"/>
    </w:rPr>
  </w:style>
  <w:style w:type="character" w:customStyle="1" w:styleId="94">
    <w:name w:val="font21"/>
    <w:basedOn w:val="39"/>
    <w:qFormat/>
    <w:uiPriority w:val="0"/>
    <w:rPr>
      <w:rFonts w:hint="eastAsia" w:ascii="宋体" w:hAnsi="宋体" w:eastAsia="宋体" w:cs="宋体"/>
      <w:color w:val="000000"/>
      <w:sz w:val="22"/>
      <w:szCs w:val="22"/>
      <w:u w:val="none"/>
    </w:rPr>
  </w:style>
  <w:style w:type="paragraph" w:styleId="95">
    <w:name w:val="List Paragraph"/>
    <w:basedOn w:val="1"/>
    <w:qFormat/>
    <w:uiPriority w:val="34"/>
    <w:pPr>
      <w:widowControl w:val="0"/>
      <w:ind w:firstLine="420" w:firstLineChars="200"/>
      <w:jc w:val="both"/>
    </w:pPr>
    <w:rPr>
      <w:rFonts w:ascii="Calibri" w:hAnsi="Calibri" w:eastAsia="宋体" w:cs="Times New Roman"/>
      <w:kern w:val="2"/>
      <w:szCs w:val="22"/>
    </w:rPr>
  </w:style>
  <w:style w:type="paragraph" w:customStyle="1" w:styleId="9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7">
    <w:name w:val="列出段落1"/>
    <w:basedOn w:val="1"/>
    <w:qFormat/>
    <w:uiPriority w:val="34"/>
    <w:pPr>
      <w:ind w:firstLine="420" w:firstLineChars="200"/>
    </w:pPr>
  </w:style>
  <w:style w:type="paragraph" w:customStyle="1" w:styleId="98">
    <w:name w:val="WPSOffice手动目录 1"/>
    <w:qFormat/>
    <w:uiPriority w:val="0"/>
    <w:rPr>
      <w:rFonts w:ascii="Times New Roman" w:hAnsi="Times New Roman" w:eastAsia="宋体" w:cs="Times New Roman"/>
      <w:lang w:val="en-US" w:eastAsia="zh-CN" w:bidi="ar-SA"/>
    </w:rPr>
  </w:style>
  <w:style w:type="paragraph" w:customStyle="1" w:styleId="99">
    <w:name w:val="WPSOffice手动目录 2"/>
    <w:qFormat/>
    <w:uiPriority w:val="0"/>
    <w:pPr>
      <w:ind w:leftChars="200"/>
    </w:pPr>
    <w:rPr>
      <w:rFonts w:ascii="Times New Roman" w:hAnsi="Times New Roman" w:eastAsia="宋体" w:cs="Times New Roman"/>
      <w:lang w:val="en-US" w:eastAsia="zh-CN" w:bidi="ar-SA"/>
    </w:rPr>
  </w:style>
  <w:style w:type="paragraph" w:customStyle="1" w:styleId="100">
    <w:name w:val="文档结构图1"/>
    <w:basedOn w:val="1"/>
    <w:qFormat/>
    <w:uiPriority w:val="0"/>
  </w:style>
  <w:style w:type="paragraph" w:customStyle="1" w:styleId="101">
    <w:name w:val="Body Text 3"/>
    <w:basedOn w:val="1"/>
    <w:qFormat/>
    <w:uiPriority w:val="0"/>
    <w:pPr>
      <w:spacing w:after="120"/>
    </w:pPr>
    <w:rPr>
      <w:sz w:val="16"/>
      <w:szCs w:val="16"/>
    </w:rPr>
  </w:style>
  <w:style w:type="character" w:customStyle="1" w:styleId="102">
    <w:name w:val="grame"/>
    <w:qFormat/>
    <w:uiPriority w:val="0"/>
  </w:style>
  <w:style w:type="paragraph" w:customStyle="1" w:styleId="103">
    <w:name w:val="Table Text"/>
    <w:basedOn w:val="1"/>
    <w:semiHidden/>
    <w:qFormat/>
    <w:uiPriority w:val="0"/>
    <w:rPr>
      <w:rFonts w:ascii="黑体" w:hAnsi="黑体" w:eastAsia="黑体" w:cs="黑体"/>
      <w:sz w:val="37"/>
      <w:szCs w:val="37"/>
      <w:lang w:val="en-US" w:eastAsia="en-US" w:bidi="ar-SA"/>
    </w:rPr>
  </w:style>
  <w:style w:type="table" w:customStyle="1" w:styleId="104">
    <w:name w:val="Table Normal"/>
    <w:unhideWhenUsed/>
    <w:qFormat/>
    <w:uiPriority w:val="0"/>
    <w:tblPr>
      <w:tblCellMar>
        <w:top w:w="0" w:type="dxa"/>
        <w:left w:w="0" w:type="dxa"/>
        <w:bottom w:w="0" w:type="dxa"/>
        <w:right w:w="0" w:type="dxa"/>
      </w:tblCellMar>
    </w:tblPr>
  </w:style>
  <w:style w:type="table" w:customStyle="1" w:styleId="105">
    <w:name w:val="网格型1"/>
    <w:basedOn w:val="37"/>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6">
    <w:name w:val="font01"/>
    <w:basedOn w:val="39"/>
    <w:qFormat/>
    <w:uiPriority w:val="0"/>
    <w:rPr>
      <w:rFonts w:hint="eastAsia" w:ascii="宋体" w:hAnsi="宋体" w:eastAsia="宋体" w:cs="宋体"/>
      <w:b/>
      <w:bCs/>
      <w:color w:val="000000"/>
      <w:sz w:val="18"/>
      <w:szCs w:val="18"/>
      <w:u w:val="none"/>
    </w:rPr>
  </w:style>
  <w:style w:type="character" w:customStyle="1" w:styleId="107">
    <w:name w:val="font41"/>
    <w:basedOn w:val="39"/>
    <w:qFormat/>
    <w:uiPriority w:val="0"/>
    <w:rPr>
      <w:rFonts w:ascii="Arial" w:hAnsi="Arial" w:cs="Arial"/>
      <w:b/>
      <w:bCs/>
      <w:color w:val="000000"/>
      <w:sz w:val="24"/>
      <w:szCs w:val="24"/>
      <w:u w:val="none"/>
    </w:rPr>
  </w:style>
  <w:style w:type="character" w:customStyle="1" w:styleId="108">
    <w:name w:val="font31"/>
    <w:basedOn w:val="3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6820</Words>
  <Characters>7866</Characters>
  <Lines>1486</Lines>
  <Paragraphs>1555</Paragraphs>
  <TotalTime>8</TotalTime>
  <ScaleCrop>false</ScaleCrop>
  <LinksUpToDate>false</LinksUpToDate>
  <CharactersWithSpaces>8195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2025-08-17T02:10:00Z</dcterms:created>
  <dc:creator>jsb</dc:creator>
  <cp:lastModifiedBy>zz</cp:lastModifiedBy>
  <cp:lastPrinted>2023-12-27T03:19:00Z</cp:lastPrinted>
  <dcterms:modified xsi:type="dcterms:W3CDTF">2026-05-20T09:27:39Z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0060FA5D0F9B495EA264C5EF81BBB1DC_13</vt:lpwstr>
  </property>
  <property fmtid="{D5CDD505-2E9C-101B-9397-08002B2CF9AE}" pid="4" name="KSOTemplateDocerSaveRecord">
    <vt:lpwstr>eyJoZGlkIjoiZGM4M2M0NjU5ZGNhZjY1NzQzNjFhZjgxNGNjNjgxMGYiLCJ1c2VySWQiOiI3MjY0MTgxNTgifQ==</vt:lpwstr>
  </property>
</Properties>
</file>