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0D3B5">
      <w:pPr>
        <w:tabs>
          <w:tab w:val="left" w:pos="2070"/>
          <w:tab w:val="center" w:pos="4365"/>
        </w:tabs>
        <w:snapToGrid w:val="0"/>
        <w:spacing w:line="360" w:lineRule="auto"/>
        <w:rPr>
          <w:rFonts w:hint="eastAsia" w:ascii="仿宋" w:hAnsi="仿宋" w:eastAsia="仿宋" w:cs="仿宋"/>
          <w:b/>
          <w:sz w:val="56"/>
          <w:szCs w:val="52"/>
          <w:highlight w:val="none"/>
        </w:rPr>
      </w:pPr>
    </w:p>
    <w:p w14:paraId="339E906A">
      <w:pPr>
        <w:widowControl/>
        <w:wordWrap w:val="0"/>
        <w:spacing w:line="1260" w:lineRule="exact"/>
        <w:jc w:val="center"/>
        <w:rPr>
          <w:rFonts w:hint="eastAsia" w:ascii="仿宋" w:hAnsi="仿宋" w:eastAsia="仿宋" w:cs="仿宋"/>
          <w:b/>
          <w:bCs/>
          <w:spacing w:val="20"/>
          <w:kern w:val="0"/>
          <w:sz w:val="84"/>
          <w:szCs w:val="84"/>
          <w:highlight w:val="none"/>
        </w:rPr>
      </w:pPr>
    </w:p>
    <w:p w14:paraId="3597AF4D">
      <w:pPr>
        <w:widowControl/>
        <w:wordWrap w:val="0"/>
        <w:spacing w:line="1260" w:lineRule="exact"/>
        <w:jc w:val="center"/>
        <w:rPr>
          <w:rFonts w:hint="eastAsia" w:ascii="仿宋" w:hAnsi="仿宋" w:eastAsia="仿宋" w:cs="仿宋"/>
          <w:b/>
          <w:bCs/>
          <w:kern w:val="0"/>
          <w:sz w:val="24"/>
          <w:highlight w:val="none"/>
        </w:rPr>
      </w:pPr>
      <w:r>
        <w:rPr>
          <w:rFonts w:hint="eastAsia" w:ascii="仿宋" w:hAnsi="仿宋" w:eastAsia="仿宋" w:cs="仿宋"/>
          <w:b/>
          <w:bCs/>
          <w:spacing w:val="20"/>
          <w:kern w:val="0"/>
          <w:sz w:val="84"/>
          <w:szCs w:val="84"/>
          <w:highlight w:val="none"/>
        </w:rPr>
        <w:t>竞争性谈判文件</w:t>
      </w:r>
    </w:p>
    <w:p w14:paraId="4F6B8067">
      <w:pPr>
        <w:snapToGrid w:val="0"/>
        <w:spacing w:line="480" w:lineRule="exact"/>
        <w:rPr>
          <w:rFonts w:hint="eastAsia" w:ascii="仿宋" w:hAnsi="仿宋" w:eastAsia="仿宋" w:cs="仿宋"/>
          <w:b/>
          <w:sz w:val="32"/>
          <w:szCs w:val="32"/>
          <w:highlight w:val="none"/>
        </w:rPr>
      </w:pPr>
    </w:p>
    <w:p w14:paraId="17711041">
      <w:pPr>
        <w:snapToGrid w:val="0"/>
        <w:spacing w:line="480" w:lineRule="exact"/>
        <w:rPr>
          <w:rFonts w:hint="eastAsia" w:ascii="仿宋" w:hAnsi="仿宋" w:eastAsia="仿宋" w:cs="仿宋"/>
          <w:b/>
          <w:sz w:val="32"/>
          <w:szCs w:val="32"/>
          <w:highlight w:val="none"/>
        </w:rPr>
      </w:pPr>
    </w:p>
    <w:p w14:paraId="2E110FD7">
      <w:pPr>
        <w:snapToGrid w:val="0"/>
        <w:spacing w:line="480" w:lineRule="exact"/>
        <w:rPr>
          <w:rFonts w:hint="eastAsia" w:ascii="仿宋" w:hAnsi="仿宋" w:eastAsia="仿宋" w:cs="仿宋"/>
          <w:b/>
          <w:sz w:val="32"/>
          <w:szCs w:val="32"/>
          <w:highlight w:val="none"/>
        </w:rPr>
      </w:pPr>
    </w:p>
    <w:p w14:paraId="62275D51">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山西大学飞秒瞬态吸收光谱仪采购项目</w:t>
      </w:r>
    </w:p>
    <w:p w14:paraId="18C34363">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1499002026ATP00993</w:t>
      </w:r>
    </w:p>
    <w:p w14:paraId="505156CB">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招标编号：</w:t>
      </w:r>
      <w:r>
        <w:rPr>
          <w:rFonts w:hint="eastAsia" w:ascii="仿宋" w:hAnsi="仿宋" w:eastAsia="仿宋" w:cs="仿宋"/>
          <w:color w:val="auto"/>
          <w:sz w:val="28"/>
          <w:szCs w:val="28"/>
          <w:highlight w:val="none"/>
          <w:lang w:eastAsia="zh-CN"/>
        </w:rPr>
        <w:t>SDWTYLTP-26012-2</w:t>
      </w:r>
    </w:p>
    <w:p w14:paraId="12AB8DA2">
      <w:pPr>
        <w:widowControl/>
        <w:snapToGrid w:val="0"/>
        <w:spacing w:line="300" w:lineRule="auto"/>
        <w:jc w:val="left"/>
        <w:rPr>
          <w:rFonts w:hint="eastAsia" w:ascii="仿宋" w:hAnsi="仿宋" w:eastAsia="仿宋" w:cs="仿宋"/>
          <w:kern w:val="0"/>
          <w:sz w:val="28"/>
          <w:highlight w:val="none"/>
        </w:rPr>
      </w:pPr>
    </w:p>
    <w:p w14:paraId="217658C5">
      <w:pPr>
        <w:widowControl/>
        <w:snapToGrid w:val="0"/>
        <w:spacing w:line="300" w:lineRule="auto"/>
        <w:jc w:val="left"/>
        <w:rPr>
          <w:rFonts w:hint="eastAsia" w:ascii="仿宋" w:hAnsi="仿宋" w:eastAsia="仿宋" w:cs="仿宋"/>
          <w:kern w:val="0"/>
          <w:sz w:val="28"/>
          <w:highlight w:val="none"/>
        </w:rPr>
      </w:pPr>
    </w:p>
    <w:p w14:paraId="197B6284">
      <w:pPr>
        <w:widowControl/>
        <w:snapToGrid w:val="0"/>
        <w:spacing w:line="300" w:lineRule="auto"/>
        <w:jc w:val="left"/>
        <w:rPr>
          <w:rFonts w:hint="eastAsia" w:ascii="仿宋" w:hAnsi="仿宋" w:eastAsia="仿宋" w:cs="仿宋"/>
          <w:kern w:val="0"/>
          <w:sz w:val="28"/>
          <w:highlight w:val="none"/>
        </w:rPr>
      </w:pPr>
    </w:p>
    <w:p w14:paraId="2D6FFE4A">
      <w:pPr>
        <w:widowControl/>
        <w:snapToGrid w:val="0"/>
        <w:spacing w:line="300" w:lineRule="auto"/>
        <w:jc w:val="left"/>
        <w:rPr>
          <w:rFonts w:hint="eastAsia" w:ascii="仿宋" w:hAnsi="仿宋" w:eastAsia="仿宋" w:cs="仿宋"/>
          <w:kern w:val="0"/>
          <w:sz w:val="28"/>
          <w:highlight w:val="none"/>
        </w:rPr>
      </w:pPr>
    </w:p>
    <w:p w14:paraId="242A067A">
      <w:pPr>
        <w:rPr>
          <w:rFonts w:hint="eastAsia" w:ascii="仿宋" w:hAnsi="仿宋" w:eastAsia="仿宋" w:cs="仿宋"/>
          <w:highlight w:val="none"/>
        </w:rPr>
      </w:pPr>
    </w:p>
    <w:p w14:paraId="4CE63A3F">
      <w:pPr>
        <w:rPr>
          <w:rFonts w:hint="eastAsia" w:ascii="仿宋" w:hAnsi="仿宋" w:eastAsia="仿宋" w:cs="仿宋"/>
          <w:highlight w:val="none"/>
        </w:rPr>
      </w:pPr>
    </w:p>
    <w:p w14:paraId="381052DF">
      <w:pPr>
        <w:rPr>
          <w:rFonts w:hint="eastAsia" w:ascii="仿宋" w:hAnsi="仿宋" w:eastAsia="仿宋" w:cs="仿宋"/>
          <w:highlight w:val="none"/>
        </w:rPr>
      </w:pPr>
    </w:p>
    <w:p w14:paraId="6D03346A">
      <w:pPr>
        <w:rPr>
          <w:rFonts w:hint="eastAsia" w:ascii="仿宋" w:hAnsi="仿宋" w:eastAsia="仿宋" w:cs="仿宋"/>
          <w:highlight w:val="none"/>
        </w:rPr>
      </w:pPr>
    </w:p>
    <w:p w14:paraId="47D8821D">
      <w:pPr>
        <w:rPr>
          <w:rFonts w:hint="eastAsia" w:ascii="仿宋" w:hAnsi="仿宋" w:eastAsia="仿宋" w:cs="仿宋"/>
          <w:highlight w:val="none"/>
        </w:rPr>
      </w:pPr>
    </w:p>
    <w:p w14:paraId="6BBAE2F0">
      <w:pPr>
        <w:widowControl/>
        <w:snapToGrid w:val="0"/>
        <w:spacing w:line="300" w:lineRule="auto"/>
        <w:jc w:val="left"/>
        <w:rPr>
          <w:rFonts w:hint="eastAsia" w:ascii="仿宋" w:hAnsi="仿宋" w:eastAsia="仿宋" w:cs="仿宋"/>
          <w:kern w:val="0"/>
          <w:sz w:val="28"/>
          <w:highlight w:val="none"/>
        </w:rPr>
      </w:pPr>
    </w:p>
    <w:p w14:paraId="43561429">
      <w:pPr>
        <w:pStyle w:val="18"/>
        <w:kinsoku w:val="0"/>
        <w:overflowPunct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采   购   人：山西大学</w:t>
      </w:r>
    </w:p>
    <w:p w14:paraId="6782529E">
      <w:pPr>
        <w:pStyle w:val="18"/>
        <w:kinsoku w:val="0"/>
        <w:overflowPunct w:val="0"/>
        <w:spacing w:line="360"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采购代理机构：</w:t>
      </w:r>
      <w:r>
        <w:rPr>
          <w:rFonts w:hint="eastAsia" w:ascii="仿宋" w:hAnsi="仿宋" w:eastAsia="仿宋" w:cs="仿宋"/>
          <w:b/>
          <w:sz w:val="32"/>
          <w:szCs w:val="32"/>
          <w:highlight w:val="none"/>
          <w:lang w:eastAsia="zh-CN"/>
        </w:rPr>
        <w:t>山西万通渊利企业管理咨询有限公司</w:t>
      </w:r>
    </w:p>
    <w:p w14:paraId="4D1EF371">
      <w:pPr>
        <w:pStyle w:val="18"/>
        <w:kinsoku w:val="0"/>
        <w:overflowPunct w:val="0"/>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sz w:val="32"/>
          <w:szCs w:val="32"/>
          <w:highlight w:val="none"/>
        </w:rPr>
        <w:t>日       期：</w:t>
      </w: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六月</w:t>
      </w:r>
    </w:p>
    <w:p w14:paraId="398E42C8">
      <w:pPr>
        <w:tabs>
          <w:tab w:val="left" w:pos="2070"/>
          <w:tab w:val="center" w:pos="4365"/>
        </w:tabs>
        <w:snapToGrid w:val="0"/>
        <w:spacing w:line="360" w:lineRule="auto"/>
        <w:jc w:val="center"/>
        <w:rPr>
          <w:rFonts w:hint="eastAsia" w:ascii="仿宋" w:hAnsi="仿宋" w:eastAsia="仿宋" w:cs="仿宋"/>
          <w:b/>
          <w:color w:val="auto"/>
          <w:sz w:val="36"/>
          <w:highlight w:val="yellow"/>
        </w:rPr>
        <w:sectPr>
          <w:footerReference r:id="rId3" w:type="default"/>
          <w:pgSz w:w="11906" w:h="16838"/>
          <w:pgMar w:top="1440" w:right="1418" w:bottom="1440" w:left="1418" w:header="1134" w:footer="697" w:gutter="0"/>
          <w:cols w:space="720" w:num="1"/>
          <w:titlePg/>
          <w:docGrid w:type="lines" w:linePitch="312" w:charSpace="0"/>
        </w:sectPr>
      </w:pPr>
    </w:p>
    <w:p w14:paraId="6F24A9A0">
      <w:pPr>
        <w:keepNext w:val="0"/>
        <w:keepLines w:val="0"/>
        <w:pageBreakBefore w:val="0"/>
        <w:tabs>
          <w:tab w:val="left" w:pos="2070"/>
          <w:tab w:val="center" w:pos="4365"/>
        </w:tabs>
        <w:kinsoku/>
        <w:wordWrap/>
        <w:overflowPunct/>
        <w:topLinePunct w:val="0"/>
        <w:autoSpaceDE/>
        <w:autoSpaceDN/>
        <w:bidi w:val="0"/>
        <w:adjustRightInd/>
        <w:snapToGrid w:val="0"/>
        <w:spacing w:line="48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目录</w:t>
      </w:r>
    </w:p>
    <w:p w14:paraId="2A361E27">
      <w:pPr>
        <w:pStyle w:val="13"/>
        <w:bidi w:val="0"/>
        <w:rPr>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TOC \o "1-1" \h \u </w:instrText>
      </w:r>
      <w:r>
        <w:rPr>
          <w:rFonts w:hint="eastAsia" w:ascii="仿宋" w:hAnsi="仿宋" w:eastAsia="仿宋" w:cs="仿宋"/>
          <w:b/>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_Toc30172 </w:instrText>
      </w:r>
      <w:r>
        <w:rPr>
          <w:rFonts w:hint="eastAsia" w:ascii="仿宋" w:hAnsi="仿宋" w:eastAsia="仿宋" w:cs="仿宋"/>
          <w:szCs w:val="24"/>
          <w:highlight w:val="none"/>
        </w:rPr>
        <w:fldChar w:fldCharType="separate"/>
      </w:r>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r>
        <w:rPr>
          <w:highlight w:val="none"/>
        </w:rPr>
        <w:tab/>
      </w:r>
      <w:r>
        <w:rPr>
          <w:highlight w:val="none"/>
        </w:rPr>
        <w:fldChar w:fldCharType="begin"/>
      </w:r>
      <w:r>
        <w:rPr>
          <w:highlight w:val="none"/>
        </w:rPr>
        <w:instrText xml:space="preserve"> PAGEREF _Toc30172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304865AA">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_Toc24287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第二部分  供应商须知前附表</w:t>
      </w:r>
      <w:r>
        <w:rPr>
          <w:highlight w:val="none"/>
        </w:rPr>
        <w:tab/>
      </w:r>
      <w:r>
        <w:rPr>
          <w:highlight w:val="none"/>
        </w:rPr>
        <w:fldChar w:fldCharType="begin"/>
      </w:r>
      <w:r>
        <w:rPr>
          <w:highlight w:val="none"/>
        </w:rPr>
        <w:instrText xml:space="preserve"> PAGEREF _Toc24287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5DB0C7E7">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_Toc12275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第三部分  供应商须知</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4"/>
          <w:highlight w:val="none"/>
        </w:rPr>
        <w:fldChar w:fldCharType="end"/>
      </w:r>
    </w:p>
    <w:p w14:paraId="5FC2FEFD">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_Toc18195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第四部分  评审标准和方法</w:t>
      </w:r>
      <w:r>
        <w:rPr>
          <w:highlight w:val="none"/>
        </w:rPr>
        <w:tab/>
      </w:r>
      <w:r>
        <w:rPr>
          <w:highlight w:val="none"/>
        </w:rPr>
        <w:fldChar w:fldCharType="begin"/>
      </w:r>
      <w:r>
        <w:rPr>
          <w:highlight w:val="none"/>
        </w:rPr>
        <w:instrText xml:space="preserve"> PAGEREF _Toc18195 \h </w:instrText>
      </w:r>
      <w:r>
        <w:rPr>
          <w:highlight w:val="none"/>
        </w:rPr>
        <w:fldChar w:fldCharType="separate"/>
      </w:r>
      <w:r>
        <w:rPr>
          <w:highlight w:val="none"/>
        </w:rPr>
        <w:t>30</w:t>
      </w:r>
      <w:r>
        <w:rPr>
          <w:highlight w:val="none"/>
        </w:rPr>
        <w:fldChar w:fldCharType="end"/>
      </w:r>
      <w:r>
        <w:rPr>
          <w:rFonts w:hint="eastAsia" w:ascii="仿宋" w:hAnsi="仿宋" w:eastAsia="仿宋" w:cs="仿宋"/>
          <w:szCs w:val="24"/>
          <w:highlight w:val="none"/>
        </w:rPr>
        <w:fldChar w:fldCharType="end"/>
      </w:r>
    </w:p>
    <w:p w14:paraId="29B719FE">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_Toc5774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第五部分  商务、技术要求</w:t>
      </w:r>
      <w:r>
        <w:rPr>
          <w:highlight w:val="none"/>
        </w:rPr>
        <w:tab/>
      </w:r>
      <w:r>
        <w:rPr>
          <w:highlight w:val="none"/>
        </w:rPr>
        <w:fldChar w:fldCharType="begin"/>
      </w:r>
      <w:r>
        <w:rPr>
          <w:highlight w:val="none"/>
        </w:rPr>
        <w:instrText xml:space="preserve"> PAGEREF _Toc5774 \h </w:instrText>
      </w:r>
      <w:r>
        <w:rPr>
          <w:highlight w:val="none"/>
        </w:rPr>
        <w:fldChar w:fldCharType="separate"/>
      </w:r>
      <w:r>
        <w:rPr>
          <w:highlight w:val="none"/>
        </w:rPr>
        <w:t>37</w:t>
      </w:r>
      <w:r>
        <w:rPr>
          <w:highlight w:val="none"/>
        </w:rPr>
        <w:fldChar w:fldCharType="end"/>
      </w:r>
      <w:r>
        <w:rPr>
          <w:rFonts w:hint="eastAsia" w:ascii="仿宋" w:hAnsi="仿宋" w:eastAsia="仿宋" w:cs="仿宋"/>
          <w:szCs w:val="24"/>
          <w:highlight w:val="none"/>
        </w:rPr>
        <w:fldChar w:fldCharType="end"/>
      </w:r>
    </w:p>
    <w:p w14:paraId="258D0522">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_Toc3514 </w:instrText>
      </w:r>
      <w:r>
        <w:rPr>
          <w:rFonts w:hint="eastAsia" w:ascii="仿宋" w:hAnsi="仿宋" w:eastAsia="仿宋" w:cs="仿宋"/>
          <w:szCs w:val="24"/>
          <w:highlight w:val="none"/>
        </w:rPr>
        <w:fldChar w:fldCharType="separate"/>
      </w:r>
      <w:r>
        <w:rPr>
          <w:rFonts w:hint="eastAsia"/>
          <w:highlight w:val="none"/>
          <w:lang w:val="en-US" w:eastAsia="zh-CN"/>
        </w:rPr>
        <w:t>第六部分  政府采购合同</w:t>
      </w:r>
      <w:r>
        <w:rPr>
          <w:highlight w:val="none"/>
        </w:rPr>
        <w:tab/>
      </w:r>
      <w:r>
        <w:rPr>
          <w:highlight w:val="none"/>
        </w:rPr>
        <w:fldChar w:fldCharType="begin"/>
      </w:r>
      <w:r>
        <w:rPr>
          <w:highlight w:val="none"/>
        </w:rPr>
        <w:instrText xml:space="preserve"> PAGEREF _Toc3514 \h </w:instrText>
      </w:r>
      <w:r>
        <w:rPr>
          <w:highlight w:val="none"/>
        </w:rPr>
        <w:fldChar w:fldCharType="separate"/>
      </w:r>
      <w:r>
        <w:rPr>
          <w:highlight w:val="none"/>
        </w:rPr>
        <w:t>41</w:t>
      </w:r>
      <w:r>
        <w:rPr>
          <w:highlight w:val="none"/>
        </w:rPr>
        <w:fldChar w:fldCharType="end"/>
      </w:r>
      <w:r>
        <w:rPr>
          <w:rFonts w:hint="eastAsia" w:ascii="仿宋" w:hAnsi="仿宋" w:eastAsia="仿宋" w:cs="仿宋"/>
          <w:szCs w:val="24"/>
          <w:highlight w:val="none"/>
        </w:rPr>
        <w:fldChar w:fldCharType="end"/>
      </w:r>
    </w:p>
    <w:p w14:paraId="56B3D37F">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_Toc19147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第七部分  响应文件格式</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51</w:t>
      </w:r>
      <w:r>
        <w:rPr>
          <w:highlight w:val="none"/>
        </w:rPr>
        <w:fldChar w:fldCharType="end"/>
      </w:r>
      <w:r>
        <w:rPr>
          <w:rFonts w:hint="eastAsia" w:ascii="仿宋" w:hAnsi="仿宋" w:eastAsia="仿宋" w:cs="仿宋"/>
          <w:szCs w:val="24"/>
          <w:highlight w:val="none"/>
        </w:rPr>
        <w:fldChar w:fldCharType="end"/>
      </w:r>
    </w:p>
    <w:p w14:paraId="294859E3">
      <w:pPr>
        <w:keepNext w:val="0"/>
        <w:keepLines w:val="0"/>
        <w:pageBreakBefore w:val="0"/>
        <w:widowControl/>
        <w:tabs>
          <w:tab w:val="left" w:pos="2070"/>
          <w:tab w:val="center" w:pos="4365"/>
        </w:tabs>
        <w:kinsoku/>
        <w:wordWrap/>
        <w:overflowPunct/>
        <w:topLinePunct w:val="0"/>
        <w:autoSpaceDE/>
        <w:autoSpaceDN/>
        <w:bidi w:val="0"/>
        <w:adjustRightInd/>
        <w:snapToGrid w:val="0"/>
        <w:spacing w:line="480" w:lineRule="auto"/>
        <w:textAlignment w:val="auto"/>
        <w:rPr>
          <w:rFonts w:hint="eastAsia" w:ascii="仿宋" w:hAnsi="仿宋" w:eastAsia="仿宋" w:cs="仿宋"/>
          <w:b/>
          <w:sz w:val="32"/>
          <w:szCs w:val="40"/>
          <w:highlight w:val="none"/>
        </w:rPr>
      </w:pPr>
      <w:r>
        <w:rPr>
          <w:rFonts w:hint="eastAsia" w:ascii="仿宋" w:hAnsi="仿宋" w:eastAsia="仿宋" w:cs="仿宋"/>
          <w:szCs w:val="24"/>
          <w:highlight w:val="none"/>
        </w:rPr>
        <w:fldChar w:fldCharType="end"/>
      </w:r>
    </w:p>
    <w:p w14:paraId="11D341C7">
      <w:pPr>
        <w:widowControl/>
        <w:tabs>
          <w:tab w:val="left" w:pos="2070"/>
          <w:tab w:val="center" w:pos="4365"/>
        </w:tabs>
        <w:snapToGrid w:val="0"/>
        <w:spacing w:line="600" w:lineRule="exact"/>
        <w:rPr>
          <w:rFonts w:hint="eastAsia" w:ascii="仿宋" w:hAnsi="仿宋" w:eastAsia="仿宋" w:cs="仿宋"/>
          <w:b/>
          <w:highlight w:val="none"/>
        </w:rPr>
      </w:pPr>
    </w:p>
    <w:p w14:paraId="0FCBA334">
      <w:pPr>
        <w:widowControl/>
        <w:tabs>
          <w:tab w:val="left" w:pos="2070"/>
          <w:tab w:val="center" w:pos="4365"/>
        </w:tabs>
        <w:snapToGrid w:val="0"/>
        <w:spacing w:line="600" w:lineRule="exact"/>
        <w:rPr>
          <w:rFonts w:hint="eastAsia" w:ascii="仿宋" w:hAnsi="仿宋" w:eastAsia="仿宋" w:cs="仿宋"/>
          <w:b/>
          <w:highlight w:val="none"/>
        </w:rPr>
      </w:pPr>
    </w:p>
    <w:p w14:paraId="7C765360">
      <w:pPr>
        <w:widowControl/>
        <w:tabs>
          <w:tab w:val="left" w:pos="2070"/>
          <w:tab w:val="center" w:pos="4365"/>
        </w:tabs>
        <w:snapToGrid w:val="0"/>
        <w:spacing w:line="600" w:lineRule="exact"/>
        <w:rPr>
          <w:rFonts w:hint="eastAsia" w:ascii="仿宋" w:hAnsi="仿宋" w:eastAsia="仿宋" w:cs="仿宋"/>
          <w:b/>
          <w:highlight w:val="none"/>
        </w:rPr>
        <w:sectPr>
          <w:footerReference r:id="rId5" w:type="first"/>
          <w:footerReference r:id="rId4" w:type="default"/>
          <w:pgSz w:w="11906" w:h="16838"/>
          <w:pgMar w:top="1440" w:right="1418" w:bottom="1440" w:left="1418" w:header="1134" w:footer="697" w:gutter="0"/>
          <w:cols w:space="720" w:num="1"/>
          <w:titlePg/>
          <w:docGrid w:type="lines" w:linePitch="312" w:charSpace="0"/>
        </w:sectPr>
      </w:pPr>
    </w:p>
    <w:p w14:paraId="2124CC64">
      <w:pPr>
        <w:pStyle w:val="2"/>
        <w:bidi w:val="0"/>
        <w:rPr>
          <w:rFonts w:hint="eastAsia"/>
          <w:highlight w:val="none"/>
        </w:rPr>
      </w:pPr>
      <w:bookmarkStart w:id="0" w:name="_Toc30172"/>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bookmarkEnd w:id="0"/>
    </w:p>
    <w:p w14:paraId="45B095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 w:name="_Toc35393629"/>
      <w:bookmarkStart w:id="2" w:name="_Toc28359012"/>
      <w:bookmarkStart w:id="3" w:name="_Toc28359089"/>
      <w:bookmarkStart w:id="4" w:name="_Toc35393798"/>
      <w:r>
        <w:rPr>
          <w:rFonts w:hint="eastAsia" w:ascii="仿宋" w:hAnsi="仿宋" w:eastAsia="仿宋" w:cs="仿宋"/>
          <w:sz w:val="24"/>
          <w:szCs w:val="24"/>
          <w:highlight w:val="none"/>
        </w:rPr>
        <w:t>项目概况</w:t>
      </w:r>
    </w:p>
    <w:p w14:paraId="77535B3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山西大学飞秒瞬态吸收光谱仪采购项目</w:t>
      </w:r>
      <w:r>
        <w:rPr>
          <w:rFonts w:hint="eastAsia" w:ascii="仿宋" w:hAnsi="仿宋" w:eastAsia="仿宋" w:cs="仿宋"/>
          <w:sz w:val="24"/>
          <w:szCs w:val="24"/>
          <w:highlight w:val="none"/>
        </w:rPr>
        <w:t>的潜在供应商应在政采云平台线上获取</w:t>
      </w:r>
      <w:r>
        <w:rPr>
          <w:rFonts w:hint="eastAsia" w:ascii="仿宋" w:hAnsi="仿宋" w:eastAsia="仿宋" w:cs="仿宋"/>
          <w:sz w:val="24"/>
          <w:szCs w:val="24"/>
          <w:highlight w:val="none"/>
          <w:lang w:val="en-US" w:eastAsia="zh-CN"/>
        </w:rPr>
        <w:t>采购</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color w:val="auto"/>
          <w:sz w:val="24"/>
          <w:szCs w:val="24"/>
          <w:highlight w:val="none"/>
        </w:rPr>
        <w:t>（北京时间）前提交响应文件。</w:t>
      </w:r>
    </w:p>
    <w:p w14:paraId="18A66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
      <w:bookmarkEnd w:id="2"/>
      <w:bookmarkEnd w:id="3"/>
      <w:bookmarkEnd w:id="4"/>
    </w:p>
    <w:p w14:paraId="70C10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山西大学飞秒瞬态吸收光谱仪采购项目</w:t>
      </w:r>
    </w:p>
    <w:p w14:paraId="53BA4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1499002026ATP00993</w:t>
      </w:r>
    </w:p>
    <w:p w14:paraId="4156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1EF03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预算金额（元）：</w:t>
      </w:r>
      <w:r>
        <w:rPr>
          <w:rFonts w:hint="eastAsia" w:ascii="仿宋" w:hAnsi="仿宋" w:eastAsia="仿宋" w:cs="仿宋"/>
          <w:sz w:val="24"/>
          <w:szCs w:val="24"/>
          <w:highlight w:val="none"/>
          <w:lang w:val="en-US" w:eastAsia="zh-CN"/>
        </w:rPr>
        <w:t>3250000</w:t>
      </w:r>
    </w:p>
    <w:p w14:paraId="42F5C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最高限价（元）：</w:t>
      </w:r>
      <w:r>
        <w:rPr>
          <w:rFonts w:hint="eastAsia" w:ascii="仿宋" w:hAnsi="仿宋" w:eastAsia="仿宋" w:cs="仿宋"/>
          <w:sz w:val="24"/>
          <w:szCs w:val="24"/>
          <w:highlight w:val="none"/>
          <w:lang w:val="en-US" w:eastAsia="zh-CN"/>
        </w:rPr>
        <w:t>3250000</w:t>
      </w:r>
    </w:p>
    <w:p w14:paraId="6E2AC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015A5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标项名称：</w:t>
      </w:r>
      <w:r>
        <w:rPr>
          <w:rFonts w:hint="eastAsia" w:ascii="仿宋" w:hAnsi="仿宋" w:eastAsia="仿宋" w:cs="仿宋"/>
          <w:sz w:val="24"/>
          <w:szCs w:val="24"/>
          <w:highlight w:val="none"/>
          <w:lang w:val="en-US" w:eastAsia="zh-CN"/>
        </w:rPr>
        <w:t>采购包1-</w:t>
      </w:r>
      <w:r>
        <w:rPr>
          <w:rFonts w:hint="eastAsia" w:ascii="仿宋" w:hAnsi="仿宋" w:eastAsia="仿宋" w:cs="仿宋"/>
          <w:color w:val="auto"/>
          <w:sz w:val="24"/>
          <w:szCs w:val="24"/>
          <w:highlight w:val="none"/>
          <w:lang w:eastAsia="zh-CN"/>
        </w:rPr>
        <w:t>飞秒瞬态吸收光谱仪</w:t>
      </w:r>
    </w:p>
    <w:p w14:paraId="7AF1D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14:paraId="0677F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sz w:val="24"/>
          <w:szCs w:val="24"/>
          <w:highlight w:val="none"/>
          <w:lang w:val="en-US" w:eastAsia="zh-CN"/>
        </w:rPr>
        <w:t>3250000</w:t>
      </w:r>
      <w:bookmarkStart w:id="73" w:name="_GoBack"/>
      <w:bookmarkEnd w:id="73"/>
    </w:p>
    <w:p w14:paraId="4DDF6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14:paraId="22EEE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飞秒瞬态吸收光谱仪主要用于半导体材料与光电器件中光生载流子超快动力学过程检测，精准获取激发态寿命、电荷转移及能量弛豫等关键参数，支撑新型光电材料与器件的超快机理研究（具体详见商务、技术要求）</w:t>
      </w:r>
    </w:p>
    <w:p w14:paraId="3406E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6BA5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合同履约期限：包 1</w:t>
      </w:r>
      <w:r>
        <w:rPr>
          <w:rFonts w:hint="eastAsia" w:ascii="仿宋" w:hAnsi="仿宋" w:eastAsia="仿宋" w:cs="仿宋"/>
          <w:color w:val="auto"/>
          <w:sz w:val="24"/>
          <w:szCs w:val="24"/>
          <w:highlight w:val="none"/>
          <w:lang w:val="en-US" w:eastAsia="zh-CN"/>
        </w:rPr>
        <w:t>，</w:t>
      </w:r>
      <w:bookmarkStart w:id="5" w:name="_Toc28359013"/>
      <w:bookmarkStart w:id="6" w:name="_Toc35393799"/>
      <w:bookmarkStart w:id="7" w:name="_Toc35393630"/>
      <w:bookmarkStart w:id="8" w:name="_Toc28359090"/>
      <w:r>
        <w:rPr>
          <w:rFonts w:hint="eastAsia" w:ascii="仿宋" w:hAnsi="仿宋" w:eastAsia="仿宋" w:cs="仿宋"/>
          <w:color w:val="auto"/>
          <w:sz w:val="24"/>
          <w:szCs w:val="24"/>
          <w:highlight w:val="none"/>
          <w:lang w:val="en-US" w:eastAsia="zh-CN"/>
        </w:rPr>
        <w:t>自合同签订之日起150天内，供方应向需方完成供货、安装调试、质量验收等相关交货手续。</w:t>
      </w:r>
    </w:p>
    <w:p w14:paraId="079F6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本项目（否）接受联合体投标。</w:t>
      </w:r>
    </w:p>
    <w:p w14:paraId="2AB07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5"/>
      <w:bookmarkEnd w:id="6"/>
      <w:bookmarkEnd w:id="7"/>
      <w:bookmarkEnd w:id="8"/>
    </w:p>
    <w:p w14:paraId="068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6CE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lang w:eastAsia="zh-CN"/>
        </w:rPr>
      </w:pPr>
      <w:bookmarkStart w:id="9" w:name="_Toc28359091"/>
      <w:bookmarkStart w:id="10" w:name="_Toc28359014"/>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包 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u w:val="none"/>
        </w:rPr>
        <w:t>；</w:t>
      </w:r>
    </w:p>
    <w:p w14:paraId="21D9C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bookmarkStart w:id="11" w:name="_Toc35393631"/>
      <w:bookmarkStart w:id="12" w:name="_Toc35393800"/>
      <w:r>
        <w:rPr>
          <w:rFonts w:hint="eastAsia" w:ascii="仿宋" w:hAnsi="仿宋" w:eastAsia="仿宋" w:cs="仿宋"/>
          <w:sz w:val="24"/>
          <w:szCs w:val="24"/>
          <w:highlight w:val="none"/>
          <w:lang w:val="en-US" w:eastAsia="zh-CN"/>
        </w:rPr>
        <w:t>无。</w:t>
      </w:r>
    </w:p>
    <w:p w14:paraId="37B21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三、获取采购文件</w:t>
      </w:r>
      <w:bookmarkEnd w:id="9"/>
      <w:bookmarkEnd w:id="10"/>
      <w:bookmarkEnd w:id="11"/>
      <w:bookmarkEnd w:id="12"/>
    </w:p>
    <w:p w14:paraId="5AECB9F4">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日每天上午00:00至12:00，下午12:00至23:59（北京时间，法定节假日除外）</w:t>
      </w:r>
    </w:p>
    <w:p w14:paraId="045DE5B5">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地点：政采云平台线上获取</w:t>
      </w:r>
    </w:p>
    <w:p w14:paraId="090FAA9D">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获取方式：在线获取</w:t>
      </w:r>
    </w:p>
    <w:p w14:paraId="5E55DB2A">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bookmarkStart w:id="13" w:name="_Toc35393801"/>
      <w:bookmarkStart w:id="14" w:name="_Toc28359015"/>
      <w:bookmarkStart w:id="15" w:name="_Toc35393632"/>
      <w:bookmarkStart w:id="16" w:name="_Toc28359092"/>
      <w:r>
        <w:rPr>
          <w:rFonts w:hint="eastAsia" w:ascii="仿宋" w:hAnsi="仿宋" w:eastAsia="仿宋" w:cs="仿宋"/>
          <w:color w:val="auto"/>
          <w:sz w:val="24"/>
          <w:szCs w:val="24"/>
          <w:highlight w:val="none"/>
        </w:rPr>
        <w:t>售价（元）：0</w:t>
      </w:r>
    </w:p>
    <w:bookmarkEnd w:id="13"/>
    <w:bookmarkEnd w:id="14"/>
    <w:bookmarkEnd w:id="15"/>
    <w:bookmarkEnd w:id="16"/>
    <w:p w14:paraId="0DF9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17" w:name="_Toc28359093"/>
      <w:bookmarkStart w:id="18" w:name="_Toc28359016"/>
      <w:bookmarkStart w:id="19" w:name="_Toc35393802"/>
      <w:bookmarkStart w:id="20" w:name="_Toc35393633"/>
      <w:r>
        <w:rPr>
          <w:rFonts w:hint="eastAsia" w:ascii="仿宋" w:hAnsi="仿宋" w:eastAsia="仿宋" w:cs="仿宋"/>
          <w:b/>
          <w:bCs/>
          <w:color w:val="auto"/>
          <w:sz w:val="24"/>
          <w:szCs w:val="24"/>
          <w:highlight w:val="none"/>
        </w:rPr>
        <w:t>四、响应文件提交</w:t>
      </w:r>
    </w:p>
    <w:p w14:paraId="62144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color w:val="auto"/>
          <w:sz w:val="24"/>
          <w:szCs w:val="24"/>
          <w:highlight w:val="none"/>
          <w:lang w:eastAsia="zh-CN"/>
        </w:rPr>
        <w:t>2026年06月05日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b w:val="0"/>
          <w:bCs w:val="0"/>
          <w:color w:val="auto"/>
          <w:sz w:val="24"/>
          <w:szCs w:val="24"/>
          <w:highlight w:val="none"/>
        </w:rPr>
        <w:t>（北京时间）</w:t>
      </w:r>
    </w:p>
    <w:p w14:paraId="28CDA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地点：请登录政采云投标客户端投标</w:t>
      </w:r>
    </w:p>
    <w:p w14:paraId="64B55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bookmarkEnd w:id="17"/>
      <w:bookmarkEnd w:id="18"/>
      <w:bookmarkEnd w:id="19"/>
      <w:bookmarkEnd w:id="20"/>
    </w:p>
    <w:p w14:paraId="465F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2026年06月05日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bCs/>
          <w:color w:val="auto"/>
          <w:sz w:val="24"/>
          <w:szCs w:val="24"/>
          <w:highlight w:val="none"/>
        </w:rPr>
        <w:t>（北京时间）</w:t>
      </w:r>
    </w:p>
    <w:p w14:paraId="5C2F0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sz w:val="24"/>
          <w:highlight w:val="none"/>
          <w:lang w:eastAsia="zh-CN"/>
        </w:rPr>
        <w:t>山西省太原市太榆路6号迎宾汽车站山西汽运集团晋龙捷泰运输有限公司办公楼七层开标室</w:t>
      </w:r>
    </w:p>
    <w:p w14:paraId="3723F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1" w:name="_Toc35393634"/>
      <w:bookmarkStart w:id="22" w:name="_Toc35393803"/>
      <w:bookmarkStart w:id="23" w:name="_Toc28359017"/>
      <w:bookmarkStart w:id="24" w:name="_Toc28359094"/>
      <w:r>
        <w:rPr>
          <w:rFonts w:hint="eastAsia" w:ascii="仿宋" w:hAnsi="仿宋" w:eastAsia="仿宋" w:cs="仿宋"/>
          <w:b/>
          <w:bCs/>
          <w:sz w:val="24"/>
          <w:szCs w:val="24"/>
          <w:highlight w:val="none"/>
        </w:rPr>
        <w:t>六、公告期限</w:t>
      </w:r>
      <w:bookmarkEnd w:id="21"/>
      <w:bookmarkEnd w:id="22"/>
      <w:bookmarkEnd w:id="23"/>
      <w:bookmarkEnd w:id="24"/>
    </w:p>
    <w:p w14:paraId="01AE2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14:paraId="23535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5" w:name="_Toc35393804"/>
      <w:bookmarkStart w:id="26" w:name="_Toc35393635"/>
      <w:r>
        <w:rPr>
          <w:rFonts w:hint="eastAsia" w:ascii="仿宋" w:hAnsi="仿宋" w:eastAsia="仿宋" w:cs="仿宋"/>
          <w:b/>
          <w:bCs/>
          <w:sz w:val="24"/>
          <w:szCs w:val="24"/>
          <w:highlight w:val="none"/>
        </w:rPr>
        <w:t>七、其他补充事宜</w:t>
      </w:r>
      <w:bookmarkEnd w:id="25"/>
      <w:bookmarkEnd w:id="26"/>
    </w:p>
    <w:p w14:paraId="6DE31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在法定质疑期内，对同一采购程序环节的质疑一次性提出。采购人、采购代理机构对同一环节多次提出的质疑不予受理。供应商参与山西省政府采购项目时，符合法定质疑条件的，通过政府采购平台进入“项目质疑管理”栏目向采购人、采购代理机构在线提起质疑。</w:t>
      </w:r>
    </w:p>
    <w:p w14:paraId="21EF4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代理费支付方式：供应商支付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34F7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代理费收费标准：参考国家发展计划委员会《招标代理服务收费管理暂行办法》的通知（计价格[2002]1980号文件）及国家发展和改革委员会发改价格[2011]534号文件</w:t>
      </w:r>
      <w:r>
        <w:rPr>
          <w:rFonts w:hint="eastAsia" w:ascii="仿宋" w:hAnsi="仿宋" w:eastAsia="仿宋" w:cs="仿宋"/>
          <w:sz w:val="24"/>
          <w:szCs w:val="24"/>
          <w:highlight w:val="none"/>
          <w:lang w:val="en-US" w:eastAsia="zh-CN"/>
        </w:rPr>
        <w:t>的90%</w:t>
      </w:r>
      <w:r>
        <w:rPr>
          <w:rFonts w:hint="eastAsia" w:ascii="仿宋" w:hAnsi="仿宋" w:eastAsia="仿宋" w:cs="仿宋"/>
          <w:sz w:val="24"/>
          <w:szCs w:val="24"/>
          <w:highlight w:val="none"/>
        </w:rPr>
        <w:t>计算</w:t>
      </w:r>
      <w:r>
        <w:rPr>
          <w:rFonts w:hint="eastAsia" w:ascii="仿宋" w:hAnsi="仿宋" w:eastAsia="仿宋" w:cs="仿宋"/>
          <w:sz w:val="24"/>
          <w:szCs w:val="24"/>
          <w:highlight w:val="none"/>
          <w:lang w:eastAsia="zh-CN"/>
        </w:rPr>
        <w:t>。</w:t>
      </w:r>
    </w:p>
    <w:p w14:paraId="106A6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p>
    <w:p w14:paraId="30C63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7" w:name="_Toc28359095"/>
      <w:bookmarkStart w:id="28" w:name="_Toc28359018"/>
      <w:bookmarkStart w:id="29" w:name="_Toc35393805"/>
      <w:bookmarkStart w:id="30" w:name="_Toc35393636"/>
      <w:r>
        <w:rPr>
          <w:rFonts w:hint="eastAsia" w:ascii="仿宋" w:hAnsi="仿宋" w:eastAsia="仿宋" w:cs="仿宋"/>
          <w:b/>
          <w:bCs/>
          <w:sz w:val="24"/>
          <w:szCs w:val="24"/>
          <w:highlight w:val="none"/>
        </w:rPr>
        <w:t>八、凡对本次采购提出询问，请按以下方式联系。</w:t>
      </w:r>
      <w:bookmarkEnd w:id="27"/>
      <w:bookmarkEnd w:id="28"/>
      <w:bookmarkEnd w:id="29"/>
      <w:bookmarkEnd w:id="30"/>
    </w:p>
    <w:p w14:paraId="0BD5DC44">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1．采购人信息</w:t>
      </w:r>
    </w:p>
    <w:p w14:paraId="7A1F5BF2">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none"/>
          <w:lang w:eastAsia="zh-CN"/>
        </w:rPr>
        <w:t>山西大学</w:t>
      </w:r>
    </w:p>
    <w:p w14:paraId="49876FE6">
      <w:pPr>
        <w:snapToGrid w:val="0"/>
        <w:spacing w:line="360" w:lineRule="auto"/>
        <w:ind w:firstLine="720" w:firstLineChars="300"/>
        <w:textAlignment w:val="baseline"/>
        <w:rPr>
          <w:rFonts w:hint="eastAsia" w:ascii="仿宋" w:hAnsi="仿宋" w:eastAsia="仿宋" w:cs="仿宋"/>
          <w:sz w:val="24"/>
          <w:highlight w:val="none"/>
          <w:u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none"/>
          <w:lang w:eastAsia="zh-CN"/>
        </w:rPr>
        <w:t>山西省太原市小店区坞城路92号</w:t>
      </w:r>
    </w:p>
    <w:p w14:paraId="53786E2D">
      <w:pPr>
        <w:snapToGrid w:val="0"/>
        <w:spacing w:line="360" w:lineRule="auto"/>
        <w:ind w:firstLine="720" w:firstLineChars="300"/>
        <w:textAlignment w:val="baseline"/>
        <w:rPr>
          <w:rFonts w:hint="eastAsia" w:ascii="仿宋" w:hAnsi="仿宋" w:eastAsia="仿宋" w:cs="仿宋"/>
          <w:sz w:val="24"/>
          <w:highlight w:val="none"/>
          <w:u w:val="none"/>
        </w:rPr>
      </w:pPr>
      <w:r>
        <w:rPr>
          <w:rFonts w:hint="eastAsia" w:ascii="仿宋" w:hAnsi="仿宋" w:eastAsia="仿宋" w:cs="仿宋"/>
          <w:sz w:val="24"/>
          <w:highlight w:val="none"/>
          <w:u w:val="none"/>
        </w:rPr>
        <w:t>联系</w:t>
      </w:r>
      <w:r>
        <w:rPr>
          <w:rFonts w:hint="eastAsia" w:ascii="仿宋" w:hAnsi="仿宋" w:eastAsia="仿宋" w:cs="仿宋"/>
          <w:sz w:val="24"/>
          <w:highlight w:val="none"/>
        </w:rPr>
        <w:t>方式</w:t>
      </w:r>
      <w:r>
        <w:rPr>
          <w:rFonts w:hint="eastAsia" w:ascii="仿宋" w:hAnsi="仿宋" w:eastAsia="仿宋" w:cs="仿宋"/>
          <w:sz w:val="24"/>
          <w:highlight w:val="none"/>
          <w:u w:val="none"/>
        </w:rPr>
        <w:t>：</w:t>
      </w:r>
      <w:r>
        <w:rPr>
          <w:rFonts w:hint="eastAsia" w:ascii="仿宋" w:hAnsi="仿宋" w:eastAsia="仿宋" w:cs="仿宋"/>
          <w:sz w:val="24"/>
          <w:highlight w:val="none"/>
          <w:u w:val="none"/>
          <w:lang w:eastAsia="zh-CN"/>
        </w:rPr>
        <w:t>0351-7011255</w:t>
      </w:r>
    </w:p>
    <w:p w14:paraId="666BBADB">
      <w:pPr>
        <w:snapToGrid w:val="0"/>
        <w:spacing w:line="360" w:lineRule="auto"/>
        <w:ind w:firstLine="720" w:firstLineChars="300"/>
        <w:textAlignment w:val="baseline"/>
        <w:rPr>
          <w:rFonts w:hint="eastAsia" w:ascii="仿宋" w:hAnsi="仿宋" w:eastAsia="仿宋" w:cs="仿宋"/>
          <w:sz w:val="24"/>
          <w:highlight w:val="none"/>
        </w:rPr>
      </w:pPr>
    </w:p>
    <w:p w14:paraId="50A0A43D">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69DAE255">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u w:val="none"/>
          <w:lang w:eastAsia="zh-CN"/>
        </w:rPr>
        <w:t>山西万通渊利企业管理咨询有限公司</w:t>
      </w:r>
    </w:p>
    <w:p w14:paraId="11088C95">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none"/>
          <w:lang w:eastAsia="zh-CN"/>
        </w:rPr>
        <w:t>山西省太原市太榆路迎宾汽车站山西汽运集团晋龙捷泰运输有限公司办公楼六层（办公）</w:t>
      </w:r>
    </w:p>
    <w:p w14:paraId="7EB5B42D">
      <w:pPr>
        <w:snapToGrid w:val="0"/>
        <w:spacing w:line="360" w:lineRule="auto"/>
        <w:ind w:firstLine="720" w:firstLineChars="300"/>
        <w:textAlignment w:val="baseline"/>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联系方式：</w:t>
      </w:r>
      <w:r>
        <w:rPr>
          <w:rFonts w:hint="eastAsia" w:ascii="仿宋" w:hAnsi="仿宋" w:eastAsia="仿宋" w:cs="仿宋"/>
          <w:sz w:val="24"/>
          <w:highlight w:val="none"/>
          <w:u w:val="none"/>
          <w:lang w:eastAsia="zh-CN"/>
        </w:rPr>
        <w:t>19035126791</w:t>
      </w:r>
    </w:p>
    <w:p w14:paraId="55BAC4DC">
      <w:pPr>
        <w:snapToGrid w:val="0"/>
        <w:spacing w:line="360" w:lineRule="auto"/>
        <w:ind w:firstLine="720" w:firstLineChars="300"/>
        <w:textAlignment w:val="baseline"/>
        <w:rPr>
          <w:rFonts w:hint="eastAsia" w:ascii="仿宋" w:hAnsi="仿宋" w:eastAsia="仿宋" w:cs="仿宋"/>
          <w:sz w:val="24"/>
          <w:highlight w:val="none"/>
          <w:lang w:val="en-US" w:eastAsia="zh-CN"/>
        </w:rPr>
      </w:pPr>
    </w:p>
    <w:p w14:paraId="0A6E00D5">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7C1FAAA0">
      <w:pPr>
        <w:snapToGrid w:val="0"/>
        <w:spacing w:line="360" w:lineRule="auto"/>
        <w:ind w:firstLine="720" w:firstLineChars="300"/>
        <w:textAlignment w:val="baseline"/>
        <w:rPr>
          <w:rFonts w:hint="default" w:ascii="仿宋" w:hAnsi="仿宋" w:eastAsia="仿宋" w:cs="仿宋"/>
          <w:sz w:val="24"/>
          <w:highlight w:val="none"/>
          <w:u w:val="none"/>
          <w:lang w:val="en-US" w:eastAsia="zh-CN"/>
        </w:rPr>
      </w:pPr>
      <w:r>
        <w:rPr>
          <w:rFonts w:hint="eastAsia" w:ascii="仿宋" w:hAnsi="仿宋" w:eastAsia="仿宋" w:cs="仿宋"/>
          <w:sz w:val="24"/>
          <w:highlight w:val="none"/>
        </w:rPr>
        <w:t>项目联系人：</w:t>
      </w:r>
      <w:r>
        <w:rPr>
          <w:rFonts w:hint="eastAsia" w:ascii="仿宋" w:hAnsi="仿宋" w:eastAsia="仿宋" w:cs="仿宋"/>
          <w:sz w:val="24"/>
          <w:highlight w:val="none"/>
          <w:u w:val="none"/>
          <w:lang w:val="en-US" w:eastAsia="zh-CN"/>
        </w:rPr>
        <w:t>张旭、常满毅、连晓阳</w:t>
      </w:r>
    </w:p>
    <w:p w14:paraId="774D66D8">
      <w:pPr>
        <w:bidi w:val="0"/>
        <w:ind w:firstLine="720" w:firstLineChars="3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电 　　 话：19035126791</w:t>
      </w:r>
    </w:p>
    <w:p w14:paraId="3DDDF326">
      <w:pPr>
        <w:pStyle w:val="2"/>
        <w:bidi w:val="0"/>
        <w:rPr>
          <w:rFonts w:hint="eastAsia" w:ascii="仿宋" w:hAnsi="仿宋" w:eastAsia="仿宋" w:cs="仿宋"/>
          <w:b w:val="0"/>
          <w:sz w:val="36"/>
          <w:szCs w:val="36"/>
          <w:highlight w:val="none"/>
        </w:rPr>
      </w:pPr>
      <w:r>
        <w:rPr>
          <w:rFonts w:hint="eastAsia" w:ascii="仿宋" w:hAnsi="仿宋" w:eastAsia="仿宋" w:cs="仿宋"/>
          <w:sz w:val="24"/>
          <w:highlight w:val="none"/>
          <w:u w:val="single"/>
        </w:rPr>
        <w:br w:type="page"/>
      </w:r>
      <w:bookmarkStart w:id="31" w:name="_Toc24287"/>
      <w:r>
        <w:rPr>
          <w:rFonts w:hint="eastAsia" w:ascii="仿宋" w:hAnsi="仿宋" w:eastAsia="仿宋" w:cs="仿宋"/>
          <w:b/>
          <w:kern w:val="2"/>
          <w:sz w:val="24"/>
          <w:szCs w:val="24"/>
          <w:highlight w:val="none"/>
          <w:lang w:val="en-US" w:eastAsia="zh-CN" w:bidi="ar-SA"/>
        </w:rPr>
        <w:t>第二部分  供应商须知前附表</w:t>
      </w:r>
      <w:bookmarkEnd w:id="31"/>
    </w:p>
    <w:tbl>
      <w:tblPr>
        <w:tblStyle w:val="1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6948"/>
      </w:tblGrid>
      <w:tr w14:paraId="33B7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A66F1C">
            <w:pPr>
              <w:snapToGrid w:val="0"/>
              <w:spacing w:line="360" w:lineRule="auto"/>
              <w:jc w:val="center"/>
              <w:rPr>
                <w:rFonts w:hint="eastAsia" w:ascii="仿宋" w:hAnsi="仿宋" w:eastAsia="仿宋" w:cs="仿宋"/>
                <w:b/>
                <w:sz w:val="24"/>
                <w:szCs w:val="24"/>
                <w:highlight w:val="none"/>
              </w:rPr>
            </w:pPr>
            <w:bookmarkStart w:id="32" w:name="_Toc466533576"/>
            <w:r>
              <w:rPr>
                <w:rFonts w:hint="eastAsia" w:ascii="仿宋" w:hAnsi="仿宋" w:eastAsia="仿宋" w:cs="仿宋"/>
                <w:b/>
                <w:sz w:val="24"/>
                <w:szCs w:val="24"/>
                <w:highlight w:val="none"/>
              </w:rPr>
              <w:t>项号</w:t>
            </w:r>
          </w:p>
        </w:tc>
        <w:tc>
          <w:tcPr>
            <w:tcW w:w="1701" w:type="dxa"/>
            <w:noWrap w:val="0"/>
            <w:vAlign w:val="center"/>
          </w:tcPr>
          <w:p w14:paraId="5EB22B24">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948" w:type="dxa"/>
            <w:noWrap w:val="0"/>
            <w:vAlign w:val="center"/>
          </w:tcPr>
          <w:p w14:paraId="321EF445">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14:paraId="2193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FF222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1" w:type="dxa"/>
            <w:noWrap w:val="0"/>
            <w:vAlign w:val="center"/>
          </w:tcPr>
          <w:p w14:paraId="6F59BDD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948" w:type="dxa"/>
            <w:noWrap w:val="0"/>
            <w:vAlign w:val="center"/>
          </w:tcPr>
          <w:p w14:paraId="2DB66C40">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山西大学飞秒瞬态吸收光谱仪采购项目。</w:t>
            </w:r>
          </w:p>
        </w:tc>
      </w:tr>
      <w:tr w14:paraId="458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3418AF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1" w:type="dxa"/>
            <w:noWrap w:val="0"/>
            <w:vAlign w:val="center"/>
          </w:tcPr>
          <w:p w14:paraId="0460C95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合同履行期限</w:t>
            </w:r>
          </w:p>
        </w:tc>
        <w:tc>
          <w:tcPr>
            <w:tcW w:w="6948" w:type="dxa"/>
            <w:noWrap w:val="0"/>
            <w:vAlign w:val="center"/>
          </w:tcPr>
          <w:p w14:paraId="79B78EC7">
            <w:pPr>
              <w:spacing w:line="360" w:lineRule="auto"/>
              <w:jc w:val="both"/>
              <w:rPr>
                <w:rFonts w:hint="eastAsia" w:ascii="仿宋" w:hAnsi="仿宋" w:eastAsia="仿宋" w:cs="仿宋"/>
                <w:bCs/>
                <w:sz w:val="24"/>
                <w:szCs w:val="24"/>
                <w:highlight w:val="none"/>
                <w:lang w:eastAsia="zh-CN"/>
              </w:rPr>
            </w:pPr>
            <w:r>
              <w:rPr>
                <w:rFonts w:hint="eastAsia" w:ascii="仿宋" w:hAnsi="仿宋" w:eastAsia="仿宋" w:cs="仿宋"/>
                <w:color w:val="auto"/>
                <w:sz w:val="24"/>
                <w:szCs w:val="24"/>
                <w:highlight w:val="none"/>
                <w:lang w:val="en-US" w:eastAsia="zh-CN"/>
              </w:rPr>
              <w:t>自合同签订之日起150天内，供方应向需方完成供货、安装调试、质量验收等相关交货手续</w:t>
            </w:r>
            <w:r>
              <w:rPr>
                <w:rFonts w:hint="eastAsia" w:ascii="仿宋" w:hAnsi="仿宋" w:eastAsia="仿宋" w:cs="仿宋"/>
                <w:i w:val="0"/>
                <w:iCs w:val="0"/>
                <w:caps w:val="0"/>
                <w:color w:val="auto"/>
                <w:spacing w:val="0"/>
                <w:sz w:val="24"/>
                <w:szCs w:val="24"/>
                <w:highlight w:val="none"/>
                <w:shd w:val="clear" w:color="auto" w:fill="FFFFFF"/>
                <w:lang w:eastAsia="zh-CN"/>
              </w:rPr>
              <w:t>。</w:t>
            </w:r>
          </w:p>
        </w:tc>
      </w:tr>
      <w:tr w14:paraId="3A4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3" w:type="dxa"/>
            <w:noWrap w:val="0"/>
            <w:vAlign w:val="center"/>
          </w:tcPr>
          <w:p w14:paraId="52F35A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1" w:type="dxa"/>
            <w:noWrap w:val="0"/>
            <w:vAlign w:val="center"/>
          </w:tcPr>
          <w:p w14:paraId="2A1F34E8">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交货地点</w:t>
            </w:r>
          </w:p>
        </w:tc>
        <w:tc>
          <w:tcPr>
            <w:tcW w:w="6948" w:type="dxa"/>
            <w:noWrap w:val="0"/>
            <w:vAlign w:val="center"/>
          </w:tcPr>
          <w:p w14:paraId="5826AA51">
            <w:pPr>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山西大学校内指定地点。</w:t>
            </w:r>
          </w:p>
        </w:tc>
      </w:tr>
      <w:tr w14:paraId="70C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C7D4E8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1" w:type="dxa"/>
            <w:noWrap w:val="0"/>
            <w:vAlign w:val="center"/>
          </w:tcPr>
          <w:p w14:paraId="5D8089B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实施范围</w:t>
            </w:r>
          </w:p>
        </w:tc>
        <w:tc>
          <w:tcPr>
            <w:tcW w:w="6948" w:type="dxa"/>
            <w:noWrap w:val="0"/>
            <w:vAlign w:val="center"/>
          </w:tcPr>
          <w:p w14:paraId="70DE733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具体报价范围、</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范围及所应达到的具体要求，以《竞争性谈判文件》中</w:t>
            </w:r>
            <w:r>
              <w:rPr>
                <w:rFonts w:hint="eastAsia" w:ascii="仿宋" w:hAnsi="仿宋" w:eastAsia="仿宋" w:cs="仿宋"/>
                <w:bCs/>
                <w:sz w:val="24"/>
                <w:szCs w:val="24"/>
                <w:highlight w:val="none"/>
                <w:lang w:eastAsia="zh-CN"/>
              </w:rPr>
              <w:t>商务、技术</w:t>
            </w:r>
            <w:r>
              <w:rPr>
                <w:rFonts w:hint="eastAsia" w:ascii="仿宋" w:hAnsi="仿宋" w:eastAsia="仿宋" w:cs="仿宋"/>
                <w:bCs/>
                <w:sz w:val="24"/>
                <w:szCs w:val="24"/>
                <w:highlight w:val="none"/>
                <w:lang w:val="en-US" w:eastAsia="zh-CN"/>
              </w:rPr>
              <w:t>要求</w:t>
            </w:r>
            <w:r>
              <w:rPr>
                <w:rFonts w:hint="eastAsia" w:ascii="仿宋" w:hAnsi="仿宋" w:eastAsia="仿宋" w:cs="仿宋"/>
                <w:bCs/>
                <w:sz w:val="24"/>
                <w:szCs w:val="24"/>
                <w:highlight w:val="none"/>
              </w:rPr>
              <w:t>的相应规定为准。</w:t>
            </w:r>
          </w:p>
        </w:tc>
      </w:tr>
      <w:tr w14:paraId="610B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2B0D0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1" w:type="dxa"/>
            <w:noWrap w:val="0"/>
            <w:vAlign w:val="center"/>
          </w:tcPr>
          <w:p w14:paraId="6370A14B">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本项目预算</w:t>
            </w:r>
          </w:p>
          <w:p w14:paraId="417072F9">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金额</w:t>
            </w:r>
          </w:p>
        </w:tc>
        <w:tc>
          <w:tcPr>
            <w:tcW w:w="6948" w:type="dxa"/>
            <w:noWrap w:val="0"/>
            <w:vAlign w:val="center"/>
          </w:tcPr>
          <w:p w14:paraId="27B019C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3250000元</w:t>
            </w:r>
            <w:r>
              <w:rPr>
                <w:rFonts w:hint="eastAsia" w:ascii="仿宋" w:hAnsi="仿宋" w:eastAsia="仿宋" w:cs="仿宋"/>
                <w:sz w:val="24"/>
                <w:szCs w:val="24"/>
                <w:highlight w:val="none"/>
              </w:rPr>
              <w:t>；</w:t>
            </w:r>
          </w:p>
          <w:p w14:paraId="52B695F8">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供应商报价超过预算金额的，将否决其谈判。</w:t>
            </w:r>
          </w:p>
        </w:tc>
      </w:tr>
      <w:tr w14:paraId="38B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668C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01" w:type="dxa"/>
            <w:noWrap w:val="0"/>
            <w:vAlign w:val="center"/>
          </w:tcPr>
          <w:p w14:paraId="0325FF1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供应商应具备的特定资格要求</w:t>
            </w:r>
          </w:p>
        </w:tc>
        <w:tc>
          <w:tcPr>
            <w:tcW w:w="6948" w:type="dxa"/>
            <w:noWrap w:val="0"/>
            <w:vAlign w:val="center"/>
          </w:tcPr>
          <w:p w14:paraId="6C0B9D14">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none"/>
                <w:lang w:val="en-US" w:eastAsia="zh-CN"/>
              </w:rPr>
              <w:t>无。</w:t>
            </w:r>
          </w:p>
        </w:tc>
      </w:tr>
      <w:tr w14:paraId="293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B44DAB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01" w:type="dxa"/>
            <w:noWrap w:val="0"/>
            <w:vAlign w:val="center"/>
          </w:tcPr>
          <w:p w14:paraId="10E55DBA">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和代理商投标</w:t>
            </w:r>
          </w:p>
        </w:tc>
        <w:tc>
          <w:tcPr>
            <w:tcW w:w="6948" w:type="dxa"/>
            <w:noWrap w:val="0"/>
            <w:vAlign w:val="center"/>
          </w:tcPr>
          <w:p w14:paraId="4ABE75DD">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本项目不接受联合体投标</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lang w:eastAsia="zh-CN"/>
              </w:rPr>
              <w:t>，接受代理商投标</w:t>
            </w:r>
            <w:r>
              <w:rPr>
                <w:rFonts w:hint="eastAsia" w:ascii="仿宋" w:hAnsi="仿宋" w:eastAsia="仿宋" w:cs="仿宋"/>
                <w:sz w:val="24"/>
                <w:szCs w:val="24"/>
                <w:highlight w:val="none"/>
                <w:lang w:val="en-US" w:eastAsia="zh-CN"/>
              </w:rPr>
              <w:t>/报价。</w:t>
            </w:r>
          </w:p>
        </w:tc>
      </w:tr>
      <w:tr w14:paraId="272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54009D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01" w:type="dxa"/>
            <w:noWrap w:val="0"/>
            <w:vAlign w:val="center"/>
          </w:tcPr>
          <w:p w14:paraId="26D3CA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48" w:type="dxa"/>
            <w:noWrap w:val="0"/>
            <w:vAlign w:val="center"/>
          </w:tcPr>
          <w:p w14:paraId="27109EC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竞争性谈判</w:t>
            </w:r>
            <w:r>
              <w:rPr>
                <w:rFonts w:hint="eastAsia" w:ascii="仿宋" w:hAnsi="仿宋" w:eastAsia="仿宋" w:cs="仿宋"/>
                <w:sz w:val="24"/>
                <w:szCs w:val="24"/>
                <w:highlight w:val="none"/>
                <w:lang w:eastAsia="zh-CN"/>
              </w:rPr>
              <w:t>。</w:t>
            </w:r>
          </w:p>
        </w:tc>
      </w:tr>
      <w:tr w14:paraId="373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533E2FE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01" w:type="dxa"/>
            <w:noWrap w:val="0"/>
            <w:vAlign w:val="center"/>
          </w:tcPr>
          <w:p w14:paraId="3C4D578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发售谈判文件</w:t>
            </w:r>
          </w:p>
        </w:tc>
        <w:tc>
          <w:tcPr>
            <w:tcW w:w="6948" w:type="dxa"/>
            <w:noWrap w:val="0"/>
            <w:vAlign w:val="center"/>
          </w:tcPr>
          <w:p w14:paraId="41FAEFC6">
            <w:pPr>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同“谈判公告”获取采购文件时间；</w:t>
            </w:r>
          </w:p>
          <w:p w14:paraId="247FD921">
            <w:pPr>
              <w:snapToGrid w:val="0"/>
              <w:spacing w:line="360" w:lineRule="auto"/>
              <w:jc w:val="left"/>
              <w:rPr>
                <w:rFonts w:hint="default" w:ascii="仿宋" w:hAnsi="仿宋" w:eastAsia="仿宋" w:cs="仿宋"/>
                <w:sz w:val="24"/>
                <w:szCs w:val="24"/>
                <w:highlight w:val="none"/>
                <w:u w:val="single"/>
                <w:lang w:val="en-US"/>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同“谈判公告”获取采购文件地点。</w:t>
            </w:r>
          </w:p>
        </w:tc>
      </w:tr>
      <w:tr w14:paraId="42F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3" w:type="dxa"/>
            <w:noWrap w:val="0"/>
            <w:vAlign w:val="center"/>
          </w:tcPr>
          <w:p w14:paraId="5692E166">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01" w:type="dxa"/>
            <w:noWrap w:val="0"/>
            <w:vAlign w:val="center"/>
          </w:tcPr>
          <w:p w14:paraId="4092859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供应商应提交的资格证明文件</w:t>
            </w:r>
          </w:p>
        </w:tc>
        <w:tc>
          <w:tcPr>
            <w:tcW w:w="6948" w:type="dxa"/>
            <w:noWrap w:val="0"/>
            <w:vAlign w:val="center"/>
          </w:tcPr>
          <w:p w14:paraId="78B98195">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1、供应商具有独立承担民事责任的能力的承诺函（格式见第七部分）</w:t>
            </w:r>
            <w:r>
              <w:rPr>
                <w:rFonts w:hint="eastAsia" w:ascii="仿宋" w:hAnsi="仿宋" w:eastAsia="仿宋" w:cs="仿宋"/>
                <w:sz w:val="24"/>
                <w:szCs w:val="24"/>
                <w:highlight w:val="none"/>
                <w:lang w:eastAsia="zh-CN"/>
              </w:rPr>
              <w:t>；</w:t>
            </w:r>
          </w:p>
          <w:p w14:paraId="28A29992">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供应商具有良好的商业信誉和健全的财务会计制度的承诺函（格式见第七部分）；</w:t>
            </w:r>
          </w:p>
          <w:p w14:paraId="5EBB49C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、供应商具有履行合同所必需的设备和专业技术能力的承诺函</w:t>
            </w:r>
            <w:r>
              <w:rPr>
                <w:rFonts w:hint="eastAsia" w:ascii="仿宋" w:hAnsi="仿宋" w:eastAsia="仿宋" w:cs="仿宋"/>
                <w:sz w:val="24"/>
                <w:szCs w:val="24"/>
                <w:highlight w:val="none"/>
              </w:rPr>
              <w:t>（格式见第七部分）；</w:t>
            </w:r>
          </w:p>
          <w:p w14:paraId="61017CC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有依法缴纳税收和社会保障资金的良好记录的承诺函（格式见第七部分）；</w:t>
            </w:r>
          </w:p>
          <w:p w14:paraId="2C06591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、供应商参加政府采购活动前三年内，在经营活动中没有重大违法记录的承诺函</w:t>
            </w:r>
            <w:r>
              <w:rPr>
                <w:rFonts w:hint="eastAsia" w:ascii="仿宋" w:hAnsi="仿宋" w:eastAsia="仿宋" w:cs="仿宋"/>
                <w:sz w:val="24"/>
                <w:szCs w:val="24"/>
                <w:highlight w:val="none"/>
              </w:rPr>
              <w:t>（格式见第七部分）；</w:t>
            </w:r>
          </w:p>
          <w:p w14:paraId="73C363CC">
            <w:pPr>
              <w:snapToGrid w:val="0"/>
              <w:spacing w:line="360" w:lineRule="auto"/>
              <w:rPr>
                <w:rFonts w:hint="default" w:ascii="仿宋" w:hAnsi="仿宋" w:eastAsia="仿宋" w:cs="仿宋"/>
                <w:strike/>
                <w:sz w:val="24"/>
                <w:szCs w:val="24"/>
                <w:highlight w:val="none"/>
                <w:lang w:eastAsia="zh-CN"/>
              </w:rPr>
            </w:pP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rPr>
              <w:t>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lang w:eastAsia="zh-CN"/>
              </w:rPr>
              <w:t>）</w:t>
            </w:r>
            <w:r>
              <w:rPr>
                <w:rFonts w:hint="eastAsia" w:ascii="仿宋" w:hAnsi="仿宋" w:eastAsia="仿宋" w:cs="仿宋"/>
                <w:strike w:val="0"/>
                <w:dstrike w:val="0"/>
                <w:sz w:val="24"/>
                <w:szCs w:val="24"/>
                <w:highlight w:val="none"/>
              </w:rPr>
              <w:t>；</w:t>
            </w:r>
          </w:p>
          <w:p w14:paraId="39591817">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、供应商认为需要提供的其他资格证明文件（如有）</w:t>
            </w:r>
            <w:r>
              <w:rPr>
                <w:rFonts w:hint="eastAsia" w:ascii="仿宋" w:hAnsi="仿宋" w:eastAsia="仿宋" w:cs="仿宋"/>
                <w:sz w:val="24"/>
                <w:szCs w:val="24"/>
                <w:highlight w:val="none"/>
                <w:lang w:eastAsia="zh-CN"/>
              </w:rPr>
              <w:t>；</w:t>
            </w:r>
          </w:p>
          <w:p w14:paraId="6165A2C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以上资格证明文件，若有一项未提供或无效，或因模糊不清无法确定是否符合</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文件要求，将导致其不具备投标资格，且不允许在开标后补正。</w:t>
            </w:r>
          </w:p>
          <w:p w14:paraId="34B391C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谈判小组</w:t>
            </w:r>
            <w:r>
              <w:rPr>
                <w:rFonts w:hint="eastAsia" w:ascii="仿宋" w:hAnsi="仿宋" w:eastAsia="仿宋" w:cs="仿宋"/>
                <w:sz w:val="24"/>
                <w:szCs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查询记录与其他评标资料一并保存。供应商存在失信记录的，其响应文件将作无效处理。（此项资格证明文件无需供应商提供）；</w:t>
            </w:r>
          </w:p>
        </w:tc>
      </w:tr>
      <w:tr w14:paraId="4C8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6F67F80">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01" w:type="dxa"/>
            <w:noWrap w:val="0"/>
            <w:vAlign w:val="center"/>
          </w:tcPr>
          <w:p w14:paraId="474A523A">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供应商应提交的</w:t>
            </w:r>
            <w:r>
              <w:rPr>
                <w:rFonts w:hint="eastAsia" w:ascii="仿宋" w:hAnsi="仿宋" w:eastAsia="仿宋" w:cs="仿宋"/>
                <w:sz w:val="24"/>
                <w:szCs w:val="24"/>
                <w:highlight w:val="none"/>
                <w:lang w:eastAsia="zh-CN"/>
              </w:rPr>
              <w:t>商务</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lang w:eastAsia="zh-CN"/>
              </w:rPr>
              <w:t>文件</w:t>
            </w:r>
          </w:p>
        </w:tc>
        <w:tc>
          <w:tcPr>
            <w:tcW w:w="6948" w:type="dxa"/>
            <w:noWrap w:val="0"/>
            <w:vAlign w:val="center"/>
          </w:tcPr>
          <w:p w14:paraId="750E8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供应商应按下列顺序提交</w:t>
            </w:r>
            <w:r>
              <w:rPr>
                <w:rFonts w:hint="eastAsia" w:ascii="仿宋" w:hAnsi="仿宋" w:eastAsia="仿宋" w:cs="仿宋"/>
                <w:sz w:val="24"/>
                <w:szCs w:val="24"/>
                <w:highlight w:val="none"/>
                <w:lang w:eastAsia="zh-CN"/>
              </w:rPr>
              <w:t>商务服务文件</w:t>
            </w:r>
            <w:r>
              <w:rPr>
                <w:rFonts w:hint="eastAsia" w:ascii="仿宋" w:hAnsi="仿宋" w:eastAsia="仿宋" w:cs="仿宋"/>
                <w:sz w:val="24"/>
                <w:szCs w:val="24"/>
                <w:highlight w:val="none"/>
              </w:rPr>
              <w:t>，其中加*项为实质性响应条款。</w:t>
            </w:r>
          </w:p>
          <w:p w14:paraId="3F47CFE7">
            <w:pPr>
              <w:pStyle w:val="5"/>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1、*谈判函（格式见第七部分）；</w:t>
            </w:r>
          </w:p>
          <w:p w14:paraId="0383210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2、*法定代表人（负责人）身份证明书（格式见第七部分）；</w:t>
            </w:r>
          </w:p>
          <w:p w14:paraId="2ADF1FF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3、*法定代表人（负责人）授权委托书（格式见第七部分）；</w:t>
            </w:r>
          </w:p>
          <w:p w14:paraId="70591C9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4、*报价一览表(格式见第七部分）；</w:t>
            </w:r>
          </w:p>
          <w:p w14:paraId="77D946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5、近三年类似项目案例及相关证明资料（复印件，类似项目要求见评审程序、方法及标准）；</w:t>
            </w:r>
          </w:p>
          <w:p w14:paraId="57A0E9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6、*商务偏离表(格式见第七部分)；</w:t>
            </w:r>
          </w:p>
          <w:p w14:paraId="5FC135E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7、*技术偏离表(格式见第七部分)；</w:t>
            </w:r>
          </w:p>
          <w:p w14:paraId="79C4786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8、*针对本项目的技术方案；</w:t>
            </w:r>
          </w:p>
          <w:p w14:paraId="158F1B7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9、项目人员机构的配备；</w:t>
            </w:r>
          </w:p>
          <w:p w14:paraId="720BEA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kern w:val="2"/>
                <w:sz w:val="24"/>
                <w:szCs w:val="24"/>
                <w:highlight w:val="none"/>
                <w:lang w:val="en-US" w:eastAsia="zh-CN" w:bidi="ar-SA"/>
              </w:rPr>
              <w:t>10、供应商认为需要提供的其他商务技术材料；</w:t>
            </w:r>
          </w:p>
          <w:p w14:paraId="0A6194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政策性要求(格式见第七部分)</w:t>
            </w:r>
            <w:r>
              <w:rPr>
                <w:rFonts w:hint="eastAsia" w:ascii="仿宋" w:hAnsi="仿宋" w:eastAsia="仿宋" w:cs="仿宋"/>
                <w:sz w:val="24"/>
                <w:szCs w:val="24"/>
                <w:highlight w:val="none"/>
                <w:lang w:eastAsia="zh-CN"/>
              </w:rPr>
              <w:t>。</w:t>
            </w:r>
          </w:p>
        </w:tc>
      </w:tr>
      <w:tr w14:paraId="5C6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0D15B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01" w:type="dxa"/>
            <w:noWrap w:val="0"/>
            <w:vAlign w:val="center"/>
          </w:tcPr>
          <w:p w14:paraId="309F9BAF">
            <w:pPr>
              <w:spacing w:line="360" w:lineRule="auto"/>
              <w:ind w:left="-101" w:leftChars="-48" w:right="-94" w:rightChars="-45" w:firstLine="132" w:firstLineChars="5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政府采购相关政策要求</w:t>
            </w:r>
          </w:p>
        </w:tc>
        <w:tc>
          <w:tcPr>
            <w:tcW w:w="6948" w:type="dxa"/>
            <w:noWrap w:val="0"/>
            <w:vAlign w:val="center"/>
          </w:tcPr>
          <w:p w14:paraId="52053AF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1．采购货物未特别注明“进口产品”字样的，均必须采购国产产品，即非“通过中国海关报关验放进入中国境内且产自关境外的产品”，投标货物各项技术标准必须符合国家强制性标准。</w:t>
            </w:r>
          </w:p>
          <w:p w14:paraId="4E2E982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6291340">
            <w:pPr>
              <w:widowControl/>
              <w:snapToGrid w:val="0"/>
              <w:spacing w:line="460" w:lineRule="exact"/>
              <w:rPr>
                <w:rFonts w:hint="eastAsia" w:ascii="仿宋" w:hAnsi="仿宋" w:eastAsia="仿宋" w:cs="仿宋"/>
                <w:sz w:val="21"/>
                <w:szCs w:val="21"/>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1"/>
                <w:szCs w:val="21"/>
                <w:highlight w:val="none"/>
                <w:lang w:val="en-US" w:eastAsia="zh-CN"/>
              </w:rPr>
              <w:t>采购项目中如含有计算机，必须预装正版操作系统软件产品；项目中所采购的其它软件必须为正版软件。</w:t>
            </w:r>
          </w:p>
          <w:p w14:paraId="14357DC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6D750AA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供应商参加本次投标活动，如涉及上述1-4项要求，均应作出实质性响应，否则将导致投标无效。</w:t>
            </w:r>
          </w:p>
          <w:p w14:paraId="1F9203A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．中小微企业参加本项目投标：</w:t>
            </w:r>
          </w:p>
          <w:p w14:paraId="1ADD74C7">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须依据财库【2020】46号关于印发的《政府采购促进中小企业发展管理办法》的标准如实填写《中小企业声明函》。</w:t>
            </w:r>
          </w:p>
          <w:p w14:paraId="79A6423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．残疾人福利单位参加本项目投标：</w:t>
            </w:r>
          </w:p>
          <w:p w14:paraId="718FEDE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66A736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．监狱企业参加本项目投标：</w:t>
            </w:r>
          </w:p>
          <w:p w14:paraId="7A8365F9">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7B001A56">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.联合体参加本项目投标：</w:t>
            </w:r>
          </w:p>
          <w:p w14:paraId="3EA63533">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0%以上的，给予联合体价格扣除。</w:t>
            </w:r>
          </w:p>
          <w:p w14:paraId="6F24D2E3">
            <w:pPr>
              <w:widowControl/>
              <w:snapToGrid w:val="0"/>
              <w:spacing w:line="460" w:lineRule="exact"/>
              <w:rPr>
                <w:rFonts w:hint="eastAsia"/>
                <w:highlight w:val="none"/>
              </w:rPr>
            </w:pPr>
            <w:r>
              <w:rPr>
                <w:rFonts w:hint="eastAsia" w:ascii="仿宋" w:hAnsi="仿宋" w:eastAsia="仿宋" w:cs="仿宋"/>
                <w:sz w:val="24"/>
                <w:szCs w:val="24"/>
                <w:highlight w:val="none"/>
              </w:rPr>
              <w:t>如本项目（包）是专门面向小微企业或残疾人企业或监狱企业或需要由联合体投标的采购项目，本项第</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8条</w:t>
            </w:r>
            <w:r>
              <w:rPr>
                <w:rFonts w:hint="eastAsia" w:ascii="仿宋" w:hAnsi="仿宋" w:eastAsia="仿宋" w:cs="仿宋"/>
                <w:sz w:val="24"/>
                <w:szCs w:val="24"/>
                <w:highlight w:val="none"/>
              </w:rPr>
              <w:t>应作为资格文件与本表第</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项内容一并提交，否则投标无效。</w:t>
            </w:r>
          </w:p>
          <w:p w14:paraId="351A6A0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9.创新产品参加的项目</w:t>
            </w:r>
          </w:p>
          <w:p w14:paraId="1C9936A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根据《政府采购支持创新产品和服务实施细则》（晋财购【2019】19号），需在响应文件中提供《山西省创新产品和服务推荐清单》，并填写《创新产品或创新服务明细表》。</w:t>
            </w:r>
          </w:p>
          <w:p w14:paraId="553FD77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10.商品包装和快递包装</w:t>
            </w:r>
          </w:p>
          <w:p w14:paraId="67BBA24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21E9933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11.绿色采购：</w:t>
            </w:r>
          </w:p>
          <w:p w14:paraId="14FD5628">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C86F559">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12.本国产品</w:t>
            </w:r>
          </w:p>
          <w:p w14:paraId="417E94FA">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tc>
      </w:tr>
      <w:tr w14:paraId="22D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4F3377D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01" w:type="dxa"/>
            <w:noWrap w:val="0"/>
            <w:vAlign w:val="center"/>
          </w:tcPr>
          <w:p w14:paraId="505DB21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948" w:type="dxa"/>
            <w:noWrap w:val="0"/>
            <w:vAlign w:val="center"/>
          </w:tcPr>
          <w:p w14:paraId="7865B19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日历天（从递交响应文件截止之日起计算）</w:t>
            </w:r>
          </w:p>
        </w:tc>
      </w:tr>
      <w:tr w14:paraId="172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3" w:type="dxa"/>
            <w:noWrap w:val="0"/>
            <w:vAlign w:val="center"/>
          </w:tcPr>
          <w:p w14:paraId="00DCAFBD">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01" w:type="dxa"/>
            <w:noWrap w:val="0"/>
            <w:vAlign w:val="center"/>
          </w:tcPr>
          <w:p w14:paraId="7DB692BE">
            <w:pPr>
              <w:spacing w:line="360" w:lineRule="auto"/>
              <w:ind w:left="-103" w:leftChars="-49" w:right="-94" w:rightChars="-4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谈判过程中可能实质性变动内容</w:t>
            </w:r>
          </w:p>
        </w:tc>
        <w:tc>
          <w:tcPr>
            <w:tcW w:w="6948" w:type="dxa"/>
            <w:noWrap w:val="0"/>
            <w:vAlign w:val="center"/>
          </w:tcPr>
          <w:p w14:paraId="4AD498C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谈判过程中可能实质性变动内容为竞争性谈判文件中第五部分商务、技术要求以及第六部分政府采购合同中相关内容，不得变动竞争性谈判文件中的其他内容。实质性变动的内容，须经采购人代表确认。</w:t>
            </w:r>
          </w:p>
        </w:tc>
      </w:tr>
      <w:tr w14:paraId="33D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noWrap w:val="0"/>
            <w:vAlign w:val="center"/>
          </w:tcPr>
          <w:p w14:paraId="6BE3496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01" w:type="dxa"/>
            <w:noWrap w:val="0"/>
            <w:vAlign w:val="center"/>
          </w:tcPr>
          <w:p w14:paraId="5DE389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谈判保证金金额</w:t>
            </w:r>
          </w:p>
        </w:tc>
        <w:tc>
          <w:tcPr>
            <w:tcW w:w="6948" w:type="dxa"/>
            <w:noWrap w:val="0"/>
            <w:vAlign w:val="center"/>
          </w:tcPr>
          <w:p w14:paraId="5705C03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谈判保证金的形式：支票、汇票、本票、网上银行转账或金融机构、担保机构出具的保函、电子保函等非现金形式交纳；</w:t>
            </w:r>
          </w:p>
          <w:p w14:paraId="5D1B4D5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谈判保证金的金额：采购包1:32500元；</w:t>
            </w:r>
          </w:p>
          <w:p w14:paraId="27A4511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缴纳方式：转账通过供应商银行基本账户缴纳；</w:t>
            </w:r>
          </w:p>
          <w:p w14:paraId="7D5F4FC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采购代理机构接收谈判保证金账户：</w:t>
            </w:r>
          </w:p>
          <w:p w14:paraId="39CA516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未按要求缴纳的视为未提交，响应文件将被拒绝接收。</w:t>
            </w:r>
          </w:p>
          <w:p w14:paraId="5EDA0A10">
            <w:pPr>
              <w:widowControl/>
              <w:snapToGrid w:val="0"/>
              <w:spacing w:line="460" w:lineRule="exact"/>
              <w:rPr>
                <w:rFonts w:hint="eastAsia" w:ascii="仿宋" w:hAnsi="仿宋" w:eastAsia="仿宋" w:cs="仿宋"/>
                <w:sz w:val="24"/>
                <w:szCs w:val="24"/>
                <w:highlight w:val="none"/>
                <w:lang w:val="en-US" w:eastAsia="zh-CN"/>
              </w:rPr>
            </w:pPr>
            <w:bookmarkStart w:id="33" w:name="_Toc1806"/>
            <w:bookmarkStart w:id="34" w:name="_Toc27393"/>
            <w:r>
              <w:rPr>
                <w:rFonts w:hint="eastAsia" w:ascii="仿宋" w:hAnsi="仿宋" w:eastAsia="仿宋" w:cs="仿宋"/>
                <w:sz w:val="24"/>
                <w:szCs w:val="24"/>
                <w:highlight w:val="none"/>
                <w:lang w:val="en-US" w:eastAsia="zh-CN"/>
              </w:rPr>
              <w:t>开户名称：</w:t>
            </w:r>
            <w:bookmarkEnd w:id="33"/>
            <w:bookmarkEnd w:id="34"/>
            <w:r>
              <w:rPr>
                <w:rFonts w:hint="eastAsia" w:ascii="仿宋" w:hAnsi="仿宋" w:eastAsia="仿宋" w:cs="仿宋"/>
                <w:sz w:val="24"/>
                <w:szCs w:val="24"/>
                <w:highlight w:val="none"/>
                <w:lang w:val="en-US" w:eastAsia="zh-CN"/>
              </w:rPr>
              <w:t>山西万通渊利企业管理咨询有限公司</w:t>
            </w:r>
          </w:p>
          <w:p w14:paraId="7E5DB6F4">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开户银行：招商银行太原亲贤街支行</w:t>
            </w:r>
          </w:p>
          <w:p w14:paraId="62A3799E">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  号：351905185910888</w:t>
            </w:r>
          </w:p>
          <w:p w14:paraId="3EF6BE9C">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行  号：308161039034</w:t>
            </w:r>
          </w:p>
          <w:p w14:paraId="6A19420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注：供应商的保证金交纳后，需在汇款/转账凭单用途栏中写明</w:t>
            </w:r>
            <w:r>
              <w:rPr>
                <w:rFonts w:hint="eastAsia" w:ascii="仿宋" w:hAnsi="仿宋" w:eastAsia="仿宋" w:cs="仿宋"/>
                <w:color w:val="auto"/>
                <w:sz w:val="24"/>
                <w:szCs w:val="24"/>
                <w:highlight w:val="none"/>
                <w:shd w:val="clear"/>
                <w:lang w:val="en-US" w:eastAsia="zh-CN"/>
              </w:rPr>
              <w:t>“SDWTYLTP-26012-2保证金”。</w:t>
            </w:r>
          </w:p>
        </w:tc>
      </w:tr>
      <w:tr w14:paraId="27C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noWrap w:val="0"/>
            <w:vAlign w:val="center"/>
          </w:tcPr>
          <w:p w14:paraId="160822E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01" w:type="dxa"/>
            <w:noWrap w:val="0"/>
            <w:vAlign w:val="center"/>
          </w:tcPr>
          <w:p w14:paraId="5668C193">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考察现场</w:t>
            </w:r>
          </w:p>
        </w:tc>
        <w:tc>
          <w:tcPr>
            <w:tcW w:w="6948" w:type="dxa"/>
            <w:noWrap w:val="0"/>
            <w:vAlign w:val="center"/>
          </w:tcPr>
          <w:p w14:paraId="55FEBD5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14:paraId="0FF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noWrap w:val="0"/>
            <w:vAlign w:val="center"/>
          </w:tcPr>
          <w:p w14:paraId="31F9F144">
            <w:pPr>
              <w:snapToGrid w:val="0"/>
              <w:spacing w:line="360" w:lineRule="auto"/>
              <w:jc w:val="center"/>
              <w:rPr>
                <w:rFonts w:hint="eastAsia" w:ascii="仿宋" w:hAnsi="仿宋" w:eastAsia="仿宋" w:cs="仿宋"/>
                <w:sz w:val="24"/>
                <w:szCs w:val="24"/>
                <w:highlight w:val="none"/>
              </w:rPr>
            </w:pPr>
          </w:p>
        </w:tc>
        <w:tc>
          <w:tcPr>
            <w:tcW w:w="1701" w:type="dxa"/>
            <w:noWrap w:val="0"/>
            <w:vAlign w:val="center"/>
          </w:tcPr>
          <w:p w14:paraId="2EFCB95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948" w:type="dxa"/>
            <w:noWrap w:val="0"/>
            <w:vAlign w:val="center"/>
          </w:tcPr>
          <w:p w14:paraId="5BF9E66F">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44B4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13" w:type="dxa"/>
            <w:noWrap w:val="0"/>
            <w:vAlign w:val="center"/>
          </w:tcPr>
          <w:p w14:paraId="06B784A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701" w:type="dxa"/>
            <w:noWrap w:val="0"/>
            <w:vAlign w:val="center"/>
          </w:tcPr>
          <w:p w14:paraId="27D2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纸质响应文件份数</w:t>
            </w:r>
          </w:p>
        </w:tc>
        <w:tc>
          <w:tcPr>
            <w:tcW w:w="6948" w:type="dxa"/>
            <w:noWrap w:val="0"/>
            <w:vAlign w:val="center"/>
          </w:tcPr>
          <w:p w14:paraId="38D949A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p>
        </w:tc>
      </w:tr>
      <w:tr w14:paraId="371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3" w:type="dxa"/>
            <w:noWrap w:val="0"/>
            <w:vAlign w:val="center"/>
          </w:tcPr>
          <w:p w14:paraId="6AB662F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701" w:type="dxa"/>
            <w:noWrap w:val="0"/>
            <w:vAlign w:val="center"/>
          </w:tcPr>
          <w:p w14:paraId="314F9F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文件加密要求</w:t>
            </w:r>
          </w:p>
        </w:tc>
        <w:tc>
          <w:tcPr>
            <w:tcW w:w="6948" w:type="dxa"/>
            <w:noWrap w:val="0"/>
            <w:vAlign w:val="center"/>
          </w:tcPr>
          <w:p w14:paraId="74F328F1">
            <w:pPr>
              <w:snapToGrid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供应商通过</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lang w:eastAsia="zh-CN"/>
              </w:rPr>
              <w:t>客户端编制完响应文件后，使用企业CA数字证书对响应文件进行加密，生成加密后的响应文件，在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eastAsia="zh-CN"/>
              </w:rPr>
              <w:t>时再行解密。（加密、解密必须使用同一CA数字证书）</w:t>
            </w:r>
          </w:p>
          <w:p w14:paraId="3BDD6B00">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供应商解密时长见系统规定时间</w:t>
            </w:r>
            <w:r>
              <w:rPr>
                <w:rFonts w:hint="eastAsia" w:ascii="仿宋" w:hAnsi="仿宋" w:eastAsia="仿宋" w:cs="仿宋"/>
                <w:sz w:val="24"/>
                <w:highlight w:val="none"/>
                <w:lang w:eastAsia="zh-CN"/>
              </w:rPr>
              <w:t>）</w:t>
            </w:r>
          </w:p>
        </w:tc>
      </w:tr>
      <w:tr w14:paraId="1842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7F169AB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1701" w:type="dxa"/>
            <w:noWrap w:val="0"/>
            <w:vAlign w:val="center"/>
          </w:tcPr>
          <w:p w14:paraId="5276896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时间、地点</w:t>
            </w:r>
          </w:p>
        </w:tc>
        <w:tc>
          <w:tcPr>
            <w:tcW w:w="6948" w:type="dxa"/>
            <w:noWrap w:val="0"/>
            <w:vAlign w:val="center"/>
          </w:tcPr>
          <w:p w14:paraId="53564D4A">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截止时间前，</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登陆</w:t>
            </w:r>
            <w:r>
              <w:rPr>
                <w:rFonts w:hint="eastAsia" w:ascii="仿宋" w:hAnsi="仿宋" w:eastAsia="仿宋" w:cs="仿宋"/>
                <w:sz w:val="24"/>
                <w:highlight w:val="none"/>
                <w:lang w:val="en-US" w:eastAsia="zh-CN"/>
              </w:rPr>
              <w:t>山西省政府采购网</w:t>
            </w:r>
            <w:r>
              <w:rPr>
                <w:rFonts w:hint="eastAsia" w:ascii="仿宋" w:hAnsi="仿宋" w:eastAsia="仿宋" w:cs="仿宋"/>
                <w:sz w:val="24"/>
                <w:highlight w:val="none"/>
              </w:rPr>
              <w:t>，电子响应文件按照“政采云”系统要求，逐条上传；</w:t>
            </w:r>
          </w:p>
        </w:tc>
      </w:tr>
      <w:tr w14:paraId="289A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4FC1DF1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1701" w:type="dxa"/>
            <w:noWrap w:val="0"/>
            <w:vAlign w:val="center"/>
          </w:tcPr>
          <w:p w14:paraId="3541655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谈判时间及地点</w:t>
            </w:r>
          </w:p>
        </w:tc>
        <w:tc>
          <w:tcPr>
            <w:tcW w:w="6948" w:type="dxa"/>
            <w:noWrap w:val="0"/>
            <w:vAlign w:val="center"/>
          </w:tcPr>
          <w:p w14:paraId="34E97705">
            <w:pPr>
              <w:widowControl/>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时间：2026年06月05日09:30（北京时间）</w:t>
            </w:r>
          </w:p>
          <w:p w14:paraId="4C54AB01">
            <w:pPr>
              <w:widowControl/>
              <w:snapToGrid w:val="0"/>
              <w:spacing w:line="460" w:lineRule="exact"/>
              <w:rPr>
                <w:rFonts w:hint="default"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地点：山西省太原市太榆路6号迎宾汽车站山西汽运集团晋龙捷泰运输有限公司办公楼七层开标室</w:t>
            </w:r>
          </w:p>
        </w:tc>
      </w:tr>
      <w:tr w14:paraId="150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3DEE95C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701" w:type="dxa"/>
            <w:noWrap w:val="0"/>
            <w:vAlign w:val="center"/>
          </w:tcPr>
          <w:p w14:paraId="0DE0BAC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谈判方式</w:t>
            </w:r>
          </w:p>
        </w:tc>
        <w:tc>
          <w:tcPr>
            <w:tcW w:w="6948" w:type="dxa"/>
            <w:noWrap w:val="0"/>
            <w:vAlign w:val="center"/>
          </w:tcPr>
          <w:p w14:paraId="4185376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一轮谈判，</w:t>
            </w:r>
            <w:r>
              <w:rPr>
                <w:rFonts w:hint="eastAsia" w:ascii="仿宋" w:hAnsi="仿宋" w:eastAsia="仿宋" w:cs="仿宋"/>
                <w:sz w:val="24"/>
                <w:szCs w:val="24"/>
                <w:highlight w:val="none"/>
                <w:lang w:val="en-US" w:eastAsia="zh-CN"/>
              </w:rPr>
              <w:t>二轮</w:t>
            </w:r>
            <w:r>
              <w:rPr>
                <w:rFonts w:hint="eastAsia" w:ascii="仿宋" w:hAnsi="仿宋" w:eastAsia="仿宋" w:cs="仿宋"/>
                <w:sz w:val="24"/>
                <w:szCs w:val="24"/>
                <w:highlight w:val="none"/>
              </w:rPr>
              <w:t>报价。</w:t>
            </w:r>
          </w:p>
        </w:tc>
      </w:tr>
      <w:tr w14:paraId="0C3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3" w:type="dxa"/>
            <w:noWrap w:val="0"/>
            <w:vAlign w:val="center"/>
          </w:tcPr>
          <w:p w14:paraId="30CC5A3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701" w:type="dxa"/>
            <w:noWrap w:val="0"/>
            <w:vAlign w:val="center"/>
          </w:tcPr>
          <w:p w14:paraId="1699BE25">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谈判小组组建</w:t>
            </w:r>
          </w:p>
        </w:tc>
        <w:tc>
          <w:tcPr>
            <w:tcW w:w="6948" w:type="dxa"/>
            <w:noWrap w:val="0"/>
            <w:vAlign w:val="center"/>
          </w:tcPr>
          <w:p w14:paraId="2AE9308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本项目谈判小组共3人：</w:t>
            </w:r>
          </w:p>
          <w:p w14:paraId="5B056BE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其中采购人代表1人，</w:t>
            </w:r>
            <w:r>
              <w:rPr>
                <w:rFonts w:hint="eastAsia" w:ascii="仿宋" w:hAnsi="仿宋" w:eastAsia="仿宋" w:cs="仿宋"/>
                <w:sz w:val="24"/>
                <w:szCs w:val="24"/>
                <w:highlight w:val="none"/>
                <w:lang w:val="en-US" w:eastAsia="zh-CN"/>
              </w:rPr>
              <w:t>经济、技术</w:t>
            </w:r>
            <w:r>
              <w:rPr>
                <w:rFonts w:hint="eastAsia" w:ascii="仿宋" w:hAnsi="仿宋" w:eastAsia="仿宋" w:cs="仿宋"/>
                <w:sz w:val="24"/>
                <w:szCs w:val="24"/>
                <w:highlight w:val="none"/>
              </w:rPr>
              <w:t>专家2人。</w:t>
            </w:r>
          </w:p>
        </w:tc>
      </w:tr>
      <w:tr w14:paraId="55F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3" w:type="dxa"/>
            <w:noWrap w:val="0"/>
            <w:vAlign w:val="center"/>
          </w:tcPr>
          <w:p w14:paraId="6D72477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701" w:type="dxa"/>
            <w:noWrap w:val="0"/>
            <w:vAlign w:val="center"/>
          </w:tcPr>
          <w:p w14:paraId="1FADC3D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是否授权谈判小组确定成交供应商</w:t>
            </w:r>
          </w:p>
        </w:tc>
        <w:tc>
          <w:tcPr>
            <w:tcW w:w="6948" w:type="dxa"/>
            <w:noWrap w:val="0"/>
            <w:vAlign w:val="center"/>
          </w:tcPr>
          <w:p w14:paraId="75EE3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39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noWrap w:val="0"/>
            <w:vAlign w:val="center"/>
          </w:tcPr>
          <w:p w14:paraId="1E5706F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701" w:type="dxa"/>
            <w:noWrap w:val="0"/>
            <w:vAlign w:val="center"/>
          </w:tcPr>
          <w:p w14:paraId="1439247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948" w:type="dxa"/>
            <w:noWrap w:val="0"/>
            <w:vAlign w:val="center"/>
          </w:tcPr>
          <w:p w14:paraId="3AB8A78C">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在领取成交通知书时一次性支付代理服务费。参考国家发展计划委员会《招标代理服务收费管理暂行办法》的通知（计价格[2002]1980号文件）及国家发展和改革委员会发改价格[2011]534号文件</w:t>
            </w:r>
            <w:r>
              <w:rPr>
                <w:rFonts w:hint="eastAsia" w:ascii="仿宋" w:hAnsi="仿宋" w:eastAsia="仿宋" w:cs="仿宋"/>
                <w:sz w:val="24"/>
                <w:szCs w:val="24"/>
                <w:highlight w:val="none"/>
                <w:lang w:val="en-US" w:eastAsia="zh-CN"/>
              </w:rPr>
              <w:t>的90%</w:t>
            </w:r>
            <w:r>
              <w:rPr>
                <w:rFonts w:hint="eastAsia" w:ascii="仿宋" w:hAnsi="仿宋" w:eastAsia="仿宋" w:cs="仿宋"/>
                <w:sz w:val="24"/>
                <w:szCs w:val="24"/>
                <w:highlight w:val="none"/>
              </w:rPr>
              <w:t>计算</w:t>
            </w:r>
            <w:r>
              <w:rPr>
                <w:rFonts w:hint="eastAsia" w:ascii="仿宋" w:hAnsi="仿宋" w:eastAsia="仿宋" w:cs="仿宋"/>
                <w:sz w:val="24"/>
                <w:szCs w:val="24"/>
                <w:highlight w:val="none"/>
                <w:lang w:eastAsia="zh-CN"/>
              </w:rPr>
              <w:t>。</w:t>
            </w:r>
          </w:p>
        </w:tc>
      </w:tr>
      <w:tr w14:paraId="09C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dxa"/>
            <w:noWrap w:val="0"/>
            <w:vAlign w:val="center"/>
          </w:tcPr>
          <w:p w14:paraId="76D38DE6">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p>
        </w:tc>
        <w:tc>
          <w:tcPr>
            <w:tcW w:w="1701" w:type="dxa"/>
            <w:noWrap w:val="0"/>
            <w:vAlign w:val="center"/>
          </w:tcPr>
          <w:p w14:paraId="746F30F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948" w:type="dxa"/>
            <w:noWrap w:val="0"/>
            <w:vAlign w:val="center"/>
          </w:tcPr>
          <w:p w14:paraId="20B61D0A">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当供应商须知前附表和供应商须知中的内容和条款有冲突或不一致时，以供应商须知前附表为准。</w:t>
            </w:r>
          </w:p>
          <w:p w14:paraId="532BDC77">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tc>
      </w:tr>
    </w:tbl>
    <w:p w14:paraId="0B8B0769">
      <w:pPr>
        <w:pStyle w:val="2"/>
        <w:bidi w:val="0"/>
        <w:rPr>
          <w:rFonts w:hint="eastAsia" w:ascii="仿宋" w:hAnsi="仿宋" w:eastAsia="仿宋" w:cs="仿宋"/>
          <w:b w:val="0"/>
          <w:bCs w:val="0"/>
          <w:sz w:val="24"/>
          <w:szCs w:val="24"/>
          <w:highlight w:val="none"/>
        </w:rPr>
      </w:pPr>
      <w:r>
        <w:rPr>
          <w:rFonts w:hint="eastAsia" w:ascii="仿宋" w:hAnsi="仿宋" w:eastAsia="仿宋" w:cs="仿宋"/>
          <w:sz w:val="36"/>
          <w:szCs w:val="36"/>
          <w:highlight w:val="none"/>
        </w:rPr>
        <w:br w:type="page"/>
      </w:r>
      <w:bookmarkStart w:id="35" w:name="_Toc12275"/>
      <w:r>
        <w:rPr>
          <w:rFonts w:hint="eastAsia" w:ascii="仿宋" w:hAnsi="仿宋" w:eastAsia="仿宋" w:cs="仿宋"/>
          <w:b/>
          <w:kern w:val="2"/>
          <w:sz w:val="24"/>
          <w:szCs w:val="24"/>
          <w:highlight w:val="none"/>
          <w:lang w:val="en-US" w:eastAsia="zh-CN" w:bidi="ar-SA"/>
        </w:rPr>
        <w:t>第三部分  供应商须知</w:t>
      </w:r>
      <w:bookmarkEnd w:id="32"/>
      <w:bookmarkEnd w:id="35"/>
    </w:p>
    <w:p w14:paraId="5F4B66F3">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bookmarkStart w:id="36" w:name="_Toc27796"/>
      <w:bookmarkStart w:id="37" w:name="_Toc466533577"/>
      <w:r>
        <w:rPr>
          <w:rFonts w:hint="eastAsia" w:ascii="仿宋" w:hAnsi="仿宋" w:eastAsia="仿宋" w:cs="仿宋"/>
          <w:b/>
          <w:bCs/>
          <w:kern w:val="0"/>
          <w:sz w:val="24"/>
          <w:szCs w:val="24"/>
          <w:highlight w:val="none"/>
        </w:rPr>
        <w:t>一、总则</w:t>
      </w:r>
      <w:bookmarkEnd w:id="36"/>
      <w:bookmarkEnd w:id="37"/>
    </w:p>
    <w:p w14:paraId="678B29E0">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1.适用范围</w:t>
      </w:r>
    </w:p>
    <w:p w14:paraId="7F4EB927">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本竞争性谈判文件适用于本次谈判活动的全过程。</w:t>
      </w:r>
    </w:p>
    <w:p w14:paraId="0D57D7EE">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2.定义</w:t>
      </w:r>
    </w:p>
    <w:p w14:paraId="01DAFD1E">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2.1采购人：指依法进行本次谈判活动的采购单位</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即：</w:t>
      </w:r>
      <w:r>
        <w:rPr>
          <w:rFonts w:hint="eastAsia" w:ascii="仿宋" w:hAnsi="仿宋" w:eastAsia="仿宋" w:cs="仿宋"/>
          <w:kern w:val="0"/>
          <w:sz w:val="24"/>
          <w:szCs w:val="24"/>
          <w:highlight w:val="none"/>
          <w:u w:val="single"/>
        </w:rPr>
        <w:t>山西大学</w:t>
      </w:r>
      <w:r>
        <w:rPr>
          <w:rFonts w:hint="eastAsia" w:ascii="仿宋" w:hAnsi="仿宋" w:eastAsia="仿宋" w:cs="仿宋"/>
          <w:kern w:val="0"/>
          <w:sz w:val="24"/>
          <w:szCs w:val="24"/>
          <w:highlight w:val="none"/>
        </w:rPr>
        <w:t>。</w:t>
      </w:r>
    </w:p>
    <w:p w14:paraId="7BFF1DDD">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2.2</w:t>
      </w:r>
      <w:r>
        <w:rPr>
          <w:rFonts w:hint="eastAsia" w:ascii="仿宋" w:hAnsi="仿宋" w:eastAsia="仿宋" w:cs="仿宋"/>
          <w:kern w:val="0"/>
          <w:sz w:val="24"/>
          <w:szCs w:val="24"/>
          <w:highlight w:val="none"/>
        </w:rPr>
        <w:t>代理机构：指在采购人委托的范围内依法开展采购活动，组织本次谈判活动的执行机构，即“</w:t>
      </w:r>
      <w:r>
        <w:rPr>
          <w:rFonts w:hint="eastAsia" w:ascii="仿宋" w:hAnsi="仿宋" w:eastAsia="仿宋" w:cs="仿宋"/>
          <w:kern w:val="0"/>
          <w:sz w:val="24"/>
          <w:szCs w:val="24"/>
          <w:highlight w:val="none"/>
          <w:lang w:eastAsia="zh-CN"/>
        </w:rPr>
        <w:t>山西万通渊利企业管理咨询有限公司</w:t>
      </w:r>
      <w:r>
        <w:rPr>
          <w:rFonts w:hint="eastAsia" w:ascii="仿宋" w:hAnsi="仿宋" w:eastAsia="仿宋" w:cs="仿宋"/>
          <w:kern w:val="0"/>
          <w:sz w:val="24"/>
          <w:szCs w:val="24"/>
          <w:highlight w:val="none"/>
        </w:rPr>
        <w:t>”。</w:t>
      </w:r>
    </w:p>
    <w:p w14:paraId="551129DA">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2.3供应商：指参加本次谈判活动的法人、其他组织或者自然人。</w:t>
      </w:r>
    </w:p>
    <w:p w14:paraId="354E3CEB">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2.4潜在供应商：指符合本竞争性谈判文件各项规定的供应商。</w:t>
      </w:r>
    </w:p>
    <w:p w14:paraId="7B613D7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4"/>
          <w:highlight w:val="none"/>
        </w:rPr>
        <w:t>2.5报价人：指符合本竞争</w:t>
      </w:r>
      <w:r>
        <w:rPr>
          <w:rFonts w:hint="eastAsia" w:ascii="仿宋" w:hAnsi="仿宋" w:eastAsia="仿宋" w:cs="仿宋"/>
          <w:kern w:val="0"/>
          <w:sz w:val="24"/>
          <w:highlight w:val="none"/>
        </w:rPr>
        <w:t>性谈判文件规定向代理机构递交响应文件并参加谈判的供应商。</w:t>
      </w:r>
    </w:p>
    <w:p w14:paraId="35C1CEE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2.6货物：指供应商按竞争性谈判文件的规定，向采购人提供的各种物品及其他有关技术资料和材料。</w:t>
      </w:r>
    </w:p>
    <w:p w14:paraId="70A5D81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2.7服务：指竞争性谈判文件所表述的供应商须向采购人提供的服务和应当履行的承诺和义务。指如货物的运输等以及本竞争性谈判文件和合同中规定由供应商承担的其他义务。</w:t>
      </w:r>
    </w:p>
    <w:p w14:paraId="23A87E6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2.8竞争性谈判文件：是根据相关法律法规和采购人采购需求制定的向潜在供应商发出并告知项目需求、谈判活动规则和合同草案等信息的要约文件，是项目谈判活动的主要依据，对谈判活动各方均具有法律约束力。</w:t>
      </w:r>
    </w:p>
    <w:p w14:paraId="29AB337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2.9响应文件：是指供应商应竞争性谈判文件的条件和要求，按规定编制并按时递交的文件。</w:t>
      </w:r>
    </w:p>
    <w:p w14:paraId="240AE977">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3.合格供应商的条件</w:t>
      </w:r>
    </w:p>
    <w:p w14:paraId="01B30077">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供应商应当具备《中华人民共和国政府采购法》第二十二条具备的条件，并根据《中华人民共和国政府采购法实施条例》第十七条的规定，提供供应商须知前附表第10项要求的资格证明文件。</w:t>
      </w:r>
    </w:p>
    <w:p w14:paraId="165EDBC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3.2单位负责人为同一人或者存在控股、管理关系的不同单位，不得同时参加本项目同一包的谈判。</w:t>
      </w:r>
    </w:p>
    <w:p w14:paraId="0288E48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3.3为本项目提供整体设计、规范编制或者项目管理、监理、检测等服务的供应商，不得再参加本项目的谈判。</w:t>
      </w:r>
    </w:p>
    <w:p w14:paraId="1270C7D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3.4若本项目允许联合体参加谈判，需具备下列条件：</w:t>
      </w:r>
    </w:p>
    <w:p w14:paraId="6ACE1F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3.4.1联合体各方均应当符合《中华人民共和国政府采购法》第二十二条规定的条件，联合体各方均应按照本部分3.1条的要求提供相关材料。</w:t>
      </w:r>
    </w:p>
    <w:p w14:paraId="0E6B9A1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3.4.2采购人根据采购项目的特殊性规定供应商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谈判。</w:t>
      </w:r>
    </w:p>
    <w:p w14:paraId="2FB35E4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3.4.3联合体各方之间应当签订联合谈判协议，明确约定联合体各方承担的工作和相应的责任，并将联合谈判协议连同响应文件一并提交，联合谈判协议格式见本竞争性谈判文件第七部分。</w:t>
      </w:r>
    </w:p>
    <w:p w14:paraId="72E1850C">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4.谈判费用</w:t>
      </w:r>
    </w:p>
    <w:p w14:paraId="72A5314B">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供应商应承担所有与准备和参加谈判有关的费用，采购人和代理机构在任何情况下均无义务和责任承担这些费用。</w:t>
      </w:r>
    </w:p>
    <w:p w14:paraId="4760CB04">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5.谈判要求</w:t>
      </w:r>
    </w:p>
    <w:p w14:paraId="52844D4D">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供应商所提供的货物、所需服务与技术方案被采购人采用时，</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应负责将甲方所需货物送至采购人指定位置，进行搬运，并认真履行合同规定的相关条款。</w:t>
      </w:r>
    </w:p>
    <w:p w14:paraId="752C49ED">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14:paraId="0CBCEF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对与本项目有关的通知，代理机构将在政采云系统中上传通知，因线路故障导致通知延迟或无法查看，代理机构或采购方将不承担任何责任，有关的谈判活动可以继续有效地进行。</w:t>
      </w:r>
    </w:p>
    <w:p w14:paraId="1DB68200">
      <w:pPr>
        <w:tabs>
          <w:tab w:val="left" w:pos="567"/>
        </w:tabs>
        <w:snapToGrid w:val="0"/>
        <w:spacing w:line="360" w:lineRule="auto"/>
        <w:ind w:firstLine="482" w:firstLineChars="200"/>
        <w:rPr>
          <w:rFonts w:hint="eastAsia" w:ascii="仿宋" w:hAnsi="仿宋" w:eastAsia="仿宋" w:cs="仿宋"/>
          <w:b/>
          <w:kern w:val="0"/>
          <w:sz w:val="24"/>
          <w:highlight w:val="none"/>
        </w:rPr>
      </w:pPr>
      <w:bookmarkStart w:id="38" w:name="_Toc466533578"/>
      <w:bookmarkStart w:id="39" w:name="_Toc15366"/>
      <w:r>
        <w:rPr>
          <w:rFonts w:hint="eastAsia" w:ascii="仿宋" w:hAnsi="仿宋" w:eastAsia="仿宋" w:cs="仿宋"/>
          <w:b/>
          <w:kern w:val="0"/>
          <w:sz w:val="24"/>
          <w:highlight w:val="none"/>
        </w:rPr>
        <w:t>二、</w:t>
      </w:r>
      <w:bookmarkEnd w:id="38"/>
      <w:r>
        <w:rPr>
          <w:rFonts w:hint="eastAsia" w:ascii="仿宋" w:hAnsi="仿宋" w:eastAsia="仿宋" w:cs="仿宋"/>
          <w:b/>
          <w:kern w:val="0"/>
          <w:sz w:val="24"/>
          <w:highlight w:val="none"/>
        </w:rPr>
        <w:t>竞争性谈判文件</w:t>
      </w:r>
      <w:bookmarkEnd w:id="39"/>
    </w:p>
    <w:p w14:paraId="6350E54F">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7.竞争性谈判文件的内容</w:t>
      </w:r>
    </w:p>
    <w:p w14:paraId="14701271">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7.1竞争性谈判文件由下列七部分内容组成：</w:t>
      </w:r>
    </w:p>
    <w:p w14:paraId="2D3C3E5A">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第一部分  谈判公告；</w:t>
      </w:r>
    </w:p>
    <w:p w14:paraId="62690C66">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第二部分  供应商须知前附表；</w:t>
      </w:r>
    </w:p>
    <w:p w14:paraId="43337AB4">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第三部分  供应商须知；</w:t>
      </w:r>
    </w:p>
    <w:p w14:paraId="288C22BE">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第四部分  评审标准和方法； </w:t>
      </w:r>
    </w:p>
    <w:p w14:paraId="6BBCFF68">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第五部分  商务、技术要求；</w:t>
      </w:r>
    </w:p>
    <w:p w14:paraId="07B5A5F2">
      <w:pPr>
        <w:tabs>
          <w:tab w:val="left" w:pos="567"/>
        </w:tabs>
        <w:snapToGrid/>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lang w:val="en-US" w:eastAsia="zh-CN"/>
        </w:rPr>
        <w:t>第六部分  政府采购合同</w:t>
      </w:r>
      <w:r>
        <w:rPr>
          <w:rFonts w:hint="eastAsia" w:ascii="仿宋" w:hAnsi="仿宋" w:eastAsia="仿宋" w:cs="仿宋"/>
          <w:kern w:val="0"/>
          <w:sz w:val="24"/>
          <w:szCs w:val="24"/>
          <w:highlight w:val="none"/>
          <w:lang w:val="en-US" w:eastAsia="zh-CN" w:bidi="ar-SA"/>
        </w:rPr>
        <w:t>；</w:t>
      </w:r>
    </w:p>
    <w:p w14:paraId="3D34F5A8">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第七部分  响应文件格式；</w:t>
      </w:r>
    </w:p>
    <w:p w14:paraId="348C14E3">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7.2供应商应详细阅读竞争性谈判文件的全部内容。如果没有按照竞争性谈判文件要求提交全部资料或者没有对竞争性谈判文件在各方面都做出实质性响应，有可能被确定为响应无效。</w:t>
      </w:r>
    </w:p>
    <w:p w14:paraId="192BBA65">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7.3除非特殊要求，竞争性谈判文件不单独提供采购项目使用地的自然环境、气候条件、公用设施等情况，供应商被视为熟悉上述与履行合同有关的一切情况。</w:t>
      </w:r>
    </w:p>
    <w:p w14:paraId="1749EFFE">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7.4竞争性谈判文件的解释权归代理机构。当对一个问题有多种解释时以代理机构的解释为准。</w:t>
      </w:r>
    </w:p>
    <w:p w14:paraId="5EE58639">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7.5竞争性谈判文件未作须知明示，而又有法律、法规规定的，代理机构将依据相关法律法规的规定进行解释。</w:t>
      </w:r>
    </w:p>
    <w:p w14:paraId="16CAC68A">
      <w:pPr>
        <w:pStyle w:val="20"/>
        <w:spacing w:line="360" w:lineRule="auto"/>
        <w:ind w:left="0" w:firstLine="482" w:firstLineChars="200"/>
        <w:jc w:val="both"/>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8.竞争性谈判文件的澄清和修改</w:t>
      </w:r>
    </w:p>
    <w:p w14:paraId="01FFFAF6">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bookmarkStart w:id="40" w:name="_Toc466533579"/>
      <w:r>
        <w:rPr>
          <w:rFonts w:hint="eastAsia" w:ascii="仿宋" w:hAnsi="仿宋" w:eastAsia="仿宋" w:cs="仿宋"/>
          <w:kern w:val="0"/>
          <w:sz w:val="24"/>
          <w:szCs w:val="24"/>
          <w:highlight w:val="none"/>
          <w:lang w:val="en-US" w:eastAsia="zh-CN" w:bidi="ar-SA"/>
        </w:rPr>
        <w:t>8.1澄清或修改时间及处理：代理机构（或采购人）在提交首次响应文件截止时间之前，可以对已发出的竞争性谈判文件进行必要的澄清或修改，其内容作为竞争性谈判文件的组成部分。日所澄清或修改内容可能影响响应文件编制的，在提交首次响应文件截止之日3个工作日前，以书面形式通知所有接受竞争性谈判文件的潜在供应商，不足3个工作日的，应当顺延提交首次响应文件截止之日。</w:t>
      </w:r>
    </w:p>
    <w:p w14:paraId="040D2663">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8.2澄清修改的补充文件中包括原提出的问题及问题的说明意见，但不包括问题的来源。</w:t>
      </w:r>
    </w:p>
    <w:p w14:paraId="2910A1BB">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8.3供应商澄清、询问时间及方式：任何已登记备案并领取了竞争性谈判文件的潜在供应商，均应在首次提交响应文件截止时间3个工作日前对竞争性谈判文件进行澄清、询问，并以书面形式（包括书面材料、信函、传真，下同）送达代理机构。</w:t>
      </w:r>
    </w:p>
    <w:p w14:paraId="42D8B744">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8.4澄清、修改及其它答复的效力：代理机构（或采购人）一旦对竞争性谈判文件做出澄清或修改，即发生效力，代理机构（或采购人）有关的补充文件，应当作为竞争性谈判文件的组成部分，对所有供应商均具有约束力。</w:t>
      </w:r>
    </w:p>
    <w:p w14:paraId="76B769ED">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人或者采购代理机构可以在竞争性谈判文件提供期限截止后，组织已获取竞争性谈判文件的潜在供应商现场考察或者召开标前答疑会。是否组织现场考察或者召开答疑会的，详见供应商前附表第16项。而无论代理机构是否安排踏勘现场，潜在供应商均应当将相关的因素作为报价所应当考虑或依据的因素。</w:t>
      </w:r>
    </w:p>
    <w:p w14:paraId="219DCC6D">
      <w:pPr>
        <w:tabs>
          <w:tab w:val="left" w:pos="567"/>
        </w:tabs>
        <w:snapToGrid w:val="0"/>
        <w:spacing w:line="360" w:lineRule="auto"/>
        <w:ind w:firstLine="482" w:firstLineChars="200"/>
        <w:outlineLvl w:val="9"/>
        <w:rPr>
          <w:rFonts w:hint="eastAsia" w:ascii="仿宋" w:hAnsi="仿宋" w:eastAsia="仿宋" w:cs="仿宋"/>
          <w:b/>
          <w:sz w:val="24"/>
          <w:highlight w:val="none"/>
        </w:rPr>
      </w:pPr>
      <w:r>
        <w:rPr>
          <w:rFonts w:hint="eastAsia" w:ascii="仿宋" w:hAnsi="仿宋" w:eastAsia="仿宋" w:cs="仿宋"/>
          <w:b/>
          <w:sz w:val="24"/>
          <w:highlight w:val="none"/>
        </w:rPr>
        <w:t>三、</w:t>
      </w:r>
      <w:bookmarkEnd w:id="40"/>
      <w:r>
        <w:rPr>
          <w:rFonts w:hint="eastAsia" w:ascii="仿宋" w:hAnsi="仿宋" w:eastAsia="仿宋" w:cs="仿宋"/>
          <w:b/>
          <w:sz w:val="24"/>
          <w:highlight w:val="none"/>
        </w:rPr>
        <w:t>响应文件</w:t>
      </w:r>
    </w:p>
    <w:p w14:paraId="0D545524">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9.响应文件的语言和计量单位</w:t>
      </w:r>
    </w:p>
    <w:p w14:paraId="4958C2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9.1供应商提交的响应文件（包括技术文件和资料、图纸中的说明）以及供应商与代理机构就有关报价的所有来往函电均应使用中文简体字。</w:t>
      </w:r>
    </w:p>
    <w:p w14:paraId="513F4A5E">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9.2响应文件所使用的计量单位，应使用国家法定计量单位。</w:t>
      </w:r>
    </w:p>
    <w:p w14:paraId="298FC6E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14:paraId="77E4D1FC">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原版为外文的证书类、证明类文件，与供应商名称或其它实际情况不符的，供应商应当提供相关证明文件。</w:t>
      </w:r>
    </w:p>
    <w:p w14:paraId="4D2DE2BE">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10.响应文件的组成及相关要求</w:t>
      </w:r>
    </w:p>
    <w:p w14:paraId="42217AB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10.1响应文件分为资格证明文件和商务、技术文件。</w:t>
      </w:r>
    </w:p>
    <w:p w14:paraId="179F549D">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资格证明文件指供应商按竞争性谈判文件要求提交的证明其有资格参加谈判的文件。</w:t>
      </w:r>
    </w:p>
    <w:p w14:paraId="4D990C5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商务、技术文件指供应商提交的能够证明其成交后有能力履行合同的文件和提供的货物符合竞争性谈判文件规定和政策性要求的文件。</w:t>
      </w:r>
    </w:p>
    <w:p w14:paraId="6BAAF456">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谈判，供应商应按竞争性谈判文件供应商须知前附表要求，提交资格证明文件和商务、技术文件及供应商自行编写的其他文件。资格证明文件、商务技术文件中的加*项、政策性要求中国家强制性因素若有缺失或无效或商务技术文件未实质上响应竞争性谈判文件要求，将作无效报价处理。</w:t>
      </w:r>
    </w:p>
    <w:p w14:paraId="47CBF50F">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10.2响应文件其他要求</w:t>
      </w:r>
    </w:p>
    <w:p w14:paraId="2DF40588">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10.2.1编排要求</w:t>
      </w:r>
    </w:p>
    <w:p w14:paraId="51F7CD5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电子响应文件按照“</w:t>
      </w:r>
      <w:r>
        <w:rPr>
          <w:rFonts w:hint="eastAsia" w:ascii="仿宋" w:hAnsi="仿宋" w:eastAsia="仿宋" w:cs="仿宋"/>
          <w:sz w:val="24"/>
          <w:highlight w:val="none"/>
          <w:lang w:val="en-US" w:eastAsia="zh-CN"/>
        </w:rPr>
        <w:t>山西省政府采购网</w:t>
      </w:r>
      <w:r>
        <w:rPr>
          <w:rFonts w:hint="eastAsia" w:ascii="仿宋" w:hAnsi="仿宋" w:eastAsia="仿宋" w:cs="仿宋"/>
          <w:kern w:val="0"/>
          <w:sz w:val="24"/>
          <w:highlight w:val="none"/>
        </w:rPr>
        <w:t>”系统要求，逐条上传。由于编排混乱导致响应文件被误读或查找不到，其责任应当由供应商承担。</w:t>
      </w:r>
    </w:p>
    <w:p w14:paraId="441A2E6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14:paraId="3480F044">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本竞争性谈判文件第七部分已提供“响应文件格式”的，需按照格式要求编制和上传（供应商可以对所提供的格式进行扩展，但不得更改格式内容），没有提供格式的供应商自拟。</w:t>
      </w:r>
    </w:p>
    <w:p w14:paraId="46A47559">
      <w:pPr>
        <w:snapToGrid w:val="0"/>
        <w:spacing w:line="360" w:lineRule="auto"/>
        <w:ind w:firstLine="480" w:firstLineChars="200"/>
        <w:rPr>
          <w:rFonts w:hint="eastAsia" w:ascii="仿宋" w:hAnsi="仿宋" w:eastAsia="仿宋" w:cs="仿宋"/>
          <w:b w:val="0"/>
          <w:bCs w:val="0"/>
          <w:strike w:val="0"/>
          <w:kern w:val="0"/>
          <w:sz w:val="24"/>
          <w:highlight w:val="none"/>
        </w:rPr>
      </w:pPr>
      <w:r>
        <w:rPr>
          <w:rFonts w:hint="eastAsia" w:ascii="仿宋" w:hAnsi="仿宋" w:eastAsia="仿宋" w:cs="仿宋"/>
          <w:b w:val="0"/>
          <w:bCs w:val="0"/>
          <w:strike w:val="0"/>
          <w:kern w:val="0"/>
          <w:sz w:val="24"/>
          <w:highlight w:val="none"/>
        </w:rPr>
        <w:t>10.2.3纸质响应文件的装订、份数。</w:t>
      </w:r>
    </w:p>
    <w:p w14:paraId="0714F00C">
      <w:pPr>
        <w:snapToGrid w:val="0"/>
        <w:spacing w:line="360" w:lineRule="auto"/>
        <w:ind w:firstLine="480" w:firstLineChars="200"/>
        <w:rPr>
          <w:rFonts w:hint="eastAsia" w:ascii="仿宋" w:hAnsi="仿宋" w:eastAsia="仿宋" w:cs="仿宋"/>
          <w:strike w:val="0"/>
          <w:kern w:val="0"/>
          <w:sz w:val="24"/>
          <w:highlight w:val="none"/>
        </w:rPr>
      </w:pPr>
      <w:r>
        <w:rPr>
          <w:rFonts w:hint="eastAsia" w:ascii="仿宋" w:hAnsi="仿宋" w:eastAsia="仿宋" w:cs="仿宋"/>
          <w:b w:val="0"/>
          <w:bCs w:val="0"/>
          <w:strike w:val="0"/>
          <w:kern w:val="0"/>
          <w:sz w:val="24"/>
          <w:highlight w:val="none"/>
        </w:rPr>
        <w:t>纸质响应文件（应与上传的电子响应文件一致）由成交供应商于成交后邮寄至采购代理机构，纸质文件仅用于存档不作为评审依据。</w:t>
      </w:r>
    </w:p>
    <w:p w14:paraId="223CB652">
      <w:pPr>
        <w:spacing w:line="360" w:lineRule="auto"/>
        <w:ind w:firstLine="480" w:firstLineChars="200"/>
        <w:rPr>
          <w:rFonts w:hint="eastAsia" w:ascii="仿宋" w:hAnsi="仿宋" w:eastAsia="仿宋" w:cs="仿宋"/>
          <w:b w:val="0"/>
          <w:bCs w:val="0"/>
          <w:kern w:val="0"/>
          <w:sz w:val="24"/>
          <w:highlight w:val="none"/>
        </w:rPr>
      </w:pPr>
    </w:p>
    <w:p w14:paraId="22B59199">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10.3谈判保证金</w:t>
      </w:r>
    </w:p>
    <w:p w14:paraId="45EFB8E9">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10.3.1供应商应提交的谈判保证金金额和提交方式详见前附表第</w:t>
      </w:r>
      <w:r>
        <w:rPr>
          <w:rFonts w:hint="eastAsia" w:ascii="仿宋" w:hAnsi="仿宋" w:eastAsia="仿宋" w:cs="仿宋"/>
          <w:b w:val="0"/>
          <w:bCs w:val="0"/>
          <w:kern w:val="0"/>
          <w:sz w:val="24"/>
          <w:highlight w:val="none"/>
          <w:lang w:val="en-US" w:eastAsia="zh-CN"/>
        </w:rPr>
        <w:t>15</w:t>
      </w:r>
      <w:r>
        <w:rPr>
          <w:rFonts w:hint="eastAsia" w:ascii="仿宋" w:hAnsi="仿宋" w:eastAsia="仿宋" w:cs="仿宋"/>
          <w:b w:val="0"/>
          <w:bCs w:val="0"/>
          <w:kern w:val="0"/>
          <w:sz w:val="24"/>
          <w:highlight w:val="none"/>
        </w:rPr>
        <w:t>条。未按要求交纳谈判保证金的，响应无效</w:t>
      </w:r>
      <w:r>
        <w:rPr>
          <w:rFonts w:hint="eastAsia" w:ascii="仿宋" w:hAnsi="仿宋" w:eastAsia="仿宋" w:cs="仿宋"/>
          <w:b w:val="0"/>
          <w:bCs w:val="0"/>
          <w:spacing w:val="10"/>
          <w:kern w:val="0"/>
          <w:sz w:val="24"/>
          <w:highlight w:val="none"/>
        </w:rPr>
        <w:t>。</w:t>
      </w:r>
    </w:p>
    <w:p w14:paraId="13A57652">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10.3.2供应商在谈判截止时间前撤回已提交的响应文件的，采购代理机构应当自收到供应商书面撤回通知之日起５个工作日内，退还已收取的谈判保证金，但因供应商自身原因导致无法及时退还的除外。</w:t>
      </w:r>
    </w:p>
    <w:p w14:paraId="707956C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bCs/>
          <w:kern w:val="0"/>
          <w:sz w:val="24"/>
          <w:highlight w:val="none"/>
        </w:rPr>
        <w:t>代理机构</w:t>
      </w:r>
      <w:r>
        <w:rPr>
          <w:rFonts w:hint="eastAsia" w:ascii="仿宋" w:hAnsi="仿宋" w:eastAsia="仿宋" w:cs="仿宋"/>
          <w:kern w:val="0"/>
          <w:sz w:val="24"/>
          <w:highlight w:val="none"/>
        </w:rPr>
        <w:t>应当自成交通知书发出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的谈判保证金，自采购合同签订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 xml:space="preserve">的谈判保证金。 </w:t>
      </w:r>
    </w:p>
    <w:p w14:paraId="09D20DDE">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10.3.4有下列情形之一的，谈判保证金不予退还：</w:t>
      </w:r>
    </w:p>
    <w:p w14:paraId="1EBDC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10.3.4.1供应商在提交响应文件截止时间后撤回响应文件的；</w:t>
      </w:r>
    </w:p>
    <w:p w14:paraId="213E242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10.3.4.2供应商在响应文件中提供虚假材料的；</w:t>
      </w:r>
    </w:p>
    <w:p w14:paraId="5CCA74F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10.3.4.3除因不可抗力或竞争性谈判文件认可的情形外，</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不与采购人签订合同的；</w:t>
      </w:r>
    </w:p>
    <w:p w14:paraId="5D849D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10.3.4.4供应商与采购人、其他供应商或者代理机构恶意串通的；</w:t>
      </w:r>
    </w:p>
    <w:p w14:paraId="46A9E830">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10.3.4.5竞争性谈判文件规定的其他情形。</w:t>
      </w:r>
    </w:p>
    <w:p w14:paraId="1AC9F12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10.3.5供应商为联合体的，可以由联合体中的一方或者多方共同交纳保证金，其交纳的保证金对联合体各方均具有约束力。</w:t>
      </w:r>
    </w:p>
    <w:p w14:paraId="58169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10.3.6已提交响应文件的供应商，在提交最后报价之前，可以根据谈判情况退出谈判。代理机构应当退还退出谈判的供应商的谈判保证金。</w:t>
      </w:r>
    </w:p>
    <w:p w14:paraId="31E627E1">
      <w:pPr>
        <w:pStyle w:val="21"/>
        <w:snapToGrid w:val="0"/>
        <w:spacing w:line="360" w:lineRule="auto"/>
        <w:ind w:firstLine="475" w:firstLineChars="198"/>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10.4谈判报价</w:t>
      </w:r>
    </w:p>
    <w:p w14:paraId="522DB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b w:val="0"/>
          <w:bCs w:val="0"/>
          <w:kern w:val="0"/>
          <w:sz w:val="24"/>
          <w:highlight w:val="none"/>
        </w:rPr>
        <w:t>10.4.1所有报价均以人民币元为计算单位。只要投报了一个确定数额的总价，无论</w:t>
      </w:r>
      <w:r>
        <w:rPr>
          <w:rFonts w:hint="eastAsia" w:ascii="仿宋" w:hAnsi="仿宋" w:eastAsia="仿宋" w:cs="仿宋"/>
          <w:kern w:val="0"/>
          <w:sz w:val="24"/>
          <w:highlight w:val="none"/>
        </w:rPr>
        <w:t>分项价格是否全部填报了相应的金额字样，报价应被视为已经包含了但并不限于各项购买货物及其运送、保险和相关服务等的费用。在其它情况下，由于分项报价填报不完整、不清楚或存在其它任何失误，所导致的任何不利后果均应当由供应商自行承担。</w:t>
      </w:r>
    </w:p>
    <w:p w14:paraId="2DE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10.4.2进口产品报价方式</w:t>
      </w:r>
    </w:p>
    <w:p w14:paraId="6B8D6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进口货物以“人民币”报价，包含进口环节所需的全部相关费用，通过中国海关报关验放进入中国境内且产自境外的货物，校方可提供海关免税证明手续。</w:t>
      </w:r>
    </w:p>
    <w:p w14:paraId="19C13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10.4.3供应商应认真按包分别填报“报价一览表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如有）</w:t>
      </w:r>
      <w:r>
        <w:rPr>
          <w:rFonts w:hint="eastAsia" w:ascii="仿宋" w:hAnsi="仿宋" w:eastAsia="仿宋" w:cs="仿宋"/>
          <w:kern w:val="0"/>
          <w:sz w:val="24"/>
          <w:highlight w:val="none"/>
        </w:rPr>
        <w:t>”。供应商参加多包谈判的，应对每包整包内容分别填报。</w:t>
      </w:r>
    </w:p>
    <w:p w14:paraId="2AC0F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10.4.4本次谈判不接受可选择方案的报价。</w:t>
      </w:r>
    </w:p>
    <w:p w14:paraId="43757F3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10.4.5报价货物单价包括货物报价、装箱、包装、包装物料、送货、保险、售后服务等所有相关费用。</w:t>
      </w:r>
    </w:p>
    <w:p w14:paraId="0AF37247">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10.4.6对于有配件、耗材、选件、备件和特殊工具的货物，还应填报货物配件、耗材、选件、备件及特殊工具清单，注明品牌、型号、产地、功能、单价、批量折扣等内容，该表格由供应商自行设计。</w:t>
      </w:r>
    </w:p>
    <w:p w14:paraId="1944866B">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11.响应文件填写说明</w:t>
      </w:r>
    </w:p>
    <w:p w14:paraId="55EB8071">
      <w:pPr>
        <w:pStyle w:val="21"/>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11.1供应商应详细阅读竞争性谈判文件的全部内容。响应文件应对竞争性谈判文件中的内容做出实质性和完整性的响应</w:t>
      </w:r>
      <w:r>
        <w:rPr>
          <w:rFonts w:hint="eastAsia" w:ascii="仿宋" w:hAnsi="仿宋" w:eastAsia="仿宋" w:cs="仿宋"/>
          <w:b/>
          <w:sz w:val="24"/>
          <w:szCs w:val="24"/>
          <w:highlight w:val="none"/>
        </w:rPr>
        <w:t>。</w:t>
      </w:r>
    </w:p>
    <w:p w14:paraId="6B4CBF67">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11.2响应文件有固定格式要求的须按第七部分提供的统一格式逐项填写；无相应内容的项，填写</w:t>
      </w:r>
      <w:r>
        <w:rPr>
          <w:rFonts w:hint="eastAsia" w:ascii="仿宋" w:hAnsi="仿宋" w:eastAsia="仿宋" w:cs="仿宋"/>
          <w:kern w:val="0"/>
          <w:sz w:val="24"/>
          <w:highlight w:val="none"/>
        </w:rPr>
        <w:t>“无”、“未测试”、“没有相应指标”、 “/”等明确的回答。</w:t>
      </w:r>
    </w:p>
    <w:p w14:paraId="5FF4763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11.3供应商必须保证响应文件所提供的全部资料真实可靠，并接受谈判小组对其中任何资料进一步审查的要求。</w:t>
      </w:r>
    </w:p>
    <w:p w14:paraId="1A2DBA8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为提倡诚实信用的谈判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47F70E1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11.5响应文件应字迹清楚、内容齐全、不得涂改或增删。如有修改和增删，必须有供应商公章及法定代表人或其授权代表签字。因响应文件字迹模糊或表达不清所引起的不利后果由供应商自行承担。</w:t>
      </w:r>
    </w:p>
    <w:p w14:paraId="6C8816F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供应商之间不得相互串通报价，不得妨碍其他供应商的公平竞争，不得损害采购单位或者其他供应商的合法权益。</w:t>
      </w:r>
    </w:p>
    <w:p w14:paraId="3E06D902">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12.响应文件的有效期</w:t>
      </w:r>
    </w:p>
    <w:p w14:paraId="10734B7A">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本项目响应文件的有效期详见供应商须知前附表第13条。</w:t>
      </w:r>
    </w:p>
    <w:p w14:paraId="373DBEDE">
      <w:pPr>
        <w:pStyle w:val="21"/>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trike w:val="0"/>
          <w:sz w:val="24"/>
          <w:szCs w:val="24"/>
          <w:highlight w:val="none"/>
        </w:rPr>
        <w:t>成交供应商的响应文件自</w:t>
      </w:r>
      <w:r>
        <w:rPr>
          <w:rFonts w:hint="eastAsia" w:ascii="仿宋" w:hAnsi="仿宋" w:eastAsia="仿宋" w:cs="仿宋"/>
          <w:strike w:val="0"/>
          <w:sz w:val="24"/>
          <w:szCs w:val="24"/>
          <w:highlight w:val="none"/>
          <w:lang w:val="en-US" w:eastAsia="zh-CN"/>
        </w:rPr>
        <w:t>谈判</w:t>
      </w:r>
      <w:r>
        <w:rPr>
          <w:rFonts w:hint="eastAsia" w:ascii="仿宋" w:hAnsi="仿宋" w:eastAsia="仿宋" w:cs="仿宋"/>
          <w:strike w:val="0"/>
          <w:sz w:val="24"/>
          <w:szCs w:val="24"/>
          <w:highlight w:val="none"/>
        </w:rPr>
        <w:t>之日起至合同履行完毕止均应保持有效。</w:t>
      </w:r>
    </w:p>
    <w:p w14:paraId="33DAC200">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13.响应文件的签署及其他规定</w:t>
      </w:r>
    </w:p>
    <w:p w14:paraId="45F4D59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13.1组成响应文件的各种文件均应遵守本款规定。</w:t>
      </w:r>
    </w:p>
    <w:p w14:paraId="05315633">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13.2供应商在响应文件及相关文件的签订、履行、通知等事项的书面文件中的“单</w:t>
      </w:r>
      <w:r>
        <w:rPr>
          <w:rFonts w:hint="eastAsia" w:ascii="仿宋" w:hAnsi="仿宋" w:eastAsia="仿宋" w:cs="仿宋"/>
          <w:b w:val="0"/>
          <w:bCs w:val="0"/>
          <w:sz w:val="24"/>
          <w:szCs w:val="24"/>
          <w:highlight w:val="none"/>
        </w:rPr>
        <w:t>位盖章”、“印章”、“公章”等处均仅指与当事人名称全称相一致的标准公章，不得使用其它（如带有“专用章”等字样）印章，否则将做响应无效处理。</w:t>
      </w:r>
    </w:p>
    <w:p w14:paraId="7D87E7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13.3供应商应在响应文件中按照竞争性谈判文件要求，在指定的位置签字（章）、加盖公章。</w:t>
      </w:r>
    </w:p>
    <w:p w14:paraId="02C60EC5">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13.4对响应文件中字迹模糊、涂改或增删之处，必须有供应商公章或法定代表人或其授权的供应商授权代表签字。</w:t>
      </w:r>
    </w:p>
    <w:p w14:paraId="13B875C5">
      <w:pPr>
        <w:pStyle w:val="21"/>
        <w:snapToGrid w:val="0"/>
        <w:spacing w:line="360" w:lineRule="auto"/>
        <w:ind w:firstLine="480" w:firstLineChars="200"/>
        <w:rPr>
          <w:rFonts w:hint="eastAsia" w:ascii="仿宋" w:hAnsi="仿宋" w:eastAsia="仿宋" w:cs="仿宋"/>
          <w:b w:val="0"/>
          <w:bCs w:val="0"/>
          <w:sz w:val="24"/>
          <w:szCs w:val="24"/>
          <w:highlight w:val="none"/>
        </w:rPr>
      </w:pPr>
      <w:bookmarkStart w:id="41" w:name="_Toc466533580"/>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因响应文件</w:t>
      </w:r>
      <w:r>
        <w:rPr>
          <w:rFonts w:hint="eastAsia" w:ascii="仿宋" w:hAnsi="仿宋" w:eastAsia="仿宋" w:cs="仿宋"/>
          <w:b w:val="0"/>
          <w:bCs w:val="0"/>
          <w:sz w:val="24"/>
          <w:szCs w:val="24"/>
          <w:highlight w:val="none"/>
          <w:lang w:eastAsia="zh-CN"/>
        </w:rPr>
        <w:t>资料不清晰</w:t>
      </w:r>
      <w:r>
        <w:rPr>
          <w:rFonts w:hint="eastAsia" w:ascii="仿宋" w:hAnsi="仿宋" w:eastAsia="仿宋" w:cs="仿宋"/>
          <w:b w:val="0"/>
          <w:bCs w:val="0"/>
          <w:sz w:val="24"/>
          <w:szCs w:val="24"/>
          <w:highlight w:val="none"/>
        </w:rPr>
        <w:t>或表达不清所引起的不利后果由供应商承担。</w:t>
      </w:r>
    </w:p>
    <w:p w14:paraId="763D80BD">
      <w:pPr>
        <w:pStyle w:val="21"/>
        <w:snapToGrid w:val="0"/>
        <w:spacing w:line="360" w:lineRule="auto"/>
        <w:ind w:firstLine="477" w:firstLineChars="198"/>
        <w:rPr>
          <w:rFonts w:hint="eastAsia" w:ascii="仿宋" w:hAnsi="仿宋" w:eastAsia="仿宋" w:cs="仿宋"/>
          <w:b/>
          <w:sz w:val="24"/>
          <w:szCs w:val="24"/>
          <w:highlight w:val="none"/>
        </w:rPr>
      </w:pPr>
      <w:bookmarkStart w:id="42" w:name="_Toc561"/>
      <w:r>
        <w:rPr>
          <w:rFonts w:hint="eastAsia" w:ascii="仿宋" w:hAnsi="仿宋" w:eastAsia="仿宋" w:cs="仿宋"/>
          <w:b/>
          <w:sz w:val="24"/>
          <w:szCs w:val="24"/>
          <w:highlight w:val="none"/>
        </w:rPr>
        <w:t>14.响应文件的补充、修改和撤回</w:t>
      </w:r>
    </w:p>
    <w:p w14:paraId="75967DA5">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14.1供应商在首次提交响应文件截止时间前，可以对所提交的响应文件进行补充、修改。补充、修改的内容作为响应文件的组成部分，补充、修改内容需在“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sz w:val="24"/>
          <w:szCs w:val="24"/>
          <w:highlight w:val="none"/>
        </w:rPr>
        <w:t>”系统中上传，未进行上传的补充、修改内容无效。补充、修改的内容与响应文件不一致的，以补充、修改的内容为准。</w:t>
      </w:r>
    </w:p>
    <w:p w14:paraId="5BD38111">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在报价截止时间之后，供应商不得撤回响应文件。</w:t>
      </w:r>
    </w:p>
    <w:bookmarkEnd w:id="41"/>
    <w:bookmarkEnd w:id="42"/>
    <w:p w14:paraId="10A5E4C3">
      <w:pPr>
        <w:tabs>
          <w:tab w:val="left" w:pos="567"/>
        </w:tabs>
        <w:snapToGrid w:val="0"/>
        <w:spacing w:line="360" w:lineRule="auto"/>
        <w:ind w:firstLine="482" w:firstLineChars="200"/>
        <w:outlineLvl w:val="9"/>
        <w:rPr>
          <w:rFonts w:hint="eastAsia" w:ascii="仿宋" w:hAnsi="仿宋" w:eastAsia="仿宋" w:cs="仿宋"/>
          <w:b/>
          <w:sz w:val="24"/>
          <w:highlight w:val="none"/>
          <w:lang w:eastAsia="zh-CN"/>
        </w:rPr>
      </w:pP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.响应文件的</w:t>
      </w:r>
      <w:r>
        <w:rPr>
          <w:rFonts w:hint="eastAsia" w:ascii="仿宋" w:hAnsi="仿宋" w:eastAsia="仿宋" w:cs="仿宋"/>
          <w:b/>
          <w:sz w:val="24"/>
          <w:highlight w:val="none"/>
          <w:lang w:val="en-US" w:eastAsia="zh-CN"/>
        </w:rPr>
        <w:t>递交</w:t>
      </w:r>
    </w:p>
    <w:p w14:paraId="5B9A5A0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.递交响应文件截止时间</w:t>
      </w:r>
    </w:p>
    <w:p w14:paraId="36F4B4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.1响应文件须按照谈判文件第一部分谈判公告中规定的时间按照“</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”系统要求，逐条上传。在递交响应文件截止时间前未完成响应文件上传的，视为撤回响应文件，供应商自行承担责任。</w:t>
      </w:r>
    </w:p>
    <w:p w14:paraId="194D7BC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.2采购代理机构根据本须知的规定，通过修改谈判文件或自行决定延长首次响应文件截止日期的，采购人和供应商受递交截止日期制约的所有权利和义务均延长至新的截止日期。</w:t>
      </w:r>
    </w:p>
    <w:p w14:paraId="4333B9F0">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.响应文件解密及其他</w:t>
      </w:r>
    </w:p>
    <w:p w14:paraId="45EE716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.1采购代理机构在解密开始时间发出解密指令，供应商接到解密信息后，在规定的解密时间内使用加密电子文件时的电子CA进行解密（可远程解密）。</w:t>
      </w:r>
    </w:p>
    <w:p w14:paraId="10E8351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.2由于供应商原因，未在规定时间内完成电子投标文件解密的，视为未递交响应文件，响应无效。</w:t>
      </w:r>
    </w:p>
    <w:p w14:paraId="56349B9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.3解密截止时间后，供应商将无法对响应文件进行解密。除特殊情形需请示财政部门采用其他方式外，采购代理机构不得以任何理由延长解密时间。</w:t>
      </w:r>
    </w:p>
    <w:p w14:paraId="647667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.4在响应文件解密截止时间，完成解密的供应商不足法定家数时，不得进行下一步评审程序。</w:t>
      </w:r>
    </w:p>
    <w:p w14:paraId="3AE0D9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供应商在系统中自行查看报价结果，并进行确认，在</w:t>
      </w:r>
      <w:r>
        <w:rPr>
          <w:rFonts w:hint="eastAsia" w:ascii="仿宋" w:hAnsi="仿宋" w:eastAsia="仿宋" w:cs="仿宋"/>
          <w:b w:val="0"/>
          <w:bCs w:val="0"/>
          <w:kern w:val="0"/>
          <w:sz w:val="24"/>
          <w:highlight w:val="none"/>
          <w:lang w:val="en-US" w:eastAsia="zh-CN"/>
        </w:rPr>
        <w:t>系统规定时间内</w:t>
      </w:r>
      <w:r>
        <w:rPr>
          <w:rFonts w:hint="eastAsia" w:ascii="仿宋" w:hAnsi="仿宋" w:eastAsia="仿宋" w:cs="仿宋"/>
          <w:b w:val="0"/>
          <w:bCs w:val="0"/>
          <w:kern w:val="0"/>
          <w:sz w:val="24"/>
          <w:highlight w:val="none"/>
        </w:rPr>
        <w:t>未进行确认的，系统默认为已确认报价结果。</w:t>
      </w:r>
    </w:p>
    <w:p w14:paraId="4FA5AB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10D6BCD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五、谈判程序</w:t>
      </w:r>
    </w:p>
    <w:p w14:paraId="7705BDF6">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.谈判会议及其有关事项</w:t>
      </w:r>
    </w:p>
    <w:p w14:paraId="481CED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采购代理机构将按照竞争性谈判文件规定的时间、地点和程序组织谈判，各谈判专家及相关人员应参加谈判活动并接受核验、签到，无关人员不得进入谈判现场。</w:t>
      </w:r>
    </w:p>
    <w:p w14:paraId="5C4688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谈判活动现场进行全程录音录像，录音录像应当清晰可辨，音像资料作为采购文件一并存档。</w:t>
      </w:r>
    </w:p>
    <w:p w14:paraId="6C32DA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.谈判小组组成</w:t>
      </w:r>
    </w:p>
    <w:p w14:paraId="389C43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1谈判小组由采购人代表和评审专家共3人以上单数组成，其中评审专家人数不得少于竞争性谈判小组人员总数的2/3。对所有参加谈判的供应商的响应文件，按照竞争性谈判文件要求进行资格性和符合性审查，并对3家及以上实质性响应竞争性谈判文件要求的响应文件，按照竞争性谈判文件规定的谈判程序，与供应商分别进行谈判。</w:t>
      </w:r>
    </w:p>
    <w:p w14:paraId="1FDC30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.2采购人不得以评审专家身份参加本部门或本单位采购项目的评审，采购机构人员不得参加本机构代理的采购项目的评审。</w:t>
      </w:r>
    </w:p>
    <w:p w14:paraId="35BF59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.3谈判小组成员名单在谈判结果公告前应当保密。</w:t>
      </w:r>
    </w:p>
    <w:p w14:paraId="5A7A964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4对技术复杂、专业性强的采购项目，通过随机方式难以确定合适评审专家的，经主管预算单位同意，采购人可以自行选定相应专业领域的评审专家。技术复杂、专业性强的采购项目，评审专家中应当包含1名法律专家。</w:t>
      </w:r>
    </w:p>
    <w:p w14:paraId="419B6FA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.5谈判中因评审专家缺席、回避或者健康等特殊原因导致谈判</w:t>
      </w:r>
      <w:r>
        <w:rPr>
          <w:rFonts w:hint="eastAsia" w:ascii="仿宋" w:hAnsi="仿宋" w:eastAsia="仿宋" w:cs="仿宋"/>
          <w:b w:val="0"/>
          <w:bCs w:val="0"/>
          <w:kern w:val="0"/>
          <w:sz w:val="24"/>
          <w:highlight w:val="none"/>
          <w:lang w:val="en-US" w:eastAsia="zh-CN"/>
        </w:rPr>
        <w:t>小组</w:t>
      </w:r>
      <w:r>
        <w:rPr>
          <w:rFonts w:hint="eastAsia" w:ascii="仿宋" w:hAnsi="仿宋" w:eastAsia="仿宋" w:cs="仿宋"/>
          <w:b w:val="0"/>
          <w:bCs w:val="0"/>
          <w:kern w:val="0"/>
          <w:sz w:val="24"/>
          <w:highlight w:val="none"/>
        </w:rPr>
        <w:t>组成不符合相关法律规定的，代理机构应当依法补足后继续谈判。被更换的</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所作出的谈判意见无效。</w:t>
      </w:r>
    </w:p>
    <w:p w14:paraId="2E3B169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.6无法及时补足</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的，代理机构应当停止谈判活动，封存所有响应文评审资料，依法重新组建谈判小组进行谈判。原谈判小组所作出的谈判意见无效。</w:t>
      </w:r>
    </w:p>
    <w:p w14:paraId="6B9B8D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.7代理机构应当将变更、重新组建谈判小组的情况予以记录，并随采购文件一并存档。</w:t>
      </w:r>
    </w:p>
    <w:p w14:paraId="2AD256E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19</w:t>
      </w:r>
      <w:r>
        <w:rPr>
          <w:rFonts w:hint="eastAsia" w:ascii="仿宋" w:hAnsi="仿宋" w:eastAsia="仿宋" w:cs="仿宋"/>
          <w:b/>
          <w:bCs/>
          <w:kern w:val="0"/>
          <w:sz w:val="24"/>
          <w:highlight w:val="none"/>
        </w:rPr>
        <w:t>.响应文件的评审</w:t>
      </w:r>
    </w:p>
    <w:p w14:paraId="09C7F3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.1谈判</w:t>
      </w:r>
      <w:r>
        <w:rPr>
          <w:rFonts w:hint="eastAsia" w:ascii="仿宋" w:hAnsi="仿宋" w:eastAsia="仿宋" w:cs="仿宋"/>
          <w:b w:val="0"/>
          <w:bCs w:val="0"/>
          <w:kern w:val="0"/>
          <w:sz w:val="24"/>
          <w:highlight w:val="none"/>
          <w:lang w:val="en-US" w:eastAsia="zh-CN"/>
        </w:rPr>
        <w:t>小</w:t>
      </w:r>
      <w:r>
        <w:rPr>
          <w:rFonts w:hint="eastAsia" w:ascii="仿宋" w:hAnsi="仿宋" w:eastAsia="仿宋" w:cs="仿宋"/>
          <w:b w:val="0"/>
          <w:bCs w:val="0"/>
          <w:kern w:val="0"/>
          <w:sz w:val="24"/>
          <w:highlight w:val="none"/>
        </w:rPr>
        <w:t>组按照竞争性谈判文件要求对各供应商的响应文件进行有效性、完整性和响应性审查。审查各供应商的响应文件是否对竞争性谈判文件要求做出了实质性响应。响应文件的评审在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进行。</w:t>
      </w:r>
    </w:p>
    <w:p w14:paraId="754DCA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.1.1资格性检查：由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依据法律法规和竞争性谈判文件的规定，对各供应商响应文件中的资格证明文件进行审查，以确定供应商是否具备谈判资格。</w:t>
      </w:r>
    </w:p>
    <w:p w14:paraId="4AF2F9B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.1.2符合性检查：由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依据竞争性谈判文件的规定，对资格性审查合格的3家及以上供应商的响应文件的所有条款、条件和规格进行审查，以确定是否对竞争性谈判文件做出实质性响应。</w:t>
      </w:r>
    </w:p>
    <w:p w14:paraId="16889C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2在审查过程中，谈判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2439428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.3竞争性谈判小组要求供应商澄清、说明或者更正响应文件应当以</w:t>
      </w:r>
      <w:r>
        <w:rPr>
          <w:rFonts w:hint="eastAsia" w:ascii="仿宋" w:hAnsi="仿宋" w:eastAsia="仿宋" w:cs="仿宋"/>
          <w:b w:val="0"/>
          <w:bCs w:val="0"/>
          <w:kern w:val="0"/>
          <w:sz w:val="24"/>
          <w:highlight w:val="none"/>
          <w:lang w:val="en-US" w:eastAsia="zh-CN"/>
        </w:rPr>
        <w:t>电子</w:t>
      </w:r>
      <w:r>
        <w:rPr>
          <w:rFonts w:hint="eastAsia" w:ascii="仿宋" w:hAnsi="仿宋" w:eastAsia="仿宋" w:cs="仿宋"/>
          <w:b w:val="0"/>
          <w:bCs w:val="0"/>
          <w:kern w:val="0"/>
          <w:sz w:val="24"/>
          <w:highlight w:val="none"/>
        </w:rPr>
        <w:t>形式作出。供应商的澄清、说明或者更正应当由法定代表人或其授权代表签字或者加盖公章。由授权代表签字的，应当附法定代表授权书。供应商为自然人的，应当由本人签字并附身份证明，并在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上传。</w:t>
      </w:r>
    </w:p>
    <w:p w14:paraId="79AC677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.4实质上响应的响应文件是指与竞争性谈判文件的主要条款、条件和规格相符，经</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认定的没有偏离的响应文件。</w:t>
      </w:r>
    </w:p>
    <w:p w14:paraId="4127C2F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4.1重大偏离系指响应文件中的签署、盖章及投标服务名称、数量和合同履行期限、付款方式、验收标准等与谈判文件要求不一致或明显不能满足谈判文件要求，而且限制了采购人的权利或供应商的义务，纠正这些偏离将对其他实质上响应谈判要求的供应商的竞争地位产生不公正的影响。包括但不限于：</w:t>
      </w:r>
    </w:p>
    <w:p w14:paraId="2C490C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A．本文件对“供应商须知前附表”第11条中带*号的商务、</w:t>
      </w:r>
      <w:r>
        <w:rPr>
          <w:rFonts w:hint="eastAsia" w:ascii="仿宋" w:hAnsi="仿宋" w:eastAsia="仿宋" w:cs="仿宋"/>
          <w:b w:val="0"/>
          <w:bCs w:val="0"/>
          <w:kern w:val="0"/>
          <w:sz w:val="24"/>
          <w:highlight w:val="none"/>
          <w:lang w:val="en-US" w:eastAsia="zh-CN"/>
        </w:rPr>
        <w:t>技术</w:t>
      </w:r>
      <w:r>
        <w:rPr>
          <w:rFonts w:hint="eastAsia" w:ascii="仿宋" w:hAnsi="仿宋" w:eastAsia="仿宋" w:cs="仿宋"/>
          <w:b w:val="0"/>
          <w:bCs w:val="0"/>
          <w:kern w:val="0"/>
          <w:sz w:val="24"/>
          <w:highlight w:val="none"/>
        </w:rPr>
        <w:t>文件未实质上响应；</w:t>
      </w:r>
    </w:p>
    <w:p w14:paraId="067863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B．未按竞争性谈判文件的规定密封、签署、盖章的；</w:t>
      </w:r>
    </w:p>
    <w:p w14:paraId="5185882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C．报价有效期不足的；</w:t>
      </w:r>
    </w:p>
    <w:p w14:paraId="215EC2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D．“报价一览表”中报价</w:t>
      </w:r>
      <w:r>
        <w:rPr>
          <w:rFonts w:hint="eastAsia" w:ascii="仿宋" w:hAnsi="仿宋" w:eastAsia="仿宋" w:cs="仿宋"/>
          <w:b w:val="0"/>
          <w:bCs w:val="0"/>
          <w:kern w:val="0"/>
          <w:sz w:val="24"/>
          <w:highlight w:val="none"/>
          <w:lang w:val="en-US" w:eastAsia="zh-CN"/>
        </w:rPr>
        <w:t>货物</w:t>
      </w:r>
      <w:r>
        <w:rPr>
          <w:rFonts w:hint="eastAsia" w:ascii="仿宋" w:hAnsi="仿宋" w:eastAsia="仿宋" w:cs="仿宋"/>
          <w:b w:val="0"/>
          <w:bCs w:val="0"/>
          <w:kern w:val="0"/>
          <w:sz w:val="24"/>
          <w:highlight w:val="none"/>
        </w:rPr>
        <w:t>等与竞争性谈判文件要求不符的；合同履行期限、款项支付意见、售后服务要求、服务标准、验收标准、采购需求等不满足竞争性谈判文件中的相关要求的；</w:t>
      </w:r>
    </w:p>
    <w:p w14:paraId="5262BD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E．未按照竞争性谈判文件规定报价的；报价超过竞争性谈判文件中规定的预算金额或者最高限价的；</w:t>
      </w:r>
    </w:p>
    <w:p w14:paraId="5AD85D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F．不符合竞争性谈判文件中有关分包、转包规定的；</w:t>
      </w:r>
    </w:p>
    <w:p w14:paraId="16B5EFF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G．联合体响应文件未附联合体报价协议书的；</w:t>
      </w:r>
    </w:p>
    <w:p w14:paraId="43893D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H．响应文件附有采购人不能接受的条件；</w:t>
      </w:r>
    </w:p>
    <w:p w14:paraId="4C8226B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I．不符合响应文件中规定的其他实质性要求。</w:t>
      </w:r>
    </w:p>
    <w:p w14:paraId="3F899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.4.2重大偏离不允许在开启后修正。</w:t>
      </w:r>
    </w:p>
    <w:p w14:paraId="17FC3E7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.4.3响应文件如果未对竞争性谈判文件要求做出实质上响应，谈判将予以拒绝，供应商不得再对响应文件进行任何修正从而使其成为实质上响应的报价。</w:t>
      </w:r>
    </w:p>
    <w:p w14:paraId="2CD1EF8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.5政策性因素评审要求见供应商须知前附表第十二条规定。</w:t>
      </w:r>
    </w:p>
    <w:p w14:paraId="010BD1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.6谈判小组对响应文件的判定,只依据响应文件内容本身,不依据任何外来证明。</w:t>
      </w:r>
    </w:p>
    <w:p w14:paraId="3BBEC1E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.7谈判小组各评审专家在资格性、符合性审查之后，应做‘评审记录’。</w:t>
      </w:r>
    </w:p>
    <w:p w14:paraId="2A9CAC6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19</w:t>
      </w:r>
      <w:r>
        <w:rPr>
          <w:rFonts w:hint="eastAsia" w:ascii="仿宋" w:hAnsi="仿宋" w:eastAsia="仿宋" w:cs="仿宋"/>
          <w:b w:val="0"/>
          <w:bCs w:val="0"/>
          <w:kern w:val="0"/>
          <w:sz w:val="24"/>
          <w:highlight w:val="none"/>
        </w:rPr>
        <w:t>.8响应文件评审结束，未实质上响应竞争性谈判文件的响应文件按无效处理，谈判小组应当告知有关供应商。</w:t>
      </w:r>
    </w:p>
    <w:p w14:paraId="0E929F9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20</w:t>
      </w:r>
      <w:r>
        <w:rPr>
          <w:rFonts w:hint="eastAsia" w:ascii="仿宋" w:hAnsi="仿宋" w:eastAsia="仿宋" w:cs="仿宋"/>
          <w:b/>
          <w:bCs/>
          <w:kern w:val="0"/>
          <w:sz w:val="24"/>
          <w:highlight w:val="none"/>
        </w:rPr>
        <w:t>.谈判</w:t>
      </w:r>
    </w:p>
    <w:p w14:paraId="2EB50C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20</w:t>
      </w:r>
      <w:r>
        <w:rPr>
          <w:rFonts w:hint="eastAsia" w:ascii="仿宋" w:hAnsi="仿宋" w:eastAsia="仿宋" w:cs="仿宋"/>
          <w:b w:val="0"/>
          <w:bCs w:val="0"/>
          <w:kern w:val="0"/>
          <w:sz w:val="24"/>
          <w:highlight w:val="none"/>
        </w:rPr>
        <w:t>.1谈判小组按照各供应商的签到顺序，与响应竞争性谈判文件要求的3家及以上的供应商就本次采购货物的技术、服务要求以及合同草案进行谈判。</w:t>
      </w:r>
    </w:p>
    <w:p w14:paraId="4B7C6A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0</w:t>
      </w:r>
      <w:r>
        <w:rPr>
          <w:rFonts w:hint="eastAsia" w:ascii="仿宋" w:hAnsi="仿宋" w:eastAsia="仿宋" w:cs="仿宋"/>
          <w:b w:val="0"/>
          <w:bCs w:val="0"/>
          <w:kern w:val="0"/>
          <w:sz w:val="24"/>
          <w:highlight w:val="none"/>
        </w:rPr>
        <w:t>.2谈判小组所有成员应当集中与单一供应商分别进行谈判，并给予所有参加谈判的供应商平等的谈判机会。</w:t>
      </w:r>
    </w:p>
    <w:p w14:paraId="092A0A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21</w:t>
      </w:r>
      <w:r>
        <w:rPr>
          <w:rFonts w:hint="eastAsia" w:ascii="仿宋" w:hAnsi="仿宋" w:eastAsia="仿宋" w:cs="仿宋"/>
          <w:b/>
          <w:bCs/>
          <w:kern w:val="0"/>
          <w:sz w:val="24"/>
          <w:highlight w:val="none"/>
        </w:rPr>
        <w:t>.确定最终采购方案</w:t>
      </w:r>
    </w:p>
    <w:p w14:paraId="2FB276F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.1在谈判过程中，谈判小组可以根据竞争性谈判文件和谈判情况实质性变动采购需求中的技术、服务要求以及合同草案条款，但不得变动竞争性谈判文件中的其他内容。实质性变动的内容，须经采购人代表确认。</w:t>
      </w:r>
    </w:p>
    <w:p w14:paraId="24E19A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.2对竞争性谈判文件做出的实质性变动是竞争性谈判文件的有效组成部分，谈判小组应当及时</w:t>
      </w:r>
      <w:r>
        <w:rPr>
          <w:rFonts w:hint="eastAsia" w:ascii="仿宋" w:hAnsi="仿宋" w:eastAsia="仿宋" w:cs="仿宋"/>
          <w:sz w:val="24"/>
          <w:highlight w:val="none"/>
        </w:rPr>
        <w:t>在</w:t>
      </w:r>
      <w:r>
        <w:rPr>
          <w:rFonts w:hint="eastAsia" w:ascii="仿宋" w:hAnsi="仿宋" w:eastAsia="仿宋" w:cs="仿宋"/>
          <w:sz w:val="24"/>
          <w:highlight w:val="none"/>
          <w:lang w:eastAsia="zh-CN"/>
        </w:rPr>
        <w:t>山西政府采购平台</w:t>
      </w:r>
      <w:r>
        <w:rPr>
          <w:rFonts w:hint="eastAsia" w:ascii="仿宋" w:hAnsi="仿宋" w:eastAsia="仿宋" w:cs="仿宋"/>
          <w:b w:val="0"/>
          <w:bCs w:val="0"/>
          <w:kern w:val="0"/>
          <w:sz w:val="24"/>
          <w:highlight w:val="none"/>
        </w:rPr>
        <w:t>同时通知所有参加谈判的供应商。</w:t>
      </w:r>
    </w:p>
    <w:p w14:paraId="2B663C3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rPr>
        <w:t>.最终报价</w:t>
      </w:r>
    </w:p>
    <w:p w14:paraId="6EB375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.1谈判结束后，供应商进行最后报价，最后报价以电子形式进行，供应商须在谈判小组确定的最终报价时间内将电子最终报价在规定时间内上传至</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w:t>
      </w:r>
    </w:p>
    <w:p w14:paraId="4E1DA9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.1.1竞争性谈判文件能够详细列明采购标的的技术、服务等要求的，谈判结束后，谈判小组应当要求所有实质性响应的供应商在规定时间内提交最后报价。提交最后报价的供应商不得少于3家。</w:t>
      </w:r>
    </w:p>
    <w:p w14:paraId="2141408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1.2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B351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.2已提交响应文件的供应商，在提交最后报价之前，可以根据谈判情况退出谈判。采购人、代理机构应当退还退出谈判的供应商的谈判保证金。</w:t>
      </w:r>
    </w:p>
    <w:p w14:paraId="469DA9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.3</w:t>
      </w: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p w14:paraId="3CEADB2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.4最后报价是供应商响应文件的有效组成部分。</w:t>
      </w:r>
    </w:p>
    <w:p w14:paraId="6F6500A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.5重新提交的响应文件由其法定代表人或授权代表签字或者加盖公章。由授权代表签字的，应当附法定代表人授权书。供应商为自然人的，应当由本人签字并附身份证明。</w:t>
      </w:r>
    </w:p>
    <w:p w14:paraId="053B3FF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重新提交的响应文件由下列情况之一者将视为报价无效：</w:t>
      </w:r>
    </w:p>
    <w:p w14:paraId="624A92C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（1）响应文件未按规定标记、密封的；</w:t>
      </w:r>
    </w:p>
    <w:p w14:paraId="62960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（2）未在指定位置加盖供应商公章和法定代表人或其授权代表签章的；</w:t>
      </w:r>
    </w:p>
    <w:p w14:paraId="5C974DC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（3）未按规定时间以后送达的响应文件；</w:t>
      </w:r>
    </w:p>
    <w:p w14:paraId="7381D3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（4）提交的响应文件有效期短于竞争性谈判文件规定有效期的；</w:t>
      </w:r>
    </w:p>
    <w:p w14:paraId="1C19A69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（5）未按谈判小组要求对响应文件进行澄清（说明或者更正）的；</w:t>
      </w:r>
    </w:p>
    <w:p w14:paraId="0FC4B8A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（6）谈判小组对重新提交的响应文件评审后，认为在有效性、完整性和响应程度方面没有实质性响应竞争性谈判文件的。</w:t>
      </w:r>
    </w:p>
    <w:p w14:paraId="04680082">
      <w:pPr>
        <w:tabs>
          <w:tab w:val="left" w:pos="567"/>
        </w:tabs>
        <w:snapToGrid w:val="0"/>
        <w:spacing w:line="360" w:lineRule="auto"/>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23</w:t>
      </w:r>
      <w:r>
        <w:rPr>
          <w:rFonts w:hint="eastAsia" w:ascii="仿宋" w:hAnsi="仿宋" w:eastAsia="仿宋" w:cs="仿宋"/>
          <w:b/>
          <w:bCs/>
          <w:kern w:val="0"/>
          <w:sz w:val="24"/>
          <w:highlight w:val="none"/>
        </w:rPr>
        <w:t>.确定</w:t>
      </w:r>
      <w:r>
        <w:rPr>
          <w:rFonts w:hint="eastAsia" w:ascii="仿宋" w:hAnsi="仿宋" w:eastAsia="仿宋" w:cs="仿宋"/>
          <w:b/>
          <w:bCs/>
          <w:kern w:val="0"/>
          <w:sz w:val="24"/>
          <w:highlight w:val="none"/>
          <w:lang w:eastAsia="zh-CN"/>
        </w:rPr>
        <w:t>成交供应商</w:t>
      </w:r>
    </w:p>
    <w:p w14:paraId="34B02E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.1确定成交候选人顺序</w:t>
      </w:r>
    </w:p>
    <w:p w14:paraId="5574F5B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.1.1谈判小组应从质量和服务均能满足竞争性谈判文件实质性响应要求的供应商中，按照政府采购政策规定进行价格扣除，并按价格扣除后的评审报价由低到高的顺序提出3名以上成交候选人，并编写评审报告。</w:t>
      </w:r>
    </w:p>
    <w:p w14:paraId="351C895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.1.2评审报价相同的，按照技术、服务等因素的优劣进行排列。</w:t>
      </w:r>
    </w:p>
    <w:p w14:paraId="0F463157">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.2确定</w:t>
      </w:r>
      <w:r>
        <w:rPr>
          <w:rFonts w:hint="eastAsia" w:ascii="仿宋" w:hAnsi="仿宋" w:eastAsia="仿宋" w:cs="仿宋"/>
          <w:b w:val="0"/>
          <w:bCs w:val="0"/>
          <w:kern w:val="0"/>
          <w:sz w:val="24"/>
          <w:highlight w:val="none"/>
          <w:lang w:eastAsia="zh-CN"/>
        </w:rPr>
        <w:t>成交供应商</w:t>
      </w:r>
    </w:p>
    <w:p w14:paraId="4D727A2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.2.1本次谈判比照</w:t>
      </w:r>
      <w:r>
        <w:rPr>
          <w:rFonts w:hint="eastAsia" w:ascii="仿宋" w:hAnsi="仿宋" w:eastAsia="仿宋" w:cs="仿宋"/>
          <w:b w:val="0"/>
          <w:bCs w:val="0"/>
          <w:kern w:val="0"/>
          <w:sz w:val="24"/>
          <w:highlight w:val="none"/>
          <w:lang w:eastAsia="zh-CN"/>
        </w:rPr>
        <w:t>最低评标价法</w:t>
      </w:r>
      <w:r>
        <w:rPr>
          <w:rFonts w:hint="eastAsia" w:ascii="仿宋" w:hAnsi="仿宋" w:eastAsia="仿宋" w:cs="仿宋"/>
          <w:b w:val="0"/>
          <w:bCs w:val="0"/>
          <w:kern w:val="0"/>
          <w:sz w:val="24"/>
          <w:highlight w:val="none"/>
        </w:rPr>
        <w:t>确定成交供应商，即从评审报告提出的成交候选人中，根据质量和服务均能满足竞争性谈判文件实质性响应要求且评审报价最低的原则确定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761DCD1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.2.2本次谈判，授权谈判小组确定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246769A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24</w:t>
      </w:r>
      <w:r>
        <w:rPr>
          <w:rFonts w:hint="eastAsia" w:ascii="仿宋" w:hAnsi="仿宋" w:eastAsia="仿宋" w:cs="仿宋"/>
          <w:b/>
          <w:bCs/>
          <w:kern w:val="0"/>
          <w:sz w:val="24"/>
          <w:highlight w:val="none"/>
        </w:rPr>
        <w:t>.编写评审报告</w:t>
      </w:r>
    </w:p>
    <w:p w14:paraId="014C21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.1谈判小组根据评审记录和评审结果编写评审报告。评审报告应当包括以下内容：</w:t>
      </w:r>
    </w:p>
    <w:p w14:paraId="3235BDC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（一）邀请供应商参加谈判活动的具体方式和相关情况（谈判公告刊登的媒体名称、报名情况、谈判日期和地点等）</w:t>
      </w:r>
    </w:p>
    <w:p w14:paraId="3BBC6C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（二）供应商名单和谈判小组成员名单；</w:t>
      </w:r>
    </w:p>
    <w:p w14:paraId="47B958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（三）评审程序和评定标准；</w:t>
      </w:r>
    </w:p>
    <w:p w14:paraId="6B2797E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（四）评审情况记录和说明，包括对供应商的资格审查情况、供应商响应文件评审情况、谈判情况、报价情况；</w:t>
      </w:r>
    </w:p>
    <w:p w14:paraId="301084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（五）无效供应商名单及原因；</w:t>
      </w:r>
    </w:p>
    <w:p w14:paraId="5698549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（六）评审结果，提出的成交候选人的名单及理由；</w:t>
      </w:r>
    </w:p>
    <w:p w14:paraId="290B63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（七）确定的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名单及理由（本项目授权谈判小组直接确定的</w:t>
      </w:r>
      <w:r>
        <w:rPr>
          <w:rFonts w:hint="eastAsia" w:ascii="仿宋" w:hAnsi="仿宋" w:eastAsia="仿宋" w:cs="仿宋"/>
          <w:b w:val="0"/>
          <w:bCs w:val="0"/>
          <w:kern w:val="0"/>
          <w:sz w:val="24"/>
          <w:highlight w:val="none"/>
          <w:lang w:val="en-US" w:eastAsia="zh-CN"/>
        </w:rPr>
        <w:t>成交供应商</w:t>
      </w:r>
      <w:r>
        <w:rPr>
          <w:rFonts w:hint="eastAsia" w:ascii="仿宋" w:hAnsi="仿宋" w:eastAsia="仿宋" w:cs="仿宋"/>
          <w:b w:val="0"/>
          <w:bCs w:val="0"/>
          <w:kern w:val="0"/>
          <w:sz w:val="24"/>
          <w:highlight w:val="none"/>
        </w:rPr>
        <w:t>）。</w:t>
      </w:r>
    </w:p>
    <w:p w14:paraId="13A682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 xml:space="preserve">（八）其他需要说明的情况，包括评审过程中供应商根据谈判小组要求进行的澄清、说明或者补正，谈判小组成员的更换等。 </w:t>
      </w:r>
    </w:p>
    <w:p w14:paraId="1067BF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.2评审报告及评审结果由全体谈判小组成员签字确认。</w:t>
      </w:r>
    </w:p>
    <w:p w14:paraId="54F32B9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3谈判小组成员对评审报告有异议的，按照少数服从多数的原则推荐成交候选人，采购程序继续进行。对评审报告有异议的谈判小组成员，应当在报告上签署不同意见并说明理由，由谈判小组书面记录相关情况。拒绝在报告上签字又不书面说明其不同意见和理由的。视为同意评审报告。</w:t>
      </w:r>
    </w:p>
    <w:p w14:paraId="64B7D40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25</w:t>
      </w:r>
      <w:r>
        <w:rPr>
          <w:rFonts w:hint="eastAsia" w:ascii="仿宋" w:hAnsi="仿宋" w:eastAsia="仿宋" w:cs="仿宋"/>
          <w:b/>
          <w:bCs/>
          <w:kern w:val="0"/>
          <w:sz w:val="24"/>
          <w:highlight w:val="none"/>
        </w:rPr>
        <w:t>.评审复核</w:t>
      </w:r>
    </w:p>
    <w:p w14:paraId="78A6D6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.1谈判小组要对评审结果进行校对、核对，对报价最低的、响应文件被认定为未实质性响应竞争性谈判文件的情形的、采用政策性因素进行价格扣除的报价等进行复核。</w:t>
      </w:r>
    </w:p>
    <w:p w14:paraId="4C62D1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2复核中除资格性审查认定错误和价格计算错误外，采购人或者代理机构不得以任何理由组织重新评审。采购人、代理机构发现谈判小组未按竞争性谈判文件规定的评定成交的标准进行评审的，应当重新开展采购活动，并同时书面报告本级相关部门。</w:t>
      </w:r>
    </w:p>
    <w:p w14:paraId="102F60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26</w:t>
      </w:r>
      <w:r>
        <w:rPr>
          <w:rFonts w:hint="eastAsia" w:ascii="仿宋" w:hAnsi="仿宋" w:eastAsia="仿宋" w:cs="仿宋"/>
          <w:b/>
          <w:bCs/>
          <w:kern w:val="0"/>
          <w:sz w:val="24"/>
          <w:highlight w:val="none"/>
        </w:rPr>
        <w:t>.谈判过程保密</w:t>
      </w:r>
    </w:p>
    <w:p w14:paraId="2EE996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.1采购人、代理机构应当采取必要措施，保证谈判在严格保密的情况下进行。除采购人代表、谈判现场组织人员、监督人员外，采购人的其他工作人员以及与谈判工作无关的人员不得进入谈判现场。</w:t>
      </w:r>
    </w:p>
    <w:p w14:paraId="05A386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.2谈判开始，直到授予</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合同止，凡是属于审查、澄清、评价和比较谈判的有关资料等，均不得向供应商或其他与谈判无关的人员透露。</w:t>
      </w:r>
    </w:p>
    <w:p w14:paraId="1AFD3E4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.3在谈判期间，任何人不得透露与谈判有关的其他供应商的技术资料、价格和其他信息。</w:t>
      </w:r>
    </w:p>
    <w:p w14:paraId="5D112B1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.4谈判结束后，参与评审的所有人员不得带走与谈判有关的任何资料。</w:t>
      </w:r>
    </w:p>
    <w:p w14:paraId="74C05F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.5在谈判期间，供应商企图影响代理机构或谈判小组的任何活动，将导致报价被拒绝，并承担相应的法律责任。</w:t>
      </w:r>
    </w:p>
    <w:p w14:paraId="07532E7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.关于供应商瑕疵滞后发现的处理规则</w:t>
      </w:r>
    </w:p>
    <w:p w14:paraId="76A80FA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无论基于何种原因，各项本应作拒绝或无效报价处理的情形，即便未被及时发现而使该供应商进入初审、谈判或其它后续程序的，包括已经签约的情形。一旦被发现，代理机构均有权依法采取相应的补救及纠正措施。</w:t>
      </w:r>
    </w:p>
    <w:p w14:paraId="7B86B06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.采购项目终止</w:t>
      </w:r>
    </w:p>
    <w:p w14:paraId="359635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出现下列情形之一的，采购人或者采购代理机构应当终止谈判采购活动，发布项目终止公告并说明原因，重新开展采购活动：</w:t>
      </w:r>
    </w:p>
    <w:p w14:paraId="6D036CE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（一）因情况变化，不再符合规定的谈判采购方式适用情形的；</w:t>
      </w:r>
    </w:p>
    <w:p w14:paraId="48E529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（二）出现影响采购公正的违法、违规行为的；</w:t>
      </w:r>
    </w:p>
    <w:p w14:paraId="3D27E141">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29</w:t>
      </w:r>
      <w:r>
        <w:rPr>
          <w:rFonts w:hint="eastAsia" w:ascii="仿宋" w:hAnsi="仿宋" w:eastAsia="仿宋" w:cs="仿宋"/>
          <w:b/>
          <w:bCs/>
          <w:kern w:val="0"/>
          <w:sz w:val="24"/>
          <w:highlight w:val="none"/>
        </w:rPr>
        <w:t>.成交结果公告</w:t>
      </w:r>
    </w:p>
    <w:p w14:paraId="5D45963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.1代理机构应当自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确定后2个工作日内公告成交结果，并将竞争性谈判文件随成交结果同时公告。</w:t>
      </w:r>
    </w:p>
    <w:p w14:paraId="778E6B1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.2成交结果公告应当包括：</w:t>
      </w:r>
    </w:p>
    <w:p w14:paraId="55BFC25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（一）采购人和代理机构的名称、地址和联系方式；</w:t>
      </w:r>
    </w:p>
    <w:p w14:paraId="43F8A93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（二）项目名称、项目编号及</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w:t>
      </w:r>
    </w:p>
    <w:p w14:paraId="50DFE2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名称、地址和成交金额；</w:t>
      </w:r>
    </w:p>
    <w:p w14:paraId="3EE5402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（四）主要成交标的的名称、服务期限、服务要求、服务标准；</w:t>
      </w:r>
    </w:p>
    <w:p w14:paraId="39EF6B2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（五）谈判小组成员名单。</w:t>
      </w:r>
    </w:p>
    <w:p w14:paraId="1F29AF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采用书面推荐供应商参加谈判活动的，还应当公告采购人和评审专家的推荐意见。</w:t>
      </w:r>
    </w:p>
    <w:p w14:paraId="27836794">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rPr>
        <w:t>.成交通知</w:t>
      </w:r>
    </w:p>
    <w:p w14:paraId="6F09AD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确定后2个工作日内，在公告成交结果同时，向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发出成交通知书。</w:t>
      </w:r>
    </w:p>
    <w:p w14:paraId="1D6E104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.2成交通知书对采购人和</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具有同等法律效力。</w:t>
      </w:r>
    </w:p>
    <w:p w14:paraId="3709AF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.3除不可抗力等因素外，成交通知书发出后，采购人改变成交结果，或者</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拒绝签订政府采购合同的，应当承担相应的法律责任。</w:t>
      </w:r>
    </w:p>
    <w:p w14:paraId="773FC3F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.4</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拒绝签订政府采购合同的，采购人重新开展采购活动。拒绝签订政府采购合同的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不得参加对该项目重新开展的采购活动。</w:t>
      </w:r>
    </w:p>
    <w:p w14:paraId="0C5DCD4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.5成交通知书是合同的组成部分。</w:t>
      </w:r>
    </w:p>
    <w:p w14:paraId="54C19F0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1</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代理</w:t>
      </w:r>
      <w:r>
        <w:rPr>
          <w:rFonts w:hint="eastAsia" w:ascii="仿宋" w:hAnsi="仿宋" w:eastAsia="仿宋" w:cs="仿宋"/>
          <w:b/>
          <w:bCs/>
          <w:kern w:val="0"/>
          <w:sz w:val="24"/>
          <w:highlight w:val="none"/>
        </w:rPr>
        <w:t>服务费</w:t>
      </w:r>
    </w:p>
    <w:p w14:paraId="0B32A76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见供应商须知前附表</w:t>
      </w:r>
    </w:p>
    <w:p w14:paraId="3196E20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六、签订合同</w:t>
      </w:r>
    </w:p>
    <w:p w14:paraId="4250856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应在成交通知书发出之日起</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0日内，按照竞争性谈判文件、响应文件、谈判过程中确定的合同文本及有关澄清、说明或者补正文件等事项与采购人在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线上签订合同。</w:t>
      </w:r>
    </w:p>
    <w:p w14:paraId="61AA7BB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.2采购人不得向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提出超出竞争性谈判文件、响应文件及谈判确定的事项以外的任何要求作为签订合同的条件，不得与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订立背离谈判过程中确定的合同文本以及采购标的、规格型号、采购金额、采购数量、技术和服务要求等实质性内容的协议。</w:t>
      </w:r>
    </w:p>
    <w:p w14:paraId="77FF78B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28EEAB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.4成交供应商不得转包、分包，亦不得将合同全部及任何权利、义务向第三方转让，除符合《政府采购促进中小企业发展暂行办法》相关规定外，其他情形将被视为严重违约。采购人有权决定按照</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成交后毁标、终止或解除合同等依约处理。</w:t>
      </w:r>
    </w:p>
    <w:p w14:paraId="2AED1B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.5采购人与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应当根据合同约定依法履行合同义务。</w:t>
      </w:r>
    </w:p>
    <w:p w14:paraId="327EFFD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.6违反前五款规定，给对方造成损失的，应承担赔偿责任。</w:t>
      </w:r>
    </w:p>
    <w:p w14:paraId="023FBC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七、保密和披露</w:t>
      </w:r>
    </w:p>
    <w:p w14:paraId="745B395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.保密</w:t>
      </w:r>
    </w:p>
    <w:p w14:paraId="7217F64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33.1</w:t>
      </w:r>
      <w:r>
        <w:rPr>
          <w:rFonts w:hint="eastAsia" w:ascii="仿宋" w:hAnsi="仿宋" w:eastAsia="仿宋" w:cs="仿宋"/>
          <w:b w:val="0"/>
          <w:bCs w:val="0"/>
          <w:kern w:val="0"/>
          <w:sz w:val="24"/>
          <w:highlight w:val="none"/>
        </w:rPr>
        <w:t>供应商自领取竞争性谈判文件之日起，须承诺承担对本采购项目的保密义务，不得将因本次谈判获得的信息向第三人外传。</w:t>
      </w:r>
    </w:p>
    <w:p w14:paraId="109BCC8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33.2</w:t>
      </w:r>
      <w:r>
        <w:rPr>
          <w:rFonts w:hint="eastAsia" w:ascii="仿宋" w:hAnsi="仿宋" w:eastAsia="仿宋" w:cs="仿宋"/>
          <w:b w:val="0"/>
          <w:bCs w:val="0"/>
          <w:kern w:val="0"/>
          <w:sz w:val="24"/>
          <w:highlight w:val="none"/>
        </w:rPr>
        <w:t>参加谈判过程的有关人员对谈判情况以及在谈判过程中获悉的国家秘密、商业秘密负有保密责任。</w:t>
      </w:r>
    </w:p>
    <w:p w14:paraId="65AF7D9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.披露</w:t>
      </w:r>
    </w:p>
    <w:p w14:paraId="3CD1B39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代理机构有权将供应商提供的所有资料向有关政府部门或参加评审的有关人员披露。</w:t>
      </w:r>
    </w:p>
    <w:p w14:paraId="6DB8D7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.2在</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认为适当时、国家机关调查、审查、审计时以及其他符合法律规定的情形下，</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无须事先征求供应商/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同意而可以披露关于采购过程、合同文本、签署情况的资料、供应商/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的名称及地址、响应文件的有关信息以及补充条款等，但应当在合理的必要范围内。对任何已经公布过的内容或与之内容相同的资料，以及供应商/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已经泄露或公开的，无须再承担保密责任。</w:t>
      </w:r>
    </w:p>
    <w:p w14:paraId="7DA5681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八、询问和质疑</w:t>
      </w:r>
    </w:p>
    <w:p w14:paraId="5649D63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.询问</w:t>
      </w:r>
    </w:p>
    <w:p w14:paraId="49B4B4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供应商对政府采购活动事项有疑问的，可以向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提出询问，</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应当及时做出答复，但答复的内容不得涉及商业秘密。</w:t>
      </w:r>
    </w:p>
    <w:p w14:paraId="4D73489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.质疑</w:t>
      </w:r>
    </w:p>
    <w:p w14:paraId="0651B12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.1谈判程序受《中华人民共和国政府采购法》和相关法律法规的约束，并受到严格的内部监督，以确保授予合同过程的公平公正。</w:t>
      </w:r>
    </w:p>
    <w:p w14:paraId="30B62F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.2供应商对竞争性谈判文件条款或商务、技术参数有异议的，应当在谈判前通过澄清或修改程序提出。</w:t>
      </w:r>
    </w:p>
    <w:p w14:paraId="2D9B3B5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.3供应商对采购文件在法定质疑期内一次性提出针对同一采购程序环节的质疑。</w:t>
      </w:r>
    </w:p>
    <w:p w14:paraId="7CDC2B7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.4供应商认为竞争性谈判文件、采购过程、成交结果使自己的合法权益受到损害的，可以在知道或者应知其权益受到损害之日起7个工作日内，以书面形式向采购人、采购代理机构提出质疑。</w:t>
      </w:r>
    </w:p>
    <w:p w14:paraId="5BF8226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.5潜在供应商已依法获取其可质疑的竞争性谈判文件的，可以对该文件提出质疑。对竞争性谈判文件提出质疑的，在获取竞争性谈判文件或者谈判公告期限届满之日起7个工作日内提出。</w:t>
      </w:r>
    </w:p>
    <w:p w14:paraId="55EE1D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.6质疑应当以书面形式向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提出，经法定代表人签字并加盖公章。</w:t>
      </w:r>
    </w:p>
    <w:p w14:paraId="2E9CD73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.7供应商提出质疑应当提交质疑函和必要的证明材料。质疑函应当包括以下主要内容：</w:t>
      </w:r>
    </w:p>
    <w:p w14:paraId="795A73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.7.1供应商的姓名或者名称、地址、邮编、联系人及联系电话；</w:t>
      </w:r>
    </w:p>
    <w:p w14:paraId="58F9BCD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.7.2质疑项目名称、项目编号、</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、包号；</w:t>
      </w:r>
    </w:p>
    <w:p w14:paraId="6FE5207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.7.3具体、明确的质疑事项和与质疑事项相关的请求；</w:t>
      </w:r>
    </w:p>
    <w:p w14:paraId="0D927D8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.7.4事实依据；</w:t>
      </w:r>
    </w:p>
    <w:p w14:paraId="67CD084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.7.5必要的法律依据；</w:t>
      </w:r>
    </w:p>
    <w:p w14:paraId="4C6E62D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.7.6提出质疑的日期。</w:t>
      </w:r>
    </w:p>
    <w:p w14:paraId="242AB4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供应商为自然人的，应当由本人签字；供应商为法人或者其他组织的，应当由法定代表人、主要负责人或者其授权代表签字或者盖章，并加盖公章。</w:t>
      </w:r>
    </w:p>
    <w:p w14:paraId="68156A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.8 质疑应按照“谁主张、谁举证”的原则，质疑书应当附相关证明材料。质疑材料应为简体中文，一式二份。</w:t>
      </w:r>
    </w:p>
    <w:p w14:paraId="4EBBF12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.9有下列情形之一的，属于无效质疑，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可不予受理：</w:t>
      </w:r>
    </w:p>
    <w:p w14:paraId="151BC99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.9.1未在有效期限内提出质疑的；</w:t>
      </w:r>
    </w:p>
    <w:p w14:paraId="1D7693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.9.2质疑未以书面形式提出的；</w:t>
      </w:r>
    </w:p>
    <w:p w14:paraId="211061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.9.3所提交材料未明示属于质疑材料的；</w:t>
      </w:r>
    </w:p>
    <w:p w14:paraId="3301288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.9.4质疑书没有法定代表人签章并加盖单位公章的；质疑书由参加采购项目的授权代表签署本人姓名或印盖本人姓名章，但没有法定代表人特别授权的；</w:t>
      </w:r>
    </w:p>
    <w:p w14:paraId="5BF3627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.9.5质疑书未提供有效联系人或联系方式的；</w:t>
      </w:r>
    </w:p>
    <w:p w14:paraId="59BEAD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.9.6质疑事项已经进入投诉或者行政复议或者诉讼程序的；</w:t>
      </w:r>
    </w:p>
    <w:p w14:paraId="4FC87CC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.9.7质疑书未附相关证明材料，被视为无有效证据支持的；</w:t>
      </w:r>
    </w:p>
    <w:p w14:paraId="2DA4E00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.9.8供应商对竞争性谈判文件条款或技术参数有异议，未在谈判前通过澄清或修改程序提出，并且供应商已经参与谈判，而于谈判后对竞争性谈判文件提出质疑的；</w:t>
      </w:r>
    </w:p>
    <w:p w14:paraId="54322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.9.9在提出本次质疑前半年内连续三次质疑而无事实依据的；</w:t>
      </w:r>
    </w:p>
    <w:p w14:paraId="6828A39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.9.10其它不符合受理条件的情形。</w:t>
      </w:r>
    </w:p>
    <w:p w14:paraId="5D5AE91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.10 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不得拒收质疑供应商在法定质疑期内发出的质疑函，应当在收到质疑函后7个工作日内做出答复，并以书面形式通知质疑供应商和其他有关供应商。</w:t>
      </w:r>
    </w:p>
    <w:p w14:paraId="1934A7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.11供应商对评审过程、中标结果提出质疑的，采购人、采购代理机构可以组织原谈判小组成员协助答复质疑。</w:t>
      </w:r>
    </w:p>
    <w:p w14:paraId="4A3F95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.12质疑答复应当包含以下内容：</w:t>
      </w:r>
    </w:p>
    <w:p w14:paraId="36E730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质疑供应商的姓名或者名称；收到质疑函的日期、质疑项目名称、项目编号及</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；质疑事项、质疑答复的具体内容、事实依据和法律依据；告知质疑供应商依法投诉的权利；质疑答复人名称；答复质疑的日期。质疑答复的内容不得涉及商业秘密。</w:t>
      </w:r>
    </w:p>
    <w:p w14:paraId="2410DAD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.13采购人、采购代理机构认为供应商质疑不成立，或者成立但未对成交结果构成影响的，继续开展采购活动；认为供应商质疑成立且影响或者可能影响成交结果的，按照下列情况处理：</w:t>
      </w:r>
    </w:p>
    <w:p w14:paraId="56D07C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.13.1对竞争性谈判文件提出的质疑，依法通过澄清或者修改可以继续开展谈判活动；否则应当修改竞争性谈判文件后重新开展活动。</w:t>
      </w:r>
    </w:p>
    <w:p w14:paraId="4C1E0C1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.13.2对谈判过程、成交结果提出的质疑，合格供应商符合法定数量时，可以从合格的成交候选人中另行确定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的，应当依法另行确定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；否则应当重新开展采购活动。</w:t>
      </w:r>
    </w:p>
    <w:p w14:paraId="74189F8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质疑答复导致成交结果改变的，采购或者采购代理机构应当将有关情况书面报告本机相关部门。</w:t>
      </w:r>
    </w:p>
    <w:p w14:paraId="727448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.14质疑供应商对采购人、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的答复不满意，或者</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未在规定的时间内做出答复的，可以在答复期满后15个工作日内向相关部门投诉。</w:t>
      </w:r>
    </w:p>
    <w:p w14:paraId="1A8D2F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.15接收质疑函的联系方式</w:t>
      </w:r>
    </w:p>
    <w:p w14:paraId="539A5B75">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联系单位：</w:t>
      </w:r>
      <w:r>
        <w:rPr>
          <w:rFonts w:hint="eastAsia" w:ascii="仿宋" w:hAnsi="仿宋" w:eastAsia="仿宋" w:cs="仿宋"/>
          <w:b w:val="0"/>
          <w:bCs w:val="0"/>
          <w:kern w:val="0"/>
          <w:sz w:val="24"/>
          <w:highlight w:val="none"/>
          <w:lang w:eastAsia="zh-CN"/>
        </w:rPr>
        <w:t>山西万通渊利企业管理咨询有限公司</w:t>
      </w:r>
    </w:p>
    <w:p w14:paraId="17D424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单位地址：山西省太原市太榆路迎宾汽车站山西汽运集团晋龙捷泰运输有限公司办公楼六层（办公）</w:t>
      </w:r>
    </w:p>
    <w:p w14:paraId="18B927B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联系电话：</w:t>
      </w:r>
      <w:r>
        <w:rPr>
          <w:rFonts w:hint="eastAsia" w:ascii="仿宋" w:hAnsi="仿宋" w:eastAsia="仿宋" w:cs="仿宋"/>
          <w:b w:val="0"/>
          <w:bCs w:val="0"/>
          <w:kern w:val="0"/>
          <w:sz w:val="24"/>
          <w:highlight w:val="none"/>
          <w:lang w:eastAsia="zh-CN"/>
        </w:rPr>
        <w:t>19035126791</w:t>
      </w:r>
    </w:p>
    <w:p w14:paraId="241AED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九、违规处罚</w:t>
      </w:r>
    </w:p>
    <w:p w14:paraId="207EB2B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37</w:t>
      </w:r>
      <w:r>
        <w:rPr>
          <w:rFonts w:hint="eastAsia" w:ascii="仿宋" w:hAnsi="仿宋" w:eastAsia="仿宋" w:cs="仿宋"/>
          <w:b/>
          <w:bCs/>
          <w:kern w:val="0"/>
          <w:sz w:val="24"/>
          <w:highlight w:val="none"/>
        </w:rPr>
        <w:t>.供应商有下列情形之一的，成交无效，供应商的谈判保证金将被没收，并可能被列入不良记录名单，同时</w:t>
      </w:r>
      <w:r>
        <w:rPr>
          <w:rFonts w:hint="eastAsia" w:ascii="仿宋" w:hAnsi="仿宋" w:eastAsia="仿宋" w:cs="仿宋"/>
          <w:b/>
          <w:bCs/>
          <w:kern w:val="0"/>
          <w:sz w:val="24"/>
          <w:highlight w:val="none"/>
          <w:lang w:eastAsia="zh-CN"/>
        </w:rPr>
        <w:t>采购代理机构</w:t>
      </w:r>
      <w:r>
        <w:rPr>
          <w:rFonts w:hint="eastAsia" w:ascii="仿宋" w:hAnsi="仿宋" w:eastAsia="仿宋" w:cs="仿宋"/>
          <w:b/>
          <w:bCs/>
          <w:kern w:val="0"/>
          <w:sz w:val="24"/>
          <w:highlight w:val="none"/>
        </w:rPr>
        <w:t>将提请相关部门，依据政府采购法律法规的规定作出处理。</w:t>
      </w:r>
    </w:p>
    <w:p w14:paraId="35A36C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.1提供虚假材料谋取成交的；</w:t>
      </w:r>
    </w:p>
    <w:p w14:paraId="7A56352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.2采取不正当手段诋毁、排挤其他供应商的；</w:t>
      </w:r>
    </w:p>
    <w:p w14:paraId="31E5C2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.3与采购人、其他供应商恶意串通的；</w:t>
      </w:r>
    </w:p>
    <w:p w14:paraId="4335974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.4公开报价后供应商撤回其报价的；</w:t>
      </w:r>
    </w:p>
    <w:p w14:paraId="6125AA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.5在谈判期间，影响</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或谈判小组的任何活动的；</w:t>
      </w:r>
    </w:p>
    <w:p w14:paraId="48B0A1E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.6成交后未按竞争性谈判文件要求签约或与采购人订立背离合同实质性内容的其它协议的；</w:t>
      </w:r>
    </w:p>
    <w:p w14:paraId="4AC72C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.7供应商未按竞争性谈判文件规定和合同约定履行义务的。</w:t>
      </w:r>
    </w:p>
    <w:p w14:paraId="0C8F8D5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.8法律法规规定的其它事项。</w:t>
      </w:r>
    </w:p>
    <w:p w14:paraId="2C0BD9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.9采购人、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和</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有《政府采购非招标采购方式管理办法》规定的违法行为情形的，按相关规定执行。</w:t>
      </w:r>
    </w:p>
    <w:p w14:paraId="7BB0F1B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十、政策性要求评审内容及标准</w:t>
      </w:r>
    </w:p>
    <w:p w14:paraId="642FF7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38</w:t>
      </w:r>
      <w:r>
        <w:rPr>
          <w:rFonts w:hint="eastAsia" w:ascii="仿宋" w:hAnsi="仿宋" w:eastAsia="仿宋" w:cs="仿宋"/>
          <w:b/>
          <w:bCs/>
          <w:kern w:val="0"/>
          <w:sz w:val="24"/>
          <w:highlight w:val="none"/>
        </w:rPr>
        <w:t>．政府采购政策要求</w:t>
      </w:r>
    </w:p>
    <w:p w14:paraId="65F53EC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w:t>
      </w:r>
      <w:r>
        <w:rPr>
          <w:rFonts w:hint="eastAsia" w:ascii="仿宋" w:hAnsi="仿宋" w:eastAsia="仿宋" w:cs="仿宋"/>
          <w:b w:val="0"/>
          <w:bCs w:val="0"/>
          <w:kern w:val="0"/>
          <w:sz w:val="24"/>
          <w:highlight w:val="none"/>
        </w:rPr>
        <w:t>1采购货物未特别注明“进口产品”字样的，均必须采购国产产品，即非“通过中国海关报关验放进入中国境内且产自关境外的产品”，投标货物各项技术标准必须符合国家强制性标准。</w:t>
      </w:r>
    </w:p>
    <w:p w14:paraId="7A27F6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38.2</w:t>
      </w:r>
      <w:r>
        <w:rPr>
          <w:rFonts w:hint="eastAsia" w:ascii="仿宋" w:hAnsi="仿宋" w:eastAsia="仿宋" w:cs="仿宋"/>
          <w:b w:val="0"/>
          <w:bCs w:val="0"/>
          <w:kern w:val="0"/>
          <w:sz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203D2A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38.3</w:t>
      </w:r>
      <w:r>
        <w:rPr>
          <w:rFonts w:hint="eastAsia" w:ascii="仿宋" w:hAnsi="仿宋" w:eastAsia="仿宋" w:cs="仿宋"/>
          <w:b w:val="0"/>
          <w:bCs w:val="0"/>
          <w:kern w:val="0"/>
          <w:sz w:val="24"/>
          <w:highlight w:val="none"/>
        </w:rPr>
        <w:t>采购项目中如含有计算机，必须预装正版操作系统软件产品；项目中所采购的其它软件必须为正版软件。</w:t>
      </w:r>
    </w:p>
    <w:p w14:paraId="5A4167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供应商参加本次投标活动，如涉及上述1-</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项要求，均应作出实质性响应，否则将导致投标无效。</w:t>
      </w:r>
    </w:p>
    <w:p w14:paraId="7B41D8C6">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采购标的的对应的中小企业划分标准所属行业：</w:t>
      </w:r>
      <w:r>
        <w:rPr>
          <w:rFonts w:hint="eastAsia" w:ascii="仿宋" w:hAnsi="仿宋" w:eastAsia="仿宋" w:cs="仿宋"/>
          <w:b w:val="0"/>
          <w:bCs w:val="0"/>
          <w:kern w:val="0"/>
          <w:sz w:val="24"/>
          <w:highlight w:val="none"/>
          <w:u w:val="single"/>
          <w:lang w:val="en-US" w:eastAsia="zh-CN"/>
        </w:rPr>
        <w:t>工业</w:t>
      </w:r>
      <w:r>
        <w:rPr>
          <w:rFonts w:hint="eastAsia" w:ascii="仿宋" w:hAnsi="仿宋" w:eastAsia="仿宋" w:cs="仿宋"/>
          <w:b w:val="0"/>
          <w:bCs w:val="0"/>
          <w:kern w:val="0"/>
          <w:sz w:val="24"/>
          <w:highlight w:val="none"/>
          <w:lang w:eastAsia="zh-CN"/>
        </w:rPr>
        <w:t>。</w:t>
      </w:r>
    </w:p>
    <w:p w14:paraId="78BD7E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eastAsia="zh-CN"/>
        </w:rPr>
        <w:t>根据《统计上大中小微型企业划分办法（2017）》的规定，</w:t>
      </w:r>
      <w:r>
        <w:rPr>
          <w:rFonts w:hint="eastAsia" w:ascii="仿宋" w:hAnsi="仿宋" w:eastAsia="仿宋" w:cs="仿宋"/>
          <w:b w:val="0"/>
          <w:bCs w:val="0"/>
          <w:kern w:val="0"/>
          <w:sz w:val="24"/>
          <w:highlight w:val="none"/>
        </w:rPr>
        <w:t>行业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90FEC2F">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kern w:val="0"/>
          <w:sz w:val="24"/>
          <w:highlight w:val="none"/>
        </w:rPr>
        <w:t>支持中小微企业参加本项目</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供应商</w:t>
      </w:r>
      <w:r>
        <w:rPr>
          <w:rFonts w:hint="eastAsia" w:ascii="仿宋" w:hAnsi="仿宋" w:eastAsia="仿宋" w:cs="仿宋"/>
          <w:b w:val="0"/>
          <w:bCs w:val="0"/>
          <w:kern w:val="0"/>
          <w:sz w:val="24"/>
          <w:highlight w:val="none"/>
        </w:rPr>
        <w:t>须按照财库〔2020〕46号“关于印发《政府采购促进中小企业发展管理办法》的通知”如实填写《中小企业声明函》。</w:t>
      </w:r>
      <w:r>
        <w:rPr>
          <w:rFonts w:hint="eastAsia" w:ascii="仿宋" w:hAnsi="仿宋" w:eastAsia="仿宋" w:cs="仿宋"/>
          <w:b w:val="0"/>
          <w:bCs w:val="0"/>
          <w:kern w:val="0"/>
          <w:sz w:val="24"/>
          <w:highlight w:val="none"/>
          <w:lang w:eastAsia="zh-CN"/>
        </w:rPr>
        <w:t>小微企业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413BD34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仿宋" w:hAnsi="仿宋" w:eastAsia="仿宋" w:cs="仿宋"/>
          <w:b w:val="0"/>
          <w:bCs w:val="0"/>
          <w:kern w:val="0"/>
          <w:sz w:val="24"/>
          <w:highlight w:val="none"/>
          <w:lang w:eastAsia="zh-CN"/>
        </w:rPr>
        <w:t>。</w:t>
      </w:r>
      <w:r>
        <w:rPr>
          <w:rFonts w:hint="eastAsia" w:ascii="仿宋" w:hAnsi="仿宋" w:eastAsia="仿宋" w:cs="仿宋"/>
          <w:sz w:val="24"/>
          <w:szCs w:val="24"/>
          <w:highlight w:val="none"/>
          <w:lang w:val="en-US" w:eastAsia="zh-CN"/>
        </w:rPr>
        <w:t>残疾人福利性单位参加本项目投标时，享受15%的价格折扣，用扣除后的价格参与评审。</w:t>
      </w:r>
    </w:p>
    <w:p w14:paraId="345C09A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注：残疾人福利性单位属于小型、微型企业的，不重复享受政策。</w:t>
      </w:r>
    </w:p>
    <w:p w14:paraId="288456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监狱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7938E73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注：1．监狱企业又属于小型、微型企业的，不重复享受政策。</w:t>
      </w:r>
    </w:p>
    <w:p w14:paraId="52CD0D18">
      <w:pPr>
        <w:tabs>
          <w:tab w:val="left" w:pos="567"/>
        </w:tabs>
        <w:snapToGrid w:val="0"/>
        <w:spacing w:line="360" w:lineRule="auto"/>
        <w:ind w:firstLine="960" w:firstLineChars="4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CC6A9B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联合体参加本项目投标：</w:t>
      </w:r>
    </w:p>
    <w:p w14:paraId="67C00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0%以上的，给予联合体5%价格扣除，用扣除后的价格参与评审。</w:t>
      </w:r>
    </w:p>
    <w:p w14:paraId="7FDB5276">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38.9创新产品参加本项目</w:t>
      </w:r>
    </w:p>
    <w:p w14:paraId="4FACA6F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供应商投提供创新产品或创新服务属于《山西省创新产品和服务推荐清单》中创新产品或创新服务的，对供应商的报价给予</w:t>
      </w:r>
      <w:r>
        <w:rPr>
          <w:rFonts w:hint="eastAsia" w:ascii="仿宋" w:hAnsi="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价格扣除，以折扣后的价格参与评审。</w:t>
      </w:r>
    </w:p>
    <w:p w14:paraId="44FC94A7">
      <w:pPr>
        <w:spacing w:line="360" w:lineRule="auto"/>
        <w:ind w:firstLine="480" w:firstLineChars="200"/>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38.10绿色采购</w:t>
      </w:r>
    </w:p>
    <w:p w14:paraId="5D0065A4">
      <w:pPr>
        <w:spacing w:line="360" w:lineRule="auto"/>
        <w:ind w:firstLine="480" w:firstLineChars="200"/>
        <w:outlineLvl w:val="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54F14637">
      <w:pPr>
        <w:spacing w:line="360" w:lineRule="auto"/>
        <w:ind w:firstLine="480" w:firstLineChars="200"/>
        <w:jc w:val="center"/>
        <w:outlineLvl w:val="0"/>
        <w:rPr>
          <w:rFonts w:hint="eastAsia" w:ascii="仿宋" w:hAnsi="仿宋" w:eastAsia="仿宋" w:cs="仿宋"/>
          <w:b w:val="0"/>
          <w:kern w:val="0"/>
          <w:sz w:val="24"/>
          <w:highlight w:val="none"/>
        </w:rPr>
      </w:pPr>
      <w:r>
        <w:rPr>
          <w:rFonts w:hint="eastAsia" w:ascii="仿宋" w:hAnsi="仿宋" w:eastAsia="仿宋" w:cs="仿宋"/>
          <w:b w:val="0"/>
          <w:bCs w:val="0"/>
          <w:kern w:val="0"/>
          <w:sz w:val="24"/>
          <w:highlight w:val="none"/>
        </w:rPr>
        <w:br w:type="page"/>
      </w:r>
      <w:bookmarkStart w:id="43" w:name="_Toc18195"/>
      <w:r>
        <w:rPr>
          <w:rFonts w:hint="eastAsia" w:ascii="仿宋" w:hAnsi="仿宋" w:eastAsia="仿宋" w:cs="仿宋"/>
          <w:b/>
          <w:kern w:val="2"/>
          <w:sz w:val="24"/>
          <w:szCs w:val="24"/>
          <w:highlight w:val="none"/>
          <w:lang w:val="en-US" w:eastAsia="zh-CN" w:bidi="ar-SA"/>
        </w:rPr>
        <w:t>第四部分  评审标准和方法</w:t>
      </w:r>
      <w:bookmarkEnd w:id="43"/>
    </w:p>
    <w:p w14:paraId="3F95D6FC">
      <w:pPr>
        <w:widowControl/>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62"/>
        <w:gridCol w:w="5213"/>
      </w:tblGrid>
      <w:tr w14:paraId="113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63CC4C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3262" w:type="dxa"/>
            <w:noWrap w:val="0"/>
            <w:vAlign w:val="center"/>
          </w:tcPr>
          <w:p w14:paraId="73E0DFD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c>
          <w:tcPr>
            <w:tcW w:w="5213" w:type="dxa"/>
            <w:noWrap w:val="0"/>
            <w:vAlign w:val="center"/>
          </w:tcPr>
          <w:p w14:paraId="28201C2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标准</w:t>
            </w:r>
          </w:p>
        </w:tc>
      </w:tr>
      <w:tr w14:paraId="6108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C18DC6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3262" w:type="dxa"/>
            <w:noWrap w:val="0"/>
            <w:vAlign w:val="center"/>
          </w:tcPr>
          <w:p w14:paraId="25A9DDB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5213" w:type="dxa"/>
            <w:noWrap w:val="0"/>
            <w:vAlign w:val="center"/>
          </w:tcPr>
          <w:p w14:paraId="0979C7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03C0C2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503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4AD825C">
            <w:pP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3262" w:type="dxa"/>
            <w:noWrap w:val="0"/>
            <w:vAlign w:val="center"/>
          </w:tcPr>
          <w:p w14:paraId="3C3A7D9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5213" w:type="dxa"/>
            <w:noWrap w:val="0"/>
            <w:vAlign w:val="center"/>
          </w:tcPr>
          <w:p w14:paraId="59613C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1264DCE3">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以上证明材料须符合要求、有效、完整。否则，响应无效。</w:t>
            </w:r>
          </w:p>
        </w:tc>
      </w:tr>
      <w:tr w14:paraId="471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856F79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3262" w:type="dxa"/>
            <w:noWrap w:val="0"/>
            <w:vAlign w:val="center"/>
          </w:tcPr>
          <w:p w14:paraId="1772BC6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5213" w:type="dxa"/>
            <w:noWrap w:val="0"/>
            <w:vAlign w:val="center"/>
          </w:tcPr>
          <w:p w14:paraId="6D7019B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456DEE1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236C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216DB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3262" w:type="dxa"/>
            <w:noWrap w:val="0"/>
            <w:vAlign w:val="center"/>
          </w:tcPr>
          <w:p w14:paraId="3AAE07D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5213" w:type="dxa"/>
            <w:noWrap w:val="0"/>
            <w:vAlign w:val="center"/>
          </w:tcPr>
          <w:p w14:paraId="3112908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228C8704">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以上证明材料须符合要求、有效、完整。否则，响应无效。</w:t>
            </w:r>
          </w:p>
        </w:tc>
      </w:tr>
      <w:tr w14:paraId="0E0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97658EA">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5</w:t>
            </w:r>
          </w:p>
        </w:tc>
        <w:tc>
          <w:tcPr>
            <w:tcW w:w="3262" w:type="dxa"/>
            <w:noWrap w:val="0"/>
            <w:vAlign w:val="center"/>
          </w:tcPr>
          <w:p w14:paraId="132124E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5213" w:type="dxa"/>
            <w:noWrap w:val="0"/>
            <w:vAlign w:val="center"/>
          </w:tcPr>
          <w:p w14:paraId="15F7558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5BE6C3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0CB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05CB25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6</w:t>
            </w:r>
          </w:p>
        </w:tc>
        <w:tc>
          <w:tcPr>
            <w:tcW w:w="3262" w:type="dxa"/>
            <w:noWrap w:val="0"/>
            <w:vAlign w:val="center"/>
          </w:tcPr>
          <w:p w14:paraId="338F0ECA">
            <w:pPr>
              <w:spacing w:line="360" w:lineRule="auto"/>
              <w:jc w:val="center"/>
              <w:rPr>
                <w:rFonts w:hint="eastAsia" w:ascii="仿宋" w:hAnsi="仿宋" w:eastAsia="仿宋" w:cs="仿宋"/>
                <w:sz w:val="24"/>
                <w:highlight w:val="none"/>
              </w:rPr>
            </w:pP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rPr>
              <w:t>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lang w:eastAsia="zh-CN"/>
              </w:rPr>
              <w:t>）</w:t>
            </w:r>
          </w:p>
        </w:tc>
        <w:tc>
          <w:tcPr>
            <w:tcW w:w="5213" w:type="dxa"/>
            <w:noWrap w:val="0"/>
            <w:vAlign w:val="center"/>
          </w:tcPr>
          <w:p w14:paraId="093039A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保证金按要求足额</w:t>
            </w:r>
            <w:r>
              <w:rPr>
                <w:rFonts w:hint="eastAsia" w:ascii="仿宋" w:hAnsi="仿宋" w:eastAsia="仿宋" w:cs="仿宋"/>
                <w:sz w:val="24"/>
                <w:highlight w:val="none"/>
                <w:lang w:val="en-US" w:eastAsia="zh-CN"/>
              </w:rPr>
              <w:t>交纳</w:t>
            </w:r>
            <w:r>
              <w:rPr>
                <w:rFonts w:hint="eastAsia" w:ascii="仿宋" w:hAnsi="仿宋" w:eastAsia="仿宋" w:cs="仿宋"/>
                <w:sz w:val="24"/>
                <w:highlight w:val="none"/>
              </w:rPr>
              <w:t>,基本存款账户开户许可证或基本账户信息函复印件清晰</w:t>
            </w:r>
            <w:r>
              <w:rPr>
                <w:rFonts w:hint="eastAsia" w:ascii="仿宋" w:hAnsi="仿宋" w:eastAsia="仿宋" w:cs="仿宋"/>
                <w:sz w:val="24"/>
                <w:highlight w:val="none"/>
                <w:lang w:eastAsia="zh-CN"/>
              </w:rPr>
              <w:t>或提供清晰、有效的保函。</w:t>
            </w:r>
            <w:r>
              <w:rPr>
                <w:rFonts w:hint="eastAsia" w:ascii="仿宋" w:hAnsi="仿宋" w:eastAsia="仿宋" w:cs="仿宋"/>
                <w:sz w:val="24"/>
                <w:highlight w:val="none"/>
              </w:rPr>
              <w:t>否则，响应无效。</w:t>
            </w:r>
          </w:p>
        </w:tc>
      </w:tr>
      <w:tr w14:paraId="6F8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32" w:type="dxa"/>
            <w:noWrap w:val="0"/>
            <w:vAlign w:val="center"/>
          </w:tcPr>
          <w:p w14:paraId="1F0337C1">
            <w:pPr>
              <w:tabs>
                <w:tab w:val="left" w:pos="540"/>
              </w:tabs>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3262" w:type="dxa"/>
            <w:noWrap w:val="0"/>
            <w:vAlign w:val="center"/>
          </w:tcPr>
          <w:p w14:paraId="7CDCAAF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供应商认为需要提供的其他资格证明文件（如有）</w:t>
            </w:r>
          </w:p>
        </w:tc>
        <w:tc>
          <w:tcPr>
            <w:tcW w:w="5213" w:type="dxa"/>
            <w:noWrap w:val="0"/>
            <w:vAlign w:val="center"/>
          </w:tcPr>
          <w:p w14:paraId="45F77B0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复印件清晰</w:t>
            </w:r>
            <w:r>
              <w:rPr>
                <w:rFonts w:hint="eastAsia" w:ascii="仿宋" w:hAnsi="仿宋" w:eastAsia="仿宋" w:cs="仿宋"/>
                <w:sz w:val="24"/>
                <w:highlight w:val="none"/>
                <w:lang w:eastAsia="zh-CN"/>
              </w:rPr>
              <w:t>有效。</w:t>
            </w:r>
            <w:r>
              <w:rPr>
                <w:rFonts w:hint="eastAsia" w:ascii="仿宋" w:hAnsi="仿宋" w:eastAsia="仿宋" w:cs="仿宋"/>
                <w:sz w:val="24"/>
                <w:highlight w:val="none"/>
              </w:rPr>
              <w:t>否则，响应无效。</w:t>
            </w:r>
          </w:p>
        </w:tc>
      </w:tr>
    </w:tbl>
    <w:p w14:paraId="5A01E632">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说明：</w:t>
      </w:r>
    </w:p>
    <w:p w14:paraId="23AB266D">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1.提供的复印件不清晰、无法辨认或内容不符合规定，该项内容将视为无效。</w:t>
      </w:r>
    </w:p>
    <w:p w14:paraId="51A551C4">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2.以上资格证明文件若有一项未提供或无效或不符合谈判文件要求，将导致其不具备谈判资格，且不允许在谈判中补正。</w:t>
      </w:r>
    </w:p>
    <w:p w14:paraId="5CF3D5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、除上述内容外，供应商提供的其他材料，不作为资格审查的内容。</w:t>
      </w:r>
    </w:p>
    <w:p w14:paraId="2E99C970">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二、符合性审查的内容及标准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74"/>
        <w:gridCol w:w="5920"/>
      </w:tblGrid>
      <w:tr w14:paraId="4F1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5E832E91">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序号</w:t>
            </w:r>
          </w:p>
        </w:tc>
        <w:tc>
          <w:tcPr>
            <w:tcW w:w="2574" w:type="dxa"/>
            <w:noWrap w:val="0"/>
            <w:vAlign w:val="center"/>
          </w:tcPr>
          <w:p w14:paraId="0A0C011C">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内容</w:t>
            </w:r>
          </w:p>
        </w:tc>
        <w:tc>
          <w:tcPr>
            <w:tcW w:w="5920" w:type="dxa"/>
            <w:noWrap w:val="0"/>
            <w:vAlign w:val="center"/>
          </w:tcPr>
          <w:p w14:paraId="0B5F36FE">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标准</w:t>
            </w:r>
          </w:p>
        </w:tc>
      </w:tr>
      <w:tr w14:paraId="276A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0F3FDE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74" w:type="dxa"/>
            <w:noWrap w:val="0"/>
            <w:vAlign w:val="center"/>
          </w:tcPr>
          <w:p w14:paraId="4F435A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谈判函</w:t>
            </w:r>
          </w:p>
        </w:tc>
        <w:tc>
          <w:tcPr>
            <w:tcW w:w="5920" w:type="dxa"/>
            <w:noWrap w:val="0"/>
            <w:vAlign w:val="center"/>
          </w:tcPr>
          <w:p w14:paraId="38DB1AD3">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4C7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2" w:type="dxa"/>
            <w:noWrap w:val="0"/>
            <w:vAlign w:val="center"/>
          </w:tcPr>
          <w:p w14:paraId="0759290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p>
        </w:tc>
        <w:tc>
          <w:tcPr>
            <w:tcW w:w="2574" w:type="dxa"/>
            <w:noWrap w:val="0"/>
            <w:vAlign w:val="center"/>
          </w:tcPr>
          <w:p w14:paraId="4136B01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w:t>
            </w:r>
          </w:p>
        </w:tc>
        <w:tc>
          <w:tcPr>
            <w:tcW w:w="5920" w:type="dxa"/>
            <w:noWrap w:val="0"/>
            <w:vAlign w:val="center"/>
          </w:tcPr>
          <w:p w14:paraId="6CCF26C2">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6AF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13810F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w:t>
            </w:r>
          </w:p>
        </w:tc>
        <w:tc>
          <w:tcPr>
            <w:tcW w:w="2574" w:type="dxa"/>
            <w:noWrap w:val="0"/>
            <w:vAlign w:val="center"/>
          </w:tcPr>
          <w:p w14:paraId="4256DA6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法定代表人授权委托书</w:t>
            </w:r>
          </w:p>
        </w:tc>
        <w:tc>
          <w:tcPr>
            <w:tcW w:w="5920" w:type="dxa"/>
            <w:noWrap w:val="0"/>
            <w:vAlign w:val="center"/>
          </w:tcPr>
          <w:p w14:paraId="11D7958D">
            <w:pPr>
              <w:spacing w:line="360" w:lineRule="auto"/>
              <w:jc w:val="both"/>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185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47C766F0">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2574" w:type="dxa"/>
            <w:noWrap w:val="0"/>
            <w:vAlign w:val="center"/>
          </w:tcPr>
          <w:p w14:paraId="32318D5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商务偏离表</w:t>
            </w:r>
          </w:p>
        </w:tc>
        <w:tc>
          <w:tcPr>
            <w:tcW w:w="5920" w:type="dxa"/>
            <w:noWrap w:val="0"/>
            <w:vAlign w:val="center"/>
          </w:tcPr>
          <w:p w14:paraId="54F589B2">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对照本文件第五部分的</w:t>
            </w:r>
            <w:r>
              <w:rPr>
                <w:rFonts w:hint="eastAsia" w:ascii="仿宋" w:hAnsi="仿宋" w:eastAsia="仿宋" w:cs="仿宋"/>
                <w:color w:val="000000"/>
                <w:kern w:val="0"/>
                <w:sz w:val="24"/>
                <w:szCs w:val="24"/>
                <w:highlight w:val="none"/>
                <w:lang w:eastAsia="zh-CN"/>
              </w:rPr>
              <w:t>商务要求</w:t>
            </w:r>
            <w:r>
              <w:rPr>
                <w:rFonts w:hint="eastAsia" w:ascii="仿宋" w:hAnsi="仿宋" w:eastAsia="仿宋" w:cs="仿宋"/>
                <w:sz w:val="24"/>
                <w:szCs w:val="24"/>
                <w:highlight w:val="none"/>
              </w:rPr>
              <w:t>和响应文件的响应情况进行审查，没有做出实质性响应的做无效投标处理。</w:t>
            </w:r>
          </w:p>
        </w:tc>
      </w:tr>
      <w:tr w14:paraId="582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2" w:type="dxa"/>
            <w:noWrap w:val="0"/>
            <w:vAlign w:val="center"/>
          </w:tcPr>
          <w:p w14:paraId="381803A7">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5</w:t>
            </w:r>
          </w:p>
        </w:tc>
        <w:tc>
          <w:tcPr>
            <w:tcW w:w="2574" w:type="dxa"/>
            <w:noWrap w:val="0"/>
            <w:vAlign w:val="center"/>
          </w:tcPr>
          <w:p w14:paraId="79EB55F4">
            <w:pPr>
              <w:snapToGrid w:val="0"/>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报价一览表</w:t>
            </w:r>
          </w:p>
        </w:tc>
        <w:tc>
          <w:tcPr>
            <w:tcW w:w="5920" w:type="dxa"/>
            <w:noWrap w:val="0"/>
            <w:vAlign w:val="center"/>
          </w:tcPr>
          <w:p w14:paraId="30DA781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794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33437924">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6</w:t>
            </w:r>
          </w:p>
        </w:tc>
        <w:tc>
          <w:tcPr>
            <w:tcW w:w="2574" w:type="dxa"/>
            <w:noWrap w:val="0"/>
            <w:vAlign w:val="center"/>
          </w:tcPr>
          <w:p w14:paraId="08602D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响应文件的报价</w:t>
            </w:r>
          </w:p>
        </w:tc>
        <w:tc>
          <w:tcPr>
            <w:tcW w:w="5920" w:type="dxa"/>
            <w:noWrap w:val="0"/>
            <w:vAlign w:val="center"/>
          </w:tcPr>
          <w:p w14:paraId="264ABFDF">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1、所有谈判报价均以人民币/元为计算单位。</w:t>
            </w:r>
          </w:p>
          <w:p w14:paraId="5C7D72E7">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2、不接受可选择或可调整的谈判报价。</w:t>
            </w:r>
          </w:p>
          <w:p w14:paraId="33F75C15">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3、不接受超出本项目预算金额或最高限价的报价</w:t>
            </w:r>
          </w:p>
        </w:tc>
      </w:tr>
      <w:tr w14:paraId="5B1D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177ECC45">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7</w:t>
            </w:r>
          </w:p>
        </w:tc>
        <w:tc>
          <w:tcPr>
            <w:tcW w:w="2574" w:type="dxa"/>
            <w:noWrap w:val="0"/>
            <w:vAlign w:val="center"/>
          </w:tcPr>
          <w:p w14:paraId="27F2B44A">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技术偏离表</w:t>
            </w:r>
          </w:p>
        </w:tc>
        <w:tc>
          <w:tcPr>
            <w:tcW w:w="5920" w:type="dxa"/>
            <w:noWrap w:val="0"/>
            <w:vAlign w:val="center"/>
          </w:tcPr>
          <w:p w14:paraId="76A2624B">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和响应文件的响应情况进行审查；或谈判小组共同认定属于响应文件存在重大偏离的情况进行审查，没有做出实质性、符合性响应的做无效投标处理。</w:t>
            </w:r>
          </w:p>
        </w:tc>
      </w:tr>
      <w:tr w14:paraId="64A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72E520F9">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8</w:t>
            </w:r>
          </w:p>
        </w:tc>
        <w:tc>
          <w:tcPr>
            <w:tcW w:w="2574" w:type="dxa"/>
            <w:noWrap w:val="0"/>
            <w:vAlign w:val="center"/>
          </w:tcPr>
          <w:p w14:paraId="74A5E101">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响应文件有效期</w:t>
            </w:r>
          </w:p>
        </w:tc>
        <w:tc>
          <w:tcPr>
            <w:tcW w:w="5920" w:type="dxa"/>
            <w:noWrap w:val="0"/>
            <w:vAlign w:val="center"/>
          </w:tcPr>
          <w:p w14:paraId="34FDB375">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响应文件有效期是否满足谈判文件要求</w:t>
            </w:r>
          </w:p>
        </w:tc>
      </w:tr>
      <w:tr w14:paraId="256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52" w:type="dxa"/>
            <w:noWrap w:val="0"/>
            <w:vAlign w:val="center"/>
          </w:tcPr>
          <w:p w14:paraId="612313A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574" w:type="dxa"/>
            <w:noWrap w:val="0"/>
            <w:vAlign w:val="center"/>
          </w:tcPr>
          <w:p w14:paraId="63E2AACA">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其他</w:t>
            </w:r>
          </w:p>
        </w:tc>
        <w:tc>
          <w:tcPr>
            <w:tcW w:w="5920" w:type="dxa"/>
            <w:noWrap w:val="0"/>
            <w:vAlign w:val="center"/>
          </w:tcPr>
          <w:p w14:paraId="074C8062">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供应商符合</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文件第二部分供应商须知前附表</w:t>
            </w:r>
            <w:r>
              <w:rPr>
                <w:rFonts w:hint="eastAsia" w:ascii="仿宋" w:hAnsi="仿宋" w:eastAsia="仿宋" w:cs="仿宋"/>
                <w:sz w:val="24"/>
                <w:highlight w:val="none"/>
                <w:lang w:eastAsia="zh-CN"/>
              </w:rPr>
              <w:t>和第三部分供应商须知</w:t>
            </w:r>
            <w:r>
              <w:rPr>
                <w:rFonts w:hint="eastAsia" w:ascii="仿宋" w:hAnsi="仿宋" w:eastAsia="仿宋" w:cs="仿宋"/>
                <w:sz w:val="24"/>
                <w:highlight w:val="none"/>
              </w:rPr>
              <w:t>的规定；</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没有超出</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文件可接受的偏差范围；响应文件没附有</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文件不能接受的条件</w:t>
            </w:r>
          </w:p>
        </w:tc>
      </w:tr>
    </w:tbl>
    <w:p w14:paraId="2ED023BE">
      <w:pPr>
        <w:snapToGrid w:val="0"/>
        <w:spacing w:line="360" w:lineRule="auto"/>
        <w:ind w:left="1080" w:hanging="1080" w:hangingChars="450"/>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3FA65C4">
      <w:pPr>
        <w:pStyle w:val="21"/>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1.符合性审查的内容，经谈判小组共同认定没有做出实质性、符合性响应的，将导致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w:t>
      </w:r>
    </w:p>
    <w:p w14:paraId="4DC6C2A9">
      <w:pPr>
        <w:pStyle w:val="21"/>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w:t>
      </w:r>
      <w:r>
        <w:rPr>
          <w:rFonts w:hint="eastAsia" w:ascii="仿宋" w:hAnsi="仿宋" w:eastAsia="仿宋" w:cs="仿宋"/>
          <w:sz w:val="24"/>
          <w:szCs w:val="24"/>
          <w:highlight w:val="none"/>
          <w:lang w:eastAsia="zh-CN"/>
        </w:rPr>
        <w:t>谈判小组</w:t>
      </w:r>
      <w:r>
        <w:rPr>
          <w:rFonts w:hint="eastAsia" w:ascii="仿宋" w:hAnsi="仿宋" w:eastAsia="仿宋" w:cs="仿宋"/>
          <w:sz w:val="24"/>
          <w:szCs w:val="24"/>
          <w:highlight w:val="none"/>
        </w:rPr>
        <w:t>要遵循</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文件第三部分</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条规定的原则。</w:t>
      </w:r>
    </w:p>
    <w:p w14:paraId="763ADA8B">
      <w:pPr>
        <w:pStyle w:val="21"/>
        <w:snapToGri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14:paraId="0F7C7B43">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4E63FCA7">
      <w:pPr>
        <w:pStyle w:val="21"/>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2．采购货物中“</w:t>
      </w: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仿宋" w:hAnsi="仿宋" w:eastAsia="仿宋" w:cs="仿宋"/>
          <w:sz w:val="24"/>
          <w:szCs w:val="24"/>
          <w:highlight w:val="none"/>
        </w:rPr>
        <w:t>”为政府强制采购的节能产品，必须</w:t>
      </w:r>
      <w:r>
        <w:rPr>
          <w:rFonts w:hint="eastAsia" w:ascii="仿宋" w:hAnsi="仿宋" w:eastAsia="仿宋" w:cs="仿宋"/>
          <w:sz w:val="24"/>
          <w:highlight w:val="none"/>
        </w:rPr>
        <w:t>提供所投产品获得国家确定的认证机构出具的、处于有效期之内的节能产品认证证书。</w:t>
      </w:r>
    </w:p>
    <w:p w14:paraId="794D97EC">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3．</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投报节能产品政府采购品目清单中强制性采购产品以外的其它节能产品，且</w:t>
      </w:r>
      <w:r>
        <w:rPr>
          <w:rFonts w:hint="eastAsia" w:ascii="仿宋" w:hAnsi="仿宋" w:eastAsia="仿宋" w:cs="仿宋"/>
          <w:sz w:val="24"/>
          <w:highlight w:val="none"/>
        </w:rPr>
        <w:t>提供所投产品获得国家确定的认证机构出具的、处于有效期之内的节能产品认证证书的</w:t>
      </w:r>
      <w:r>
        <w:rPr>
          <w:rFonts w:hint="eastAsia" w:ascii="仿宋" w:hAnsi="仿宋" w:eastAsia="仿宋" w:cs="仿宋"/>
          <w:sz w:val="24"/>
          <w:szCs w:val="28"/>
          <w:highlight w:val="none"/>
        </w:rPr>
        <w:t>，将给予适当加分；投报环境标志产品政府采购品目清单中的产品，且</w:t>
      </w:r>
      <w:r>
        <w:rPr>
          <w:rFonts w:hint="eastAsia" w:ascii="仿宋" w:hAnsi="仿宋" w:eastAsia="仿宋" w:cs="仿宋"/>
          <w:sz w:val="24"/>
          <w:highlight w:val="none"/>
        </w:rPr>
        <w:t>提供所投产品获得国家确定的认证机构出具的、处于有效期之内的环境标志产品认证证书的</w:t>
      </w:r>
      <w:r>
        <w:rPr>
          <w:rFonts w:hint="eastAsia" w:ascii="仿宋" w:hAnsi="仿宋" w:eastAsia="仿宋" w:cs="仿宋"/>
          <w:sz w:val="24"/>
          <w:szCs w:val="28"/>
          <w:highlight w:val="none"/>
        </w:rPr>
        <w:t>，将给予适当加分。</w:t>
      </w:r>
    </w:p>
    <w:p w14:paraId="2F3074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4．承诺所</w:t>
      </w:r>
      <w:r>
        <w:rPr>
          <w:rFonts w:hint="eastAsia" w:ascii="仿宋" w:hAnsi="仿宋" w:eastAsia="仿宋" w:cs="仿宋"/>
          <w:sz w:val="24"/>
          <w:highlight w:val="none"/>
        </w:rPr>
        <w:t>投标货物中如含有计算机，必须预装正版操作系统软件产品；项目中所采购的其它软件必须为正版软件。</w:t>
      </w:r>
    </w:p>
    <w:p w14:paraId="16DA710B">
      <w:pPr>
        <w:pStyle w:val="21"/>
        <w:snapToGrid w:val="0"/>
        <w:spacing w:line="360" w:lineRule="auto"/>
        <w:ind w:firstLine="480" w:firstLineChars="200"/>
        <w:jc w:val="left"/>
        <w:rPr>
          <w:rFonts w:hint="eastAsia" w:ascii="仿宋" w:hAnsi="仿宋" w:eastAsia="仿宋" w:cs="仿宋"/>
          <w:b w:val="0"/>
          <w:bCs/>
          <w:sz w:val="24"/>
          <w:szCs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b w:val="0"/>
          <w:bCs/>
          <w:sz w:val="24"/>
          <w:szCs w:val="24"/>
          <w:highlight w:val="none"/>
        </w:rPr>
        <w:t>小型、微型企业参加本项目的评审标准（</w:t>
      </w:r>
      <w:r>
        <w:rPr>
          <w:rFonts w:hint="eastAsia" w:ascii="仿宋" w:hAnsi="仿宋" w:eastAsia="仿宋" w:cs="仿宋"/>
          <w:b w:val="0"/>
          <w:bCs/>
          <w:sz w:val="24"/>
          <w:szCs w:val="24"/>
          <w:highlight w:val="none"/>
          <w:lang w:val="en-US" w:eastAsia="zh-CN"/>
        </w:rPr>
        <w:t>如</w:t>
      </w:r>
      <w:r>
        <w:rPr>
          <w:rFonts w:hint="eastAsia" w:ascii="仿宋" w:hAnsi="仿宋" w:eastAsia="仿宋" w:cs="仿宋"/>
          <w:b w:val="0"/>
          <w:bCs/>
          <w:sz w:val="24"/>
          <w:szCs w:val="24"/>
          <w:highlight w:val="none"/>
        </w:rPr>
        <w:t>本项目属于专门面向中小型企业的项目，不执行以下价格扣除）</w:t>
      </w:r>
    </w:p>
    <w:p w14:paraId="2337124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B7D18A3">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（2）.由小微企业提供货物的，对其报价享受15%的价格折扣，用扣除后价格参加评审。</w:t>
      </w:r>
    </w:p>
    <w:p w14:paraId="5A2B0F0E">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5BDEBC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kern w:val="0"/>
          <w:sz w:val="24"/>
          <w:highlight w:val="none"/>
          <w:lang w:val="en-US" w:eastAsia="zh-CN"/>
        </w:rPr>
        <w:t>（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1C67195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kern w:val="0"/>
          <w:sz w:val="24"/>
          <w:highlight w:val="none"/>
          <w:lang w:val="en-US" w:eastAsia="zh-CN"/>
        </w:rPr>
        <w:t>残疾人福利性单位参加本项目的评审标准（如本项目属于专门面向中小型企业的项目，不执行以下价格扣除）：</w:t>
      </w:r>
    </w:p>
    <w:p w14:paraId="31D6533D">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（1）.须根据财库【2017】141号《关于促进残疾人就业政府采购政策的通知》的要求，如实填写残疾人福利性单位声明函，残疾人福利性单位参加本项目谈判时，享受15%的价格折扣，用扣除后的价格参与评审。</w:t>
      </w:r>
    </w:p>
    <w:p w14:paraId="7C6D7E08">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（2）.享受政府采购支持政策的残疾人福利性单位应当同时满足以下条件：</w:t>
      </w:r>
    </w:p>
    <w:p w14:paraId="3B178681">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A.安置的残疾人占本单位在职职工人数的比例不低于25%（含25%），并且安置的残疾人人数不少于10人（含10人）；</w:t>
      </w:r>
    </w:p>
    <w:p w14:paraId="30F7A4E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B.依法与安置的每位残疾人签订了一年以上（含一年）的劳动合同或服务协议；</w:t>
      </w:r>
    </w:p>
    <w:p w14:paraId="3C390D60">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C.为安置的每位残疾人按月足额缴纳了基本养老保险、基本医疗保险、失业保险、工伤保险和生育保险等社会保险费；</w:t>
      </w:r>
    </w:p>
    <w:p w14:paraId="56C8EC6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D.通过银行等金融机构向安置的每位残疾人，按月支付了不低于单位所在区县适用的经省级人民政府批准的月最低工资标准的工资；</w:t>
      </w:r>
    </w:p>
    <w:p w14:paraId="3477442A">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7A491AA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CACD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（3）.供应商提供的《残疾人福利性单位声明函》与事实不符的，依照《政府采购法》第七十七条第一款的规定追究法律责任。</w:t>
      </w:r>
    </w:p>
    <w:p w14:paraId="25538EEC">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AE1B304">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7.监狱企业参加本项目谈判的要求（本项目属于专门面向中小型企业的项目，不执行以下价格扣除）：</w:t>
      </w:r>
    </w:p>
    <w:p w14:paraId="18BD1D9E">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监狱企业参加谈判视同小微企业，需提供由省级以上监狱管理局或戒毒管理局出具的属于监狱企业的证明文件。</w:t>
      </w:r>
    </w:p>
    <w:p w14:paraId="6D1A0E0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8.本项目涉及创新产品、创新服务的评审标准：</w:t>
      </w:r>
    </w:p>
    <w:p w14:paraId="411AA92A">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（1）供应商投提供服务属于《山西省创新产品和服务推荐清单》中创新产品或创新服务的，在评审时，其报价享受5%的价格折扣，以折扣后的价格参与评审。</w:t>
      </w:r>
    </w:p>
    <w:p w14:paraId="1B0968E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（2）供应商提供创新服务的，应在响应文件中填写《创新服务明细表》，并提供《山西省创新产品和服务推荐清单》。</w:t>
      </w:r>
    </w:p>
    <w:p w14:paraId="3BADA0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（3）创新服务的价格折扣政策可与其他政府采购政策叠加。</w:t>
      </w:r>
    </w:p>
    <w:p w14:paraId="74BA3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9.本国产品的评审标准</w:t>
      </w:r>
    </w:p>
    <w:p w14:paraId="4AADF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9.1本国产品标准主要包括以下三方面内容：</w:t>
      </w:r>
    </w:p>
    <w:p w14:paraId="4796C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0D8C7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中国境内生产的组件成本占比要求。产品在中国境内生产的组件成本占产品总成本的比重应当达到规定比例。</w:t>
      </w:r>
    </w:p>
    <w:p w14:paraId="4C110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271BC6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E70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58F75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10.根据《关于推动政府采购异常低价问题的通知》(财库(2026)2号)相关规定，本项目在评审环节将严格按照文件要求执行，出现下列情形之一的评审委员会应当启动异常低价投标（响应）审查程序：</w:t>
      </w:r>
    </w:p>
    <w:p w14:paraId="4C5D14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537E71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76DFCF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3.投标（响应）报价低于采购项目最高限价45%的，即投标（响应）报价&lt;采购项目最高限价×45%；</w:t>
      </w:r>
    </w:p>
    <w:p w14:paraId="501B1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4.评审委员会基于专业判断，认为供应商报价过低，有可能影响产品质量或者不能诚信履约的其他情形。</w:t>
      </w:r>
    </w:p>
    <w:p w14:paraId="2202A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采购人可以结合具体项目实际情况，提高上述第1项至第3项中启动异常低价投标(响应)审查的数值标准，但是最高不得超过65%。</w:t>
      </w:r>
    </w:p>
    <w:p w14:paraId="329CF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相关法律法规对供应商报价有规定的，从其规定。</w:t>
      </w:r>
    </w:p>
    <w:p w14:paraId="6C2C3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11.绿色采购</w:t>
      </w:r>
    </w:p>
    <w:p w14:paraId="02C9ED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24"/>
          <w:highlight w:val="none"/>
        </w:rPr>
      </w:pPr>
      <w:r>
        <w:rPr>
          <w:rFonts w:hint="eastAsia" w:ascii="仿宋" w:hAnsi="仿宋" w:eastAsia="仿宋" w:cs="仿宋"/>
          <w:b w:val="0"/>
          <w:bCs/>
          <w:sz w:val="24"/>
          <w:highlight w:val="none"/>
          <w:lang w:val="en-US" w:eastAsia="zh-CN"/>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r>
        <w:rPr>
          <w:rFonts w:hint="eastAsia" w:ascii="仿宋" w:hAnsi="仿宋" w:eastAsia="仿宋" w:cs="仿宋"/>
          <w:b/>
          <w:sz w:val="24"/>
          <w:highlight w:val="none"/>
        </w:rPr>
        <w:t>四、无效报价的情形</w:t>
      </w:r>
    </w:p>
    <w:p w14:paraId="17154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24"/>
          <w:highlight w:val="none"/>
        </w:rPr>
        <w:t>供应商的响应文件未通过资格性、符合性审查的，不得参加谈判。</w:t>
      </w:r>
    </w:p>
    <w:p w14:paraId="6FC97A95">
      <w:pPr>
        <w:pStyle w:val="2"/>
        <w:bidi w:val="0"/>
        <w:rPr>
          <w:rFonts w:hint="eastAsia" w:ascii="仿宋" w:hAnsi="仿宋" w:eastAsia="仿宋" w:cs="仿宋"/>
          <w:b w:val="0"/>
          <w:kern w:val="0"/>
          <w:sz w:val="30"/>
          <w:szCs w:val="30"/>
          <w:highlight w:val="none"/>
        </w:rPr>
      </w:pPr>
      <w:r>
        <w:rPr>
          <w:rFonts w:hint="eastAsia" w:ascii="仿宋" w:hAnsi="仿宋" w:eastAsia="仿宋" w:cs="仿宋"/>
          <w:b w:val="0"/>
          <w:kern w:val="0"/>
          <w:sz w:val="30"/>
          <w:szCs w:val="30"/>
          <w:highlight w:val="none"/>
        </w:rPr>
        <w:br w:type="page"/>
      </w:r>
      <w:bookmarkStart w:id="44" w:name="_Toc5774"/>
      <w:r>
        <w:rPr>
          <w:rFonts w:hint="eastAsia" w:ascii="仿宋" w:hAnsi="仿宋" w:eastAsia="仿宋" w:cs="仿宋"/>
          <w:b/>
          <w:kern w:val="2"/>
          <w:sz w:val="24"/>
          <w:szCs w:val="24"/>
          <w:highlight w:val="none"/>
          <w:lang w:val="en-US" w:eastAsia="zh-CN" w:bidi="ar-SA"/>
        </w:rPr>
        <w:t>第五部分  商务、技术要求</w:t>
      </w:r>
      <w:bookmarkEnd w:id="44"/>
    </w:p>
    <w:p w14:paraId="57F73577">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一</w:t>
      </w:r>
      <w:r>
        <w:rPr>
          <w:rFonts w:hint="eastAsia" w:ascii="仿宋" w:hAnsi="仿宋" w:eastAsia="仿宋" w:cs="仿宋"/>
          <w:b/>
          <w:bCs/>
          <w:kern w:val="0"/>
          <w:sz w:val="24"/>
          <w:highlight w:val="none"/>
        </w:rPr>
        <w:t>、商务要求</w:t>
      </w:r>
    </w:p>
    <w:p w14:paraId="37AF6A9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1.验收标准：</w:t>
      </w:r>
    </w:p>
    <w:p w14:paraId="012A430F">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供应商提供的所有货物应具有全新的、完好的标准包装，采购人和成交供应商负责对设备的数量进行清点，并出具有验收人和单位负责人签字的验收单。如遇交付前已被拆封接收方有权拒绝接收或要求更换，因此造成的一切损失由供应商承担。</w:t>
      </w:r>
    </w:p>
    <w:p w14:paraId="6D70A8E7">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本项目由采购人和成交供应商组成验收小组，按照《山西大学货物和服务采购履约验收管理办法》，严格按照采购合同中的设备清单及技术参数进行验收，验收合格后采购人和成交供应商双方签署验收报告。</w:t>
      </w:r>
    </w:p>
    <w:p w14:paraId="41C46C5B">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（3）如验收达不到规定要求，给采购人造成损失的，供应商承担一切责任。</w:t>
      </w:r>
    </w:p>
    <w:p w14:paraId="4F2A4A07">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eastAsia="zh-CN"/>
        </w:rPr>
        <w:t>合同履行期限</w:t>
      </w:r>
      <w:r>
        <w:rPr>
          <w:rFonts w:hint="eastAsia" w:ascii="仿宋" w:hAnsi="仿宋" w:eastAsia="仿宋" w:cs="仿宋"/>
          <w:kern w:val="0"/>
          <w:sz w:val="24"/>
          <w:highlight w:val="none"/>
        </w:rPr>
        <w:t>：</w:t>
      </w:r>
      <w:r>
        <w:rPr>
          <w:rFonts w:hint="eastAsia" w:ascii="仿宋" w:hAnsi="仿宋" w:eastAsia="仿宋" w:cs="仿宋"/>
          <w:i w:val="0"/>
          <w:iCs w:val="0"/>
          <w:caps w:val="0"/>
          <w:color w:val="000000"/>
          <w:spacing w:val="0"/>
          <w:sz w:val="24"/>
          <w:szCs w:val="24"/>
          <w:highlight w:val="none"/>
          <w:shd w:val="clear" w:color="auto" w:fill="FFFFFF"/>
          <w:lang w:eastAsia="zh-CN"/>
        </w:rPr>
        <w:t>自合同签订之日起150天内，供方应向需方完成供货、安装调试、质量验收等相关交货手续。</w:t>
      </w:r>
    </w:p>
    <w:p w14:paraId="7D7510D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3.交货地点：</w:t>
      </w:r>
      <w:r>
        <w:rPr>
          <w:rFonts w:hint="eastAsia" w:ascii="仿宋" w:hAnsi="仿宋" w:eastAsia="仿宋" w:cs="仿宋"/>
          <w:sz w:val="24"/>
          <w:szCs w:val="24"/>
          <w:highlight w:val="none"/>
          <w:lang w:val="en-US" w:eastAsia="zh-CN"/>
        </w:rPr>
        <w:t>山西大学校内指定地点。</w:t>
      </w:r>
    </w:p>
    <w:p w14:paraId="7B84D3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4.付款方式：经需方质量验收合格后30日内支付全部货款。</w:t>
      </w:r>
    </w:p>
    <w:p w14:paraId="143D977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5.履约保证金：签订合同前供方应向需方交付合同总金额5%作为合同履约保证金，质量验收合格一年后无质量问题无息退还。</w:t>
      </w:r>
    </w:p>
    <w:p w14:paraId="1EE4B54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6.质保期限：验收合格后1年。</w:t>
      </w:r>
    </w:p>
    <w:p w14:paraId="2D1D2CE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7.质量标准：符合国家及行业相关质量标准并通过采购人验收。</w:t>
      </w:r>
    </w:p>
    <w:p w14:paraId="3679EA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8.服务要求：</w:t>
      </w:r>
    </w:p>
    <w:p w14:paraId="2A898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（1）供应商送货上门、安装、调试并经采购人验收合格。</w:t>
      </w:r>
    </w:p>
    <w:p w14:paraId="15E70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（2）验收合格后质保1年（产品质保期内随机标准易损件、备品备件和维修专用工具的报价应包含在投标总价内）；</w:t>
      </w:r>
    </w:p>
    <w:p w14:paraId="23752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质保期自本项目终验之日起计算。</w:t>
      </w:r>
    </w:p>
    <w:p w14:paraId="1BD25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（3）供应商需提供完善的售后服务方案，包括售后维护服务、技术服务、升级服务、应急处置等内容。</w:t>
      </w:r>
    </w:p>
    <w:p w14:paraId="067C0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（4）服务响应时间：提供7×24小时热线技术服务，接到用户报修电话后2小时内响应，12小时内维修工程师到达维修现场，质保期内无偿提供配套设备保障设备正常运行，最长不超过48小时到达现场。</w:t>
      </w:r>
    </w:p>
    <w:p w14:paraId="5E80B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（5）质保期内，非因操作不当造成需更换的零配件及货物由成交供应商负责包修、包换。</w:t>
      </w:r>
    </w:p>
    <w:p w14:paraId="6C1DE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（6）质保期结束后，供应商仍应对货物提供终身维修服务，更换配件时只能收取配件的成本费。</w:t>
      </w:r>
    </w:p>
    <w:p w14:paraId="6A3D3188">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ascii="仿宋" w:hAnsi="仿宋" w:eastAsia="仿宋" w:cs="仿宋"/>
          <w:b/>
          <w:bCs/>
          <w:kern w:val="0"/>
          <w:sz w:val="24"/>
          <w:highlight w:val="none"/>
          <w:lang w:val="en-US" w:eastAsia="zh-CN"/>
        </w:rPr>
        <w:t>二、技术要求</w:t>
      </w:r>
    </w:p>
    <w:p w14:paraId="550AE64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需结合本项目特点，应向采购人提供相应培训，直至采购人相关操作人员完全熟练掌握。培训地点和具体时间由采购人与供应商协商指定。需针对本项目制定详细的培训方案，包括培训计划、培训方式、培训内容、培训目标等内容。</w:t>
      </w:r>
    </w:p>
    <w:p w14:paraId="77E45B6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kern w:val="0"/>
          <w:sz w:val="24"/>
          <w:highlight w:val="none"/>
          <w:lang w:val="en-US" w:eastAsia="zh-CN"/>
        </w:rPr>
        <w:t>*提供完善的</w:t>
      </w:r>
      <w:r>
        <w:rPr>
          <w:rFonts w:hint="eastAsia" w:ascii="仿宋" w:hAnsi="仿宋" w:eastAsia="仿宋" w:cs="仿宋"/>
          <w:b w:val="0"/>
          <w:bCs w:val="0"/>
          <w:kern w:val="0"/>
          <w:sz w:val="24"/>
          <w:highlight w:val="none"/>
        </w:rPr>
        <w:t>针对本项目的技术方案</w:t>
      </w:r>
      <w:r>
        <w:rPr>
          <w:rFonts w:hint="eastAsia" w:ascii="仿宋" w:hAnsi="仿宋" w:eastAsia="仿宋" w:cs="仿宋"/>
          <w:b w:val="0"/>
          <w:bCs w:val="0"/>
          <w:kern w:val="0"/>
          <w:sz w:val="24"/>
          <w:highlight w:val="none"/>
          <w:lang w:val="en-US" w:eastAsia="zh-CN"/>
        </w:rPr>
        <w:t>，包括供货实施方案、质量保障措施、项目实施进度及交付保障措施、安装调试组织方案、技术支持团队、针对项目突发事件的应急处理方案等及供应商需承诺对本项目实施过程中收集和接触到的相关资料及信息严格进</w:t>
      </w:r>
      <w:r>
        <w:rPr>
          <w:rFonts w:hint="eastAsia" w:ascii="仿宋" w:hAnsi="仿宋" w:eastAsia="仿宋" w:cs="仿宋"/>
          <w:b w:val="0"/>
          <w:bCs w:val="0"/>
          <w:color w:val="auto"/>
          <w:kern w:val="0"/>
          <w:sz w:val="24"/>
          <w:highlight w:val="none"/>
          <w:lang w:val="en-US" w:eastAsia="zh-CN"/>
        </w:rPr>
        <w:t>行保密，并提供完善的保密管理制度。</w:t>
      </w:r>
    </w:p>
    <w:p w14:paraId="56FB876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2.货物产品技术描述</w:t>
      </w:r>
    </w:p>
    <w:p w14:paraId="7EDD47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2.1按照技术需求书中的要求，供应商在响应文件中对所投货物的名称、品牌、生产厂家、产地、主要技术性能指标等方面情况提供详细的具有法律效力的技术资料；</w:t>
      </w:r>
    </w:p>
    <w:p w14:paraId="1D9E0A7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2.2供应商在响应文件中要对投标货物主要技术指标和运行性能进行详细描述，并提供能够证明投标货物符合竞争性谈判文件的规定技术要求与投标货物型号一致的如产品手册/产品介绍/产品说明书或其他材料。</w:t>
      </w:r>
    </w:p>
    <w:p w14:paraId="5E5C6B66">
      <w:pPr>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br w:type="page"/>
      </w:r>
    </w:p>
    <w:p w14:paraId="3CB94A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3.技术参数</w:t>
      </w:r>
    </w:p>
    <w:tbl>
      <w:tblPr>
        <w:tblStyle w:val="15"/>
        <w:tblpPr w:leftFromText="180" w:rightFromText="180" w:vertAnchor="text" w:horzAnchor="page" w:tblpXSpec="center" w:tblpY="26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7"/>
        <w:gridCol w:w="910"/>
        <w:gridCol w:w="859"/>
        <w:gridCol w:w="1405"/>
        <w:gridCol w:w="2887"/>
        <w:gridCol w:w="861"/>
      </w:tblGrid>
      <w:tr w14:paraId="5A2D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1" w:type="dxa"/>
            <w:vAlign w:val="center"/>
          </w:tcPr>
          <w:p w14:paraId="0068A656">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包号</w:t>
            </w:r>
          </w:p>
        </w:tc>
        <w:tc>
          <w:tcPr>
            <w:tcW w:w="1617" w:type="dxa"/>
            <w:vAlign w:val="center"/>
          </w:tcPr>
          <w:p w14:paraId="045E851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品目（设备）名称</w:t>
            </w:r>
          </w:p>
        </w:tc>
        <w:tc>
          <w:tcPr>
            <w:tcW w:w="910" w:type="dxa"/>
            <w:vAlign w:val="center"/>
          </w:tcPr>
          <w:p w14:paraId="741B15D1">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数量</w:t>
            </w:r>
          </w:p>
        </w:tc>
        <w:tc>
          <w:tcPr>
            <w:tcW w:w="859" w:type="dxa"/>
            <w:vAlign w:val="center"/>
          </w:tcPr>
          <w:p w14:paraId="21B8152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单位</w:t>
            </w:r>
          </w:p>
        </w:tc>
        <w:tc>
          <w:tcPr>
            <w:tcW w:w="1405" w:type="dxa"/>
            <w:vAlign w:val="center"/>
          </w:tcPr>
          <w:p w14:paraId="5125B8D5">
            <w:pPr>
              <w:snapToGrid w:val="0"/>
              <w:spacing w:line="240" w:lineRule="atLeas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预算金额（元）</w:t>
            </w:r>
          </w:p>
        </w:tc>
        <w:tc>
          <w:tcPr>
            <w:tcW w:w="2887" w:type="dxa"/>
            <w:vAlign w:val="center"/>
          </w:tcPr>
          <w:p w14:paraId="6EEBB7D5">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规格型号及配置技术参数</w:t>
            </w:r>
          </w:p>
        </w:tc>
        <w:tc>
          <w:tcPr>
            <w:tcW w:w="861" w:type="dxa"/>
            <w:vAlign w:val="center"/>
          </w:tcPr>
          <w:p w14:paraId="087C5CC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备注</w:t>
            </w:r>
          </w:p>
        </w:tc>
      </w:tr>
      <w:tr w14:paraId="2CE7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1" w:type="dxa"/>
            <w:vAlign w:val="center"/>
          </w:tcPr>
          <w:p w14:paraId="72917FB4">
            <w:pPr>
              <w:snapToGrid w:val="0"/>
              <w:spacing w:line="240" w:lineRule="atLeast"/>
              <w:jc w:val="center"/>
              <w:rPr>
                <w:rFonts w:hint="eastAsia" w:ascii="仿宋" w:hAnsi="仿宋" w:eastAsia="仿宋"/>
                <w:sz w:val="24"/>
                <w:szCs w:val="24"/>
              </w:rPr>
            </w:pPr>
            <w:r>
              <w:rPr>
                <w:rFonts w:ascii="仿宋" w:hAnsi="仿宋" w:eastAsia="仿宋"/>
                <w:sz w:val="24"/>
                <w:szCs w:val="24"/>
              </w:rPr>
              <w:t>包一</w:t>
            </w:r>
          </w:p>
        </w:tc>
        <w:tc>
          <w:tcPr>
            <w:tcW w:w="1617" w:type="dxa"/>
            <w:vAlign w:val="center"/>
          </w:tcPr>
          <w:p w14:paraId="7F64CE66">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飞秒瞬态吸收光谱仪</w:t>
            </w:r>
          </w:p>
        </w:tc>
        <w:tc>
          <w:tcPr>
            <w:tcW w:w="910" w:type="dxa"/>
            <w:vAlign w:val="center"/>
          </w:tcPr>
          <w:p w14:paraId="31A44EEC">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859" w:type="dxa"/>
            <w:vAlign w:val="center"/>
          </w:tcPr>
          <w:p w14:paraId="5D8D97F8">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405" w:type="dxa"/>
            <w:vAlign w:val="center"/>
          </w:tcPr>
          <w:p w14:paraId="7550DC8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3250000</w:t>
            </w:r>
          </w:p>
        </w:tc>
        <w:tc>
          <w:tcPr>
            <w:tcW w:w="2887" w:type="dxa"/>
            <w:vAlign w:val="center"/>
          </w:tcPr>
          <w:p w14:paraId="591C87C9">
            <w:pPr>
              <w:snapToGrid w:val="0"/>
              <w:spacing w:line="240" w:lineRule="atLeast"/>
              <w:rPr>
                <w:rFonts w:hint="eastAsia" w:ascii="仿宋" w:hAnsi="仿宋" w:eastAsia="仿宋"/>
                <w:sz w:val="24"/>
                <w:szCs w:val="24"/>
              </w:rPr>
            </w:pPr>
            <w:r>
              <w:rPr>
                <w:rFonts w:hint="eastAsia" w:ascii="仿宋" w:hAnsi="仿宋" w:eastAsia="仿宋"/>
                <w:sz w:val="24"/>
                <w:szCs w:val="24"/>
              </w:rPr>
              <w:t>一、飞秒激光光源 ；</w:t>
            </w:r>
          </w:p>
          <w:p w14:paraId="7DCF47F8">
            <w:pPr>
              <w:snapToGrid w:val="0"/>
              <w:spacing w:line="240" w:lineRule="atLeast"/>
              <w:rPr>
                <w:rFonts w:hint="eastAsia" w:ascii="仿宋" w:hAnsi="仿宋" w:eastAsia="仿宋"/>
                <w:sz w:val="24"/>
                <w:szCs w:val="24"/>
              </w:rPr>
            </w:pPr>
            <w:r>
              <w:rPr>
                <w:rFonts w:hint="eastAsia"/>
              </w:rPr>
              <w:t>*</w:t>
            </w:r>
            <w:r>
              <w:rPr>
                <w:rFonts w:hint="eastAsia" w:ascii="仿宋" w:hAnsi="仿宋" w:eastAsia="仿宋"/>
                <w:sz w:val="24"/>
                <w:szCs w:val="24"/>
              </w:rPr>
              <w:t>1.1中心波长：1030±10nm；</w:t>
            </w:r>
          </w:p>
          <w:p w14:paraId="612C9BAD">
            <w:pPr>
              <w:snapToGrid w:val="0"/>
              <w:spacing w:line="240" w:lineRule="atLeast"/>
              <w:rPr>
                <w:rFonts w:hint="eastAsia" w:ascii="仿宋" w:hAnsi="仿宋" w:eastAsia="仿宋"/>
                <w:sz w:val="24"/>
                <w:szCs w:val="24"/>
              </w:rPr>
            </w:pPr>
            <w:r>
              <w:rPr>
                <w:rFonts w:hint="eastAsia" w:ascii="仿宋" w:hAnsi="仿宋" w:eastAsia="仿宋"/>
                <w:sz w:val="24"/>
                <w:szCs w:val="24"/>
              </w:rPr>
              <w:t>1.2脉宽：在290fs-10ps范围内可调；</w:t>
            </w:r>
          </w:p>
          <w:p w14:paraId="3F85703C">
            <w:pPr>
              <w:snapToGrid w:val="0"/>
              <w:spacing w:line="240" w:lineRule="atLeast"/>
              <w:rPr>
                <w:rFonts w:hint="eastAsia" w:ascii="仿宋" w:hAnsi="仿宋" w:eastAsia="仿宋"/>
                <w:sz w:val="24"/>
                <w:szCs w:val="24"/>
              </w:rPr>
            </w:pPr>
            <w:r>
              <w:rPr>
                <w:rFonts w:hint="eastAsia" w:ascii="仿宋" w:hAnsi="仿宋" w:eastAsia="仿宋"/>
                <w:sz w:val="24"/>
                <w:szCs w:val="24"/>
              </w:rPr>
              <w:t>1.3最大单脉冲能量：≥0.2mJ；</w:t>
            </w:r>
          </w:p>
          <w:p w14:paraId="158C351D">
            <w:pPr>
              <w:snapToGrid w:val="0"/>
              <w:spacing w:line="240" w:lineRule="atLeast"/>
              <w:rPr>
                <w:rFonts w:hint="eastAsia" w:ascii="仿宋" w:hAnsi="仿宋" w:eastAsia="仿宋"/>
                <w:sz w:val="24"/>
                <w:szCs w:val="24"/>
              </w:rPr>
            </w:pPr>
            <w:r>
              <w:rPr>
                <w:rFonts w:hint="eastAsia" w:ascii="仿宋" w:hAnsi="仿宋" w:eastAsia="仿宋"/>
                <w:sz w:val="24"/>
                <w:szCs w:val="24"/>
              </w:rPr>
              <w:t>1.4激光器输出功率稳定性（≥100 小时）：≤ 0.5 % rms</w:t>
            </w:r>
          </w:p>
          <w:p w14:paraId="67589124">
            <w:pPr>
              <w:snapToGrid w:val="0"/>
              <w:spacing w:line="240" w:lineRule="atLeast"/>
              <w:rPr>
                <w:rFonts w:hint="eastAsia" w:ascii="仿宋" w:hAnsi="仿宋" w:eastAsia="仿宋"/>
                <w:sz w:val="24"/>
                <w:szCs w:val="24"/>
              </w:rPr>
            </w:pPr>
            <w:r>
              <w:rPr>
                <w:rFonts w:hint="eastAsia" w:ascii="仿宋" w:hAnsi="仿宋" w:eastAsia="仿宋"/>
                <w:sz w:val="24"/>
                <w:szCs w:val="24"/>
              </w:rPr>
              <w:t xml:space="preserve">1.5光束指向稳定性：≤20 </w:t>
            </w:r>
            <w:r>
              <w:rPr>
                <w:rFonts w:ascii="Calibri" w:hAnsi="Calibri" w:eastAsia="仿宋" w:cs="Calibri"/>
                <w:sz w:val="24"/>
                <w:szCs w:val="24"/>
              </w:rPr>
              <w:t>µ</w:t>
            </w:r>
            <w:r>
              <w:rPr>
                <w:rFonts w:hint="eastAsia" w:ascii="仿宋" w:hAnsi="仿宋" w:eastAsia="仿宋"/>
                <w:sz w:val="24"/>
                <w:szCs w:val="24"/>
              </w:rPr>
              <w:t>rad/°C</w:t>
            </w:r>
          </w:p>
          <w:p w14:paraId="6FA53547">
            <w:pPr>
              <w:snapToGrid w:val="0"/>
              <w:spacing w:line="240" w:lineRule="atLeast"/>
              <w:rPr>
                <w:rFonts w:hint="eastAsia" w:ascii="仿宋" w:hAnsi="仿宋" w:eastAsia="仿宋"/>
                <w:sz w:val="24"/>
                <w:szCs w:val="24"/>
              </w:rPr>
            </w:pPr>
            <w:r>
              <w:rPr>
                <w:rFonts w:hint="eastAsia" w:ascii="仿宋" w:hAnsi="仿宋" w:eastAsia="仿宋"/>
                <w:sz w:val="24"/>
                <w:szCs w:val="24"/>
              </w:rPr>
              <w:t>1.6光束质量：M2≤1.2</w:t>
            </w:r>
          </w:p>
          <w:p w14:paraId="4B2FAD04">
            <w:pPr>
              <w:snapToGrid w:val="0"/>
              <w:spacing w:line="240" w:lineRule="atLeast"/>
              <w:rPr>
                <w:rFonts w:hint="eastAsia" w:ascii="仿宋" w:hAnsi="仿宋" w:eastAsia="仿宋"/>
                <w:sz w:val="24"/>
                <w:szCs w:val="24"/>
              </w:rPr>
            </w:pPr>
            <w:r>
              <w:rPr>
                <w:rFonts w:hint="eastAsia"/>
              </w:rPr>
              <w:t>*</w:t>
            </w:r>
            <w:r>
              <w:rPr>
                <w:rFonts w:hint="eastAsia" w:ascii="仿宋" w:hAnsi="仿宋" w:eastAsia="仿宋"/>
                <w:sz w:val="24"/>
                <w:szCs w:val="24"/>
              </w:rPr>
              <w:t xml:space="preserve">1.7波长调谐范围: 630-1030nm(信号光), 1030-2600nm(闲频光)，315-630nm(紫外扩展)； </w:t>
            </w:r>
          </w:p>
          <w:p w14:paraId="50C31C47">
            <w:pPr>
              <w:snapToGrid w:val="0"/>
              <w:spacing w:line="240" w:lineRule="atLeast"/>
              <w:rPr>
                <w:rFonts w:hint="eastAsia" w:ascii="仿宋" w:hAnsi="仿宋" w:eastAsia="仿宋"/>
                <w:sz w:val="24"/>
                <w:szCs w:val="24"/>
              </w:rPr>
            </w:pPr>
            <w:r>
              <w:rPr>
                <w:rFonts w:hint="eastAsia" w:ascii="仿宋" w:hAnsi="仿宋" w:eastAsia="仿宋"/>
                <w:sz w:val="24"/>
                <w:szCs w:val="24"/>
              </w:rPr>
              <w:t>1.8峰值转换效率：≥9%(信号光)；≥4%(闲频光)；</w:t>
            </w:r>
          </w:p>
          <w:p w14:paraId="36E49F98">
            <w:pPr>
              <w:snapToGrid w:val="0"/>
              <w:spacing w:line="240" w:lineRule="atLeast"/>
              <w:rPr>
                <w:rFonts w:hint="eastAsia" w:ascii="仿宋" w:hAnsi="仿宋" w:eastAsia="仿宋"/>
                <w:sz w:val="24"/>
                <w:szCs w:val="24"/>
              </w:rPr>
            </w:pPr>
            <w:r>
              <w:rPr>
                <w:rFonts w:hint="eastAsia" w:ascii="仿宋" w:hAnsi="仿宋" w:eastAsia="仿宋"/>
                <w:sz w:val="24"/>
                <w:szCs w:val="24"/>
              </w:rPr>
              <w:t>1.9波长调协模块功率稳定性（≥8小时）：≤2%rms@800nm；</w:t>
            </w:r>
          </w:p>
          <w:p w14:paraId="7C191B5D">
            <w:pPr>
              <w:snapToGrid w:val="0"/>
              <w:spacing w:line="240" w:lineRule="atLeast"/>
              <w:rPr>
                <w:rFonts w:hint="eastAsia" w:ascii="仿宋" w:hAnsi="仿宋" w:eastAsia="仿宋"/>
                <w:sz w:val="24"/>
                <w:szCs w:val="24"/>
              </w:rPr>
            </w:pPr>
            <w:r>
              <w:rPr>
                <w:rFonts w:hint="eastAsia" w:ascii="仿宋" w:hAnsi="仿宋" w:eastAsia="仿宋"/>
                <w:sz w:val="24"/>
                <w:szCs w:val="24"/>
              </w:rPr>
              <w:t>二、瞬态吸收光谱系统</w:t>
            </w:r>
          </w:p>
          <w:p w14:paraId="3F043CF7">
            <w:pPr>
              <w:snapToGrid w:val="0"/>
              <w:spacing w:line="240" w:lineRule="atLeast"/>
              <w:rPr>
                <w:rFonts w:hint="eastAsia" w:ascii="仿宋" w:hAnsi="仿宋" w:eastAsia="仿宋"/>
                <w:sz w:val="24"/>
                <w:szCs w:val="24"/>
              </w:rPr>
            </w:pPr>
            <w:r>
              <w:rPr>
                <w:rFonts w:hint="eastAsia" w:ascii="仿宋" w:hAnsi="仿宋" w:eastAsia="仿宋"/>
                <w:sz w:val="24"/>
                <w:szCs w:val="24"/>
              </w:rPr>
              <w:t xml:space="preserve">超快瞬态吸收光谱系统主机，包含探测器、光谱仪、电动Berek补偿器、电动样品移动器、电动中性密度滤光片等 </w:t>
            </w:r>
          </w:p>
          <w:p w14:paraId="7A849F24">
            <w:pPr>
              <w:snapToGrid w:val="0"/>
              <w:spacing w:line="240" w:lineRule="atLeast"/>
              <w:rPr>
                <w:rFonts w:hint="eastAsia" w:ascii="仿宋" w:hAnsi="仿宋" w:eastAsia="仿宋"/>
                <w:sz w:val="24"/>
                <w:szCs w:val="24"/>
              </w:rPr>
            </w:pPr>
            <w:r>
              <w:rPr>
                <w:rFonts w:hint="eastAsia" w:ascii="仿宋" w:hAnsi="仿宋" w:eastAsia="仿宋"/>
                <w:sz w:val="24"/>
                <w:szCs w:val="24"/>
              </w:rPr>
              <w:t>2.1探测光谱范围：350-1600nm；</w:t>
            </w:r>
          </w:p>
          <w:p w14:paraId="06516F19">
            <w:pPr>
              <w:snapToGrid w:val="0"/>
              <w:spacing w:line="240" w:lineRule="atLeast"/>
              <w:rPr>
                <w:rFonts w:hint="eastAsia" w:ascii="仿宋" w:hAnsi="仿宋" w:eastAsia="仿宋"/>
                <w:sz w:val="24"/>
                <w:szCs w:val="24"/>
              </w:rPr>
            </w:pPr>
            <w:r>
              <w:rPr>
                <w:rFonts w:hint="eastAsia" w:ascii="仿宋" w:hAnsi="仿宋" w:eastAsia="仿宋"/>
                <w:sz w:val="24"/>
                <w:szCs w:val="24"/>
              </w:rPr>
              <w:t>2.2时间分辨率：≤激光脉宽或更窄；</w:t>
            </w:r>
          </w:p>
          <w:p w14:paraId="6627EDE5">
            <w:pPr>
              <w:snapToGrid w:val="0"/>
              <w:spacing w:line="240" w:lineRule="atLeast"/>
              <w:rPr>
                <w:rFonts w:hint="eastAsia" w:ascii="仿宋" w:hAnsi="仿宋" w:eastAsia="仿宋"/>
                <w:sz w:val="24"/>
                <w:szCs w:val="24"/>
              </w:rPr>
            </w:pPr>
            <w:r>
              <w:rPr>
                <w:rFonts w:hint="eastAsia" w:ascii="仿宋" w:hAnsi="仿宋" w:eastAsia="仿宋"/>
                <w:sz w:val="24"/>
                <w:szCs w:val="24"/>
              </w:rPr>
              <w:t>2.3延迟范围：≤8ns；</w:t>
            </w:r>
          </w:p>
          <w:p w14:paraId="17EEBFE2">
            <w:pPr>
              <w:snapToGrid w:val="0"/>
              <w:spacing w:line="240" w:lineRule="atLeast"/>
              <w:rPr>
                <w:rFonts w:hint="eastAsia" w:ascii="仿宋" w:hAnsi="仿宋" w:eastAsia="仿宋"/>
                <w:sz w:val="24"/>
                <w:szCs w:val="24"/>
              </w:rPr>
            </w:pPr>
            <w:r>
              <w:rPr>
                <w:rFonts w:hint="eastAsia" w:ascii="仿宋" w:hAnsi="仿宋" w:eastAsia="仿宋"/>
                <w:sz w:val="24"/>
                <w:szCs w:val="24"/>
              </w:rPr>
              <w:t>2.4检测模式：透射/反射模式可切换</w:t>
            </w:r>
          </w:p>
          <w:p w14:paraId="7085CC6C">
            <w:pPr>
              <w:snapToGrid w:val="0"/>
              <w:spacing w:line="240" w:lineRule="atLeast"/>
              <w:rPr>
                <w:rFonts w:hint="eastAsia" w:ascii="仿宋" w:hAnsi="仿宋" w:eastAsia="仿宋"/>
                <w:sz w:val="24"/>
                <w:szCs w:val="24"/>
              </w:rPr>
            </w:pPr>
            <w:r>
              <w:rPr>
                <w:rFonts w:hint="eastAsia" w:ascii="仿宋" w:hAnsi="仿宋" w:eastAsia="仿宋"/>
                <w:sz w:val="24"/>
                <w:szCs w:val="24"/>
              </w:rPr>
              <w:t>2.5泵浦光外置主动补偿反射镜组和位置追踪，保持光路不变，补偿长时间漂移；</w:t>
            </w:r>
          </w:p>
          <w:p w14:paraId="78335C15">
            <w:pPr>
              <w:snapToGrid w:val="0"/>
              <w:spacing w:line="240" w:lineRule="atLeast"/>
              <w:rPr>
                <w:rFonts w:hint="eastAsia" w:ascii="仿宋" w:hAnsi="仿宋" w:eastAsia="仿宋"/>
                <w:sz w:val="24"/>
                <w:szCs w:val="24"/>
              </w:rPr>
            </w:pPr>
            <w:r>
              <w:rPr>
                <w:rFonts w:hint="eastAsia" w:ascii="仿宋" w:hAnsi="仿宋" w:eastAsia="仿宋"/>
                <w:sz w:val="24"/>
                <w:szCs w:val="24"/>
              </w:rPr>
              <w:t>2.6扩展纳秒TA模块</w:t>
            </w:r>
          </w:p>
        </w:tc>
        <w:tc>
          <w:tcPr>
            <w:tcW w:w="861" w:type="dxa"/>
            <w:vAlign w:val="center"/>
          </w:tcPr>
          <w:p w14:paraId="724FC9C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国产</w:t>
            </w:r>
          </w:p>
        </w:tc>
      </w:tr>
    </w:tbl>
    <w:p w14:paraId="20DD54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注：1、本项目技术参数前加“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”为主要技术指标，须完全响应，否则导致投标无效，技术参数前未加“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”的为一般技术指标，允许有负偏离，负偏离不得超过5项，否则导致投标无效；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须提供证明材料。</w:t>
      </w:r>
    </w:p>
    <w:p w14:paraId="74C43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2、以上数据均为参数，如出现品牌、型号等排斥潜在供应商信息不得作为排斥供应商的理由，应采用同等性能或以上性能的产品。</w:t>
      </w:r>
    </w:p>
    <w:p w14:paraId="359F3B72">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仿宋" w:hAnsi="仿宋" w:eastAsia="仿宋" w:cs="仿宋"/>
          <w:sz w:val="36"/>
          <w:szCs w:val="36"/>
          <w:highlight w:val="none"/>
        </w:rPr>
      </w:pPr>
      <w:bookmarkStart w:id="45" w:name="_Toc466533588"/>
      <w:r>
        <w:rPr>
          <w:rFonts w:hint="eastAsia" w:ascii="仿宋" w:hAnsi="仿宋" w:eastAsia="仿宋" w:cs="仿宋"/>
          <w:sz w:val="36"/>
          <w:szCs w:val="36"/>
          <w:highlight w:val="none"/>
        </w:rPr>
        <w:br w:type="page"/>
      </w:r>
    </w:p>
    <w:p w14:paraId="5D0B0B48">
      <w:pPr>
        <w:pStyle w:val="5"/>
        <w:rPr>
          <w:rFonts w:hint="eastAsia" w:ascii="仿宋" w:hAnsi="仿宋" w:eastAsia="仿宋" w:cs="仿宋"/>
          <w:sz w:val="36"/>
          <w:szCs w:val="36"/>
          <w:highlight w:val="none"/>
        </w:rPr>
      </w:pPr>
    </w:p>
    <w:p w14:paraId="604EA721">
      <w:pPr>
        <w:rPr>
          <w:rFonts w:hint="eastAsia" w:ascii="仿宋" w:hAnsi="仿宋" w:eastAsia="仿宋" w:cs="仿宋"/>
          <w:sz w:val="36"/>
          <w:szCs w:val="36"/>
          <w:highlight w:val="none"/>
        </w:rPr>
      </w:pPr>
    </w:p>
    <w:p w14:paraId="5A01E429">
      <w:pPr>
        <w:pStyle w:val="5"/>
        <w:rPr>
          <w:rFonts w:hint="eastAsia" w:ascii="仿宋" w:hAnsi="仿宋" w:eastAsia="仿宋" w:cs="仿宋"/>
          <w:sz w:val="36"/>
          <w:szCs w:val="36"/>
          <w:highlight w:val="none"/>
        </w:rPr>
      </w:pPr>
    </w:p>
    <w:p w14:paraId="1F9309AE">
      <w:pPr>
        <w:rPr>
          <w:rFonts w:hint="eastAsia" w:ascii="仿宋" w:hAnsi="仿宋" w:eastAsia="仿宋" w:cs="仿宋"/>
          <w:sz w:val="36"/>
          <w:szCs w:val="36"/>
          <w:highlight w:val="none"/>
        </w:rPr>
      </w:pPr>
    </w:p>
    <w:p w14:paraId="185E04AB">
      <w:pPr>
        <w:pStyle w:val="5"/>
        <w:rPr>
          <w:rFonts w:hint="eastAsia" w:ascii="仿宋" w:hAnsi="仿宋" w:eastAsia="仿宋" w:cs="仿宋"/>
          <w:sz w:val="36"/>
          <w:szCs w:val="36"/>
          <w:highlight w:val="none"/>
        </w:rPr>
      </w:pPr>
    </w:p>
    <w:p w14:paraId="36D493D8">
      <w:pPr>
        <w:rPr>
          <w:rFonts w:hint="eastAsia" w:ascii="仿宋" w:hAnsi="仿宋" w:eastAsia="仿宋" w:cs="仿宋"/>
          <w:sz w:val="36"/>
          <w:szCs w:val="36"/>
          <w:highlight w:val="none"/>
        </w:rPr>
      </w:pPr>
    </w:p>
    <w:p w14:paraId="5BBAA2B3">
      <w:pPr>
        <w:pStyle w:val="5"/>
        <w:rPr>
          <w:rFonts w:hint="eastAsia" w:ascii="仿宋" w:hAnsi="仿宋" w:eastAsia="仿宋" w:cs="仿宋"/>
          <w:highlight w:val="none"/>
        </w:rPr>
      </w:pPr>
    </w:p>
    <w:p w14:paraId="3B518400">
      <w:pPr>
        <w:pStyle w:val="5"/>
        <w:rPr>
          <w:rFonts w:hint="eastAsia" w:ascii="仿宋" w:hAnsi="仿宋" w:eastAsia="仿宋" w:cs="仿宋"/>
          <w:sz w:val="36"/>
          <w:szCs w:val="36"/>
          <w:highlight w:val="none"/>
        </w:rPr>
      </w:pPr>
    </w:p>
    <w:p w14:paraId="5FA1D455">
      <w:pPr>
        <w:rPr>
          <w:rFonts w:hint="eastAsia" w:ascii="仿宋" w:hAnsi="仿宋" w:eastAsia="仿宋" w:cs="仿宋"/>
          <w:highlight w:val="none"/>
        </w:rPr>
      </w:pPr>
    </w:p>
    <w:bookmarkEnd w:id="45"/>
    <w:p w14:paraId="6707B035">
      <w:pPr>
        <w:pStyle w:val="2"/>
        <w:bidi w:val="0"/>
        <w:rPr>
          <w:rFonts w:hint="eastAsia"/>
          <w:highlight w:val="none"/>
          <w:lang w:val="en-US" w:eastAsia="zh-CN"/>
        </w:rPr>
      </w:pPr>
      <w:bookmarkStart w:id="46" w:name="_Toc3514"/>
      <w:r>
        <w:rPr>
          <w:rFonts w:hint="eastAsia"/>
          <w:highlight w:val="none"/>
          <w:lang w:val="en-US" w:eastAsia="zh-CN"/>
        </w:rPr>
        <w:t>第六部分  政府采购合同</w:t>
      </w:r>
      <w:bookmarkEnd w:id="46"/>
    </w:p>
    <w:p w14:paraId="54821B16">
      <w:pPr>
        <w:widowControl/>
        <w:wordWrap w:val="0"/>
        <w:snapToGrid w:val="0"/>
        <w:jc w:val="center"/>
        <w:rPr>
          <w:rFonts w:hint="eastAsia" w:ascii="仿宋" w:hAnsi="仿宋" w:eastAsia="仿宋" w:cs="仿宋"/>
          <w:b/>
          <w:bCs/>
          <w:spacing w:val="20"/>
          <w:sz w:val="36"/>
          <w:szCs w:val="36"/>
        </w:rPr>
      </w:pPr>
      <w:r>
        <w:rPr>
          <w:rFonts w:hint="eastAsia" w:ascii="仿宋" w:hAnsi="仿宋" w:eastAsia="仿宋" w:cs="仿宋"/>
          <w:b/>
          <w:bCs/>
          <w:sz w:val="36"/>
          <w:szCs w:val="36"/>
          <w:highlight w:val="none"/>
        </w:rPr>
        <w:br w:type="page"/>
      </w:r>
      <w:r>
        <w:rPr>
          <w:rFonts w:hint="eastAsia" w:ascii="仿宋" w:hAnsi="仿宋" w:eastAsia="仿宋" w:cs="仿宋"/>
          <w:b/>
          <w:bCs/>
          <w:spacing w:val="20"/>
          <w:sz w:val="36"/>
          <w:szCs w:val="36"/>
        </w:rPr>
        <w:t>政府采购合同</w:t>
      </w:r>
    </w:p>
    <w:p w14:paraId="65998119">
      <w:pPr>
        <w:widowControl/>
        <w:wordWrap w:val="0"/>
        <w:snapToGrid w:val="0"/>
        <w:jc w:val="center"/>
        <w:rPr>
          <w:rFonts w:hint="eastAsia" w:ascii="仿宋" w:hAnsi="仿宋" w:eastAsia="仿宋" w:cs="仿宋"/>
        </w:rPr>
      </w:pPr>
    </w:p>
    <w:p w14:paraId="790D08C0">
      <w:pPr>
        <w:spacing w:line="480" w:lineRule="exact"/>
        <w:ind w:firstLine="480" w:firstLineChars="200"/>
        <w:jc w:val="left"/>
        <w:rPr>
          <w:rFonts w:hint="eastAsia" w:ascii="仿宋" w:hAnsi="仿宋" w:eastAsia="仿宋" w:cs="仿宋"/>
          <w:b/>
          <w:sz w:val="24"/>
        </w:rPr>
      </w:pPr>
      <w:r>
        <w:rPr>
          <w:rFonts w:hint="eastAsia" w:ascii="仿宋" w:hAnsi="仿宋" w:eastAsia="仿宋" w:cs="仿宋"/>
          <w:sz w:val="24"/>
        </w:rPr>
        <w:t xml:space="preserve">                          </w:t>
      </w:r>
      <w:r>
        <w:rPr>
          <w:rFonts w:hint="eastAsia" w:ascii="宋体" w:hAnsi="宋体"/>
          <w:sz w:val="24"/>
        </w:rPr>
        <w:t xml:space="preserve">    </w:t>
      </w:r>
      <w:r>
        <w:rPr>
          <w:rFonts w:hint="eastAsia" w:ascii="仿宋" w:hAnsi="仿宋" w:eastAsia="仿宋" w:cs="仿宋"/>
          <w:sz w:val="24"/>
        </w:rPr>
        <w:t xml:space="preserve">                   </w:t>
      </w:r>
      <w:r>
        <w:rPr>
          <w:rFonts w:hint="eastAsia" w:ascii="仿宋" w:hAnsi="仿宋" w:eastAsia="仿宋" w:cs="仿宋"/>
          <w:b/>
          <w:sz w:val="24"/>
        </w:rPr>
        <w:t>采购计划文号：</w:t>
      </w:r>
    </w:p>
    <w:p w14:paraId="55C1DD98">
      <w:pPr>
        <w:spacing w:line="360" w:lineRule="auto"/>
        <w:ind w:firstLine="472" w:firstLineChars="196"/>
        <w:jc w:val="left"/>
        <w:rPr>
          <w:rFonts w:hint="eastAsia" w:ascii="仿宋" w:hAnsi="仿宋" w:eastAsia="仿宋" w:cs="仿宋"/>
          <w:b/>
          <w:sz w:val="24"/>
          <w:u w:val="single"/>
        </w:rPr>
      </w:pPr>
      <w:r>
        <w:rPr>
          <w:rFonts w:hint="eastAsia" w:ascii="仿宋" w:hAnsi="仿宋" w:eastAsia="仿宋" w:cs="仿宋"/>
          <w:b/>
          <w:sz w:val="24"/>
        </w:rPr>
        <w:t>需方：</w:t>
      </w:r>
      <w:r>
        <w:rPr>
          <w:rFonts w:hint="eastAsia" w:ascii="仿宋" w:hAnsi="仿宋" w:eastAsia="仿宋" w:cs="仿宋"/>
          <w:b/>
          <w:sz w:val="24"/>
          <w:u w:val="single"/>
        </w:rPr>
        <w:t xml:space="preserve"> 山西大学                    </w:t>
      </w:r>
    </w:p>
    <w:p w14:paraId="2B912B62">
      <w:pPr>
        <w:spacing w:line="360" w:lineRule="auto"/>
        <w:ind w:firstLine="472" w:firstLineChars="196"/>
        <w:jc w:val="left"/>
        <w:rPr>
          <w:rFonts w:hint="eastAsia" w:ascii="仿宋" w:hAnsi="仿宋" w:eastAsia="仿宋" w:cs="仿宋"/>
          <w:b/>
          <w:sz w:val="24"/>
          <w:u w:val="single"/>
        </w:rPr>
      </w:pPr>
      <w:r>
        <w:rPr>
          <w:rFonts w:hint="eastAsia" w:ascii="仿宋" w:hAnsi="仿宋" w:eastAsia="仿宋" w:cs="仿宋"/>
          <w:b/>
          <w:sz w:val="24"/>
        </w:rPr>
        <w:t>供方：</w:t>
      </w:r>
      <w:r>
        <w:rPr>
          <w:rFonts w:hint="eastAsia" w:ascii="仿宋" w:hAnsi="仿宋" w:eastAsia="仿宋" w:cs="仿宋"/>
          <w:b/>
          <w:sz w:val="24"/>
          <w:u w:val="single"/>
        </w:rPr>
        <w:t xml:space="preserve">                             </w:t>
      </w:r>
    </w:p>
    <w:p w14:paraId="00D59ED6">
      <w:pPr>
        <w:spacing w:line="360" w:lineRule="auto"/>
        <w:ind w:firstLine="480" w:firstLineChars="200"/>
        <w:rPr>
          <w:rFonts w:hint="eastAsia" w:ascii="仿宋" w:hAnsi="仿宋" w:eastAsia="仿宋" w:cs="仿宋"/>
          <w:sz w:val="24"/>
        </w:rPr>
      </w:pPr>
      <w:r>
        <w:rPr>
          <w:rFonts w:hint="eastAsia" w:ascii="仿宋" w:hAnsi="仿宋" w:eastAsia="仿宋" w:cs="仿宋"/>
          <w:sz w:val="24"/>
        </w:rPr>
        <w:t>供方在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(采购代理机构)  </w:t>
      </w:r>
      <w:r>
        <w:rPr>
          <w:rFonts w:hint="eastAsia" w:ascii="仿宋" w:hAnsi="仿宋" w:eastAsia="仿宋" w:cs="仿宋"/>
          <w:sz w:val="24"/>
        </w:rPr>
        <w:t>组织的项目编号为</w:t>
      </w:r>
      <w:r>
        <w:rPr>
          <w:rFonts w:hint="eastAsia" w:ascii="仿宋" w:hAnsi="仿宋" w:eastAsia="仿宋" w:cs="仿宋"/>
          <w:sz w:val="24"/>
          <w:u w:val="single"/>
        </w:rPr>
        <w:t xml:space="preserve">             </w:t>
      </w:r>
      <w:r>
        <w:rPr>
          <w:rFonts w:hint="eastAsia" w:ascii="仿宋" w:hAnsi="仿宋" w:eastAsia="仿宋" w:cs="仿宋"/>
          <w:sz w:val="24"/>
          <w:u w:val="single"/>
          <w:lang w:eastAsia="zh-CN"/>
        </w:rPr>
        <w:t>1499002026ATP00993</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SDWTYLTP-26012-2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项目采购活动中中标（成交）。为了保护供、需双方的合法权益，根据《中华人民共和国政府采购法》及《中华人民共和国民法典》等相关法律、法规的规定，经双方协商一致，签订本合同。</w:t>
      </w:r>
    </w:p>
    <w:p w14:paraId="3D1E05CB">
      <w:pPr>
        <w:pStyle w:val="9"/>
        <w:spacing w:line="360" w:lineRule="auto"/>
        <w:ind w:left="0" w:leftChars="0" w:firstLine="472" w:firstLineChars="196"/>
        <w:jc w:val="left"/>
        <w:rPr>
          <w:rFonts w:hint="eastAsia" w:ascii="仿宋" w:hAnsi="仿宋" w:eastAsia="仿宋" w:cs="仿宋"/>
          <w:dstrike/>
          <w:sz w:val="24"/>
          <w:u w:val="single"/>
        </w:rPr>
      </w:pPr>
      <w:r>
        <w:rPr>
          <w:rFonts w:hint="eastAsia" w:ascii="仿宋" w:hAnsi="仿宋" w:eastAsia="仿宋" w:cs="仿宋"/>
          <w:b/>
          <w:sz w:val="24"/>
        </w:rPr>
        <w:t>最终用户：</w:t>
      </w:r>
      <w:r>
        <w:rPr>
          <w:rFonts w:hint="eastAsia" w:ascii="仿宋" w:hAnsi="仿宋" w:eastAsia="仿宋" w:cs="仿宋"/>
          <w:b/>
          <w:sz w:val="24"/>
          <w:u w:val="single"/>
        </w:rPr>
        <w:t xml:space="preserve">      </w:t>
      </w:r>
      <w:r>
        <w:rPr>
          <w:rFonts w:hint="eastAsia" w:ascii="仿宋" w:hAnsi="仿宋" w:eastAsia="仿宋" w:cs="仿宋"/>
          <w:sz w:val="24"/>
          <w:u w:val="single"/>
        </w:rPr>
        <w:t xml:space="preserve">各采购单位     </w:t>
      </w:r>
      <w:r>
        <w:rPr>
          <w:rFonts w:hint="eastAsia" w:ascii="仿宋" w:hAnsi="仿宋" w:eastAsia="仿宋" w:cs="仿宋"/>
          <w:b/>
          <w:sz w:val="24"/>
          <w:u w:val="single"/>
        </w:rPr>
        <w:t xml:space="preserve">  </w:t>
      </w:r>
    </w:p>
    <w:p w14:paraId="7B3BE934">
      <w:pPr>
        <w:spacing w:line="360" w:lineRule="auto"/>
        <w:ind w:firstLine="472" w:firstLineChars="196"/>
        <w:jc w:val="left"/>
        <w:rPr>
          <w:rFonts w:hint="eastAsia" w:ascii="仿宋" w:hAnsi="仿宋" w:eastAsia="仿宋" w:cs="仿宋"/>
          <w:b/>
          <w:sz w:val="24"/>
        </w:rPr>
      </w:pPr>
      <w:bookmarkStart w:id="47" w:name="_Toc326248000"/>
      <w:r>
        <w:rPr>
          <w:rFonts w:hint="eastAsia" w:ascii="仿宋" w:hAnsi="仿宋" w:eastAsia="仿宋" w:cs="仿宋"/>
          <w:b/>
          <w:sz w:val="24"/>
        </w:rPr>
        <w:t>一、采购货物条款</w:t>
      </w:r>
      <w:bookmarkEnd w:id="47"/>
    </w:p>
    <w:p w14:paraId="0BFC303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供方向需方提供货物（以下简称“货物”），货物的具体名称、品牌、规格型号、数量、价格、产地及厂家等见附件一《采购货物清单》，技术参数、质保期、交货时间等见附件二。</w:t>
      </w:r>
    </w:p>
    <w:p w14:paraId="193A15FE">
      <w:pPr>
        <w:spacing w:line="360" w:lineRule="auto"/>
        <w:ind w:firstLine="472" w:firstLineChars="196"/>
        <w:jc w:val="left"/>
        <w:rPr>
          <w:rFonts w:hint="eastAsia" w:ascii="仿宋" w:hAnsi="仿宋" w:eastAsia="仿宋" w:cs="仿宋"/>
          <w:b/>
          <w:sz w:val="24"/>
        </w:rPr>
      </w:pPr>
      <w:bookmarkStart w:id="48" w:name="_Toc326248001"/>
      <w:r>
        <w:rPr>
          <w:rFonts w:hint="eastAsia" w:ascii="仿宋" w:hAnsi="仿宋" w:eastAsia="仿宋" w:cs="仿宋"/>
          <w:b/>
          <w:sz w:val="24"/>
        </w:rPr>
        <w:t>二、合同总金额</w:t>
      </w:r>
      <w:bookmarkEnd w:id="48"/>
    </w:p>
    <w:p w14:paraId="129A8921">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bCs/>
          <w:sz w:val="24"/>
        </w:rPr>
        <w:t>人民币</w:t>
      </w:r>
      <w:r>
        <w:rPr>
          <w:rFonts w:hint="eastAsia" w:ascii="仿宋" w:hAnsi="仿宋" w:eastAsia="仿宋" w:cs="仿宋"/>
          <w:sz w:val="24"/>
        </w:rPr>
        <w:t>（大写）：</w:t>
      </w:r>
      <w:r>
        <w:rPr>
          <w:rFonts w:hint="eastAsia" w:ascii="仿宋" w:hAnsi="仿宋" w:eastAsia="仿宋" w:cs="仿宋"/>
          <w:sz w:val="24"/>
          <w:u w:val="single"/>
        </w:rPr>
        <w:t xml:space="preserve">                        （含税价）</w:t>
      </w:r>
    </w:p>
    <w:p w14:paraId="36CF3395">
      <w:pPr>
        <w:spacing w:line="360" w:lineRule="auto"/>
        <w:ind w:firstLine="1200" w:firstLineChars="500"/>
        <w:jc w:val="left"/>
        <w:rPr>
          <w:rFonts w:hint="eastAsia"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0D7A27F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此价格为合同执行不变价，不因国家政策变化或其他原因而做价格调整。合同总金额包括货物价款、运输、安装、调试、售后等总体全部费用。</w:t>
      </w:r>
    </w:p>
    <w:p w14:paraId="06E2CEF4">
      <w:pPr>
        <w:spacing w:line="360" w:lineRule="auto"/>
        <w:ind w:firstLine="472" w:firstLineChars="196"/>
        <w:jc w:val="left"/>
        <w:rPr>
          <w:rFonts w:hint="eastAsia" w:ascii="仿宋" w:hAnsi="仿宋" w:eastAsia="仿宋" w:cs="仿宋"/>
          <w:b/>
          <w:sz w:val="24"/>
        </w:rPr>
      </w:pPr>
      <w:bookmarkStart w:id="49" w:name="_Toc326248002"/>
      <w:r>
        <w:rPr>
          <w:rFonts w:hint="eastAsia" w:ascii="仿宋" w:hAnsi="仿宋" w:eastAsia="仿宋" w:cs="仿宋"/>
          <w:b/>
          <w:sz w:val="24"/>
        </w:rPr>
        <w:t>三、货款支付</w:t>
      </w:r>
      <w:bookmarkEnd w:id="49"/>
    </w:p>
    <w:p w14:paraId="3602A25C">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1、供方向需方按照以下第</w:t>
      </w:r>
      <w:r>
        <w:rPr>
          <w:rFonts w:hint="eastAsia" w:ascii="仿宋" w:hAnsi="仿宋" w:eastAsia="仿宋" w:cs="仿宋"/>
          <w:bCs/>
          <w:sz w:val="24"/>
          <w:u w:val="single"/>
        </w:rPr>
        <w:t xml:space="preserve">   ①    </w:t>
      </w:r>
      <w:r>
        <w:rPr>
          <w:rFonts w:hint="eastAsia" w:ascii="仿宋" w:hAnsi="仿宋" w:eastAsia="仿宋" w:cs="仿宋"/>
          <w:bCs/>
          <w:sz w:val="24"/>
        </w:rPr>
        <w:t>方式支付履约保证金。</w:t>
      </w:r>
    </w:p>
    <w:p w14:paraId="0A578A62">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①采购国产货物的签订合同前供方应向需方交付国产货物对应货款的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rPr>
        <w:t>元）作为合同履约保证金，质量验收合格一年后无质量问题无息退还。</w:t>
      </w:r>
    </w:p>
    <w:p w14:paraId="188ABA5E">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②采购进口货物的签订合同前供方应向需方交付进口货物对应货款的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%作为合同履约保证金（人民币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元），质量验收合格一年后无质量问题无息退还。</w:t>
      </w:r>
    </w:p>
    <w:p w14:paraId="1E567E3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2、需方向供方按照以下第</w:t>
      </w:r>
      <w:r>
        <w:rPr>
          <w:rFonts w:hint="eastAsia" w:ascii="仿宋" w:hAnsi="仿宋" w:eastAsia="仿宋" w:cs="仿宋"/>
          <w:bCs/>
          <w:sz w:val="24"/>
          <w:u w:val="single"/>
        </w:rPr>
        <w:t xml:space="preserve">  ①    </w:t>
      </w:r>
      <w:r>
        <w:rPr>
          <w:rFonts w:hint="eastAsia" w:ascii="仿宋" w:hAnsi="仿宋" w:eastAsia="仿宋" w:cs="仿宋"/>
          <w:bCs/>
          <w:sz w:val="24"/>
        </w:rPr>
        <w:t>方式进行付款。</w:t>
      </w:r>
    </w:p>
    <w:p w14:paraId="41A82C1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①采购国产货物的经需方质量验收合格后30日内支付国产货物对应货款（人民币</w:t>
      </w:r>
      <w:r>
        <w:rPr>
          <w:rFonts w:hint="eastAsia" w:ascii="仿宋" w:hAnsi="仿宋" w:eastAsia="仿宋" w:cs="仿宋"/>
          <w:bCs/>
          <w:sz w:val="24"/>
          <w:u w:val="single"/>
        </w:rPr>
        <w:t xml:space="preserve">    </w:t>
      </w:r>
      <w:r>
        <w:rPr>
          <w:rFonts w:hint="eastAsia" w:ascii="仿宋" w:hAnsi="仿宋" w:eastAsia="仿宋" w:cs="仿宋"/>
          <w:bCs/>
          <w:sz w:val="24"/>
        </w:rPr>
        <w:t>元）。</w:t>
      </w:r>
    </w:p>
    <w:p w14:paraId="1A05968D">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②采购国产定制货物且需要预付货款的签订本合同后30日内，需方向供方预付国产定制货物对应货款的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 xml:space="preserve"> %（人民币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元）；需方收到本合同项下全部货物并经初步验收合格后30日内，需方向供方支付国产定制货物对应货款的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元）；全部货物经需方质量验收合格后30日内支付国产定制货物对应货款的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w:t>
      </w:r>
    </w:p>
    <w:p w14:paraId="182DE536">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③采购进口货物的签订合同后供方应向需方提供货物进口装运单据，由需方审核装运单据无误后30日内向供方支付进口货物对应货款的90%（人民币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元），需方签署质量验收报告之日起30日内支付进口货物对应货款的剩余10%（人民币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w:t>
      </w:r>
    </w:p>
    <w:p w14:paraId="4EA4354E">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color w:val="0C0C0C"/>
          <w:sz w:val="24"/>
        </w:rPr>
        <w:t>3、供方应当在需方付款前向需方出具合法有效的发票（采购进口货物的，供方应当在需方支付预付款前提交装运单据，在需方支付尾款前开具合法有效的发票），</w:t>
      </w:r>
      <w:r>
        <w:rPr>
          <w:rFonts w:hint="eastAsia" w:ascii="仿宋" w:hAnsi="仿宋" w:eastAsia="仿宋" w:cs="仿宋"/>
          <w:bCs/>
          <w:sz w:val="24"/>
        </w:rPr>
        <w:t>否则，需方有权拒绝支付相应的货款。</w:t>
      </w:r>
    </w:p>
    <w:p w14:paraId="7D9B0BEF">
      <w:pPr>
        <w:spacing w:line="360" w:lineRule="auto"/>
        <w:ind w:firstLine="472" w:firstLineChars="196"/>
        <w:jc w:val="left"/>
        <w:rPr>
          <w:rFonts w:hint="eastAsia" w:ascii="仿宋" w:hAnsi="仿宋" w:eastAsia="仿宋" w:cs="仿宋"/>
          <w:b/>
          <w:sz w:val="24"/>
        </w:rPr>
      </w:pPr>
      <w:bookmarkStart w:id="50" w:name="_Toc326248003"/>
      <w:r>
        <w:rPr>
          <w:rFonts w:hint="eastAsia" w:ascii="仿宋" w:hAnsi="仿宋" w:eastAsia="仿宋" w:cs="仿宋"/>
          <w:b/>
          <w:sz w:val="24"/>
        </w:rPr>
        <w:t>四、售后服务及承诺</w:t>
      </w:r>
      <w:bookmarkEnd w:id="50"/>
    </w:p>
    <w:p w14:paraId="6580D7CA">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供方向需方承诺：所供货物质保期为</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1</w:t>
      </w:r>
      <w:r>
        <w:rPr>
          <w:rFonts w:hint="eastAsia" w:ascii="仿宋" w:hAnsi="仿宋" w:eastAsia="仿宋" w:cs="仿宋"/>
          <w:bCs/>
          <w:sz w:val="24"/>
          <w:u w:val="single"/>
        </w:rPr>
        <w:t xml:space="preserve"> </w:t>
      </w:r>
      <w:r>
        <w:rPr>
          <w:rFonts w:hint="eastAsia" w:ascii="仿宋" w:hAnsi="仿宋" w:eastAsia="仿宋" w:cs="仿宋"/>
          <w:bCs/>
          <w:sz w:val="24"/>
        </w:rPr>
        <w:t>年，从质量验收合格之日算起。详见售后服务承诺（附件三）。</w:t>
      </w:r>
    </w:p>
    <w:p w14:paraId="73E4A507">
      <w:pPr>
        <w:spacing w:line="360" w:lineRule="auto"/>
        <w:ind w:firstLine="482" w:firstLineChars="200"/>
        <w:jc w:val="left"/>
        <w:rPr>
          <w:rFonts w:hint="eastAsia" w:ascii="仿宋" w:hAnsi="仿宋" w:eastAsia="仿宋" w:cs="仿宋"/>
          <w:b/>
          <w:sz w:val="24"/>
        </w:rPr>
      </w:pPr>
      <w:bookmarkStart w:id="51" w:name="_Toc326248004"/>
      <w:r>
        <w:rPr>
          <w:rFonts w:hint="eastAsia" w:ascii="仿宋" w:hAnsi="仿宋" w:eastAsia="仿宋" w:cs="仿宋"/>
          <w:b/>
          <w:sz w:val="24"/>
        </w:rPr>
        <w:t>五、交货</w:t>
      </w:r>
      <w:bookmarkEnd w:id="51"/>
    </w:p>
    <w:p w14:paraId="737255D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1、交货日期：自合同签订之日起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150</w:t>
      </w:r>
      <w:r>
        <w:rPr>
          <w:rFonts w:hint="eastAsia" w:ascii="仿宋" w:hAnsi="仿宋" w:eastAsia="仿宋" w:cs="仿宋"/>
          <w:sz w:val="24"/>
          <w:u w:val="single"/>
        </w:rPr>
        <w:t xml:space="preserve"> </w:t>
      </w:r>
      <w:r>
        <w:rPr>
          <w:rFonts w:hint="eastAsia" w:ascii="仿宋" w:hAnsi="仿宋" w:eastAsia="仿宋" w:cs="仿宋"/>
          <w:sz w:val="24"/>
        </w:rPr>
        <w:t>天内，供方应向需方完成供货、安装调试、质量验收等相关交货手续。</w:t>
      </w:r>
    </w:p>
    <w:p w14:paraId="4B2C984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2、交货地点：需方指定的交付地点。 </w:t>
      </w:r>
    </w:p>
    <w:p w14:paraId="65BBFE4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3、货物的运输由供方自行解决，费用由供方负担。</w:t>
      </w:r>
    </w:p>
    <w:p w14:paraId="1DE586B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4、全部货物须采用符合标准要求的包装，确保货物完好运抵现场。若由于包装不善引起货物锈蚀、损坏和丢失的一切责任，供方承担修复、更换、补缺、补货的全部费用。</w:t>
      </w:r>
    </w:p>
    <w:p w14:paraId="0B5B12BD">
      <w:pPr>
        <w:spacing w:line="360" w:lineRule="auto"/>
        <w:ind w:firstLine="472" w:firstLineChars="196"/>
        <w:jc w:val="left"/>
        <w:rPr>
          <w:rFonts w:hint="eastAsia" w:ascii="仿宋" w:hAnsi="仿宋" w:eastAsia="仿宋" w:cs="仿宋"/>
          <w:b/>
          <w:sz w:val="24"/>
        </w:rPr>
      </w:pPr>
      <w:bookmarkStart w:id="52" w:name="_Toc326248005"/>
      <w:r>
        <w:rPr>
          <w:rFonts w:hint="eastAsia" w:ascii="仿宋" w:hAnsi="仿宋" w:eastAsia="仿宋" w:cs="仿宋"/>
          <w:b/>
          <w:sz w:val="24"/>
        </w:rPr>
        <w:t>六、</w:t>
      </w:r>
      <w:bookmarkEnd w:id="52"/>
      <w:r>
        <w:rPr>
          <w:rFonts w:hint="eastAsia" w:ascii="仿宋" w:hAnsi="仿宋" w:eastAsia="仿宋" w:cs="仿宋"/>
          <w:b/>
          <w:sz w:val="24"/>
        </w:rPr>
        <w:t>初验</w:t>
      </w:r>
    </w:p>
    <w:p w14:paraId="4ADEBCD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1、货物送至需方指定交付地点后，由供方负责卸货，费用由供方负担。</w:t>
      </w:r>
    </w:p>
    <w:p w14:paraId="29C26E1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需方依据货物装箱单、合同货物清单等对物品进行初步点验，检验货物的包装、规格、型号、数量及外观，确认无误后在货物签收单上签字，初验合格不视为货物完成交付，货物毁损、灭失的风险尚未转移至需方。初验合格不视为产品质量验收合格。</w:t>
      </w:r>
    </w:p>
    <w:p w14:paraId="5389395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初步验收时，若发现规格、型号、数量及外观与合同或订单不符的情况，需方有权拒收货物，并当场反馈供方。供方应当在3日内按需方要求免费对拒收货物采取更换或其他必要的补救措施，直至初步验收合格。</w:t>
      </w:r>
    </w:p>
    <w:p w14:paraId="74CF14D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4、在交货日期之后发现因供方原因造成的货物与装箱清单数目、规格不一致的，供方仍应当承担货物交付不当的责任。</w:t>
      </w:r>
    </w:p>
    <w:p w14:paraId="601BDC9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供方应提供货物的完整资料，包括但不限于产品说明书、产品质量检验合格证、质量检测报告、技术资料、相应质检必备材料等，产品资料应当与货物同时交付。需方如果发现相关资料存在有误、短缺或损坏，供方应在收到需方的通知后7日内免费替换、补齐短缺或损坏的部分。</w:t>
      </w:r>
    </w:p>
    <w:p w14:paraId="68B7DCB6">
      <w:pPr>
        <w:spacing w:line="360" w:lineRule="auto"/>
        <w:ind w:firstLine="434"/>
        <w:jc w:val="left"/>
        <w:rPr>
          <w:rFonts w:hint="eastAsia" w:ascii="仿宋" w:hAnsi="仿宋" w:eastAsia="仿宋" w:cs="仿宋"/>
          <w:b/>
          <w:sz w:val="24"/>
        </w:rPr>
      </w:pPr>
      <w:r>
        <w:rPr>
          <w:rFonts w:hint="eastAsia" w:ascii="仿宋" w:hAnsi="仿宋" w:eastAsia="仿宋" w:cs="仿宋"/>
          <w:b/>
          <w:sz w:val="24"/>
        </w:rPr>
        <w:t>七、货物的安装、调试</w:t>
      </w:r>
    </w:p>
    <w:p w14:paraId="3046B53F">
      <w:pPr>
        <w:spacing w:line="360" w:lineRule="auto"/>
        <w:ind w:firstLine="434"/>
        <w:jc w:val="left"/>
        <w:rPr>
          <w:rFonts w:hint="eastAsia" w:ascii="仿宋" w:hAnsi="仿宋" w:eastAsia="仿宋" w:cs="仿宋"/>
          <w:sz w:val="24"/>
        </w:rPr>
      </w:pPr>
      <w:r>
        <w:rPr>
          <w:rFonts w:hint="eastAsia" w:ascii="仿宋" w:hAnsi="仿宋" w:eastAsia="仿宋" w:cs="仿宋"/>
          <w:sz w:val="24"/>
        </w:rPr>
        <w:t>1、供方必须严格按双方签字确认的施工方案及工期完成安装调试工作。</w:t>
      </w:r>
    </w:p>
    <w:p w14:paraId="45A8D787">
      <w:pPr>
        <w:spacing w:line="360" w:lineRule="auto"/>
        <w:ind w:firstLine="434"/>
        <w:jc w:val="left"/>
        <w:rPr>
          <w:rFonts w:hint="eastAsia" w:ascii="仿宋" w:hAnsi="仿宋" w:eastAsia="仿宋" w:cs="仿宋"/>
          <w:sz w:val="24"/>
        </w:rPr>
      </w:pPr>
      <w:r>
        <w:rPr>
          <w:rFonts w:hint="eastAsia" w:ascii="仿宋" w:hAnsi="仿宋" w:eastAsia="仿宋" w:cs="仿宋"/>
          <w:sz w:val="24"/>
        </w:rPr>
        <w:t>2、因需方原因造成货物安装拖延或推迟安装进程，供方应取得需方书面签证，工期方可顺延。</w:t>
      </w:r>
    </w:p>
    <w:p w14:paraId="29B7A2DE">
      <w:pPr>
        <w:spacing w:line="360" w:lineRule="auto"/>
        <w:ind w:firstLine="434"/>
        <w:jc w:val="left"/>
        <w:rPr>
          <w:rFonts w:hint="eastAsia" w:ascii="仿宋" w:hAnsi="仿宋" w:eastAsia="仿宋" w:cs="仿宋"/>
          <w:b/>
          <w:sz w:val="24"/>
        </w:rPr>
      </w:pPr>
      <w:r>
        <w:rPr>
          <w:rFonts w:hint="eastAsia" w:ascii="仿宋" w:hAnsi="仿宋" w:eastAsia="仿宋" w:cs="仿宋"/>
          <w:b/>
          <w:sz w:val="24"/>
        </w:rPr>
        <w:t>八、试运行及质量验收</w:t>
      </w:r>
    </w:p>
    <w:p w14:paraId="1118B28F">
      <w:pPr>
        <w:spacing w:line="360" w:lineRule="auto"/>
        <w:ind w:firstLine="434"/>
        <w:jc w:val="left"/>
        <w:rPr>
          <w:rFonts w:hint="eastAsia" w:ascii="仿宋" w:hAnsi="仿宋" w:eastAsia="仿宋" w:cs="仿宋"/>
          <w:sz w:val="24"/>
        </w:rPr>
      </w:pPr>
      <w:r>
        <w:rPr>
          <w:rFonts w:hint="eastAsia" w:ascii="仿宋" w:hAnsi="仿宋" w:eastAsia="仿宋" w:cs="仿宋"/>
          <w:sz w:val="24"/>
        </w:rPr>
        <w:t>1、货物安装调试完毕后，供方书面通知需方进行现场质量验收，需方应当于收到验收通知后5日内组织质量验收。</w:t>
      </w:r>
    </w:p>
    <w:p w14:paraId="04B213A4">
      <w:pPr>
        <w:spacing w:line="360" w:lineRule="auto"/>
        <w:ind w:firstLine="434"/>
        <w:jc w:val="left"/>
        <w:rPr>
          <w:rFonts w:hint="eastAsia" w:ascii="仿宋" w:hAnsi="仿宋" w:eastAsia="仿宋" w:cs="仿宋"/>
          <w:sz w:val="24"/>
        </w:rPr>
      </w:pPr>
      <w:r>
        <w:rPr>
          <w:rFonts w:hint="eastAsia" w:ascii="仿宋" w:hAnsi="仿宋" w:eastAsia="仿宋" w:cs="仿宋"/>
          <w:sz w:val="24"/>
        </w:rPr>
        <w:t>2、质量验收标准：</w:t>
      </w:r>
    </w:p>
    <w:p w14:paraId="1B9503CB">
      <w:pPr>
        <w:spacing w:line="360" w:lineRule="auto"/>
        <w:ind w:firstLine="434"/>
        <w:jc w:val="left"/>
        <w:rPr>
          <w:rFonts w:hint="eastAsia" w:ascii="仿宋" w:hAnsi="仿宋" w:eastAsia="仿宋" w:cs="仿宋"/>
          <w:sz w:val="24"/>
        </w:rPr>
      </w:pPr>
      <w:r>
        <w:rPr>
          <w:rFonts w:hint="eastAsia" w:ascii="仿宋" w:hAnsi="仿宋" w:eastAsia="仿宋" w:cs="仿宋"/>
          <w:sz w:val="24"/>
        </w:rPr>
        <w:t>（1）供方提交的货物应符合合同中所记载的详细配置、技术参数及性能，并应附有此类货物完整、详细的技术资料和说明文件。</w:t>
      </w:r>
    </w:p>
    <w:p w14:paraId="542D5541">
      <w:pPr>
        <w:spacing w:line="360" w:lineRule="auto"/>
        <w:ind w:firstLine="434"/>
        <w:jc w:val="left"/>
        <w:rPr>
          <w:rFonts w:hint="eastAsia" w:ascii="仿宋" w:hAnsi="仿宋" w:eastAsia="仿宋" w:cs="仿宋"/>
          <w:sz w:val="24"/>
        </w:rPr>
      </w:pPr>
      <w:r>
        <w:rPr>
          <w:rFonts w:hint="eastAsia" w:ascii="仿宋" w:hAnsi="仿宋" w:eastAsia="仿宋" w:cs="仿宋"/>
          <w:sz w:val="24"/>
        </w:rPr>
        <w:t>（2）货物整体运行指标符合合同附件约定的内容并满足国家相关标准及行业规范。</w:t>
      </w:r>
    </w:p>
    <w:p w14:paraId="623ED7F9">
      <w:pPr>
        <w:spacing w:line="360" w:lineRule="auto"/>
        <w:ind w:firstLine="434"/>
        <w:jc w:val="left"/>
        <w:rPr>
          <w:rFonts w:hint="eastAsia" w:ascii="仿宋" w:hAnsi="仿宋" w:eastAsia="仿宋" w:cs="仿宋"/>
          <w:sz w:val="24"/>
        </w:rPr>
      </w:pPr>
      <w:r>
        <w:rPr>
          <w:rFonts w:hint="eastAsia" w:ascii="仿宋" w:hAnsi="仿宋" w:eastAsia="仿宋" w:cs="仿宋"/>
          <w:sz w:val="24"/>
        </w:rPr>
        <w:t>3、货物经需方质量验收合格后，签署货物验收报告（须需方签字并盖章生效）。</w:t>
      </w:r>
    </w:p>
    <w:p w14:paraId="3309F632">
      <w:pPr>
        <w:spacing w:line="360" w:lineRule="auto"/>
        <w:ind w:firstLine="434"/>
        <w:jc w:val="left"/>
        <w:rPr>
          <w:rFonts w:hint="eastAsia" w:ascii="仿宋" w:hAnsi="仿宋" w:eastAsia="仿宋" w:cs="仿宋"/>
          <w:sz w:val="24"/>
        </w:rPr>
      </w:pPr>
      <w:r>
        <w:rPr>
          <w:rFonts w:hint="eastAsia" w:ascii="仿宋" w:hAnsi="仿宋" w:eastAsia="仿宋" w:cs="仿宋"/>
          <w:sz w:val="24"/>
        </w:rPr>
        <w:t>4、质量验收中如发现货物存在质量问题，由需方书面通知供方质量验收不合格，供方应当在3日内按照需方的要求进行整改，供方在完成整改后重新书面通知需方进行验收。第二次质量验收仍不合格，需方有权以通知的方式单方解除合同。</w:t>
      </w:r>
    </w:p>
    <w:p w14:paraId="13916CCD">
      <w:pPr>
        <w:spacing w:line="360" w:lineRule="auto"/>
        <w:ind w:firstLine="434"/>
        <w:jc w:val="left"/>
        <w:rPr>
          <w:rFonts w:hint="eastAsia" w:ascii="仿宋" w:hAnsi="仿宋" w:eastAsia="仿宋" w:cs="仿宋"/>
          <w:sz w:val="24"/>
        </w:rPr>
      </w:pPr>
      <w:r>
        <w:rPr>
          <w:rFonts w:hint="eastAsia" w:ascii="仿宋" w:hAnsi="仿宋" w:eastAsia="仿宋" w:cs="仿宋"/>
          <w:sz w:val="24"/>
        </w:rPr>
        <w:t>5、货物经过需方最终质量验收合格后，视为完成货物交付，货物毁损、灭失的风险转移至需方；需方收到货物并质量验收合格以前所产生的运输、仓储等一切费用，由供方承担；需方质量验收合格以后所产生的运输、仓储等一切费用，由需方承担。</w:t>
      </w:r>
    </w:p>
    <w:p w14:paraId="76B9F2D3">
      <w:pPr>
        <w:spacing w:line="360" w:lineRule="auto"/>
        <w:ind w:firstLine="472" w:firstLineChars="196"/>
        <w:jc w:val="left"/>
        <w:rPr>
          <w:rFonts w:hint="eastAsia" w:ascii="仿宋" w:hAnsi="仿宋" w:eastAsia="仿宋" w:cs="仿宋"/>
          <w:b/>
          <w:sz w:val="24"/>
        </w:rPr>
      </w:pPr>
      <w:bookmarkStart w:id="53" w:name="_Toc326248006"/>
      <w:r>
        <w:rPr>
          <w:rFonts w:hint="eastAsia" w:ascii="仿宋" w:hAnsi="仿宋" w:eastAsia="仿宋" w:cs="仿宋"/>
          <w:b/>
          <w:sz w:val="24"/>
        </w:rPr>
        <w:t>九、需方责任</w:t>
      </w:r>
      <w:bookmarkEnd w:id="53"/>
    </w:p>
    <w:p w14:paraId="0F4FEBA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1、负责为供方提供工作场地，协助供方办理有关事宜。</w:t>
      </w:r>
    </w:p>
    <w:p w14:paraId="5D00AC8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2、组织验收，并及时为供方办理付款手续。</w:t>
      </w:r>
    </w:p>
    <w:p w14:paraId="0CE78431">
      <w:pPr>
        <w:spacing w:line="360" w:lineRule="auto"/>
        <w:ind w:firstLine="472" w:firstLineChars="196"/>
        <w:jc w:val="left"/>
        <w:rPr>
          <w:rFonts w:hint="eastAsia" w:ascii="仿宋" w:hAnsi="仿宋" w:eastAsia="仿宋" w:cs="仿宋"/>
          <w:b/>
          <w:sz w:val="24"/>
        </w:rPr>
      </w:pPr>
      <w:bookmarkStart w:id="54" w:name="_Toc326248007"/>
      <w:r>
        <w:rPr>
          <w:rFonts w:hint="eastAsia" w:ascii="仿宋" w:hAnsi="仿宋" w:eastAsia="仿宋" w:cs="仿宋"/>
          <w:b/>
          <w:sz w:val="24"/>
        </w:rPr>
        <w:t>十、供方责任</w:t>
      </w:r>
      <w:bookmarkEnd w:id="54"/>
    </w:p>
    <w:p w14:paraId="1259A860">
      <w:pPr>
        <w:spacing w:line="360" w:lineRule="auto"/>
        <w:ind w:firstLine="470" w:firstLineChars="196"/>
        <w:jc w:val="left"/>
        <w:rPr>
          <w:rFonts w:hint="eastAsia" w:ascii="仿宋" w:hAnsi="仿宋" w:eastAsia="仿宋" w:cs="仿宋"/>
          <w:sz w:val="24"/>
        </w:rPr>
      </w:pPr>
      <w:bookmarkStart w:id="55" w:name="_Toc326248008"/>
      <w:r>
        <w:rPr>
          <w:rFonts w:hint="eastAsia" w:ascii="仿宋" w:hAnsi="仿宋" w:eastAsia="仿宋" w:cs="仿宋"/>
          <w:sz w:val="24"/>
        </w:rPr>
        <w:t>1、保证所供货物均为投标（响应）文件承诺货物，符合相关质量检测标准。</w:t>
      </w:r>
    </w:p>
    <w:p w14:paraId="706A12EE">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2、保证货物的售后服务，严格依据投标（响应）文件及相关承诺，对货物及配件进行保修、保养等服务。</w:t>
      </w:r>
    </w:p>
    <w:p w14:paraId="67F2A6C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3、严格按照合同附件及需方的要求安装调试及施工。</w:t>
      </w:r>
    </w:p>
    <w:p w14:paraId="3115D7A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4、遵守施工规章制度及安全条例，承担自身安全措施不力而造成事故的责任和因此发生的一切费用。</w:t>
      </w:r>
    </w:p>
    <w:p w14:paraId="7BF0092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5、供方保证需方在使用该货物时不受第三方提出侵犯其专利权、版权、商标权或其他权利的起诉。一旦出现侵权，索赔或诉讼，供方应承担全部责任。</w:t>
      </w:r>
    </w:p>
    <w:p w14:paraId="397220C6">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6、对施工完毕但未经验收的产品予以保护。</w:t>
      </w:r>
    </w:p>
    <w:p w14:paraId="14AA2E6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7、向需方提供相关技术资料，对其材料、设备及施工的质量向需方负责。</w:t>
      </w:r>
    </w:p>
    <w:p w14:paraId="4BA57C8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8、供方保证货物不存在危及人身及财产安全的产品缺陷。若由于缺陷致使出现安全事故，由此产生的全部责任（包括但不限于侵权损害赔偿、行政机关的罚款等）由供方承担，与需方无关。</w:t>
      </w:r>
    </w:p>
    <w:p w14:paraId="2D121FCC">
      <w:pPr>
        <w:spacing w:line="360" w:lineRule="auto"/>
        <w:ind w:firstLine="472" w:firstLineChars="196"/>
        <w:jc w:val="left"/>
        <w:rPr>
          <w:rFonts w:hint="eastAsia" w:ascii="仿宋" w:hAnsi="仿宋" w:eastAsia="仿宋" w:cs="仿宋"/>
          <w:b/>
          <w:sz w:val="24"/>
        </w:rPr>
      </w:pPr>
      <w:r>
        <w:rPr>
          <w:rFonts w:hint="eastAsia" w:ascii="仿宋" w:hAnsi="仿宋" w:eastAsia="仿宋" w:cs="仿宋"/>
          <w:b/>
          <w:sz w:val="24"/>
        </w:rPr>
        <w:t>十一、违约责任</w:t>
      </w:r>
      <w:bookmarkEnd w:id="55"/>
    </w:p>
    <w:p w14:paraId="1DF9F3B0">
      <w:pPr>
        <w:spacing w:line="360" w:lineRule="auto"/>
        <w:ind w:firstLine="470" w:firstLineChars="196"/>
        <w:jc w:val="left"/>
        <w:rPr>
          <w:rFonts w:hint="eastAsia" w:ascii="仿宋" w:hAnsi="仿宋" w:eastAsia="仿宋" w:cs="仿宋"/>
          <w:sz w:val="24"/>
        </w:rPr>
      </w:pPr>
      <w:bookmarkStart w:id="56" w:name="_Toc326248009"/>
      <w:r>
        <w:rPr>
          <w:rFonts w:hint="eastAsia" w:ascii="仿宋" w:hAnsi="仿宋" w:eastAsia="仿宋" w:cs="仿宋"/>
          <w:sz w:val="24"/>
        </w:rPr>
        <w:t>1、供方所交付的货物品种、型号、规格、质量不符合合同约定的，需方有权拒收。供方在15日内未整改完毕，需方有权采取以下方式：</w:t>
      </w:r>
    </w:p>
    <w:p w14:paraId="4D1BEB7F">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（1）向供方退回不符合合同约定的货物，供方应当退还相应的已付货款及利息，同时供方向需方支付合同总额3%的违约金。</w:t>
      </w:r>
    </w:p>
    <w:p w14:paraId="7ED4DBBC">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（2）以书面通知的方式单方解除合同，自通知到达供方之日起合同解除，供方应当退还需方全部已付货款及利息。同时，供方向需方支付合同款总额5%的违约金。</w:t>
      </w:r>
    </w:p>
    <w:p w14:paraId="3F336EA9">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供方不能交付货物或者出现严重影响本合同履行的情况（包括但不限于经营状况恶化、产品质量问题被处罚、采购或定制货物节点严重迟延等），需方有权以通知方式单方解除合同，自解除通知到达供方之日起合同解除，供方应当退还全部已付货款及利息，同时供方向需方支付合同总额5%的违约金。</w:t>
      </w:r>
    </w:p>
    <w:p w14:paraId="7A033620">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供方逾期交付货物时，每逾1日供方向需方偿付合同款总额3‰的滞纳金。逾期交货超过30天后，需方有权以通知的方式单方解除合同，自通知到达对方之日起合同解除，供方应当退还需方全部已付货款及利息，同时供方向需方偿付合同款总额5%的违约金。</w:t>
      </w:r>
    </w:p>
    <w:p w14:paraId="3E83296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上述1-3条的利息计算方法为：自需方支付货款之日起算至实际退还之日，以应退货款金额为基数，按照合同订立时1年期贷款市场报价利率计算。</w:t>
      </w:r>
    </w:p>
    <w:p w14:paraId="78893127">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需方应当按照合同约定及时履行付款义务。需方逾期付款超过30日的，需方应当向供方支付逾期付款违约金，计算方法为：自逾期满30日起算至实际付款之日，以应付未付款金额为基数，按照合同订立时1年期贷款市场报价利率计算逾期付款违约金。</w:t>
      </w:r>
    </w:p>
    <w:p w14:paraId="7FD27305">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如果供方未按照本合同约定履行合同义务，需方有权直接扣除履约保证金来抵偿供方应当向需方支付的违约金、损失赔偿金、需方维权所需费用等。履约保证金不足以抵偿上述费用的，需方有权继续主张索赔。</w:t>
      </w:r>
    </w:p>
    <w:p w14:paraId="618DF8A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6、合同执行过程中，供、需双方中一方要求中止或变更合同，需书面（公函、传真）通知对方，对方接通知后应在15天内以书面形式答复对方是否同意，具体事宜按《中华人民共和国民法典》办理。</w:t>
      </w:r>
    </w:p>
    <w:bookmarkEnd w:id="56"/>
    <w:p w14:paraId="3BECFFE6">
      <w:pPr>
        <w:spacing w:line="360" w:lineRule="auto"/>
        <w:ind w:firstLine="472" w:firstLineChars="196"/>
        <w:jc w:val="left"/>
        <w:rPr>
          <w:rFonts w:hint="eastAsia" w:ascii="仿宋" w:hAnsi="仿宋" w:eastAsia="仿宋" w:cs="仿宋"/>
          <w:b/>
          <w:sz w:val="24"/>
        </w:rPr>
      </w:pPr>
      <w:r>
        <w:rPr>
          <w:rFonts w:hint="eastAsia" w:ascii="仿宋" w:hAnsi="仿宋" w:eastAsia="仿宋" w:cs="仿宋"/>
          <w:b/>
          <w:sz w:val="24"/>
        </w:rPr>
        <w:t>十二、不可抗力</w:t>
      </w:r>
    </w:p>
    <w:p w14:paraId="12549A81">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76764E">
      <w:pPr>
        <w:spacing w:line="360" w:lineRule="auto"/>
        <w:ind w:firstLine="472" w:firstLineChars="196"/>
        <w:jc w:val="left"/>
        <w:rPr>
          <w:rFonts w:hint="eastAsia" w:ascii="仿宋" w:hAnsi="仿宋" w:eastAsia="仿宋" w:cs="仿宋"/>
          <w:b/>
          <w:sz w:val="24"/>
        </w:rPr>
      </w:pPr>
      <w:bookmarkStart w:id="57" w:name="_Toc326248010"/>
      <w:r>
        <w:rPr>
          <w:rFonts w:hint="eastAsia" w:ascii="仿宋" w:hAnsi="仿宋" w:eastAsia="仿宋" w:cs="仿宋"/>
          <w:b/>
          <w:sz w:val="24"/>
        </w:rPr>
        <w:t>十三、争议解决</w:t>
      </w:r>
      <w:bookmarkEnd w:id="57"/>
    </w:p>
    <w:p w14:paraId="1E202D90">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供需双方在执行合同中发生争议，应通过协商解决。如协商不成，向需方所在地人民法院诉讼解决。</w:t>
      </w:r>
    </w:p>
    <w:p w14:paraId="74745A04">
      <w:pPr>
        <w:spacing w:line="360" w:lineRule="auto"/>
        <w:ind w:firstLine="472" w:firstLineChars="196"/>
        <w:jc w:val="left"/>
        <w:rPr>
          <w:rFonts w:hint="eastAsia" w:ascii="仿宋" w:hAnsi="仿宋" w:eastAsia="仿宋" w:cs="仿宋"/>
          <w:b/>
          <w:sz w:val="24"/>
        </w:rPr>
      </w:pPr>
      <w:bookmarkStart w:id="58" w:name="_Toc326248011"/>
      <w:r>
        <w:rPr>
          <w:rFonts w:hint="eastAsia" w:ascii="仿宋" w:hAnsi="仿宋" w:eastAsia="仿宋" w:cs="仿宋"/>
          <w:b/>
          <w:sz w:val="24"/>
        </w:rPr>
        <w:t>十四、合同生效及其他</w:t>
      </w:r>
      <w:bookmarkEnd w:id="58"/>
    </w:p>
    <w:p w14:paraId="3889B3C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1、合同由供、需双方授权代表签字并加盖公章后生效。</w:t>
      </w:r>
    </w:p>
    <w:p w14:paraId="6273E456">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2、本合同一式肆份。需方贰份，其中壹份由校资产管理部门备案保管，壹份由校财务部门备案保管；供方壹份，采购代理机构存档壹份。</w:t>
      </w:r>
    </w:p>
    <w:p w14:paraId="063FE2FB">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3、合同执行过程中出现的未尽事宜，双方在不违背合同和招标文件的前提下协商解决。协商结果以“补充协议”形式作为合同附件，与合同具有同等效力。</w:t>
      </w:r>
    </w:p>
    <w:p w14:paraId="73C3FBED">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10117A29">
      <w:pPr>
        <w:spacing w:line="360" w:lineRule="auto"/>
        <w:ind w:firstLine="472" w:firstLineChars="196"/>
        <w:jc w:val="left"/>
        <w:rPr>
          <w:rFonts w:hint="eastAsia" w:ascii="仿宋" w:hAnsi="仿宋" w:eastAsia="仿宋" w:cs="仿宋"/>
          <w:b/>
          <w:sz w:val="24"/>
        </w:rPr>
      </w:pPr>
      <w:bookmarkStart w:id="59" w:name="_Toc326248012"/>
      <w:r>
        <w:rPr>
          <w:rFonts w:hint="eastAsia" w:ascii="仿宋" w:hAnsi="仿宋" w:eastAsia="仿宋" w:cs="仿宋"/>
          <w:b/>
          <w:sz w:val="24"/>
        </w:rPr>
        <w:t>十五、下列文件为本合同不可分割部分</w:t>
      </w:r>
      <w:bookmarkEnd w:id="59"/>
    </w:p>
    <w:p w14:paraId="1BE7E57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1、招标文件（谈判文件/磋商文件/询价通知书/单一来源采购文件）</w:t>
      </w:r>
    </w:p>
    <w:p w14:paraId="54E0317B">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2、投标文件（响应文件）</w:t>
      </w:r>
    </w:p>
    <w:p w14:paraId="25073BF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3、中标通知书（成交通知书）</w:t>
      </w:r>
    </w:p>
    <w:p w14:paraId="0B08197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4、合同附件</w:t>
      </w:r>
    </w:p>
    <w:p w14:paraId="1DC4AD7E">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5、投标人（供应商）所做的其他承诺</w:t>
      </w:r>
    </w:p>
    <w:p w14:paraId="6A384329">
      <w:pPr>
        <w:spacing w:line="360" w:lineRule="auto"/>
        <w:ind w:firstLine="470" w:firstLineChars="196"/>
        <w:jc w:val="left"/>
        <w:rPr>
          <w:rFonts w:hint="eastAsia" w:ascii="仿宋" w:hAnsi="仿宋" w:eastAsia="仿宋" w:cs="仿宋"/>
          <w:sz w:val="24"/>
        </w:rPr>
      </w:pPr>
    </w:p>
    <w:p w14:paraId="5ED10864">
      <w:pPr>
        <w:spacing w:line="360" w:lineRule="auto"/>
        <w:jc w:val="left"/>
        <w:rPr>
          <w:rFonts w:hint="eastAsia" w:ascii="仿宋" w:hAnsi="仿宋" w:eastAsia="仿宋" w:cs="仿宋"/>
          <w:b/>
          <w:bCs/>
          <w:sz w:val="24"/>
        </w:rPr>
      </w:pPr>
      <w:r>
        <w:rPr>
          <w:rFonts w:hint="eastAsia" w:ascii="仿宋" w:hAnsi="仿宋" w:eastAsia="仿宋" w:cs="仿宋"/>
          <w:b/>
          <w:bCs/>
          <w:sz w:val="24"/>
        </w:rPr>
        <w:t xml:space="preserve">需方（章）：                               供方（章）： </w:t>
      </w:r>
    </w:p>
    <w:p w14:paraId="641F2EB3">
      <w:pPr>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sz w:val="24"/>
        </w:rPr>
        <w:t>法人代表：                                法人代表：</w:t>
      </w:r>
    </w:p>
    <w:p w14:paraId="20AE3B6D">
      <w:pPr>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sz w:val="24"/>
        </w:rPr>
        <w:t>委托代理人：                              委托代理人：</w:t>
      </w:r>
    </w:p>
    <w:p w14:paraId="0C0D4A00">
      <w:pPr>
        <w:spacing w:before="100" w:beforeAutospacing="1" w:line="360" w:lineRule="auto"/>
        <w:jc w:val="left"/>
        <w:rPr>
          <w:rFonts w:hint="eastAsia" w:ascii="仿宋" w:hAnsi="仿宋" w:eastAsia="仿宋" w:cs="仿宋"/>
          <w:sz w:val="24"/>
        </w:rPr>
      </w:pPr>
      <w:r>
        <w:rPr>
          <w:rFonts w:hint="eastAsia" w:ascii="仿宋" w:hAnsi="仿宋" w:eastAsia="仿宋" w:cs="仿宋"/>
          <w:sz w:val="24"/>
        </w:rPr>
        <w:t>地址：太原市坞城路92号                   地址：</w:t>
      </w:r>
    </w:p>
    <w:p w14:paraId="49541795">
      <w:pPr>
        <w:spacing w:before="100" w:beforeAutospacing="1" w:line="360" w:lineRule="auto"/>
        <w:jc w:val="left"/>
        <w:rPr>
          <w:rFonts w:hint="eastAsia" w:ascii="仿宋" w:hAnsi="仿宋" w:eastAsia="仿宋" w:cs="仿宋"/>
          <w:sz w:val="24"/>
        </w:rPr>
      </w:pPr>
      <w:r>
        <w:rPr>
          <w:rFonts w:hint="eastAsia" w:ascii="仿宋" w:hAnsi="仿宋" w:eastAsia="仿宋" w:cs="仿宋"/>
          <w:sz w:val="24"/>
        </w:rPr>
        <w:t>电子邮箱：gzccg@sxu.edu.cn                电子邮箱：</w:t>
      </w:r>
    </w:p>
    <w:p w14:paraId="7AEDF5D9">
      <w:pPr>
        <w:spacing w:line="360" w:lineRule="auto"/>
        <w:jc w:val="left"/>
        <w:rPr>
          <w:rFonts w:hint="eastAsia" w:ascii="仿宋" w:hAnsi="仿宋" w:eastAsia="仿宋" w:cs="仿宋"/>
          <w:sz w:val="24"/>
        </w:rPr>
      </w:pPr>
      <w:r>
        <w:rPr>
          <w:rFonts w:hint="eastAsia" w:ascii="仿宋" w:hAnsi="仿宋" w:eastAsia="仿宋" w:cs="仿宋"/>
          <w:sz w:val="24"/>
        </w:rPr>
        <w:t>电 话：0351-7011255                       电话：</w:t>
      </w:r>
    </w:p>
    <w:p w14:paraId="473DDCAE">
      <w:pPr>
        <w:spacing w:line="360" w:lineRule="auto"/>
        <w:jc w:val="left"/>
        <w:rPr>
          <w:rFonts w:hint="eastAsia" w:ascii="仿宋" w:hAnsi="仿宋" w:eastAsia="仿宋" w:cs="仿宋"/>
          <w:sz w:val="24"/>
        </w:rPr>
      </w:pPr>
      <w:r>
        <w:rPr>
          <w:rFonts w:hint="eastAsia" w:ascii="仿宋" w:hAnsi="仿宋" w:eastAsia="仿宋" w:cs="仿宋"/>
          <w:sz w:val="24"/>
        </w:rPr>
        <w:t>开户银行：工行大支(大营盘)                开户银行：</w:t>
      </w:r>
    </w:p>
    <w:p w14:paraId="3DE7BD81">
      <w:pPr>
        <w:spacing w:line="360" w:lineRule="auto"/>
        <w:jc w:val="left"/>
        <w:rPr>
          <w:rFonts w:hint="eastAsia" w:ascii="仿宋" w:hAnsi="仿宋" w:eastAsia="仿宋" w:cs="仿宋"/>
          <w:sz w:val="24"/>
        </w:rPr>
      </w:pPr>
      <w:r>
        <w:rPr>
          <w:rFonts w:hint="eastAsia" w:ascii="仿宋" w:hAnsi="仿宋" w:eastAsia="仿宋" w:cs="仿宋"/>
          <w:sz w:val="24"/>
        </w:rPr>
        <w:t>银行账号：0502121809026401995             银行账号：</w:t>
      </w:r>
    </w:p>
    <w:p w14:paraId="2CF50081">
      <w:pPr>
        <w:spacing w:line="360" w:lineRule="auto"/>
        <w:jc w:val="left"/>
        <w:rPr>
          <w:rFonts w:hint="eastAsia" w:ascii="仿宋" w:hAnsi="仿宋" w:eastAsia="仿宋" w:cs="仿宋"/>
          <w:sz w:val="24"/>
        </w:rPr>
      </w:pPr>
      <w:r>
        <w:rPr>
          <w:rFonts w:hint="eastAsia" w:ascii="仿宋" w:hAnsi="仿宋" w:eastAsia="仿宋" w:cs="仿宋"/>
          <w:sz w:val="24"/>
        </w:rPr>
        <w:t>日期：   年    月    日                 日期：   年    月    日</w:t>
      </w:r>
    </w:p>
    <w:p w14:paraId="06E6B554">
      <w:pPr>
        <w:widowControl/>
        <w:jc w:val="left"/>
        <w:rPr>
          <w:rFonts w:hint="eastAsia" w:ascii="仿宋" w:hAnsi="仿宋" w:eastAsia="仿宋" w:cs="仿宋"/>
          <w:sz w:val="24"/>
        </w:rPr>
      </w:pPr>
      <w:r>
        <w:rPr>
          <w:rFonts w:hint="eastAsia" w:ascii="仿宋" w:hAnsi="仿宋" w:eastAsia="仿宋" w:cs="仿宋"/>
          <w:sz w:val="24"/>
        </w:rPr>
        <w:br w:type="page"/>
      </w:r>
    </w:p>
    <w:p w14:paraId="59C64E7F">
      <w:pPr>
        <w:spacing w:line="360" w:lineRule="auto"/>
        <w:jc w:val="left"/>
        <w:rPr>
          <w:rFonts w:hint="eastAsia" w:ascii="仿宋" w:hAnsi="仿宋" w:eastAsia="仿宋" w:cs="仿宋"/>
          <w:sz w:val="24"/>
        </w:rPr>
      </w:pPr>
      <w:r>
        <w:rPr>
          <w:rFonts w:hint="eastAsia" w:ascii="仿宋" w:hAnsi="仿宋" w:eastAsia="仿宋" w:cs="仿宋"/>
          <w:sz w:val="24"/>
        </w:rPr>
        <w:t>附件一：</w:t>
      </w:r>
    </w:p>
    <w:p w14:paraId="79671BF8">
      <w:pPr>
        <w:spacing w:line="360" w:lineRule="auto"/>
        <w:ind w:firstLine="120" w:firstLineChars="50"/>
        <w:jc w:val="center"/>
        <w:rPr>
          <w:rFonts w:hint="eastAsia" w:ascii="仿宋" w:hAnsi="仿宋" w:eastAsia="仿宋" w:cs="仿宋"/>
          <w:b/>
          <w:sz w:val="24"/>
        </w:rPr>
      </w:pPr>
      <w:r>
        <w:rPr>
          <w:rFonts w:hint="eastAsia" w:ascii="仿宋" w:hAnsi="仿宋" w:eastAsia="仿宋" w:cs="仿宋"/>
          <w:b/>
          <w:sz w:val="24"/>
        </w:rPr>
        <w:t>采购货物清单</w:t>
      </w:r>
    </w:p>
    <w:tbl>
      <w:tblPr>
        <w:tblStyle w:val="15"/>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04"/>
        <w:gridCol w:w="936"/>
        <w:gridCol w:w="762"/>
        <w:gridCol w:w="699"/>
        <w:gridCol w:w="990"/>
        <w:gridCol w:w="836"/>
        <w:gridCol w:w="837"/>
        <w:gridCol w:w="1326"/>
        <w:gridCol w:w="894"/>
      </w:tblGrid>
      <w:tr w14:paraId="733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3A31A9B9">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04" w:type="dxa"/>
            <w:noWrap w:val="0"/>
            <w:vAlign w:val="center"/>
          </w:tcPr>
          <w:p w14:paraId="26C0BB30">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936" w:type="dxa"/>
            <w:noWrap w:val="0"/>
            <w:vAlign w:val="top"/>
          </w:tcPr>
          <w:p w14:paraId="681B657A">
            <w:pPr>
              <w:spacing w:line="360" w:lineRule="auto"/>
              <w:jc w:val="center"/>
              <w:rPr>
                <w:rFonts w:hint="eastAsia" w:ascii="仿宋" w:hAnsi="仿宋" w:eastAsia="仿宋" w:cs="仿宋"/>
                <w:sz w:val="24"/>
              </w:rPr>
            </w:pPr>
            <w:r>
              <w:rPr>
                <w:rFonts w:hint="eastAsia" w:ascii="仿宋" w:hAnsi="仿宋" w:eastAsia="仿宋" w:cs="仿宋"/>
                <w:sz w:val="24"/>
              </w:rPr>
              <w:t>单价（元）</w:t>
            </w:r>
          </w:p>
        </w:tc>
        <w:tc>
          <w:tcPr>
            <w:tcW w:w="762" w:type="dxa"/>
            <w:noWrap w:val="0"/>
            <w:vAlign w:val="center"/>
          </w:tcPr>
          <w:p w14:paraId="0C7929F3">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699" w:type="dxa"/>
            <w:noWrap w:val="0"/>
            <w:vAlign w:val="center"/>
          </w:tcPr>
          <w:p w14:paraId="3E662B45">
            <w:pPr>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990" w:type="dxa"/>
            <w:noWrap w:val="0"/>
            <w:vAlign w:val="center"/>
          </w:tcPr>
          <w:p w14:paraId="018849ED">
            <w:pPr>
              <w:spacing w:line="360" w:lineRule="auto"/>
              <w:jc w:val="center"/>
              <w:rPr>
                <w:rFonts w:hint="eastAsia" w:ascii="仿宋" w:hAnsi="仿宋" w:eastAsia="仿宋" w:cs="仿宋"/>
                <w:sz w:val="24"/>
              </w:rPr>
            </w:pPr>
            <w:r>
              <w:rPr>
                <w:rFonts w:hint="eastAsia" w:ascii="仿宋" w:hAnsi="仿宋" w:eastAsia="仿宋" w:cs="仿宋"/>
                <w:sz w:val="24"/>
              </w:rPr>
              <w:t>合价（元）</w:t>
            </w:r>
          </w:p>
        </w:tc>
        <w:tc>
          <w:tcPr>
            <w:tcW w:w="836" w:type="dxa"/>
            <w:noWrap w:val="0"/>
            <w:vAlign w:val="center"/>
          </w:tcPr>
          <w:p w14:paraId="0056E098">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837" w:type="dxa"/>
            <w:noWrap w:val="0"/>
            <w:vAlign w:val="center"/>
          </w:tcPr>
          <w:p w14:paraId="5DC83D77">
            <w:pPr>
              <w:spacing w:line="360" w:lineRule="auto"/>
              <w:jc w:val="center"/>
              <w:rPr>
                <w:rFonts w:hint="eastAsia" w:ascii="仿宋" w:hAnsi="仿宋" w:eastAsia="仿宋" w:cs="仿宋"/>
                <w:sz w:val="24"/>
              </w:rPr>
            </w:pPr>
            <w:r>
              <w:rPr>
                <w:rFonts w:hint="eastAsia" w:ascii="仿宋" w:hAnsi="仿宋" w:eastAsia="仿宋" w:cs="仿宋"/>
                <w:sz w:val="24"/>
              </w:rPr>
              <w:t>规格型号</w:t>
            </w:r>
          </w:p>
        </w:tc>
        <w:tc>
          <w:tcPr>
            <w:tcW w:w="1326" w:type="dxa"/>
            <w:noWrap w:val="0"/>
            <w:vAlign w:val="center"/>
          </w:tcPr>
          <w:p w14:paraId="6A169AAB">
            <w:pPr>
              <w:spacing w:line="360" w:lineRule="auto"/>
              <w:jc w:val="center"/>
              <w:rPr>
                <w:rFonts w:hint="eastAsia" w:ascii="仿宋" w:hAnsi="仿宋" w:eastAsia="仿宋" w:cs="仿宋"/>
                <w:sz w:val="24"/>
              </w:rPr>
            </w:pPr>
            <w:r>
              <w:rPr>
                <w:rFonts w:hint="eastAsia" w:ascii="仿宋" w:hAnsi="仿宋" w:eastAsia="仿宋" w:cs="仿宋"/>
                <w:sz w:val="24"/>
              </w:rPr>
              <w:t>生产厂家</w:t>
            </w:r>
          </w:p>
        </w:tc>
        <w:tc>
          <w:tcPr>
            <w:tcW w:w="894" w:type="dxa"/>
            <w:noWrap w:val="0"/>
            <w:vAlign w:val="center"/>
          </w:tcPr>
          <w:p w14:paraId="75EBA0F5">
            <w:pPr>
              <w:spacing w:line="360" w:lineRule="auto"/>
              <w:jc w:val="center"/>
              <w:rPr>
                <w:rFonts w:hint="eastAsia" w:ascii="仿宋" w:hAnsi="仿宋" w:eastAsia="仿宋" w:cs="仿宋"/>
                <w:sz w:val="24"/>
              </w:rPr>
            </w:pPr>
            <w:r>
              <w:rPr>
                <w:rFonts w:hint="eastAsia" w:ascii="仿宋" w:hAnsi="仿宋" w:eastAsia="仿宋" w:cs="仿宋"/>
                <w:sz w:val="24"/>
              </w:rPr>
              <w:t>产地</w:t>
            </w:r>
          </w:p>
        </w:tc>
      </w:tr>
      <w:tr w14:paraId="1F1B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728B3D1">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04" w:type="dxa"/>
            <w:noWrap w:val="0"/>
            <w:vAlign w:val="top"/>
          </w:tcPr>
          <w:p w14:paraId="16A08FDD">
            <w:pPr>
              <w:spacing w:line="360" w:lineRule="auto"/>
              <w:jc w:val="left"/>
              <w:rPr>
                <w:rFonts w:hint="eastAsia" w:ascii="仿宋" w:hAnsi="仿宋" w:eastAsia="仿宋" w:cs="仿宋"/>
                <w:sz w:val="24"/>
              </w:rPr>
            </w:pPr>
          </w:p>
        </w:tc>
        <w:tc>
          <w:tcPr>
            <w:tcW w:w="936" w:type="dxa"/>
            <w:noWrap w:val="0"/>
            <w:vAlign w:val="top"/>
          </w:tcPr>
          <w:p w14:paraId="46BFB0D4">
            <w:pPr>
              <w:spacing w:line="360" w:lineRule="auto"/>
              <w:jc w:val="left"/>
              <w:rPr>
                <w:rFonts w:hint="eastAsia" w:ascii="仿宋" w:hAnsi="仿宋" w:eastAsia="仿宋" w:cs="仿宋"/>
                <w:sz w:val="24"/>
              </w:rPr>
            </w:pPr>
          </w:p>
        </w:tc>
        <w:tc>
          <w:tcPr>
            <w:tcW w:w="762" w:type="dxa"/>
            <w:noWrap w:val="0"/>
            <w:vAlign w:val="top"/>
          </w:tcPr>
          <w:p w14:paraId="220932A1">
            <w:pPr>
              <w:spacing w:line="360" w:lineRule="auto"/>
              <w:jc w:val="left"/>
              <w:rPr>
                <w:rFonts w:hint="eastAsia" w:ascii="仿宋" w:hAnsi="仿宋" w:eastAsia="仿宋" w:cs="仿宋"/>
                <w:sz w:val="24"/>
              </w:rPr>
            </w:pPr>
          </w:p>
        </w:tc>
        <w:tc>
          <w:tcPr>
            <w:tcW w:w="699" w:type="dxa"/>
            <w:noWrap w:val="0"/>
            <w:vAlign w:val="top"/>
          </w:tcPr>
          <w:p w14:paraId="7DC5A5EC">
            <w:pPr>
              <w:spacing w:line="360" w:lineRule="auto"/>
              <w:jc w:val="left"/>
              <w:rPr>
                <w:rFonts w:hint="eastAsia" w:ascii="仿宋" w:hAnsi="仿宋" w:eastAsia="仿宋" w:cs="仿宋"/>
                <w:sz w:val="24"/>
              </w:rPr>
            </w:pPr>
          </w:p>
        </w:tc>
        <w:tc>
          <w:tcPr>
            <w:tcW w:w="990" w:type="dxa"/>
            <w:noWrap w:val="0"/>
            <w:vAlign w:val="top"/>
          </w:tcPr>
          <w:p w14:paraId="24484B38">
            <w:pPr>
              <w:spacing w:line="360" w:lineRule="auto"/>
              <w:jc w:val="left"/>
              <w:rPr>
                <w:rFonts w:hint="eastAsia" w:ascii="仿宋" w:hAnsi="仿宋" w:eastAsia="仿宋" w:cs="仿宋"/>
                <w:sz w:val="24"/>
              </w:rPr>
            </w:pPr>
          </w:p>
        </w:tc>
        <w:tc>
          <w:tcPr>
            <w:tcW w:w="836" w:type="dxa"/>
            <w:noWrap w:val="0"/>
            <w:vAlign w:val="top"/>
          </w:tcPr>
          <w:p w14:paraId="493DBEF6">
            <w:pPr>
              <w:spacing w:line="360" w:lineRule="auto"/>
              <w:jc w:val="left"/>
              <w:rPr>
                <w:rFonts w:hint="eastAsia" w:ascii="仿宋" w:hAnsi="仿宋" w:eastAsia="仿宋" w:cs="仿宋"/>
                <w:sz w:val="24"/>
              </w:rPr>
            </w:pPr>
          </w:p>
        </w:tc>
        <w:tc>
          <w:tcPr>
            <w:tcW w:w="837" w:type="dxa"/>
            <w:noWrap w:val="0"/>
            <w:vAlign w:val="top"/>
          </w:tcPr>
          <w:p w14:paraId="0EFBBAD2">
            <w:pPr>
              <w:spacing w:line="360" w:lineRule="auto"/>
              <w:jc w:val="left"/>
              <w:rPr>
                <w:rFonts w:hint="eastAsia" w:ascii="仿宋" w:hAnsi="仿宋" w:eastAsia="仿宋" w:cs="仿宋"/>
                <w:sz w:val="24"/>
              </w:rPr>
            </w:pPr>
          </w:p>
        </w:tc>
        <w:tc>
          <w:tcPr>
            <w:tcW w:w="1326" w:type="dxa"/>
            <w:noWrap w:val="0"/>
            <w:vAlign w:val="top"/>
          </w:tcPr>
          <w:p w14:paraId="5E517A15">
            <w:pPr>
              <w:spacing w:line="360" w:lineRule="auto"/>
              <w:jc w:val="left"/>
              <w:rPr>
                <w:rFonts w:hint="eastAsia" w:ascii="仿宋" w:hAnsi="仿宋" w:eastAsia="仿宋" w:cs="仿宋"/>
                <w:sz w:val="24"/>
              </w:rPr>
            </w:pPr>
          </w:p>
        </w:tc>
        <w:tc>
          <w:tcPr>
            <w:tcW w:w="894" w:type="dxa"/>
            <w:noWrap w:val="0"/>
            <w:vAlign w:val="top"/>
          </w:tcPr>
          <w:p w14:paraId="28487EC2">
            <w:pPr>
              <w:spacing w:line="360" w:lineRule="auto"/>
              <w:jc w:val="left"/>
              <w:rPr>
                <w:rFonts w:hint="eastAsia" w:ascii="仿宋" w:hAnsi="仿宋" w:eastAsia="仿宋" w:cs="仿宋"/>
                <w:sz w:val="24"/>
              </w:rPr>
            </w:pPr>
          </w:p>
        </w:tc>
      </w:tr>
      <w:tr w14:paraId="42DB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3E51494F">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04" w:type="dxa"/>
            <w:noWrap w:val="0"/>
            <w:vAlign w:val="top"/>
          </w:tcPr>
          <w:p w14:paraId="161CC1AA">
            <w:pPr>
              <w:spacing w:line="360" w:lineRule="auto"/>
              <w:jc w:val="left"/>
              <w:rPr>
                <w:rFonts w:hint="eastAsia" w:ascii="仿宋" w:hAnsi="仿宋" w:eastAsia="仿宋" w:cs="仿宋"/>
                <w:sz w:val="24"/>
              </w:rPr>
            </w:pPr>
          </w:p>
        </w:tc>
        <w:tc>
          <w:tcPr>
            <w:tcW w:w="936" w:type="dxa"/>
            <w:noWrap w:val="0"/>
            <w:vAlign w:val="top"/>
          </w:tcPr>
          <w:p w14:paraId="4E734F21">
            <w:pPr>
              <w:spacing w:line="360" w:lineRule="auto"/>
              <w:jc w:val="left"/>
              <w:rPr>
                <w:rFonts w:hint="eastAsia" w:ascii="仿宋" w:hAnsi="仿宋" w:eastAsia="仿宋" w:cs="仿宋"/>
                <w:sz w:val="24"/>
              </w:rPr>
            </w:pPr>
          </w:p>
        </w:tc>
        <w:tc>
          <w:tcPr>
            <w:tcW w:w="762" w:type="dxa"/>
            <w:noWrap w:val="0"/>
            <w:vAlign w:val="top"/>
          </w:tcPr>
          <w:p w14:paraId="00B73A81">
            <w:pPr>
              <w:spacing w:line="360" w:lineRule="auto"/>
              <w:jc w:val="left"/>
              <w:rPr>
                <w:rFonts w:hint="eastAsia" w:ascii="仿宋" w:hAnsi="仿宋" w:eastAsia="仿宋" w:cs="仿宋"/>
                <w:sz w:val="24"/>
              </w:rPr>
            </w:pPr>
          </w:p>
        </w:tc>
        <w:tc>
          <w:tcPr>
            <w:tcW w:w="699" w:type="dxa"/>
            <w:noWrap w:val="0"/>
            <w:vAlign w:val="top"/>
          </w:tcPr>
          <w:p w14:paraId="0E120253">
            <w:pPr>
              <w:spacing w:line="360" w:lineRule="auto"/>
              <w:jc w:val="left"/>
              <w:rPr>
                <w:rFonts w:hint="eastAsia" w:ascii="仿宋" w:hAnsi="仿宋" w:eastAsia="仿宋" w:cs="仿宋"/>
                <w:sz w:val="24"/>
              </w:rPr>
            </w:pPr>
          </w:p>
        </w:tc>
        <w:tc>
          <w:tcPr>
            <w:tcW w:w="990" w:type="dxa"/>
            <w:noWrap w:val="0"/>
            <w:vAlign w:val="top"/>
          </w:tcPr>
          <w:p w14:paraId="41954287">
            <w:pPr>
              <w:spacing w:line="360" w:lineRule="auto"/>
              <w:jc w:val="left"/>
              <w:rPr>
                <w:rFonts w:hint="eastAsia" w:ascii="仿宋" w:hAnsi="仿宋" w:eastAsia="仿宋" w:cs="仿宋"/>
                <w:sz w:val="24"/>
              </w:rPr>
            </w:pPr>
          </w:p>
        </w:tc>
        <w:tc>
          <w:tcPr>
            <w:tcW w:w="836" w:type="dxa"/>
            <w:noWrap w:val="0"/>
            <w:vAlign w:val="top"/>
          </w:tcPr>
          <w:p w14:paraId="13C8FDBB">
            <w:pPr>
              <w:spacing w:line="360" w:lineRule="auto"/>
              <w:jc w:val="left"/>
              <w:rPr>
                <w:rFonts w:hint="eastAsia" w:ascii="仿宋" w:hAnsi="仿宋" w:eastAsia="仿宋" w:cs="仿宋"/>
                <w:sz w:val="24"/>
              </w:rPr>
            </w:pPr>
          </w:p>
        </w:tc>
        <w:tc>
          <w:tcPr>
            <w:tcW w:w="837" w:type="dxa"/>
            <w:noWrap w:val="0"/>
            <w:vAlign w:val="top"/>
          </w:tcPr>
          <w:p w14:paraId="0E1AB159">
            <w:pPr>
              <w:spacing w:line="360" w:lineRule="auto"/>
              <w:jc w:val="left"/>
              <w:rPr>
                <w:rFonts w:hint="eastAsia" w:ascii="仿宋" w:hAnsi="仿宋" w:eastAsia="仿宋" w:cs="仿宋"/>
                <w:sz w:val="24"/>
              </w:rPr>
            </w:pPr>
          </w:p>
        </w:tc>
        <w:tc>
          <w:tcPr>
            <w:tcW w:w="1326" w:type="dxa"/>
            <w:noWrap w:val="0"/>
            <w:vAlign w:val="top"/>
          </w:tcPr>
          <w:p w14:paraId="1C4D3172">
            <w:pPr>
              <w:spacing w:line="360" w:lineRule="auto"/>
              <w:jc w:val="left"/>
              <w:rPr>
                <w:rFonts w:hint="eastAsia" w:ascii="仿宋" w:hAnsi="仿宋" w:eastAsia="仿宋" w:cs="仿宋"/>
                <w:sz w:val="24"/>
              </w:rPr>
            </w:pPr>
          </w:p>
        </w:tc>
        <w:tc>
          <w:tcPr>
            <w:tcW w:w="894" w:type="dxa"/>
            <w:noWrap w:val="0"/>
            <w:vAlign w:val="top"/>
          </w:tcPr>
          <w:p w14:paraId="50C6B66E">
            <w:pPr>
              <w:spacing w:line="360" w:lineRule="auto"/>
              <w:jc w:val="left"/>
              <w:rPr>
                <w:rFonts w:hint="eastAsia" w:ascii="仿宋" w:hAnsi="仿宋" w:eastAsia="仿宋" w:cs="仿宋"/>
                <w:sz w:val="24"/>
              </w:rPr>
            </w:pPr>
          </w:p>
        </w:tc>
      </w:tr>
      <w:tr w14:paraId="6987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6E992480">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04" w:type="dxa"/>
            <w:noWrap w:val="0"/>
            <w:vAlign w:val="top"/>
          </w:tcPr>
          <w:p w14:paraId="7B8D5625">
            <w:pPr>
              <w:spacing w:line="360" w:lineRule="auto"/>
              <w:jc w:val="left"/>
              <w:rPr>
                <w:rFonts w:hint="eastAsia" w:ascii="仿宋" w:hAnsi="仿宋" w:eastAsia="仿宋" w:cs="仿宋"/>
                <w:sz w:val="24"/>
              </w:rPr>
            </w:pPr>
          </w:p>
        </w:tc>
        <w:tc>
          <w:tcPr>
            <w:tcW w:w="936" w:type="dxa"/>
            <w:noWrap w:val="0"/>
            <w:vAlign w:val="top"/>
          </w:tcPr>
          <w:p w14:paraId="0B3FC04B">
            <w:pPr>
              <w:spacing w:line="360" w:lineRule="auto"/>
              <w:jc w:val="left"/>
              <w:rPr>
                <w:rFonts w:hint="eastAsia" w:ascii="仿宋" w:hAnsi="仿宋" w:eastAsia="仿宋" w:cs="仿宋"/>
                <w:sz w:val="24"/>
              </w:rPr>
            </w:pPr>
          </w:p>
        </w:tc>
        <w:tc>
          <w:tcPr>
            <w:tcW w:w="762" w:type="dxa"/>
            <w:noWrap w:val="0"/>
            <w:vAlign w:val="top"/>
          </w:tcPr>
          <w:p w14:paraId="363B564D">
            <w:pPr>
              <w:spacing w:line="360" w:lineRule="auto"/>
              <w:jc w:val="left"/>
              <w:rPr>
                <w:rFonts w:hint="eastAsia" w:ascii="仿宋" w:hAnsi="仿宋" w:eastAsia="仿宋" w:cs="仿宋"/>
                <w:sz w:val="24"/>
              </w:rPr>
            </w:pPr>
          </w:p>
        </w:tc>
        <w:tc>
          <w:tcPr>
            <w:tcW w:w="699" w:type="dxa"/>
            <w:noWrap w:val="0"/>
            <w:vAlign w:val="top"/>
          </w:tcPr>
          <w:p w14:paraId="7F899F51">
            <w:pPr>
              <w:spacing w:line="360" w:lineRule="auto"/>
              <w:jc w:val="left"/>
              <w:rPr>
                <w:rFonts w:hint="eastAsia" w:ascii="仿宋" w:hAnsi="仿宋" w:eastAsia="仿宋" w:cs="仿宋"/>
                <w:sz w:val="24"/>
              </w:rPr>
            </w:pPr>
          </w:p>
        </w:tc>
        <w:tc>
          <w:tcPr>
            <w:tcW w:w="990" w:type="dxa"/>
            <w:noWrap w:val="0"/>
            <w:vAlign w:val="top"/>
          </w:tcPr>
          <w:p w14:paraId="6823EF4B">
            <w:pPr>
              <w:spacing w:line="360" w:lineRule="auto"/>
              <w:jc w:val="left"/>
              <w:rPr>
                <w:rFonts w:hint="eastAsia" w:ascii="仿宋" w:hAnsi="仿宋" w:eastAsia="仿宋" w:cs="仿宋"/>
                <w:sz w:val="24"/>
              </w:rPr>
            </w:pPr>
          </w:p>
        </w:tc>
        <w:tc>
          <w:tcPr>
            <w:tcW w:w="836" w:type="dxa"/>
            <w:noWrap w:val="0"/>
            <w:vAlign w:val="top"/>
          </w:tcPr>
          <w:p w14:paraId="03C0CABD">
            <w:pPr>
              <w:spacing w:line="360" w:lineRule="auto"/>
              <w:jc w:val="left"/>
              <w:rPr>
                <w:rFonts w:hint="eastAsia" w:ascii="仿宋" w:hAnsi="仿宋" w:eastAsia="仿宋" w:cs="仿宋"/>
                <w:sz w:val="24"/>
              </w:rPr>
            </w:pPr>
          </w:p>
        </w:tc>
        <w:tc>
          <w:tcPr>
            <w:tcW w:w="837" w:type="dxa"/>
            <w:noWrap w:val="0"/>
            <w:vAlign w:val="top"/>
          </w:tcPr>
          <w:p w14:paraId="12FE40AB">
            <w:pPr>
              <w:spacing w:line="360" w:lineRule="auto"/>
              <w:jc w:val="left"/>
              <w:rPr>
                <w:rFonts w:hint="eastAsia" w:ascii="仿宋" w:hAnsi="仿宋" w:eastAsia="仿宋" w:cs="仿宋"/>
                <w:sz w:val="24"/>
              </w:rPr>
            </w:pPr>
          </w:p>
        </w:tc>
        <w:tc>
          <w:tcPr>
            <w:tcW w:w="1326" w:type="dxa"/>
            <w:noWrap w:val="0"/>
            <w:vAlign w:val="top"/>
          </w:tcPr>
          <w:p w14:paraId="529D12BD">
            <w:pPr>
              <w:spacing w:line="360" w:lineRule="auto"/>
              <w:jc w:val="left"/>
              <w:rPr>
                <w:rFonts w:hint="eastAsia" w:ascii="仿宋" w:hAnsi="仿宋" w:eastAsia="仿宋" w:cs="仿宋"/>
                <w:sz w:val="24"/>
              </w:rPr>
            </w:pPr>
          </w:p>
        </w:tc>
        <w:tc>
          <w:tcPr>
            <w:tcW w:w="894" w:type="dxa"/>
            <w:noWrap w:val="0"/>
            <w:vAlign w:val="top"/>
          </w:tcPr>
          <w:p w14:paraId="5C904D5E">
            <w:pPr>
              <w:spacing w:line="360" w:lineRule="auto"/>
              <w:jc w:val="left"/>
              <w:rPr>
                <w:rFonts w:hint="eastAsia" w:ascii="仿宋" w:hAnsi="仿宋" w:eastAsia="仿宋" w:cs="仿宋"/>
                <w:sz w:val="24"/>
              </w:rPr>
            </w:pPr>
          </w:p>
        </w:tc>
      </w:tr>
      <w:tr w14:paraId="56D4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5188A10E">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204" w:type="dxa"/>
            <w:noWrap w:val="0"/>
            <w:vAlign w:val="top"/>
          </w:tcPr>
          <w:p w14:paraId="32AFA177">
            <w:pPr>
              <w:spacing w:line="360" w:lineRule="auto"/>
              <w:jc w:val="left"/>
              <w:rPr>
                <w:rFonts w:hint="eastAsia" w:ascii="仿宋" w:hAnsi="仿宋" w:eastAsia="仿宋" w:cs="仿宋"/>
                <w:sz w:val="24"/>
              </w:rPr>
            </w:pPr>
          </w:p>
        </w:tc>
        <w:tc>
          <w:tcPr>
            <w:tcW w:w="936" w:type="dxa"/>
            <w:noWrap w:val="0"/>
            <w:vAlign w:val="top"/>
          </w:tcPr>
          <w:p w14:paraId="69451EFA">
            <w:pPr>
              <w:spacing w:line="360" w:lineRule="auto"/>
              <w:jc w:val="left"/>
              <w:rPr>
                <w:rFonts w:hint="eastAsia" w:ascii="仿宋" w:hAnsi="仿宋" w:eastAsia="仿宋" w:cs="仿宋"/>
                <w:sz w:val="24"/>
              </w:rPr>
            </w:pPr>
          </w:p>
        </w:tc>
        <w:tc>
          <w:tcPr>
            <w:tcW w:w="762" w:type="dxa"/>
            <w:noWrap w:val="0"/>
            <w:vAlign w:val="top"/>
          </w:tcPr>
          <w:p w14:paraId="73D926A7">
            <w:pPr>
              <w:spacing w:line="360" w:lineRule="auto"/>
              <w:jc w:val="left"/>
              <w:rPr>
                <w:rFonts w:hint="eastAsia" w:ascii="仿宋" w:hAnsi="仿宋" w:eastAsia="仿宋" w:cs="仿宋"/>
                <w:sz w:val="24"/>
              </w:rPr>
            </w:pPr>
          </w:p>
        </w:tc>
        <w:tc>
          <w:tcPr>
            <w:tcW w:w="699" w:type="dxa"/>
            <w:noWrap w:val="0"/>
            <w:vAlign w:val="top"/>
          </w:tcPr>
          <w:p w14:paraId="4A73D6AE">
            <w:pPr>
              <w:spacing w:line="360" w:lineRule="auto"/>
              <w:jc w:val="left"/>
              <w:rPr>
                <w:rFonts w:hint="eastAsia" w:ascii="仿宋" w:hAnsi="仿宋" w:eastAsia="仿宋" w:cs="仿宋"/>
                <w:sz w:val="24"/>
              </w:rPr>
            </w:pPr>
          </w:p>
        </w:tc>
        <w:tc>
          <w:tcPr>
            <w:tcW w:w="990" w:type="dxa"/>
            <w:noWrap w:val="0"/>
            <w:vAlign w:val="top"/>
          </w:tcPr>
          <w:p w14:paraId="65249CBC">
            <w:pPr>
              <w:spacing w:line="360" w:lineRule="auto"/>
              <w:jc w:val="left"/>
              <w:rPr>
                <w:rFonts w:hint="eastAsia" w:ascii="仿宋" w:hAnsi="仿宋" w:eastAsia="仿宋" w:cs="仿宋"/>
                <w:sz w:val="24"/>
              </w:rPr>
            </w:pPr>
          </w:p>
        </w:tc>
        <w:tc>
          <w:tcPr>
            <w:tcW w:w="836" w:type="dxa"/>
            <w:noWrap w:val="0"/>
            <w:vAlign w:val="top"/>
          </w:tcPr>
          <w:p w14:paraId="506F3F43">
            <w:pPr>
              <w:spacing w:line="360" w:lineRule="auto"/>
              <w:jc w:val="left"/>
              <w:rPr>
                <w:rFonts w:hint="eastAsia" w:ascii="仿宋" w:hAnsi="仿宋" w:eastAsia="仿宋" w:cs="仿宋"/>
                <w:sz w:val="24"/>
              </w:rPr>
            </w:pPr>
          </w:p>
        </w:tc>
        <w:tc>
          <w:tcPr>
            <w:tcW w:w="837" w:type="dxa"/>
            <w:noWrap w:val="0"/>
            <w:vAlign w:val="top"/>
          </w:tcPr>
          <w:p w14:paraId="42D60481">
            <w:pPr>
              <w:spacing w:line="360" w:lineRule="auto"/>
              <w:jc w:val="left"/>
              <w:rPr>
                <w:rFonts w:hint="eastAsia" w:ascii="仿宋" w:hAnsi="仿宋" w:eastAsia="仿宋" w:cs="仿宋"/>
                <w:sz w:val="24"/>
              </w:rPr>
            </w:pPr>
          </w:p>
        </w:tc>
        <w:tc>
          <w:tcPr>
            <w:tcW w:w="1326" w:type="dxa"/>
            <w:noWrap w:val="0"/>
            <w:vAlign w:val="top"/>
          </w:tcPr>
          <w:p w14:paraId="113276E3">
            <w:pPr>
              <w:spacing w:line="360" w:lineRule="auto"/>
              <w:jc w:val="left"/>
              <w:rPr>
                <w:rFonts w:hint="eastAsia" w:ascii="仿宋" w:hAnsi="仿宋" w:eastAsia="仿宋" w:cs="仿宋"/>
                <w:sz w:val="24"/>
              </w:rPr>
            </w:pPr>
          </w:p>
        </w:tc>
        <w:tc>
          <w:tcPr>
            <w:tcW w:w="894" w:type="dxa"/>
            <w:noWrap w:val="0"/>
            <w:vAlign w:val="top"/>
          </w:tcPr>
          <w:p w14:paraId="69BF7E45">
            <w:pPr>
              <w:spacing w:line="360" w:lineRule="auto"/>
              <w:jc w:val="left"/>
              <w:rPr>
                <w:rFonts w:hint="eastAsia" w:ascii="仿宋" w:hAnsi="仿宋" w:eastAsia="仿宋" w:cs="仿宋"/>
                <w:sz w:val="24"/>
              </w:rPr>
            </w:pPr>
          </w:p>
        </w:tc>
      </w:tr>
      <w:tr w14:paraId="4921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50BE1484">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04" w:type="dxa"/>
            <w:noWrap w:val="0"/>
            <w:vAlign w:val="top"/>
          </w:tcPr>
          <w:p w14:paraId="1E3E2C00">
            <w:pPr>
              <w:spacing w:line="360" w:lineRule="auto"/>
              <w:jc w:val="left"/>
              <w:rPr>
                <w:rFonts w:hint="eastAsia" w:ascii="仿宋" w:hAnsi="仿宋" w:eastAsia="仿宋" w:cs="仿宋"/>
                <w:sz w:val="24"/>
              </w:rPr>
            </w:pPr>
          </w:p>
        </w:tc>
        <w:tc>
          <w:tcPr>
            <w:tcW w:w="936" w:type="dxa"/>
            <w:noWrap w:val="0"/>
            <w:vAlign w:val="top"/>
          </w:tcPr>
          <w:p w14:paraId="70878762">
            <w:pPr>
              <w:spacing w:line="360" w:lineRule="auto"/>
              <w:jc w:val="left"/>
              <w:rPr>
                <w:rFonts w:hint="eastAsia" w:ascii="仿宋" w:hAnsi="仿宋" w:eastAsia="仿宋" w:cs="仿宋"/>
                <w:sz w:val="24"/>
              </w:rPr>
            </w:pPr>
          </w:p>
        </w:tc>
        <w:tc>
          <w:tcPr>
            <w:tcW w:w="762" w:type="dxa"/>
            <w:noWrap w:val="0"/>
            <w:vAlign w:val="top"/>
          </w:tcPr>
          <w:p w14:paraId="0DD0DB2A">
            <w:pPr>
              <w:spacing w:line="360" w:lineRule="auto"/>
              <w:jc w:val="left"/>
              <w:rPr>
                <w:rFonts w:hint="eastAsia" w:ascii="仿宋" w:hAnsi="仿宋" w:eastAsia="仿宋" w:cs="仿宋"/>
                <w:sz w:val="24"/>
              </w:rPr>
            </w:pPr>
          </w:p>
        </w:tc>
        <w:tc>
          <w:tcPr>
            <w:tcW w:w="699" w:type="dxa"/>
            <w:noWrap w:val="0"/>
            <w:vAlign w:val="top"/>
          </w:tcPr>
          <w:p w14:paraId="35EBF4B7">
            <w:pPr>
              <w:spacing w:line="360" w:lineRule="auto"/>
              <w:jc w:val="left"/>
              <w:rPr>
                <w:rFonts w:hint="eastAsia" w:ascii="仿宋" w:hAnsi="仿宋" w:eastAsia="仿宋" w:cs="仿宋"/>
                <w:sz w:val="24"/>
              </w:rPr>
            </w:pPr>
          </w:p>
        </w:tc>
        <w:tc>
          <w:tcPr>
            <w:tcW w:w="990" w:type="dxa"/>
            <w:noWrap w:val="0"/>
            <w:vAlign w:val="top"/>
          </w:tcPr>
          <w:p w14:paraId="460B9D11">
            <w:pPr>
              <w:spacing w:line="360" w:lineRule="auto"/>
              <w:jc w:val="left"/>
              <w:rPr>
                <w:rFonts w:hint="eastAsia" w:ascii="仿宋" w:hAnsi="仿宋" w:eastAsia="仿宋" w:cs="仿宋"/>
                <w:sz w:val="24"/>
              </w:rPr>
            </w:pPr>
          </w:p>
        </w:tc>
        <w:tc>
          <w:tcPr>
            <w:tcW w:w="836" w:type="dxa"/>
            <w:noWrap w:val="0"/>
            <w:vAlign w:val="top"/>
          </w:tcPr>
          <w:p w14:paraId="7F72082B">
            <w:pPr>
              <w:spacing w:line="360" w:lineRule="auto"/>
              <w:jc w:val="left"/>
              <w:rPr>
                <w:rFonts w:hint="eastAsia" w:ascii="仿宋" w:hAnsi="仿宋" w:eastAsia="仿宋" w:cs="仿宋"/>
                <w:sz w:val="24"/>
              </w:rPr>
            </w:pPr>
          </w:p>
        </w:tc>
        <w:tc>
          <w:tcPr>
            <w:tcW w:w="837" w:type="dxa"/>
            <w:noWrap w:val="0"/>
            <w:vAlign w:val="top"/>
          </w:tcPr>
          <w:p w14:paraId="66089DFA">
            <w:pPr>
              <w:spacing w:line="360" w:lineRule="auto"/>
              <w:jc w:val="left"/>
              <w:rPr>
                <w:rFonts w:hint="eastAsia" w:ascii="仿宋" w:hAnsi="仿宋" w:eastAsia="仿宋" w:cs="仿宋"/>
                <w:sz w:val="24"/>
              </w:rPr>
            </w:pPr>
          </w:p>
        </w:tc>
        <w:tc>
          <w:tcPr>
            <w:tcW w:w="1326" w:type="dxa"/>
            <w:noWrap w:val="0"/>
            <w:vAlign w:val="top"/>
          </w:tcPr>
          <w:p w14:paraId="4F3A32A6">
            <w:pPr>
              <w:spacing w:line="360" w:lineRule="auto"/>
              <w:jc w:val="left"/>
              <w:rPr>
                <w:rFonts w:hint="eastAsia" w:ascii="仿宋" w:hAnsi="仿宋" w:eastAsia="仿宋" w:cs="仿宋"/>
                <w:sz w:val="24"/>
              </w:rPr>
            </w:pPr>
          </w:p>
        </w:tc>
        <w:tc>
          <w:tcPr>
            <w:tcW w:w="894" w:type="dxa"/>
            <w:noWrap w:val="0"/>
            <w:vAlign w:val="top"/>
          </w:tcPr>
          <w:p w14:paraId="026DF9BA">
            <w:pPr>
              <w:spacing w:line="360" w:lineRule="auto"/>
              <w:jc w:val="left"/>
              <w:rPr>
                <w:rFonts w:hint="eastAsia" w:ascii="仿宋" w:hAnsi="仿宋" w:eastAsia="仿宋" w:cs="仿宋"/>
                <w:sz w:val="24"/>
              </w:rPr>
            </w:pPr>
          </w:p>
        </w:tc>
      </w:tr>
      <w:tr w14:paraId="1588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319C8BD">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204" w:type="dxa"/>
            <w:noWrap w:val="0"/>
            <w:vAlign w:val="top"/>
          </w:tcPr>
          <w:p w14:paraId="2550E87E">
            <w:pPr>
              <w:spacing w:line="360" w:lineRule="auto"/>
              <w:jc w:val="left"/>
              <w:rPr>
                <w:rFonts w:hint="eastAsia" w:ascii="仿宋" w:hAnsi="仿宋" w:eastAsia="仿宋" w:cs="仿宋"/>
                <w:sz w:val="24"/>
              </w:rPr>
            </w:pPr>
          </w:p>
        </w:tc>
        <w:tc>
          <w:tcPr>
            <w:tcW w:w="936" w:type="dxa"/>
            <w:noWrap w:val="0"/>
            <w:vAlign w:val="top"/>
          </w:tcPr>
          <w:p w14:paraId="699D26AE">
            <w:pPr>
              <w:spacing w:line="360" w:lineRule="auto"/>
              <w:jc w:val="left"/>
              <w:rPr>
                <w:rFonts w:hint="eastAsia" w:ascii="仿宋" w:hAnsi="仿宋" w:eastAsia="仿宋" w:cs="仿宋"/>
                <w:sz w:val="24"/>
              </w:rPr>
            </w:pPr>
          </w:p>
        </w:tc>
        <w:tc>
          <w:tcPr>
            <w:tcW w:w="762" w:type="dxa"/>
            <w:noWrap w:val="0"/>
            <w:vAlign w:val="top"/>
          </w:tcPr>
          <w:p w14:paraId="248481DE">
            <w:pPr>
              <w:spacing w:line="360" w:lineRule="auto"/>
              <w:jc w:val="left"/>
              <w:rPr>
                <w:rFonts w:hint="eastAsia" w:ascii="仿宋" w:hAnsi="仿宋" w:eastAsia="仿宋" w:cs="仿宋"/>
                <w:sz w:val="24"/>
              </w:rPr>
            </w:pPr>
          </w:p>
        </w:tc>
        <w:tc>
          <w:tcPr>
            <w:tcW w:w="699" w:type="dxa"/>
            <w:noWrap w:val="0"/>
            <w:vAlign w:val="top"/>
          </w:tcPr>
          <w:p w14:paraId="47F991F2">
            <w:pPr>
              <w:spacing w:line="360" w:lineRule="auto"/>
              <w:jc w:val="left"/>
              <w:rPr>
                <w:rFonts w:hint="eastAsia" w:ascii="仿宋" w:hAnsi="仿宋" w:eastAsia="仿宋" w:cs="仿宋"/>
                <w:sz w:val="24"/>
              </w:rPr>
            </w:pPr>
          </w:p>
        </w:tc>
        <w:tc>
          <w:tcPr>
            <w:tcW w:w="990" w:type="dxa"/>
            <w:noWrap w:val="0"/>
            <w:vAlign w:val="top"/>
          </w:tcPr>
          <w:p w14:paraId="6286FB13">
            <w:pPr>
              <w:spacing w:line="360" w:lineRule="auto"/>
              <w:jc w:val="left"/>
              <w:rPr>
                <w:rFonts w:hint="eastAsia" w:ascii="仿宋" w:hAnsi="仿宋" w:eastAsia="仿宋" w:cs="仿宋"/>
                <w:sz w:val="24"/>
              </w:rPr>
            </w:pPr>
          </w:p>
        </w:tc>
        <w:tc>
          <w:tcPr>
            <w:tcW w:w="836" w:type="dxa"/>
            <w:noWrap w:val="0"/>
            <w:vAlign w:val="top"/>
          </w:tcPr>
          <w:p w14:paraId="215C6136">
            <w:pPr>
              <w:spacing w:line="360" w:lineRule="auto"/>
              <w:jc w:val="left"/>
              <w:rPr>
                <w:rFonts w:hint="eastAsia" w:ascii="仿宋" w:hAnsi="仿宋" w:eastAsia="仿宋" w:cs="仿宋"/>
                <w:sz w:val="24"/>
              </w:rPr>
            </w:pPr>
          </w:p>
        </w:tc>
        <w:tc>
          <w:tcPr>
            <w:tcW w:w="837" w:type="dxa"/>
            <w:noWrap w:val="0"/>
            <w:vAlign w:val="top"/>
          </w:tcPr>
          <w:p w14:paraId="6050F6B8">
            <w:pPr>
              <w:spacing w:line="360" w:lineRule="auto"/>
              <w:jc w:val="left"/>
              <w:rPr>
                <w:rFonts w:hint="eastAsia" w:ascii="仿宋" w:hAnsi="仿宋" w:eastAsia="仿宋" w:cs="仿宋"/>
                <w:sz w:val="24"/>
              </w:rPr>
            </w:pPr>
          </w:p>
        </w:tc>
        <w:tc>
          <w:tcPr>
            <w:tcW w:w="1326" w:type="dxa"/>
            <w:noWrap w:val="0"/>
            <w:vAlign w:val="top"/>
          </w:tcPr>
          <w:p w14:paraId="5934670F">
            <w:pPr>
              <w:spacing w:line="360" w:lineRule="auto"/>
              <w:jc w:val="left"/>
              <w:rPr>
                <w:rFonts w:hint="eastAsia" w:ascii="仿宋" w:hAnsi="仿宋" w:eastAsia="仿宋" w:cs="仿宋"/>
                <w:sz w:val="24"/>
              </w:rPr>
            </w:pPr>
          </w:p>
        </w:tc>
        <w:tc>
          <w:tcPr>
            <w:tcW w:w="894" w:type="dxa"/>
            <w:noWrap w:val="0"/>
            <w:vAlign w:val="top"/>
          </w:tcPr>
          <w:p w14:paraId="176AC8C4">
            <w:pPr>
              <w:spacing w:line="360" w:lineRule="auto"/>
              <w:jc w:val="left"/>
              <w:rPr>
                <w:rFonts w:hint="eastAsia" w:ascii="仿宋" w:hAnsi="仿宋" w:eastAsia="仿宋" w:cs="仿宋"/>
                <w:sz w:val="24"/>
              </w:rPr>
            </w:pPr>
          </w:p>
        </w:tc>
      </w:tr>
      <w:tr w14:paraId="5E81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gridSpan w:val="2"/>
            <w:noWrap w:val="0"/>
            <w:vAlign w:val="top"/>
          </w:tcPr>
          <w:p w14:paraId="04D32707">
            <w:pPr>
              <w:spacing w:line="360" w:lineRule="auto"/>
              <w:jc w:val="center"/>
              <w:rPr>
                <w:rFonts w:hint="eastAsia" w:ascii="仿宋" w:hAnsi="仿宋" w:eastAsia="仿宋" w:cs="仿宋"/>
                <w:sz w:val="24"/>
              </w:rPr>
            </w:pPr>
            <w:r>
              <w:rPr>
                <w:rFonts w:hint="eastAsia" w:ascii="仿宋" w:hAnsi="仿宋" w:eastAsia="仿宋" w:cs="仿宋"/>
                <w:sz w:val="24"/>
              </w:rPr>
              <w:t>合计</w:t>
            </w:r>
          </w:p>
        </w:tc>
        <w:tc>
          <w:tcPr>
            <w:tcW w:w="7280" w:type="dxa"/>
            <w:gridSpan w:val="8"/>
            <w:noWrap w:val="0"/>
            <w:vAlign w:val="top"/>
          </w:tcPr>
          <w:p w14:paraId="3CDE278B">
            <w:pPr>
              <w:spacing w:line="360" w:lineRule="auto"/>
              <w:jc w:val="left"/>
              <w:rPr>
                <w:rFonts w:hint="eastAsia" w:ascii="仿宋" w:hAnsi="仿宋" w:eastAsia="仿宋" w:cs="仿宋"/>
                <w:sz w:val="24"/>
              </w:rPr>
            </w:pPr>
            <w:r>
              <w:rPr>
                <w:rFonts w:hint="eastAsia" w:ascii="仿宋" w:hAnsi="仿宋" w:eastAsia="仿宋" w:cs="仿宋"/>
                <w:sz w:val="24"/>
              </w:rPr>
              <w:t>大写：                （含税价）   小写: ￥</w:t>
            </w:r>
          </w:p>
        </w:tc>
      </w:tr>
    </w:tbl>
    <w:p w14:paraId="528647F0">
      <w:pPr>
        <w:spacing w:line="360" w:lineRule="auto"/>
        <w:jc w:val="left"/>
        <w:rPr>
          <w:rFonts w:hint="eastAsia" w:ascii="仿宋" w:hAnsi="仿宋" w:eastAsia="仿宋" w:cs="仿宋"/>
          <w:sz w:val="24"/>
        </w:rPr>
      </w:pPr>
    </w:p>
    <w:p w14:paraId="60F0FB16">
      <w:pPr>
        <w:widowControl/>
        <w:jc w:val="left"/>
        <w:rPr>
          <w:rFonts w:hint="eastAsia" w:ascii="仿宋" w:hAnsi="仿宋" w:eastAsia="仿宋" w:cs="仿宋"/>
          <w:sz w:val="24"/>
        </w:rPr>
      </w:pPr>
      <w:r>
        <w:rPr>
          <w:rFonts w:hint="eastAsia" w:ascii="仿宋" w:hAnsi="仿宋" w:eastAsia="仿宋" w:cs="仿宋"/>
          <w:sz w:val="24"/>
        </w:rPr>
        <w:br w:type="page"/>
      </w:r>
    </w:p>
    <w:p w14:paraId="2BC035F5">
      <w:pPr>
        <w:spacing w:line="360" w:lineRule="auto"/>
        <w:jc w:val="left"/>
        <w:rPr>
          <w:rFonts w:hint="eastAsia" w:ascii="仿宋" w:hAnsi="仿宋" w:eastAsia="仿宋" w:cs="仿宋"/>
          <w:sz w:val="24"/>
        </w:rPr>
      </w:pPr>
      <w:r>
        <w:rPr>
          <w:rFonts w:hint="eastAsia" w:ascii="仿宋" w:hAnsi="仿宋" w:eastAsia="仿宋" w:cs="仿宋"/>
          <w:sz w:val="24"/>
        </w:rPr>
        <w:t>附件二：</w:t>
      </w:r>
    </w:p>
    <w:p w14:paraId="2D8F1997">
      <w:pPr>
        <w:spacing w:line="360" w:lineRule="auto"/>
        <w:jc w:val="center"/>
        <w:rPr>
          <w:rFonts w:hint="eastAsia" w:ascii="仿宋" w:hAnsi="仿宋" w:eastAsia="仿宋" w:cs="仿宋"/>
          <w:b/>
          <w:sz w:val="24"/>
        </w:rPr>
      </w:pPr>
      <w:r>
        <w:rPr>
          <w:rFonts w:hint="eastAsia" w:ascii="仿宋" w:hAnsi="仿宋" w:eastAsia="仿宋" w:cs="仿宋"/>
          <w:b/>
          <w:sz w:val="24"/>
        </w:rPr>
        <w:t>货物技术参数</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2"/>
        <w:gridCol w:w="715"/>
        <w:gridCol w:w="4205"/>
        <w:gridCol w:w="1043"/>
        <w:gridCol w:w="1414"/>
      </w:tblGrid>
      <w:tr w14:paraId="3E6C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21ADBC5D">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72" w:type="dxa"/>
            <w:noWrap w:val="0"/>
            <w:vAlign w:val="top"/>
          </w:tcPr>
          <w:p w14:paraId="7E2E27B7">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715" w:type="dxa"/>
            <w:noWrap w:val="0"/>
            <w:vAlign w:val="top"/>
          </w:tcPr>
          <w:p w14:paraId="26278C5A">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4205" w:type="dxa"/>
            <w:noWrap w:val="0"/>
            <w:vAlign w:val="top"/>
          </w:tcPr>
          <w:p w14:paraId="4666D996">
            <w:pPr>
              <w:spacing w:line="360" w:lineRule="auto"/>
              <w:jc w:val="center"/>
              <w:rPr>
                <w:rFonts w:hint="eastAsia" w:ascii="仿宋" w:hAnsi="仿宋" w:eastAsia="仿宋" w:cs="仿宋"/>
                <w:sz w:val="24"/>
              </w:rPr>
            </w:pPr>
            <w:r>
              <w:rPr>
                <w:rFonts w:hint="eastAsia" w:ascii="仿宋" w:hAnsi="仿宋" w:eastAsia="仿宋" w:cs="仿宋"/>
                <w:sz w:val="24"/>
              </w:rPr>
              <w:t>技术参数</w:t>
            </w:r>
          </w:p>
        </w:tc>
        <w:tc>
          <w:tcPr>
            <w:tcW w:w="1043" w:type="dxa"/>
            <w:noWrap w:val="0"/>
            <w:vAlign w:val="top"/>
          </w:tcPr>
          <w:p w14:paraId="3D09CC4B">
            <w:pPr>
              <w:spacing w:line="360" w:lineRule="auto"/>
              <w:jc w:val="center"/>
              <w:rPr>
                <w:rFonts w:hint="eastAsia" w:ascii="仿宋" w:hAnsi="仿宋" w:eastAsia="仿宋" w:cs="仿宋"/>
                <w:sz w:val="24"/>
              </w:rPr>
            </w:pPr>
            <w:r>
              <w:rPr>
                <w:rFonts w:hint="eastAsia" w:ascii="仿宋" w:hAnsi="仿宋" w:eastAsia="仿宋" w:cs="仿宋"/>
                <w:sz w:val="24"/>
              </w:rPr>
              <w:t>质保期</w:t>
            </w:r>
          </w:p>
        </w:tc>
        <w:tc>
          <w:tcPr>
            <w:tcW w:w="1414" w:type="dxa"/>
            <w:noWrap w:val="0"/>
            <w:vAlign w:val="top"/>
          </w:tcPr>
          <w:p w14:paraId="696E60E9">
            <w:pPr>
              <w:spacing w:line="360" w:lineRule="auto"/>
              <w:jc w:val="center"/>
              <w:rPr>
                <w:rFonts w:hint="eastAsia" w:ascii="仿宋" w:hAnsi="仿宋" w:eastAsia="仿宋" w:cs="仿宋"/>
                <w:sz w:val="24"/>
              </w:rPr>
            </w:pPr>
            <w:r>
              <w:rPr>
                <w:rFonts w:hint="eastAsia" w:ascii="仿宋" w:hAnsi="仿宋" w:eastAsia="仿宋" w:cs="仿宋"/>
                <w:sz w:val="24"/>
              </w:rPr>
              <w:t>交货时间</w:t>
            </w:r>
          </w:p>
        </w:tc>
      </w:tr>
      <w:tr w14:paraId="6AF9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3B8A31C4">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72" w:type="dxa"/>
            <w:noWrap w:val="0"/>
            <w:vAlign w:val="top"/>
          </w:tcPr>
          <w:p w14:paraId="01CF6D7B">
            <w:pPr>
              <w:spacing w:line="360" w:lineRule="auto"/>
              <w:jc w:val="left"/>
              <w:rPr>
                <w:rFonts w:hint="eastAsia" w:ascii="仿宋" w:hAnsi="仿宋" w:eastAsia="仿宋" w:cs="仿宋"/>
                <w:sz w:val="24"/>
              </w:rPr>
            </w:pPr>
          </w:p>
        </w:tc>
        <w:tc>
          <w:tcPr>
            <w:tcW w:w="715" w:type="dxa"/>
            <w:noWrap w:val="0"/>
            <w:vAlign w:val="top"/>
          </w:tcPr>
          <w:p w14:paraId="465A9B22">
            <w:pPr>
              <w:spacing w:line="360" w:lineRule="auto"/>
              <w:jc w:val="left"/>
              <w:rPr>
                <w:rFonts w:hint="eastAsia" w:ascii="仿宋" w:hAnsi="仿宋" w:eastAsia="仿宋" w:cs="仿宋"/>
                <w:sz w:val="24"/>
              </w:rPr>
            </w:pPr>
          </w:p>
        </w:tc>
        <w:tc>
          <w:tcPr>
            <w:tcW w:w="4205" w:type="dxa"/>
            <w:noWrap w:val="0"/>
            <w:vAlign w:val="top"/>
          </w:tcPr>
          <w:p w14:paraId="174A1857">
            <w:pPr>
              <w:spacing w:line="360" w:lineRule="auto"/>
              <w:jc w:val="left"/>
              <w:rPr>
                <w:rFonts w:hint="eastAsia" w:ascii="仿宋" w:hAnsi="仿宋" w:eastAsia="仿宋" w:cs="仿宋"/>
                <w:sz w:val="24"/>
              </w:rPr>
            </w:pPr>
          </w:p>
        </w:tc>
        <w:tc>
          <w:tcPr>
            <w:tcW w:w="1043" w:type="dxa"/>
            <w:noWrap w:val="0"/>
            <w:vAlign w:val="top"/>
          </w:tcPr>
          <w:p w14:paraId="517B3863">
            <w:pPr>
              <w:spacing w:line="360" w:lineRule="auto"/>
              <w:jc w:val="left"/>
              <w:rPr>
                <w:rFonts w:hint="eastAsia" w:ascii="仿宋" w:hAnsi="仿宋" w:eastAsia="仿宋" w:cs="仿宋"/>
                <w:sz w:val="24"/>
              </w:rPr>
            </w:pPr>
          </w:p>
        </w:tc>
        <w:tc>
          <w:tcPr>
            <w:tcW w:w="1414" w:type="dxa"/>
            <w:noWrap w:val="0"/>
            <w:vAlign w:val="top"/>
          </w:tcPr>
          <w:p w14:paraId="321952C6">
            <w:pPr>
              <w:spacing w:line="360" w:lineRule="auto"/>
              <w:jc w:val="left"/>
              <w:rPr>
                <w:rFonts w:hint="eastAsia" w:ascii="仿宋" w:hAnsi="仿宋" w:eastAsia="仿宋" w:cs="仿宋"/>
                <w:sz w:val="24"/>
              </w:rPr>
            </w:pPr>
          </w:p>
        </w:tc>
      </w:tr>
      <w:tr w14:paraId="453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0EE6DFCE">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72" w:type="dxa"/>
            <w:noWrap w:val="0"/>
            <w:vAlign w:val="top"/>
          </w:tcPr>
          <w:p w14:paraId="5BB65346">
            <w:pPr>
              <w:spacing w:line="360" w:lineRule="auto"/>
              <w:jc w:val="left"/>
              <w:rPr>
                <w:rFonts w:hint="eastAsia" w:ascii="仿宋" w:hAnsi="仿宋" w:eastAsia="仿宋" w:cs="仿宋"/>
                <w:sz w:val="24"/>
              </w:rPr>
            </w:pPr>
          </w:p>
        </w:tc>
        <w:tc>
          <w:tcPr>
            <w:tcW w:w="715" w:type="dxa"/>
            <w:noWrap w:val="0"/>
            <w:vAlign w:val="top"/>
          </w:tcPr>
          <w:p w14:paraId="66510505">
            <w:pPr>
              <w:spacing w:line="360" w:lineRule="auto"/>
              <w:jc w:val="left"/>
              <w:rPr>
                <w:rFonts w:hint="eastAsia" w:ascii="仿宋" w:hAnsi="仿宋" w:eastAsia="仿宋" w:cs="仿宋"/>
                <w:sz w:val="24"/>
              </w:rPr>
            </w:pPr>
          </w:p>
        </w:tc>
        <w:tc>
          <w:tcPr>
            <w:tcW w:w="4205" w:type="dxa"/>
            <w:noWrap w:val="0"/>
            <w:vAlign w:val="top"/>
          </w:tcPr>
          <w:p w14:paraId="09D48131">
            <w:pPr>
              <w:spacing w:line="360" w:lineRule="auto"/>
              <w:jc w:val="left"/>
              <w:rPr>
                <w:rFonts w:hint="eastAsia" w:ascii="仿宋" w:hAnsi="仿宋" w:eastAsia="仿宋" w:cs="仿宋"/>
                <w:sz w:val="24"/>
              </w:rPr>
            </w:pPr>
          </w:p>
        </w:tc>
        <w:tc>
          <w:tcPr>
            <w:tcW w:w="1043" w:type="dxa"/>
            <w:noWrap w:val="0"/>
            <w:vAlign w:val="top"/>
          </w:tcPr>
          <w:p w14:paraId="0EF46AE8">
            <w:pPr>
              <w:spacing w:line="360" w:lineRule="auto"/>
              <w:jc w:val="left"/>
              <w:rPr>
                <w:rFonts w:hint="eastAsia" w:ascii="仿宋" w:hAnsi="仿宋" w:eastAsia="仿宋" w:cs="仿宋"/>
                <w:sz w:val="24"/>
              </w:rPr>
            </w:pPr>
          </w:p>
        </w:tc>
        <w:tc>
          <w:tcPr>
            <w:tcW w:w="1414" w:type="dxa"/>
            <w:noWrap w:val="0"/>
            <w:vAlign w:val="top"/>
          </w:tcPr>
          <w:p w14:paraId="76DB33F9">
            <w:pPr>
              <w:spacing w:line="360" w:lineRule="auto"/>
              <w:jc w:val="left"/>
              <w:rPr>
                <w:rFonts w:hint="eastAsia" w:ascii="仿宋" w:hAnsi="仿宋" w:eastAsia="仿宋" w:cs="仿宋"/>
                <w:sz w:val="24"/>
              </w:rPr>
            </w:pPr>
          </w:p>
        </w:tc>
      </w:tr>
      <w:tr w14:paraId="2076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6E155139">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72" w:type="dxa"/>
            <w:noWrap w:val="0"/>
            <w:vAlign w:val="top"/>
          </w:tcPr>
          <w:p w14:paraId="52485F10">
            <w:pPr>
              <w:spacing w:line="360" w:lineRule="auto"/>
              <w:jc w:val="left"/>
              <w:rPr>
                <w:rFonts w:hint="eastAsia" w:ascii="仿宋" w:hAnsi="仿宋" w:eastAsia="仿宋" w:cs="仿宋"/>
                <w:sz w:val="24"/>
              </w:rPr>
            </w:pPr>
          </w:p>
        </w:tc>
        <w:tc>
          <w:tcPr>
            <w:tcW w:w="715" w:type="dxa"/>
            <w:noWrap w:val="0"/>
            <w:vAlign w:val="top"/>
          </w:tcPr>
          <w:p w14:paraId="5A1740F0">
            <w:pPr>
              <w:spacing w:line="360" w:lineRule="auto"/>
              <w:jc w:val="left"/>
              <w:rPr>
                <w:rFonts w:hint="eastAsia" w:ascii="仿宋" w:hAnsi="仿宋" w:eastAsia="仿宋" w:cs="仿宋"/>
                <w:sz w:val="24"/>
              </w:rPr>
            </w:pPr>
          </w:p>
        </w:tc>
        <w:tc>
          <w:tcPr>
            <w:tcW w:w="4205" w:type="dxa"/>
            <w:noWrap w:val="0"/>
            <w:vAlign w:val="top"/>
          </w:tcPr>
          <w:p w14:paraId="7C099FF5">
            <w:pPr>
              <w:spacing w:line="360" w:lineRule="auto"/>
              <w:jc w:val="left"/>
              <w:rPr>
                <w:rFonts w:hint="eastAsia" w:ascii="仿宋" w:hAnsi="仿宋" w:eastAsia="仿宋" w:cs="仿宋"/>
                <w:sz w:val="24"/>
              </w:rPr>
            </w:pPr>
          </w:p>
        </w:tc>
        <w:tc>
          <w:tcPr>
            <w:tcW w:w="1043" w:type="dxa"/>
            <w:noWrap w:val="0"/>
            <w:vAlign w:val="top"/>
          </w:tcPr>
          <w:p w14:paraId="3857093A">
            <w:pPr>
              <w:spacing w:line="360" w:lineRule="auto"/>
              <w:jc w:val="left"/>
              <w:rPr>
                <w:rFonts w:hint="eastAsia" w:ascii="仿宋" w:hAnsi="仿宋" w:eastAsia="仿宋" w:cs="仿宋"/>
                <w:sz w:val="24"/>
              </w:rPr>
            </w:pPr>
          </w:p>
        </w:tc>
        <w:tc>
          <w:tcPr>
            <w:tcW w:w="1414" w:type="dxa"/>
            <w:noWrap w:val="0"/>
            <w:vAlign w:val="top"/>
          </w:tcPr>
          <w:p w14:paraId="39A14CBC">
            <w:pPr>
              <w:spacing w:line="360" w:lineRule="auto"/>
              <w:jc w:val="left"/>
              <w:rPr>
                <w:rFonts w:hint="eastAsia" w:ascii="仿宋" w:hAnsi="仿宋" w:eastAsia="仿宋" w:cs="仿宋"/>
                <w:sz w:val="24"/>
              </w:rPr>
            </w:pPr>
          </w:p>
        </w:tc>
      </w:tr>
      <w:tr w14:paraId="49A2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20CB2910">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272" w:type="dxa"/>
            <w:noWrap w:val="0"/>
            <w:vAlign w:val="top"/>
          </w:tcPr>
          <w:p w14:paraId="4F642710">
            <w:pPr>
              <w:spacing w:line="360" w:lineRule="auto"/>
              <w:jc w:val="left"/>
              <w:rPr>
                <w:rFonts w:hint="eastAsia" w:ascii="仿宋" w:hAnsi="仿宋" w:eastAsia="仿宋" w:cs="仿宋"/>
                <w:sz w:val="24"/>
              </w:rPr>
            </w:pPr>
          </w:p>
        </w:tc>
        <w:tc>
          <w:tcPr>
            <w:tcW w:w="715" w:type="dxa"/>
            <w:noWrap w:val="0"/>
            <w:vAlign w:val="top"/>
          </w:tcPr>
          <w:p w14:paraId="6DB45714">
            <w:pPr>
              <w:spacing w:line="360" w:lineRule="auto"/>
              <w:jc w:val="left"/>
              <w:rPr>
                <w:rFonts w:hint="eastAsia" w:ascii="仿宋" w:hAnsi="仿宋" w:eastAsia="仿宋" w:cs="仿宋"/>
                <w:sz w:val="24"/>
              </w:rPr>
            </w:pPr>
          </w:p>
        </w:tc>
        <w:tc>
          <w:tcPr>
            <w:tcW w:w="4205" w:type="dxa"/>
            <w:noWrap w:val="0"/>
            <w:vAlign w:val="top"/>
          </w:tcPr>
          <w:p w14:paraId="27B169A9">
            <w:pPr>
              <w:spacing w:line="360" w:lineRule="auto"/>
              <w:jc w:val="left"/>
              <w:rPr>
                <w:rFonts w:hint="eastAsia" w:ascii="仿宋" w:hAnsi="仿宋" w:eastAsia="仿宋" w:cs="仿宋"/>
                <w:sz w:val="24"/>
              </w:rPr>
            </w:pPr>
          </w:p>
        </w:tc>
        <w:tc>
          <w:tcPr>
            <w:tcW w:w="1043" w:type="dxa"/>
            <w:noWrap w:val="0"/>
            <w:vAlign w:val="top"/>
          </w:tcPr>
          <w:p w14:paraId="07D21A3E">
            <w:pPr>
              <w:spacing w:line="360" w:lineRule="auto"/>
              <w:jc w:val="left"/>
              <w:rPr>
                <w:rFonts w:hint="eastAsia" w:ascii="仿宋" w:hAnsi="仿宋" w:eastAsia="仿宋" w:cs="仿宋"/>
                <w:sz w:val="24"/>
              </w:rPr>
            </w:pPr>
          </w:p>
        </w:tc>
        <w:tc>
          <w:tcPr>
            <w:tcW w:w="1414" w:type="dxa"/>
            <w:noWrap w:val="0"/>
            <w:vAlign w:val="top"/>
          </w:tcPr>
          <w:p w14:paraId="5D53A81B">
            <w:pPr>
              <w:spacing w:line="360" w:lineRule="auto"/>
              <w:jc w:val="left"/>
              <w:rPr>
                <w:rFonts w:hint="eastAsia" w:ascii="仿宋" w:hAnsi="仿宋" w:eastAsia="仿宋" w:cs="仿宋"/>
                <w:sz w:val="24"/>
              </w:rPr>
            </w:pPr>
          </w:p>
        </w:tc>
      </w:tr>
      <w:tr w14:paraId="4FB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4FD7736B">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72" w:type="dxa"/>
            <w:noWrap w:val="0"/>
            <w:vAlign w:val="top"/>
          </w:tcPr>
          <w:p w14:paraId="5717C780">
            <w:pPr>
              <w:spacing w:line="360" w:lineRule="auto"/>
              <w:jc w:val="left"/>
              <w:rPr>
                <w:rFonts w:hint="eastAsia" w:ascii="仿宋" w:hAnsi="仿宋" w:eastAsia="仿宋" w:cs="仿宋"/>
                <w:sz w:val="24"/>
              </w:rPr>
            </w:pPr>
          </w:p>
        </w:tc>
        <w:tc>
          <w:tcPr>
            <w:tcW w:w="715" w:type="dxa"/>
            <w:noWrap w:val="0"/>
            <w:vAlign w:val="top"/>
          </w:tcPr>
          <w:p w14:paraId="3ADCDC58">
            <w:pPr>
              <w:spacing w:line="360" w:lineRule="auto"/>
              <w:jc w:val="left"/>
              <w:rPr>
                <w:rFonts w:hint="eastAsia" w:ascii="仿宋" w:hAnsi="仿宋" w:eastAsia="仿宋" w:cs="仿宋"/>
                <w:sz w:val="24"/>
              </w:rPr>
            </w:pPr>
          </w:p>
        </w:tc>
        <w:tc>
          <w:tcPr>
            <w:tcW w:w="4205" w:type="dxa"/>
            <w:noWrap w:val="0"/>
            <w:vAlign w:val="top"/>
          </w:tcPr>
          <w:p w14:paraId="3BA0A309">
            <w:pPr>
              <w:spacing w:line="360" w:lineRule="auto"/>
              <w:jc w:val="left"/>
              <w:rPr>
                <w:rFonts w:hint="eastAsia" w:ascii="仿宋" w:hAnsi="仿宋" w:eastAsia="仿宋" w:cs="仿宋"/>
                <w:sz w:val="24"/>
              </w:rPr>
            </w:pPr>
          </w:p>
        </w:tc>
        <w:tc>
          <w:tcPr>
            <w:tcW w:w="1043" w:type="dxa"/>
            <w:noWrap w:val="0"/>
            <w:vAlign w:val="top"/>
          </w:tcPr>
          <w:p w14:paraId="1358AE8D">
            <w:pPr>
              <w:spacing w:line="360" w:lineRule="auto"/>
              <w:jc w:val="left"/>
              <w:rPr>
                <w:rFonts w:hint="eastAsia" w:ascii="仿宋" w:hAnsi="仿宋" w:eastAsia="仿宋" w:cs="仿宋"/>
                <w:sz w:val="24"/>
              </w:rPr>
            </w:pPr>
          </w:p>
        </w:tc>
        <w:tc>
          <w:tcPr>
            <w:tcW w:w="1414" w:type="dxa"/>
            <w:noWrap w:val="0"/>
            <w:vAlign w:val="top"/>
          </w:tcPr>
          <w:p w14:paraId="6FCF7538">
            <w:pPr>
              <w:spacing w:line="360" w:lineRule="auto"/>
              <w:jc w:val="left"/>
              <w:rPr>
                <w:rFonts w:hint="eastAsia" w:ascii="仿宋" w:hAnsi="仿宋" w:eastAsia="仿宋" w:cs="仿宋"/>
                <w:sz w:val="24"/>
              </w:rPr>
            </w:pPr>
          </w:p>
        </w:tc>
      </w:tr>
      <w:tr w14:paraId="5BC7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16964936">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272" w:type="dxa"/>
            <w:noWrap w:val="0"/>
            <w:vAlign w:val="top"/>
          </w:tcPr>
          <w:p w14:paraId="3A1FFE38">
            <w:pPr>
              <w:spacing w:line="360" w:lineRule="auto"/>
              <w:jc w:val="left"/>
              <w:rPr>
                <w:rFonts w:hint="eastAsia" w:ascii="仿宋" w:hAnsi="仿宋" w:eastAsia="仿宋" w:cs="仿宋"/>
                <w:sz w:val="24"/>
              </w:rPr>
            </w:pPr>
          </w:p>
        </w:tc>
        <w:tc>
          <w:tcPr>
            <w:tcW w:w="715" w:type="dxa"/>
            <w:noWrap w:val="0"/>
            <w:vAlign w:val="top"/>
          </w:tcPr>
          <w:p w14:paraId="2CDB1206">
            <w:pPr>
              <w:spacing w:line="360" w:lineRule="auto"/>
              <w:jc w:val="left"/>
              <w:rPr>
                <w:rFonts w:hint="eastAsia" w:ascii="仿宋" w:hAnsi="仿宋" w:eastAsia="仿宋" w:cs="仿宋"/>
                <w:sz w:val="24"/>
              </w:rPr>
            </w:pPr>
          </w:p>
        </w:tc>
        <w:tc>
          <w:tcPr>
            <w:tcW w:w="4205" w:type="dxa"/>
            <w:noWrap w:val="0"/>
            <w:vAlign w:val="top"/>
          </w:tcPr>
          <w:p w14:paraId="2E8F3FD3">
            <w:pPr>
              <w:spacing w:line="360" w:lineRule="auto"/>
              <w:jc w:val="left"/>
              <w:rPr>
                <w:rFonts w:hint="eastAsia" w:ascii="仿宋" w:hAnsi="仿宋" w:eastAsia="仿宋" w:cs="仿宋"/>
                <w:sz w:val="24"/>
              </w:rPr>
            </w:pPr>
          </w:p>
        </w:tc>
        <w:tc>
          <w:tcPr>
            <w:tcW w:w="1043" w:type="dxa"/>
            <w:noWrap w:val="0"/>
            <w:vAlign w:val="top"/>
          </w:tcPr>
          <w:p w14:paraId="0F9FE581">
            <w:pPr>
              <w:spacing w:line="360" w:lineRule="auto"/>
              <w:jc w:val="left"/>
              <w:rPr>
                <w:rFonts w:hint="eastAsia" w:ascii="仿宋" w:hAnsi="仿宋" w:eastAsia="仿宋" w:cs="仿宋"/>
                <w:sz w:val="24"/>
              </w:rPr>
            </w:pPr>
          </w:p>
        </w:tc>
        <w:tc>
          <w:tcPr>
            <w:tcW w:w="1414" w:type="dxa"/>
            <w:noWrap w:val="0"/>
            <w:vAlign w:val="top"/>
          </w:tcPr>
          <w:p w14:paraId="5C68B7E4">
            <w:pPr>
              <w:spacing w:line="360" w:lineRule="auto"/>
              <w:jc w:val="left"/>
              <w:rPr>
                <w:rFonts w:hint="eastAsia" w:ascii="仿宋" w:hAnsi="仿宋" w:eastAsia="仿宋" w:cs="仿宋"/>
                <w:sz w:val="24"/>
              </w:rPr>
            </w:pPr>
          </w:p>
        </w:tc>
      </w:tr>
    </w:tbl>
    <w:p w14:paraId="4FC739CC">
      <w:pPr>
        <w:spacing w:line="360" w:lineRule="auto"/>
        <w:jc w:val="left"/>
        <w:rPr>
          <w:rFonts w:hint="eastAsia" w:ascii="仿宋" w:hAnsi="仿宋" w:eastAsia="仿宋" w:cs="仿宋"/>
          <w:sz w:val="24"/>
        </w:rPr>
      </w:pPr>
    </w:p>
    <w:p w14:paraId="24B4E1C1">
      <w:pPr>
        <w:widowControl/>
        <w:jc w:val="left"/>
        <w:rPr>
          <w:rFonts w:hint="eastAsia" w:ascii="仿宋" w:hAnsi="仿宋" w:eastAsia="仿宋" w:cs="仿宋"/>
          <w:sz w:val="24"/>
        </w:rPr>
      </w:pPr>
      <w:r>
        <w:rPr>
          <w:rFonts w:hint="eastAsia" w:ascii="仿宋" w:hAnsi="仿宋" w:eastAsia="仿宋" w:cs="仿宋"/>
          <w:sz w:val="24"/>
        </w:rPr>
        <w:br w:type="page"/>
      </w:r>
    </w:p>
    <w:p w14:paraId="1DD475C7">
      <w:pPr>
        <w:spacing w:line="360" w:lineRule="auto"/>
        <w:jc w:val="left"/>
        <w:rPr>
          <w:rFonts w:hint="eastAsia" w:ascii="仿宋" w:hAnsi="仿宋" w:eastAsia="仿宋" w:cs="仿宋"/>
          <w:sz w:val="24"/>
        </w:rPr>
      </w:pPr>
      <w:r>
        <w:rPr>
          <w:rFonts w:hint="eastAsia" w:ascii="仿宋" w:hAnsi="仿宋" w:eastAsia="仿宋" w:cs="仿宋"/>
          <w:sz w:val="24"/>
        </w:rPr>
        <w:t>附件三：</w:t>
      </w:r>
    </w:p>
    <w:p w14:paraId="248BF1E1">
      <w:pPr>
        <w:spacing w:line="360" w:lineRule="auto"/>
        <w:jc w:val="center"/>
        <w:rPr>
          <w:rFonts w:hint="eastAsia" w:ascii="仿宋" w:hAnsi="仿宋" w:eastAsia="仿宋" w:cs="仿宋"/>
          <w:b/>
          <w:sz w:val="24"/>
        </w:rPr>
      </w:pPr>
      <w:r>
        <w:rPr>
          <w:rFonts w:hint="eastAsia" w:ascii="仿宋" w:hAnsi="仿宋" w:eastAsia="仿宋" w:cs="仿宋"/>
          <w:b/>
          <w:bCs/>
          <w:sz w:val="24"/>
        </w:rPr>
        <w:t>售后服务承诺</w:t>
      </w:r>
    </w:p>
    <w:p w14:paraId="5ACFD7C1">
      <w:pPr>
        <w:rPr>
          <w:rFonts w:hint="eastAsia" w:ascii="仿宋" w:hAnsi="仿宋" w:eastAsia="仿宋" w:cs="仿宋"/>
        </w:rPr>
      </w:pPr>
    </w:p>
    <w:p w14:paraId="2463C92A">
      <w:pPr>
        <w:rPr>
          <w:rFonts w:hint="eastAsia" w:ascii="仿宋" w:hAnsi="仿宋" w:eastAsia="仿宋" w:cs="仿宋"/>
        </w:rPr>
      </w:pPr>
    </w:p>
    <w:p w14:paraId="0EC225E7">
      <w:pPr>
        <w:spacing w:line="360" w:lineRule="auto"/>
        <w:jc w:val="center"/>
        <w:rPr>
          <w:rFonts w:ascii="宋体" w:hAnsi="宋体"/>
          <w:b/>
          <w:sz w:val="24"/>
          <w:highlight w:val="none"/>
        </w:rPr>
      </w:pPr>
    </w:p>
    <w:p w14:paraId="69087A74">
      <w:pPr>
        <w:rPr>
          <w:highlight w:val="none"/>
        </w:rPr>
      </w:pPr>
    </w:p>
    <w:p w14:paraId="035640D4">
      <w:pPr>
        <w:spacing w:line="360" w:lineRule="auto"/>
        <w:jc w:val="center"/>
        <w:rPr>
          <w:rFonts w:hint="eastAsia" w:ascii="仿宋" w:hAnsi="仿宋" w:eastAsia="仿宋" w:cs="仿宋"/>
          <w:b/>
          <w:sz w:val="24"/>
          <w:highlight w:val="none"/>
        </w:rPr>
      </w:pPr>
    </w:p>
    <w:p w14:paraId="53F94FBB">
      <w:pPr>
        <w:pStyle w:val="2"/>
        <w:bidi w:val="0"/>
        <w:rPr>
          <w:rFonts w:hint="eastAsia" w:ascii="仿宋" w:hAnsi="仿宋" w:eastAsia="仿宋" w:cs="仿宋"/>
          <w:kern w:val="0"/>
          <w:sz w:val="28"/>
          <w:highlight w:val="none"/>
        </w:rPr>
      </w:pPr>
      <w:r>
        <w:rPr>
          <w:rFonts w:hint="eastAsia" w:ascii="仿宋" w:hAnsi="仿宋" w:eastAsia="仿宋" w:cs="仿宋"/>
          <w:b/>
          <w:kern w:val="2"/>
          <w:sz w:val="24"/>
          <w:szCs w:val="24"/>
          <w:highlight w:val="none"/>
          <w:lang w:val="en-US" w:eastAsia="zh-CN" w:bidi="ar-SA"/>
        </w:rPr>
        <w:br w:type="page"/>
      </w:r>
      <w:bookmarkStart w:id="60" w:name="_Toc19147"/>
      <w:r>
        <w:rPr>
          <w:rFonts w:hint="eastAsia" w:ascii="仿宋" w:hAnsi="仿宋" w:eastAsia="仿宋" w:cs="仿宋"/>
          <w:b/>
          <w:kern w:val="2"/>
          <w:sz w:val="24"/>
          <w:szCs w:val="24"/>
          <w:highlight w:val="none"/>
          <w:lang w:val="en-US" w:eastAsia="zh-CN" w:bidi="ar-SA"/>
        </w:rPr>
        <w:t xml:space="preserve">第七部分  </w:t>
      </w:r>
      <w:bookmarkStart w:id="61" w:name="_Toc86202632"/>
      <w:r>
        <w:rPr>
          <w:rFonts w:hint="eastAsia" w:ascii="仿宋" w:hAnsi="仿宋" w:eastAsia="仿宋" w:cs="仿宋"/>
          <w:b/>
          <w:kern w:val="2"/>
          <w:sz w:val="24"/>
          <w:szCs w:val="24"/>
          <w:highlight w:val="none"/>
          <w:lang w:val="en-US" w:eastAsia="zh-CN" w:bidi="ar-SA"/>
        </w:rPr>
        <w:t>响应文件格式</w:t>
      </w:r>
      <w:bookmarkEnd w:id="60"/>
      <w:bookmarkEnd w:id="61"/>
    </w:p>
    <w:p w14:paraId="430D0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一、供应商递交文件须知</w:t>
      </w:r>
    </w:p>
    <w:p w14:paraId="463794DB">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1、供应商按照本</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谈判文件第二部分供应商须知前附表中序号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、序号</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中的内容及顺序编排响应文件，编排中涉及本部分内容的，应按照本部分提供的内容和格式（所有表格的格式可扩展）填写提交。未提供格式的，供应商自行编制。</w:t>
      </w:r>
    </w:p>
    <w:p w14:paraId="4C697196">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2、全部声明和问题的回答及所附材料是真实的、准确的和完整的。</w:t>
      </w:r>
    </w:p>
    <w:p w14:paraId="777980A7">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3、按谈判文件要求“格式”提供的材料，如有调整，内容及签署必须完整、有效，且没有本文件不可接受的条件。</w:t>
      </w:r>
    </w:p>
    <w:p w14:paraId="10715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二、响应文件中部分格式内</w:t>
      </w:r>
      <w:r>
        <w:rPr>
          <w:rFonts w:hint="eastAsia" w:ascii="仿宋" w:hAnsi="仿宋" w:eastAsia="仿宋" w:cs="仿宋"/>
          <w:b/>
          <w:bCs/>
          <w:kern w:val="2"/>
          <w:sz w:val="24"/>
          <w:szCs w:val="24"/>
          <w:highlight w:val="none"/>
          <w:lang w:val="en-US" w:eastAsia="zh-CN" w:bidi="ar-SA"/>
        </w:rPr>
        <w:t>容</w:t>
      </w:r>
    </w:p>
    <w:p w14:paraId="4C32F8E5">
      <w:pPr>
        <w:widowControl/>
        <w:tabs>
          <w:tab w:val="left" w:pos="4000"/>
        </w:tabs>
        <w:snapToGrid w:val="0"/>
        <w:spacing w:line="360" w:lineRule="auto"/>
        <w:jc w:val="left"/>
        <w:rPr>
          <w:rFonts w:hint="eastAsia" w:ascii="仿宋" w:hAnsi="仿宋" w:eastAsia="仿宋" w:cs="仿宋"/>
          <w:kern w:val="0"/>
          <w:sz w:val="24"/>
          <w:szCs w:val="24"/>
          <w:highlight w:val="none"/>
        </w:rPr>
      </w:pPr>
      <w:bookmarkStart w:id="62" w:name="_Toc24214"/>
      <w:r>
        <w:rPr>
          <w:rFonts w:hint="eastAsia" w:ascii="仿宋" w:hAnsi="仿宋" w:eastAsia="仿宋" w:cs="仿宋"/>
          <w:kern w:val="0"/>
          <w:sz w:val="28"/>
          <w:highlight w:val="none"/>
        </w:rPr>
        <w:br w:type="page"/>
      </w:r>
      <w:r>
        <w:rPr>
          <w:rFonts w:hint="eastAsia" w:ascii="仿宋" w:hAnsi="仿宋" w:eastAsia="仿宋" w:cs="仿宋"/>
          <w:kern w:val="0"/>
          <w:sz w:val="24"/>
          <w:szCs w:val="24"/>
          <w:highlight w:val="none"/>
        </w:rPr>
        <w:t>响应文件封面参考格式</w:t>
      </w:r>
      <w:bookmarkEnd w:id="62"/>
    </w:p>
    <w:p w14:paraId="42285085">
      <w:pPr>
        <w:widowControl/>
        <w:snapToGrid w:val="0"/>
        <w:spacing w:line="360" w:lineRule="auto"/>
        <w:jc w:val="right"/>
        <w:rPr>
          <w:rFonts w:hint="eastAsia" w:ascii="仿宋" w:hAnsi="仿宋" w:eastAsia="仿宋" w:cs="仿宋"/>
          <w:kern w:val="0"/>
          <w:sz w:val="28"/>
          <w:szCs w:val="32"/>
          <w:highlight w:val="none"/>
        </w:rPr>
      </w:pPr>
    </w:p>
    <w:p w14:paraId="6648AB14">
      <w:pPr>
        <w:pStyle w:val="14"/>
        <w:rPr>
          <w:rFonts w:hint="eastAsia" w:ascii="仿宋" w:hAnsi="仿宋" w:eastAsia="仿宋" w:cs="仿宋"/>
          <w:kern w:val="0"/>
          <w:sz w:val="28"/>
          <w:szCs w:val="32"/>
          <w:highlight w:val="none"/>
        </w:rPr>
      </w:pPr>
    </w:p>
    <w:p w14:paraId="516D1834">
      <w:pPr>
        <w:pStyle w:val="14"/>
        <w:rPr>
          <w:rFonts w:hint="eastAsia" w:ascii="仿宋" w:hAnsi="仿宋" w:eastAsia="仿宋" w:cs="仿宋"/>
          <w:kern w:val="0"/>
          <w:sz w:val="28"/>
          <w:szCs w:val="32"/>
          <w:highlight w:val="none"/>
        </w:rPr>
      </w:pPr>
    </w:p>
    <w:p w14:paraId="0C432121">
      <w:pPr>
        <w:pStyle w:val="14"/>
        <w:rPr>
          <w:rFonts w:hint="eastAsia" w:ascii="仿宋" w:hAnsi="仿宋" w:eastAsia="仿宋" w:cs="仿宋"/>
          <w:kern w:val="0"/>
          <w:sz w:val="28"/>
          <w:szCs w:val="32"/>
          <w:highlight w:val="none"/>
        </w:rPr>
      </w:pPr>
    </w:p>
    <w:p w14:paraId="69312EB8">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响  应  文  件</w:t>
      </w:r>
    </w:p>
    <w:p w14:paraId="03FD4180">
      <w:pPr>
        <w:widowControl/>
        <w:snapToGrid w:val="0"/>
        <w:spacing w:line="360" w:lineRule="auto"/>
        <w:jc w:val="center"/>
        <w:rPr>
          <w:rFonts w:hint="eastAsia" w:ascii="仿宋" w:hAnsi="仿宋" w:eastAsia="仿宋" w:cs="仿宋"/>
          <w:b/>
          <w:kern w:val="0"/>
          <w:sz w:val="44"/>
          <w:szCs w:val="44"/>
          <w:highlight w:val="none"/>
        </w:rPr>
      </w:pPr>
    </w:p>
    <w:p w14:paraId="4CFB6C25">
      <w:pPr>
        <w:widowControl/>
        <w:snapToGrid w:val="0"/>
        <w:spacing w:line="360" w:lineRule="auto"/>
        <w:jc w:val="left"/>
        <w:rPr>
          <w:rFonts w:hint="eastAsia" w:ascii="仿宋" w:hAnsi="仿宋" w:eastAsia="仿宋" w:cs="仿宋"/>
          <w:kern w:val="0"/>
          <w:sz w:val="28"/>
          <w:szCs w:val="30"/>
          <w:highlight w:val="none"/>
        </w:rPr>
      </w:pPr>
    </w:p>
    <w:p w14:paraId="1B348F6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63" w:name="_Toc1553"/>
      <w:r>
        <w:rPr>
          <w:rFonts w:hint="eastAsia" w:ascii="仿宋" w:hAnsi="仿宋" w:eastAsia="仿宋" w:cs="仿宋"/>
          <w:kern w:val="0"/>
          <w:sz w:val="28"/>
          <w:szCs w:val="30"/>
          <w:highlight w:val="none"/>
        </w:rPr>
        <w:t>项目名称：</w:t>
      </w:r>
      <w:bookmarkEnd w:id="63"/>
      <w:r>
        <w:rPr>
          <w:rFonts w:hint="eastAsia" w:ascii="仿宋" w:hAnsi="仿宋" w:eastAsia="仿宋" w:cs="仿宋"/>
          <w:kern w:val="0"/>
          <w:sz w:val="28"/>
          <w:szCs w:val="30"/>
          <w:highlight w:val="none"/>
        </w:rPr>
        <w:t xml:space="preserve">             </w:t>
      </w:r>
    </w:p>
    <w:p w14:paraId="4C9F70A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64" w:name="_Toc232"/>
      <w:r>
        <w:rPr>
          <w:rFonts w:hint="eastAsia" w:ascii="仿宋" w:hAnsi="仿宋" w:eastAsia="仿宋" w:cs="仿宋"/>
          <w:kern w:val="0"/>
          <w:sz w:val="28"/>
          <w:szCs w:val="30"/>
          <w:highlight w:val="none"/>
        </w:rPr>
        <w:t>项目编号：</w:t>
      </w:r>
      <w:bookmarkEnd w:id="64"/>
      <w:r>
        <w:rPr>
          <w:rFonts w:hint="eastAsia" w:ascii="仿宋" w:hAnsi="仿宋" w:eastAsia="仿宋" w:cs="仿宋"/>
          <w:kern w:val="0"/>
          <w:sz w:val="28"/>
          <w:szCs w:val="30"/>
          <w:highlight w:val="none"/>
        </w:rPr>
        <w:t xml:space="preserve">             </w:t>
      </w:r>
    </w:p>
    <w:p w14:paraId="70F1B9FD">
      <w:pPr>
        <w:widowControl/>
        <w:snapToGrid w:val="0"/>
        <w:spacing w:line="360" w:lineRule="auto"/>
        <w:ind w:firstLine="560" w:firstLineChars="200"/>
        <w:jc w:val="left"/>
        <w:rPr>
          <w:rFonts w:hint="eastAsia" w:ascii="仿宋" w:hAnsi="仿宋" w:eastAsia="仿宋" w:cs="仿宋"/>
          <w:kern w:val="0"/>
          <w:sz w:val="28"/>
          <w:szCs w:val="30"/>
          <w:highlight w:val="none"/>
        </w:rPr>
      </w:pPr>
      <w:r>
        <w:rPr>
          <w:rFonts w:hint="eastAsia" w:ascii="仿宋" w:hAnsi="仿宋" w:eastAsia="仿宋" w:cs="仿宋"/>
          <w:kern w:val="0"/>
          <w:sz w:val="28"/>
          <w:szCs w:val="30"/>
          <w:highlight w:val="none"/>
          <w:lang w:val="en-US" w:eastAsia="zh-CN"/>
        </w:rPr>
        <w:t>招标编号：</w:t>
      </w:r>
      <w:r>
        <w:rPr>
          <w:rFonts w:hint="eastAsia" w:ascii="仿宋" w:hAnsi="仿宋" w:eastAsia="仿宋" w:cs="仿宋"/>
          <w:kern w:val="0"/>
          <w:sz w:val="28"/>
          <w:szCs w:val="30"/>
          <w:highlight w:val="none"/>
        </w:rPr>
        <w:t xml:space="preserve">             </w:t>
      </w:r>
    </w:p>
    <w:p w14:paraId="3B2609B7">
      <w:pPr>
        <w:widowControl/>
        <w:snapToGrid w:val="0"/>
        <w:spacing w:line="360" w:lineRule="auto"/>
        <w:ind w:firstLine="560" w:firstLineChars="200"/>
        <w:jc w:val="left"/>
        <w:rPr>
          <w:rFonts w:hint="eastAsia" w:ascii="仿宋" w:hAnsi="仿宋" w:eastAsia="仿宋" w:cs="仿宋"/>
          <w:kern w:val="0"/>
          <w:sz w:val="28"/>
          <w:szCs w:val="30"/>
          <w:highlight w:val="none"/>
        </w:rPr>
      </w:pPr>
      <w:r>
        <w:rPr>
          <w:rFonts w:hint="eastAsia" w:ascii="仿宋" w:hAnsi="仿宋" w:eastAsia="仿宋" w:cs="仿宋"/>
          <w:kern w:val="0"/>
          <w:sz w:val="28"/>
          <w:szCs w:val="30"/>
          <w:highlight w:val="none"/>
          <w:lang w:val="en-US" w:eastAsia="zh-CN"/>
        </w:rPr>
        <w:t>包    号：</w:t>
      </w:r>
      <w:r>
        <w:rPr>
          <w:rFonts w:hint="eastAsia" w:ascii="仿宋" w:hAnsi="仿宋" w:eastAsia="仿宋" w:cs="仿宋"/>
          <w:kern w:val="0"/>
          <w:sz w:val="28"/>
          <w:szCs w:val="30"/>
          <w:highlight w:val="none"/>
        </w:rPr>
        <w:t xml:space="preserve">             </w:t>
      </w:r>
    </w:p>
    <w:p w14:paraId="38C56699">
      <w:pPr>
        <w:widowControl/>
        <w:snapToGrid w:val="0"/>
        <w:spacing w:line="360" w:lineRule="auto"/>
        <w:ind w:firstLine="560" w:firstLineChars="200"/>
        <w:jc w:val="left"/>
        <w:rPr>
          <w:rFonts w:hint="default" w:ascii="仿宋" w:hAnsi="仿宋" w:eastAsia="仿宋" w:cs="仿宋"/>
          <w:kern w:val="0"/>
          <w:sz w:val="28"/>
          <w:szCs w:val="30"/>
          <w:highlight w:val="none"/>
          <w:lang w:val="en-US" w:eastAsia="zh-CN"/>
        </w:rPr>
      </w:pPr>
    </w:p>
    <w:p w14:paraId="441CD84B">
      <w:pPr>
        <w:widowControl/>
        <w:snapToGrid w:val="0"/>
        <w:spacing w:line="360" w:lineRule="auto"/>
        <w:jc w:val="center"/>
        <w:rPr>
          <w:rFonts w:hint="eastAsia" w:ascii="仿宋" w:hAnsi="仿宋" w:eastAsia="仿宋" w:cs="仿宋"/>
          <w:b/>
          <w:kern w:val="0"/>
          <w:sz w:val="28"/>
          <w:szCs w:val="44"/>
          <w:highlight w:val="none"/>
        </w:rPr>
      </w:pPr>
    </w:p>
    <w:p w14:paraId="55411EC7">
      <w:pPr>
        <w:widowControl/>
        <w:snapToGrid w:val="0"/>
        <w:spacing w:line="360" w:lineRule="auto"/>
        <w:jc w:val="left"/>
        <w:rPr>
          <w:rFonts w:hint="eastAsia" w:ascii="仿宋" w:hAnsi="仿宋" w:eastAsia="仿宋" w:cs="仿宋"/>
          <w:kern w:val="0"/>
          <w:sz w:val="28"/>
          <w:highlight w:val="none"/>
        </w:rPr>
      </w:pPr>
    </w:p>
    <w:p w14:paraId="3DCF5E95">
      <w:pPr>
        <w:widowControl/>
        <w:snapToGrid w:val="0"/>
        <w:spacing w:line="360" w:lineRule="auto"/>
        <w:jc w:val="left"/>
        <w:rPr>
          <w:rFonts w:hint="eastAsia" w:ascii="仿宋" w:hAnsi="仿宋" w:eastAsia="仿宋" w:cs="仿宋"/>
          <w:kern w:val="0"/>
          <w:sz w:val="28"/>
          <w:highlight w:val="none"/>
        </w:rPr>
      </w:pPr>
    </w:p>
    <w:p w14:paraId="43DA12B6">
      <w:pPr>
        <w:widowControl/>
        <w:snapToGrid w:val="0"/>
        <w:spacing w:line="360" w:lineRule="auto"/>
        <w:jc w:val="left"/>
        <w:rPr>
          <w:rFonts w:hint="eastAsia" w:ascii="仿宋" w:hAnsi="仿宋" w:eastAsia="仿宋" w:cs="仿宋"/>
          <w:kern w:val="0"/>
          <w:sz w:val="28"/>
          <w:highlight w:val="none"/>
        </w:rPr>
      </w:pPr>
    </w:p>
    <w:p w14:paraId="3A053B0B">
      <w:pPr>
        <w:widowControl/>
        <w:snapToGrid w:val="0"/>
        <w:spacing w:line="360" w:lineRule="auto"/>
        <w:jc w:val="left"/>
        <w:rPr>
          <w:rFonts w:hint="eastAsia" w:ascii="仿宋" w:hAnsi="仿宋" w:eastAsia="仿宋" w:cs="仿宋"/>
          <w:kern w:val="0"/>
          <w:sz w:val="28"/>
          <w:highlight w:val="none"/>
        </w:rPr>
      </w:pPr>
    </w:p>
    <w:p w14:paraId="46398959">
      <w:pPr>
        <w:widowControl/>
        <w:snapToGrid w:val="0"/>
        <w:spacing w:line="360" w:lineRule="auto"/>
        <w:jc w:val="center"/>
        <w:rPr>
          <w:rFonts w:hint="eastAsia" w:ascii="仿宋" w:hAnsi="仿宋" w:eastAsia="仿宋" w:cs="仿宋"/>
          <w:kern w:val="0"/>
          <w:sz w:val="30"/>
          <w:szCs w:val="30"/>
          <w:highlight w:val="none"/>
          <w:u w:val="single"/>
        </w:rPr>
      </w:pPr>
      <w:bookmarkStart w:id="65" w:name="_Toc17774"/>
      <w:r>
        <w:rPr>
          <w:rFonts w:hint="eastAsia" w:ascii="仿宋" w:hAnsi="仿宋" w:eastAsia="仿宋" w:cs="仿宋"/>
          <w:kern w:val="0"/>
          <w:sz w:val="30"/>
          <w:szCs w:val="30"/>
          <w:highlight w:val="none"/>
        </w:rPr>
        <w:t xml:space="preserve">供应商全称： </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（盖章）</w:t>
      </w:r>
      <w:bookmarkEnd w:id="65"/>
    </w:p>
    <w:p w14:paraId="3EDBFDCF">
      <w:pPr>
        <w:widowControl/>
        <w:snapToGrid w:val="0"/>
        <w:spacing w:line="360" w:lineRule="auto"/>
        <w:jc w:val="center"/>
        <w:rPr>
          <w:rFonts w:hint="eastAsia" w:ascii="仿宋" w:hAnsi="仿宋" w:eastAsia="仿宋" w:cs="仿宋"/>
          <w:kern w:val="0"/>
          <w:sz w:val="30"/>
          <w:szCs w:val="30"/>
          <w:highlight w:val="none"/>
          <w:u w:val="single"/>
        </w:rPr>
      </w:pPr>
      <w:bookmarkStart w:id="66" w:name="_Toc31012"/>
      <w:r>
        <w:rPr>
          <w:rFonts w:hint="eastAsia" w:ascii="仿宋" w:hAnsi="仿宋" w:eastAsia="仿宋" w:cs="仿宋"/>
          <w:kern w:val="0"/>
          <w:sz w:val="30"/>
          <w:szCs w:val="30"/>
          <w:highlight w:val="none"/>
        </w:rPr>
        <w:t>法定代表人或授权代表：</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（签字或盖章）</w:t>
      </w:r>
      <w:bookmarkEnd w:id="66"/>
    </w:p>
    <w:p w14:paraId="53569BB9">
      <w:pPr>
        <w:widowControl/>
        <w:snapToGrid w:val="0"/>
        <w:spacing w:line="360" w:lineRule="auto"/>
        <w:jc w:val="center"/>
        <w:rPr>
          <w:rFonts w:hint="eastAsia" w:ascii="仿宋" w:hAnsi="仿宋" w:eastAsia="仿宋" w:cs="仿宋"/>
          <w:kern w:val="0"/>
          <w:sz w:val="30"/>
          <w:szCs w:val="30"/>
          <w:highlight w:val="none"/>
        </w:rPr>
      </w:pPr>
      <w:bookmarkStart w:id="67" w:name="_Toc14555"/>
      <w:r>
        <w:rPr>
          <w:rFonts w:hint="eastAsia" w:ascii="仿宋" w:hAnsi="仿宋" w:eastAsia="仿宋" w:cs="仿宋"/>
          <w:kern w:val="0"/>
          <w:sz w:val="30"/>
          <w:szCs w:val="30"/>
          <w:highlight w:val="none"/>
        </w:rPr>
        <w:t>二〇二   年   月   日</w:t>
      </w:r>
      <w:bookmarkEnd w:id="67"/>
      <w:bookmarkStart w:id="68" w:name="_Toc344989209"/>
      <w:bookmarkStart w:id="69" w:name="_Toc340851733"/>
    </w:p>
    <w:p w14:paraId="3ED96745">
      <w:pPr>
        <w:pStyle w:val="10"/>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Cs/>
          <w:sz w:val="24"/>
          <w:highlight w:val="none"/>
        </w:rPr>
        <w:br w:type="page"/>
      </w:r>
      <w:bookmarkEnd w:id="68"/>
      <w:bookmarkEnd w:id="69"/>
      <w:r>
        <w:rPr>
          <w:rFonts w:hint="eastAsia" w:ascii="仿宋" w:hAnsi="仿宋" w:eastAsia="仿宋" w:cs="仿宋"/>
          <w:b/>
          <w:kern w:val="0"/>
          <w:sz w:val="24"/>
          <w:szCs w:val="24"/>
          <w:highlight w:val="none"/>
        </w:rPr>
        <w:t>资格证明文件</w:t>
      </w:r>
    </w:p>
    <w:p w14:paraId="5237A49B">
      <w:pPr>
        <w:spacing w:line="360" w:lineRule="auto"/>
        <w:rPr>
          <w:rFonts w:hint="eastAsia" w:ascii="仿宋" w:hAnsi="仿宋" w:eastAsia="仿宋" w:cs="仿宋"/>
          <w:b/>
          <w:bCs/>
          <w:highlight w:val="none"/>
        </w:rPr>
      </w:pPr>
      <w:r>
        <w:rPr>
          <w:rFonts w:hint="eastAsia" w:ascii="仿宋" w:hAnsi="仿宋" w:eastAsia="仿宋" w:cs="仿宋"/>
          <w:b/>
          <w:bCs/>
          <w:highlight w:val="none"/>
        </w:rPr>
        <w:t>1.供应商具有独立承担民事责任的能力的承诺函；</w:t>
      </w:r>
    </w:p>
    <w:p w14:paraId="0ADE4045">
      <w:pPr>
        <w:snapToGrid w:val="0"/>
        <w:spacing w:line="360" w:lineRule="auto"/>
        <w:jc w:val="center"/>
        <w:rPr>
          <w:rFonts w:hint="eastAsia" w:ascii="仿宋" w:hAnsi="仿宋" w:eastAsia="仿宋" w:cs="仿宋"/>
          <w:b/>
          <w:color w:val="auto"/>
          <w:szCs w:val="21"/>
          <w:highlight w:val="none"/>
        </w:rPr>
      </w:pPr>
    </w:p>
    <w:p w14:paraId="22CD63F6">
      <w:pPr>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供应商具有独立承担民事责任的能力的承诺函</w:t>
      </w:r>
    </w:p>
    <w:p w14:paraId="1E4F46B0">
      <w:pPr>
        <w:rPr>
          <w:rFonts w:hint="eastAsia" w:ascii="仿宋" w:hAnsi="仿宋" w:eastAsia="仿宋" w:cs="仿宋"/>
          <w:color w:val="auto"/>
          <w:szCs w:val="21"/>
          <w:highlight w:val="none"/>
          <w:u w:val="single"/>
        </w:rPr>
      </w:pPr>
    </w:p>
    <w:p w14:paraId="597A205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029DA2EF">
      <w:pPr>
        <w:widowControl/>
        <w:snapToGrid w:val="0"/>
        <w:spacing w:line="360" w:lineRule="auto"/>
        <w:ind w:firstLine="420" w:firstLineChars="200"/>
        <w:rPr>
          <w:rFonts w:hint="eastAsia" w:ascii="仿宋" w:hAnsi="仿宋" w:eastAsia="仿宋" w:cs="仿宋"/>
          <w:color w:val="auto"/>
          <w:szCs w:val="21"/>
          <w:highlight w:val="none"/>
        </w:rPr>
      </w:pPr>
    </w:p>
    <w:p w14:paraId="62C1ACA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none"/>
          <w:lang w:val="en-US" w:eastAsia="zh-CN"/>
        </w:rPr>
        <w:t>招标编号：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6A97061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基本信息如下：</w:t>
      </w:r>
    </w:p>
    <w:p w14:paraId="3DAACC5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；法定代表人（负责人）为：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；营业期限为: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；基本开户银行为：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；账号为：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23E9A5D3">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15DA8D1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FDD931F">
      <w:pPr>
        <w:snapToGrid w:val="0"/>
        <w:spacing w:line="480" w:lineRule="exact"/>
        <w:jc w:val="center"/>
        <w:rPr>
          <w:rFonts w:hint="eastAsia" w:ascii="仿宋" w:hAnsi="仿宋" w:eastAsia="仿宋" w:cs="仿宋"/>
          <w:highlight w:val="none"/>
        </w:rPr>
      </w:pPr>
    </w:p>
    <w:p w14:paraId="1948B01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2E08C85">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012326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50E3508">
      <w:pPr>
        <w:widowControl/>
        <w:tabs>
          <w:tab w:val="left" w:pos="4145"/>
        </w:tabs>
        <w:snapToGrid w:val="0"/>
        <w:spacing w:line="440" w:lineRule="exact"/>
        <w:jc w:val="center"/>
        <w:rPr>
          <w:rFonts w:hint="eastAsia" w:ascii="仿宋" w:hAnsi="仿宋" w:eastAsia="仿宋" w:cs="仿宋"/>
          <w:highlight w:val="none"/>
        </w:rPr>
      </w:pPr>
    </w:p>
    <w:p w14:paraId="606BC25F">
      <w:pPr>
        <w:pStyle w:val="14"/>
        <w:rPr>
          <w:rFonts w:hint="eastAsia" w:ascii="仿宋" w:hAnsi="仿宋" w:eastAsia="仿宋" w:cs="仿宋"/>
          <w:highlight w:val="none"/>
        </w:rPr>
      </w:pPr>
    </w:p>
    <w:p w14:paraId="63E62014">
      <w:pPr>
        <w:spacing w:line="360" w:lineRule="auto"/>
        <w:rPr>
          <w:rFonts w:hint="eastAsia" w:ascii="仿宋" w:hAnsi="仿宋" w:eastAsia="仿宋" w:cs="仿宋"/>
          <w:b/>
          <w:bCs/>
          <w:highlight w:val="none"/>
        </w:rPr>
      </w:pPr>
    </w:p>
    <w:p w14:paraId="7300BC90">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2.供应商具有良好的商业信誉和健全的财务会计制度的承诺函；</w:t>
      </w:r>
    </w:p>
    <w:p w14:paraId="23E53EE1">
      <w:pPr>
        <w:spacing w:line="360" w:lineRule="auto"/>
        <w:rPr>
          <w:rFonts w:hint="eastAsia" w:ascii="仿宋" w:hAnsi="仿宋" w:eastAsia="仿宋" w:cs="仿宋"/>
          <w:b/>
          <w:bCs/>
          <w:highlight w:val="none"/>
        </w:rPr>
      </w:pPr>
    </w:p>
    <w:p w14:paraId="126617E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供应商具有良好的商业信誉和健全的财务会计制度的承诺函</w:t>
      </w:r>
    </w:p>
    <w:p w14:paraId="10F5E4EC">
      <w:pPr>
        <w:spacing w:line="360" w:lineRule="auto"/>
        <w:rPr>
          <w:rFonts w:hint="eastAsia" w:ascii="仿宋" w:hAnsi="仿宋" w:eastAsia="仿宋" w:cs="仿宋"/>
          <w:highlight w:val="none"/>
        </w:rPr>
      </w:pPr>
    </w:p>
    <w:p w14:paraId="4D05F24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2B0F8C06">
      <w:pPr>
        <w:spacing w:line="360" w:lineRule="auto"/>
        <w:rPr>
          <w:rFonts w:hint="eastAsia" w:ascii="仿宋" w:hAnsi="仿宋" w:eastAsia="仿宋" w:cs="仿宋"/>
          <w:highlight w:val="none"/>
        </w:rPr>
      </w:pPr>
    </w:p>
    <w:p w14:paraId="527C70B4">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highlight w:val="none"/>
          <w:u w:val="none"/>
        </w:rPr>
        <w:t>招标编号：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文件相关规定，现郑重承诺：我方具有良好的商业信誉和健全的财务会计制度。</w:t>
      </w:r>
    </w:p>
    <w:p w14:paraId="06DA4068">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019F72A5">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24CDFF2">
      <w:pPr>
        <w:snapToGrid w:val="0"/>
        <w:spacing w:line="480" w:lineRule="exact"/>
        <w:jc w:val="center"/>
        <w:rPr>
          <w:rFonts w:hint="eastAsia" w:ascii="仿宋" w:hAnsi="仿宋" w:eastAsia="仿宋" w:cs="仿宋"/>
          <w:highlight w:val="none"/>
        </w:rPr>
      </w:pPr>
    </w:p>
    <w:p w14:paraId="2B00AC9D">
      <w:pPr>
        <w:snapToGrid w:val="0"/>
        <w:spacing w:line="480" w:lineRule="exact"/>
        <w:jc w:val="center"/>
        <w:rPr>
          <w:rFonts w:hint="eastAsia" w:ascii="仿宋" w:hAnsi="仿宋" w:eastAsia="仿宋" w:cs="仿宋"/>
          <w:highlight w:val="none"/>
        </w:rPr>
      </w:pPr>
    </w:p>
    <w:p w14:paraId="02ED3218">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5F7368B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CC8A4F7">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3E97AE7">
      <w:pPr>
        <w:pStyle w:val="14"/>
        <w:rPr>
          <w:rFonts w:hint="eastAsia" w:ascii="仿宋" w:hAnsi="仿宋" w:eastAsia="仿宋" w:cs="仿宋"/>
          <w:highlight w:val="none"/>
        </w:rPr>
      </w:pPr>
    </w:p>
    <w:p w14:paraId="3374DD53">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3</w:t>
      </w:r>
      <w:r>
        <w:rPr>
          <w:rFonts w:hint="eastAsia" w:ascii="仿宋" w:hAnsi="仿宋" w:eastAsia="仿宋" w:cs="仿宋"/>
          <w:b/>
          <w:bCs/>
          <w:highlight w:val="none"/>
        </w:rPr>
        <w:t>.供应商具有履行合同所必需的设备和专业技术能力的承诺函；</w:t>
      </w:r>
    </w:p>
    <w:p w14:paraId="7F55D62C">
      <w:pPr>
        <w:spacing w:line="360" w:lineRule="auto"/>
        <w:rPr>
          <w:rFonts w:hint="eastAsia" w:ascii="仿宋" w:hAnsi="仿宋" w:eastAsia="仿宋" w:cs="仿宋"/>
          <w:b/>
          <w:bCs/>
          <w:highlight w:val="none"/>
        </w:rPr>
      </w:pPr>
    </w:p>
    <w:p w14:paraId="25A8BB39">
      <w:pPr>
        <w:jc w:val="center"/>
        <w:rPr>
          <w:rFonts w:hint="eastAsia" w:ascii="仿宋" w:hAnsi="仿宋" w:eastAsia="仿宋" w:cs="仿宋"/>
          <w:b/>
          <w:color w:val="auto"/>
          <w:spacing w:val="20"/>
          <w:szCs w:val="21"/>
          <w:highlight w:val="none"/>
        </w:rPr>
      </w:pPr>
      <w:r>
        <w:rPr>
          <w:rFonts w:hint="eastAsia" w:ascii="仿宋" w:hAnsi="仿宋" w:eastAsia="仿宋" w:cs="仿宋"/>
          <w:b/>
          <w:color w:val="auto"/>
          <w:spacing w:val="20"/>
          <w:szCs w:val="21"/>
          <w:highlight w:val="none"/>
        </w:rPr>
        <w:t>供应商具有履行合同所必需的设备和专业技术能力的承诺函</w:t>
      </w:r>
    </w:p>
    <w:p w14:paraId="70E96564">
      <w:pPr>
        <w:pStyle w:val="14"/>
        <w:rPr>
          <w:rFonts w:hint="eastAsia" w:ascii="仿宋" w:hAnsi="仿宋" w:eastAsia="仿宋" w:cs="仿宋"/>
          <w:b/>
          <w:bCs/>
          <w:highlight w:val="none"/>
        </w:rPr>
      </w:pPr>
    </w:p>
    <w:p w14:paraId="5514ADD0">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3508CEA4">
      <w:pPr>
        <w:spacing w:line="360" w:lineRule="auto"/>
        <w:ind w:firstLine="420" w:firstLineChars="200"/>
        <w:rPr>
          <w:rFonts w:hint="eastAsia" w:ascii="仿宋" w:hAnsi="仿宋" w:eastAsia="仿宋" w:cs="仿宋"/>
          <w:highlight w:val="none"/>
        </w:rPr>
      </w:pPr>
    </w:p>
    <w:p w14:paraId="454184F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我方郑重声明，我方具有履行</w:t>
      </w:r>
      <w:r>
        <w:rPr>
          <w:rFonts w:hint="eastAsia" w:ascii="仿宋" w:hAnsi="仿宋" w:eastAsia="仿宋" w:cs="仿宋"/>
          <w:highlight w:val="none"/>
          <w:u w:val="single"/>
        </w:rPr>
        <w:t xml:space="preserve">项目名称：           、项目编号：        、招标编号：     </w:t>
      </w:r>
      <w:r>
        <w:rPr>
          <w:rFonts w:hint="eastAsia" w:ascii="仿宋" w:hAnsi="仿宋" w:eastAsia="仿宋" w:cs="仿宋"/>
          <w:highlight w:val="none"/>
        </w:rPr>
        <w:t>合同所必需的设备和专业技术能力，如我方中标/成交，将按我方响应文件承诺，保证合同顺利履行。如有虚假或隐瞒，愿意承担一切后果。</w:t>
      </w:r>
    </w:p>
    <w:p w14:paraId="3A6658E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7DEB330A">
      <w:pPr>
        <w:snapToGrid w:val="0"/>
        <w:spacing w:line="480" w:lineRule="exact"/>
        <w:jc w:val="center"/>
        <w:rPr>
          <w:rFonts w:hint="eastAsia" w:ascii="仿宋" w:hAnsi="仿宋" w:eastAsia="仿宋" w:cs="仿宋"/>
          <w:highlight w:val="none"/>
        </w:rPr>
      </w:pPr>
    </w:p>
    <w:p w14:paraId="1FAD0785">
      <w:pPr>
        <w:snapToGrid w:val="0"/>
        <w:spacing w:line="480" w:lineRule="exact"/>
        <w:jc w:val="center"/>
        <w:rPr>
          <w:rFonts w:hint="eastAsia" w:ascii="仿宋" w:hAnsi="仿宋" w:eastAsia="仿宋" w:cs="仿宋"/>
          <w:highlight w:val="none"/>
        </w:rPr>
      </w:pPr>
    </w:p>
    <w:p w14:paraId="74E921A7">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598E04C">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1978AFB0">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12D3759C">
      <w:pPr>
        <w:spacing w:line="360" w:lineRule="auto"/>
        <w:rPr>
          <w:rFonts w:hint="eastAsia" w:ascii="仿宋" w:hAnsi="仿宋" w:eastAsia="仿宋" w:cs="仿宋"/>
          <w:b/>
          <w:bCs/>
          <w:highlight w:val="none"/>
        </w:rPr>
      </w:pPr>
    </w:p>
    <w:p w14:paraId="58CD4461">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4</w:t>
      </w:r>
      <w:r>
        <w:rPr>
          <w:rFonts w:hint="eastAsia" w:ascii="仿宋" w:hAnsi="仿宋" w:eastAsia="仿宋" w:cs="仿宋"/>
          <w:b/>
          <w:bCs/>
          <w:highlight w:val="none"/>
        </w:rPr>
        <w:t>.供应商</w:t>
      </w:r>
      <w:r>
        <w:rPr>
          <w:rFonts w:hint="eastAsia" w:ascii="仿宋" w:hAnsi="仿宋" w:eastAsia="仿宋" w:cs="仿宋"/>
          <w:b/>
          <w:bCs/>
          <w:highlight w:val="none"/>
          <w:lang w:val="en-US" w:eastAsia="zh-CN"/>
        </w:rPr>
        <w:t>具</w:t>
      </w:r>
      <w:r>
        <w:rPr>
          <w:rFonts w:hint="eastAsia" w:ascii="仿宋" w:hAnsi="仿宋" w:eastAsia="仿宋" w:cs="仿宋"/>
          <w:b/>
          <w:bCs/>
          <w:highlight w:val="none"/>
        </w:rPr>
        <w:t>有依法缴纳税收和社会保障资金的良好记录的承诺函；</w:t>
      </w:r>
    </w:p>
    <w:p w14:paraId="3838DE5E">
      <w:pPr>
        <w:spacing w:line="360" w:lineRule="auto"/>
        <w:jc w:val="center"/>
        <w:rPr>
          <w:rFonts w:hint="eastAsia" w:ascii="仿宋" w:hAnsi="仿宋" w:eastAsia="仿宋" w:cs="仿宋"/>
          <w:b/>
          <w:color w:val="auto"/>
          <w:szCs w:val="21"/>
          <w:highlight w:val="none"/>
        </w:rPr>
      </w:pPr>
    </w:p>
    <w:p w14:paraId="40F597B1">
      <w:pPr>
        <w:spacing w:line="360" w:lineRule="auto"/>
        <w:jc w:val="center"/>
        <w:rPr>
          <w:rFonts w:hint="eastAsia" w:ascii="仿宋" w:hAnsi="仿宋" w:eastAsia="仿宋" w:cs="仿宋"/>
          <w:b/>
          <w:bCs/>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lang w:val="en-US" w:eastAsia="zh-CN"/>
        </w:rPr>
        <w:t>具</w:t>
      </w:r>
      <w:r>
        <w:rPr>
          <w:rFonts w:hint="eastAsia" w:ascii="仿宋" w:hAnsi="仿宋" w:eastAsia="仿宋" w:cs="仿宋"/>
          <w:b/>
          <w:color w:val="auto"/>
          <w:szCs w:val="21"/>
          <w:highlight w:val="none"/>
        </w:rPr>
        <w:t>有依法缴纳税收和社会保障资金的良好记录的承诺函</w:t>
      </w:r>
    </w:p>
    <w:p w14:paraId="55495816">
      <w:pPr>
        <w:rPr>
          <w:rFonts w:hint="eastAsia" w:ascii="仿宋" w:hAnsi="仿宋" w:eastAsia="仿宋" w:cs="仿宋"/>
          <w:color w:val="auto"/>
          <w:szCs w:val="21"/>
          <w:highlight w:val="none"/>
          <w:u w:val="single"/>
        </w:rPr>
      </w:pPr>
    </w:p>
    <w:p w14:paraId="688EB34B">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6F7A372C">
      <w:pPr>
        <w:spacing w:line="360" w:lineRule="auto"/>
        <w:ind w:firstLine="420" w:firstLineChars="200"/>
        <w:rPr>
          <w:rFonts w:hint="eastAsia" w:ascii="仿宋" w:hAnsi="仿宋" w:eastAsia="仿宋" w:cs="仿宋"/>
          <w:highlight w:val="none"/>
        </w:rPr>
      </w:pPr>
    </w:p>
    <w:p w14:paraId="7C5EE549">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我公司郑重声明，我公司严格依法缴纳税收和社会保障金。如有弄虚作假，愿承担一切责任。</w:t>
      </w:r>
    </w:p>
    <w:p w14:paraId="0529E17F">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6F7AD637">
      <w:pPr>
        <w:snapToGrid w:val="0"/>
        <w:spacing w:line="480" w:lineRule="exact"/>
        <w:jc w:val="center"/>
        <w:rPr>
          <w:rFonts w:hint="eastAsia" w:ascii="仿宋" w:hAnsi="仿宋" w:eastAsia="仿宋" w:cs="仿宋"/>
          <w:highlight w:val="none"/>
        </w:rPr>
      </w:pPr>
    </w:p>
    <w:p w14:paraId="633B2FDB">
      <w:pPr>
        <w:snapToGrid w:val="0"/>
        <w:spacing w:line="480" w:lineRule="exact"/>
        <w:jc w:val="center"/>
        <w:rPr>
          <w:rFonts w:hint="eastAsia" w:ascii="仿宋" w:hAnsi="仿宋" w:eastAsia="仿宋" w:cs="仿宋"/>
          <w:highlight w:val="none"/>
        </w:rPr>
      </w:pPr>
    </w:p>
    <w:p w14:paraId="6B156191">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F9BB45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A018C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27E924E0">
      <w:pPr>
        <w:spacing w:line="360" w:lineRule="auto"/>
        <w:rPr>
          <w:rFonts w:hint="eastAsia" w:ascii="仿宋" w:hAnsi="仿宋" w:eastAsia="仿宋" w:cs="仿宋"/>
          <w:b/>
          <w:bCs/>
          <w:highlight w:val="none"/>
        </w:rPr>
      </w:pPr>
    </w:p>
    <w:p w14:paraId="6C5409A4">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5.供应商参加政府采购活动前三年内，在经营活动中没有重大违法记录的承诺函；</w:t>
      </w:r>
    </w:p>
    <w:p w14:paraId="3F2A6046">
      <w:pPr>
        <w:spacing w:line="360" w:lineRule="auto"/>
        <w:rPr>
          <w:rFonts w:hint="eastAsia" w:ascii="仿宋" w:hAnsi="仿宋" w:eastAsia="仿宋" w:cs="仿宋"/>
          <w:b/>
          <w:highlight w:val="none"/>
          <w:u w:val="single"/>
        </w:rPr>
      </w:pPr>
    </w:p>
    <w:p w14:paraId="3E35EFD6">
      <w:pPr>
        <w:pStyle w:val="14"/>
        <w:jc w:val="center"/>
        <w:rPr>
          <w:rFonts w:hint="eastAsia" w:ascii="仿宋" w:hAnsi="仿宋" w:eastAsia="仿宋" w:cs="仿宋"/>
          <w:b/>
          <w:highlight w:val="none"/>
          <w:u w:val="single"/>
        </w:rPr>
      </w:pPr>
      <w:r>
        <w:rPr>
          <w:rFonts w:hint="eastAsia" w:ascii="仿宋" w:hAnsi="仿宋" w:eastAsia="仿宋" w:cs="仿宋"/>
          <w:b/>
          <w:color w:val="auto"/>
          <w:szCs w:val="21"/>
          <w:highlight w:val="none"/>
        </w:rPr>
        <w:t>供应商参加政府采购活动前三年内，在经营活动中没有重大违法记录的承诺函</w:t>
      </w:r>
    </w:p>
    <w:p w14:paraId="5C6684BE">
      <w:pPr>
        <w:pStyle w:val="14"/>
        <w:rPr>
          <w:rFonts w:hint="eastAsia" w:ascii="仿宋" w:hAnsi="仿宋" w:eastAsia="仿宋" w:cs="仿宋"/>
          <w:b/>
          <w:highlight w:val="none"/>
          <w:u w:val="single"/>
        </w:rPr>
      </w:pPr>
    </w:p>
    <w:p w14:paraId="308E9112">
      <w:pPr>
        <w:spacing w:line="360" w:lineRule="auto"/>
        <w:rPr>
          <w:rFonts w:hint="eastAsia" w:ascii="仿宋" w:hAnsi="仿宋" w:eastAsia="仿宋" w:cs="仿宋"/>
          <w:b/>
          <w:highlight w:val="none"/>
          <w:u w:val="single"/>
        </w:rPr>
      </w:pPr>
      <w:r>
        <w:rPr>
          <w:rFonts w:hint="eastAsia" w:ascii="仿宋" w:hAnsi="仿宋" w:eastAsia="仿宋" w:cs="仿宋"/>
          <w:color w:val="auto"/>
          <w:szCs w:val="21"/>
          <w:highlight w:val="none"/>
          <w:u w:val="single"/>
        </w:rPr>
        <w:t>（采购人名称）：</w:t>
      </w:r>
    </w:p>
    <w:p w14:paraId="54105B03">
      <w:pPr>
        <w:pStyle w:val="21"/>
        <w:snapToGrid w:val="0"/>
        <w:spacing w:line="360" w:lineRule="auto"/>
        <w:ind w:firstLine="480" w:firstLineChars="200"/>
        <w:rPr>
          <w:rFonts w:hint="eastAsia" w:ascii="仿宋" w:hAnsi="仿宋" w:eastAsia="仿宋" w:cs="仿宋"/>
          <w:sz w:val="24"/>
          <w:szCs w:val="24"/>
          <w:highlight w:val="none"/>
        </w:rPr>
      </w:pPr>
    </w:p>
    <w:p w14:paraId="2DC5609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前查询了本公司在信用中国网（http://www.creditchina.gov.cn）、</w:t>
      </w:r>
      <w:r>
        <w:rPr>
          <w:rFonts w:hint="eastAsia" w:ascii="仿宋" w:hAnsi="仿宋" w:eastAsia="仿宋" w:cs="仿宋"/>
          <w:sz w:val="24"/>
          <w:highlight w:val="none"/>
        </w:rPr>
        <w:t>中国执行信息公开网（http://zxgk.court.gov.cn/shixin/）</w:t>
      </w:r>
      <w:r>
        <w:rPr>
          <w:rFonts w:hint="eastAsia" w:ascii="仿宋" w:hAnsi="仿宋" w:eastAsia="仿宋" w:cs="仿宋"/>
          <w:sz w:val="24"/>
          <w:szCs w:val="24"/>
          <w:highlight w:val="none"/>
        </w:rPr>
        <w:t>的信用信息中失信被执行人、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政府采购严重违法失信行为记录名单</w:t>
      </w:r>
      <w:r>
        <w:rPr>
          <w:rFonts w:hint="eastAsia" w:ascii="仿宋" w:hAnsi="仿宋" w:eastAsia="仿宋" w:cs="仿宋"/>
          <w:sz w:val="24"/>
          <w:szCs w:val="24"/>
          <w:highlight w:val="none"/>
        </w:rPr>
        <w:t>均为0记录；查询了本公司在中国政府采购网（http://www.ccgp.gov.cn）中的政府采购严重违法失信行为信息记录为0记录。</w:t>
      </w:r>
    </w:p>
    <w:p w14:paraId="0A9B48A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5C76186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FE3BC6">
      <w:pPr>
        <w:pStyle w:val="21"/>
        <w:snapToGrid w:val="0"/>
        <w:spacing w:line="360" w:lineRule="auto"/>
        <w:ind w:firstLine="480" w:firstLineChars="200"/>
        <w:rPr>
          <w:rFonts w:hint="eastAsia" w:ascii="仿宋" w:hAnsi="仿宋" w:eastAsia="仿宋" w:cs="仿宋"/>
          <w:sz w:val="24"/>
          <w:szCs w:val="24"/>
          <w:highlight w:val="none"/>
        </w:rPr>
      </w:pPr>
    </w:p>
    <w:p w14:paraId="60327E8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1BF750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DE2723">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D00E8DA">
      <w:pPr>
        <w:spacing w:line="360" w:lineRule="auto"/>
        <w:rPr>
          <w:rFonts w:hint="eastAsia" w:ascii="仿宋" w:hAnsi="仿宋" w:eastAsia="仿宋" w:cs="仿宋"/>
          <w:b/>
          <w:bCs/>
          <w:highlight w:val="none"/>
        </w:rPr>
      </w:pPr>
    </w:p>
    <w:p w14:paraId="1C40F057">
      <w:pPr>
        <w:spacing w:line="360" w:lineRule="auto"/>
        <w:rPr>
          <w:rFonts w:hint="eastAsia" w:ascii="仿宋" w:hAnsi="仿宋" w:eastAsia="仿宋" w:cs="仿宋"/>
          <w:b/>
          <w:bCs/>
          <w:highlight w:val="none"/>
        </w:rPr>
      </w:pPr>
    </w:p>
    <w:p w14:paraId="645A08DD">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6</w:t>
      </w:r>
      <w:r>
        <w:rPr>
          <w:rFonts w:hint="eastAsia" w:ascii="仿宋" w:hAnsi="仿宋" w:eastAsia="仿宋" w:cs="仿宋"/>
          <w:b/>
          <w:bCs/>
          <w:highlight w:val="none"/>
          <w:lang w:val="en-US" w:eastAsia="zh-CN"/>
        </w:rPr>
        <w:t>.供应商基本存款账户开户许可证（或基本账户信息函复印件）及谈判保证金缴纳证明（支票、汇票、本票、网上银行转账或金融机构、担保机构出具的保函、电子保函等非现金形式缴纳）</w:t>
      </w:r>
    </w:p>
    <w:p w14:paraId="19A2B7BF">
      <w:pPr>
        <w:spacing w:line="360" w:lineRule="auto"/>
        <w:rPr>
          <w:rFonts w:hint="eastAsia" w:ascii="仿宋" w:hAnsi="仿宋" w:eastAsia="仿宋" w:cs="仿宋"/>
          <w:b/>
          <w:bCs/>
          <w:highlight w:val="none"/>
        </w:rPr>
      </w:pPr>
    </w:p>
    <w:p w14:paraId="109BFF81">
      <w:pPr>
        <w:spacing w:line="360" w:lineRule="auto"/>
        <w:rPr>
          <w:rFonts w:hint="eastAsia" w:ascii="仿宋" w:hAnsi="仿宋" w:eastAsia="仿宋" w:cs="仿宋"/>
          <w:b/>
          <w:bCs/>
          <w:highlight w:val="none"/>
        </w:rPr>
      </w:pPr>
    </w:p>
    <w:p w14:paraId="2925CEE3">
      <w:pPr>
        <w:bidi w:val="0"/>
        <w:rPr>
          <w:rFonts w:hint="eastAsia" w:ascii="仿宋" w:hAnsi="仿宋" w:eastAsia="仿宋" w:cs="仿宋"/>
          <w:highlight w:val="none"/>
        </w:rPr>
      </w:pPr>
    </w:p>
    <w:p w14:paraId="26E6EE2D">
      <w:pPr>
        <w:numPr>
          <w:ilvl w:val="0"/>
          <w:numId w:val="0"/>
        </w:numPr>
        <w:snapToGrid w:val="0"/>
        <w:spacing w:line="360" w:lineRule="auto"/>
        <w:rPr>
          <w:rFonts w:hint="eastAsia" w:ascii="仿宋" w:hAnsi="仿宋" w:eastAsia="仿宋" w:cs="仿宋"/>
          <w:b/>
          <w:bCs/>
          <w:sz w:val="24"/>
          <w:highlight w:val="none"/>
        </w:rPr>
      </w:pPr>
      <w:r>
        <w:rPr>
          <w:rFonts w:hint="eastAsia" w:ascii="仿宋" w:hAnsi="仿宋" w:eastAsia="仿宋" w:cs="仿宋"/>
          <w:b/>
          <w:bCs/>
          <w:highlight w:val="none"/>
          <w:lang w:val="en-US" w:eastAsia="zh-CN"/>
        </w:rPr>
        <w:br w:type="page"/>
      </w:r>
      <w:r>
        <w:rPr>
          <w:rFonts w:hint="eastAsia" w:ascii="仿宋" w:hAnsi="仿宋" w:eastAsia="仿宋" w:cs="仿宋"/>
          <w:b/>
          <w:bCs/>
          <w:highlight w:val="none"/>
          <w:lang w:val="en-US" w:eastAsia="zh-CN"/>
        </w:rPr>
        <w:t>7.</w:t>
      </w:r>
      <w:r>
        <w:rPr>
          <w:rFonts w:hint="eastAsia" w:ascii="仿宋" w:hAnsi="仿宋" w:eastAsia="仿宋" w:cs="仿宋"/>
          <w:b/>
          <w:bCs/>
          <w:highlight w:val="none"/>
        </w:rPr>
        <w:t>供应商认为需要提供的其他资格证明文件（如有）</w:t>
      </w:r>
    </w:p>
    <w:p w14:paraId="0C5DEFAB">
      <w:pPr>
        <w:pStyle w:val="14"/>
        <w:widowControl/>
        <w:numPr>
          <w:ilvl w:val="0"/>
          <w:numId w:val="0"/>
        </w:numPr>
        <w:spacing w:line="330" w:lineRule="atLeast"/>
        <w:jc w:val="left"/>
        <w:rPr>
          <w:rFonts w:hint="eastAsia" w:ascii="仿宋" w:hAnsi="仿宋" w:eastAsia="仿宋" w:cs="仿宋"/>
          <w:highlight w:val="none"/>
        </w:rPr>
      </w:pPr>
    </w:p>
    <w:p w14:paraId="0733815B">
      <w:pPr>
        <w:pStyle w:val="14"/>
        <w:widowControl/>
        <w:numPr>
          <w:ilvl w:val="0"/>
          <w:numId w:val="0"/>
        </w:numPr>
        <w:spacing w:line="330" w:lineRule="atLeast"/>
        <w:jc w:val="left"/>
        <w:rPr>
          <w:rFonts w:hint="eastAsia" w:ascii="仿宋" w:hAnsi="仿宋" w:eastAsia="仿宋" w:cs="仿宋"/>
          <w:highlight w:val="none"/>
        </w:rPr>
      </w:pPr>
    </w:p>
    <w:p w14:paraId="21E33AFE">
      <w:pPr>
        <w:pStyle w:val="14"/>
        <w:widowControl/>
        <w:numPr>
          <w:ilvl w:val="0"/>
          <w:numId w:val="0"/>
        </w:numPr>
        <w:spacing w:line="330" w:lineRule="atLeast"/>
        <w:jc w:val="left"/>
        <w:rPr>
          <w:rFonts w:hint="eastAsia" w:ascii="仿宋" w:hAnsi="仿宋" w:eastAsia="仿宋" w:cs="仿宋"/>
          <w:highlight w:val="none"/>
        </w:rPr>
      </w:pPr>
    </w:p>
    <w:p w14:paraId="646A28F6">
      <w:pPr>
        <w:pStyle w:val="14"/>
        <w:widowControl/>
        <w:numPr>
          <w:ilvl w:val="0"/>
          <w:numId w:val="0"/>
        </w:numPr>
        <w:spacing w:line="330" w:lineRule="atLeast"/>
        <w:jc w:val="left"/>
        <w:rPr>
          <w:rFonts w:hint="eastAsia" w:ascii="仿宋" w:hAnsi="仿宋" w:eastAsia="仿宋" w:cs="仿宋"/>
          <w:highlight w:val="none"/>
        </w:rPr>
      </w:pPr>
    </w:p>
    <w:p w14:paraId="60F661B7">
      <w:pPr>
        <w:pStyle w:val="14"/>
        <w:widowControl/>
        <w:numPr>
          <w:ilvl w:val="0"/>
          <w:numId w:val="0"/>
        </w:numPr>
        <w:spacing w:line="330" w:lineRule="atLeast"/>
        <w:jc w:val="left"/>
        <w:rPr>
          <w:rFonts w:hint="eastAsia" w:ascii="仿宋" w:hAnsi="仿宋" w:eastAsia="仿宋" w:cs="仿宋"/>
          <w:highlight w:val="none"/>
        </w:rPr>
      </w:pPr>
    </w:p>
    <w:p w14:paraId="07610A6B">
      <w:pPr>
        <w:pStyle w:val="14"/>
        <w:widowControl/>
        <w:numPr>
          <w:ilvl w:val="0"/>
          <w:numId w:val="0"/>
        </w:numPr>
        <w:spacing w:line="330" w:lineRule="atLeast"/>
        <w:jc w:val="left"/>
        <w:rPr>
          <w:rFonts w:hint="eastAsia" w:ascii="仿宋" w:hAnsi="仿宋" w:eastAsia="仿宋" w:cs="仿宋"/>
          <w:highlight w:val="none"/>
        </w:rPr>
      </w:pPr>
    </w:p>
    <w:p w14:paraId="3222CB67">
      <w:pPr>
        <w:numPr>
          <w:ilvl w:val="0"/>
          <w:numId w:val="0"/>
        </w:numPr>
        <w:snapToGrid w:val="0"/>
        <w:spacing w:line="360" w:lineRule="auto"/>
        <w:rPr>
          <w:rFonts w:hint="eastAsia" w:ascii="仿宋" w:hAnsi="仿宋" w:eastAsia="仿宋" w:cs="仿宋"/>
          <w:b/>
          <w:bCs/>
          <w:sz w:val="24"/>
          <w:highlight w:val="none"/>
          <w:lang w:val="en-US" w:eastAsia="zh-CN"/>
        </w:rPr>
      </w:pPr>
    </w:p>
    <w:p w14:paraId="51167461">
      <w:pPr>
        <w:numPr>
          <w:ilvl w:val="0"/>
          <w:numId w:val="0"/>
        </w:numPr>
        <w:snapToGrid w:val="0"/>
        <w:spacing w:line="360" w:lineRule="auto"/>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42CC3C94">
      <w:pPr>
        <w:widowControl/>
        <w:snapToGrid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24"/>
          <w:szCs w:val="24"/>
          <w:highlight w:val="none"/>
        </w:rPr>
        <w:t>商务、技术部分</w:t>
      </w:r>
    </w:p>
    <w:p w14:paraId="47C2B191">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1．谈判函格式</w:t>
      </w:r>
    </w:p>
    <w:p w14:paraId="37BF63EA">
      <w:pPr>
        <w:spacing w:line="480" w:lineRule="exact"/>
        <w:jc w:val="center"/>
        <w:rPr>
          <w:rFonts w:hint="eastAsia" w:ascii="仿宋" w:hAnsi="仿宋" w:eastAsia="仿宋" w:cs="仿宋"/>
          <w:kern w:val="0"/>
          <w:sz w:val="24"/>
          <w:szCs w:val="24"/>
          <w:highlight w:val="none"/>
          <w:u w:val="single"/>
        </w:rPr>
      </w:pPr>
      <w:r>
        <w:rPr>
          <w:rFonts w:hint="eastAsia" w:ascii="仿宋" w:hAnsi="仿宋" w:eastAsia="仿宋" w:cs="仿宋"/>
          <w:b/>
          <w:kern w:val="0"/>
          <w:sz w:val="24"/>
          <w:szCs w:val="24"/>
          <w:highlight w:val="none"/>
        </w:rPr>
        <w:t>谈  判  函</w:t>
      </w:r>
    </w:p>
    <w:p w14:paraId="6A055B9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2F1269E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（供应商全称）</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（供应商授权代表姓名)            (职务、职称)</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rPr>
        <w:t xml:space="preserve">            （项目名称）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（项目编号</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招标编号、包号</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谈判的有关活动，并对此项目进行报价。为此：</w:t>
      </w:r>
    </w:p>
    <w:p w14:paraId="5300BF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．我方承诺已经具备《中华人民共和国政府采购法》中规定的参加政府采购活动的供应商应当具备的全部条件。</w:t>
      </w:r>
    </w:p>
    <w:p w14:paraId="67CBC28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．提供报价须知规定的全部响应文件，包括响应文件正本、副本。</w:t>
      </w:r>
    </w:p>
    <w:p w14:paraId="46856E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．按响应文件要求提供和交付的货物和服务的报价详见报价一览表。</w:t>
      </w:r>
    </w:p>
    <w:p w14:paraId="0B69089C">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．我方承诺：完全理解并接受报价超过预算金额时，谈判将被拒绝。</w:t>
      </w:r>
    </w:p>
    <w:p w14:paraId="6B0A9A0A">
      <w:pPr>
        <w:widowControl/>
        <w:tabs>
          <w:tab w:val="left" w:pos="1680"/>
        </w:tabs>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．保证忠实地执行双方所签订的合同，并承担合同规定的责任和义务。</w:t>
      </w:r>
    </w:p>
    <w:p w14:paraId="548D9C2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．承诺完全满足和响应响应文件中的各项商务和技术要求，若有偏差，已在响应文件商务和技术条款偏离表中予以明确特别说明。</w:t>
      </w:r>
    </w:p>
    <w:p w14:paraId="3D5C557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．保证遵守响应文件的规定。</w:t>
      </w:r>
    </w:p>
    <w:p w14:paraId="2C19469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．如果在规定的谈判有效期内撤回响应文件，我方的谈判保证金可被贵方没收。</w:t>
      </w:r>
    </w:p>
    <w:p w14:paraId="3D59D6C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．我方完全理解贵方不接受可选择性报价。</w:t>
      </w:r>
    </w:p>
    <w:p w14:paraId="5DC8C6A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．我方愿意向贵方提供任何与本项谈判有关的数据、情况和技术资料。若贵方需要，我方愿意提供我方做出的一切承诺的证明材料。</w:t>
      </w:r>
    </w:p>
    <w:p w14:paraId="6814597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．我方已详细审核全部响应文件，包括响应文件修改书（如有的话）、参考资料及有关附件，确认无误。</w:t>
      </w:r>
    </w:p>
    <w:p w14:paraId="341C9B74">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．我方承诺：采购人若需追加采购本项目响应文件所列货物及相关服务的，在不改变合同其他实质性条款的前提下，按相同或更优惠的折扣率保证供货。</w:t>
      </w:r>
    </w:p>
    <w:p w14:paraId="6AF2D47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13</w:t>
      </w:r>
      <w:r>
        <w:rPr>
          <w:rFonts w:hint="eastAsia" w:ascii="仿宋" w:hAnsi="仿宋" w:eastAsia="仿宋" w:cs="仿宋"/>
          <w:kern w:val="0"/>
          <w:sz w:val="24"/>
          <w:szCs w:val="24"/>
          <w:highlight w:val="none"/>
        </w:rPr>
        <w:t>．我方承诺接受谈判文件中《</w:t>
      </w:r>
      <w:r>
        <w:rPr>
          <w:rFonts w:hint="eastAsia" w:ascii="仿宋" w:hAnsi="仿宋" w:eastAsia="仿宋" w:cs="仿宋"/>
          <w:kern w:val="0"/>
          <w:sz w:val="24"/>
          <w:szCs w:val="24"/>
          <w:highlight w:val="none"/>
          <w:lang w:val="en-US" w:eastAsia="zh-CN"/>
        </w:rPr>
        <w:t>政府采购合同</w:t>
      </w:r>
      <w:r>
        <w:rPr>
          <w:rFonts w:hint="eastAsia" w:ascii="仿宋" w:hAnsi="仿宋" w:eastAsia="仿宋" w:cs="仿宋"/>
          <w:kern w:val="0"/>
          <w:sz w:val="24"/>
          <w:szCs w:val="24"/>
          <w:highlight w:val="none"/>
        </w:rPr>
        <w:t>》的全部条款且无任何异议。</w:t>
      </w:r>
    </w:p>
    <w:p w14:paraId="1B304EA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E973E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（1）提供虚假材料谋取中标、成交的；</w:t>
      </w:r>
    </w:p>
    <w:p w14:paraId="2138495B">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（2）采取不正当手段诋毁、排挤其他供应商的；</w:t>
      </w:r>
    </w:p>
    <w:p w14:paraId="437143E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（3）与采购人、其它供应商或者</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工作人员恶意串通的；</w:t>
      </w:r>
    </w:p>
    <w:p w14:paraId="4CC2541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（4）向采购人、</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工作人员行贿或者提供其他不正当利益的；</w:t>
      </w:r>
    </w:p>
    <w:p w14:paraId="58CD73F2">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（5）谈判截止时间后撤回报价的；</w:t>
      </w:r>
    </w:p>
    <w:p w14:paraId="5939542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（6）在谈判期间，影响</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或谈判小组正常履行职责的；</w:t>
      </w:r>
    </w:p>
    <w:p w14:paraId="468C4C18">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（7）未经</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同意，在采购过程中与采购人进行协商谈判的；</w:t>
      </w:r>
    </w:p>
    <w:p w14:paraId="06727941">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（8）成交后未按谈判文件、响应文件及相关承诺规定签约或与采购人订立背离合同实质性内容的其它协议的；</w:t>
      </w:r>
    </w:p>
    <w:p w14:paraId="0C0208F6">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（9）未按响应文件规定和合同约定履行义务的；</w:t>
      </w:r>
    </w:p>
    <w:p w14:paraId="3B89CC8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（10）拒绝有关部门监督检查或提供虚假情况的；</w:t>
      </w:r>
    </w:p>
    <w:p w14:paraId="3602FD2D">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（11）违犯法律法规规定的其他行为。</w:t>
      </w:r>
    </w:p>
    <w:p w14:paraId="36D75DE4">
      <w:pPr>
        <w:widowControl/>
        <w:snapToGrid w:val="0"/>
        <w:spacing w:line="360" w:lineRule="auto"/>
        <w:jc w:val="left"/>
        <w:rPr>
          <w:rFonts w:hint="eastAsia" w:ascii="仿宋" w:hAnsi="仿宋" w:eastAsia="仿宋" w:cs="仿宋"/>
          <w:kern w:val="0"/>
          <w:sz w:val="24"/>
          <w:szCs w:val="24"/>
          <w:highlight w:val="none"/>
        </w:rPr>
      </w:pPr>
    </w:p>
    <w:p w14:paraId="0C9F0346">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所有有关本谈判项目的一切往来联系方式为：</w:t>
      </w:r>
    </w:p>
    <w:p w14:paraId="16041C6F">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rPr>
        <w:t xml:space="preserve">                   </w:t>
      </w:r>
    </w:p>
    <w:p w14:paraId="62031C7D">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rPr>
        <w:t xml:space="preserve">                   </w:t>
      </w:r>
    </w:p>
    <w:p w14:paraId="1C8A0EE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供应商授权代表姓名：</w:t>
      </w:r>
      <w:r>
        <w:rPr>
          <w:rFonts w:hint="eastAsia" w:ascii="仿宋" w:hAnsi="仿宋" w:eastAsia="仿宋" w:cs="仿宋"/>
          <w:kern w:val="0"/>
          <w:sz w:val="24"/>
          <w:szCs w:val="24"/>
          <w:highlight w:val="none"/>
          <w:u w:val="single"/>
        </w:rPr>
        <w:t xml:space="preserve">                   </w:t>
      </w:r>
    </w:p>
    <w:p w14:paraId="51DECE6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（移动）</w:t>
      </w:r>
    </w:p>
    <w:p w14:paraId="0FA7AF37">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E-mail</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rPr>
        <w:t xml:space="preserve">                   </w:t>
      </w:r>
    </w:p>
    <w:p w14:paraId="559D75B0">
      <w:pPr>
        <w:widowControl/>
        <w:tabs>
          <w:tab w:val="left" w:pos="4000"/>
        </w:tabs>
        <w:snapToGrid w:val="0"/>
        <w:spacing w:line="48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
      </w:r>
    </w:p>
    <w:p w14:paraId="626B56DD">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35A105">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w:t>
      </w:r>
      <w:r>
        <w:rPr>
          <w:rFonts w:hint="eastAsia" w:ascii="仿宋" w:hAnsi="仿宋" w:eastAsia="仿宋" w:cs="仿宋"/>
          <w:spacing w:val="0"/>
          <w:kern w:val="21"/>
          <w:sz w:val="24"/>
          <w:szCs w:val="24"/>
          <w:highlight w:val="none"/>
          <w:lang w:val="en-US" w:eastAsia="zh-CN"/>
        </w:rPr>
        <w:t>和</w:t>
      </w:r>
      <w:r>
        <w:rPr>
          <w:rFonts w:hint="eastAsia" w:ascii="仿宋" w:hAnsi="仿宋" w:eastAsia="仿宋" w:cs="仿宋"/>
          <w:spacing w:val="0"/>
          <w:kern w:val="21"/>
          <w:sz w:val="24"/>
          <w:szCs w:val="24"/>
          <w:highlight w:val="none"/>
        </w:rPr>
        <w:t>盖章)</w:t>
      </w:r>
    </w:p>
    <w:p w14:paraId="7AB581F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6BA0010">
      <w:pPr>
        <w:keepNext w:val="0"/>
        <w:keepLines w:val="0"/>
        <w:pageBreakBefore w:val="0"/>
        <w:widowControl/>
        <w:tabs>
          <w:tab w:val="left" w:pos="567"/>
        </w:tabs>
        <w:kinsoku/>
        <w:wordWrap/>
        <w:overflowPunct/>
        <w:topLinePunct w:val="0"/>
        <w:autoSpaceDE/>
        <w:autoSpaceDN/>
        <w:bidi w:val="0"/>
        <w:adjustRightInd/>
        <w:snapToGrid w:val="0"/>
        <w:spacing w:line="360" w:lineRule="auto"/>
        <w:jc w:val="left"/>
        <w:textAlignment w:val="auto"/>
        <w:rPr>
          <w:rFonts w:hint="eastAsia" w:ascii="仿宋" w:hAnsi="仿宋" w:eastAsia="仿宋" w:cs="仿宋"/>
          <w:b/>
          <w:kern w:val="0"/>
          <w:sz w:val="24"/>
          <w:szCs w:val="24"/>
          <w:highlight w:val="none"/>
        </w:rPr>
      </w:pPr>
      <w:r>
        <w:rPr>
          <w:rFonts w:hint="eastAsia" w:ascii="仿宋" w:hAnsi="仿宋" w:eastAsia="仿宋" w:cs="仿宋"/>
          <w:kern w:val="0"/>
          <w:highlight w:val="none"/>
        </w:rPr>
        <w:br w:type="page"/>
      </w:r>
      <w:r>
        <w:rPr>
          <w:rFonts w:hint="eastAsia" w:ascii="仿宋" w:hAnsi="仿宋" w:eastAsia="仿宋" w:cs="仿宋"/>
          <w:b/>
          <w:kern w:val="0"/>
          <w:sz w:val="24"/>
          <w:szCs w:val="24"/>
          <w:highlight w:val="none"/>
        </w:rPr>
        <w:t>2．法定代表人（负责人）身份证明书</w:t>
      </w:r>
    </w:p>
    <w:p w14:paraId="6C8CA561">
      <w:pPr>
        <w:keepNext w:val="0"/>
        <w:keepLines w:val="0"/>
        <w:pageBreakBefore w:val="0"/>
        <w:widowControl/>
        <w:kinsoku/>
        <w:wordWrap/>
        <w:overflowPunct/>
        <w:topLinePunct w:val="0"/>
        <w:autoSpaceDE/>
        <w:autoSpaceDN/>
        <w:bidi w:val="0"/>
        <w:adjustRightInd/>
        <w:snapToGrid w:val="0"/>
        <w:spacing w:line="360" w:lineRule="auto"/>
        <w:ind w:left="562" w:hanging="482" w:hangingChars="20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法定代表人（负责人）身份证明</w:t>
      </w:r>
    </w:p>
    <w:p w14:paraId="0BFC93C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u w:val="single"/>
          <w:lang w:val="en-US" w:eastAsia="zh-CN"/>
        </w:rPr>
        <w:t xml:space="preserve">                      </w:t>
      </w:r>
    </w:p>
    <w:p w14:paraId="263D0A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lang w:val="en-US" w:eastAsia="zh-CN"/>
        </w:rPr>
        <w:t xml:space="preserve">                      </w:t>
      </w:r>
    </w:p>
    <w:p w14:paraId="5F8D9AD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lang w:val="en-US" w:eastAsia="zh-CN"/>
        </w:rPr>
        <w:t xml:space="preserve">                      </w:t>
      </w:r>
    </w:p>
    <w:p w14:paraId="61302A2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14:paraId="41D366F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lang w:val="en-US" w:eastAsia="zh-CN"/>
        </w:rPr>
        <w:t xml:space="preserve">                      </w:t>
      </w:r>
    </w:p>
    <w:p w14:paraId="4A81CAF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  别：</w:t>
      </w:r>
      <w:r>
        <w:rPr>
          <w:rFonts w:hint="eastAsia" w:ascii="仿宋" w:hAnsi="仿宋" w:eastAsia="仿宋" w:cs="仿宋"/>
          <w:kern w:val="0"/>
          <w:sz w:val="24"/>
          <w:szCs w:val="24"/>
          <w:highlight w:val="none"/>
          <w:u w:val="single"/>
        </w:rPr>
        <w:t xml:space="preserve">         </w:t>
      </w:r>
    </w:p>
    <w:p w14:paraId="008039C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  务： </w:t>
      </w:r>
      <w:r>
        <w:rPr>
          <w:rFonts w:hint="eastAsia" w:ascii="仿宋" w:hAnsi="仿宋" w:eastAsia="仿宋" w:cs="仿宋"/>
          <w:kern w:val="0"/>
          <w:sz w:val="24"/>
          <w:szCs w:val="24"/>
          <w:highlight w:val="none"/>
          <w:u w:val="single"/>
        </w:rPr>
        <w:t xml:space="preserve">         </w:t>
      </w:r>
    </w:p>
    <w:p w14:paraId="128D27E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（供应商名称）          </w:t>
      </w:r>
      <w:r>
        <w:rPr>
          <w:rFonts w:hint="eastAsia" w:ascii="仿宋" w:hAnsi="仿宋" w:eastAsia="仿宋" w:cs="仿宋"/>
          <w:kern w:val="0"/>
          <w:sz w:val="24"/>
          <w:szCs w:val="24"/>
          <w:highlight w:val="none"/>
          <w:u w:val="none"/>
        </w:rPr>
        <w:t>的法定代表人。</w:t>
      </w:r>
    </w:p>
    <w:p w14:paraId="7FF4F51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18C6A17A">
      <w:pPr>
        <w:keepNext w:val="0"/>
        <w:keepLines w:val="0"/>
        <w:pageBreakBefore w:val="0"/>
        <w:widowControl/>
        <w:kinsoku/>
        <w:wordWrap/>
        <w:overflowPunct/>
        <w:topLinePunct w:val="0"/>
        <w:autoSpaceDE/>
        <w:autoSpaceDN/>
        <w:bidi w:val="0"/>
        <w:adjustRightInd/>
        <w:snapToGrid w:val="0"/>
        <w:spacing w:line="360" w:lineRule="auto"/>
        <w:ind w:firstLine="960" w:firstLineChars="4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14:paraId="4B6B9B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BEFF80C">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41ED74B">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(签字或盖章)</w:t>
      </w:r>
    </w:p>
    <w:p w14:paraId="51862638">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rPr>
        <w:t xml:space="preserve">                   </w:t>
      </w:r>
    </w:p>
    <w:p w14:paraId="033B7F8E">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p>
    <w:p w14:paraId="793BD24A">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附法定代表人第二代身份证正反面复印件。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58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285637B">
            <w:pPr>
              <w:spacing w:line="360" w:lineRule="auto"/>
              <w:rPr>
                <w:rFonts w:hint="eastAsia" w:ascii="仿宋" w:hAnsi="仿宋" w:eastAsia="仿宋" w:cs="仿宋"/>
                <w:sz w:val="24"/>
                <w:szCs w:val="24"/>
                <w:highlight w:val="none"/>
              </w:rPr>
            </w:pPr>
          </w:p>
        </w:tc>
        <w:tc>
          <w:tcPr>
            <w:tcW w:w="4615" w:type="dxa"/>
            <w:noWrap w:val="0"/>
            <w:vAlign w:val="top"/>
          </w:tcPr>
          <w:p w14:paraId="2ACBD658">
            <w:pPr>
              <w:spacing w:line="360" w:lineRule="auto"/>
              <w:rPr>
                <w:rFonts w:hint="eastAsia" w:ascii="仿宋" w:hAnsi="仿宋" w:eastAsia="仿宋" w:cs="仿宋"/>
                <w:sz w:val="24"/>
                <w:szCs w:val="24"/>
                <w:highlight w:val="none"/>
              </w:rPr>
            </w:pPr>
          </w:p>
        </w:tc>
      </w:tr>
    </w:tbl>
    <w:p w14:paraId="7C4EFD1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3．法定代表人（负责人）授权委托书</w:t>
      </w:r>
    </w:p>
    <w:p w14:paraId="29D35519">
      <w:pPr>
        <w:widowControl/>
        <w:snapToGrid w:val="0"/>
        <w:spacing w:line="360" w:lineRule="auto"/>
        <w:ind w:left="562" w:hanging="482" w:hanging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法定代表人（负责人）授权委托书</w:t>
      </w:r>
    </w:p>
    <w:p w14:paraId="396EA15E">
      <w:pPr>
        <w:widowControl/>
        <w:snapToGrid w:val="0"/>
        <w:spacing w:line="360" w:lineRule="auto"/>
        <w:jc w:val="left"/>
        <w:rPr>
          <w:rFonts w:hint="eastAsia" w:ascii="仿宋" w:hAnsi="仿宋" w:eastAsia="仿宋" w:cs="仿宋"/>
          <w:kern w:val="0"/>
          <w:sz w:val="24"/>
          <w:szCs w:val="24"/>
          <w:highlight w:val="none"/>
        </w:rPr>
      </w:pPr>
    </w:p>
    <w:p w14:paraId="5121EC51">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w:t>
      </w:r>
    </w:p>
    <w:p w14:paraId="5369BA8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（供应商住址）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（法定代表人姓名、职务）</w:t>
      </w:r>
      <w:r>
        <w:rPr>
          <w:rFonts w:hint="eastAsia" w:ascii="仿宋" w:hAnsi="仿宋" w:eastAsia="仿宋" w:cs="仿宋"/>
          <w:kern w:val="0"/>
          <w:sz w:val="24"/>
          <w:szCs w:val="24"/>
          <w:highlight w:val="none"/>
        </w:rPr>
        <w:t>代表本公司授权在下面签字的</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项目，项目编号：</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none"/>
          <w:lang w:val="en-US" w:eastAsia="zh-CN"/>
        </w:rPr>
        <w:t>招标编号：</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以本公司名义处理一切与之有关的事务。</w:t>
      </w:r>
    </w:p>
    <w:p w14:paraId="51A9A5EC">
      <w:pPr>
        <w:widowControl/>
        <w:snapToGrid w:val="0"/>
        <w:spacing w:line="360" w:lineRule="auto"/>
        <w:ind w:firstLine="480"/>
        <w:jc w:val="left"/>
        <w:rPr>
          <w:rFonts w:hint="eastAsia" w:ascii="仿宋" w:hAnsi="仿宋" w:eastAsia="仿宋" w:cs="仿宋"/>
          <w:kern w:val="0"/>
          <w:sz w:val="24"/>
          <w:szCs w:val="24"/>
          <w:highlight w:val="none"/>
        </w:rPr>
      </w:pPr>
    </w:p>
    <w:p w14:paraId="22778469">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日起签字生效。</w:t>
      </w:r>
    </w:p>
    <w:p w14:paraId="00BF1520">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45114275">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04B9FCB">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0045248A">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被授权人代表：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640B6557">
      <w:pPr>
        <w:widowControl/>
        <w:tabs>
          <w:tab w:val="left" w:pos="730"/>
        </w:tabs>
        <w:snapToGrid w:val="0"/>
        <w:spacing w:line="360" w:lineRule="auto"/>
        <w:rPr>
          <w:rFonts w:hint="eastAsia" w:ascii="仿宋" w:hAnsi="仿宋" w:eastAsia="仿宋" w:cs="仿宋"/>
          <w:kern w:val="0"/>
          <w:sz w:val="24"/>
          <w:szCs w:val="24"/>
          <w:highlight w:val="none"/>
        </w:rPr>
      </w:pPr>
    </w:p>
    <w:p w14:paraId="3DA44289">
      <w:pPr>
        <w:widowControl/>
        <w:tabs>
          <w:tab w:val="left" w:pos="730"/>
        </w:tabs>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附被授权人第二代身份证正反面复印件。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53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615" w:type="dxa"/>
            <w:noWrap w:val="0"/>
            <w:vAlign w:val="top"/>
          </w:tcPr>
          <w:p w14:paraId="4306FB32">
            <w:pPr>
              <w:spacing w:line="360" w:lineRule="auto"/>
              <w:rPr>
                <w:rFonts w:hint="eastAsia" w:ascii="仿宋" w:hAnsi="仿宋" w:eastAsia="仿宋" w:cs="仿宋"/>
                <w:sz w:val="24"/>
                <w:szCs w:val="24"/>
                <w:highlight w:val="none"/>
              </w:rPr>
            </w:pPr>
          </w:p>
        </w:tc>
        <w:tc>
          <w:tcPr>
            <w:tcW w:w="4615" w:type="dxa"/>
            <w:noWrap w:val="0"/>
            <w:vAlign w:val="top"/>
          </w:tcPr>
          <w:p w14:paraId="2540B6FD">
            <w:pPr>
              <w:spacing w:line="360" w:lineRule="auto"/>
              <w:rPr>
                <w:rFonts w:hint="eastAsia" w:ascii="仿宋" w:hAnsi="仿宋" w:eastAsia="仿宋" w:cs="仿宋"/>
                <w:sz w:val="24"/>
                <w:szCs w:val="24"/>
                <w:highlight w:val="none"/>
              </w:rPr>
            </w:pPr>
          </w:p>
        </w:tc>
      </w:tr>
    </w:tbl>
    <w:p w14:paraId="5947CA49">
      <w:pPr>
        <w:widowControl/>
        <w:snapToGrid w:val="0"/>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48802F9C">
      <w:pPr>
        <w:widowControl/>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1.除可填报项目外，对本法定代表人授权委托书的任何修改将被视为未实质性响应报价，从而导致该投标被拒绝；</w:t>
      </w:r>
    </w:p>
    <w:p w14:paraId="4B042A0C">
      <w:pPr>
        <w:widowControl/>
        <w:tabs>
          <w:tab w:val="left" w:pos="567"/>
        </w:tabs>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2.若供应商授权代表为法定代表人（负责人）的可不提供。</w:t>
      </w:r>
    </w:p>
    <w:p w14:paraId="438256C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4．报价一览表格式</w:t>
      </w:r>
    </w:p>
    <w:p w14:paraId="3DAAE377">
      <w:pPr>
        <w:keepNext w:val="0"/>
        <w:keepLines w:val="0"/>
        <w:pageBreakBefore w:val="0"/>
        <w:kinsoku/>
        <w:wordWrap/>
        <w:overflowPunct/>
        <w:topLinePunct w:val="0"/>
        <w:autoSpaceDE/>
        <w:autoSpaceDN/>
        <w:bidi w:val="0"/>
        <w:adjustRightInd/>
        <w:spacing w:line="480" w:lineRule="auto"/>
        <w:ind w:right="26"/>
        <w:jc w:val="center"/>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p>
    <w:p w14:paraId="06A1731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highlight w:val="none"/>
        </w:rPr>
      </w:pPr>
    </w:p>
    <w:p w14:paraId="77896AFD">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项目名称</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59173ECA">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项目编号</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671D8D7F">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287F9530">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0262C800">
      <w:pPr>
        <w:pStyle w:val="7"/>
        <w:wordWrap w:val="0"/>
        <w:jc w:val="right"/>
        <w:rPr>
          <w:rFonts w:hint="default" w:eastAsia="仿宋"/>
          <w:highlight w:val="none"/>
          <w:u w:val="none"/>
          <w:lang w:val="en-US" w:eastAsia="zh-CN"/>
        </w:rPr>
      </w:pPr>
      <w:r>
        <w:rPr>
          <w:rFonts w:hint="eastAsia" w:ascii="仿宋" w:hAnsi="仿宋" w:eastAsia="仿宋" w:cs="仿宋"/>
          <w:kern w:val="0"/>
          <w:sz w:val="24"/>
          <w:szCs w:val="24"/>
          <w:highlight w:val="none"/>
          <w:u w:val="none"/>
          <w:lang w:eastAsia="zh-CN"/>
        </w:rPr>
        <w:t>单位：元</w:t>
      </w:r>
      <w:r>
        <w:rPr>
          <w:rFonts w:hint="eastAsia" w:ascii="仿宋" w:hAnsi="仿宋" w:eastAsia="仿宋" w:cs="仿宋"/>
          <w:kern w:val="0"/>
          <w:sz w:val="24"/>
          <w:szCs w:val="24"/>
          <w:highlight w:val="none"/>
          <w:u w:val="none"/>
          <w:lang w:val="en-US" w:eastAsia="zh-CN"/>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6EF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71EEC0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总报价</w:t>
            </w:r>
          </w:p>
        </w:tc>
        <w:tc>
          <w:tcPr>
            <w:tcW w:w="6005" w:type="dxa"/>
            <w:noWrap w:val="0"/>
            <w:vAlign w:val="center"/>
          </w:tcPr>
          <w:p w14:paraId="0BB9767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w:t>
            </w:r>
          </w:p>
          <w:p w14:paraId="55BF96E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bCs/>
                <w:color w:val="auto"/>
                <w:spacing w:val="20"/>
                <w:sz w:val="24"/>
                <w:highlight w:val="none"/>
                <w:u w:val="single"/>
              </w:rPr>
            </w:pPr>
            <w:r>
              <w:rPr>
                <w:rFonts w:hint="eastAsia" w:ascii="仿宋" w:hAnsi="仿宋" w:eastAsia="仿宋" w:cs="仿宋"/>
                <w:color w:val="auto"/>
                <w:spacing w:val="20"/>
                <w:sz w:val="24"/>
                <w:highlight w:val="none"/>
              </w:rPr>
              <w:t>小写：</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元</w:t>
            </w:r>
          </w:p>
        </w:tc>
      </w:tr>
      <w:tr w14:paraId="11D2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4CD8F7F9">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lang w:eastAsia="zh-CN"/>
              </w:rPr>
            </w:pPr>
            <w:r>
              <w:rPr>
                <w:rFonts w:hint="eastAsia" w:ascii="仿宋" w:hAnsi="仿宋" w:eastAsia="仿宋" w:cs="仿宋"/>
                <w:color w:val="auto"/>
                <w:sz w:val="24"/>
                <w:highlight w:val="none"/>
                <w:lang w:eastAsia="zh-CN"/>
              </w:rPr>
              <w:t>合同履行期限</w:t>
            </w:r>
          </w:p>
        </w:tc>
        <w:tc>
          <w:tcPr>
            <w:tcW w:w="6005" w:type="dxa"/>
            <w:noWrap w:val="0"/>
            <w:vAlign w:val="center"/>
          </w:tcPr>
          <w:p w14:paraId="452C511D">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5C5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43D744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质保期限</w:t>
            </w:r>
          </w:p>
        </w:tc>
        <w:tc>
          <w:tcPr>
            <w:tcW w:w="6005" w:type="dxa"/>
            <w:noWrap w:val="0"/>
            <w:vAlign w:val="center"/>
          </w:tcPr>
          <w:p w14:paraId="5E154B66">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164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5DF8D222">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备   注</w:t>
            </w:r>
          </w:p>
        </w:tc>
        <w:tc>
          <w:tcPr>
            <w:tcW w:w="6005" w:type="dxa"/>
            <w:noWrap w:val="0"/>
            <w:vAlign w:val="center"/>
          </w:tcPr>
          <w:p w14:paraId="0645BEDB">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bl>
    <w:p w14:paraId="3242A2AB">
      <w:pPr>
        <w:keepNext w:val="0"/>
        <w:keepLines w:val="0"/>
        <w:pageBreakBefore w:val="0"/>
        <w:widowControl/>
        <w:kinsoku/>
        <w:wordWrap/>
        <w:overflowPunct/>
        <w:topLinePunct w:val="0"/>
        <w:autoSpaceDE/>
        <w:autoSpaceDN/>
        <w:bidi w:val="0"/>
        <w:adjustRightInd/>
        <w:spacing w:line="480" w:lineRule="auto"/>
        <w:ind w:firstLine="560" w:firstLineChars="20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注:（1）报价应包括</w:t>
      </w:r>
      <w:r>
        <w:rPr>
          <w:rFonts w:hint="eastAsia" w:ascii="仿宋" w:hAnsi="仿宋" w:eastAsia="仿宋" w:cs="仿宋"/>
          <w:color w:val="auto"/>
          <w:spacing w:val="20"/>
          <w:sz w:val="24"/>
          <w:highlight w:val="none"/>
          <w:lang w:val="en-US" w:eastAsia="zh-CN"/>
        </w:rPr>
        <w:t>竞争性谈判</w:t>
      </w:r>
      <w:r>
        <w:rPr>
          <w:rFonts w:hint="eastAsia" w:ascii="仿宋" w:hAnsi="仿宋" w:eastAsia="仿宋" w:cs="仿宋"/>
          <w:color w:val="auto"/>
          <w:spacing w:val="20"/>
          <w:sz w:val="24"/>
          <w:highlight w:val="none"/>
        </w:rPr>
        <w:t>文件所规定的</w:t>
      </w:r>
      <w:r>
        <w:rPr>
          <w:rFonts w:hint="eastAsia" w:ascii="仿宋" w:hAnsi="仿宋" w:eastAsia="仿宋" w:cs="仿宋"/>
          <w:color w:val="auto"/>
          <w:spacing w:val="20"/>
          <w:sz w:val="24"/>
          <w:highlight w:val="none"/>
          <w:lang w:val="en-US" w:eastAsia="zh-CN"/>
        </w:rPr>
        <w:t>谈判</w:t>
      </w:r>
      <w:r>
        <w:rPr>
          <w:rFonts w:hint="eastAsia" w:ascii="仿宋" w:hAnsi="仿宋" w:eastAsia="仿宋" w:cs="仿宋"/>
          <w:color w:val="auto"/>
          <w:spacing w:val="20"/>
          <w:sz w:val="24"/>
          <w:highlight w:val="none"/>
        </w:rPr>
        <w:t>范围的全部内容；</w:t>
      </w:r>
    </w:p>
    <w:p w14:paraId="4EA6E4D5">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（2）报价的内容可以根据</w:t>
      </w:r>
      <w:r>
        <w:rPr>
          <w:rFonts w:hint="eastAsia" w:ascii="仿宋" w:hAnsi="仿宋" w:eastAsia="仿宋" w:cs="仿宋"/>
          <w:color w:val="auto"/>
          <w:spacing w:val="20"/>
          <w:sz w:val="24"/>
          <w:highlight w:val="none"/>
          <w:lang w:eastAsia="zh-CN"/>
        </w:rPr>
        <w:t>供应商</w:t>
      </w:r>
      <w:r>
        <w:rPr>
          <w:rFonts w:hint="eastAsia" w:ascii="仿宋" w:hAnsi="仿宋" w:eastAsia="仿宋" w:cs="仿宋"/>
          <w:color w:val="auto"/>
          <w:spacing w:val="20"/>
          <w:sz w:val="24"/>
          <w:highlight w:val="none"/>
        </w:rPr>
        <w:t>实际情况增加但报价表格式不得自行改动；</w:t>
      </w:r>
    </w:p>
    <w:p w14:paraId="6CE89E93">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pacing w:val="20"/>
          <w:sz w:val="24"/>
          <w:highlight w:val="none"/>
        </w:rPr>
        <w:t>应满</w:t>
      </w:r>
      <w:r>
        <w:rPr>
          <w:rFonts w:hint="eastAsia" w:ascii="仿宋" w:hAnsi="仿宋" w:eastAsia="仿宋" w:cs="仿宋"/>
          <w:color w:val="auto"/>
          <w:spacing w:val="20"/>
          <w:sz w:val="24"/>
          <w:highlight w:val="none"/>
          <w:lang w:val="en-US" w:eastAsia="zh-CN"/>
        </w:rPr>
        <w:t>足竞争性谈判</w:t>
      </w:r>
      <w:r>
        <w:rPr>
          <w:rFonts w:hint="eastAsia" w:ascii="仿宋" w:hAnsi="仿宋" w:eastAsia="仿宋" w:cs="仿宋"/>
          <w:color w:val="auto"/>
          <w:spacing w:val="20"/>
          <w:sz w:val="24"/>
          <w:highlight w:val="none"/>
        </w:rPr>
        <w:t>文件中</w:t>
      </w:r>
      <w:r>
        <w:rPr>
          <w:rFonts w:hint="eastAsia" w:ascii="仿宋" w:hAnsi="仿宋" w:eastAsia="仿宋" w:cs="仿宋"/>
          <w:color w:val="auto"/>
          <w:spacing w:val="20"/>
          <w:sz w:val="24"/>
          <w:highlight w:val="none"/>
          <w:lang w:val="en-US" w:eastAsia="zh-CN"/>
        </w:rPr>
        <w:t>的</w:t>
      </w:r>
      <w:r>
        <w:rPr>
          <w:rFonts w:hint="eastAsia" w:ascii="仿宋" w:hAnsi="仿宋" w:eastAsia="仿宋" w:cs="仿宋"/>
          <w:color w:val="auto"/>
          <w:spacing w:val="20"/>
          <w:sz w:val="24"/>
          <w:highlight w:val="none"/>
        </w:rPr>
        <w:t>相关要求。</w:t>
      </w:r>
    </w:p>
    <w:p w14:paraId="4ED9C102">
      <w:pPr>
        <w:keepNext w:val="0"/>
        <w:keepLines w:val="0"/>
        <w:pageBreakBefore w:val="0"/>
        <w:widowControl/>
        <w:kinsoku/>
        <w:wordWrap/>
        <w:overflowPunct/>
        <w:topLinePunct w:val="0"/>
        <w:autoSpaceDE/>
        <w:autoSpaceDN/>
        <w:bidi w:val="0"/>
        <w:adjustRightInd/>
        <w:spacing w:line="480" w:lineRule="auto"/>
        <w:jc w:val="left"/>
        <w:textAlignment w:val="auto"/>
        <w:outlineLvl w:val="9"/>
        <w:rPr>
          <w:rFonts w:hint="eastAsia" w:ascii="仿宋" w:hAnsi="仿宋" w:eastAsia="仿宋" w:cs="仿宋"/>
          <w:color w:val="auto"/>
          <w:spacing w:val="20"/>
          <w:sz w:val="24"/>
          <w:highlight w:val="none"/>
        </w:rPr>
      </w:pPr>
    </w:p>
    <w:p w14:paraId="1CB09B06">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CC5B43E">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2352D96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525B79">
      <w:pPr>
        <w:widowControl/>
        <w:snapToGrid w:val="0"/>
        <w:spacing w:line="360" w:lineRule="auto"/>
        <w:jc w:val="center"/>
        <w:rPr>
          <w:rFonts w:hint="eastAsia" w:ascii="仿宋" w:hAnsi="仿宋" w:eastAsia="仿宋" w:cs="仿宋"/>
          <w:b/>
          <w:kern w:val="0"/>
          <w:sz w:val="28"/>
          <w:szCs w:val="28"/>
          <w:highlight w:val="none"/>
          <w:lang w:val="en-US" w:eastAsia="zh-CN"/>
        </w:rPr>
      </w:pPr>
      <w:r>
        <w:rPr>
          <w:rFonts w:hint="eastAsia" w:ascii="仿宋" w:hAnsi="仿宋" w:eastAsia="仿宋" w:cs="仿宋"/>
          <w:color w:val="auto"/>
          <w:sz w:val="24"/>
          <w:highlight w:val="none"/>
        </w:rPr>
        <w:br w:type="page"/>
      </w:r>
      <w:r>
        <w:rPr>
          <w:rFonts w:hint="eastAsia" w:ascii="仿宋" w:hAnsi="仿宋" w:eastAsia="仿宋" w:cs="仿宋"/>
          <w:b/>
          <w:kern w:val="0"/>
          <w:sz w:val="28"/>
          <w:szCs w:val="28"/>
          <w:highlight w:val="none"/>
        </w:rPr>
        <w:t>报价</w:t>
      </w:r>
      <w:r>
        <w:rPr>
          <w:rFonts w:hint="eastAsia" w:ascii="仿宋" w:hAnsi="仿宋" w:eastAsia="仿宋" w:cs="仿宋"/>
          <w:b/>
          <w:kern w:val="0"/>
          <w:sz w:val="28"/>
          <w:szCs w:val="28"/>
          <w:highlight w:val="none"/>
          <w:lang w:val="en-US" w:eastAsia="zh-CN"/>
        </w:rPr>
        <w:t>明细表</w:t>
      </w:r>
    </w:p>
    <w:p w14:paraId="0B61BF31">
      <w:pPr>
        <w:widowControl/>
        <w:snapToGrid w:val="0"/>
        <w:spacing w:line="360" w:lineRule="auto"/>
        <w:jc w:val="left"/>
        <w:rPr>
          <w:rFonts w:hint="eastAsia" w:ascii="仿宋" w:hAnsi="仿宋" w:eastAsia="仿宋" w:cs="仿宋"/>
          <w:kern w:val="0"/>
          <w:sz w:val="28"/>
          <w:highlight w:val="none"/>
        </w:rPr>
      </w:pPr>
    </w:p>
    <w:p w14:paraId="2BE21A21">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06354B80">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053A83CE">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1181D80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62687A5E">
      <w:pPr>
        <w:widowControl/>
        <w:snapToGrid w:val="0"/>
        <w:spacing w:line="360" w:lineRule="auto"/>
        <w:jc w:val="left"/>
        <w:rPr>
          <w:rFonts w:hint="eastAsia" w:ascii="仿宋" w:hAnsi="仿宋" w:eastAsia="仿宋" w:cs="仿宋"/>
          <w:kern w:val="0"/>
          <w:sz w:val="24"/>
          <w:highlight w:val="none"/>
        </w:rPr>
      </w:pPr>
    </w:p>
    <w:p w14:paraId="52864039">
      <w:pPr>
        <w:widowControl/>
        <w:snapToGrid w:val="0"/>
        <w:spacing w:line="360" w:lineRule="auto"/>
        <w:ind w:firstLine="6000" w:firstLineChars="2500"/>
        <w:jc w:val="left"/>
        <w:rPr>
          <w:rFonts w:hint="eastAsia" w:ascii="仿宋" w:hAnsi="仿宋" w:eastAsia="仿宋" w:cs="仿宋"/>
          <w:kern w:val="0"/>
          <w:sz w:val="24"/>
          <w:szCs w:val="24"/>
          <w:highlight w:val="none"/>
        </w:rPr>
      </w:pPr>
    </w:p>
    <w:p w14:paraId="2AA3A7EB">
      <w:pPr>
        <w:widowControl/>
        <w:snapToGrid w:val="0"/>
        <w:spacing w:line="360" w:lineRule="auto"/>
        <w:ind w:firstLine="6000" w:firstLineChars="25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货币：人民币/元</w:t>
      </w:r>
    </w:p>
    <w:tbl>
      <w:tblPr>
        <w:tblStyle w:val="15"/>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3"/>
        <w:gridCol w:w="711"/>
        <w:gridCol w:w="711"/>
        <w:gridCol w:w="786"/>
        <w:gridCol w:w="872"/>
        <w:gridCol w:w="805"/>
        <w:gridCol w:w="1163"/>
        <w:gridCol w:w="750"/>
        <w:gridCol w:w="754"/>
        <w:gridCol w:w="1325"/>
      </w:tblGrid>
      <w:tr w14:paraId="3E7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893462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序号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1F34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A98D1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1"/>
                <w:szCs w:val="21"/>
                <w:highlight w:val="none"/>
              </w:rPr>
            </w:pPr>
            <w:r>
              <w:rPr>
                <w:rFonts w:hint="eastAsia" w:ascii="仿宋" w:hAnsi="仿宋" w:eastAsia="仿宋" w:cs="仿宋"/>
                <w:b w:val="0"/>
                <w:i w:val="0"/>
                <w:caps w:val="0"/>
                <w:spacing w:val="0"/>
                <w:w w:val="100"/>
                <w:kern w:val="0"/>
                <w:sz w:val="21"/>
                <w:szCs w:val="21"/>
                <w:highlight w:val="none"/>
              </w:rPr>
              <w:t>所属行业</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EC1EE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数量</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36A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单位</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B97502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品牌</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CA3D2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规格型号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3E78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产地及制造商全称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18B31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单价</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325B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合价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2125D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lang w:val="en-US" w:eastAsia="zh-CN"/>
              </w:rPr>
            </w:pPr>
            <w:r>
              <w:rPr>
                <w:rFonts w:hint="eastAsia" w:ascii="仿宋" w:hAnsi="仿宋" w:eastAsia="仿宋" w:cs="仿宋"/>
                <w:b w:val="0"/>
                <w:i w:val="0"/>
                <w:caps w:val="0"/>
                <w:spacing w:val="0"/>
                <w:w w:val="100"/>
                <w:kern w:val="0"/>
                <w:sz w:val="21"/>
                <w:szCs w:val="21"/>
                <w:highlight w:val="none"/>
              </w:rPr>
              <w:t>质保</w:t>
            </w:r>
            <w:r>
              <w:rPr>
                <w:rFonts w:hint="eastAsia" w:ascii="仿宋" w:hAnsi="仿宋" w:eastAsia="仿宋" w:cs="仿宋"/>
                <w:b w:val="0"/>
                <w:i w:val="0"/>
                <w:caps w:val="0"/>
                <w:spacing w:val="0"/>
                <w:w w:val="100"/>
                <w:kern w:val="0"/>
                <w:sz w:val="21"/>
                <w:szCs w:val="21"/>
                <w:highlight w:val="none"/>
                <w:lang w:val="en-US" w:eastAsia="zh-CN"/>
              </w:rPr>
              <w:t>期限</w:t>
            </w:r>
          </w:p>
        </w:tc>
      </w:tr>
      <w:tr w14:paraId="37D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B3AA3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1</w:t>
            </w:r>
          </w:p>
        </w:tc>
        <w:tc>
          <w:tcPr>
            <w:tcW w:w="1243" w:type="dxa"/>
            <w:tcBorders>
              <w:top w:val="single" w:color="auto" w:sz="4" w:space="0"/>
              <w:left w:val="single" w:color="auto" w:sz="4" w:space="0"/>
              <w:right w:val="single" w:color="auto" w:sz="4" w:space="0"/>
            </w:tcBorders>
            <w:noWrap w:val="0"/>
            <w:vAlign w:val="center"/>
          </w:tcPr>
          <w:p w14:paraId="663577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EBF7F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8DF2BB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1DC9D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76A9E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BE2194F">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310B0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46E78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D713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C35289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5671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5AD8D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2</w:t>
            </w:r>
          </w:p>
        </w:tc>
        <w:tc>
          <w:tcPr>
            <w:tcW w:w="1243" w:type="dxa"/>
            <w:tcBorders>
              <w:top w:val="single" w:color="auto" w:sz="4" w:space="0"/>
              <w:left w:val="single" w:color="auto" w:sz="4" w:space="0"/>
              <w:right w:val="single" w:color="auto" w:sz="4" w:space="0"/>
            </w:tcBorders>
            <w:noWrap w:val="0"/>
            <w:vAlign w:val="center"/>
          </w:tcPr>
          <w:p w14:paraId="2F26834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654F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9762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488957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AC97A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59172C">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70A1F6">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BF71D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10A4F7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4DB751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19C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7EB0F7C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3</w:t>
            </w:r>
          </w:p>
        </w:tc>
        <w:tc>
          <w:tcPr>
            <w:tcW w:w="1243" w:type="dxa"/>
            <w:tcBorders>
              <w:top w:val="single" w:color="auto" w:sz="4" w:space="0"/>
              <w:left w:val="single" w:color="auto" w:sz="4" w:space="0"/>
              <w:right w:val="single" w:color="auto" w:sz="4" w:space="0"/>
            </w:tcBorders>
            <w:noWrap w:val="0"/>
            <w:vAlign w:val="center"/>
          </w:tcPr>
          <w:p w14:paraId="3F1DF27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15ACC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BC6F7F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A417B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44D75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3A67998">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DCD7DBD">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CEAF3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ECE29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2668D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9C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4F6DBF2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049AB85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BCB9B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5908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83B9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47AFD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5D47BEC">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CC9E22">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9C0E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C275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21ECB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37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F9F2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15E6C54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63244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22050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ED378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51D54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1A07947">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140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B904B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91B4BD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684BE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CF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5B020A4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BB2D89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942831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91B53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F95140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A68008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8302BA3">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27800EA">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83CB5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7178B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FC22A8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EB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D1EECB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E2D27F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DE3D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53BFE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1A7255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236EA5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AD016A5">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44357F5">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CF529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858060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79ED33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3B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8EE456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30D3FD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60352C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D8BFB1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35DE3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76F4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E2917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581EE9A">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2194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CDAB89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1384D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AD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ED17E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4C58BD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D923C6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D91F4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FA669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8B55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6CF4DC2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C9B28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62907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69132B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F609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2D4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4A65B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A8B9B5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25AC8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FEE8C0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8FAFA3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E16A4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36FCF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F10A6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35F83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1ED1A7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804D63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BE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925D7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1998B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EAC7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E7063F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5D1BC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86DFD3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8B5BCC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BD1714F">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53F5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24749A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874BB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24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E651A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98671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0EACBE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813B8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0B0B0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EC54F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7B56895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DFB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297A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B2B34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43483F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53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280972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15CF78A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26623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947E8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5B9780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05F20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D2F99F1">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49D29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A3F5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970D5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2160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FF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2A06EF39">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1"/>
                <w:szCs w:val="21"/>
                <w:highlight w:val="none"/>
              </w:rPr>
            </w:pPr>
          </w:p>
        </w:tc>
        <w:tc>
          <w:tcPr>
            <w:tcW w:w="9120" w:type="dxa"/>
            <w:gridSpan w:val="10"/>
            <w:tcBorders>
              <w:top w:val="single" w:color="auto" w:sz="4" w:space="0"/>
              <w:left w:val="single" w:color="auto" w:sz="4" w:space="0"/>
              <w:bottom w:val="single" w:color="auto" w:sz="4" w:space="0"/>
              <w:right w:val="single" w:color="auto" w:sz="4" w:space="0"/>
            </w:tcBorders>
            <w:noWrap w:val="0"/>
            <w:vAlign w:val="center"/>
          </w:tcPr>
          <w:p w14:paraId="321489E8">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总报价：（大写）                             （小写）￥</w:t>
            </w:r>
          </w:p>
        </w:tc>
      </w:tr>
    </w:tbl>
    <w:p w14:paraId="51BFF1E3">
      <w:pPr>
        <w:widowControl/>
        <w:tabs>
          <w:tab w:val="left" w:pos="4000"/>
        </w:tabs>
        <w:snapToGrid w:val="0"/>
        <w:spacing w:line="360" w:lineRule="auto"/>
        <w:jc w:val="left"/>
        <w:rPr>
          <w:rFonts w:hint="eastAsia" w:ascii="仿宋" w:hAnsi="仿宋" w:eastAsia="仿宋" w:cs="仿宋"/>
          <w:kern w:val="0"/>
          <w:sz w:val="28"/>
          <w:highlight w:val="none"/>
        </w:rPr>
      </w:pPr>
    </w:p>
    <w:p w14:paraId="194799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AFE49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3BF5BED4">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75ADA6A">
      <w:pPr>
        <w:widowControl/>
        <w:tabs>
          <w:tab w:val="left" w:pos="567"/>
        </w:tabs>
        <w:snapToGrid w:val="0"/>
        <w:spacing w:line="360" w:lineRule="auto"/>
        <w:jc w:val="both"/>
        <w:rPr>
          <w:rFonts w:hint="eastAsia" w:ascii="仿宋" w:hAnsi="仿宋" w:eastAsia="仿宋" w:cs="仿宋"/>
          <w:b/>
          <w:kern w:val="0"/>
          <w:highlight w:val="none"/>
        </w:rPr>
      </w:pPr>
      <w:r>
        <w:rPr>
          <w:rFonts w:hint="eastAsia" w:ascii="仿宋" w:hAnsi="仿宋" w:eastAsia="仿宋" w:cs="仿宋"/>
          <w:b/>
          <w:kern w:val="0"/>
          <w:sz w:val="24"/>
          <w:szCs w:val="24"/>
          <w:highlight w:val="none"/>
        </w:rPr>
        <w:t>5．近三年同类项目案例及相关证明资料（格式自拟）</w:t>
      </w:r>
    </w:p>
    <w:p w14:paraId="289F16EE">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6．商务偏离表格式</w:t>
      </w:r>
    </w:p>
    <w:p w14:paraId="5978693D">
      <w:pPr>
        <w:spacing w:line="48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商务偏离表</w:t>
      </w:r>
    </w:p>
    <w:p w14:paraId="2B07CC06">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0AA8E170">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76DA2534">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7E247F55">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71B2F0DA">
      <w:pPr>
        <w:widowControl/>
        <w:snapToGrid w:val="0"/>
        <w:spacing w:line="360" w:lineRule="auto"/>
        <w:jc w:val="left"/>
        <w:rPr>
          <w:rFonts w:hint="eastAsia" w:ascii="仿宋" w:hAnsi="仿宋" w:eastAsia="仿宋" w:cs="仿宋"/>
          <w:spacing w:val="0"/>
          <w:kern w:val="21"/>
          <w:sz w:val="24"/>
          <w:szCs w:val="24"/>
          <w:highlight w:val="none"/>
          <w:u w:val="single"/>
        </w:rPr>
      </w:pPr>
    </w:p>
    <w:tbl>
      <w:tblPr>
        <w:tblStyle w:val="1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4"/>
        <w:gridCol w:w="2180"/>
        <w:gridCol w:w="2655"/>
        <w:gridCol w:w="1350"/>
        <w:gridCol w:w="900"/>
      </w:tblGrid>
      <w:tr w14:paraId="326B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6" w:type="dxa"/>
            <w:noWrap w:val="0"/>
            <w:vAlign w:val="top"/>
          </w:tcPr>
          <w:p w14:paraId="77464FAC">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4" w:type="dxa"/>
            <w:noWrap w:val="0"/>
            <w:vAlign w:val="top"/>
          </w:tcPr>
          <w:p w14:paraId="2003F31F">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条款）</w:t>
            </w:r>
          </w:p>
        </w:tc>
        <w:tc>
          <w:tcPr>
            <w:tcW w:w="2180" w:type="dxa"/>
            <w:noWrap w:val="0"/>
            <w:vAlign w:val="top"/>
          </w:tcPr>
          <w:p w14:paraId="24DB0CA3">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谈判文件商务要求</w:t>
            </w:r>
          </w:p>
        </w:tc>
        <w:tc>
          <w:tcPr>
            <w:tcW w:w="2655" w:type="dxa"/>
            <w:noWrap w:val="0"/>
            <w:vAlign w:val="top"/>
          </w:tcPr>
          <w:p w14:paraId="518B85C6">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响应文件的对应响应</w:t>
            </w:r>
          </w:p>
        </w:tc>
        <w:tc>
          <w:tcPr>
            <w:tcW w:w="1350" w:type="dxa"/>
            <w:noWrap w:val="0"/>
            <w:vAlign w:val="top"/>
          </w:tcPr>
          <w:p w14:paraId="2AE3CDE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900" w:type="dxa"/>
            <w:noWrap w:val="0"/>
            <w:vAlign w:val="top"/>
          </w:tcPr>
          <w:p w14:paraId="66EF8FD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AA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35A817FF">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4" w:type="dxa"/>
            <w:noWrap w:val="0"/>
            <w:vAlign w:val="center"/>
          </w:tcPr>
          <w:p w14:paraId="51B15E6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9E207EE">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548D9E76">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6B0EE22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34FD531F">
            <w:pPr>
              <w:snapToGrid w:val="0"/>
              <w:spacing w:line="480" w:lineRule="exact"/>
              <w:jc w:val="center"/>
              <w:rPr>
                <w:rFonts w:hint="eastAsia" w:ascii="仿宋" w:hAnsi="仿宋" w:eastAsia="仿宋" w:cs="仿宋"/>
                <w:sz w:val="24"/>
                <w:szCs w:val="24"/>
                <w:highlight w:val="none"/>
              </w:rPr>
            </w:pPr>
          </w:p>
        </w:tc>
      </w:tr>
      <w:tr w14:paraId="2CA5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6330CE4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4" w:type="dxa"/>
            <w:noWrap w:val="0"/>
            <w:vAlign w:val="center"/>
          </w:tcPr>
          <w:p w14:paraId="5D0A9F82">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06AC7E31">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0E47B3B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79A1294C">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D7DE8A5">
            <w:pPr>
              <w:snapToGrid w:val="0"/>
              <w:spacing w:line="480" w:lineRule="exact"/>
              <w:jc w:val="center"/>
              <w:rPr>
                <w:rFonts w:hint="eastAsia" w:ascii="仿宋" w:hAnsi="仿宋" w:eastAsia="仿宋" w:cs="仿宋"/>
                <w:sz w:val="24"/>
                <w:szCs w:val="24"/>
                <w:highlight w:val="none"/>
              </w:rPr>
            </w:pPr>
          </w:p>
        </w:tc>
      </w:tr>
      <w:tr w14:paraId="565A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7D1F48A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4" w:type="dxa"/>
            <w:noWrap w:val="0"/>
            <w:vAlign w:val="center"/>
          </w:tcPr>
          <w:p w14:paraId="31ABDC7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8D74F4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4E0A1D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5539FD6F">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29D9EB59">
            <w:pPr>
              <w:snapToGrid w:val="0"/>
              <w:spacing w:line="480" w:lineRule="exact"/>
              <w:jc w:val="center"/>
              <w:rPr>
                <w:rFonts w:hint="eastAsia" w:ascii="仿宋" w:hAnsi="仿宋" w:eastAsia="仿宋" w:cs="仿宋"/>
                <w:sz w:val="24"/>
                <w:szCs w:val="24"/>
                <w:highlight w:val="none"/>
              </w:rPr>
            </w:pPr>
          </w:p>
        </w:tc>
      </w:tr>
      <w:tr w14:paraId="688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1B8AE2A5">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4" w:type="dxa"/>
            <w:noWrap w:val="0"/>
            <w:vAlign w:val="center"/>
          </w:tcPr>
          <w:p w14:paraId="79901B84">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02078B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F74F627">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C05E9EB">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5DB8E7D7">
            <w:pPr>
              <w:snapToGrid w:val="0"/>
              <w:spacing w:line="480" w:lineRule="exact"/>
              <w:jc w:val="center"/>
              <w:rPr>
                <w:rFonts w:hint="eastAsia" w:ascii="仿宋" w:hAnsi="仿宋" w:eastAsia="仿宋" w:cs="仿宋"/>
                <w:sz w:val="24"/>
                <w:szCs w:val="24"/>
                <w:highlight w:val="none"/>
              </w:rPr>
            </w:pPr>
          </w:p>
        </w:tc>
      </w:tr>
      <w:tr w14:paraId="671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245ABBED">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4" w:type="dxa"/>
            <w:noWrap w:val="0"/>
            <w:vAlign w:val="center"/>
          </w:tcPr>
          <w:p w14:paraId="7CAA03BC">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3BACA12D">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CA20708">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2B37996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7F4F4C90">
            <w:pPr>
              <w:snapToGrid w:val="0"/>
              <w:spacing w:line="480" w:lineRule="exact"/>
              <w:jc w:val="center"/>
              <w:rPr>
                <w:rFonts w:hint="eastAsia" w:ascii="仿宋" w:hAnsi="仿宋" w:eastAsia="仿宋" w:cs="仿宋"/>
                <w:sz w:val="24"/>
                <w:szCs w:val="24"/>
                <w:highlight w:val="none"/>
              </w:rPr>
            </w:pPr>
          </w:p>
        </w:tc>
      </w:tr>
      <w:tr w14:paraId="04AE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14:paraId="5AC62028">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b w:val="0"/>
                <w:i w:val="0"/>
                <w:caps w:val="0"/>
                <w:spacing w:val="0"/>
                <w:w w:val="100"/>
                <w:kern w:val="0"/>
                <w:sz w:val="21"/>
                <w:szCs w:val="21"/>
                <w:highlight w:val="none"/>
              </w:rPr>
              <w:t>...</w:t>
            </w:r>
          </w:p>
        </w:tc>
        <w:tc>
          <w:tcPr>
            <w:tcW w:w="1704" w:type="dxa"/>
            <w:noWrap w:val="0"/>
            <w:vAlign w:val="center"/>
          </w:tcPr>
          <w:p w14:paraId="5F38F4A9">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E8CF8D7">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EB1E370">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E48791D">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212ECDB">
            <w:pPr>
              <w:snapToGrid w:val="0"/>
              <w:spacing w:line="480" w:lineRule="exact"/>
              <w:jc w:val="center"/>
              <w:rPr>
                <w:rFonts w:hint="eastAsia" w:ascii="仿宋" w:hAnsi="仿宋" w:eastAsia="仿宋" w:cs="仿宋"/>
                <w:sz w:val="24"/>
                <w:szCs w:val="24"/>
                <w:highlight w:val="none"/>
              </w:rPr>
            </w:pPr>
          </w:p>
        </w:tc>
      </w:tr>
    </w:tbl>
    <w:p w14:paraId="14F0A952">
      <w:pPr>
        <w:snapToGrid/>
        <w:spacing w:line="360" w:lineRule="auto"/>
        <w:rPr>
          <w:rFonts w:hint="eastAsia" w:ascii="仿宋" w:hAnsi="仿宋" w:eastAsia="仿宋" w:cs="仿宋"/>
          <w:sz w:val="24"/>
          <w:szCs w:val="24"/>
          <w:highlight w:val="none"/>
          <w:u w:val="single"/>
        </w:rPr>
      </w:pPr>
    </w:p>
    <w:p w14:paraId="62F0C1BD">
      <w:pPr>
        <w:widowControl/>
        <w:snapToGrid/>
        <w:spacing w:line="360" w:lineRule="auto"/>
        <w:ind w:firstLine="0" w:firstLine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注：供应商可根据本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文件中商务要求编制此表，在此表中</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客观真实的做出响应，并根据响应情况在偏离情况中填写“无偏离”“负偏离”“正偏离”</w:t>
      </w:r>
      <w:r>
        <w:rPr>
          <w:rFonts w:hint="eastAsia" w:ascii="仿宋" w:hAnsi="仿宋" w:eastAsia="仿宋" w:cs="仿宋"/>
          <w:kern w:val="0"/>
          <w:sz w:val="24"/>
          <w:highlight w:val="none"/>
          <w:lang w:eastAsia="zh-CN"/>
        </w:rPr>
        <w:t>，否则按无效响应处理。</w:t>
      </w:r>
    </w:p>
    <w:p w14:paraId="58B928DB">
      <w:pPr>
        <w:widowControl/>
        <w:snapToGrid/>
        <w:spacing w:line="360" w:lineRule="auto"/>
        <w:ind w:firstLine="0" w:firstLineChars="0"/>
        <w:rPr>
          <w:rFonts w:hint="eastAsia" w:ascii="仿宋" w:hAnsi="仿宋" w:eastAsia="仿宋" w:cs="仿宋"/>
          <w:kern w:val="0"/>
          <w:sz w:val="24"/>
          <w:highlight w:val="none"/>
          <w:lang w:eastAsia="zh-CN"/>
        </w:rPr>
      </w:pPr>
    </w:p>
    <w:p w14:paraId="2533FB42">
      <w:pPr>
        <w:widowControl/>
        <w:snapToGrid w:val="0"/>
        <w:spacing w:line="360" w:lineRule="auto"/>
        <w:jc w:val="left"/>
        <w:rPr>
          <w:rFonts w:hint="eastAsia" w:ascii="仿宋" w:hAnsi="仿宋" w:eastAsia="仿宋" w:cs="仿宋"/>
          <w:kern w:val="0"/>
          <w:sz w:val="24"/>
          <w:szCs w:val="24"/>
          <w:highlight w:val="none"/>
        </w:rPr>
      </w:pPr>
    </w:p>
    <w:p w14:paraId="549CF4F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51C4839">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920FBE0">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2D4A9511">
      <w:pPr>
        <w:pStyle w:val="14"/>
        <w:rPr>
          <w:rFonts w:hint="eastAsia" w:ascii="仿宋" w:hAnsi="仿宋" w:eastAsia="仿宋" w:cs="仿宋"/>
          <w:b/>
          <w:highlight w:val="none"/>
        </w:rPr>
      </w:pPr>
    </w:p>
    <w:p w14:paraId="16C4DED2">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7．技术偏离表格式</w:t>
      </w:r>
    </w:p>
    <w:p w14:paraId="50C59712">
      <w:pPr>
        <w:widowControl/>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技术偏离表</w:t>
      </w:r>
    </w:p>
    <w:p w14:paraId="1C9B079F">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78CDF137">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2C592342">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69B5F0DA">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3F116A5F">
      <w:pPr>
        <w:widowControl/>
        <w:snapToGrid w:val="0"/>
        <w:spacing w:line="360" w:lineRule="auto"/>
        <w:jc w:val="left"/>
        <w:rPr>
          <w:rFonts w:hint="eastAsia" w:ascii="仿宋" w:hAnsi="仿宋" w:eastAsia="仿宋" w:cs="仿宋"/>
          <w:spacing w:val="0"/>
          <w:kern w:val="21"/>
          <w:sz w:val="24"/>
          <w:szCs w:val="24"/>
          <w:highlight w:val="none"/>
          <w:u w:val="single"/>
          <w:lang w:eastAsia="zh-CN"/>
        </w:rPr>
      </w:pPr>
    </w:p>
    <w:tbl>
      <w:tblPr>
        <w:tblStyle w:val="15"/>
        <w:tblW w:w="8910"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86"/>
        <w:gridCol w:w="720"/>
        <w:gridCol w:w="642"/>
        <w:gridCol w:w="1694"/>
        <w:gridCol w:w="1605"/>
        <w:gridCol w:w="1148"/>
        <w:gridCol w:w="840"/>
      </w:tblGrid>
      <w:tr w14:paraId="3B36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F8AAF41">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B510319">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货物名称</w:t>
            </w: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B8FBE4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00157680">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w:t>
            </w: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224CD03">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谈判文件技术规范、要求</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461C25E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响应文件对应规范</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7961778A">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偏离情况</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1B30242">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14:paraId="65F6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6A50EBE2">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1C3D0295">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5A829E0">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10488858">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476B12A6">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3FFD042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51C37B76">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EE67384">
            <w:pPr>
              <w:widowControl/>
              <w:snapToGrid w:val="0"/>
              <w:spacing w:line="360" w:lineRule="auto"/>
              <w:jc w:val="center"/>
              <w:rPr>
                <w:rFonts w:hint="eastAsia" w:ascii="仿宋" w:hAnsi="仿宋" w:eastAsia="仿宋" w:cs="仿宋"/>
                <w:kern w:val="0"/>
                <w:sz w:val="24"/>
                <w:szCs w:val="24"/>
                <w:highlight w:val="none"/>
              </w:rPr>
            </w:pPr>
          </w:p>
        </w:tc>
      </w:tr>
      <w:tr w14:paraId="57B9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B8DA1D">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3E92F7E6">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AFB8DA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7073C9D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58425BD2">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1014914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FA89479">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85BE53D">
            <w:pPr>
              <w:widowControl/>
              <w:snapToGrid w:val="0"/>
              <w:spacing w:line="360" w:lineRule="auto"/>
              <w:jc w:val="center"/>
              <w:rPr>
                <w:rFonts w:hint="eastAsia" w:ascii="仿宋" w:hAnsi="仿宋" w:eastAsia="仿宋" w:cs="仿宋"/>
                <w:kern w:val="0"/>
                <w:sz w:val="24"/>
                <w:szCs w:val="24"/>
                <w:highlight w:val="none"/>
              </w:rPr>
            </w:pPr>
          </w:p>
        </w:tc>
      </w:tr>
      <w:tr w14:paraId="05B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F7921C6">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405591C3">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2A34272">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6DE7197A">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E242970">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585E7C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3CCAA53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A56D63B">
            <w:pPr>
              <w:widowControl/>
              <w:snapToGrid w:val="0"/>
              <w:spacing w:line="360" w:lineRule="auto"/>
              <w:jc w:val="center"/>
              <w:rPr>
                <w:rFonts w:hint="eastAsia" w:ascii="仿宋" w:hAnsi="仿宋" w:eastAsia="仿宋" w:cs="仿宋"/>
                <w:kern w:val="0"/>
                <w:sz w:val="24"/>
                <w:szCs w:val="24"/>
                <w:highlight w:val="none"/>
              </w:rPr>
            </w:pPr>
          </w:p>
        </w:tc>
      </w:tr>
      <w:tr w14:paraId="3E4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7C03010">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9369A0F">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084C621">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45C7AFAF">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6431568">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7510E288">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198A95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16C1279">
            <w:pPr>
              <w:widowControl/>
              <w:snapToGrid w:val="0"/>
              <w:spacing w:line="360" w:lineRule="auto"/>
              <w:jc w:val="center"/>
              <w:rPr>
                <w:rFonts w:hint="eastAsia" w:ascii="仿宋" w:hAnsi="仿宋" w:eastAsia="仿宋" w:cs="仿宋"/>
                <w:kern w:val="0"/>
                <w:sz w:val="24"/>
                <w:szCs w:val="24"/>
                <w:highlight w:val="none"/>
              </w:rPr>
            </w:pPr>
          </w:p>
        </w:tc>
      </w:tr>
      <w:tr w14:paraId="1DE7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5034021F">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C7D0F2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01855D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5C6CC1C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ADC51EE">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318AA5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CBFA1CD">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F3EEF0B">
            <w:pPr>
              <w:widowControl/>
              <w:snapToGrid w:val="0"/>
              <w:spacing w:line="360" w:lineRule="auto"/>
              <w:jc w:val="center"/>
              <w:rPr>
                <w:rFonts w:hint="eastAsia" w:ascii="仿宋" w:hAnsi="仿宋" w:eastAsia="仿宋" w:cs="仿宋"/>
                <w:kern w:val="0"/>
                <w:sz w:val="24"/>
                <w:szCs w:val="24"/>
                <w:highlight w:val="none"/>
              </w:rPr>
            </w:pPr>
          </w:p>
        </w:tc>
      </w:tr>
      <w:tr w14:paraId="5EBE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8263D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val="0"/>
                <w:i w:val="0"/>
                <w:caps w:val="0"/>
                <w:spacing w:val="0"/>
                <w:w w:val="100"/>
                <w:kern w:val="0"/>
                <w:sz w:val="21"/>
                <w:szCs w:val="21"/>
                <w:highlight w:val="none"/>
              </w:rPr>
              <w:t>...</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F154C4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44245676">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280BC797">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1B4B2193">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1927CB1">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2D0F717">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6199BF55">
            <w:pPr>
              <w:widowControl/>
              <w:snapToGrid w:val="0"/>
              <w:spacing w:line="360" w:lineRule="auto"/>
              <w:jc w:val="center"/>
              <w:rPr>
                <w:rFonts w:hint="eastAsia" w:ascii="仿宋" w:hAnsi="仿宋" w:eastAsia="仿宋" w:cs="仿宋"/>
                <w:kern w:val="0"/>
                <w:sz w:val="24"/>
                <w:szCs w:val="24"/>
                <w:highlight w:val="none"/>
              </w:rPr>
            </w:pPr>
          </w:p>
        </w:tc>
      </w:tr>
    </w:tbl>
    <w:p w14:paraId="7921CD3E">
      <w:pPr>
        <w:widowControl/>
        <w:snapToGrid w:val="0"/>
        <w:spacing w:line="360" w:lineRule="auto"/>
        <w:jc w:val="left"/>
        <w:rPr>
          <w:rFonts w:hint="eastAsia" w:ascii="仿宋" w:hAnsi="仿宋" w:eastAsia="仿宋" w:cs="仿宋"/>
          <w:kern w:val="0"/>
          <w:sz w:val="24"/>
          <w:szCs w:val="24"/>
          <w:highlight w:val="none"/>
        </w:rPr>
      </w:pPr>
    </w:p>
    <w:p w14:paraId="6169682F">
      <w:pPr>
        <w:widowControl/>
        <w:snapToGrid/>
        <w:spacing w:line="360" w:lineRule="auto"/>
        <w:ind w:firstLine="0" w:firstLine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注：供应商可根据本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w:t>
      </w:r>
      <w:r>
        <w:rPr>
          <w:rFonts w:hint="eastAsia" w:ascii="仿宋" w:hAnsi="仿宋" w:eastAsia="仿宋" w:cs="仿宋"/>
          <w:kern w:val="0"/>
          <w:sz w:val="24"/>
          <w:highlight w:val="none"/>
          <w:lang w:val="en-US" w:eastAsia="zh-CN"/>
        </w:rPr>
        <w:t>技术</w:t>
      </w:r>
      <w:r>
        <w:rPr>
          <w:rFonts w:hint="eastAsia" w:ascii="仿宋" w:hAnsi="仿宋" w:eastAsia="仿宋" w:cs="仿宋"/>
          <w:kern w:val="0"/>
          <w:sz w:val="24"/>
          <w:highlight w:val="none"/>
        </w:rPr>
        <w:t>要求编制此表，在此表中</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客观真实的做出响应，并根据响应情况在偏离情况中填写“无偏离”“负偏离”“正偏离”</w:t>
      </w:r>
      <w:r>
        <w:rPr>
          <w:rFonts w:hint="eastAsia" w:ascii="仿宋" w:hAnsi="仿宋" w:eastAsia="仿宋" w:cs="仿宋"/>
          <w:kern w:val="0"/>
          <w:sz w:val="24"/>
          <w:highlight w:val="none"/>
          <w:lang w:eastAsia="zh-CN"/>
        </w:rPr>
        <w:t>，否则按无效响应处理。</w:t>
      </w:r>
    </w:p>
    <w:p w14:paraId="4BEAABE3">
      <w:pPr>
        <w:widowControl/>
        <w:snapToGrid w:val="0"/>
        <w:spacing w:line="360" w:lineRule="auto"/>
        <w:jc w:val="left"/>
        <w:rPr>
          <w:rFonts w:hint="eastAsia" w:ascii="仿宋" w:hAnsi="仿宋" w:eastAsia="仿宋" w:cs="仿宋"/>
          <w:kern w:val="0"/>
          <w:sz w:val="24"/>
          <w:szCs w:val="24"/>
          <w:highlight w:val="none"/>
        </w:rPr>
      </w:pPr>
    </w:p>
    <w:p w14:paraId="399479F0">
      <w:pPr>
        <w:widowControl/>
        <w:snapToGrid w:val="0"/>
        <w:spacing w:line="360" w:lineRule="auto"/>
        <w:jc w:val="left"/>
        <w:rPr>
          <w:rFonts w:hint="eastAsia" w:ascii="仿宋" w:hAnsi="仿宋" w:eastAsia="仿宋" w:cs="仿宋"/>
          <w:kern w:val="0"/>
          <w:sz w:val="24"/>
          <w:szCs w:val="24"/>
          <w:highlight w:val="none"/>
        </w:rPr>
      </w:pPr>
    </w:p>
    <w:p w14:paraId="064B88BC">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11D58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EE5EC17">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6EA4FDF5">
      <w:pPr>
        <w:pStyle w:val="14"/>
        <w:rPr>
          <w:rFonts w:hint="eastAsia" w:ascii="仿宋" w:hAnsi="仿宋" w:eastAsia="仿宋" w:cs="仿宋"/>
          <w:highlight w:val="none"/>
        </w:rPr>
      </w:pPr>
    </w:p>
    <w:p w14:paraId="33D08304">
      <w:pPr>
        <w:widowControl/>
        <w:snapToGrid w:val="0"/>
        <w:spacing w:line="360" w:lineRule="auto"/>
        <w:jc w:val="both"/>
        <w:rPr>
          <w:rFonts w:hint="eastAsia" w:ascii="仿宋" w:hAnsi="仿宋" w:eastAsia="仿宋" w:cs="仿宋"/>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8.针对本项目的</w:t>
      </w:r>
      <w:r>
        <w:rPr>
          <w:rFonts w:hint="eastAsia" w:ascii="仿宋" w:hAnsi="仿宋" w:eastAsia="仿宋" w:cs="仿宋"/>
          <w:b/>
          <w:kern w:val="0"/>
          <w:sz w:val="24"/>
          <w:szCs w:val="24"/>
          <w:highlight w:val="none"/>
          <w:lang w:val="en-US" w:eastAsia="zh-CN"/>
        </w:rPr>
        <w:t>技术</w:t>
      </w:r>
      <w:r>
        <w:rPr>
          <w:rFonts w:hint="eastAsia" w:ascii="仿宋" w:hAnsi="仿宋" w:eastAsia="仿宋" w:cs="仿宋"/>
          <w:b/>
          <w:kern w:val="0"/>
          <w:sz w:val="24"/>
          <w:szCs w:val="24"/>
          <w:highlight w:val="none"/>
        </w:rPr>
        <w:t>方案</w:t>
      </w:r>
      <w:r>
        <w:rPr>
          <w:rFonts w:hint="eastAsia" w:ascii="仿宋" w:hAnsi="仿宋" w:eastAsia="仿宋" w:cs="仿宋"/>
          <w:kern w:val="0"/>
          <w:sz w:val="24"/>
          <w:szCs w:val="24"/>
          <w:highlight w:val="none"/>
        </w:rPr>
        <w:t>（格式自拟）；</w:t>
      </w:r>
    </w:p>
    <w:p w14:paraId="42968917">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9．项目人员机构的配备</w:t>
      </w:r>
      <w:r>
        <w:rPr>
          <w:rFonts w:hint="eastAsia" w:ascii="仿宋" w:hAnsi="仿宋" w:eastAsia="仿宋" w:cs="仿宋"/>
          <w:kern w:val="0"/>
          <w:sz w:val="24"/>
          <w:szCs w:val="24"/>
          <w:highlight w:val="none"/>
        </w:rPr>
        <w:t>（格式自拟）</w:t>
      </w:r>
    </w:p>
    <w:p w14:paraId="1E1E5125">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10.供应商认为需要提供的其他商务技术材料</w:t>
      </w:r>
    </w:p>
    <w:p w14:paraId="378081A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11.政策性要求</w:t>
      </w:r>
    </w:p>
    <w:p w14:paraId="79335FF8">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（一）</w:t>
      </w:r>
      <w:r>
        <w:rPr>
          <w:rFonts w:hint="eastAsia" w:ascii="仿宋" w:hAnsi="仿宋" w:eastAsia="仿宋" w:cs="仿宋"/>
          <w:b w:val="0"/>
          <w:bCs/>
          <w:sz w:val="24"/>
          <w:szCs w:val="24"/>
          <w:highlight w:val="none"/>
        </w:rPr>
        <w:t>环保节能产品证明材料</w:t>
      </w:r>
    </w:p>
    <w:p w14:paraId="5FE61B06">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14:paraId="16E6136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14:paraId="1696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EA3E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noWrap w:val="0"/>
            <w:vAlign w:val="center"/>
          </w:tcPr>
          <w:p w14:paraId="32FC4B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50D3F3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3BCFA7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noWrap w:val="0"/>
            <w:vAlign w:val="center"/>
          </w:tcPr>
          <w:p w14:paraId="1C57566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62C6782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BFA58D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14:paraId="078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top"/>
          </w:tcPr>
          <w:p w14:paraId="694A1D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4D25E7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24341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51F299B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38B5E3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2EFBA92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15498A0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24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noWrap w:val="0"/>
            <w:vAlign w:val="top"/>
          </w:tcPr>
          <w:p w14:paraId="20F11F9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2AFBBE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69E084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198480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5F0FC04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62A98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2258A7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1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noWrap w:val="0"/>
            <w:vAlign w:val="top"/>
          </w:tcPr>
          <w:p w14:paraId="729495D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56A535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B46404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D33C0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004C8E1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9E2E8D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A9049F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12469BF8">
      <w:pPr>
        <w:keepNext w:val="0"/>
        <w:keepLines w:val="0"/>
        <w:pageBreakBefore w:val="0"/>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14:paraId="2590E90E">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p>
    <w:p w14:paraId="1713B473">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14:paraId="2B85EC8D">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397E2C4C">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14:paraId="09A9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noWrap w:val="0"/>
            <w:vAlign w:val="center"/>
          </w:tcPr>
          <w:p w14:paraId="024402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noWrap w:val="0"/>
            <w:vAlign w:val="center"/>
          </w:tcPr>
          <w:p w14:paraId="0E0195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75FFE00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5C6F90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noWrap w:val="0"/>
            <w:vAlign w:val="center"/>
          </w:tcPr>
          <w:p w14:paraId="45A145B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28DE61C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79936B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1BD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29B508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074710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42C8E0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6FE5F7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790A7B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0DD89E9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51D7A3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65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1DB441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E66E7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7620DC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402566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1ED747F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4D6A9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BAEC54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1C9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427DE7D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0F10DE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10FC3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BC09DF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0B48556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07296F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7AF365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4A216A23">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14:paraId="74EF61C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环境标志产品明细表</w:t>
      </w:r>
    </w:p>
    <w:tbl>
      <w:tblPr>
        <w:tblStyle w:val="15"/>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14:paraId="1F64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3F414BA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noWrap w:val="0"/>
            <w:vAlign w:val="center"/>
          </w:tcPr>
          <w:p w14:paraId="13C47AF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2976649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noWrap w:val="0"/>
            <w:vAlign w:val="center"/>
          </w:tcPr>
          <w:p w14:paraId="5978426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noWrap w:val="0"/>
            <w:vAlign w:val="center"/>
          </w:tcPr>
          <w:p w14:paraId="6B3807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noWrap w:val="0"/>
            <w:vAlign w:val="center"/>
          </w:tcPr>
          <w:p w14:paraId="3160CDC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noWrap w:val="0"/>
            <w:vAlign w:val="center"/>
          </w:tcPr>
          <w:p w14:paraId="06930B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noWrap w:val="0"/>
            <w:vAlign w:val="center"/>
          </w:tcPr>
          <w:p w14:paraId="389906A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5748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88965D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7005B2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682AC42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313E238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4B1C337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46E4B63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57CD5A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433D23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6A8C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CD4F6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3A08405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001802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7E517B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74654855">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16E4556C">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70D16D4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5109DE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82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1C5BAE9">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1DF08E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440052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39CE50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6BFB01E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6F2271A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447A32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2F4DB2D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7942F6D6">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14:paraId="1E04E9D3">
      <w:pPr>
        <w:pStyle w:val="21"/>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170431D9">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采购货物中如含有强制节能产品的，须如实填写节能产品明细表；</w:t>
      </w:r>
    </w:p>
    <w:p w14:paraId="54B0F8AE">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r>
        <w:rPr>
          <w:rFonts w:hint="eastAsia" w:ascii="仿宋" w:hAnsi="仿宋" w:eastAsia="仿宋" w:cs="仿宋"/>
          <w:b/>
          <w:highlight w:val="none"/>
        </w:rPr>
        <w:br w:type="page"/>
      </w:r>
      <w:r>
        <w:rPr>
          <w:rFonts w:hint="eastAsia" w:ascii="仿宋" w:hAnsi="仿宋" w:eastAsia="仿宋" w:cs="仿宋"/>
          <w:b/>
          <w:sz w:val="24"/>
          <w:szCs w:val="24"/>
          <w:highlight w:val="none"/>
        </w:rPr>
        <w:t>（二）正版软件承诺格式</w:t>
      </w:r>
    </w:p>
    <w:p w14:paraId="0D2FE7A1">
      <w:pPr>
        <w:spacing w:line="480" w:lineRule="exact"/>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14:paraId="6B0CAAC7">
      <w:pPr>
        <w:spacing w:line="360" w:lineRule="auto"/>
        <w:rPr>
          <w:rFonts w:hint="eastAsia" w:ascii="仿宋" w:hAnsi="仿宋" w:eastAsia="仿宋" w:cs="仿宋"/>
          <w:sz w:val="24"/>
          <w:szCs w:val="24"/>
          <w:highlight w:val="none"/>
          <w:u w:val="single"/>
        </w:rPr>
      </w:pPr>
    </w:p>
    <w:p w14:paraId="2D1A87B8">
      <w:pPr>
        <w:spacing w:line="360" w:lineRule="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6B5FC893">
      <w:pPr>
        <w:pStyle w:val="21"/>
        <w:snapToGrid w:val="0"/>
        <w:spacing w:line="360" w:lineRule="auto"/>
        <w:ind w:firstLine="480" w:firstLineChars="200"/>
        <w:rPr>
          <w:rFonts w:hint="eastAsia" w:ascii="仿宋" w:hAnsi="仿宋" w:eastAsia="仿宋" w:cs="仿宋"/>
          <w:sz w:val="24"/>
          <w:szCs w:val="24"/>
          <w:highlight w:val="none"/>
        </w:rPr>
      </w:pPr>
    </w:p>
    <w:p w14:paraId="2C56C18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招标编号：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）的采购活动，本公司承诺投报的计算机产品预装正版操作系统，投报的硬件产品内的预装软件为正版软件。</w:t>
      </w:r>
    </w:p>
    <w:p w14:paraId="20B5C75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4126C800">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70DB4F">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p>
    <w:p w14:paraId="6760CD23">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8A8650F">
      <w:pPr>
        <w:snapToGrid w:val="0"/>
        <w:spacing w:line="480" w:lineRule="auto"/>
        <w:ind w:firstLine="3120" w:firstLineChars="1300"/>
        <w:rPr>
          <w:rFonts w:hint="eastAsia" w:ascii="仿宋" w:hAnsi="仿宋" w:eastAsia="仿宋" w:cs="仿宋"/>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78F51122">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（三）中小企业声明及证明文件材料</w:t>
      </w:r>
    </w:p>
    <w:p w14:paraId="073850B6">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444BA51F">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p>
    <w:p w14:paraId="3D38119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1ED007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12A51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A460A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164CF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56DB091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6D798B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A20EB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567FC473">
      <w:pPr>
        <w:pStyle w:val="21"/>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14:paraId="16745F3E">
      <w:pPr>
        <w:pStyle w:val="21"/>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1B32AF">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785AFD34">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99D29B6">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2E7B088">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21DE6A3D">
      <w:pPr>
        <w:spacing w:line="360" w:lineRule="auto"/>
        <w:ind w:firstLine="420" w:firstLineChars="200"/>
        <w:jc w:val="left"/>
        <w:rPr>
          <w:rFonts w:hint="eastAsia" w:ascii="仿宋" w:hAnsi="仿宋" w:eastAsia="仿宋" w:cs="仿宋"/>
          <w:b w:val="0"/>
          <w:bCs/>
          <w:sz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p>
    <w:p w14:paraId="6627B5E4">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1E35AD61">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pacing w:val="6"/>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（四）</w:t>
      </w:r>
      <w:r>
        <w:rPr>
          <w:rFonts w:hint="eastAsia" w:ascii="仿宋" w:hAnsi="仿宋" w:eastAsia="仿宋" w:cs="仿宋"/>
          <w:b/>
          <w:spacing w:val="6"/>
          <w:sz w:val="24"/>
          <w:szCs w:val="24"/>
          <w:highlight w:val="none"/>
        </w:rPr>
        <w:t>残疾人福利性单位声明函</w:t>
      </w:r>
      <w:r>
        <w:rPr>
          <w:rFonts w:hint="eastAsia" w:ascii="仿宋" w:hAnsi="仿宋" w:eastAsia="仿宋" w:cs="仿宋"/>
          <w:b/>
          <w:sz w:val="24"/>
          <w:szCs w:val="24"/>
          <w:highlight w:val="none"/>
        </w:rPr>
        <w:t>格式</w:t>
      </w:r>
    </w:p>
    <w:p w14:paraId="1DDA3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pacing w:val="6"/>
          <w:sz w:val="24"/>
          <w:szCs w:val="24"/>
          <w:highlight w:val="none"/>
        </w:rPr>
      </w:pPr>
    </w:p>
    <w:p w14:paraId="1EBE03B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5F3E1CA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1FB4DE8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编号：__________________）采购活动提供本单位制造的货物（由本单位承担工程/提供服务），或者提供其他残疾人福利性单位制造的货物（不包括使用非残疾人福利性单位注册商标的货物）。</w:t>
      </w:r>
    </w:p>
    <w:p w14:paraId="05445C8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D326829">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505F30F2">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0F50AD48">
      <w:pPr>
        <w:pStyle w:val="21"/>
        <w:keepNext w:val="0"/>
        <w:keepLines w:val="0"/>
        <w:pageBreakBefore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6442EE0F">
      <w:pPr>
        <w:keepNext w:val="0"/>
        <w:keepLines w:val="0"/>
        <w:pageBreakBefore w:val="0"/>
        <w:kinsoku/>
        <w:wordWrap/>
        <w:overflowPunct/>
        <w:topLinePunct w:val="0"/>
        <w:autoSpaceDE/>
        <w:autoSpaceDN/>
        <w:bidi w:val="0"/>
        <w:adjustRightInd/>
        <w:spacing w:line="360" w:lineRule="auto"/>
        <w:ind w:firstLine="4320" w:firstLineChars="18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AC63B5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5EBB98B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eastAsia="zh-CN"/>
        </w:rPr>
        <w:t>成交供应商</w:t>
      </w:r>
      <w:r>
        <w:rPr>
          <w:rFonts w:hint="eastAsia" w:ascii="仿宋" w:hAnsi="仿宋" w:eastAsia="仿宋" w:cs="仿宋"/>
          <w:b/>
          <w:sz w:val="24"/>
          <w:szCs w:val="24"/>
          <w:highlight w:val="none"/>
        </w:rPr>
        <w:t>为残疾人福利性单位的，采购代理机构随成交结果同时公告其《残疾人福利性单位声明函》</w:t>
      </w:r>
    </w:p>
    <w:p w14:paraId="79B75BE4">
      <w:pPr>
        <w:widowControl/>
        <w:snapToGrid w:val="0"/>
        <w:spacing w:line="360" w:lineRule="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（五）联合体投标资格证明文件（如允许联合体投标）</w:t>
      </w:r>
    </w:p>
    <w:p w14:paraId="3A61FEC9">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（1）资质等级证明文件</w:t>
      </w:r>
    </w:p>
    <w:p w14:paraId="6084B43E">
      <w:pPr>
        <w:widowControl/>
        <w:snapToGrid w:val="0"/>
        <w:spacing w:line="360" w:lineRule="auto"/>
        <w:rPr>
          <w:rFonts w:hint="eastAsia" w:ascii="仿宋" w:hAnsi="仿宋" w:eastAsia="仿宋" w:cs="仿宋"/>
          <w:kern w:val="0"/>
          <w:sz w:val="24"/>
          <w:szCs w:val="24"/>
          <w:highlight w:val="none"/>
        </w:rPr>
      </w:pPr>
    </w:p>
    <w:p w14:paraId="02725EC4">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（2）联合体投标协议格式</w:t>
      </w:r>
    </w:p>
    <w:p w14:paraId="5F9FC88F">
      <w:pPr>
        <w:spacing w:line="3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《联合投标协议书》格式</w:t>
      </w:r>
    </w:p>
    <w:p w14:paraId="71D805C9">
      <w:pPr>
        <w:spacing w:line="300" w:lineRule="exact"/>
        <w:jc w:val="center"/>
        <w:rPr>
          <w:rFonts w:hint="eastAsia" w:ascii="仿宋" w:hAnsi="仿宋" w:eastAsia="仿宋" w:cs="仿宋"/>
          <w:b/>
          <w:sz w:val="24"/>
          <w:szCs w:val="24"/>
          <w:highlight w:val="none"/>
        </w:rPr>
      </w:pPr>
    </w:p>
    <w:p w14:paraId="4236EA8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14:paraId="5A9A5E3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1C306B5">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6C2DB0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6FBC0EAD">
      <w:pPr>
        <w:spacing w:line="360" w:lineRule="auto"/>
        <w:ind w:firstLine="480" w:firstLineChars="200"/>
        <w:rPr>
          <w:rFonts w:hint="eastAsia" w:ascii="仿宋" w:hAnsi="仿宋" w:eastAsia="仿宋" w:cs="仿宋"/>
          <w:sz w:val="24"/>
          <w:szCs w:val="24"/>
          <w:highlight w:val="none"/>
        </w:rPr>
      </w:pPr>
    </w:p>
    <w:p w14:paraId="059FC77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6F7CCEB">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9EF7DC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35AD960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14:paraId="5FF823DF">
      <w:pPr>
        <w:spacing w:line="360" w:lineRule="auto"/>
        <w:ind w:firstLine="480" w:firstLineChars="200"/>
        <w:rPr>
          <w:rFonts w:hint="eastAsia" w:ascii="仿宋" w:hAnsi="仿宋" w:eastAsia="仿宋" w:cs="仿宋"/>
          <w:sz w:val="24"/>
          <w:szCs w:val="24"/>
          <w:highlight w:val="none"/>
        </w:rPr>
      </w:pPr>
    </w:p>
    <w:p w14:paraId="225DD997">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项目（项目名称、</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招标编号</w:t>
      </w:r>
      <w:r>
        <w:rPr>
          <w:rFonts w:hint="eastAsia" w:ascii="仿宋" w:hAnsi="仿宋" w:eastAsia="仿宋" w:cs="仿宋"/>
          <w:sz w:val="24"/>
          <w:szCs w:val="24"/>
          <w:highlight w:val="none"/>
        </w:rPr>
        <w:t>）的招标活动，各方经协商，就联合进行投标之事宜，达成如下协议：</w:t>
      </w:r>
    </w:p>
    <w:p w14:paraId="177B0CF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一、各方一致决定，以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为主办人进行投标，并按照谈判文件的规定分别提交资格文件。</w:t>
      </w:r>
    </w:p>
    <w:p w14:paraId="00883674">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谈判文件规定及投标内容而对招标方和采购人所作的任何合法承诺，包括书面澄清及响应等均对联合投标各方产生约束力。如果成交并签订合同，则联合投标各方将共同履行对招标方和采购人所负有的全部义务并就采购合同约定的事项对采购人承担连带责任。</w:t>
      </w:r>
    </w:p>
    <w:p w14:paraId="6084886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三、联合投标其余各方保证对主办人为响应本次招标而提供的货物和相关服务提供全部质量保证及售后服务支持。</w:t>
      </w:r>
    </w:p>
    <w:p w14:paraId="0E782DF9">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14:paraId="220CB6F8">
      <w:pPr>
        <w:pStyle w:val="21"/>
        <w:snapToGrid w:val="0"/>
        <w:spacing w:line="360" w:lineRule="auto"/>
        <w:ind w:firstLine="480" w:firstLineChars="200"/>
        <w:rPr>
          <w:rFonts w:hint="eastAsia" w:ascii="仿宋" w:hAnsi="仿宋" w:eastAsia="仿宋" w:cs="仿宋"/>
          <w:sz w:val="24"/>
          <w:szCs w:val="24"/>
          <w:highlight w:val="none"/>
        </w:rPr>
      </w:pPr>
    </w:p>
    <w:p w14:paraId="5B43CC7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14:paraId="4A675ABE">
      <w:pPr>
        <w:pStyle w:val="21"/>
        <w:snapToGrid w:val="0"/>
        <w:spacing w:line="360" w:lineRule="auto"/>
        <w:ind w:firstLine="480" w:firstLineChars="200"/>
        <w:rPr>
          <w:rFonts w:hint="eastAsia" w:ascii="仿宋" w:hAnsi="仿宋" w:eastAsia="仿宋" w:cs="仿宋"/>
          <w:sz w:val="24"/>
          <w:szCs w:val="24"/>
          <w:highlight w:val="none"/>
        </w:rPr>
      </w:pPr>
    </w:p>
    <w:p w14:paraId="1002B5A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14:paraId="11EB4C0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六、本协议一式三份，甲、乙双方各持一份，另一份作为投标文件的组成部分。</w:t>
      </w:r>
    </w:p>
    <w:p w14:paraId="313B3761">
      <w:pPr>
        <w:spacing w:line="360" w:lineRule="auto"/>
        <w:rPr>
          <w:rFonts w:hint="eastAsia" w:ascii="仿宋" w:hAnsi="仿宋" w:eastAsia="仿宋" w:cs="仿宋"/>
          <w:sz w:val="24"/>
          <w:szCs w:val="24"/>
          <w:highlight w:val="none"/>
        </w:rPr>
      </w:pPr>
    </w:p>
    <w:p w14:paraId="0EEB7C48">
      <w:pPr>
        <w:spacing w:line="360" w:lineRule="auto"/>
        <w:rPr>
          <w:rFonts w:hint="eastAsia" w:ascii="仿宋" w:hAnsi="仿宋" w:eastAsia="仿宋" w:cs="仿宋"/>
          <w:sz w:val="24"/>
          <w:szCs w:val="24"/>
          <w:highlight w:val="none"/>
        </w:rPr>
      </w:pPr>
    </w:p>
    <w:p w14:paraId="75690925">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9A6835F">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                         法定代表人（签字）：</w:t>
      </w:r>
    </w:p>
    <w:p w14:paraId="1B721467">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14:paraId="1060C3F7">
      <w:pPr>
        <w:spacing w:line="480" w:lineRule="exact"/>
        <w:rPr>
          <w:rFonts w:hint="eastAsia" w:ascii="仿宋" w:hAnsi="仿宋" w:eastAsia="仿宋" w:cs="仿宋"/>
          <w:b/>
          <w:sz w:val="24"/>
          <w:szCs w:val="24"/>
          <w:highlight w:val="none"/>
        </w:rPr>
      </w:pPr>
    </w:p>
    <w:p w14:paraId="140E47D9">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kern w:val="0"/>
          <w:sz w:val="24"/>
          <w:szCs w:val="24"/>
          <w:highlight w:val="none"/>
        </w:rPr>
        <w:br w:type="page"/>
      </w:r>
      <w:bookmarkStart w:id="70" w:name="_Toc3359"/>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lang w:eastAsia="zh-CN"/>
        </w:rPr>
        <w:t>）</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14:paraId="4431E576">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14:paraId="63F937B6">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14:paraId="5C038333">
      <w:pPr>
        <w:pageBreakBefore w:val="0"/>
        <w:kinsoku/>
        <w:autoSpaceDE/>
        <w:bidi w:val="0"/>
        <w:spacing w:line="480" w:lineRule="exact"/>
        <w:jc w:val="center"/>
        <w:rPr>
          <w:rFonts w:hint="eastAsia" w:ascii="仿宋" w:hAnsi="仿宋" w:eastAsia="仿宋" w:cs="仿宋"/>
          <w:b/>
          <w:color w:val="000000"/>
          <w:sz w:val="24"/>
          <w:highlight w:val="none"/>
        </w:rPr>
      </w:pPr>
    </w:p>
    <w:p w14:paraId="4C61BF3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B91A9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14:paraId="1BA5156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E56FD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11DE218">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15D185CA">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14:paraId="5D2B64F5">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14:paraId="620C7E06">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14:paraId="2289044B">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14:paraId="05069729">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14:paraId="5148697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7F0BC0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15D993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1A53A61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239C528C">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b/>
          <w:sz w:val="24"/>
          <w:szCs w:val="24"/>
          <w:highlight w:val="none"/>
        </w:rPr>
      </w:pPr>
      <w:r>
        <w:rPr>
          <w:rFonts w:hint="eastAsia" w:ascii="仿宋" w:hAnsi="仿宋" w:eastAsia="仿宋" w:cs="仿宋"/>
          <w:szCs w:val="21"/>
          <w:highlight w:val="none"/>
        </w:rPr>
        <w:t>5.该产品的关键工序要求实施前，“关键工序”栏可不填，下同。</w:t>
      </w:r>
    </w:p>
    <w:p w14:paraId="7E963E88">
      <w:pPr>
        <w:rPr>
          <w:rFonts w:hint="eastAsia" w:ascii="仿宋" w:hAnsi="仿宋" w:eastAsia="仿宋" w:cs="仿宋"/>
          <w:kern w:val="0"/>
          <w:sz w:val="24"/>
          <w:szCs w:val="24"/>
          <w:highlight w:val="none"/>
        </w:rPr>
      </w:pPr>
    </w:p>
    <w:p w14:paraId="31F32D81">
      <w:pP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br w:type="page"/>
      </w:r>
    </w:p>
    <w:p w14:paraId="31BD2CC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相关附件</w:t>
      </w:r>
      <w:bookmarkEnd w:id="70"/>
    </w:p>
    <w:p w14:paraId="1E025B0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71" w:name="_Toc10828"/>
      <w:r>
        <w:rPr>
          <w:rFonts w:hint="eastAsia" w:ascii="仿宋" w:hAnsi="仿宋" w:eastAsia="仿宋" w:cs="仿宋"/>
          <w:b/>
          <w:sz w:val="24"/>
          <w:szCs w:val="24"/>
          <w:highlight w:val="none"/>
        </w:rPr>
        <w:t>附件1：</w:t>
      </w:r>
      <w:r>
        <w:rPr>
          <w:rFonts w:hint="eastAsia" w:ascii="仿宋" w:hAnsi="仿宋" w:eastAsia="仿宋" w:cs="仿宋"/>
          <w:b/>
          <w:bCs/>
          <w:sz w:val="24"/>
          <w:szCs w:val="24"/>
          <w:highlight w:val="none"/>
        </w:rPr>
        <w:t>质疑函范本</w:t>
      </w:r>
      <w:bookmarkEnd w:id="71"/>
    </w:p>
    <w:p w14:paraId="0CE024A8">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28F518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57A129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FEEB9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7CEDD2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5DA893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1EF8B6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22B5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29BACA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080923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14:paraId="61434F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39B19A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AFE10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6933F0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FF9E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854DC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2C9C59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1A8A2A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0C0906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470E44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9FE9C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5A9ED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7FDB5E60">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6C820A7E">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531CFD0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14:paraId="1FB53959">
      <w:pPr>
        <w:jc w:val="center"/>
        <w:rPr>
          <w:rFonts w:hint="eastAsia" w:ascii="仿宋" w:hAnsi="仿宋" w:eastAsia="仿宋" w:cs="仿宋"/>
          <w:b/>
          <w:sz w:val="24"/>
          <w:szCs w:val="24"/>
          <w:highlight w:val="none"/>
        </w:rPr>
      </w:pPr>
    </w:p>
    <w:p w14:paraId="636DF02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516D302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1BC3E7C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01E35DA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0226942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133305F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22A6810D">
      <w:pPr>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72" w:name="_Toc18504"/>
      <w:r>
        <w:rPr>
          <w:rFonts w:hint="eastAsia" w:ascii="仿宋" w:hAnsi="仿宋" w:eastAsia="仿宋" w:cs="仿宋"/>
          <w:b/>
          <w:bCs/>
          <w:sz w:val="24"/>
          <w:szCs w:val="24"/>
          <w:highlight w:val="none"/>
        </w:rPr>
        <w:t>附件2：</w:t>
      </w:r>
      <w:r>
        <w:rPr>
          <w:rFonts w:hint="eastAsia" w:ascii="仿宋" w:hAnsi="仿宋" w:eastAsia="仿宋" w:cs="仿宋"/>
          <w:b/>
          <w:sz w:val="24"/>
          <w:szCs w:val="24"/>
          <w:highlight w:val="none"/>
        </w:rPr>
        <w:t>投诉书范本</w:t>
      </w:r>
      <w:bookmarkEnd w:id="72"/>
    </w:p>
    <w:p w14:paraId="74F4557A">
      <w:pPr>
        <w:rPr>
          <w:rFonts w:hint="eastAsia" w:ascii="仿宋" w:hAnsi="仿宋" w:eastAsia="仿宋" w:cs="仿宋"/>
          <w:sz w:val="24"/>
          <w:szCs w:val="24"/>
          <w:highlight w:val="none"/>
        </w:rPr>
      </w:pPr>
    </w:p>
    <w:p w14:paraId="20BA292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14:paraId="0442B132">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14:paraId="1712952C">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54D3AF9">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0B397C78">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1270A6A">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6A673FE0">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7AD7EA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p>
    <w:p w14:paraId="7A557736">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57CD7C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115CAC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14:paraId="789BFB4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7B800CCF">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p>
    <w:p w14:paraId="14946B60">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0358BCCE">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30E9DA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14:paraId="31ED6E59">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14:paraId="7786EFC1">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采购项目编号：</w:t>
      </w:r>
      <w:r>
        <w:rPr>
          <w:rFonts w:hint="eastAsia" w:ascii="仿宋" w:hAnsi="仿宋" w:eastAsia="仿宋" w:cs="仿宋"/>
          <w:sz w:val="24"/>
          <w:szCs w:val="24"/>
          <w:highlight w:val="none"/>
          <w:u w:val="dotted"/>
        </w:rPr>
        <w:t xml:space="preserve">                 </w:t>
      </w:r>
    </w:p>
    <w:p w14:paraId="407EBED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采购招标编号：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079D512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采购代理机构名称：</w:t>
      </w:r>
      <w:r>
        <w:rPr>
          <w:rFonts w:hint="eastAsia" w:ascii="仿宋" w:hAnsi="仿宋" w:eastAsia="仿宋" w:cs="仿宋"/>
          <w:sz w:val="24"/>
          <w:szCs w:val="24"/>
          <w:highlight w:val="none"/>
          <w:u w:val="dotted"/>
        </w:rPr>
        <w:t xml:space="preserve">                                         </w:t>
      </w:r>
    </w:p>
    <w:p w14:paraId="06AAA57F">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6D07C9DB">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1C9AD3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14:paraId="2BF9B6AC">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14:paraId="45788FBD">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7A4DCFE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采购人/采购代理机构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14:paraId="1A686E8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14:paraId="1F036D7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14:paraId="36C8757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59F952A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7C857E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2C385143">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1CE2E1D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14:paraId="0DC84B66">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39D9A33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14:paraId="45B68AF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2B9B261C">
      <w:pPr>
        <w:pStyle w:val="5"/>
        <w:rPr>
          <w:rFonts w:hint="eastAsia" w:ascii="仿宋" w:hAnsi="仿宋" w:eastAsia="仿宋" w:cs="仿宋"/>
          <w:sz w:val="24"/>
          <w:szCs w:val="24"/>
          <w:highlight w:val="none"/>
        </w:rPr>
      </w:pPr>
    </w:p>
    <w:p w14:paraId="4DD42752">
      <w:pPr>
        <w:spacing w:line="360" w:lineRule="auto"/>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4CDA6292">
      <w:pPr>
        <w:spacing w:line="360" w:lineRule="auto"/>
        <w:ind w:firstLine="2400" w:firstLineChars="10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6CDF01E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投诉书制作说明</w:t>
      </w:r>
    </w:p>
    <w:p w14:paraId="7752446A">
      <w:pPr>
        <w:rPr>
          <w:rFonts w:hint="eastAsia" w:ascii="仿宋" w:hAnsi="仿宋" w:eastAsia="仿宋" w:cs="仿宋"/>
          <w:b/>
          <w:sz w:val="24"/>
          <w:szCs w:val="24"/>
          <w:highlight w:val="none"/>
        </w:rPr>
      </w:pPr>
    </w:p>
    <w:p w14:paraId="654A9CE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14:paraId="35A1B85E">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14:paraId="2511B4E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14:paraId="34102FE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14:paraId="7ED3880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14:paraId="0D99072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14:paraId="57856363">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14:paraId="211A8491">
      <w:pPr>
        <w:spacing w:line="360" w:lineRule="auto"/>
        <w:jc w:val="left"/>
        <w:rPr>
          <w:rFonts w:hint="eastAsia" w:ascii="仿宋" w:hAnsi="仿宋" w:eastAsia="仿宋" w:cs="仿宋"/>
          <w:sz w:val="24"/>
          <w:highlight w:val="none"/>
        </w:rPr>
      </w:pPr>
    </w:p>
    <w:p w14:paraId="33D84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p>
    <w:p w14:paraId="7830F122">
      <w:pPr>
        <w:rPr>
          <w:highlight w:val="none"/>
        </w:rPr>
      </w:pPr>
    </w:p>
    <w:p w14:paraId="4D2654DB"/>
    <w:p w14:paraId="140F3F3B"/>
    <w:sectPr>
      <w:headerReference r:id="rId7" w:type="first"/>
      <w:footerReference r:id="rId9" w:type="first"/>
      <w:headerReference r:id="rId6" w:type="default"/>
      <w:footerReference r:id="rId8" w:type="default"/>
      <w:pgSz w:w="11906" w:h="16838"/>
      <w:pgMar w:top="1440" w:right="1418" w:bottom="1440" w:left="1418" w:header="907"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07D2">
    <w:pPr>
      <w:pStyle w:val="11"/>
      <w:ind w:right="-56"/>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356C">
    <w:pPr>
      <w:pStyle w:val="11"/>
      <w:ind w:right="-56"/>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D99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685D">
    <w:pPr>
      <w:pStyle w:val="11"/>
      <w:ind w:right="-56"/>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A8852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4A8852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4911">
    <w:pPr>
      <w:pStyle w:val="11"/>
      <w:tabs>
        <w:tab w:val="left" w:pos="5713"/>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EA4D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79EA4D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816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87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418E3"/>
    <w:multiLevelType w:val="singleLevel"/>
    <w:tmpl w:val="108418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76536"/>
    <w:rsid w:val="001E2D8E"/>
    <w:rsid w:val="0120154A"/>
    <w:rsid w:val="01282E62"/>
    <w:rsid w:val="016C50CE"/>
    <w:rsid w:val="017B429C"/>
    <w:rsid w:val="019A4C3E"/>
    <w:rsid w:val="01B36150"/>
    <w:rsid w:val="023D1E30"/>
    <w:rsid w:val="02837497"/>
    <w:rsid w:val="02906E7F"/>
    <w:rsid w:val="02D00F42"/>
    <w:rsid w:val="02E16A48"/>
    <w:rsid w:val="037979A5"/>
    <w:rsid w:val="03E012B9"/>
    <w:rsid w:val="03FB660C"/>
    <w:rsid w:val="042B5143"/>
    <w:rsid w:val="04867027"/>
    <w:rsid w:val="04F23E60"/>
    <w:rsid w:val="0603042F"/>
    <w:rsid w:val="06E25698"/>
    <w:rsid w:val="071D4AEC"/>
    <w:rsid w:val="07340801"/>
    <w:rsid w:val="07481131"/>
    <w:rsid w:val="07963C89"/>
    <w:rsid w:val="07C37441"/>
    <w:rsid w:val="09AE7E99"/>
    <w:rsid w:val="09AF1269"/>
    <w:rsid w:val="09B36E9F"/>
    <w:rsid w:val="09C6146A"/>
    <w:rsid w:val="0AE52263"/>
    <w:rsid w:val="0B5F39C0"/>
    <w:rsid w:val="0BB22A99"/>
    <w:rsid w:val="0BEB5795"/>
    <w:rsid w:val="0C3B6F01"/>
    <w:rsid w:val="0CD45814"/>
    <w:rsid w:val="0CD72091"/>
    <w:rsid w:val="0CE44695"/>
    <w:rsid w:val="0D330BC5"/>
    <w:rsid w:val="0D766D04"/>
    <w:rsid w:val="0E550B3A"/>
    <w:rsid w:val="0E8A4CB1"/>
    <w:rsid w:val="0EBA460D"/>
    <w:rsid w:val="0F58441F"/>
    <w:rsid w:val="0FA1275E"/>
    <w:rsid w:val="0FA83AEC"/>
    <w:rsid w:val="0FE543A5"/>
    <w:rsid w:val="111076BA"/>
    <w:rsid w:val="114A2CAB"/>
    <w:rsid w:val="116C0B49"/>
    <w:rsid w:val="11CB1D14"/>
    <w:rsid w:val="12515B6A"/>
    <w:rsid w:val="1281105A"/>
    <w:rsid w:val="12E76536"/>
    <w:rsid w:val="134C3DC4"/>
    <w:rsid w:val="136005D9"/>
    <w:rsid w:val="13BB36C2"/>
    <w:rsid w:val="13C92844"/>
    <w:rsid w:val="14300856"/>
    <w:rsid w:val="14D60ECA"/>
    <w:rsid w:val="1550232E"/>
    <w:rsid w:val="159643E7"/>
    <w:rsid w:val="15C80531"/>
    <w:rsid w:val="15E71A42"/>
    <w:rsid w:val="16FF236B"/>
    <w:rsid w:val="17A50911"/>
    <w:rsid w:val="18754787"/>
    <w:rsid w:val="18BE4B05"/>
    <w:rsid w:val="1978311D"/>
    <w:rsid w:val="1B2601BD"/>
    <w:rsid w:val="1B430B6D"/>
    <w:rsid w:val="1B5F0DCA"/>
    <w:rsid w:val="1C0B62E0"/>
    <w:rsid w:val="1CDF72B4"/>
    <w:rsid w:val="1D0D1432"/>
    <w:rsid w:val="1D9B035B"/>
    <w:rsid w:val="1DB96EC4"/>
    <w:rsid w:val="1DD90308"/>
    <w:rsid w:val="1EA92509"/>
    <w:rsid w:val="1EDC730E"/>
    <w:rsid w:val="1F1C5BD6"/>
    <w:rsid w:val="1F6400AC"/>
    <w:rsid w:val="206646DA"/>
    <w:rsid w:val="20874058"/>
    <w:rsid w:val="208C1920"/>
    <w:rsid w:val="2139168B"/>
    <w:rsid w:val="21D145A2"/>
    <w:rsid w:val="22317B98"/>
    <w:rsid w:val="22BD7457"/>
    <w:rsid w:val="22DD18A7"/>
    <w:rsid w:val="240A012B"/>
    <w:rsid w:val="249661B1"/>
    <w:rsid w:val="24E50D57"/>
    <w:rsid w:val="259F1D7B"/>
    <w:rsid w:val="25AB1A7C"/>
    <w:rsid w:val="267653AE"/>
    <w:rsid w:val="26B31AD0"/>
    <w:rsid w:val="27AA5AD0"/>
    <w:rsid w:val="282D5FDB"/>
    <w:rsid w:val="28C958E7"/>
    <w:rsid w:val="291962A4"/>
    <w:rsid w:val="291B18AE"/>
    <w:rsid w:val="29664882"/>
    <w:rsid w:val="29DD0934"/>
    <w:rsid w:val="2A275EEC"/>
    <w:rsid w:val="2A487432"/>
    <w:rsid w:val="2A9B3DE9"/>
    <w:rsid w:val="2C7D2452"/>
    <w:rsid w:val="2C916AA0"/>
    <w:rsid w:val="2D64288D"/>
    <w:rsid w:val="2D825525"/>
    <w:rsid w:val="2EDF252C"/>
    <w:rsid w:val="2EF77712"/>
    <w:rsid w:val="2F920605"/>
    <w:rsid w:val="2FC56003"/>
    <w:rsid w:val="30004286"/>
    <w:rsid w:val="30416F06"/>
    <w:rsid w:val="30CD4981"/>
    <w:rsid w:val="317A6513"/>
    <w:rsid w:val="31BF2393"/>
    <w:rsid w:val="31C363A2"/>
    <w:rsid w:val="31F369F1"/>
    <w:rsid w:val="322E21F1"/>
    <w:rsid w:val="33392FD8"/>
    <w:rsid w:val="338273AE"/>
    <w:rsid w:val="33A04957"/>
    <w:rsid w:val="33E2248A"/>
    <w:rsid w:val="342866FA"/>
    <w:rsid w:val="34AD7986"/>
    <w:rsid w:val="35A86AE5"/>
    <w:rsid w:val="35C15AC8"/>
    <w:rsid w:val="366A711B"/>
    <w:rsid w:val="372F1B4E"/>
    <w:rsid w:val="37EC295E"/>
    <w:rsid w:val="38DD5D05"/>
    <w:rsid w:val="38E104F5"/>
    <w:rsid w:val="390B35D9"/>
    <w:rsid w:val="399B58CF"/>
    <w:rsid w:val="39F47D21"/>
    <w:rsid w:val="3A306EEB"/>
    <w:rsid w:val="3AAE2954"/>
    <w:rsid w:val="3B1A4576"/>
    <w:rsid w:val="3C193FB1"/>
    <w:rsid w:val="3C4265E5"/>
    <w:rsid w:val="3C461E13"/>
    <w:rsid w:val="3C956592"/>
    <w:rsid w:val="3C9C0444"/>
    <w:rsid w:val="3D0042F6"/>
    <w:rsid w:val="3D4A5933"/>
    <w:rsid w:val="3D7959A4"/>
    <w:rsid w:val="3E6C1E03"/>
    <w:rsid w:val="3E940098"/>
    <w:rsid w:val="3EE1368A"/>
    <w:rsid w:val="3F2D1069"/>
    <w:rsid w:val="416D2F21"/>
    <w:rsid w:val="418E7620"/>
    <w:rsid w:val="41D02A92"/>
    <w:rsid w:val="421F0337"/>
    <w:rsid w:val="43091DCA"/>
    <w:rsid w:val="43114A6E"/>
    <w:rsid w:val="431B137A"/>
    <w:rsid w:val="44226CBD"/>
    <w:rsid w:val="44693A30"/>
    <w:rsid w:val="44930DA6"/>
    <w:rsid w:val="44F06EEA"/>
    <w:rsid w:val="44FC5852"/>
    <w:rsid w:val="455F68BE"/>
    <w:rsid w:val="45F36B68"/>
    <w:rsid w:val="46BC1650"/>
    <w:rsid w:val="47013507"/>
    <w:rsid w:val="47252C7F"/>
    <w:rsid w:val="477041E8"/>
    <w:rsid w:val="48542D62"/>
    <w:rsid w:val="488C3889"/>
    <w:rsid w:val="48AE6D76"/>
    <w:rsid w:val="48F32FE7"/>
    <w:rsid w:val="49105C83"/>
    <w:rsid w:val="492E435B"/>
    <w:rsid w:val="4948347B"/>
    <w:rsid w:val="49506CEB"/>
    <w:rsid w:val="4C130DA3"/>
    <w:rsid w:val="4C1E2F9D"/>
    <w:rsid w:val="4D565246"/>
    <w:rsid w:val="4D8A5A06"/>
    <w:rsid w:val="4E157897"/>
    <w:rsid w:val="4E974532"/>
    <w:rsid w:val="4FD33566"/>
    <w:rsid w:val="50C67FFE"/>
    <w:rsid w:val="50D67066"/>
    <w:rsid w:val="52A978E6"/>
    <w:rsid w:val="52AF317D"/>
    <w:rsid w:val="5305612D"/>
    <w:rsid w:val="531C29E7"/>
    <w:rsid w:val="53B876B0"/>
    <w:rsid w:val="54913043"/>
    <w:rsid w:val="54F714E7"/>
    <w:rsid w:val="55B22C82"/>
    <w:rsid w:val="55E44723"/>
    <w:rsid w:val="5630084A"/>
    <w:rsid w:val="56954D2C"/>
    <w:rsid w:val="57A57878"/>
    <w:rsid w:val="589522F7"/>
    <w:rsid w:val="58A84447"/>
    <w:rsid w:val="58AD704A"/>
    <w:rsid w:val="58D07DF4"/>
    <w:rsid w:val="58E51191"/>
    <w:rsid w:val="591B6794"/>
    <w:rsid w:val="59253085"/>
    <w:rsid w:val="5932549A"/>
    <w:rsid w:val="59347036"/>
    <w:rsid w:val="59B64316"/>
    <w:rsid w:val="59BE5323"/>
    <w:rsid w:val="5A096A56"/>
    <w:rsid w:val="5B6B0AF7"/>
    <w:rsid w:val="5C643D7C"/>
    <w:rsid w:val="5CBF734C"/>
    <w:rsid w:val="5D0C08CB"/>
    <w:rsid w:val="5D6E48CE"/>
    <w:rsid w:val="5E132ABA"/>
    <w:rsid w:val="5E397C24"/>
    <w:rsid w:val="5EC25CF4"/>
    <w:rsid w:val="5F4D6A12"/>
    <w:rsid w:val="5FAD797E"/>
    <w:rsid w:val="5FEF7F48"/>
    <w:rsid w:val="61AD21BB"/>
    <w:rsid w:val="62B57844"/>
    <w:rsid w:val="668F2503"/>
    <w:rsid w:val="67494832"/>
    <w:rsid w:val="675A6C96"/>
    <w:rsid w:val="67AE2A22"/>
    <w:rsid w:val="697269FC"/>
    <w:rsid w:val="699F068B"/>
    <w:rsid w:val="6A6A2BB1"/>
    <w:rsid w:val="6B4F6382"/>
    <w:rsid w:val="6BC9782A"/>
    <w:rsid w:val="6D0509B6"/>
    <w:rsid w:val="6D587E7B"/>
    <w:rsid w:val="6D600DCA"/>
    <w:rsid w:val="6E712499"/>
    <w:rsid w:val="6E874D60"/>
    <w:rsid w:val="6EBF7CF3"/>
    <w:rsid w:val="6FA10BB3"/>
    <w:rsid w:val="6FEC33D0"/>
    <w:rsid w:val="707C3715"/>
    <w:rsid w:val="70A46B2D"/>
    <w:rsid w:val="71042D34"/>
    <w:rsid w:val="71363009"/>
    <w:rsid w:val="715E0F62"/>
    <w:rsid w:val="72261B46"/>
    <w:rsid w:val="72AD26A4"/>
    <w:rsid w:val="72D27981"/>
    <w:rsid w:val="73BD4BEA"/>
    <w:rsid w:val="73F90B80"/>
    <w:rsid w:val="747F276B"/>
    <w:rsid w:val="75442EEA"/>
    <w:rsid w:val="75C6160A"/>
    <w:rsid w:val="76016974"/>
    <w:rsid w:val="768E0063"/>
    <w:rsid w:val="7753434F"/>
    <w:rsid w:val="779066BE"/>
    <w:rsid w:val="7918102B"/>
    <w:rsid w:val="796C5667"/>
    <w:rsid w:val="797E1537"/>
    <w:rsid w:val="7B1F49B0"/>
    <w:rsid w:val="7B742637"/>
    <w:rsid w:val="7B767318"/>
    <w:rsid w:val="7CDD78F1"/>
    <w:rsid w:val="7D796AE5"/>
    <w:rsid w:val="7E4328CE"/>
    <w:rsid w:val="7E862C5C"/>
    <w:rsid w:val="7ED44A81"/>
    <w:rsid w:val="7F353116"/>
    <w:rsid w:val="7F4C2555"/>
    <w:rsid w:val="7F517F8E"/>
    <w:rsid w:val="7F631899"/>
    <w:rsid w:val="7F8F4030"/>
    <w:rsid w:val="7FF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0" w:afterLines="0" w:line="360" w:lineRule="auto"/>
      <w:jc w:val="center"/>
      <w:outlineLvl w:val="0"/>
    </w:pPr>
    <w:rPr>
      <w:rFonts w:ascii="仿宋" w:hAnsi="仿宋" w:eastAsia="仿宋"/>
      <w:b/>
      <w:bCs/>
      <w:kern w:val="44"/>
      <w:sz w:val="28"/>
      <w:szCs w:val="44"/>
    </w:rPr>
  </w:style>
  <w:style w:type="paragraph" w:styleId="3">
    <w:name w:val="heading 2"/>
    <w:basedOn w:val="1"/>
    <w:next w:val="1"/>
    <w:unhideWhenUsed/>
    <w:qFormat/>
    <w:uiPriority w:val="0"/>
    <w:pPr>
      <w:keepNext/>
      <w:keepLines/>
      <w:spacing w:before="50" w:beforeLines="50" w:after="10" w:afterLines="10"/>
      <w:ind w:firstLine="456"/>
      <w:outlineLvl w:val="1"/>
    </w:pPr>
    <w:rPr>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next w:val="1"/>
    <w:qFormat/>
    <w:uiPriority w:val="0"/>
    <w:pPr>
      <w:widowControl w:val="0"/>
      <w:spacing w:line="360" w:lineRule="auto"/>
      <w:ind w:left="420" w:leftChars="200" w:firstLine="420" w:firstLineChars="200"/>
      <w:jc w:val="both"/>
    </w:pPr>
    <w:rPr>
      <w:rFonts w:ascii="Calibri" w:hAnsi="Calibri" w:eastAsia="宋体" w:cs="Times New Roman"/>
      <w:kern w:val="2"/>
      <w:sz w:val="24"/>
      <w:szCs w:val="22"/>
      <w:lang w:val="en-US" w:eastAsia="zh-CN" w:bidi="ar-SA"/>
    </w:rPr>
  </w:style>
  <w:style w:type="paragraph" w:styleId="5">
    <w:name w:val="toa heading"/>
    <w:basedOn w:val="1"/>
    <w:next w:val="1"/>
    <w:qFormat/>
    <w:uiPriority w:val="0"/>
    <w:pPr>
      <w:spacing w:before="120"/>
    </w:pPr>
    <w:rPr>
      <w:rFonts w:ascii="Arial" w:hAnsi="Arial" w:eastAsia="宋体" w:cs="Arial"/>
      <w:sz w:val="24"/>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styleId="8">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9">
    <w:name w:val="Body Text Indent"/>
    <w:basedOn w:val="1"/>
    <w:qFormat/>
    <w:uiPriority w:val="0"/>
    <w:pPr>
      <w:ind w:firstLine="560" w:firstLineChars="200"/>
    </w:pPr>
    <w:rPr>
      <w:sz w:val="24"/>
    </w:rPr>
  </w:style>
  <w:style w:type="paragraph" w:styleId="10">
    <w:name w:val="Plain Text"/>
    <w:basedOn w:val="1"/>
    <w:unhideWhenUsed/>
    <w:qFormat/>
    <w:uiPriority w:val="0"/>
    <w:rPr>
      <w:rFonts w:ascii="宋体" w:hAnsi="Courier New"/>
      <w:szCs w:val="21"/>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nhideWhenUsed/>
    <w:qFormat/>
    <w:uiPriority w:val="39"/>
    <w:pPr>
      <w:tabs>
        <w:tab w:val="right" w:leader="dot" w:pos="9070"/>
      </w:tabs>
      <w:spacing w:beforeLines="0" w:afterLines="0" w:line="360" w:lineRule="auto"/>
      <w:ind w:left="0" w:firstLine="0" w:firstLineChars="0"/>
    </w:pPr>
    <w:rPr>
      <w:rFonts w:ascii="仿宋" w:hAnsi="仿宋" w:eastAsia="仿宋" w:cs="仿宋"/>
      <w:bCs/>
      <w:caps/>
      <w:sz w:val="28"/>
      <w:highlight w:val="none"/>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9">
    <w:name w:val="列出段落1"/>
    <w:basedOn w:val="1"/>
    <w:qFormat/>
    <w:uiPriority w:val="0"/>
    <w:pPr>
      <w:ind w:firstLine="420" w:firstLineChars="200"/>
    </w:pPr>
  </w:style>
  <w:style w:type="paragraph" w:customStyle="1" w:styleId="20">
    <w:name w:val="2级正文"/>
    <w:basedOn w:val="1"/>
    <w:qFormat/>
    <w:uiPriority w:val="0"/>
    <w:pPr>
      <w:ind w:left="721" w:hanging="420"/>
      <w:jc w:val="left"/>
    </w:pPr>
    <w:rPr>
      <w:rFonts w:ascii="宋体" w:hAnsi="宋体" w:cs="宋体"/>
      <w:szCs w:val="21"/>
    </w:rPr>
  </w:style>
  <w:style w:type="paragraph" w:customStyle="1" w:styleId="21">
    <w:name w:val="样式1"/>
    <w:basedOn w:val="1"/>
    <w:qFormat/>
    <w:uiPriority w:val="0"/>
    <w:pPr>
      <w:spacing w:line="240" w:lineRule="auto"/>
      <w:jc w:val="both"/>
    </w:pPr>
    <w:rPr>
      <w:rFonts w:ascii="宋体" w:hAnsi="宋体"/>
      <w:sz w:val="21"/>
      <w:szCs w:val="21"/>
    </w:rPr>
  </w:style>
  <w:style w:type="character" w:customStyle="1" w:styleId="22">
    <w:name w:val="表文"/>
    <w:basedOn w:val="17"/>
    <w:autoRedefine/>
    <w:qFormat/>
    <w:uiPriority w:val="0"/>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25468</Words>
  <Characters>26902</Characters>
  <Lines>0</Lines>
  <Paragraphs>0</Paragraphs>
  <TotalTime>34</TotalTime>
  <ScaleCrop>false</ScaleCrop>
  <LinksUpToDate>false</LinksUpToDate>
  <CharactersWithSpaces>27008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2025-08-15T02:53:00Z</dcterms:created>
  <dc:creator> 懒洋洋</dc:creator>
  <cp:lastModifiedBy>~~~</cp:lastModifiedBy>
  <dcterms:modified xsi:type="dcterms:W3CDTF">2026-06-01T09:24:25Z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1DC99FA6E202439BA73F0B20489F8CCC_13</vt:lpwstr>
  </property>
  <property fmtid="{D5CDD505-2E9C-101B-9397-08002B2CF9AE}" pid="4" name="KSOTemplateDocerSaveRecord">
    <vt:lpwstr>eyJoZGlkIjoiZWZmMGYyYzI0M2M3MDQ1MWMwMjg2ZTY1NTA5MTZmMzgiLCJ1c2VySWQiOiIzMTYxNDMwOTQifQ==</vt:lpwstr>
  </property>
</Properties>
</file>