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FB63C0">
      <w:pPr>
        <w:jc w:val="center"/>
        <w:rPr>
          <w:rFonts w:hint="eastAsia" w:ascii="宋体" w:hAnsi="宋体" w:cs="宋体"/>
          <w:b/>
          <w:color w:val="auto"/>
          <w:sz w:val="48"/>
          <w:szCs w:val="48"/>
          <w:highlight w:val="none"/>
        </w:rPr>
      </w:pPr>
      <w:bookmarkStart w:id="0" w:name="_Toc479772481"/>
      <w:bookmarkStart w:id="1" w:name="_Toc246996898"/>
      <w:bookmarkStart w:id="2" w:name="_Toc296602400"/>
      <w:bookmarkStart w:id="3" w:name="_Toc247085669"/>
    </w:p>
    <w:p w14:paraId="771AF76E">
      <w:pPr>
        <w:jc w:val="center"/>
        <w:rPr>
          <w:rFonts w:hint="eastAsia" w:ascii="宋体" w:hAnsi="宋体" w:cs="宋体"/>
          <w:color w:val="auto"/>
          <w:highlight w:val="none"/>
        </w:rPr>
      </w:pPr>
      <w:r>
        <w:rPr>
          <w:rFonts w:hint="eastAsia" w:ascii="宋体" w:hAnsi="宋体" w:cs="宋体"/>
          <w:b/>
          <w:color w:val="auto"/>
          <w:sz w:val="52"/>
          <w:szCs w:val="52"/>
          <w:highlight w:val="none"/>
          <w:lang w:eastAsia="zh-CN"/>
        </w:rPr>
        <w:t>前郭县医院DR维保服务项目</w:t>
      </w:r>
    </w:p>
    <w:p w14:paraId="3C3AF4F7">
      <w:pPr>
        <w:rPr>
          <w:rFonts w:hint="eastAsia" w:ascii="宋体" w:hAnsi="宋体" w:cs="宋体"/>
          <w:color w:val="auto"/>
          <w:highlight w:val="none"/>
        </w:rPr>
      </w:pPr>
    </w:p>
    <w:p w14:paraId="2DB20034">
      <w:pPr>
        <w:rPr>
          <w:rFonts w:hint="eastAsia" w:ascii="宋体" w:hAnsi="宋体" w:cs="宋体"/>
          <w:color w:val="auto"/>
          <w:highlight w:val="none"/>
        </w:rPr>
      </w:pPr>
    </w:p>
    <w:p w14:paraId="4080C19A">
      <w:pPr>
        <w:pStyle w:val="23"/>
        <w:outlineLvl w:val="9"/>
        <w:rPr>
          <w:rFonts w:hint="eastAsia" w:ascii="宋体" w:hAnsi="宋体" w:cs="宋体"/>
          <w:color w:val="auto"/>
          <w:highlight w:val="none"/>
        </w:rPr>
      </w:pPr>
    </w:p>
    <w:p w14:paraId="66DD51B1">
      <w:pPr>
        <w:jc w:val="center"/>
        <w:rPr>
          <w:rFonts w:hint="eastAsia" w:ascii="宋体" w:hAnsi="宋体" w:cs="宋体"/>
          <w:b/>
          <w:bCs/>
          <w:color w:val="auto"/>
          <w:sz w:val="84"/>
          <w:szCs w:val="72"/>
          <w:highlight w:val="none"/>
        </w:rPr>
      </w:pPr>
      <w:r>
        <w:rPr>
          <w:rFonts w:hint="eastAsia" w:ascii="宋体" w:hAnsi="宋体" w:cs="宋体"/>
          <w:b/>
          <w:bCs/>
          <w:color w:val="auto"/>
          <w:sz w:val="84"/>
          <w:szCs w:val="72"/>
          <w:highlight w:val="none"/>
        </w:rPr>
        <w:t>竞争性磋商文件</w:t>
      </w:r>
    </w:p>
    <w:p w14:paraId="2BB0D142">
      <w:pPr>
        <w:jc w:val="center"/>
        <w:rPr>
          <w:rFonts w:hint="eastAsia" w:ascii="宋体" w:hAnsi="宋体" w:cs="宋体"/>
          <w:b/>
          <w:color w:val="auto"/>
          <w:sz w:val="32"/>
          <w:szCs w:val="32"/>
          <w:highlight w:val="none"/>
        </w:rPr>
      </w:pPr>
    </w:p>
    <w:p w14:paraId="363A564B">
      <w:pPr>
        <w:jc w:val="center"/>
        <w:rPr>
          <w:rFonts w:hint="eastAsia" w:ascii="宋体" w:hAnsi="宋体" w:eastAsia="宋体" w:cs="宋体"/>
          <w:b/>
          <w:color w:val="auto"/>
          <w:sz w:val="32"/>
          <w:szCs w:val="32"/>
          <w:highlight w:val="none"/>
          <w:lang w:eastAsia="zh-CN"/>
        </w:rPr>
      </w:pPr>
      <w:r>
        <w:rPr>
          <w:rFonts w:hint="eastAsia" w:ascii="宋体" w:hAnsi="宋体" w:cs="宋体"/>
          <w:b/>
          <w:color w:val="auto"/>
          <w:sz w:val="32"/>
          <w:szCs w:val="32"/>
          <w:highlight w:val="none"/>
        </w:rPr>
        <w:t>项目编号：</w:t>
      </w:r>
      <w:r>
        <w:rPr>
          <w:rFonts w:hint="eastAsia" w:ascii="宋体" w:hAnsi="宋体" w:cs="宋体"/>
          <w:b/>
          <w:color w:val="auto"/>
          <w:sz w:val="32"/>
          <w:szCs w:val="32"/>
          <w:highlight w:val="none"/>
          <w:lang w:eastAsia="zh-CN"/>
        </w:rPr>
        <w:t>采购计划-[2026]-00102号-RHJL-FW-2026-0527</w:t>
      </w:r>
    </w:p>
    <w:p w14:paraId="2B6B2378">
      <w:pPr>
        <w:rPr>
          <w:rFonts w:hint="eastAsia" w:ascii="宋体" w:hAnsi="宋体" w:cs="宋体"/>
          <w:color w:val="auto"/>
          <w:highlight w:val="none"/>
        </w:rPr>
      </w:pPr>
    </w:p>
    <w:p w14:paraId="4EB7700C">
      <w:pPr>
        <w:rPr>
          <w:rFonts w:hint="eastAsia" w:ascii="宋体" w:hAnsi="宋体" w:cs="宋体"/>
          <w:color w:val="auto"/>
          <w:highlight w:val="none"/>
        </w:rPr>
      </w:pPr>
    </w:p>
    <w:p w14:paraId="2050D8D4">
      <w:pPr>
        <w:rPr>
          <w:rFonts w:hint="eastAsia" w:ascii="宋体" w:hAnsi="宋体" w:cs="宋体"/>
          <w:color w:val="auto"/>
          <w:highlight w:val="none"/>
        </w:rPr>
      </w:pPr>
    </w:p>
    <w:p w14:paraId="732F467C">
      <w:pPr>
        <w:pStyle w:val="23"/>
        <w:outlineLvl w:val="9"/>
        <w:rPr>
          <w:rFonts w:hint="eastAsia" w:ascii="宋体" w:hAnsi="宋体" w:cs="宋体"/>
          <w:color w:val="auto"/>
          <w:highlight w:val="none"/>
        </w:rPr>
      </w:pPr>
    </w:p>
    <w:p w14:paraId="41F1004E">
      <w:pPr>
        <w:outlineLvl w:val="9"/>
        <w:rPr>
          <w:rFonts w:hint="eastAsia" w:ascii="宋体" w:hAnsi="宋体" w:cs="宋体"/>
          <w:color w:val="auto"/>
          <w:highlight w:val="none"/>
        </w:rPr>
      </w:pPr>
    </w:p>
    <w:p w14:paraId="4BDAFBED">
      <w:pPr>
        <w:outlineLvl w:val="9"/>
        <w:rPr>
          <w:rFonts w:hint="eastAsia" w:ascii="宋体" w:hAnsi="宋体" w:cs="宋体"/>
          <w:color w:val="auto"/>
          <w:highlight w:val="none"/>
        </w:rPr>
      </w:pPr>
    </w:p>
    <w:p w14:paraId="779111DB">
      <w:pPr>
        <w:pStyle w:val="23"/>
        <w:jc w:val="both"/>
        <w:outlineLvl w:val="9"/>
        <w:rPr>
          <w:rFonts w:hint="eastAsia" w:ascii="宋体" w:hAnsi="宋体" w:cs="宋体"/>
          <w:color w:val="auto"/>
          <w:highlight w:val="none"/>
        </w:rPr>
      </w:pPr>
    </w:p>
    <w:p w14:paraId="294CED9B">
      <w:pPr>
        <w:pStyle w:val="23"/>
        <w:outlineLvl w:val="9"/>
        <w:rPr>
          <w:rFonts w:hint="eastAsia" w:ascii="宋体" w:hAnsi="宋体" w:cs="宋体"/>
          <w:color w:val="auto"/>
          <w:highlight w:val="none"/>
        </w:rPr>
      </w:pPr>
    </w:p>
    <w:p w14:paraId="42312999">
      <w:pPr>
        <w:spacing w:line="720" w:lineRule="auto"/>
        <w:ind w:firstLine="1084" w:firstLineChars="300"/>
        <w:jc w:val="both"/>
        <w:rPr>
          <w:rFonts w:hint="eastAsia" w:ascii="宋体" w:hAnsi="宋体" w:eastAsia="宋体" w:cs="宋体"/>
          <w:b/>
          <w:color w:val="auto"/>
          <w:sz w:val="36"/>
          <w:szCs w:val="36"/>
          <w:highlight w:val="none"/>
          <w:lang w:eastAsia="zh-CN"/>
        </w:rPr>
      </w:pPr>
      <w:r>
        <w:rPr>
          <w:rFonts w:hint="eastAsia" w:ascii="宋体" w:hAnsi="宋体" w:cs="宋体"/>
          <w:b/>
          <w:color w:val="auto"/>
          <w:sz w:val="36"/>
          <w:szCs w:val="36"/>
          <w:highlight w:val="none"/>
        </w:rPr>
        <w:t>采购人：</w:t>
      </w:r>
      <w:r>
        <w:rPr>
          <w:rFonts w:hint="eastAsia" w:ascii="宋体" w:hAnsi="宋体" w:cs="宋体"/>
          <w:b/>
          <w:color w:val="auto"/>
          <w:sz w:val="36"/>
          <w:szCs w:val="36"/>
          <w:highlight w:val="none"/>
          <w:lang w:eastAsia="zh-CN"/>
        </w:rPr>
        <w:t>前郭尔罗斯蒙古族自治县医院</w:t>
      </w:r>
    </w:p>
    <w:p w14:paraId="47D79549">
      <w:pPr>
        <w:spacing w:line="720" w:lineRule="auto"/>
        <w:jc w:val="center"/>
        <w:rPr>
          <w:rFonts w:hint="eastAsia" w:ascii="宋体" w:hAnsi="宋体" w:eastAsia="宋体" w:cs="宋体"/>
          <w:b/>
          <w:color w:val="auto"/>
          <w:sz w:val="36"/>
          <w:szCs w:val="36"/>
          <w:highlight w:val="none"/>
          <w:lang w:eastAsia="zh-CN"/>
        </w:rPr>
      </w:pPr>
      <w:r>
        <w:rPr>
          <w:rFonts w:hint="eastAsia" w:ascii="宋体" w:hAnsi="宋体" w:cs="宋体"/>
          <w:b/>
          <w:color w:val="auto"/>
          <w:sz w:val="36"/>
          <w:szCs w:val="36"/>
          <w:highlight w:val="none"/>
          <w:lang w:val="en-US" w:eastAsia="zh-CN"/>
        </w:rPr>
        <w:t xml:space="preserve"> </w:t>
      </w:r>
      <w:r>
        <w:rPr>
          <w:rFonts w:hint="eastAsia" w:ascii="宋体" w:hAnsi="宋体" w:cs="宋体"/>
          <w:b/>
          <w:color w:val="auto"/>
          <w:sz w:val="36"/>
          <w:szCs w:val="36"/>
          <w:highlight w:val="none"/>
        </w:rPr>
        <w:t>采购代理机构：</w:t>
      </w:r>
      <w:r>
        <w:rPr>
          <w:rFonts w:hint="eastAsia" w:ascii="宋体" w:hAnsi="宋体" w:cs="宋体"/>
          <w:b/>
          <w:color w:val="auto"/>
          <w:sz w:val="36"/>
          <w:szCs w:val="36"/>
          <w:highlight w:val="none"/>
          <w:lang w:eastAsia="zh-CN"/>
        </w:rPr>
        <w:t>融汇项目管理有限公司</w:t>
      </w:r>
    </w:p>
    <w:p w14:paraId="4521CF18">
      <w:pPr>
        <w:spacing w:line="720" w:lineRule="auto"/>
        <w:jc w:val="center"/>
        <w:rPr>
          <w:rFonts w:hint="eastAsia" w:ascii="宋体" w:hAnsi="宋体" w:cs="宋体"/>
          <w:b/>
          <w:color w:val="auto"/>
          <w:sz w:val="36"/>
          <w:szCs w:val="36"/>
          <w:highlight w:val="none"/>
        </w:rPr>
        <w:sectPr>
          <w:headerReference r:id="rId4" w:type="first"/>
          <w:headerReference r:id="rId3" w:type="default"/>
          <w:footerReference r:id="rId5" w:type="default"/>
          <w:pgSz w:w="11906" w:h="16838"/>
          <w:pgMar w:top="1361" w:right="1361" w:bottom="1361" w:left="1361" w:header="624" w:footer="1020" w:gutter="113"/>
          <w:pgNumType w:fmt="upperRoman" w:start="1"/>
          <w:cols w:space="720" w:num="1"/>
          <w:titlePg/>
          <w:docGrid w:type="lines" w:linePitch="316" w:charSpace="0"/>
        </w:sectPr>
      </w:pPr>
      <w:r>
        <w:rPr>
          <w:rFonts w:hint="eastAsia" w:ascii="宋体" w:hAnsi="宋体" w:cs="宋体"/>
          <w:b/>
          <w:color w:val="auto"/>
          <w:sz w:val="36"/>
          <w:szCs w:val="36"/>
          <w:highlight w:val="none"/>
        </w:rPr>
        <w:t>202</w:t>
      </w:r>
      <w:r>
        <w:rPr>
          <w:rFonts w:hint="eastAsia" w:ascii="宋体" w:hAnsi="宋体" w:cs="宋体"/>
          <w:b/>
          <w:color w:val="auto"/>
          <w:sz w:val="36"/>
          <w:szCs w:val="36"/>
          <w:highlight w:val="none"/>
          <w:lang w:val="en-US" w:eastAsia="zh-CN"/>
        </w:rPr>
        <w:t>6</w:t>
      </w:r>
      <w:r>
        <w:rPr>
          <w:rFonts w:hint="eastAsia" w:ascii="宋体" w:hAnsi="宋体" w:cs="宋体"/>
          <w:b/>
          <w:color w:val="auto"/>
          <w:sz w:val="36"/>
          <w:szCs w:val="36"/>
          <w:highlight w:val="none"/>
        </w:rPr>
        <w:t>年</w:t>
      </w:r>
      <w:r>
        <w:rPr>
          <w:rFonts w:hint="eastAsia" w:ascii="宋体" w:hAnsi="宋体" w:cs="宋体"/>
          <w:b/>
          <w:color w:val="auto"/>
          <w:sz w:val="36"/>
          <w:szCs w:val="36"/>
          <w:highlight w:val="none"/>
          <w:lang w:val="en-US" w:eastAsia="zh-CN"/>
        </w:rPr>
        <w:t>05</w:t>
      </w:r>
      <w:r>
        <w:rPr>
          <w:rFonts w:hint="eastAsia" w:ascii="宋体" w:hAnsi="宋体" w:cs="宋体"/>
          <w:b/>
          <w:color w:val="auto"/>
          <w:sz w:val="36"/>
          <w:szCs w:val="36"/>
          <w:highlight w:val="none"/>
        </w:rPr>
        <w:t>月</w:t>
      </w:r>
    </w:p>
    <w:p w14:paraId="27D70DE3">
      <w:pPr>
        <w:spacing w:line="720" w:lineRule="auto"/>
        <w:jc w:val="center"/>
        <w:rPr>
          <w:rFonts w:hint="eastAsia" w:ascii="宋体" w:hAnsi="宋体" w:cs="宋体"/>
          <w:b/>
          <w:bCs/>
          <w:color w:val="auto"/>
          <w:sz w:val="44"/>
          <w:szCs w:val="44"/>
          <w:highlight w:val="none"/>
        </w:rPr>
      </w:pPr>
      <w:r>
        <w:rPr>
          <w:rFonts w:hint="eastAsia" w:ascii="宋体" w:hAnsi="宋体" w:cs="宋体"/>
          <w:b/>
          <w:bCs/>
          <w:color w:val="auto"/>
          <w:sz w:val="44"/>
          <w:szCs w:val="44"/>
          <w:highlight w:val="none"/>
        </w:rPr>
        <w:t>目   录</w:t>
      </w:r>
      <w:bookmarkEnd w:id="0"/>
      <w:bookmarkEnd w:id="1"/>
      <w:bookmarkEnd w:id="2"/>
      <w:bookmarkEnd w:id="3"/>
    </w:p>
    <w:p w14:paraId="13954023">
      <w:pPr>
        <w:pStyle w:val="16"/>
        <w:tabs>
          <w:tab w:val="right" w:leader="dot" w:pos="9071"/>
        </w:tabs>
      </w:pPr>
      <w:bookmarkStart w:id="4" w:name="_Toc246996156"/>
      <w:bookmarkStart w:id="5" w:name="_Toc246996899"/>
      <w:bookmarkStart w:id="6" w:name="_Toc247085670"/>
      <w:r>
        <w:rPr>
          <w:rFonts w:hint="eastAsia" w:ascii="宋体" w:hAnsi="宋体" w:eastAsia="宋体" w:cs="宋体"/>
          <w:iCs/>
          <w:caps w:val="0"/>
          <w:color w:val="auto"/>
          <w:sz w:val="36"/>
          <w:szCs w:val="36"/>
          <w:highlight w:val="none"/>
        </w:rPr>
        <w:fldChar w:fldCharType="begin"/>
      </w:r>
      <w:r>
        <w:rPr>
          <w:rFonts w:hint="eastAsia" w:ascii="宋体" w:hAnsi="宋体" w:eastAsia="宋体" w:cs="宋体"/>
          <w:iCs/>
          <w:caps w:val="0"/>
          <w:color w:val="auto"/>
          <w:sz w:val="36"/>
          <w:szCs w:val="36"/>
          <w:highlight w:val="none"/>
        </w:rPr>
        <w:instrText xml:space="preserve"> TOC \o \h \z \u </w:instrText>
      </w:r>
      <w:r>
        <w:rPr>
          <w:rFonts w:hint="eastAsia" w:ascii="宋体" w:hAnsi="宋体" w:eastAsia="宋体" w:cs="宋体"/>
          <w:iCs/>
          <w:caps w:val="0"/>
          <w:color w:val="auto"/>
          <w:sz w:val="36"/>
          <w:szCs w:val="36"/>
          <w:highlight w:val="none"/>
        </w:rPr>
        <w:fldChar w:fldCharType="separate"/>
      </w:r>
      <w:r>
        <w:rPr>
          <w:rFonts w:hint="eastAsia" w:ascii="宋体" w:hAnsi="宋体" w:eastAsia="宋体" w:cs="宋体"/>
          <w:iCs/>
          <w:caps w:val="0"/>
          <w:color w:val="auto"/>
          <w:szCs w:val="36"/>
          <w:highlight w:val="none"/>
        </w:rPr>
        <w:fldChar w:fldCharType="begin"/>
      </w:r>
      <w:r>
        <w:rPr>
          <w:rFonts w:hint="eastAsia" w:ascii="宋体" w:hAnsi="宋体" w:eastAsia="宋体" w:cs="宋体"/>
          <w:iCs/>
          <w:caps w:val="0"/>
          <w:szCs w:val="36"/>
          <w:highlight w:val="none"/>
        </w:rPr>
        <w:instrText xml:space="preserve"> HYPERLINK \l _Toc25653 </w:instrText>
      </w:r>
      <w:r>
        <w:rPr>
          <w:rFonts w:hint="eastAsia" w:ascii="宋体" w:hAnsi="宋体" w:eastAsia="宋体" w:cs="宋体"/>
          <w:iCs/>
          <w:caps w:val="0"/>
          <w:szCs w:val="36"/>
          <w:highlight w:val="none"/>
        </w:rPr>
        <w:fldChar w:fldCharType="separate"/>
      </w:r>
      <w:r>
        <w:rPr>
          <w:rFonts w:hint="eastAsia" w:ascii="宋体" w:hAnsi="宋体" w:cs="宋体"/>
          <w:bCs/>
          <w:kern w:val="44"/>
          <w:szCs w:val="44"/>
          <w:highlight w:val="none"/>
        </w:rPr>
        <w:t>第一章 竞争性磋商公告</w:t>
      </w:r>
      <w:r>
        <w:tab/>
      </w:r>
      <w:r>
        <w:fldChar w:fldCharType="begin"/>
      </w:r>
      <w:r>
        <w:instrText xml:space="preserve"> PAGEREF _Toc25653 \h </w:instrText>
      </w:r>
      <w:r>
        <w:fldChar w:fldCharType="separate"/>
      </w:r>
      <w:r>
        <w:t>1</w:t>
      </w:r>
      <w:r>
        <w:fldChar w:fldCharType="end"/>
      </w:r>
      <w:r>
        <w:rPr>
          <w:rFonts w:hint="eastAsia" w:ascii="宋体" w:hAnsi="宋体" w:eastAsia="宋体" w:cs="宋体"/>
          <w:iCs/>
          <w:caps w:val="0"/>
          <w:color w:val="auto"/>
          <w:szCs w:val="36"/>
          <w:highlight w:val="none"/>
        </w:rPr>
        <w:fldChar w:fldCharType="end"/>
      </w:r>
    </w:p>
    <w:p w14:paraId="411ECDE0">
      <w:pPr>
        <w:pStyle w:val="16"/>
        <w:tabs>
          <w:tab w:val="right" w:leader="dot" w:pos="9071"/>
        </w:tabs>
      </w:pPr>
      <w:r>
        <w:rPr>
          <w:rFonts w:hint="eastAsia" w:ascii="宋体" w:hAnsi="宋体" w:eastAsia="宋体" w:cs="宋体"/>
          <w:bCs/>
          <w:iCs/>
          <w:caps/>
          <w:color w:val="auto"/>
          <w:szCs w:val="36"/>
          <w:highlight w:val="none"/>
        </w:rPr>
        <w:fldChar w:fldCharType="begin"/>
      </w:r>
      <w:r>
        <w:rPr>
          <w:rFonts w:hint="eastAsia" w:ascii="宋体" w:hAnsi="宋体" w:eastAsia="宋体" w:cs="宋体"/>
          <w:bCs/>
          <w:iCs/>
          <w:caps/>
          <w:szCs w:val="36"/>
          <w:highlight w:val="none"/>
        </w:rPr>
        <w:instrText xml:space="preserve"> HYPERLINK \l _Toc14385 </w:instrText>
      </w:r>
      <w:r>
        <w:rPr>
          <w:rFonts w:hint="eastAsia" w:ascii="宋体" w:hAnsi="宋体" w:eastAsia="宋体" w:cs="宋体"/>
          <w:bCs/>
          <w:iCs/>
          <w:caps/>
          <w:szCs w:val="36"/>
          <w:highlight w:val="none"/>
        </w:rPr>
        <w:fldChar w:fldCharType="separate"/>
      </w:r>
      <w:r>
        <w:rPr>
          <w:rFonts w:hint="eastAsia" w:ascii="宋体" w:hAnsi="宋体" w:cs="宋体"/>
          <w:highlight w:val="none"/>
        </w:rPr>
        <w:t>第二章 供应商须知</w:t>
      </w:r>
      <w:r>
        <w:tab/>
      </w:r>
      <w:r>
        <w:fldChar w:fldCharType="begin"/>
      </w:r>
      <w:r>
        <w:instrText xml:space="preserve"> PAGEREF _Toc14385 \h </w:instrText>
      </w:r>
      <w:r>
        <w:fldChar w:fldCharType="separate"/>
      </w:r>
      <w:r>
        <w:t>4</w:t>
      </w:r>
      <w:r>
        <w:fldChar w:fldCharType="end"/>
      </w:r>
      <w:r>
        <w:rPr>
          <w:rFonts w:hint="eastAsia" w:ascii="宋体" w:hAnsi="宋体" w:eastAsia="宋体" w:cs="宋体"/>
          <w:bCs/>
          <w:iCs/>
          <w:caps/>
          <w:color w:val="auto"/>
          <w:szCs w:val="36"/>
          <w:highlight w:val="none"/>
        </w:rPr>
        <w:fldChar w:fldCharType="end"/>
      </w:r>
    </w:p>
    <w:p w14:paraId="544D668E">
      <w:pPr>
        <w:pStyle w:val="16"/>
        <w:tabs>
          <w:tab w:val="right" w:leader="dot" w:pos="9071"/>
        </w:tabs>
      </w:pPr>
      <w:r>
        <w:rPr>
          <w:rFonts w:hint="eastAsia" w:ascii="宋体" w:hAnsi="宋体" w:eastAsia="宋体" w:cs="宋体"/>
          <w:bCs/>
          <w:iCs/>
          <w:caps/>
          <w:color w:val="auto"/>
          <w:szCs w:val="36"/>
          <w:highlight w:val="none"/>
        </w:rPr>
        <w:fldChar w:fldCharType="begin"/>
      </w:r>
      <w:r>
        <w:rPr>
          <w:rFonts w:hint="eastAsia" w:ascii="宋体" w:hAnsi="宋体" w:eastAsia="宋体" w:cs="宋体"/>
          <w:bCs/>
          <w:iCs/>
          <w:caps/>
          <w:szCs w:val="36"/>
          <w:highlight w:val="none"/>
        </w:rPr>
        <w:instrText xml:space="preserve"> HYPERLINK \l _Toc25808 </w:instrText>
      </w:r>
      <w:r>
        <w:rPr>
          <w:rFonts w:hint="eastAsia" w:ascii="宋体" w:hAnsi="宋体" w:eastAsia="宋体" w:cs="宋体"/>
          <w:bCs/>
          <w:iCs/>
          <w:caps/>
          <w:szCs w:val="36"/>
          <w:highlight w:val="none"/>
        </w:rPr>
        <w:fldChar w:fldCharType="separate"/>
      </w:r>
      <w:r>
        <w:rPr>
          <w:rFonts w:hint="eastAsia" w:ascii="宋体" w:hAnsi="宋体" w:eastAsia="宋体" w:cs="宋体"/>
          <w:szCs w:val="36"/>
          <w:highlight w:val="none"/>
        </w:rPr>
        <w:t>第三章 评标办法（综合</w:t>
      </w:r>
      <w:r>
        <w:rPr>
          <w:rFonts w:hint="eastAsia" w:ascii="宋体" w:hAnsi="宋体" w:eastAsia="宋体" w:cs="宋体"/>
          <w:szCs w:val="36"/>
          <w:highlight w:val="none"/>
          <w:lang w:val="en-US" w:eastAsia="zh-CN"/>
        </w:rPr>
        <w:t>评估</w:t>
      </w:r>
      <w:r>
        <w:rPr>
          <w:rFonts w:hint="eastAsia" w:ascii="宋体" w:hAnsi="宋体" w:eastAsia="宋体" w:cs="宋体"/>
          <w:szCs w:val="36"/>
          <w:highlight w:val="none"/>
        </w:rPr>
        <w:t>法）</w:t>
      </w:r>
      <w:r>
        <w:tab/>
      </w:r>
      <w:r>
        <w:fldChar w:fldCharType="begin"/>
      </w:r>
      <w:r>
        <w:instrText xml:space="preserve"> PAGEREF _Toc25808 \h </w:instrText>
      </w:r>
      <w:r>
        <w:fldChar w:fldCharType="separate"/>
      </w:r>
      <w:r>
        <w:t>20</w:t>
      </w:r>
      <w:r>
        <w:fldChar w:fldCharType="end"/>
      </w:r>
      <w:r>
        <w:rPr>
          <w:rFonts w:hint="eastAsia" w:ascii="宋体" w:hAnsi="宋体" w:eastAsia="宋体" w:cs="宋体"/>
          <w:bCs/>
          <w:iCs/>
          <w:caps/>
          <w:color w:val="auto"/>
          <w:szCs w:val="36"/>
          <w:highlight w:val="none"/>
        </w:rPr>
        <w:fldChar w:fldCharType="end"/>
      </w:r>
    </w:p>
    <w:p w14:paraId="13EF95FA">
      <w:pPr>
        <w:pStyle w:val="16"/>
        <w:tabs>
          <w:tab w:val="right" w:leader="dot" w:pos="9071"/>
        </w:tabs>
      </w:pPr>
      <w:r>
        <w:rPr>
          <w:rFonts w:hint="eastAsia" w:ascii="宋体" w:hAnsi="宋体" w:eastAsia="宋体" w:cs="宋体"/>
          <w:bCs/>
          <w:iCs/>
          <w:caps/>
          <w:color w:val="auto"/>
          <w:szCs w:val="36"/>
          <w:highlight w:val="none"/>
        </w:rPr>
        <w:fldChar w:fldCharType="begin"/>
      </w:r>
      <w:r>
        <w:rPr>
          <w:rFonts w:hint="eastAsia" w:ascii="宋体" w:hAnsi="宋体" w:eastAsia="宋体" w:cs="宋体"/>
          <w:bCs/>
          <w:iCs/>
          <w:caps/>
          <w:szCs w:val="36"/>
          <w:highlight w:val="none"/>
        </w:rPr>
        <w:instrText xml:space="preserve"> HYPERLINK \l _Toc9680 </w:instrText>
      </w:r>
      <w:r>
        <w:rPr>
          <w:rFonts w:hint="eastAsia" w:ascii="宋体" w:hAnsi="宋体" w:eastAsia="宋体" w:cs="宋体"/>
          <w:bCs/>
          <w:iCs/>
          <w:caps/>
          <w:szCs w:val="36"/>
          <w:highlight w:val="none"/>
        </w:rPr>
        <w:fldChar w:fldCharType="separate"/>
      </w:r>
      <w:r>
        <w:rPr>
          <w:rFonts w:hint="eastAsia" w:ascii="宋体" w:hAnsi="宋体" w:cs="宋体"/>
          <w:highlight w:val="none"/>
        </w:rPr>
        <w:t>第四章 合同条款及格式</w:t>
      </w:r>
      <w:r>
        <w:tab/>
      </w:r>
      <w:r>
        <w:fldChar w:fldCharType="begin"/>
      </w:r>
      <w:r>
        <w:instrText xml:space="preserve"> PAGEREF _Toc9680 \h </w:instrText>
      </w:r>
      <w:r>
        <w:fldChar w:fldCharType="separate"/>
      </w:r>
      <w:r>
        <w:t>49</w:t>
      </w:r>
      <w:r>
        <w:fldChar w:fldCharType="end"/>
      </w:r>
      <w:r>
        <w:rPr>
          <w:rFonts w:hint="eastAsia" w:ascii="宋体" w:hAnsi="宋体" w:eastAsia="宋体" w:cs="宋体"/>
          <w:bCs/>
          <w:iCs/>
          <w:caps/>
          <w:color w:val="auto"/>
          <w:szCs w:val="36"/>
          <w:highlight w:val="none"/>
        </w:rPr>
        <w:fldChar w:fldCharType="end"/>
      </w:r>
    </w:p>
    <w:p w14:paraId="26FDFD3E">
      <w:pPr>
        <w:pStyle w:val="16"/>
        <w:tabs>
          <w:tab w:val="right" w:leader="dot" w:pos="9071"/>
        </w:tabs>
      </w:pPr>
      <w:r>
        <w:rPr>
          <w:rFonts w:hint="eastAsia" w:ascii="宋体" w:hAnsi="宋体" w:eastAsia="宋体" w:cs="宋体"/>
          <w:bCs/>
          <w:iCs/>
          <w:caps/>
          <w:color w:val="auto"/>
          <w:szCs w:val="36"/>
          <w:highlight w:val="none"/>
        </w:rPr>
        <w:fldChar w:fldCharType="begin"/>
      </w:r>
      <w:r>
        <w:rPr>
          <w:rFonts w:hint="eastAsia" w:ascii="宋体" w:hAnsi="宋体" w:eastAsia="宋体" w:cs="宋体"/>
          <w:bCs/>
          <w:iCs/>
          <w:caps/>
          <w:szCs w:val="36"/>
          <w:highlight w:val="none"/>
        </w:rPr>
        <w:instrText xml:space="preserve"> HYPERLINK \l _Toc25138 </w:instrText>
      </w:r>
      <w:r>
        <w:rPr>
          <w:rFonts w:hint="eastAsia" w:ascii="宋体" w:hAnsi="宋体" w:eastAsia="宋体" w:cs="宋体"/>
          <w:bCs/>
          <w:iCs/>
          <w:caps/>
          <w:szCs w:val="36"/>
          <w:highlight w:val="none"/>
        </w:rPr>
        <w:fldChar w:fldCharType="separate"/>
      </w:r>
      <w:r>
        <w:rPr>
          <w:rFonts w:hint="eastAsia" w:ascii="宋体" w:hAnsi="宋体" w:cs="宋体"/>
          <w:bCs/>
          <w:szCs w:val="44"/>
        </w:rPr>
        <w:t>第五章</w:t>
      </w:r>
      <w:r>
        <w:rPr>
          <w:rFonts w:hint="eastAsia" w:ascii="宋体" w:hAnsi="宋体" w:cs="宋体"/>
          <w:bCs/>
          <w:szCs w:val="44"/>
          <w:highlight w:val="none"/>
        </w:rPr>
        <w:t xml:space="preserve"> </w:t>
      </w:r>
      <w:r>
        <w:rPr>
          <w:rFonts w:hint="eastAsia" w:ascii="宋体" w:hAnsi="宋体" w:cs="宋体"/>
          <w:bCs/>
          <w:kern w:val="44"/>
          <w:szCs w:val="44"/>
          <w:highlight w:val="none"/>
          <w:lang w:val="en-US" w:eastAsia="zh-CN"/>
        </w:rPr>
        <w:t>采购</w:t>
      </w:r>
      <w:r>
        <w:rPr>
          <w:rFonts w:hint="eastAsia" w:ascii="宋体" w:hAnsi="宋体" w:cs="宋体"/>
          <w:bCs/>
          <w:kern w:val="44"/>
          <w:szCs w:val="44"/>
          <w:highlight w:val="none"/>
        </w:rPr>
        <w:t>需求</w:t>
      </w:r>
      <w:r>
        <w:tab/>
      </w:r>
      <w:r>
        <w:fldChar w:fldCharType="begin"/>
      </w:r>
      <w:r>
        <w:instrText xml:space="preserve"> PAGEREF _Toc25138 \h </w:instrText>
      </w:r>
      <w:r>
        <w:fldChar w:fldCharType="separate"/>
      </w:r>
      <w:r>
        <w:t>59</w:t>
      </w:r>
      <w:r>
        <w:fldChar w:fldCharType="end"/>
      </w:r>
      <w:r>
        <w:rPr>
          <w:rFonts w:hint="eastAsia" w:ascii="宋体" w:hAnsi="宋体" w:eastAsia="宋体" w:cs="宋体"/>
          <w:bCs/>
          <w:iCs/>
          <w:caps/>
          <w:color w:val="auto"/>
          <w:szCs w:val="36"/>
          <w:highlight w:val="none"/>
        </w:rPr>
        <w:fldChar w:fldCharType="end"/>
      </w:r>
    </w:p>
    <w:p w14:paraId="3BDE72EE">
      <w:pPr>
        <w:pStyle w:val="16"/>
        <w:tabs>
          <w:tab w:val="right" w:leader="dot" w:pos="9071"/>
        </w:tabs>
      </w:pPr>
      <w:r>
        <w:rPr>
          <w:rFonts w:hint="eastAsia" w:ascii="宋体" w:hAnsi="宋体" w:eastAsia="宋体" w:cs="宋体"/>
          <w:bCs/>
          <w:iCs/>
          <w:caps/>
          <w:color w:val="auto"/>
          <w:szCs w:val="36"/>
          <w:highlight w:val="none"/>
        </w:rPr>
        <w:fldChar w:fldCharType="begin"/>
      </w:r>
      <w:r>
        <w:rPr>
          <w:rFonts w:hint="eastAsia" w:ascii="宋体" w:hAnsi="宋体" w:eastAsia="宋体" w:cs="宋体"/>
          <w:bCs/>
          <w:iCs/>
          <w:caps/>
          <w:szCs w:val="36"/>
          <w:highlight w:val="none"/>
        </w:rPr>
        <w:instrText xml:space="preserve"> HYPERLINK \l _Toc21399 </w:instrText>
      </w:r>
      <w:r>
        <w:rPr>
          <w:rFonts w:hint="eastAsia" w:ascii="宋体" w:hAnsi="宋体" w:eastAsia="宋体" w:cs="宋体"/>
          <w:bCs/>
          <w:iCs/>
          <w:caps/>
          <w:szCs w:val="36"/>
          <w:highlight w:val="none"/>
        </w:rPr>
        <w:fldChar w:fldCharType="separate"/>
      </w:r>
      <w:r>
        <w:rPr>
          <w:rFonts w:hint="eastAsia" w:ascii="宋体" w:hAnsi="宋体" w:cs="宋体"/>
          <w:bCs/>
          <w:highlight w:val="none"/>
        </w:rPr>
        <w:t>第六章</w:t>
      </w:r>
      <w:r>
        <w:rPr>
          <w:rFonts w:hint="eastAsia" w:ascii="宋体" w:hAnsi="宋体" w:cs="宋体"/>
          <w:highlight w:val="none"/>
        </w:rPr>
        <w:t xml:space="preserve"> 响应文件格式</w:t>
      </w:r>
      <w:r>
        <w:tab/>
      </w:r>
      <w:r>
        <w:fldChar w:fldCharType="begin"/>
      </w:r>
      <w:r>
        <w:instrText xml:space="preserve"> PAGEREF _Toc21399 \h </w:instrText>
      </w:r>
      <w:r>
        <w:fldChar w:fldCharType="separate"/>
      </w:r>
      <w:r>
        <w:t>60</w:t>
      </w:r>
      <w:r>
        <w:fldChar w:fldCharType="end"/>
      </w:r>
      <w:r>
        <w:rPr>
          <w:rFonts w:hint="eastAsia" w:ascii="宋体" w:hAnsi="宋体" w:eastAsia="宋体" w:cs="宋体"/>
          <w:bCs/>
          <w:iCs/>
          <w:caps/>
          <w:color w:val="auto"/>
          <w:szCs w:val="36"/>
          <w:highlight w:val="none"/>
        </w:rPr>
        <w:fldChar w:fldCharType="end"/>
      </w:r>
    </w:p>
    <w:p w14:paraId="16D196AC">
      <w:pPr>
        <w:spacing w:line="600" w:lineRule="auto"/>
        <w:rPr>
          <w:rFonts w:hint="eastAsia" w:ascii="宋体" w:hAnsi="宋体" w:cs="宋体"/>
          <w:b/>
          <w:bCs/>
          <w:color w:val="auto"/>
          <w:kern w:val="44"/>
          <w:sz w:val="40"/>
          <w:szCs w:val="40"/>
          <w:highlight w:val="none"/>
        </w:rPr>
        <w:sectPr>
          <w:headerReference r:id="rId6" w:type="first"/>
          <w:footerReference r:id="rId8" w:type="first"/>
          <w:footerReference r:id="rId7" w:type="default"/>
          <w:pgSz w:w="11906" w:h="16838"/>
          <w:pgMar w:top="1361" w:right="1361" w:bottom="1361" w:left="1361" w:header="624" w:footer="1020" w:gutter="113"/>
          <w:pgNumType w:start="1"/>
          <w:cols w:space="720" w:num="1"/>
          <w:titlePg/>
          <w:docGrid w:type="lines" w:linePitch="316" w:charSpace="0"/>
        </w:sectPr>
      </w:pPr>
      <w:r>
        <w:rPr>
          <w:rFonts w:hint="eastAsia" w:ascii="宋体" w:hAnsi="宋体" w:eastAsia="宋体" w:cs="宋体"/>
          <w:bCs/>
          <w:iCs/>
          <w:caps/>
          <w:color w:val="auto"/>
          <w:szCs w:val="36"/>
          <w:highlight w:val="none"/>
        </w:rPr>
        <w:fldChar w:fldCharType="end"/>
      </w:r>
      <w:bookmarkEnd w:id="4"/>
      <w:bookmarkEnd w:id="5"/>
      <w:bookmarkEnd w:id="6"/>
      <w:bookmarkStart w:id="7" w:name="_Toc25653"/>
      <w:bookmarkStart w:id="8" w:name="_Toc152045527"/>
      <w:bookmarkStart w:id="9" w:name="_Toc152042303"/>
      <w:bookmarkStart w:id="10" w:name="_Toc247085687"/>
      <w:bookmarkStart w:id="11" w:name="_Toc246996173"/>
      <w:bookmarkStart w:id="12" w:name="_Toc144974495"/>
      <w:bookmarkStart w:id="13" w:name="_Toc246996916"/>
      <w:bookmarkStart w:id="14" w:name="_Toc179632544"/>
    </w:p>
    <w:p w14:paraId="37455962">
      <w:pPr>
        <w:spacing w:line="600" w:lineRule="auto"/>
        <w:jc w:val="center"/>
        <w:rPr>
          <w:rFonts w:hint="eastAsia" w:ascii="宋体" w:hAnsi="宋体" w:cs="宋体"/>
          <w:color w:val="auto"/>
          <w:sz w:val="44"/>
          <w:szCs w:val="44"/>
          <w:highlight w:val="none"/>
        </w:rPr>
      </w:pPr>
      <w:r>
        <w:rPr>
          <w:rFonts w:hint="eastAsia" w:ascii="宋体" w:hAnsi="宋体" w:cs="宋体"/>
          <w:b/>
          <w:bCs/>
          <w:color w:val="auto"/>
          <w:kern w:val="44"/>
          <w:sz w:val="44"/>
          <w:szCs w:val="44"/>
          <w:highlight w:val="none"/>
        </w:rPr>
        <w:t>第一章 竞争性磋商公告</w:t>
      </w:r>
      <w:bookmarkEnd w:id="7"/>
    </w:p>
    <w:p w14:paraId="1A298257">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3207DBD5">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 w:val="21"/>
          <w:szCs w:val="21"/>
          <w:highlight w:val="none"/>
          <w:u w:val="none"/>
        </w:rPr>
      </w:pPr>
      <w:r>
        <w:rPr>
          <w:rFonts w:hint="eastAsia" w:ascii="宋体" w:hAnsi="宋体" w:cs="宋体"/>
          <w:bCs/>
          <w:color w:val="auto"/>
          <w:szCs w:val="21"/>
          <w:highlight w:val="none"/>
          <w:lang w:eastAsia="zh-CN"/>
        </w:rPr>
        <w:t>前郭县医院DR维保服务项目</w:t>
      </w:r>
      <w:r>
        <w:rPr>
          <w:rFonts w:hint="eastAsia" w:ascii="宋体" w:hAnsi="宋体" w:eastAsia="宋体" w:cs="宋体"/>
          <w:color w:val="auto"/>
          <w:sz w:val="21"/>
          <w:szCs w:val="21"/>
          <w:highlight w:val="none"/>
          <w:u w:val="none"/>
        </w:rPr>
        <w:t>的潜在供应商应在</w:t>
      </w:r>
      <w:r>
        <w:rPr>
          <w:rFonts w:hint="eastAsia" w:ascii="宋体" w:hAnsi="宋体" w:eastAsia="宋体" w:cs="宋体"/>
          <w:i w:val="0"/>
          <w:iCs w:val="0"/>
          <w:color w:val="auto"/>
          <w:sz w:val="21"/>
          <w:szCs w:val="21"/>
          <w:highlight w:val="none"/>
          <w:u w:val="none"/>
        </w:rPr>
        <w:t>政府采购云平台（网址：http://www.zcygov.cn）获取采购文件（操作路径：登录“政采云”平台-项目采购-获取采购文件-找到本项目-点击“申请获取采购文件”）</w:t>
      </w:r>
      <w:r>
        <w:rPr>
          <w:rFonts w:hint="eastAsia" w:ascii="宋体" w:hAnsi="宋体" w:eastAsia="宋体" w:cs="宋体"/>
          <w:color w:val="auto"/>
          <w:sz w:val="21"/>
          <w:szCs w:val="21"/>
          <w:highlight w:val="none"/>
          <w:u w:val="none"/>
        </w:rPr>
        <w:t>，并于202</w:t>
      </w:r>
      <w:r>
        <w:rPr>
          <w:rFonts w:hint="eastAsia" w:ascii="宋体" w:hAnsi="宋体" w:cs="宋体"/>
          <w:color w:val="auto"/>
          <w:sz w:val="21"/>
          <w:szCs w:val="21"/>
          <w:highlight w:val="none"/>
          <w:u w:val="none"/>
          <w:lang w:val="en-US" w:eastAsia="zh-CN"/>
        </w:rPr>
        <w:t>6</w:t>
      </w:r>
      <w:r>
        <w:rPr>
          <w:rFonts w:hint="eastAsia" w:ascii="宋体" w:hAnsi="宋体" w:eastAsia="宋体" w:cs="宋体"/>
          <w:bCs/>
          <w:color w:val="auto"/>
          <w:sz w:val="21"/>
          <w:szCs w:val="21"/>
          <w:highlight w:val="none"/>
          <w:u w:val="none"/>
        </w:rPr>
        <w:t>年</w:t>
      </w:r>
      <w:r>
        <w:rPr>
          <w:rFonts w:hint="eastAsia" w:ascii="宋体" w:hAnsi="宋体" w:cs="宋体"/>
          <w:bCs/>
          <w:color w:val="auto"/>
          <w:sz w:val="21"/>
          <w:szCs w:val="21"/>
          <w:highlight w:val="none"/>
          <w:u w:val="none"/>
          <w:lang w:val="en-US" w:eastAsia="zh-CN"/>
        </w:rPr>
        <w:t>6</w:t>
      </w:r>
      <w:r>
        <w:rPr>
          <w:rFonts w:hint="eastAsia" w:ascii="宋体" w:hAnsi="宋体" w:eastAsia="宋体" w:cs="宋体"/>
          <w:bCs/>
          <w:color w:val="auto"/>
          <w:sz w:val="21"/>
          <w:szCs w:val="21"/>
          <w:highlight w:val="none"/>
          <w:u w:val="none"/>
        </w:rPr>
        <w:t>月</w:t>
      </w:r>
      <w:r>
        <w:rPr>
          <w:rFonts w:hint="eastAsia" w:ascii="宋体" w:hAnsi="宋体" w:cs="宋体"/>
          <w:bCs/>
          <w:color w:val="auto"/>
          <w:sz w:val="21"/>
          <w:szCs w:val="21"/>
          <w:highlight w:val="none"/>
          <w:u w:val="none"/>
          <w:lang w:val="en-US" w:eastAsia="zh-CN"/>
        </w:rPr>
        <w:t>9</w:t>
      </w:r>
      <w:r>
        <w:rPr>
          <w:rFonts w:hint="eastAsia" w:ascii="宋体" w:hAnsi="宋体" w:eastAsia="宋体" w:cs="宋体"/>
          <w:bCs/>
          <w:color w:val="auto"/>
          <w:sz w:val="21"/>
          <w:szCs w:val="21"/>
          <w:highlight w:val="none"/>
          <w:u w:val="none"/>
        </w:rPr>
        <w:t>日</w:t>
      </w:r>
      <w:r>
        <w:rPr>
          <w:rFonts w:hint="eastAsia" w:ascii="宋体" w:hAnsi="宋体" w:cs="宋体"/>
          <w:bCs/>
          <w:color w:val="auto"/>
          <w:sz w:val="21"/>
          <w:szCs w:val="21"/>
          <w:highlight w:val="none"/>
          <w:u w:val="none"/>
          <w:lang w:val="en-US" w:eastAsia="zh-CN"/>
        </w:rPr>
        <w:t>13</w:t>
      </w:r>
      <w:r>
        <w:rPr>
          <w:rFonts w:hint="eastAsia" w:ascii="宋体" w:hAnsi="宋体" w:eastAsia="宋体" w:cs="宋体"/>
          <w:bCs/>
          <w:color w:val="auto"/>
          <w:sz w:val="21"/>
          <w:szCs w:val="21"/>
          <w:highlight w:val="none"/>
          <w:u w:val="none"/>
          <w:lang w:val="en-US" w:eastAsia="zh-CN"/>
        </w:rPr>
        <w:t>时</w:t>
      </w:r>
      <w:r>
        <w:rPr>
          <w:rFonts w:hint="eastAsia" w:ascii="宋体" w:hAnsi="宋体" w:cs="宋体"/>
          <w:bCs/>
          <w:color w:val="auto"/>
          <w:sz w:val="21"/>
          <w:szCs w:val="21"/>
          <w:highlight w:val="none"/>
          <w:u w:val="none"/>
          <w:lang w:val="en-US" w:eastAsia="zh-CN"/>
        </w:rPr>
        <w:t>30</w:t>
      </w:r>
      <w:r>
        <w:rPr>
          <w:rFonts w:hint="eastAsia" w:ascii="宋体" w:hAnsi="宋体" w:eastAsia="宋体" w:cs="宋体"/>
          <w:bCs/>
          <w:color w:val="auto"/>
          <w:sz w:val="21"/>
          <w:szCs w:val="21"/>
          <w:highlight w:val="none"/>
          <w:u w:val="none"/>
        </w:rPr>
        <w:t>分（北京时间）前提交响应文件</w:t>
      </w:r>
      <w:r>
        <w:rPr>
          <w:rFonts w:hint="eastAsia" w:ascii="宋体" w:hAnsi="宋体" w:eastAsia="宋体" w:cs="宋体"/>
          <w:color w:val="auto"/>
          <w:sz w:val="21"/>
          <w:szCs w:val="21"/>
          <w:highlight w:val="none"/>
          <w:u w:val="none"/>
        </w:rPr>
        <w:t>。</w:t>
      </w:r>
    </w:p>
    <w:p w14:paraId="69AB0D39">
      <w:pPr>
        <w:pStyle w:val="22"/>
        <w:spacing w:before="0" w:beforeAutospacing="0" w:after="0" w:afterAutospacing="0" w:line="360" w:lineRule="auto"/>
        <w:jc w:val="both"/>
        <w:rPr>
          <w:rFonts w:hint="default"/>
          <w:color w:val="auto"/>
          <w:sz w:val="21"/>
          <w:szCs w:val="21"/>
          <w:highlight w:val="none"/>
        </w:rPr>
      </w:pPr>
      <w:r>
        <w:rPr>
          <w:b/>
          <w:color w:val="auto"/>
          <w:sz w:val="21"/>
          <w:szCs w:val="21"/>
          <w:highlight w:val="none"/>
          <w:shd w:val="clear" w:color="auto" w:fill="FFFFFF"/>
        </w:rPr>
        <w:t>一、项目基本情况</w:t>
      </w:r>
    </w:p>
    <w:p w14:paraId="168A40AC">
      <w:pPr>
        <w:spacing w:line="360" w:lineRule="auto"/>
        <w:ind w:firstLine="420" w:firstLineChars="200"/>
        <w:rPr>
          <w:rFonts w:hint="eastAsia" w:ascii="宋体" w:hAnsi="宋体" w:cs="宋体"/>
          <w:bCs/>
          <w:color w:val="auto"/>
          <w:szCs w:val="21"/>
          <w:highlight w:val="none"/>
          <w:lang w:eastAsia="zh-CN"/>
        </w:rPr>
      </w:pPr>
      <w:r>
        <w:rPr>
          <w:rFonts w:hint="eastAsia" w:ascii="宋体" w:hAnsi="宋体" w:cs="宋体"/>
          <w:bCs/>
          <w:color w:val="auto"/>
          <w:szCs w:val="21"/>
          <w:highlight w:val="none"/>
          <w:lang w:eastAsia="zh-CN"/>
        </w:rPr>
        <w:t>项目编号：</w:t>
      </w:r>
      <w:r>
        <w:rPr>
          <w:rFonts w:hint="eastAsia" w:ascii="宋体" w:hAnsi="宋体" w:cs="宋体"/>
          <w:bCs/>
          <w:color w:val="auto"/>
          <w:szCs w:val="21"/>
          <w:highlight w:val="none"/>
          <w:lang w:val="en-US" w:eastAsia="zh-CN"/>
        </w:rPr>
        <w:t>采购计划-[2026]-00102号-RHJL-FW-2026-0527</w:t>
      </w:r>
      <w:r>
        <w:rPr>
          <w:rFonts w:hint="eastAsia" w:ascii="宋体" w:hAnsi="宋体" w:cs="宋体"/>
          <w:bCs/>
          <w:color w:val="auto"/>
          <w:szCs w:val="21"/>
          <w:highlight w:val="none"/>
          <w:lang w:eastAsia="zh-CN"/>
        </w:rPr>
        <w:t>；</w:t>
      </w:r>
    </w:p>
    <w:p w14:paraId="0F708102">
      <w:pPr>
        <w:spacing w:line="360" w:lineRule="auto"/>
        <w:ind w:firstLine="420" w:firstLineChars="200"/>
        <w:rPr>
          <w:rFonts w:ascii="宋体" w:hAnsi="宋体" w:cs="宋体"/>
          <w:bCs/>
          <w:color w:val="auto"/>
          <w:szCs w:val="21"/>
          <w:highlight w:val="none"/>
        </w:rPr>
      </w:pPr>
      <w:r>
        <w:rPr>
          <w:rFonts w:hint="eastAsia" w:ascii="宋体" w:hAnsi="宋体" w:cs="宋体"/>
          <w:bCs/>
          <w:color w:val="auto"/>
          <w:szCs w:val="21"/>
          <w:highlight w:val="none"/>
        </w:rPr>
        <w:t>项目名称：</w:t>
      </w:r>
      <w:r>
        <w:rPr>
          <w:rFonts w:hint="eastAsia" w:ascii="宋体" w:hAnsi="宋体" w:cs="宋体"/>
          <w:bCs/>
          <w:color w:val="auto"/>
          <w:szCs w:val="21"/>
          <w:highlight w:val="none"/>
          <w:lang w:eastAsia="zh-CN"/>
        </w:rPr>
        <w:t>前郭县医院DR维保服务项目</w:t>
      </w:r>
      <w:r>
        <w:rPr>
          <w:rFonts w:hint="eastAsia" w:ascii="宋体" w:hAnsi="宋体" w:cs="宋体"/>
          <w:bCs/>
          <w:color w:val="auto"/>
          <w:szCs w:val="21"/>
          <w:highlight w:val="none"/>
        </w:rPr>
        <w:t xml:space="preserve">         </w:t>
      </w:r>
    </w:p>
    <w:p w14:paraId="43504F00">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采购方式：竞争性磋商</w:t>
      </w:r>
    </w:p>
    <w:p w14:paraId="2D03EB5F">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预算金额：</w:t>
      </w:r>
      <w:r>
        <w:rPr>
          <w:rFonts w:hint="eastAsia" w:ascii="宋体" w:hAnsi="宋体" w:cs="宋体"/>
          <w:bCs/>
          <w:color w:val="auto"/>
          <w:szCs w:val="21"/>
          <w:highlight w:val="none"/>
          <w:lang w:val="en-US" w:eastAsia="zh-CN"/>
        </w:rPr>
        <w:t>525000.00</w:t>
      </w:r>
      <w:r>
        <w:rPr>
          <w:rFonts w:hint="eastAsia" w:ascii="宋体" w:hAnsi="宋体" w:eastAsia="宋体" w:cs="宋体"/>
          <w:bCs/>
          <w:color w:val="auto"/>
          <w:szCs w:val="21"/>
          <w:highlight w:val="none"/>
        </w:rPr>
        <w:t>元</w:t>
      </w:r>
    </w:p>
    <w:p w14:paraId="379F59F2">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最高限价：</w:t>
      </w:r>
      <w:r>
        <w:rPr>
          <w:rFonts w:hint="eastAsia" w:ascii="宋体" w:hAnsi="宋体" w:cs="宋体"/>
          <w:bCs/>
          <w:color w:val="auto"/>
          <w:szCs w:val="21"/>
          <w:highlight w:val="none"/>
          <w:lang w:val="en-US" w:eastAsia="zh-CN"/>
        </w:rPr>
        <w:t>525000.00</w:t>
      </w:r>
      <w:r>
        <w:rPr>
          <w:rFonts w:hint="eastAsia" w:ascii="宋体" w:hAnsi="宋体" w:eastAsia="宋体" w:cs="宋体"/>
          <w:bCs/>
          <w:color w:val="auto"/>
          <w:szCs w:val="21"/>
          <w:highlight w:val="none"/>
        </w:rPr>
        <w:t>元</w:t>
      </w:r>
    </w:p>
    <w:p w14:paraId="6A83B9A5">
      <w:pPr>
        <w:spacing w:line="360" w:lineRule="auto"/>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采购需求：DR维保，详细内容见“第五章 采购需求”。</w:t>
      </w:r>
    </w:p>
    <w:p w14:paraId="21DECAC7">
      <w:pPr>
        <w:spacing w:line="360" w:lineRule="auto"/>
        <w:ind w:firstLine="420" w:firstLineChars="200"/>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rPr>
        <w:t>服务地点</w:t>
      </w:r>
      <w:r>
        <w:rPr>
          <w:rFonts w:hint="eastAsia" w:ascii="宋体" w:hAnsi="宋体" w:eastAsia="宋体" w:cs="宋体"/>
          <w:bCs/>
          <w:color w:val="auto"/>
          <w:szCs w:val="21"/>
          <w:highlight w:val="none"/>
          <w:lang w:eastAsia="zh-CN"/>
        </w:rPr>
        <w:t>：</w:t>
      </w:r>
      <w:r>
        <w:rPr>
          <w:rFonts w:hint="eastAsia" w:ascii="宋体" w:hAnsi="宋体" w:cs="宋体"/>
          <w:sz w:val="21"/>
          <w:szCs w:val="21"/>
          <w:highlight w:val="none"/>
          <w:lang w:val="en-US" w:eastAsia="zh-CN"/>
        </w:rPr>
        <w:t>甲方指定地点</w:t>
      </w:r>
      <w:r>
        <w:rPr>
          <w:rFonts w:hint="eastAsia" w:ascii="宋体" w:hAnsi="宋体" w:eastAsia="宋体" w:cs="宋体"/>
          <w:bCs/>
          <w:color w:val="auto"/>
          <w:szCs w:val="21"/>
          <w:highlight w:val="none"/>
          <w:lang w:eastAsia="zh-CN"/>
        </w:rPr>
        <w:t>；</w:t>
      </w:r>
    </w:p>
    <w:p w14:paraId="06743444">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服务标准：</w:t>
      </w:r>
      <w:r>
        <w:rPr>
          <w:rFonts w:hint="eastAsia" w:ascii="宋体" w:hAnsi="宋体" w:cs="宋体"/>
          <w:color w:val="auto"/>
          <w:szCs w:val="21"/>
          <w:highlight w:val="none"/>
          <w:lang w:eastAsia="zh-CN"/>
        </w:rPr>
        <w:t>符合国家及行业合格标准，提供优质服务</w:t>
      </w:r>
      <w:r>
        <w:rPr>
          <w:rFonts w:hint="eastAsia" w:ascii="宋体" w:hAnsi="宋体" w:cs="宋体"/>
          <w:color w:val="auto"/>
          <w:szCs w:val="21"/>
          <w:highlight w:val="none"/>
        </w:rPr>
        <w:t>；</w:t>
      </w:r>
    </w:p>
    <w:p w14:paraId="2FED6BC0">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lang w:eastAsia="zh-CN"/>
        </w:rPr>
        <w:t>合同履行期限（服务期限）</w:t>
      </w:r>
      <w:r>
        <w:rPr>
          <w:rFonts w:hint="eastAsia" w:ascii="宋体" w:hAnsi="宋体" w:eastAsia="宋体" w:cs="宋体"/>
          <w:color w:val="auto"/>
          <w:szCs w:val="21"/>
          <w:highlight w:val="none"/>
          <w:lang w:eastAsia="zh-CN"/>
        </w:rPr>
        <w:t>：</w:t>
      </w:r>
      <w:r>
        <w:rPr>
          <w:rFonts w:hint="eastAsia" w:ascii="宋体" w:hAnsi="宋体" w:cs="宋体"/>
          <w:color w:val="auto"/>
          <w:szCs w:val="21"/>
          <w:highlight w:val="none"/>
          <w:lang w:val="en-US" w:eastAsia="zh-CN"/>
        </w:rPr>
        <w:t>3年</w:t>
      </w:r>
      <w:r>
        <w:rPr>
          <w:rFonts w:hint="eastAsia" w:ascii="宋体" w:hAnsi="宋体" w:eastAsia="宋体" w:cs="宋体"/>
          <w:color w:val="auto"/>
          <w:szCs w:val="21"/>
          <w:highlight w:val="none"/>
          <w:lang w:eastAsia="zh-CN"/>
        </w:rPr>
        <w:t>；</w:t>
      </w:r>
    </w:p>
    <w:p w14:paraId="3FBFC5C0">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本项目不接受联合体</w:t>
      </w:r>
      <w:r>
        <w:rPr>
          <w:rFonts w:hint="eastAsia" w:ascii="宋体" w:hAnsi="宋体" w:cs="宋体"/>
          <w:bCs/>
          <w:color w:val="auto"/>
          <w:szCs w:val="21"/>
          <w:highlight w:val="none"/>
          <w:lang w:eastAsia="zh-CN"/>
        </w:rPr>
        <w:t>。</w:t>
      </w:r>
    </w:p>
    <w:p w14:paraId="033D376C">
      <w:pPr>
        <w:pStyle w:val="22"/>
        <w:spacing w:before="0" w:beforeAutospacing="0" w:after="0" w:afterAutospacing="0" w:line="360" w:lineRule="auto"/>
        <w:jc w:val="both"/>
        <w:rPr>
          <w:rFonts w:hint="default"/>
          <w:color w:val="auto"/>
          <w:sz w:val="21"/>
          <w:szCs w:val="21"/>
          <w:highlight w:val="none"/>
        </w:rPr>
      </w:pPr>
      <w:r>
        <w:rPr>
          <w:b/>
          <w:color w:val="auto"/>
          <w:sz w:val="21"/>
          <w:szCs w:val="21"/>
          <w:highlight w:val="none"/>
          <w:shd w:val="clear" w:color="auto" w:fill="FFFFFF"/>
        </w:rPr>
        <w:t>二、申请人的资格要求：</w:t>
      </w:r>
    </w:p>
    <w:p w14:paraId="403D1B14">
      <w:pPr>
        <w:spacing w:line="360" w:lineRule="auto"/>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1.满足《中华人民共和国政府采购法》第二十二条规定；</w:t>
      </w:r>
    </w:p>
    <w:p w14:paraId="3E1E084F">
      <w:pPr>
        <w:spacing w:line="360" w:lineRule="auto"/>
        <w:ind w:firstLine="420" w:firstLineChars="200"/>
        <w:rPr>
          <w:rFonts w:hint="eastAsia" w:ascii="宋体" w:hAnsi="宋体" w:eastAsia="宋体" w:cs="宋体"/>
          <w:bCs/>
          <w:color w:val="FF0000"/>
          <w:szCs w:val="21"/>
          <w:highlight w:val="none"/>
          <w:lang w:val="en-US" w:eastAsia="zh-CN"/>
        </w:rPr>
      </w:pPr>
      <w:r>
        <w:rPr>
          <w:rFonts w:hint="eastAsia" w:ascii="宋体" w:hAnsi="宋体" w:eastAsia="宋体" w:cs="宋体"/>
          <w:bCs/>
          <w:color w:val="auto"/>
          <w:szCs w:val="21"/>
          <w:highlight w:val="none"/>
          <w:lang w:val="en-US" w:eastAsia="zh-CN"/>
        </w:rPr>
        <w:t>2.落实政府采购政策需满足的资格要求：</w:t>
      </w:r>
      <w:r>
        <w:rPr>
          <w:rFonts w:hint="eastAsia" w:ascii="宋体" w:hAnsi="宋体" w:eastAsia="宋体" w:cs="宋体"/>
          <w:snapToGrid w:val="0"/>
          <w:color w:val="auto"/>
          <w:kern w:val="0"/>
          <w:sz w:val="21"/>
          <w:szCs w:val="21"/>
          <w:highlight w:val="none"/>
          <w:lang w:eastAsia="zh-CN"/>
        </w:rPr>
        <w:t>本项目为专门面向中小企业，本项目采购标的对应的企业划分标准所属行业为</w:t>
      </w:r>
      <w:r>
        <w:rPr>
          <w:rFonts w:hint="eastAsia" w:ascii="宋体" w:hAnsi="宋体" w:eastAsia="宋体" w:cs="宋体"/>
          <w:sz w:val="21"/>
          <w:szCs w:val="21"/>
          <w:highlight w:val="none"/>
          <w:lang w:val="en-US" w:eastAsia="zh-CN"/>
        </w:rPr>
        <w:t>其他未列明行业</w:t>
      </w:r>
      <w:r>
        <w:rPr>
          <w:rFonts w:hint="eastAsia" w:ascii="宋体" w:hAnsi="宋体" w:eastAsia="宋体" w:cs="宋体"/>
          <w:snapToGrid w:val="0"/>
          <w:color w:val="auto"/>
          <w:kern w:val="0"/>
          <w:sz w:val="21"/>
          <w:szCs w:val="21"/>
          <w:highlight w:val="none"/>
          <w:lang w:eastAsia="zh-CN"/>
        </w:rPr>
        <w:t>。</w:t>
      </w:r>
    </w:p>
    <w:p w14:paraId="24CB3121">
      <w:pPr>
        <w:spacing w:line="360" w:lineRule="auto"/>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3.本项目的特定资格要求：</w:t>
      </w:r>
    </w:p>
    <w:p w14:paraId="398D6206">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sz w:val="21"/>
          <w:szCs w:val="21"/>
          <w:highlight w:val="none"/>
          <w:lang w:val="en-US" w:eastAsia="zh-CN"/>
        </w:rPr>
        <w:t>须</w:t>
      </w:r>
      <w:r>
        <w:rPr>
          <w:rFonts w:hint="eastAsia" w:ascii="宋体" w:hAnsi="宋体" w:eastAsia="宋体" w:cs="宋体"/>
          <w:sz w:val="21"/>
          <w:szCs w:val="21"/>
          <w:highlight w:val="none"/>
          <w:lang w:val="zh-CN" w:eastAsia="zh-CN"/>
        </w:rPr>
        <w:t>具有独立法人资格</w:t>
      </w:r>
      <w:r>
        <w:rPr>
          <w:rFonts w:hint="eastAsia" w:ascii="宋体" w:hAnsi="宋体" w:eastAsia="宋体" w:cs="宋体"/>
          <w:sz w:val="21"/>
          <w:szCs w:val="21"/>
          <w:highlight w:val="none"/>
          <w:lang w:val="en-US" w:eastAsia="zh-CN"/>
        </w:rPr>
        <w:t>或其他组织</w:t>
      </w: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en-US" w:eastAsia="zh-CN"/>
        </w:rPr>
        <w:t>具备有效的营业执照，具备能够履行合同所必需的设备和专业技术能力</w:t>
      </w:r>
      <w:r>
        <w:rPr>
          <w:rFonts w:hint="eastAsia" w:ascii="宋体" w:hAnsi="宋体" w:cs="宋体"/>
          <w:sz w:val="21"/>
          <w:szCs w:val="21"/>
          <w:highlight w:val="none"/>
          <w:lang w:val="en-US" w:eastAsia="zh-CN"/>
        </w:rPr>
        <w:t>；</w:t>
      </w:r>
    </w:p>
    <w:p w14:paraId="6C13B5EA">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具有有效的基本户的银行开户许可证或基本存款账户信息</w:t>
      </w:r>
      <w:r>
        <w:rPr>
          <w:rFonts w:hint="eastAsia" w:ascii="宋体" w:hAnsi="宋体" w:cs="宋体"/>
          <w:color w:val="auto"/>
          <w:sz w:val="21"/>
          <w:szCs w:val="21"/>
          <w:highlight w:val="none"/>
          <w:lang w:val="en-US" w:eastAsia="zh-CN"/>
        </w:rPr>
        <w:t>；</w:t>
      </w:r>
    </w:p>
    <w:p w14:paraId="0C2DB766">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具有近一年</w:t>
      </w:r>
      <w:r>
        <w:rPr>
          <w:rFonts w:hint="eastAsia" w:ascii="宋体" w:hAnsi="宋体" w:eastAsia="宋体" w:cs="宋体"/>
          <w:color w:val="auto"/>
          <w:sz w:val="21"/>
          <w:szCs w:val="21"/>
          <w:highlight w:val="none"/>
          <w:lang w:val="en-US" w:eastAsia="zh-CN"/>
        </w:rPr>
        <w:t>内任意一个月</w:t>
      </w:r>
      <w:r>
        <w:rPr>
          <w:rFonts w:hint="eastAsia" w:ascii="宋体" w:hAnsi="宋体" w:eastAsia="宋体" w:cs="宋体"/>
          <w:color w:val="auto"/>
          <w:sz w:val="21"/>
          <w:szCs w:val="21"/>
          <w:highlight w:val="none"/>
        </w:rPr>
        <w:t>缴税凭证或完税凭证（依法免税的，应提供相应文件证明其依法免税）；</w:t>
      </w:r>
    </w:p>
    <w:p w14:paraId="76313A98">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具有近一年</w:t>
      </w:r>
      <w:r>
        <w:rPr>
          <w:rFonts w:hint="eastAsia" w:ascii="宋体" w:hAnsi="宋体" w:eastAsia="宋体" w:cs="宋体"/>
          <w:color w:val="auto"/>
          <w:sz w:val="21"/>
          <w:szCs w:val="21"/>
          <w:highlight w:val="none"/>
          <w:lang w:val="en-US" w:eastAsia="zh-CN"/>
        </w:rPr>
        <w:t>内</w:t>
      </w:r>
      <w:r>
        <w:rPr>
          <w:rFonts w:hint="eastAsia" w:ascii="宋体" w:hAnsi="宋体" w:eastAsia="宋体" w:cs="宋体"/>
          <w:color w:val="auto"/>
          <w:sz w:val="21"/>
          <w:szCs w:val="21"/>
          <w:highlight w:val="none"/>
        </w:rPr>
        <w:t>任意一个月用人单位社会保险凭证或参保证明（依法不需要缴纳社会保险的，应提供相应文件证明其依法不需要缴纳社会保险）；</w:t>
      </w:r>
    </w:p>
    <w:p w14:paraId="4D913B6F">
      <w:pPr>
        <w:spacing w:line="360" w:lineRule="auto"/>
        <w:ind w:firstLine="420" w:firstLineChars="20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5供应商具有提交响应文件截止时间前三个月（2026年4月-2026年6月）内基本开户银行出具的资信证明或经会计师事务所审计的2025年度财务审计报告或2025年度供应商内部的财务报表（至少应包含资产负债表、现金流量表、利润表）</w:t>
      </w:r>
      <w:r>
        <w:rPr>
          <w:rFonts w:hint="eastAsia" w:ascii="宋体" w:hAnsi="宋体" w:eastAsia="宋体" w:cs="宋体"/>
          <w:snapToGrid w:val="0"/>
          <w:color w:val="auto"/>
          <w:kern w:val="0"/>
          <w:sz w:val="21"/>
          <w:szCs w:val="21"/>
          <w:highlight w:val="none"/>
          <w:lang w:val="en-US" w:eastAsia="zh-CN"/>
        </w:rPr>
        <w:t>；</w:t>
      </w:r>
    </w:p>
    <w:p w14:paraId="47D371E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zh-CN" w:eastAsia="zh-CN"/>
        </w:rPr>
        <w:t>信誉要求：</w:t>
      </w:r>
      <w:r>
        <w:rPr>
          <w:rFonts w:hint="eastAsia" w:ascii="宋体" w:hAnsi="宋体" w:eastAsia="宋体" w:cs="宋体"/>
          <w:color w:val="auto"/>
          <w:sz w:val="21"/>
          <w:szCs w:val="21"/>
          <w:highlight w:val="none"/>
          <w:lang w:val="en-US" w:eastAsia="zh-CN"/>
        </w:rPr>
        <w:t>①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②参加政府采购活动前三年内，在经营活动中没有重大违法记录；③拒绝列入政府取消投标资格记录期间的企业或个人磋商。</w:t>
      </w:r>
    </w:p>
    <w:p w14:paraId="35386BC1">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cs="宋体"/>
          <w:sz w:val="21"/>
          <w:szCs w:val="21"/>
          <w:highlight w:val="none"/>
          <w:lang w:val="en-US" w:eastAsia="zh-CN"/>
        </w:rPr>
        <w:t>7</w:t>
      </w:r>
      <w:r>
        <w:rPr>
          <w:rFonts w:hint="eastAsia" w:ascii="宋体" w:hAnsi="宋体" w:eastAsia="宋体" w:cs="宋体"/>
          <w:color w:val="auto"/>
          <w:sz w:val="21"/>
          <w:szCs w:val="21"/>
          <w:highlight w:val="none"/>
          <w:lang w:val="en-US" w:eastAsia="zh-CN"/>
        </w:rPr>
        <w:t>单位负责人为同一人或者存在控股、管理关系的不同单位，不得参加同一标段磋商或者未划分标段的同一采购项目磋商。</w:t>
      </w:r>
    </w:p>
    <w:p w14:paraId="06523349">
      <w:pPr>
        <w:pStyle w:val="22"/>
        <w:spacing w:before="0" w:beforeAutospacing="0" w:after="0" w:afterAutospacing="0" w:line="360" w:lineRule="auto"/>
        <w:jc w:val="both"/>
        <w:rPr>
          <w:rFonts w:hint="default"/>
          <w:b/>
          <w:color w:val="auto"/>
          <w:sz w:val="21"/>
          <w:szCs w:val="21"/>
          <w:highlight w:val="none"/>
          <w:shd w:val="clear" w:color="auto" w:fill="FFFFFF"/>
        </w:rPr>
      </w:pPr>
      <w:r>
        <w:rPr>
          <w:b/>
          <w:color w:val="auto"/>
          <w:sz w:val="21"/>
          <w:szCs w:val="21"/>
          <w:highlight w:val="none"/>
          <w:shd w:val="clear" w:color="auto" w:fill="FFFFFF"/>
        </w:rPr>
        <w:t>三、采购文件的获取</w:t>
      </w:r>
    </w:p>
    <w:p w14:paraId="2681D8CA">
      <w:pPr>
        <w:spacing w:line="360" w:lineRule="auto"/>
        <w:ind w:firstLine="420" w:firstLineChars="200"/>
        <w:rPr>
          <w:rFonts w:hint="eastAsia" w:ascii="宋体" w:hAnsi="宋体" w:eastAsia="宋体" w:cs="宋体"/>
          <w:color w:val="auto"/>
          <w:sz w:val="21"/>
          <w:szCs w:val="21"/>
          <w:highlight w:val="none"/>
          <w:lang w:val="en-US" w:eastAsia="zh-CN"/>
        </w:rPr>
      </w:pPr>
      <w:bookmarkStart w:id="15" w:name="_Hlk102673022"/>
      <w:bookmarkStart w:id="16" w:name="_Hlk102671909"/>
      <w:r>
        <w:rPr>
          <w:rFonts w:hint="eastAsia" w:ascii="宋体" w:hAnsi="宋体" w:eastAsia="宋体" w:cs="宋体"/>
          <w:color w:val="auto"/>
          <w:sz w:val="21"/>
          <w:szCs w:val="21"/>
          <w:highlight w:val="none"/>
          <w:lang w:val="en-US" w:eastAsia="zh-CN"/>
        </w:rPr>
        <w:t>时间：2026年</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27</w:t>
      </w:r>
      <w:r>
        <w:rPr>
          <w:rFonts w:hint="eastAsia" w:ascii="宋体" w:hAnsi="宋体" w:eastAsia="宋体" w:cs="宋体"/>
          <w:color w:val="auto"/>
          <w:sz w:val="21"/>
          <w:szCs w:val="21"/>
          <w:highlight w:val="none"/>
          <w:lang w:val="en-US" w:eastAsia="zh-CN"/>
        </w:rPr>
        <w:t>日至2026年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日，每天8:30至16:30（北京时间，法定节假日除外）；</w:t>
      </w:r>
    </w:p>
    <w:p w14:paraId="04ED4F58">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地点：</w:t>
      </w:r>
      <w:bookmarkEnd w:id="15"/>
      <w:r>
        <w:rPr>
          <w:rFonts w:hint="eastAsia" w:ascii="宋体" w:hAnsi="宋体" w:eastAsia="宋体" w:cs="宋体"/>
          <w:color w:val="auto"/>
          <w:sz w:val="21"/>
          <w:szCs w:val="21"/>
          <w:highlight w:val="none"/>
          <w:lang w:val="en-US" w:eastAsia="zh-CN"/>
        </w:rPr>
        <w:t>政采云平台https://www.zcygov.cn/；</w:t>
      </w:r>
    </w:p>
    <w:p w14:paraId="5D06CB35">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方式：</w:t>
      </w:r>
      <w:bookmarkEnd w:id="16"/>
      <w:bookmarkStart w:id="17" w:name="_Hlk102673071"/>
      <w:r>
        <w:rPr>
          <w:rFonts w:hint="eastAsia" w:ascii="宋体" w:hAnsi="宋体" w:cs="宋体"/>
          <w:color w:val="auto"/>
          <w:sz w:val="21"/>
          <w:szCs w:val="21"/>
          <w:highlight w:val="none"/>
          <w:lang w:val="en-US" w:eastAsia="zh-CN"/>
        </w:rPr>
        <w:t>供应商</w:t>
      </w:r>
      <w:r>
        <w:rPr>
          <w:rFonts w:hint="eastAsia" w:ascii="宋体" w:hAnsi="宋体" w:eastAsia="宋体" w:cs="宋体"/>
          <w:color w:val="auto"/>
          <w:sz w:val="21"/>
          <w:szCs w:val="21"/>
          <w:highlight w:val="none"/>
          <w:lang w:val="en-US" w:eastAsia="zh-CN"/>
        </w:rPr>
        <w:t>登录政采云平台https://www.zcygov.cn/在线申请获取</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val="en-US" w:eastAsia="zh-CN"/>
        </w:rPr>
        <w:t>文件（进入“项目采购”应用，在获取</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val="en-US" w:eastAsia="zh-CN"/>
        </w:rPr>
        <w:t>文件菜单中选择项目，申请获取</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val="en-US" w:eastAsia="zh-CN"/>
        </w:rPr>
        <w:t>文件），其他途径获取的</w:t>
      </w:r>
      <w:r>
        <w:rPr>
          <w:rFonts w:hint="eastAsia" w:ascii="宋体" w:hAnsi="宋体" w:cs="宋体"/>
          <w:color w:val="auto"/>
          <w:sz w:val="21"/>
          <w:szCs w:val="21"/>
          <w:highlight w:val="none"/>
          <w:lang w:val="en-US" w:eastAsia="zh-CN"/>
        </w:rPr>
        <w:t>采购</w:t>
      </w:r>
      <w:r>
        <w:rPr>
          <w:rFonts w:hint="eastAsia" w:ascii="宋体" w:hAnsi="宋体" w:eastAsia="宋体" w:cs="宋体"/>
          <w:color w:val="auto"/>
          <w:sz w:val="21"/>
          <w:szCs w:val="21"/>
          <w:highlight w:val="none"/>
          <w:lang w:val="en-US" w:eastAsia="zh-CN"/>
        </w:rPr>
        <w:t>文件一律按无效</w:t>
      </w:r>
      <w:r>
        <w:rPr>
          <w:rFonts w:hint="eastAsia" w:ascii="宋体" w:hAnsi="宋体" w:cs="宋体"/>
          <w:color w:val="auto"/>
          <w:sz w:val="21"/>
          <w:szCs w:val="21"/>
          <w:highlight w:val="none"/>
          <w:lang w:val="en-US" w:eastAsia="zh-CN"/>
        </w:rPr>
        <w:t>响应</w:t>
      </w:r>
      <w:r>
        <w:rPr>
          <w:rFonts w:hint="eastAsia" w:ascii="宋体" w:hAnsi="宋体" w:eastAsia="宋体" w:cs="宋体"/>
          <w:color w:val="auto"/>
          <w:sz w:val="21"/>
          <w:szCs w:val="21"/>
          <w:highlight w:val="none"/>
          <w:lang w:val="en-US" w:eastAsia="zh-CN"/>
        </w:rPr>
        <w:t>处理）；</w:t>
      </w:r>
    </w:p>
    <w:p w14:paraId="18FEA48B">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售价：0元。</w:t>
      </w:r>
    </w:p>
    <w:bookmarkEnd w:id="17"/>
    <w:p w14:paraId="3892D59A">
      <w:pPr>
        <w:pStyle w:val="22"/>
        <w:spacing w:before="0" w:beforeAutospacing="0" w:after="0" w:afterAutospacing="0" w:line="360" w:lineRule="auto"/>
        <w:jc w:val="both"/>
        <w:rPr>
          <w:rFonts w:hint="default"/>
          <w:b/>
          <w:color w:val="auto"/>
          <w:sz w:val="21"/>
          <w:szCs w:val="21"/>
          <w:highlight w:val="none"/>
          <w:shd w:val="clear" w:color="auto" w:fill="FFFFFF"/>
        </w:rPr>
      </w:pPr>
      <w:r>
        <w:rPr>
          <w:b/>
          <w:color w:val="auto"/>
          <w:sz w:val="21"/>
          <w:szCs w:val="21"/>
          <w:highlight w:val="none"/>
          <w:shd w:val="clear" w:color="auto" w:fill="FFFFFF"/>
        </w:rPr>
        <w:t>四、响应文件的提交</w:t>
      </w:r>
    </w:p>
    <w:p w14:paraId="3C2B8CA7">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截止时间：2026年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lang w:val="en-US" w:eastAsia="zh-CN"/>
        </w:rPr>
        <w:t>时</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分（北京时间）；</w:t>
      </w:r>
    </w:p>
    <w:p w14:paraId="17BF2B5E">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地点：</w:t>
      </w:r>
      <w:bookmarkStart w:id="18" w:name="_Hlk102683336"/>
      <w:r>
        <w:rPr>
          <w:rFonts w:hint="eastAsia" w:ascii="宋体" w:hAnsi="宋体" w:cs="宋体"/>
          <w:color w:val="auto"/>
          <w:sz w:val="21"/>
          <w:szCs w:val="21"/>
          <w:highlight w:val="none"/>
          <w:lang w:val="en-US" w:eastAsia="zh-CN"/>
        </w:rPr>
        <w:t>前郭尔罗斯蒙古族自治县政务服务运行保障中心4楼第一开标室（松原市前郭县哈达大街与源江东路交汇金福名居综合楼）</w:t>
      </w:r>
      <w:r>
        <w:rPr>
          <w:rFonts w:hint="eastAsia" w:ascii="宋体" w:hAnsi="宋体" w:eastAsia="宋体" w:cs="宋体"/>
          <w:color w:val="auto"/>
          <w:sz w:val="21"/>
          <w:szCs w:val="21"/>
          <w:highlight w:val="none"/>
          <w:lang w:val="en-US" w:eastAsia="zh-CN"/>
        </w:rPr>
        <w:t>；</w:t>
      </w:r>
    </w:p>
    <w:p w14:paraId="353AEA7F">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提交方式：本项目为全流程电子化项目，通过“政采云”平台（http：//www.zcygov.cn）实行在线电子投标，供应商应先安装“政采云投标客户端”（请自行前往“政采云”平台进行下载），并按照本项目磋商文件和“政采云”平台的要求编制、加密后在响应文件截止时间前通过网络上传至“政采云”平台，供应商在“政采云”平台提交电子版响应文件时，请填写参加采购活动经办人联系方式。在制作响应文件前，供应商需申领CA，领取CA后与政采云平台的账号进行绑定，使用CA对响应文件进行签章，否则，有可能导致无法在线编制响应文件和参与磋商，其后果由供应商自行承担。</w:t>
      </w:r>
    </w:p>
    <w:bookmarkEnd w:id="18"/>
    <w:p w14:paraId="6C14B83D">
      <w:pPr>
        <w:pStyle w:val="22"/>
        <w:spacing w:before="0" w:beforeAutospacing="0" w:after="0" w:afterAutospacing="0" w:line="360" w:lineRule="auto"/>
        <w:jc w:val="both"/>
        <w:rPr>
          <w:rFonts w:hint="default"/>
          <w:b/>
          <w:color w:val="auto"/>
          <w:sz w:val="21"/>
          <w:szCs w:val="21"/>
          <w:highlight w:val="none"/>
          <w:u w:val="none"/>
          <w:shd w:val="clear" w:color="auto" w:fill="FFFFFF"/>
        </w:rPr>
      </w:pPr>
      <w:r>
        <w:rPr>
          <w:b/>
          <w:color w:val="auto"/>
          <w:sz w:val="21"/>
          <w:szCs w:val="21"/>
          <w:highlight w:val="none"/>
          <w:u w:val="none"/>
          <w:shd w:val="clear" w:color="auto" w:fill="FFFFFF"/>
        </w:rPr>
        <w:t>五、响应文件开启时间及地点</w:t>
      </w:r>
    </w:p>
    <w:p w14:paraId="6895FCA3">
      <w:pPr>
        <w:spacing w:line="360" w:lineRule="auto"/>
        <w:ind w:firstLine="420" w:firstLineChars="200"/>
        <w:rPr>
          <w:rFonts w:hint="eastAsia" w:ascii="宋体" w:hAnsi="宋体" w:eastAsia="宋体"/>
          <w:bCs/>
          <w:color w:val="auto"/>
          <w:szCs w:val="21"/>
          <w:highlight w:val="none"/>
          <w:u w:val="none"/>
          <w:lang w:eastAsia="zh-CN"/>
        </w:rPr>
      </w:pPr>
      <w:r>
        <w:rPr>
          <w:rFonts w:hint="eastAsia" w:ascii="宋体" w:hAnsi="宋体"/>
          <w:color w:val="auto"/>
          <w:szCs w:val="21"/>
          <w:highlight w:val="none"/>
          <w:u w:val="none"/>
        </w:rPr>
        <w:t>开启时间：</w:t>
      </w:r>
      <w:r>
        <w:rPr>
          <w:rFonts w:hint="eastAsia" w:ascii="宋体" w:hAnsi="宋体" w:eastAsia="宋体" w:cs="宋体"/>
          <w:color w:val="auto"/>
          <w:sz w:val="21"/>
          <w:szCs w:val="21"/>
          <w:highlight w:val="none"/>
          <w:lang w:val="en-US" w:eastAsia="zh-CN"/>
        </w:rPr>
        <w:t>2026年</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9</w:t>
      </w:r>
      <w:r>
        <w:rPr>
          <w:rFonts w:hint="eastAsia" w:ascii="宋体" w:hAnsi="宋体" w:eastAsia="宋体" w:cs="宋体"/>
          <w:color w:val="auto"/>
          <w:sz w:val="21"/>
          <w:szCs w:val="21"/>
          <w:highlight w:val="none"/>
          <w:lang w:val="en-US" w:eastAsia="zh-CN"/>
        </w:rPr>
        <w:t>日</w:t>
      </w:r>
      <w:r>
        <w:rPr>
          <w:rFonts w:hint="eastAsia" w:ascii="宋体" w:hAnsi="宋体" w:cs="宋体"/>
          <w:color w:val="auto"/>
          <w:sz w:val="21"/>
          <w:szCs w:val="21"/>
          <w:highlight w:val="none"/>
          <w:lang w:val="en-US" w:eastAsia="zh-CN"/>
        </w:rPr>
        <w:t>13</w:t>
      </w:r>
      <w:r>
        <w:rPr>
          <w:rFonts w:hint="eastAsia" w:ascii="宋体" w:hAnsi="宋体" w:eastAsia="宋体" w:cs="宋体"/>
          <w:color w:val="auto"/>
          <w:sz w:val="21"/>
          <w:szCs w:val="21"/>
          <w:highlight w:val="none"/>
          <w:lang w:val="en-US" w:eastAsia="zh-CN"/>
        </w:rPr>
        <w:t>时</w:t>
      </w:r>
      <w:r>
        <w:rPr>
          <w:rFonts w:hint="eastAsia" w:ascii="宋体" w:hAnsi="宋体"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分（北京时间）</w:t>
      </w:r>
      <w:r>
        <w:rPr>
          <w:rFonts w:hint="eastAsia" w:ascii="宋体" w:hAnsi="宋体"/>
          <w:bCs/>
          <w:color w:val="auto"/>
          <w:szCs w:val="21"/>
          <w:highlight w:val="none"/>
          <w:u w:val="none"/>
          <w:lang w:eastAsia="zh-CN"/>
        </w:rPr>
        <w:t>。</w:t>
      </w:r>
    </w:p>
    <w:p w14:paraId="35E7F524">
      <w:pPr>
        <w:spacing w:line="360" w:lineRule="auto"/>
        <w:ind w:firstLine="420" w:firstLineChars="200"/>
        <w:jc w:val="left"/>
        <w:rPr>
          <w:rFonts w:ascii="宋体" w:hAnsi="宋体"/>
          <w:color w:val="auto"/>
          <w:szCs w:val="21"/>
          <w:highlight w:val="none"/>
          <w:u w:val="single"/>
        </w:rPr>
      </w:pPr>
      <w:r>
        <w:rPr>
          <w:rFonts w:hint="eastAsia" w:ascii="宋体" w:hAnsi="宋体"/>
          <w:color w:val="auto"/>
          <w:szCs w:val="21"/>
          <w:highlight w:val="none"/>
          <w:u w:val="none"/>
        </w:rPr>
        <w:t>开启地点</w:t>
      </w:r>
      <w:r>
        <w:rPr>
          <w:rFonts w:hint="eastAsia" w:ascii="宋体" w:hAnsi="宋体"/>
          <w:color w:val="auto"/>
          <w:szCs w:val="21"/>
          <w:highlight w:val="none"/>
          <w:u w:val="none"/>
          <w:lang w:eastAsia="zh-CN"/>
        </w:rPr>
        <w:t>：</w:t>
      </w:r>
      <w:r>
        <w:rPr>
          <w:rFonts w:hint="eastAsia" w:ascii="宋体" w:hAnsi="宋体" w:cs="宋体"/>
          <w:color w:val="auto"/>
          <w:sz w:val="21"/>
          <w:szCs w:val="21"/>
          <w:highlight w:val="none"/>
          <w:lang w:val="en-US" w:eastAsia="zh-CN"/>
        </w:rPr>
        <w:t>前郭尔罗斯蒙古族自治县政务服务运行保障中心4楼第一开标室（松原市前郭县哈达大街与源江东路交汇金福名居综合楼）。</w:t>
      </w:r>
    </w:p>
    <w:p w14:paraId="6740A313">
      <w:pPr>
        <w:pStyle w:val="22"/>
        <w:spacing w:before="0" w:beforeAutospacing="0" w:after="0" w:afterAutospacing="0" w:line="360" w:lineRule="auto"/>
        <w:jc w:val="both"/>
        <w:rPr>
          <w:rFonts w:hint="default"/>
          <w:b/>
          <w:color w:val="auto"/>
          <w:sz w:val="21"/>
          <w:szCs w:val="21"/>
          <w:highlight w:val="none"/>
          <w:shd w:val="clear" w:color="auto" w:fill="FFFFFF"/>
        </w:rPr>
      </w:pPr>
      <w:r>
        <w:rPr>
          <w:b/>
          <w:color w:val="auto"/>
          <w:sz w:val="21"/>
          <w:szCs w:val="21"/>
          <w:highlight w:val="none"/>
          <w:shd w:val="clear" w:color="auto" w:fill="FFFFFF"/>
        </w:rPr>
        <w:t>六、公告期限</w:t>
      </w:r>
    </w:p>
    <w:p w14:paraId="4A36FD1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自本公告发布之日起</w:t>
      </w:r>
      <w:r>
        <w:rPr>
          <w:rFonts w:hint="eastAsia" w:ascii="宋体" w:hAnsi="宋体"/>
          <w:color w:val="auto"/>
          <w:szCs w:val="21"/>
          <w:highlight w:val="none"/>
          <w:lang w:val="en-US" w:eastAsia="zh-CN"/>
        </w:rPr>
        <w:t>5</w:t>
      </w:r>
      <w:r>
        <w:rPr>
          <w:rFonts w:hint="eastAsia" w:ascii="宋体" w:hAnsi="宋体"/>
          <w:color w:val="auto"/>
          <w:szCs w:val="21"/>
          <w:highlight w:val="none"/>
        </w:rPr>
        <w:t>个工作日。</w:t>
      </w:r>
    </w:p>
    <w:p w14:paraId="5F697D00">
      <w:pPr>
        <w:pStyle w:val="22"/>
        <w:spacing w:before="0" w:beforeAutospacing="0" w:after="0" w:afterAutospacing="0" w:line="360" w:lineRule="auto"/>
        <w:jc w:val="both"/>
        <w:rPr>
          <w:rFonts w:hint="default"/>
          <w:b/>
          <w:color w:val="auto"/>
          <w:sz w:val="21"/>
          <w:szCs w:val="21"/>
          <w:highlight w:val="none"/>
          <w:shd w:val="clear" w:color="auto" w:fill="FFFFFF"/>
        </w:rPr>
      </w:pPr>
      <w:r>
        <w:rPr>
          <w:b/>
          <w:color w:val="auto"/>
          <w:sz w:val="21"/>
          <w:szCs w:val="21"/>
          <w:highlight w:val="none"/>
          <w:shd w:val="clear" w:color="auto" w:fill="FFFFFF"/>
        </w:rPr>
        <w:t>七、其他补充事宜</w:t>
      </w:r>
    </w:p>
    <w:p w14:paraId="1117A1C2">
      <w:pPr>
        <w:spacing w:line="360" w:lineRule="auto"/>
        <w:ind w:firstLine="420" w:firstLineChars="200"/>
        <w:rPr>
          <w:rFonts w:hint="default" w:ascii="宋体" w:hAnsi="宋体" w:eastAsia="宋体" w:cs="Times New Roman"/>
          <w:color w:val="auto"/>
          <w:szCs w:val="21"/>
          <w:highlight w:val="none"/>
          <w:lang w:val="en-US" w:eastAsia="zh-CN"/>
        </w:rPr>
      </w:pPr>
      <w:r>
        <w:rPr>
          <w:rFonts w:hint="eastAsia" w:ascii="宋体" w:hAnsi="宋体" w:eastAsia="宋体" w:cs="宋体"/>
          <w:color w:val="auto"/>
          <w:kern w:val="2"/>
          <w:sz w:val="21"/>
          <w:szCs w:val="21"/>
          <w:highlight w:val="none"/>
          <w:shd w:val="clear" w:color="auto" w:fill="FFFFFF"/>
          <w:lang w:val="en-US" w:eastAsia="zh-CN" w:bidi="ar-SA"/>
        </w:rPr>
        <w:t>1.公告发布媒体：</w:t>
      </w:r>
      <w:r>
        <w:rPr>
          <w:rFonts w:hint="eastAsia" w:ascii="宋体" w:hAnsi="宋体" w:eastAsia="宋体" w:cs="Times New Roman"/>
          <w:color w:val="auto"/>
          <w:szCs w:val="21"/>
          <w:highlight w:val="none"/>
        </w:rPr>
        <w:t>本公告在</w:t>
      </w:r>
      <w:r>
        <w:rPr>
          <w:rFonts w:hint="eastAsia" w:ascii="宋体" w:hAnsi="宋体" w:eastAsia="宋体" w:cs="Times New Roman"/>
          <w:color w:val="auto"/>
          <w:szCs w:val="21"/>
          <w:highlight w:val="none"/>
          <w:lang w:eastAsia="zh-CN"/>
        </w:rPr>
        <w:t>“</w:t>
      </w:r>
      <w:r>
        <w:rPr>
          <w:rFonts w:hint="eastAsia" w:ascii="宋体" w:hAnsi="宋体" w:eastAsia="宋体" w:cs="Times New Roman"/>
          <w:color w:val="auto"/>
          <w:szCs w:val="21"/>
          <w:highlight w:val="none"/>
        </w:rPr>
        <w:t>政采云”平台（http:// www.zcygov.cn），同步推送到吉林省政府采购网</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中国政府采购网</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其他网站转载无效。</w:t>
      </w:r>
    </w:p>
    <w:p w14:paraId="242DFD94">
      <w:pPr>
        <w:pageBreakBefore w:val="0"/>
        <w:widowControl/>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2.采购项目需要落实的政府采购政策:《政府采购促进中小企业发展管理办法》(财库[2020]46号)、《关于政府采购支持监狱企业发展有关问题的通知》(财库[2014]68号)、《三部门联合发布关于促进残疾人就业政府采购政策的通知》(财库[2017]141号)、《关于调整优化节能产品、环境标志产品政府采购执行机制的通知》(财库[2019]9号)、《关于运用政府采购政策支持脱贫攻坚的通知》(财库(2019)27号)等相关政策文件。</w:t>
      </w:r>
    </w:p>
    <w:p w14:paraId="1DF2073F">
      <w:pPr>
        <w:pageBreakBefore w:val="0"/>
        <w:widowControl/>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cs="宋体"/>
          <w:color w:val="auto"/>
          <w:kern w:val="2"/>
          <w:sz w:val="21"/>
          <w:szCs w:val="21"/>
          <w:highlight w:val="none"/>
          <w:shd w:val="clear" w:color="auto" w:fill="FFFFFF"/>
          <w:lang w:val="en-US" w:eastAsia="zh-CN" w:bidi="ar-SA"/>
        </w:rPr>
        <w:t>3</w:t>
      </w:r>
      <w:r>
        <w:rPr>
          <w:rFonts w:hint="eastAsia" w:ascii="宋体" w:hAnsi="宋体" w:eastAsia="宋体" w:cs="宋体"/>
          <w:color w:val="auto"/>
          <w:kern w:val="2"/>
          <w:sz w:val="21"/>
          <w:szCs w:val="21"/>
          <w:highlight w:val="none"/>
          <w:shd w:val="clear" w:color="auto" w:fill="FFFFFF"/>
          <w:lang w:val="en-US" w:eastAsia="zh-CN" w:bidi="ar-SA"/>
        </w:rPr>
        <w:t>.注意事项：</w:t>
      </w:r>
    </w:p>
    <w:p w14:paraId="16B3BABF">
      <w:pPr>
        <w:pageBreakBefore w:val="0"/>
        <w:widowControl/>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(1)供应商在电子化平台参与政府采购项目前，应在电子化平台完成信息注册，注册链接:https://middle.zcygov.cn/v-settle-front/registry,政采云平台客服热线:95763；</w:t>
      </w:r>
    </w:p>
    <w:p w14:paraId="4A9F0086">
      <w:pPr>
        <w:pageBreakBefore w:val="0"/>
        <w:widowControl/>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(2)政采云投标客户端及CA驱动下载地址:https://customer.zcygov.cn/CA-driver-download?utm=web-login-front.52cebfa2.0.0.04df4040034511edaac705fda12edb43；</w:t>
      </w:r>
    </w:p>
    <w:p w14:paraId="66BA047C">
      <w:pPr>
        <w:pageBreakBefore w:val="0"/>
        <w:widowControl/>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(3)CA数字证书申请流程链接:http://www.anxinca.com/kehu/zcy/kh-zcy-zsshenqing.html，未进行政采云注册并办理数字证书(CA认证)的</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kern w:val="2"/>
          <w:sz w:val="21"/>
          <w:szCs w:val="21"/>
          <w:highlight w:val="none"/>
          <w:shd w:val="clear" w:color="auto" w:fill="FFFFFF"/>
          <w:lang w:val="en-US" w:eastAsia="zh-CN" w:bidi="ar-SA"/>
        </w:rPr>
        <w:t>将无法参与本项目政府采购活动，潜在</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kern w:val="2"/>
          <w:sz w:val="21"/>
          <w:szCs w:val="21"/>
          <w:highlight w:val="none"/>
          <w:shd w:val="clear" w:color="auto" w:fill="FFFFFF"/>
          <w:lang w:val="en-US" w:eastAsia="zh-CN" w:bidi="ar-SA"/>
        </w:rPr>
        <w:t>应当在</w:t>
      </w:r>
      <w:r>
        <w:rPr>
          <w:rFonts w:hint="eastAsia" w:ascii="宋体" w:hAnsi="宋体" w:cs="宋体"/>
          <w:color w:val="auto"/>
          <w:kern w:val="2"/>
          <w:sz w:val="21"/>
          <w:szCs w:val="21"/>
          <w:highlight w:val="none"/>
          <w:shd w:val="clear" w:color="auto" w:fill="FFFFFF"/>
          <w:lang w:val="en-US" w:eastAsia="zh-CN" w:bidi="ar-SA"/>
        </w:rPr>
        <w:t>提交电子响应文件</w:t>
      </w:r>
      <w:r>
        <w:rPr>
          <w:rFonts w:hint="eastAsia" w:ascii="宋体" w:hAnsi="宋体" w:eastAsia="宋体" w:cs="宋体"/>
          <w:color w:val="auto"/>
          <w:kern w:val="2"/>
          <w:sz w:val="21"/>
          <w:szCs w:val="21"/>
          <w:highlight w:val="none"/>
          <w:shd w:val="clear" w:color="auto" w:fill="FFFFFF"/>
          <w:lang w:val="en-US" w:eastAsia="zh-CN" w:bidi="ar-SA"/>
        </w:rPr>
        <w:t>截止时间前，完成政采云平台上的CA数字证书办理及</w:t>
      </w:r>
      <w:r>
        <w:rPr>
          <w:rFonts w:hint="eastAsia" w:ascii="宋体" w:hAnsi="宋体" w:cs="宋体"/>
          <w:color w:val="auto"/>
          <w:kern w:val="2"/>
          <w:sz w:val="21"/>
          <w:szCs w:val="21"/>
          <w:highlight w:val="none"/>
          <w:shd w:val="clear" w:color="auto" w:fill="FFFFFF"/>
          <w:lang w:val="en-US" w:eastAsia="zh-CN" w:bidi="ar-SA"/>
        </w:rPr>
        <w:t>响应</w:t>
      </w:r>
      <w:r>
        <w:rPr>
          <w:rFonts w:hint="eastAsia" w:ascii="宋体" w:hAnsi="宋体" w:eastAsia="宋体" w:cs="宋体"/>
          <w:color w:val="auto"/>
          <w:kern w:val="2"/>
          <w:sz w:val="21"/>
          <w:szCs w:val="21"/>
          <w:highlight w:val="none"/>
          <w:shd w:val="clear" w:color="auto" w:fill="FFFFFF"/>
          <w:lang w:val="en-US" w:eastAsia="zh-CN" w:bidi="ar-SA"/>
        </w:rPr>
        <w:t>文件的提交。</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kern w:val="2"/>
          <w:sz w:val="21"/>
          <w:szCs w:val="21"/>
          <w:highlight w:val="none"/>
          <w:shd w:val="clear" w:color="auto" w:fill="FFFFFF"/>
          <w:lang w:val="en-US" w:eastAsia="zh-CN" w:bidi="ar-SA"/>
        </w:rPr>
        <w:t>须自行考虑办理时间，由于</w:t>
      </w:r>
      <w:r>
        <w:rPr>
          <w:rFonts w:hint="eastAsia" w:ascii="宋体" w:hAnsi="宋体" w:cs="宋体"/>
          <w:color w:val="auto"/>
          <w:sz w:val="21"/>
          <w:szCs w:val="21"/>
          <w:highlight w:val="none"/>
          <w:lang w:val="en-US" w:eastAsia="zh-CN"/>
        </w:rPr>
        <w:t>供应商</w:t>
      </w:r>
      <w:r>
        <w:rPr>
          <w:rFonts w:hint="eastAsia" w:ascii="宋体" w:hAnsi="宋体" w:eastAsia="宋体" w:cs="宋体"/>
          <w:color w:val="auto"/>
          <w:kern w:val="2"/>
          <w:sz w:val="21"/>
          <w:szCs w:val="21"/>
          <w:highlight w:val="none"/>
          <w:shd w:val="clear" w:color="auto" w:fill="FFFFFF"/>
          <w:lang w:val="en-US" w:eastAsia="zh-CN" w:bidi="ar-SA"/>
        </w:rPr>
        <w:t>自身原因导致无法完成办理的，后果自负；</w:t>
      </w:r>
    </w:p>
    <w:p w14:paraId="7C268E35">
      <w:pPr>
        <w:pageBreakBefore w:val="0"/>
        <w:widowControl/>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(4)为确保网上操作合法、有效和安全，请供应商确保在电子响应过程中能够对相关数据电文进行加密和使用电子签章，妥善保管CA数字证书并使用有效的CA数字证书参与整个采购活动；</w:t>
      </w:r>
    </w:p>
    <w:p w14:paraId="48A282D6">
      <w:pPr>
        <w:pageBreakBefore w:val="0"/>
        <w:widowControl/>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(5)若对项目采购电子交易系统操作有疑问，可登录政采云平台，点击右侧咨询小采获取采小蜜智能服务管家帮助或点击右侧帮助文档查看供应商指南或拨打政采云服务热线95763获取热线服务帮助。</w:t>
      </w:r>
    </w:p>
    <w:p w14:paraId="3AB371BF">
      <w:pPr>
        <w:pStyle w:val="22"/>
        <w:spacing w:before="0" w:beforeAutospacing="0" w:after="0" w:afterAutospacing="0" w:line="360" w:lineRule="auto"/>
        <w:jc w:val="both"/>
        <w:rPr>
          <w:rFonts w:hint="default"/>
          <w:b/>
          <w:color w:val="auto"/>
          <w:sz w:val="21"/>
          <w:szCs w:val="21"/>
          <w:highlight w:val="none"/>
          <w:shd w:val="clear" w:color="auto" w:fill="FFFFFF"/>
        </w:rPr>
      </w:pPr>
      <w:r>
        <w:rPr>
          <w:b/>
          <w:color w:val="auto"/>
          <w:sz w:val="21"/>
          <w:szCs w:val="21"/>
          <w:highlight w:val="none"/>
          <w:shd w:val="clear" w:color="auto" w:fill="FFFFFF"/>
        </w:rPr>
        <w:t>八、对本次</w:t>
      </w:r>
      <w:r>
        <w:rPr>
          <w:rFonts w:hint="eastAsia"/>
          <w:b/>
          <w:color w:val="auto"/>
          <w:sz w:val="21"/>
          <w:szCs w:val="21"/>
          <w:highlight w:val="none"/>
          <w:shd w:val="clear" w:color="auto" w:fill="FFFFFF"/>
          <w:lang w:eastAsia="zh-CN"/>
        </w:rPr>
        <w:t>采购</w:t>
      </w:r>
      <w:r>
        <w:rPr>
          <w:b/>
          <w:color w:val="auto"/>
          <w:sz w:val="21"/>
          <w:szCs w:val="21"/>
          <w:highlight w:val="none"/>
          <w:shd w:val="clear" w:color="auto" w:fill="FFFFFF"/>
        </w:rPr>
        <w:t>提出询问，请按以下方式联系。</w:t>
      </w:r>
    </w:p>
    <w:p w14:paraId="5080F18D">
      <w:pPr>
        <w:pageBreakBefore w:val="0"/>
        <w:widowControl/>
        <w:kinsoku/>
        <w:wordWrap/>
        <w:overflowPunct/>
        <w:topLinePunct w:val="0"/>
        <w:autoSpaceDE/>
        <w:autoSpaceDN/>
        <w:bidi w:val="0"/>
        <w:snapToGrid/>
        <w:spacing w:line="360" w:lineRule="auto"/>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1.采购人信息</w:t>
      </w:r>
    </w:p>
    <w:p w14:paraId="5596BA24">
      <w:pPr>
        <w:pageBreakBefore w:val="0"/>
        <w:widowControl/>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auto"/>
          <w:kern w:val="2"/>
          <w:sz w:val="21"/>
          <w:szCs w:val="21"/>
          <w:highlight w:val="none"/>
          <w:shd w:val="clear" w:color="auto" w:fill="FFFFFF"/>
          <w:lang w:val="zh-CN" w:eastAsia="zh-CN" w:bidi="ar-SA"/>
        </w:rPr>
      </w:pPr>
      <w:r>
        <w:rPr>
          <w:rFonts w:hint="eastAsia" w:ascii="宋体" w:hAnsi="宋体" w:eastAsia="宋体" w:cs="宋体"/>
          <w:color w:val="auto"/>
          <w:kern w:val="2"/>
          <w:sz w:val="21"/>
          <w:szCs w:val="21"/>
          <w:highlight w:val="none"/>
          <w:shd w:val="clear" w:color="auto" w:fill="FFFFFF"/>
          <w:lang w:val="en-US" w:eastAsia="zh-CN" w:bidi="ar-SA"/>
        </w:rPr>
        <w:t>名 称：</w:t>
      </w:r>
      <w:r>
        <w:rPr>
          <w:rFonts w:hint="eastAsia" w:ascii="宋体" w:hAnsi="宋体" w:cs="宋体"/>
          <w:color w:val="auto"/>
          <w:kern w:val="2"/>
          <w:sz w:val="21"/>
          <w:szCs w:val="21"/>
          <w:highlight w:val="none"/>
          <w:shd w:val="clear" w:color="auto" w:fill="FFFFFF"/>
          <w:lang w:val="en-US" w:eastAsia="zh-CN" w:bidi="ar-SA"/>
        </w:rPr>
        <w:t>前郭尔罗斯蒙古族自治县医院</w:t>
      </w:r>
    </w:p>
    <w:p w14:paraId="3A51BC68">
      <w:pPr>
        <w:pageBreakBefore w:val="0"/>
        <w:widowControl/>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地址：</w:t>
      </w:r>
      <w:r>
        <w:rPr>
          <w:rFonts w:hint="eastAsia" w:ascii="宋体" w:hAnsi="宋体" w:cs="宋体"/>
          <w:i w:val="0"/>
          <w:iCs w:val="0"/>
          <w:caps w:val="0"/>
          <w:color w:val="000000"/>
          <w:spacing w:val="0"/>
          <w:sz w:val="21"/>
          <w:szCs w:val="21"/>
          <w:lang w:eastAsia="zh-CN"/>
        </w:rPr>
        <w:t>前郭尔罗斯蒙古族自治县乌兰大街908号</w:t>
      </w:r>
    </w:p>
    <w:p w14:paraId="641F2EE1">
      <w:pPr>
        <w:pageBreakBefore w:val="0"/>
        <w:widowControl/>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联系方式：</w:t>
      </w:r>
      <w:r>
        <w:rPr>
          <w:rFonts w:hint="eastAsia" w:ascii="宋体" w:hAnsi="宋体" w:cs="宋体"/>
          <w:i w:val="0"/>
          <w:iCs w:val="0"/>
          <w:caps w:val="0"/>
          <w:color w:val="000000"/>
          <w:spacing w:val="0"/>
          <w:sz w:val="21"/>
          <w:szCs w:val="21"/>
          <w:highlight w:val="none"/>
          <w:lang w:val="en-US" w:eastAsia="zh-CN"/>
        </w:rPr>
        <w:t>齐志国</w:t>
      </w:r>
      <w:r>
        <w:rPr>
          <w:rFonts w:hint="eastAsia" w:ascii="宋体" w:hAnsi="宋体" w:eastAsia="宋体" w:cs="宋体"/>
          <w:color w:val="auto"/>
          <w:kern w:val="2"/>
          <w:sz w:val="21"/>
          <w:szCs w:val="21"/>
          <w:highlight w:val="none"/>
          <w:shd w:val="clear" w:color="auto" w:fill="FFFFFF"/>
          <w:lang w:val="en-US" w:eastAsia="zh-CN" w:bidi="ar-SA"/>
        </w:rPr>
        <w:t xml:space="preserve">  </w:t>
      </w:r>
      <w:r>
        <w:rPr>
          <w:rFonts w:hint="eastAsia" w:ascii="宋体" w:hAnsi="宋体" w:cs="宋体"/>
          <w:i w:val="0"/>
          <w:iCs w:val="0"/>
          <w:caps w:val="0"/>
          <w:color w:val="000000"/>
          <w:spacing w:val="0"/>
          <w:sz w:val="21"/>
          <w:szCs w:val="21"/>
          <w:highlight w:val="none"/>
          <w:lang w:eastAsia="zh-CN"/>
        </w:rPr>
        <w:t>15843839945</w:t>
      </w:r>
    </w:p>
    <w:p w14:paraId="6F63F969">
      <w:pPr>
        <w:pageBreakBefore w:val="0"/>
        <w:widowControl/>
        <w:kinsoku/>
        <w:wordWrap/>
        <w:overflowPunct/>
        <w:topLinePunct w:val="0"/>
        <w:autoSpaceDE/>
        <w:autoSpaceDN/>
        <w:bidi w:val="0"/>
        <w:snapToGrid/>
        <w:spacing w:line="360" w:lineRule="auto"/>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2.采购代理机构信息</w:t>
      </w:r>
    </w:p>
    <w:p w14:paraId="1B4F264E">
      <w:pPr>
        <w:pageBreakBefore w:val="0"/>
        <w:widowControl/>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名 称：</w:t>
      </w:r>
      <w:r>
        <w:rPr>
          <w:rFonts w:hint="eastAsia" w:ascii="宋体" w:hAnsi="宋体" w:cs="宋体"/>
          <w:color w:val="auto"/>
          <w:kern w:val="2"/>
          <w:sz w:val="21"/>
          <w:szCs w:val="21"/>
          <w:highlight w:val="none"/>
          <w:shd w:val="clear" w:color="auto" w:fill="FFFFFF"/>
          <w:lang w:val="en-US" w:eastAsia="zh-CN" w:bidi="ar-SA"/>
        </w:rPr>
        <w:t>融汇项目管理有限公司</w:t>
      </w:r>
    </w:p>
    <w:p w14:paraId="48B9FA63">
      <w:pPr>
        <w:pageBreakBefore w:val="0"/>
        <w:widowControl/>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地　址：</w:t>
      </w:r>
      <w:r>
        <w:rPr>
          <w:rFonts w:hint="eastAsia" w:ascii="宋体" w:hAnsi="宋体" w:cs="宋体"/>
          <w:color w:val="auto"/>
          <w:kern w:val="2"/>
          <w:sz w:val="21"/>
          <w:szCs w:val="21"/>
          <w:highlight w:val="none"/>
          <w:shd w:val="clear" w:color="auto" w:fill="FFFFFF"/>
          <w:lang w:val="en-US" w:eastAsia="zh-CN" w:bidi="ar-SA"/>
        </w:rPr>
        <w:t>成都高新区吉泰一街99号1栋2单元23层2301号</w:t>
      </w:r>
    </w:p>
    <w:p w14:paraId="66D5DEDA">
      <w:pPr>
        <w:pageBreakBefore w:val="0"/>
        <w:widowControl/>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联系方式：</w:t>
      </w:r>
      <w:r>
        <w:rPr>
          <w:rFonts w:hint="eastAsia" w:ascii="宋体" w:hAnsi="宋体" w:cs="宋体"/>
          <w:color w:val="auto"/>
          <w:kern w:val="2"/>
          <w:sz w:val="21"/>
          <w:szCs w:val="21"/>
          <w:highlight w:val="none"/>
          <w:shd w:val="clear" w:color="auto" w:fill="FFFFFF"/>
          <w:lang w:val="en-US" w:eastAsia="zh-CN" w:bidi="ar-SA"/>
        </w:rPr>
        <w:t>15304419365</w:t>
      </w:r>
    </w:p>
    <w:p w14:paraId="7D03DC17">
      <w:pPr>
        <w:pageBreakBefore w:val="0"/>
        <w:widowControl/>
        <w:kinsoku/>
        <w:wordWrap/>
        <w:overflowPunct/>
        <w:topLinePunct w:val="0"/>
        <w:autoSpaceDE/>
        <w:autoSpaceDN/>
        <w:bidi w:val="0"/>
        <w:snapToGrid/>
        <w:spacing w:line="360" w:lineRule="auto"/>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3.项目联系方式</w:t>
      </w:r>
    </w:p>
    <w:p w14:paraId="775A0C38">
      <w:pPr>
        <w:pageBreakBefore w:val="0"/>
        <w:widowControl/>
        <w:kinsoku/>
        <w:wordWrap/>
        <w:overflowPunct/>
        <w:topLinePunct w:val="0"/>
        <w:autoSpaceDE/>
        <w:autoSpaceDN/>
        <w:bidi w:val="0"/>
        <w:snapToGrid/>
        <w:spacing w:line="360" w:lineRule="auto"/>
        <w:ind w:firstLine="420" w:firstLineChars="200"/>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项目联系人：</w:t>
      </w:r>
      <w:r>
        <w:rPr>
          <w:rFonts w:hint="eastAsia" w:ascii="宋体" w:hAnsi="宋体" w:cs="宋体"/>
          <w:color w:val="auto"/>
          <w:kern w:val="2"/>
          <w:sz w:val="21"/>
          <w:szCs w:val="21"/>
          <w:highlight w:val="none"/>
          <w:shd w:val="clear" w:color="auto" w:fill="FFFFFF"/>
          <w:lang w:val="en-US" w:eastAsia="zh-CN" w:bidi="ar-SA"/>
        </w:rPr>
        <w:t>张霞</w:t>
      </w:r>
    </w:p>
    <w:p w14:paraId="628DCD6A">
      <w:pPr>
        <w:pStyle w:val="10"/>
        <w:ind w:left="0" w:leftChars="0" w:firstLine="420" w:firstLineChars="200"/>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电　话：</w:t>
      </w:r>
      <w:r>
        <w:rPr>
          <w:rFonts w:hint="eastAsia" w:ascii="宋体" w:hAnsi="宋体" w:cs="宋体"/>
          <w:color w:val="auto"/>
          <w:kern w:val="2"/>
          <w:sz w:val="21"/>
          <w:szCs w:val="21"/>
          <w:highlight w:val="none"/>
          <w:shd w:val="clear" w:color="auto" w:fill="FFFFFF"/>
          <w:lang w:val="en-US" w:eastAsia="zh-CN" w:bidi="ar-SA"/>
        </w:rPr>
        <w:t>15304419365</w:t>
      </w:r>
    </w:p>
    <w:p w14:paraId="782B4C40">
      <w:pPr>
        <w:spacing w:line="360" w:lineRule="auto"/>
        <w:ind w:firstLine="420" w:firstLineChars="200"/>
        <w:rPr>
          <w:rFonts w:hint="eastAsia" w:ascii="宋体" w:hAnsi="宋体" w:cs="宋体"/>
          <w:bCs/>
          <w:color w:val="auto"/>
          <w:szCs w:val="21"/>
          <w:highlight w:val="none"/>
        </w:rPr>
      </w:pPr>
    </w:p>
    <w:p w14:paraId="5E462B5F">
      <w:pPr>
        <w:spacing w:line="380" w:lineRule="exact"/>
        <w:rPr>
          <w:rFonts w:hint="eastAsia" w:ascii="宋体" w:hAnsi="宋体" w:cs="宋体"/>
          <w:bCs/>
          <w:color w:val="auto"/>
          <w:szCs w:val="21"/>
          <w:highlight w:val="none"/>
        </w:rPr>
      </w:pPr>
    </w:p>
    <w:p w14:paraId="4A97D596">
      <w:pPr>
        <w:pStyle w:val="2"/>
        <w:spacing w:line="240" w:lineRule="auto"/>
        <w:jc w:val="center"/>
        <w:rPr>
          <w:rFonts w:hint="eastAsia" w:ascii="宋体" w:hAnsi="宋体" w:cs="宋体"/>
          <w:color w:val="auto"/>
          <w:highlight w:val="none"/>
        </w:rPr>
      </w:pPr>
      <w:r>
        <w:rPr>
          <w:rFonts w:hint="eastAsia" w:ascii="宋体" w:hAnsi="宋体" w:cs="宋体"/>
          <w:color w:val="auto"/>
          <w:highlight w:val="none"/>
        </w:rPr>
        <w:br w:type="page"/>
      </w:r>
      <w:bookmarkStart w:id="19" w:name="_Toc14385"/>
      <w:r>
        <w:rPr>
          <w:rFonts w:hint="eastAsia" w:ascii="宋体" w:hAnsi="宋体" w:cs="宋体"/>
          <w:color w:val="auto"/>
          <w:highlight w:val="none"/>
        </w:rPr>
        <w:t>第二章 供应商须知</w:t>
      </w:r>
      <w:bookmarkEnd w:id="8"/>
      <w:bookmarkEnd w:id="9"/>
      <w:bookmarkEnd w:id="10"/>
      <w:bookmarkEnd w:id="11"/>
      <w:bookmarkEnd w:id="12"/>
      <w:bookmarkEnd w:id="13"/>
      <w:bookmarkEnd w:id="14"/>
      <w:bookmarkEnd w:id="19"/>
    </w:p>
    <w:p w14:paraId="76814600">
      <w:pPr>
        <w:spacing w:line="480" w:lineRule="exact"/>
        <w:jc w:val="center"/>
        <w:rPr>
          <w:rFonts w:hint="eastAsia" w:ascii="宋体" w:hAnsi="宋体" w:cs="宋体"/>
          <w:b/>
          <w:color w:val="auto"/>
          <w:sz w:val="28"/>
          <w:szCs w:val="28"/>
          <w:highlight w:val="none"/>
        </w:rPr>
      </w:pPr>
      <w:bookmarkStart w:id="20" w:name="_Toc246996917"/>
      <w:bookmarkStart w:id="21" w:name="_Toc179632545"/>
      <w:bookmarkStart w:id="22" w:name="_Toc247085688"/>
      <w:bookmarkStart w:id="23" w:name="_Toc144974496"/>
      <w:bookmarkStart w:id="24" w:name="_Toc246996174"/>
      <w:bookmarkStart w:id="25" w:name="_Toc152045528"/>
      <w:bookmarkStart w:id="26" w:name="_Toc152042304"/>
      <w:r>
        <w:rPr>
          <w:rFonts w:hint="eastAsia" w:ascii="宋体" w:hAnsi="宋体" w:cs="宋体"/>
          <w:b/>
          <w:color w:val="auto"/>
          <w:sz w:val="28"/>
          <w:szCs w:val="28"/>
          <w:highlight w:val="none"/>
        </w:rPr>
        <w:t>供应商须知前附表</w:t>
      </w:r>
      <w:bookmarkEnd w:id="20"/>
      <w:bookmarkEnd w:id="21"/>
      <w:bookmarkEnd w:id="22"/>
      <w:bookmarkEnd w:id="23"/>
      <w:bookmarkEnd w:id="24"/>
      <w:bookmarkEnd w:id="25"/>
      <w:bookmarkEnd w:id="26"/>
    </w:p>
    <w:tbl>
      <w:tblPr>
        <w:tblStyle w:val="25"/>
        <w:tblW w:w="45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5"/>
        <w:gridCol w:w="1312"/>
        <w:gridCol w:w="6287"/>
      </w:tblGrid>
      <w:tr w14:paraId="1CF00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0E3CCC3C">
            <w:pPr>
              <w:jc w:val="center"/>
              <w:rPr>
                <w:rFonts w:hint="eastAsia" w:ascii="宋体" w:hAnsi="宋体" w:cs="宋体"/>
                <w:b/>
                <w:color w:val="auto"/>
                <w:szCs w:val="21"/>
                <w:highlight w:val="none"/>
              </w:rPr>
            </w:pPr>
            <w:bookmarkStart w:id="27" w:name="_Toc246996175"/>
            <w:bookmarkStart w:id="28" w:name="_Toc152042305"/>
            <w:bookmarkStart w:id="29" w:name="_Toc179632546"/>
            <w:bookmarkStart w:id="30" w:name="_Toc247085689"/>
            <w:bookmarkStart w:id="31" w:name="_Toc246996918"/>
            <w:bookmarkStart w:id="32" w:name="_Toc152045529"/>
            <w:bookmarkStart w:id="33" w:name="_Toc144974497"/>
            <w:r>
              <w:rPr>
                <w:rFonts w:hint="eastAsia" w:ascii="宋体" w:hAnsi="宋体" w:cs="宋体"/>
                <w:b/>
                <w:color w:val="auto"/>
                <w:szCs w:val="21"/>
                <w:highlight w:val="none"/>
              </w:rPr>
              <w:t>条款号</w:t>
            </w:r>
          </w:p>
        </w:tc>
        <w:tc>
          <w:tcPr>
            <w:tcW w:w="775" w:type="pct"/>
            <w:noWrap w:val="0"/>
            <w:vAlign w:val="center"/>
          </w:tcPr>
          <w:p w14:paraId="4A6021F7">
            <w:pPr>
              <w:jc w:val="center"/>
              <w:rPr>
                <w:rFonts w:hint="eastAsia" w:ascii="宋体" w:hAnsi="宋体" w:cs="宋体"/>
                <w:b/>
                <w:color w:val="auto"/>
                <w:szCs w:val="21"/>
                <w:highlight w:val="none"/>
              </w:rPr>
            </w:pPr>
            <w:r>
              <w:rPr>
                <w:rFonts w:hint="eastAsia" w:ascii="宋体" w:hAnsi="宋体" w:cs="宋体"/>
                <w:b/>
                <w:color w:val="auto"/>
                <w:szCs w:val="21"/>
                <w:highlight w:val="none"/>
              </w:rPr>
              <w:t>条款名称</w:t>
            </w:r>
          </w:p>
        </w:tc>
        <w:tc>
          <w:tcPr>
            <w:tcW w:w="3712" w:type="pct"/>
            <w:noWrap w:val="0"/>
            <w:vAlign w:val="center"/>
          </w:tcPr>
          <w:p w14:paraId="7286AAB2">
            <w:pPr>
              <w:jc w:val="center"/>
              <w:rPr>
                <w:rFonts w:hint="eastAsia" w:ascii="宋体" w:hAnsi="宋体" w:cs="宋体"/>
                <w:b/>
                <w:color w:val="auto"/>
                <w:szCs w:val="21"/>
                <w:highlight w:val="none"/>
              </w:rPr>
            </w:pPr>
            <w:r>
              <w:rPr>
                <w:rFonts w:hint="eastAsia" w:ascii="宋体" w:hAnsi="宋体" w:cs="宋体"/>
                <w:b/>
                <w:color w:val="auto"/>
                <w:szCs w:val="21"/>
                <w:highlight w:val="none"/>
              </w:rPr>
              <w:t>编  列  内  容</w:t>
            </w:r>
          </w:p>
        </w:tc>
      </w:tr>
      <w:tr w14:paraId="03D80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1453075C">
            <w:pPr>
              <w:jc w:val="center"/>
              <w:rPr>
                <w:rFonts w:hint="eastAsia" w:ascii="宋体" w:hAnsi="宋体" w:cs="宋体"/>
                <w:color w:val="auto"/>
                <w:szCs w:val="21"/>
                <w:highlight w:val="none"/>
              </w:rPr>
            </w:pPr>
            <w:r>
              <w:rPr>
                <w:rFonts w:hint="eastAsia" w:ascii="宋体" w:hAnsi="宋体" w:cs="宋体"/>
                <w:color w:val="auto"/>
                <w:szCs w:val="21"/>
                <w:highlight w:val="none"/>
              </w:rPr>
              <w:t>1.1.2</w:t>
            </w:r>
          </w:p>
        </w:tc>
        <w:tc>
          <w:tcPr>
            <w:tcW w:w="775" w:type="pct"/>
            <w:noWrap w:val="0"/>
            <w:vAlign w:val="center"/>
          </w:tcPr>
          <w:p w14:paraId="755D76A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采购人</w:t>
            </w:r>
          </w:p>
        </w:tc>
        <w:tc>
          <w:tcPr>
            <w:tcW w:w="3712" w:type="pct"/>
            <w:noWrap w:val="0"/>
            <w:vAlign w:val="center"/>
          </w:tcPr>
          <w:p w14:paraId="17876D97">
            <w:pPr>
              <w:pageBreakBefore w:val="0"/>
              <w:widowControl/>
              <w:kinsoku/>
              <w:wordWrap/>
              <w:overflowPunct/>
              <w:topLinePunct w:val="0"/>
              <w:autoSpaceDE/>
              <w:autoSpaceDN/>
              <w:bidi w:val="0"/>
              <w:snapToGrid/>
              <w:spacing w:line="360" w:lineRule="auto"/>
              <w:jc w:val="left"/>
              <w:textAlignment w:val="auto"/>
              <w:rPr>
                <w:rFonts w:hint="eastAsia" w:ascii="宋体" w:hAnsi="宋体" w:eastAsia="宋体" w:cs="宋体"/>
                <w:color w:val="auto"/>
                <w:kern w:val="2"/>
                <w:sz w:val="21"/>
                <w:szCs w:val="21"/>
                <w:highlight w:val="none"/>
                <w:shd w:val="clear" w:color="auto" w:fill="FFFFFF"/>
                <w:lang w:val="zh-CN" w:eastAsia="zh-CN" w:bidi="ar-SA"/>
              </w:rPr>
            </w:pPr>
            <w:r>
              <w:rPr>
                <w:rFonts w:hint="eastAsia" w:ascii="宋体" w:hAnsi="宋体" w:eastAsia="宋体" w:cs="宋体"/>
                <w:color w:val="auto"/>
                <w:kern w:val="2"/>
                <w:sz w:val="21"/>
                <w:szCs w:val="21"/>
                <w:highlight w:val="none"/>
                <w:shd w:val="clear" w:color="auto" w:fill="FFFFFF"/>
                <w:lang w:val="en-US" w:eastAsia="zh-CN" w:bidi="ar-SA"/>
              </w:rPr>
              <w:t>名 称：</w:t>
            </w:r>
            <w:r>
              <w:rPr>
                <w:rFonts w:hint="eastAsia" w:ascii="宋体" w:hAnsi="宋体" w:cs="宋体"/>
                <w:color w:val="auto"/>
                <w:kern w:val="2"/>
                <w:sz w:val="21"/>
                <w:szCs w:val="21"/>
                <w:highlight w:val="none"/>
                <w:shd w:val="clear" w:color="auto" w:fill="FFFFFF"/>
                <w:lang w:val="en-US" w:eastAsia="zh-CN" w:bidi="ar-SA"/>
              </w:rPr>
              <w:t>前郭尔罗斯蒙古族自治县医院</w:t>
            </w:r>
          </w:p>
          <w:p w14:paraId="02595549">
            <w:pPr>
              <w:pageBreakBefore w:val="0"/>
              <w:widowControl/>
              <w:kinsoku/>
              <w:wordWrap/>
              <w:overflowPunct/>
              <w:topLinePunct w:val="0"/>
              <w:autoSpaceDE/>
              <w:autoSpaceDN/>
              <w:bidi w:val="0"/>
              <w:snapToGrid/>
              <w:spacing w:line="360" w:lineRule="auto"/>
              <w:jc w:val="left"/>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kern w:val="2"/>
                <w:sz w:val="21"/>
                <w:szCs w:val="21"/>
                <w:highlight w:val="none"/>
                <w:shd w:val="clear" w:color="auto" w:fill="FFFFFF"/>
                <w:lang w:val="en-US" w:eastAsia="zh-CN" w:bidi="ar-SA"/>
              </w:rPr>
              <w:t>地址：</w:t>
            </w:r>
            <w:r>
              <w:rPr>
                <w:rFonts w:hint="eastAsia" w:ascii="宋体" w:hAnsi="宋体" w:cs="宋体"/>
                <w:i w:val="0"/>
                <w:iCs w:val="0"/>
                <w:caps w:val="0"/>
                <w:color w:val="000000"/>
                <w:spacing w:val="0"/>
                <w:sz w:val="21"/>
                <w:szCs w:val="21"/>
                <w:lang w:eastAsia="zh-CN"/>
              </w:rPr>
              <w:t>前郭尔罗斯蒙古族自治县乌兰大街908号</w:t>
            </w:r>
          </w:p>
          <w:p w14:paraId="39153C2F">
            <w:pPr>
              <w:spacing w:line="360" w:lineRule="auto"/>
              <w:jc w:val="left"/>
              <w:rPr>
                <w:rFonts w:hint="eastAsia" w:ascii="宋体" w:hAnsi="宋体" w:cs="宋体"/>
                <w:color w:val="auto"/>
                <w:szCs w:val="21"/>
                <w:highlight w:val="none"/>
                <w:lang w:val="zh-CN"/>
              </w:rPr>
            </w:pPr>
            <w:r>
              <w:rPr>
                <w:rFonts w:hint="eastAsia" w:ascii="宋体" w:hAnsi="宋体" w:cs="宋体"/>
                <w:color w:val="auto"/>
                <w:szCs w:val="21"/>
                <w:highlight w:val="none"/>
              </w:rPr>
              <w:t>联系人：</w:t>
            </w:r>
            <w:r>
              <w:rPr>
                <w:rFonts w:hint="eastAsia" w:ascii="宋体" w:hAnsi="宋体" w:cs="宋体"/>
                <w:i w:val="0"/>
                <w:iCs w:val="0"/>
                <w:caps w:val="0"/>
                <w:color w:val="000000"/>
                <w:spacing w:val="0"/>
                <w:sz w:val="21"/>
                <w:szCs w:val="21"/>
                <w:highlight w:val="none"/>
                <w:lang w:val="en-US" w:eastAsia="zh-CN"/>
              </w:rPr>
              <w:t>齐志国</w:t>
            </w:r>
          </w:p>
          <w:p w14:paraId="7E60FFD9">
            <w:pPr>
              <w:spacing w:line="360" w:lineRule="auto"/>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电</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话：</w:t>
            </w:r>
            <w:r>
              <w:rPr>
                <w:rFonts w:hint="eastAsia" w:ascii="宋体" w:hAnsi="宋体" w:cs="宋体"/>
                <w:i w:val="0"/>
                <w:iCs w:val="0"/>
                <w:caps w:val="0"/>
                <w:color w:val="000000"/>
                <w:spacing w:val="0"/>
                <w:sz w:val="21"/>
                <w:szCs w:val="21"/>
                <w:highlight w:val="none"/>
                <w:lang w:eastAsia="zh-CN"/>
              </w:rPr>
              <w:t>15843839945</w:t>
            </w:r>
          </w:p>
        </w:tc>
      </w:tr>
      <w:tr w14:paraId="2D1C8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1" w:type="pct"/>
            <w:noWrap w:val="0"/>
            <w:vAlign w:val="center"/>
          </w:tcPr>
          <w:p w14:paraId="1674E5B9">
            <w:pPr>
              <w:jc w:val="center"/>
              <w:rPr>
                <w:rFonts w:hint="eastAsia" w:ascii="宋体" w:hAnsi="宋体" w:cs="宋体"/>
                <w:color w:val="auto"/>
                <w:szCs w:val="21"/>
                <w:highlight w:val="none"/>
              </w:rPr>
            </w:pPr>
            <w:r>
              <w:rPr>
                <w:rFonts w:hint="eastAsia" w:ascii="宋体" w:hAnsi="宋体" w:cs="宋体"/>
                <w:color w:val="auto"/>
                <w:szCs w:val="21"/>
                <w:highlight w:val="none"/>
              </w:rPr>
              <w:t>1.1.3</w:t>
            </w:r>
          </w:p>
        </w:tc>
        <w:tc>
          <w:tcPr>
            <w:tcW w:w="775" w:type="pct"/>
            <w:noWrap w:val="0"/>
            <w:vAlign w:val="center"/>
          </w:tcPr>
          <w:p w14:paraId="2EC92AF6">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采购代理机构</w:t>
            </w:r>
          </w:p>
        </w:tc>
        <w:tc>
          <w:tcPr>
            <w:tcW w:w="3712" w:type="pct"/>
            <w:noWrap w:val="0"/>
            <w:vAlign w:val="center"/>
          </w:tcPr>
          <w:p w14:paraId="06198E0B">
            <w:pPr>
              <w:spacing w:line="360" w:lineRule="auto"/>
              <w:contextualSpacing/>
              <w:rPr>
                <w:rFonts w:hint="default" w:ascii="宋体" w:hAnsi="宋体" w:eastAsia="宋体" w:cs="宋体"/>
                <w:color w:val="auto"/>
                <w:szCs w:val="21"/>
                <w:highlight w:val="none"/>
                <w:lang w:eastAsia="zh-CN"/>
              </w:rPr>
            </w:pPr>
            <w:r>
              <w:rPr>
                <w:rFonts w:hint="eastAsia" w:ascii="宋体" w:hAnsi="宋体" w:cs="宋体"/>
                <w:color w:val="auto"/>
                <w:szCs w:val="21"/>
                <w:highlight w:val="none"/>
              </w:rPr>
              <w:t>名</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称：</w:t>
            </w:r>
            <w:r>
              <w:rPr>
                <w:rFonts w:hint="eastAsia" w:ascii="宋体" w:hAnsi="宋体" w:cs="宋体"/>
                <w:color w:val="auto"/>
                <w:szCs w:val="21"/>
                <w:highlight w:val="none"/>
                <w:lang w:eastAsia="zh-CN"/>
              </w:rPr>
              <w:t>融汇项目管理有限公司</w:t>
            </w:r>
          </w:p>
          <w:p w14:paraId="24B293F0">
            <w:pPr>
              <w:pageBreakBefore w:val="0"/>
              <w:widowControl/>
              <w:kinsoku/>
              <w:wordWrap/>
              <w:overflowPunct/>
              <w:topLinePunct w:val="0"/>
              <w:autoSpaceDE/>
              <w:autoSpaceDN/>
              <w:bidi w:val="0"/>
              <w:snapToGrid/>
              <w:spacing w:line="360" w:lineRule="auto"/>
              <w:jc w:val="left"/>
              <w:textAlignment w:val="auto"/>
              <w:rPr>
                <w:rFonts w:hint="eastAsia" w:ascii="宋体" w:hAnsi="宋体" w:cs="宋体"/>
                <w:color w:val="auto"/>
                <w:kern w:val="0"/>
                <w:szCs w:val="21"/>
                <w:highlight w:val="none"/>
                <w:lang w:val="zh-CN"/>
              </w:rPr>
            </w:pPr>
            <w:r>
              <w:rPr>
                <w:rFonts w:hint="eastAsia" w:ascii="宋体" w:hAnsi="宋体" w:cs="宋体"/>
                <w:color w:val="auto"/>
                <w:szCs w:val="21"/>
                <w:highlight w:val="none"/>
              </w:rPr>
              <w:t>地</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址：</w:t>
            </w:r>
            <w:r>
              <w:rPr>
                <w:rFonts w:hint="eastAsia" w:ascii="宋体" w:hAnsi="宋体" w:cs="宋体"/>
                <w:color w:val="auto"/>
                <w:kern w:val="2"/>
                <w:sz w:val="21"/>
                <w:szCs w:val="21"/>
                <w:highlight w:val="none"/>
                <w:shd w:val="clear" w:color="auto" w:fill="FFFFFF"/>
                <w:lang w:val="en-US" w:eastAsia="zh-CN" w:bidi="ar-SA"/>
              </w:rPr>
              <w:t>成都高新区吉泰一街99号1栋2单元23层2301号</w:t>
            </w:r>
          </w:p>
          <w:p w14:paraId="5627D933">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kern w:val="2"/>
                <w:sz w:val="21"/>
                <w:szCs w:val="21"/>
                <w:highlight w:val="none"/>
                <w:shd w:val="clear" w:color="auto" w:fill="FFFFFF"/>
                <w:lang w:val="en-US" w:eastAsia="zh-CN" w:bidi="ar-SA"/>
              </w:rPr>
              <w:t>张霞</w:t>
            </w:r>
          </w:p>
          <w:p w14:paraId="10E00E8A">
            <w:pPr>
              <w:spacing w:line="360" w:lineRule="auto"/>
              <w:contextualSpacing/>
              <w:rPr>
                <w:rFonts w:hint="eastAsia" w:ascii="宋体" w:hAnsi="宋体" w:cs="宋体"/>
                <w:color w:val="auto"/>
                <w:szCs w:val="21"/>
                <w:highlight w:val="none"/>
              </w:rPr>
            </w:pPr>
            <w:r>
              <w:rPr>
                <w:rFonts w:hint="eastAsia" w:ascii="宋体" w:hAnsi="宋体" w:cs="宋体"/>
                <w:color w:val="auto"/>
                <w:szCs w:val="21"/>
                <w:highlight w:val="none"/>
              </w:rPr>
              <w:t>电</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话：</w:t>
            </w:r>
            <w:r>
              <w:rPr>
                <w:rFonts w:hint="eastAsia" w:ascii="宋体" w:hAnsi="宋体" w:cs="宋体"/>
                <w:color w:val="auto"/>
                <w:kern w:val="2"/>
                <w:sz w:val="21"/>
                <w:szCs w:val="21"/>
                <w:highlight w:val="none"/>
                <w:shd w:val="clear" w:color="auto" w:fill="FFFFFF"/>
                <w:lang w:val="en-US" w:eastAsia="zh-CN" w:bidi="ar-SA"/>
              </w:rPr>
              <w:t>15304419365</w:t>
            </w:r>
          </w:p>
        </w:tc>
      </w:tr>
      <w:tr w14:paraId="18D71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jc w:val="center"/>
        </w:trPr>
        <w:tc>
          <w:tcPr>
            <w:tcW w:w="511" w:type="pct"/>
            <w:noWrap w:val="0"/>
            <w:vAlign w:val="center"/>
          </w:tcPr>
          <w:p w14:paraId="20826990">
            <w:pPr>
              <w:jc w:val="center"/>
              <w:rPr>
                <w:rFonts w:hint="eastAsia" w:ascii="宋体" w:hAnsi="宋体" w:cs="宋体"/>
                <w:color w:val="auto"/>
                <w:szCs w:val="21"/>
                <w:highlight w:val="none"/>
              </w:rPr>
            </w:pPr>
            <w:r>
              <w:rPr>
                <w:rFonts w:hint="eastAsia" w:ascii="宋体" w:hAnsi="宋体" w:cs="宋体"/>
                <w:color w:val="auto"/>
                <w:szCs w:val="21"/>
                <w:highlight w:val="none"/>
              </w:rPr>
              <w:t>1.1.4</w:t>
            </w:r>
          </w:p>
        </w:tc>
        <w:tc>
          <w:tcPr>
            <w:tcW w:w="775" w:type="pct"/>
            <w:noWrap w:val="0"/>
            <w:vAlign w:val="center"/>
          </w:tcPr>
          <w:p w14:paraId="521076A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项目名称及</w:t>
            </w:r>
          </w:p>
          <w:p w14:paraId="1084ABE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项目编号</w:t>
            </w:r>
          </w:p>
        </w:tc>
        <w:tc>
          <w:tcPr>
            <w:tcW w:w="3712" w:type="pct"/>
            <w:noWrap w:val="0"/>
            <w:vAlign w:val="center"/>
          </w:tcPr>
          <w:p w14:paraId="5DCE16E2">
            <w:pPr>
              <w:spacing w:line="360" w:lineRule="auto"/>
              <w:rPr>
                <w:rFonts w:hint="eastAsia" w:ascii="宋体" w:hAnsi="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bCs/>
                <w:color w:val="auto"/>
                <w:szCs w:val="21"/>
                <w:highlight w:val="none"/>
                <w:lang w:eastAsia="zh-CN"/>
              </w:rPr>
              <w:t>前郭县医院DR维保服务项目</w:t>
            </w:r>
            <w:r>
              <w:rPr>
                <w:rFonts w:hint="eastAsia" w:ascii="宋体" w:hAnsi="宋体" w:cs="宋体"/>
                <w:bCs/>
                <w:color w:val="auto"/>
                <w:szCs w:val="21"/>
                <w:highlight w:val="none"/>
              </w:rPr>
              <w:t xml:space="preserve">  </w:t>
            </w:r>
          </w:p>
          <w:p w14:paraId="00C2DC7B">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w:t>
            </w:r>
            <w:r>
              <w:rPr>
                <w:rFonts w:hint="eastAsia" w:ascii="宋体" w:hAnsi="宋体" w:cs="宋体"/>
                <w:bCs/>
                <w:color w:val="auto"/>
                <w:szCs w:val="21"/>
                <w:highlight w:val="none"/>
                <w:lang w:val="en-US" w:eastAsia="zh-CN"/>
              </w:rPr>
              <w:t>采购计划-[2026]-00102号-RHJL-FW-2026-0527</w:t>
            </w:r>
          </w:p>
        </w:tc>
      </w:tr>
      <w:tr w14:paraId="529FA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511" w:type="pct"/>
            <w:noWrap w:val="0"/>
            <w:vAlign w:val="center"/>
          </w:tcPr>
          <w:p w14:paraId="35689D9C">
            <w:pPr>
              <w:jc w:val="center"/>
              <w:rPr>
                <w:rFonts w:hint="eastAsia" w:ascii="宋体" w:hAnsi="宋体" w:cs="宋体"/>
                <w:color w:val="auto"/>
                <w:szCs w:val="21"/>
                <w:highlight w:val="none"/>
              </w:rPr>
            </w:pPr>
            <w:r>
              <w:rPr>
                <w:rFonts w:hint="eastAsia" w:ascii="宋体" w:hAnsi="宋体" w:cs="宋体"/>
                <w:color w:val="auto"/>
                <w:szCs w:val="21"/>
                <w:highlight w:val="none"/>
              </w:rPr>
              <w:t>1.2.1</w:t>
            </w:r>
          </w:p>
        </w:tc>
        <w:tc>
          <w:tcPr>
            <w:tcW w:w="775" w:type="pct"/>
            <w:noWrap w:val="0"/>
            <w:vAlign w:val="center"/>
          </w:tcPr>
          <w:p w14:paraId="3911227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zh-CN"/>
              </w:rPr>
              <w:t>资金来源</w:t>
            </w:r>
          </w:p>
        </w:tc>
        <w:tc>
          <w:tcPr>
            <w:tcW w:w="3712" w:type="pct"/>
            <w:noWrap w:val="0"/>
            <w:vAlign w:val="center"/>
          </w:tcPr>
          <w:p w14:paraId="241DE94E">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自有资金</w:t>
            </w:r>
          </w:p>
        </w:tc>
      </w:tr>
      <w:tr w14:paraId="7FD81D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1F605B58">
            <w:pPr>
              <w:jc w:val="center"/>
              <w:rPr>
                <w:rFonts w:hint="eastAsia" w:ascii="宋体" w:hAnsi="宋体" w:cs="宋体"/>
                <w:color w:val="auto"/>
                <w:szCs w:val="21"/>
                <w:highlight w:val="none"/>
              </w:rPr>
            </w:pPr>
            <w:r>
              <w:rPr>
                <w:rFonts w:hint="eastAsia" w:ascii="宋体" w:hAnsi="宋体" w:cs="宋体"/>
                <w:color w:val="auto"/>
                <w:szCs w:val="21"/>
                <w:highlight w:val="none"/>
              </w:rPr>
              <w:t>1.2.2</w:t>
            </w:r>
          </w:p>
        </w:tc>
        <w:tc>
          <w:tcPr>
            <w:tcW w:w="775" w:type="pct"/>
            <w:noWrap w:val="0"/>
            <w:vAlign w:val="center"/>
          </w:tcPr>
          <w:p w14:paraId="356D300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资金落实</w:t>
            </w:r>
          </w:p>
          <w:p w14:paraId="05ED2F6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情况</w:t>
            </w:r>
          </w:p>
        </w:tc>
        <w:tc>
          <w:tcPr>
            <w:tcW w:w="3712" w:type="pct"/>
            <w:noWrap w:val="0"/>
            <w:vAlign w:val="center"/>
          </w:tcPr>
          <w:p w14:paraId="0DBBE8EE">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已落实</w:t>
            </w:r>
          </w:p>
        </w:tc>
      </w:tr>
      <w:tr w14:paraId="7A224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7BAFCF01">
            <w:pPr>
              <w:jc w:val="center"/>
              <w:rPr>
                <w:rFonts w:hint="eastAsia" w:ascii="宋体" w:hAnsi="宋体" w:cs="宋体"/>
                <w:color w:val="auto"/>
                <w:szCs w:val="21"/>
                <w:highlight w:val="none"/>
              </w:rPr>
            </w:pPr>
            <w:r>
              <w:rPr>
                <w:rFonts w:hint="eastAsia" w:ascii="宋体" w:hAnsi="宋体" w:cs="宋体"/>
                <w:color w:val="auto"/>
                <w:szCs w:val="21"/>
                <w:highlight w:val="none"/>
              </w:rPr>
              <w:t>1.3.1</w:t>
            </w:r>
          </w:p>
        </w:tc>
        <w:tc>
          <w:tcPr>
            <w:tcW w:w="775" w:type="pct"/>
            <w:noWrap w:val="0"/>
            <w:vAlign w:val="center"/>
          </w:tcPr>
          <w:p w14:paraId="5708277F">
            <w:pPr>
              <w:spacing w:line="360" w:lineRule="auto"/>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采购需求</w:t>
            </w:r>
          </w:p>
        </w:tc>
        <w:tc>
          <w:tcPr>
            <w:tcW w:w="3712" w:type="pct"/>
            <w:noWrap w:val="0"/>
            <w:vAlign w:val="center"/>
          </w:tcPr>
          <w:p w14:paraId="584329F1">
            <w:pPr>
              <w:spacing w:line="360" w:lineRule="auto"/>
              <w:outlineLvl w:val="2"/>
              <w:rPr>
                <w:rFonts w:hint="eastAsia" w:ascii="宋体" w:hAnsi="宋体" w:cs="宋体"/>
                <w:color w:val="auto"/>
                <w:szCs w:val="21"/>
                <w:highlight w:val="none"/>
              </w:rPr>
            </w:pPr>
            <w:r>
              <w:rPr>
                <w:rFonts w:hint="eastAsia" w:ascii="宋体" w:hAnsi="宋体" w:eastAsia="宋体" w:cs="宋体"/>
                <w:bCs/>
                <w:color w:val="auto"/>
                <w:szCs w:val="21"/>
                <w:highlight w:val="none"/>
                <w:lang w:val="en-US" w:eastAsia="zh-CN"/>
              </w:rPr>
              <w:t>DR维保，详细内容见“第五章 采购需求”。</w:t>
            </w:r>
          </w:p>
        </w:tc>
      </w:tr>
      <w:tr w14:paraId="06468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1B8E4BB0">
            <w:pPr>
              <w:jc w:val="center"/>
              <w:rPr>
                <w:rFonts w:hint="eastAsia" w:ascii="宋体" w:hAnsi="宋体" w:cs="宋体"/>
                <w:color w:val="auto"/>
                <w:szCs w:val="21"/>
                <w:highlight w:val="none"/>
              </w:rPr>
            </w:pPr>
            <w:r>
              <w:rPr>
                <w:rFonts w:hint="eastAsia" w:ascii="宋体" w:hAnsi="宋体" w:cs="宋体"/>
                <w:color w:val="auto"/>
                <w:szCs w:val="21"/>
                <w:highlight w:val="none"/>
              </w:rPr>
              <w:t>1.3.2</w:t>
            </w:r>
          </w:p>
        </w:tc>
        <w:tc>
          <w:tcPr>
            <w:tcW w:w="775" w:type="pct"/>
            <w:noWrap w:val="0"/>
            <w:vAlign w:val="center"/>
          </w:tcPr>
          <w:p w14:paraId="5BB2DC77">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合同履行期限（服务期限）</w:t>
            </w:r>
          </w:p>
        </w:tc>
        <w:tc>
          <w:tcPr>
            <w:tcW w:w="3712" w:type="pct"/>
            <w:noWrap w:val="0"/>
            <w:vAlign w:val="center"/>
          </w:tcPr>
          <w:p w14:paraId="736E5F4B">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3年</w:t>
            </w:r>
            <w:r>
              <w:rPr>
                <w:rFonts w:hint="eastAsia" w:ascii="宋体" w:hAnsi="宋体" w:eastAsia="宋体" w:cs="宋体"/>
                <w:color w:val="auto"/>
                <w:szCs w:val="21"/>
                <w:highlight w:val="none"/>
                <w:lang w:val="en-US" w:eastAsia="zh-CN"/>
              </w:rPr>
              <w:t>。</w:t>
            </w:r>
          </w:p>
        </w:tc>
      </w:tr>
      <w:tr w14:paraId="0DDD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773301C2">
            <w:pPr>
              <w:jc w:val="center"/>
              <w:rPr>
                <w:rFonts w:hint="eastAsia" w:ascii="宋体" w:hAnsi="宋体" w:cs="宋体"/>
                <w:color w:val="auto"/>
                <w:szCs w:val="21"/>
                <w:highlight w:val="none"/>
              </w:rPr>
            </w:pPr>
            <w:r>
              <w:rPr>
                <w:rFonts w:hint="eastAsia" w:ascii="宋体" w:hAnsi="宋体" w:cs="宋体"/>
                <w:color w:val="auto"/>
                <w:szCs w:val="21"/>
                <w:highlight w:val="none"/>
              </w:rPr>
              <w:t>1.3.3</w:t>
            </w:r>
          </w:p>
        </w:tc>
        <w:tc>
          <w:tcPr>
            <w:tcW w:w="775" w:type="pct"/>
            <w:noWrap w:val="0"/>
            <w:vAlign w:val="center"/>
          </w:tcPr>
          <w:p w14:paraId="740CB0CE">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服务标准</w:t>
            </w:r>
          </w:p>
        </w:tc>
        <w:tc>
          <w:tcPr>
            <w:tcW w:w="3712" w:type="pct"/>
            <w:noWrap w:val="0"/>
            <w:vAlign w:val="center"/>
          </w:tcPr>
          <w:p w14:paraId="002BA2E0">
            <w:pPr>
              <w:spacing w:line="360" w:lineRule="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符合国家及行业合格标准，提供优质服务。</w:t>
            </w:r>
          </w:p>
        </w:tc>
      </w:tr>
      <w:tr w14:paraId="554F8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165ED7BC">
            <w:pPr>
              <w:jc w:val="center"/>
              <w:rPr>
                <w:rFonts w:hint="eastAsia" w:ascii="宋体" w:hAnsi="宋体" w:cs="宋体"/>
                <w:color w:val="auto"/>
                <w:szCs w:val="21"/>
                <w:highlight w:val="none"/>
              </w:rPr>
            </w:pPr>
            <w:r>
              <w:rPr>
                <w:rFonts w:hint="eastAsia" w:ascii="宋体" w:hAnsi="宋体" w:cs="宋体"/>
                <w:color w:val="auto"/>
                <w:szCs w:val="21"/>
                <w:highlight w:val="none"/>
              </w:rPr>
              <w:t>1.4.1</w:t>
            </w:r>
          </w:p>
        </w:tc>
        <w:tc>
          <w:tcPr>
            <w:tcW w:w="775" w:type="pct"/>
            <w:noWrap w:val="0"/>
            <w:vAlign w:val="center"/>
          </w:tcPr>
          <w:p w14:paraId="7203F0E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供应商资质条件、能力</w:t>
            </w:r>
          </w:p>
        </w:tc>
        <w:tc>
          <w:tcPr>
            <w:tcW w:w="3712" w:type="pct"/>
            <w:noWrap w:val="0"/>
            <w:vAlign w:val="center"/>
          </w:tcPr>
          <w:p w14:paraId="46D99C3C">
            <w:pPr>
              <w:spacing w:line="360" w:lineRule="auto"/>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1.满足《中华人民共和国政府采购法》第二十二条规定；</w:t>
            </w:r>
          </w:p>
          <w:p w14:paraId="47D12E87">
            <w:pPr>
              <w:spacing w:line="360" w:lineRule="auto"/>
              <w:ind w:firstLine="420" w:firstLineChars="200"/>
              <w:rPr>
                <w:rFonts w:hint="eastAsia" w:ascii="宋体" w:hAnsi="宋体" w:eastAsia="宋体" w:cs="宋体"/>
                <w:bCs/>
                <w:color w:val="FF0000"/>
                <w:szCs w:val="21"/>
                <w:highlight w:val="none"/>
                <w:lang w:val="en-US" w:eastAsia="zh-CN"/>
              </w:rPr>
            </w:pPr>
            <w:r>
              <w:rPr>
                <w:rFonts w:hint="eastAsia" w:ascii="宋体" w:hAnsi="宋体" w:eastAsia="宋体" w:cs="宋体"/>
                <w:bCs/>
                <w:color w:val="auto"/>
                <w:szCs w:val="21"/>
                <w:highlight w:val="none"/>
                <w:lang w:val="en-US" w:eastAsia="zh-CN"/>
              </w:rPr>
              <w:t>2.落实政府采购政策需满足的资格要求：</w:t>
            </w:r>
            <w:r>
              <w:rPr>
                <w:rFonts w:hint="eastAsia" w:ascii="宋体" w:hAnsi="宋体" w:eastAsia="宋体" w:cs="宋体"/>
                <w:snapToGrid w:val="0"/>
                <w:color w:val="auto"/>
                <w:kern w:val="0"/>
                <w:sz w:val="21"/>
                <w:szCs w:val="21"/>
                <w:highlight w:val="none"/>
                <w:lang w:eastAsia="zh-CN"/>
              </w:rPr>
              <w:t>本项目为专门面向中小企业，本项目采购标的对应的企业划分标准所属行业为</w:t>
            </w:r>
            <w:r>
              <w:rPr>
                <w:rFonts w:hint="eastAsia" w:ascii="宋体" w:hAnsi="宋体" w:eastAsia="宋体" w:cs="宋体"/>
                <w:sz w:val="21"/>
                <w:szCs w:val="21"/>
                <w:highlight w:val="none"/>
                <w:lang w:val="en-US" w:eastAsia="zh-CN"/>
              </w:rPr>
              <w:t>其他未列明行业</w:t>
            </w:r>
            <w:r>
              <w:rPr>
                <w:rFonts w:hint="eastAsia" w:ascii="宋体" w:hAnsi="宋体" w:eastAsia="宋体" w:cs="宋体"/>
                <w:snapToGrid w:val="0"/>
                <w:color w:val="auto"/>
                <w:kern w:val="0"/>
                <w:sz w:val="21"/>
                <w:szCs w:val="21"/>
                <w:highlight w:val="none"/>
                <w:lang w:eastAsia="zh-CN"/>
              </w:rPr>
              <w:t>。</w:t>
            </w:r>
          </w:p>
          <w:p w14:paraId="7E51FCDF">
            <w:pPr>
              <w:spacing w:line="360" w:lineRule="auto"/>
              <w:ind w:firstLine="420" w:firstLineChars="200"/>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3.本项目的特定资格要求：</w:t>
            </w:r>
          </w:p>
          <w:p w14:paraId="4673107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sz w:val="21"/>
                <w:szCs w:val="21"/>
                <w:highlight w:val="none"/>
                <w:lang w:val="en-US" w:eastAsia="zh-CN"/>
              </w:rPr>
              <w:t>须</w:t>
            </w:r>
            <w:r>
              <w:rPr>
                <w:rFonts w:hint="eastAsia" w:ascii="宋体" w:hAnsi="宋体" w:eastAsia="宋体" w:cs="宋体"/>
                <w:sz w:val="21"/>
                <w:szCs w:val="21"/>
                <w:highlight w:val="none"/>
                <w:lang w:val="zh-CN" w:eastAsia="zh-CN"/>
              </w:rPr>
              <w:t>具有独立法人资格</w:t>
            </w:r>
            <w:r>
              <w:rPr>
                <w:rFonts w:hint="eastAsia" w:ascii="宋体" w:hAnsi="宋体" w:eastAsia="宋体" w:cs="宋体"/>
                <w:sz w:val="21"/>
                <w:szCs w:val="21"/>
                <w:highlight w:val="none"/>
                <w:lang w:val="en-US" w:eastAsia="zh-CN"/>
              </w:rPr>
              <w:t>或其他组织</w:t>
            </w: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en-US" w:eastAsia="zh-CN"/>
              </w:rPr>
              <w:t>具备有效的营业执照，具备能够履行合同所必需的设备和专业技术能力</w:t>
            </w:r>
            <w:r>
              <w:rPr>
                <w:rFonts w:hint="eastAsia" w:ascii="宋体" w:hAnsi="宋体" w:cs="宋体"/>
                <w:sz w:val="21"/>
                <w:szCs w:val="21"/>
                <w:highlight w:val="none"/>
                <w:lang w:val="en-US" w:eastAsia="zh-CN"/>
              </w:rPr>
              <w:t>；</w:t>
            </w:r>
          </w:p>
          <w:p w14:paraId="45C0E22B">
            <w:pPr>
              <w:widowControl/>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具有有效的基本户的银行开户许可证或基本存款账户信息</w:t>
            </w:r>
            <w:r>
              <w:rPr>
                <w:rFonts w:hint="eastAsia" w:ascii="宋体" w:hAnsi="宋体" w:cs="宋体"/>
                <w:color w:val="auto"/>
                <w:sz w:val="21"/>
                <w:szCs w:val="21"/>
                <w:highlight w:val="none"/>
                <w:lang w:val="en-US" w:eastAsia="zh-CN"/>
              </w:rPr>
              <w:t>；</w:t>
            </w:r>
          </w:p>
          <w:p w14:paraId="2ED61CC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具有近一年</w:t>
            </w:r>
            <w:r>
              <w:rPr>
                <w:rFonts w:hint="eastAsia" w:ascii="宋体" w:hAnsi="宋体" w:eastAsia="宋体" w:cs="宋体"/>
                <w:color w:val="auto"/>
                <w:sz w:val="21"/>
                <w:szCs w:val="21"/>
                <w:highlight w:val="none"/>
                <w:lang w:val="en-US" w:eastAsia="zh-CN"/>
              </w:rPr>
              <w:t>内任意一个月</w:t>
            </w:r>
            <w:r>
              <w:rPr>
                <w:rFonts w:hint="eastAsia" w:ascii="宋体" w:hAnsi="宋体" w:eastAsia="宋体" w:cs="宋体"/>
                <w:color w:val="auto"/>
                <w:sz w:val="21"/>
                <w:szCs w:val="21"/>
                <w:highlight w:val="none"/>
              </w:rPr>
              <w:t>缴税凭证或完税凭证（依法免税的，应提供相应文件证明其依法免税）；</w:t>
            </w:r>
          </w:p>
          <w:p w14:paraId="0DC194DD">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4</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具有近一年</w:t>
            </w:r>
            <w:r>
              <w:rPr>
                <w:rFonts w:hint="eastAsia" w:ascii="宋体" w:hAnsi="宋体" w:eastAsia="宋体" w:cs="宋体"/>
                <w:color w:val="auto"/>
                <w:sz w:val="21"/>
                <w:szCs w:val="21"/>
                <w:highlight w:val="none"/>
                <w:lang w:val="en-US" w:eastAsia="zh-CN"/>
              </w:rPr>
              <w:t>内</w:t>
            </w:r>
            <w:r>
              <w:rPr>
                <w:rFonts w:hint="eastAsia" w:ascii="宋体" w:hAnsi="宋体" w:eastAsia="宋体" w:cs="宋体"/>
                <w:color w:val="auto"/>
                <w:sz w:val="21"/>
                <w:szCs w:val="21"/>
                <w:highlight w:val="none"/>
              </w:rPr>
              <w:t>任意一个月用人单位社会保险凭证或参保证明（依法不需要缴纳社会保险的，应提供相应文件证明其依法不需要缴纳社会保险）；</w:t>
            </w:r>
          </w:p>
          <w:p w14:paraId="2DE0DF9E">
            <w:pPr>
              <w:spacing w:line="360" w:lineRule="auto"/>
              <w:ind w:firstLine="420" w:firstLineChars="200"/>
              <w:rPr>
                <w:rFonts w:hint="eastAsia" w:ascii="宋体" w:hAnsi="宋体" w:eastAsia="宋体" w:cs="宋体"/>
                <w:snapToGrid w:val="0"/>
                <w:color w:val="auto"/>
                <w:kern w:val="0"/>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cs="宋体"/>
                <w:color w:val="auto"/>
                <w:sz w:val="21"/>
                <w:szCs w:val="21"/>
                <w:highlight w:val="none"/>
                <w:lang w:val="en-US" w:eastAsia="zh-CN"/>
              </w:rPr>
              <w:t>5供应商具有提交响应文件截止时间前三个月（2026年4月-2026年6月）内基本开户银行出具的资信证明或经会计师事务所审计的2025年度财务审计报告或2025年度供应商内部的财务报表（至少应包含资产负债表、现金流量表、利润表）</w:t>
            </w:r>
            <w:r>
              <w:rPr>
                <w:rFonts w:hint="eastAsia" w:ascii="宋体" w:hAnsi="宋体" w:eastAsia="宋体" w:cs="宋体"/>
                <w:snapToGrid w:val="0"/>
                <w:color w:val="auto"/>
                <w:kern w:val="0"/>
                <w:sz w:val="21"/>
                <w:szCs w:val="21"/>
                <w:highlight w:val="none"/>
                <w:lang w:val="en-US" w:eastAsia="zh-CN"/>
              </w:rPr>
              <w:t>；</w:t>
            </w:r>
          </w:p>
          <w:p w14:paraId="6BDA927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3.</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zh-CN" w:eastAsia="zh-CN"/>
              </w:rPr>
              <w:t>信誉要求：</w:t>
            </w:r>
            <w:r>
              <w:rPr>
                <w:rFonts w:hint="eastAsia" w:ascii="宋体" w:hAnsi="宋体" w:eastAsia="宋体" w:cs="宋体"/>
                <w:color w:val="auto"/>
                <w:sz w:val="21"/>
                <w:szCs w:val="21"/>
                <w:highlight w:val="none"/>
                <w:lang w:val="en-US" w:eastAsia="zh-CN"/>
              </w:rPr>
              <w:t>①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②参加政府采购活动前三年内，在经营活动中没有重大违法记录；③拒绝列入政府取消投标资格记录期间的企业或个人磋商。</w:t>
            </w:r>
          </w:p>
          <w:p w14:paraId="36D26CD2">
            <w:pPr>
              <w:spacing w:line="360" w:lineRule="auto"/>
              <w:ind w:firstLine="420" w:firstLineChars="200"/>
              <w:rPr>
                <w:rFonts w:hint="eastAsia" w:ascii="宋体" w:hAnsi="宋体" w:eastAsia="宋体" w:cs="宋体"/>
                <w:bCs/>
                <w:color w:val="auto"/>
                <w:szCs w:val="21"/>
                <w:highlight w:val="none"/>
                <w:lang w:val="zh-CN" w:eastAsia="zh-CN"/>
              </w:rPr>
            </w:pPr>
            <w:r>
              <w:rPr>
                <w:rFonts w:hint="eastAsia" w:ascii="宋体" w:hAnsi="宋体" w:eastAsia="宋体" w:cs="宋体"/>
                <w:sz w:val="21"/>
                <w:szCs w:val="21"/>
                <w:highlight w:val="none"/>
                <w:lang w:val="en-US" w:eastAsia="zh-CN"/>
              </w:rPr>
              <w:t>3.</w:t>
            </w:r>
            <w:r>
              <w:rPr>
                <w:rFonts w:hint="eastAsia" w:ascii="宋体" w:hAnsi="宋体" w:cs="宋体"/>
                <w:sz w:val="21"/>
                <w:szCs w:val="21"/>
                <w:highlight w:val="none"/>
                <w:lang w:val="en-US" w:eastAsia="zh-CN"/>
              </w:rPr>
              <w:t>7</w:t>
            </w:r>
            <w:r>
              <w:rPr>
                <w:rFonts w:hint="eastAsia" w:ascii="宋体" w:hAnsi="宋体" w:eastAsia="宋体" w:cs="宋体"/>
                <w:color w:val="auto"/>
                <w:sz w:val="21"/>
                <w:szCs w:val="21"/>
                <w:highlight w:val="none"/>
                <w:lang w:val="en-US" w:eastAsia="zh-CN"/>
              </w:rPr>
              <w:t>单位负责人为同一人或者存在控股、管理关系的不同单位，不得参加同一标段磋商或者未划分标段的同一采购项目磋商。</w:t>
            </w:r>
          </w:p>
        </w:tc>
      </w:tr>
      <w:tr w14:paraId="1BB1F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1A2D96E7">
            <w:pPr>
              <w:jc w:val="center"/>
              <w:rPr>
                <w:rFonts w:ascii="宋体" w:hAnsi="宋体" w:cs="宋体"/>
                <w:color w:val="auto"/>
                <w:szCs w:val="21"/>
                <w:highlight w:val="none"/>
              </w:rPr>
            </w:pPr>
            <w:r>
              <w:rPr>
                <w:rFonts w:hint="eastAsia" w:ascii="宋体" w:hAnsi="宋体" w:cs="宋体"/>
                <w:color w:val="auto"/>
                <w:szCs w:val="21"/>
                <w:highlight w:val="none"/>
              </w:rPr>
              <w:t>1.4.2</w:t>
            </w:r>
          </w:p>
        </w:tc>
        <w:tc>
          <w:tcPr>
            <w:tcW w:w="775" w:type="pct"/>
            <w:noWrap w:val="0"/>
            <w:vAlign w:val="center"/>
          </w:tcPr>
          <w:p w14:paraId="5518AAC3">
            <w:pPr>
              <w:spacing w:line="360" w:lineRule="auto"/>
              <w:jc w:val="center"/>
              <w:rPr>
                <w:rFonts w:hint="eastAsia" w:ascii="宋体" w:hAnsi="宋体" w:cs="宋体"/>
                <w:color w:val="auto"/>
                <w:szCs w:val="21"/>
                <w:highlight w:val="none"/>
              </w:rPr>
            </w:pPr>
            <w:r>
              <w:rPr>
                <w:rFonts w:hint="eastAsia"/>
                <w:color w:val="auto"/>
                <w:highlight w:val="none"/>
              </w:rPr>
              <w:t>是否接受联合体磋商</w:t>
            </w:r>
          </w:p>
        </w:tc>
        <w:tc>
          <w:tcPr>
            <w:tcW w:w="3712" w:type="pct"/>
            <w:noWrap w:val="0"/>
            <w:vAlign w:val="center"/>
          </w:tcPr>
          <w:p w14:paraId="3CFAEC37">
            <w:pPr>
              <w:spacing w:line="360" w:lineRule="auto"/>
              <w:rPr>
                <w:rFonts w:hint="eastAsia" w:ascii="宋体" w:hAnsi="宋体" w:cs="宋体"/>
                <w:color w:val="auto"/>
                <w:szCs w:val="21"/>
                <w:highlight w:val="none"/>
              </w:rPr>
            </w:pPr>
            <w:r>
              <w:rPr>
                <w:rFonts w:hint="eastAsia" w:ascii="宋体" w:hAnsi="宋体"/>
                <w:color w:val="auto"/>
                <w:szCs w:val="21"/>
                <w:highlight w:val="none"/>
              </w:rPr>
              <w:t>不接受</w:t>
            </w:r>
          </w:p>
        </w:tc>
      </w:tr>
      <w:tr w14:paraId="3E49E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6BE5FB19">
            <w:pPr>
              <w:jc w:val="center"/>
              <w:rPr>
                <w:rFonts w:hint="eastAsia" w:ascii="宋体" w:hAnsi="宋体" w:cs="宋体"/>
                <w:color w:val="auto"/>
                <w:szCs w:val="21"/>
                <w:highlight w:val="none"/>
              </w:rPr>
            </w:pPr>
            <w:r>
              <w:rPr>
                <w:rFonts w:hint="eastAsia" w:ascii="宋体" w:hAnsi="宋体" w:cs="宋体"/>
                <w:color w:val="auto"/>
                <w:szCs w:val="21"/>
                <w:highlight w:val="none"/>
              </w:rPr>
              <w:t>1.9.1</w:t>
            </w:r>
          </w:p>
        </w:tc>
        <w:tc>
          <w:tcPr>
            <w:tcW w:w="775" w:type="pct"/>
            <w:noWrap w:val="0"/>
            <w:vAlign w:val="center"/>
          </w:tcPr>
          <w:p w14:paraId="1C01AD0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踏勘现场</w:t>
            </w:r>
          </w:p>
        </w:tc>
        <w:tc>
          <w:tcPr>
            <w:tcW w:w="3712" w:type="pct"/>
            <w:noWrap w:val="0"/>
            <w:vAlign w:val="center"/>
          </w:tcPr>
          <w:p w14:paraId="15E67F8D">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不组织</w:t>
            </w:r>
          </w:p>
        </w:tc>
      </w:tr>
      <w:tr w14:paraId="4FD5C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511" w:type="pct"/>
            <w:noWrap w:val="0"/>
            <w:vAlign w:val="center"/>
          </w:tcPr>
          <w:p w14:paraId="13D94953">
            <w:pPr>
              <w:jc w:val="center"/>
              <w:rPr>
                <w:rFonts w:hint="eastAsia" w:ascii="宋体" w:hAnsi="宋体" w:cs="宋体"/>
                <w:color w:val="auto"/>
                <w:szCs w:val="21"/>
                <w:highlight w:val="none"/>
              </w:rPr>
            </w:pPr>
            <w:r>
              <w:rPr>
                <w:rFonts w:hint="eastAsia" w:ascii="宋体" w:hAnsi="宋体" w:cs="宋体"/>
                <w:color w:val="auto"/>
                <w:szCs w:val="21"/>
                <w:highlight w:val="none"/>
              </w:rPr>
              <w:t>1.10.1</w:t>
            </w:r>
          </w:p>
        </w:tc>
        <w:tc>
          <w:tcPr>
            <w:tcW w:w="775" w:type="pct"/>
            <w:noWrap w:val="0"/>
            <w:vAlign w:val="center"/>
          </w:tcPr>
          <w:p w14:paraId="7EF5BEC5">
            <w:pPr>
              <w:spacing w:line="360" w:lineRule="auto"/>
              <w:jc w:val="center"/>
              <w:rPr>
                <w:rFonts w:hint="eastAsia" w:ascii="宋体" w:hAnsi="宋体" w:cs="宋体"/>
                <w:color w:val="auto"/>
                <w:szCs w:val="21"/>
                <w:highlight w:val="none"/>
              </w:rPr>
            </w:pPr>
            <w:r>
              <w:rPr>
                <w:rFonts w:hint="eastAsia"/>
                <w:color w:val="auto"/>
                <w:highlight w:val="none"/>
              </w:rPr>
              <w:t>磋商预备会</w:t>
            </w:r>
          </w:p>
        </w:tc>
        <w:tc>
          <w:tcPr>
            <w:tcW w:w="3712" w:type="pct"/>
            <w:noWrap w:val="0"/>
            <w:vAlign w:val="center"/>
          </w:tcPr>
          <w:p w14:paraId="7A0BE4F0">
            <w:pPr>
              <w:pStyle w:val="8"/>
              <w:topLinePunct/>
              <w:spacing w:line="360" w:lineRule="auto"/>
              <w:rPr>
                <w:rFonts w:hint="eastAsia" w:hAnsi="宋体" w:cs="宋体"/>
                <w:color w:val="auto"/>
                <w:sz w:val="21"/>
                <w:szCs w:val="21"/>
                <w:highlight w:val="none"/>
              </w:rPr>
            </w:pPr>
            <w:r>
              <w:rPr>
                <w:rFonts w:hint="eastAsia" w:hAnsi="宋体" w:cs="宋体"/>
                <w:color w:val="auto"/>
                <w:sz w:val="21"/>
                <w:szCs w:val="21"/>
                <w:highlight w:val="none"/>
              </w:rPr>
              <w:t>不召开</w:t>
            </w:r>
          </w:p>
        </w:tc>
      </w:tr>
      <w:tr w14:paraId="33B56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09E9400B">
            <w:pPr>
              <w:jc w:val="center"/>
              <w:rPr>
                <w:rFonts w:hint="eastAsia" w:ascii="宋体" w:hAnsi="宋体" w:cs="宋体"/>
                <w:color w:val="auto"/>
                <w:szCs w:val="21"/>
                <w:highlight w:val="none"/>
              </w:rPr>
            </w:pPr>
            <w:r>
              <w:rPr>
                <w:rFonts w:hint="eastAsia" w:ascii="宋体" w:hAnsi="宋体" w:cs="宋体"/>
                <w:color w:val="auto"/>
                <w:szCs w:val="21"/>
                <w:highlight w:val="none"/>
              </w:rPr>
              <w:t>1.10.2</w:t>
            </w:r>
          </w:p>
        </w:tc>
        <w:tc>
          <w:tcPr>
            <w:tcW w:w="775" w:type="pct"/>
            <w:noWrap w:val="0"/>
            <w:vAlign w:val="center"/>
          </w:tcPr>
          <w:p w14:paraId="623DAC8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供应商提出问题的截止时间</w:t>
            </w:r>
          </w:p>
        </w:tc>
        <w:tc>
          <w:tcPr>
            <w:tcW w:w="3712" w:type="pct"/>
            <w:noWrap w:val="0"/>
            <w:vAlign w:val="center"/>
          </w:tcPr>
          <w:p w14:paraId="28BD2BCA">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提交首次响应文件截止时间5日前</w:t>
            </w:r>
          </w:p>
          <w:p w14:paraId="34010B2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问题的提交：书面形式。通过书面形式向采购人、采购代理机构提出疑问。同时提供纸质一式二份，加盖单位公章后递交到采购代理机构，逾期不再接收任何问题。</w:t>
            </w:r>
          </w:p>
        </w:tc>
      </w:tr>
      <w:tr w14:paraId="57650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511" w:type="pct"/>
            <w:noWrap w:val="0"/>
            <w:vAlign w:val="center"/>
          </w:tcPr>
          <w:p w14:paraId="774F8D41">
            <w:pPr>
              <w:jc w:val="center"/>
              <w:rPr>
                <w:rFonts w:hint="eastAsia" w:ascii="宋体" w:hAnsi="宋体" w:cs="宋体"/>
                <w:color w:val="auto"/>
                <w:szCs w:val="21"/>
                <w:highlight w:val="none"/>
              </w:rPr>
            </w:pPr>
            <w:r>
              <w:rPr>
                <w:rFonts w:hint="eastAsia" w:ascii="宋体" w:hAnsi="宋体" w:cs="宋体"/>
                <w:color w:val="auto"/>
                <w:szCs w:val="21"/>
                <w:highlight w:val="none"/>
              </w:rPr>
              <w:t>1.10.3</w:t>
            </w:r>
          </w:p>
        </w:tc>
        <w:tc>
          <w:tcPr>
            <w:tcW w:w="775" w:type="pct"/>
            <w:noWrap w:val="0"/>
            <w:vAlign w:val="center"/>
          </w:tcPr>
          <w:p w14:paraId="46DA092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采购人书面澄清的时间</w:t>
            </w:r>
          </w:p>
        </w:tc>
        <w:tc>
          <w:tcPr>
            <w:tcW w:w="3712" w:type="pct"/>
            <w:noWrap w:val="0"/>
            <w:vAlign w:val="center"/>
          </w:tcPr>
          <w:p w14:paraId="43D36054">
            <w:pPr>
              <w:spacing w:line="360"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提交响应文件</w:t>
            </w:r>
            <w:r>
              <w:rPr>
                <w:rFonts w:hint="eastAsia" w:ascii="宋体" w:hAnsi="宋体" w:cs="宋体"/>
                <w:color w:val="auto"/>
                <w:szCs w:val="21"/>
                <w:highlight w:val="none"/>
              </w:rPr>
              <w:t>截止时间5日前提出</w:t>
            </w:r>
          </w:p>
          <w:p w14:paraId="3599D616">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请潜在供应商在参加与本项目活动期间关注网站信息，所有有意愿的供应商有义务在网上自行查询，无需书面回复。</w:t>
            </w:r>
          </w:p>
        </w:tc>
      </w:tr>
      <w:tr w14:paraId="387EA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5182AC15">
            <w:pPr>
              <w:jc w:val="center"/>
              <w:rPr>
                <w:rFonts w:hint="eastAsia" w:ascii="宋体" w:hAnsi="宋体" w:cs="宋体"/>
                <w:color w:val="auto"/>
                <w:szCs w:val="21"/>
                <w:highlight w:val="none"/>
              </w:rPr>
            </w:pPr>
            <w:r>
              <w:rPr>
                <w:rFonts w:hint="eastAsia" w:ascii="宋体" w:hAnsi="宋体" w:cs="宋体"/>
                <w:color w:val="auto"/>
                <w:szCs w:val="21"/>
                <w:highlight w:val="none"/>
              </w:rPr>
              <w:t>1.11</w:t>
            </w:r>
          </w:p>
        </w:tc>
        <w:tc>
          <w:tcPr>
            <w:tcW w:w="775" w:type="pct"/>
            <w:noWrap w:val="0"/>
            <w:vAlign w:val="center"/>
          </w:tcPr>
          <w:p w14:paraId="5BDE39B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偏离</w:t>
            </w:r>
          </w:p>
        </w:tc>
        <w:tc>
          <w:tcPr>
            <w:tcW w:w="3712" w:type="pct"/>
            <w:noWrap w:val="0"/>
            <w:vAlign w:val="center"/>
          </w:tcPr>
          <w:p w14:paraId="1DBEAD0B">
            <w:pPr>
              <w:pStyle w:val="8"/>
              <w:topLinePunct/>
              <w:spacing w:line="360" w:lineRule="auto"/>
              <w:rPr>
                <w:rFonts w:hint="eastAsia" w:hAnsi="宋体" w:cs="宋体"/>
                <w:color w:val="auto"/>
                <w:sz w:val="21"/>
                <w:szCs w:val="21"/>
                <w:highlight w:val="none"/>
              </w:rPr>
            </w:pPr>
            <w:r>
              <w:rPr>
                <w:rFonts w:hint="eastAsia" w:hAnsi="宋体" w:cs="宋体"/>
                <w:color w:val="auto"/>
                <w:sz w:val="21"/>
                <w:szCs w:val="21"/>
                <w:highlight w:val="none"/>
              </w:rPr>
              <w:t>不允许</w:t>
            </w:r>
          </w:p>
        </w:tc>
      </w:tr>
      <w:tr w14:paraId="1FBA6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0A9FFC9B">
            <w:pPr>
              <w:jc w:val="center"/>
              <w:rPr>
                <w:rFonts w:hint="eastAsia" w:ascii="宋体" w:hAnsi="宋体" w:cs="宋体"/>
                <w:color w:val="auto"/>
                <w:szCs w:val="21"/>
                <w:highlight w:val="none"/>
              </w:rPr>
            </w:pPr>
            <w:r>
              <w:rPr>
                <w:rFonts w:hint="eastAsia" w:ascii="宋体" w:hAnsi="宋体" w:cs="宋体"/>
                <w:color w:val="auto"/>
                <w:szCs w:val="21"/>
                <w:highlight w:val="none"/>
              </w:rPr>
              <w:t xml:space="preserve">1.12 </w:t>
            </w:r>
          </w:p>
        </w:tc>
        <w:tc>
          <w:tcPr>
            <w:tcW w:w="775" w:type="pct"/>
            <w:noWrap w:val="0"/>
            <w:vAlign w:val="center"/>
          </w:tcPr>
          <w:p w14:paraId="1209973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分包</w:t>
            </w:r>
          </w:p>
        </w:tc>
        <w:tc>
          <w:tcPr>
            <w:tcW w:w="3712" w:type="pct"/>
            <w:noWrap w:val="0"/>
            <w:vAlign w:val="center"/>
          </w:tcPr>
          <w:p w14:paraId="13A3C563">
            <w:pPr>
              <w:pStyle w:val="8"/>
              <w:topLinePunct/>
              <w:spacing w:line="360" w:lineRule="auto"/>
              <w:rPr>
                <w:rFonts w:hint="eastAsia" w:hAnsi="宋体" w:cs="宋体"/>
                <w:color w:val="auto"/>
                <w:sz w:val="21"/>
                <w:szCs w:val="21"/>
                <w:highlight w:val="none"/>
                <w:lang w:val="zh-CN"/>
              </w:rPr>
            </w:pPr>
            <w:r>
              <w:rPr>
                <w:rFonts w:hint="eastAsia" w:hAnsi="宋体" w:cs="宋体"/>
                <w:color w:val="auto"/>
                <w:sz w:val="21"/>
                <w:szCs w:val="21"/>
                <w:highlight w:val="none"/>
              </w:rPr>
              <w:t>不允许</w:t>
            </w:r>
          </w:p>
        </w:tc>
      </w:tr>
      <w:tr w14:paraId="07CDC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3C4E8596">
            <w:pPr>
              <w:jc w:val="center"/>
              <w:rPr>
                <w:rFonts w:hint="eastAsia" w:ascii="宋体" w:hAnsi="宋体" w:cs="宋体"/>
                <w:color w:val="auto"/>
                <w:szCs w:val="21"/>
                <w:highlight w:val="none"/>
              </w:rPr>
            </w:pPr>
            <w:r>
              <w:rPr>
                <w:rFonts w:hint="eastAsia" w:ascii="宋体" w:hAnsi="宋体" w:cs="宋体"/>
                <w:color w:val="auto"/>
                <w:szCs w:val="21"/>
                <w:highlight w:val="none"/>
              </w:rPr>
              <w:t>2.1</w:t>
            </w:r>
          </w:p>
        </w:tc>
        <w:tc>
          <w:tcPr>
            <w:tcW w:w="775" w:type="pct"/>
            <w:noWrap w:val="0"/>
            <w:vAlign w:val="center"/>
          </w:tcPr>
          <w:p w14:paraId="0D0087C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构成竞争性磋商文件的其他材料</w:t>
            </w:r>
          </w:p>
        </w:tc>
        <w:tc>
          <w:tcPr>
            <w:tcW w:w="3712" w:type="pct"/>
            <w:noWrap w:val="0"/>
            <w:vAlign w:val="center"/>
          </w:tcPr>
          <w:p w14:paraId="01351FF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补充文件、更正公告等（如有）</w:t>
            </w:r>
          </w:p>
        </w:tc>
      </w:tr>
      <w:tr w14:paraId="41B0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4025629D">
            <w:pPr>
              <w:jc w:val="center"/>
              <w:rPr>
                <w:rFonts w:hint="eastAsia" w:ascii="宋体" w:hAnsi="宋体" w:cs="宋体"/>
                <w:color w:val="auto"/>
                <w:szCs w:val="21"/>
                <w:highlight w:val="none"/>
              </w:rPr>
            </w:pPr>
            <w:r>
              <w:rPr>
                <w:rFonts w:hint="eastAsia" w:ascii="宋体" w:hAnsi="宋体" w:cs="宋体"/>
                <w:color w:val="auto"/>
                <w:szCs w:val="21"/>
                <w:highlight w:val="none"/>
              </w:rPr>
              <w:t>2.2.1</w:t>
            </w:r>
          </w:p>
        </w:tc>
        <w:tc>
          <w:tcPr>
            <w:tcW w:w="775" w:type="pct"/>
            <w:noWrap w:val="0"/>
            <w:vAlign w:val="center"/>
          </w:tcPr>
          <w:p w14:paraId="3215D770">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供应商要求澄清竞争性磋商文件的截止时间</w:t>
            </w:r>
          </w:p>
        </w:tc>
        <w:tc>
          <w:tcPr>
            <w:tcW w:w="3712" w:type="pct"/>
            <w:noWrap w:val="0"/>
            <w:vAlign w:val="center"/>
          </w:tcPr>
          <w:p w14:paraId="2DBF2EC6">
            <w:pPr>
              <w:spacing w:line="360" w:lineRule="auto"/>
              <w:rPr>
                <w:rFonts w:hint="eastAsia" w:ascii="宋体" w:hAnsi="宋体" w:cs="宋体"/>
                <w:color w:val="auto"/>
                <w:szCs w:val="21"/>
                <w:highlight w:val="none"/>
              </w:rPr>
            </w:pPr>
            <w:r>
              <w:rPr>
                <w:rFonts w:hint="eastAsia" w:ascii="宋体" w:hAnsi="宋体"/>
                <w:color w:val="auto"/>
                <w:szCs w:val="21"/>
                <w:highlight w:val="none"/>
              </w:rPr>
              <w:t>提交首次响应文件截止时间5日前</w:t>
            </w:r>
          </w:p>
        </w:tc>
      </w:tr>
      <w:tr w14:paraId="4D8E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016F0203">
            <w:pPr>
              <w:jc w:val="center"/>
              <w:rPr>
                <w:rFonts w:hint="eastAsia" w:ascii="宋体" w:hAnsi="宋体" w:cs="宋体"/>
                <w:color w:val="auto"/>
                <w:szCs w:val="21"/>
                <w:highlight w:val="none"/>
              </w:rPr>
            </w:pPr>
            <w:r>
              <w:rPr>
                <w:rFonts w:hint="eastAsia" w:ascii="宋体" w:hAnsi="宋体" w:cs="宋体"/>
                <w:color w:val="auto"/>
                <w:szCs w:val="21"/>
                <w:highlight w:val="none"/>
              </w:rPr>
              <w:t>2.2.2</w:t>
            </w:r>
          </w:p>
        </w:tc>
        <w:tc>
          <w:tcPr>
            <w:tcW w:w="775" w:type="pct"/>
            <w:noWrap w:val="0"/>
            <w:vAlign w:val="center"/>
          </w:tcPr>
          <w:p w14:paraId="21846664">
            <w:pPr>
              <w:spacing w:line="360" w:lineRule="auto"/>
              <w:jc w:val="center"/>
              <w:rPr>
                <w:rFonts w:hint="eastAsia" w:ascii="宋体" w:hAnsi="宋体" w:cs="宋体"/>
                <w:color w:val="auto"/>
                <w:szCs w:val="21"/>
                <w:highlight w:val="none"/>
              </w:rPr>
            </w:pPr>
            <w:r>
              <w:rPr>
                <w:color w:val="auto"/>
                <w:highlight w:val="none"/>
              </w:rPr>
              <w:t>响应文件递交截止时间</w:t>
            </w:r>
          </w:p>
        </w:tc>
        <w:tc>
          <w:tcPr>
            <w:tcW w:w="3712" w:type="pct"/>
            <w:noWrap w:val="0"/>
            <w:vAlign w:val="center"/>
          </w:tcPr>
          <w:p w14:paraId="1A1B3FBF">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分（北京时间）</w:t>
            </w:r>
          </w:p>
        </w:tc>
      </w:tr>
      <w:tr w14:paraId="0ECFF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77B57492">
            <w:pPr>
              <w:jc w:val="center"/>
              <w:rPr>
                <w:rFonts w:hint="eastAsia" w:ascii="宋体" w:hAnsi="宋体" w:cs="宋体"/>
                <w:color w:val="auto"/>
                <w:szCs w:val="21"/>
                <w:highlight w:val="none"/>
              </w:rPr>
            </w:pPr>
            <w:r>
              <w:rPr>
                <w:rFonts w:hint="eastAsia" w:ascii="宋体" w:hAnsi="宋体" w:cs="宋体"/>
                <w:color w:val="auto"/>
                <w:szCs w:val="21"/>
                <w:highlight w:val="none"/>
              </w:rPr>
              <w:t>2.2.3</w:t>
            </w:r>
          </w:p>
        </w:tc>
        <w:tc>
          <w:tcPr>
            <w:tcW w:w="775" w:type="pct"/>
            <w:noWrap w:val="0"/>
            <w:vAlign w:val="center"/>
          </w:tcPr>
          <w:p w14:paraId="73404435">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供应商确认收到竞争性磋商文件澄清的时间</w:t>
            </w:r>
          </w:p>
        </w:tc>
        <w:tc>
          <w:tcPr>
            <w:tcW w:w="3712" w:type="pct"/>
            <w:noWrap w:val="0"/>
            <w:vAlign w:val="center"/>
          </w:tcPr>
          <w:p w14:paraId="3827EED4">
            <w:pPr>
              <w:spacing w:line="360" w:lineRule="auto"/>
              <w:rPr>
                <w:rFonts w:hint="eastAsia" w:ascii="宋体" w:hAnsi="宋体" w:cs="宋体"/>
                <w:color w:val="auto"/>
                <w:szCs w:val="21"/>
                <w:highlight w:val="none"/>
              </w:rPr>
            </w:pPr>
            <w:r>
              <w:rPr>
                <w:rFonts w:hint="eastAsia"/>
                <w:color w:val="auto"/>
                <w:szCs w:val="21"/>
                <w:highlight w:val="none"/>
              </w:rPr>
              <w:t>请潜在供应商在参加本项目活动期间关注“政采云”平台信息，所有有磋商意愿的供应商有义务在网上自行查询，无需书面回复。响应文件的澄清文件、答疑文件、补遗文件一经发布即视为已告知了所有已获取响应文件的供应商，且供应商也已经收到并明确了该澄清文件的内容。供应商须主动阅知。</w:t>
            </w:r>
          </w:p>
        </w:tc>
      </w:tr>
      <w:tr w14:paraId="1D023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06DBDB1A">
            <w:pPr>
              <w:jc w:val="center"/>
              <w:rPr>
                <w:rFonts w:hint="eastAsia" w:ascii="宋体" w:hAnsi="宋体" w:cs="宋体"/>
                <w:color w:val="auto"/>
                <w:szCs w:val="21"/>
                <w:highlight w:val="none"/>
              </w:rPr>
            </w:pPr>
            <w:r>
              <w:rPr>
                <w:rFonts w:hint="eastAsia" w:ascii="宋体" w:hAnsi="宋体" w:cs="宋体"/>
                <w:color w:val="auto"/>
                <w:szCs w:val="21"/>
                <w:highlight w:val="none"/>
              </w:rPr>
              <w:t>2.3.2</w:t>
            </w:r>
          </w:p>
        </w:tc>
        <w:tc>
          <w:tcPr>
            <w:tcW w:w="775" w:type="pct"/>
            <w:noWrap w:val="0"/>
            <w:vAlign w:val="center"/>
          </w:tcPr>
          <w:p w14:paraId="6D8F0232">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供应商确认收到竞争性磋商文件修改的时间</w:t>
            </w:r>
          </w:p>
        </w:tc>
        <w:tc>
          <w:tcPr>
            <w:tcW w:w="3712" w:type="pct"/>
            <w:noWrap w:val="0"/>
            <w:vAlign w:val="center"/>
          </w:tcPr>
          <w:p w14:paraId="3164C321">
            <w:pPr>
              <w:spacing w:line="360" w:lineRule="auto"/>
              <w:rPr>
                <w:rFonts w:hint="eastAsia" w:ascii="宋体" w:hAnsi="宋体" w:cs="宋体"/>
                <w:color w:val="auto"/>
                <w:szCs w:val="21"/>
                <w:highlight w:val="none"/>
              </w:rPr>
            </w:pPr>
            <w:r>
              <w:rPr>
                <w:rFonts w:hint="eastAsia"/>
                <w:color w:val="auto"/>
                <w:szCs w:val="21"/>
                <w:highlight w:val="none"/>
              </w:rPr>
              <w:t>请潜在供应商在参加本项目活动期间关注“政采云”平台信息，所有有磋商意愿的供应商有义务在网上自行查询，无需书面回复。响应文件的澄清文件、答疑文件、补遗文件一经发布即视为已告知了所有已获取响应文件的供应商，且供应商也已经收到并明确了该澄清文件的内容。供应商须主动阅知。</w:t>
            </w:r>
          </w:p>
        </w:tc>
      </w:tr>
      <w:tr w14:paraId="4176B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67BE8ECF">
            <w:pPr>
              <w:jc w:val="center"/>
              <w:rPr>
                <w:rFonts w:hint="eastAsia" w:ascii="宋体" w:hAnsi="宋体" w:cs="宋体"/>
                <w:color w:val="auto"/>
                <w:szCs w:val="21"/>
                <w:highlight w:val="none"/>
              </w:rPr>
            </w:pPr>
            <w:r>
              <w:rPr>
                <w:rFonts w:hint="eastAsia" w:ascii="宋体" w:hAnsi="宋体" w:cs="宋体"/>
                <w:color w:val="auto"/>
                <w:szCs w:val="21"/>
                <w:highlight w:val="none"/>
              </w:rPr>
              <w:t>3.1.1</w:t>
            </w:r>
          </w:p>
        </w:tc>
        <w:tc>
          <w:tcPr>
            <w:tcW w:w="775" w:type="pct"/>
            <w:noWrap w:val="0"/>
            <w:vAlign w:val="center"/>
          </w:tcPr>
          <w:p w14:paraId="04E196A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构成响应文件的其他材料</w:t>
            </w:r>
          </w:p>
        </w:tc>
        <w:tc>
          <w:tcPr>
            <w:tcW w:w="3712" w:type="pct"/>
            <w:noWrap w:val="0"/>
            <w:vAlign w:val="center"/>
          </w:tcPr>
          <w:p w14:paraId="33BB3C3C">
            <w:pPr>
              <w:spacing w:line="360" w:lineRule="auto"/>
              <w:rPr>
                <w:rFonts w:hint="eastAsia" w:ascii="宋体" w:hAnsi="宋体" w:cs="宋体"/>
                <w:color w:val="auto"/>
                <w:szCs w:val="21"/>
                <w:highlight w:val="none"/>
              </w:rPr>
            </w:pPr>
            <w:r>
              <w:rPr>
                <w:rFonts w:hint="eastAsia" w:ascii="宋体" w:hAnsi="宋体"/>
                <w:color w:val="auto"/>
                <w:szCs w:val="21"/>
                <w:highlight w:val="none"/>
              </w:rPr>
              <w:t>评标办法中要求的资料</w:t>
            </w:r>
          </w:p>
        </w:tc>
      </w:tr>
      <w:tr w14:paraId="3383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4B92DED8">
            <w:pPr>
              <w:jc w:val="center"/>
              <w:rPr>
                <w:rFonts w:ascii="宋体" w:hAnsi="宋体" w:cs="宋体"/>
                <w:color w:val="auto"/>
                <w:szCs w:val="21"/>
                <w:highlight w:val="none"/>
              </w:rPr>
            </w:pPr>
            <w:r>
              <w:rPr>
                <w:rFonts w:hint="eastAsia" w:ascii="宋体" w:hAnsi="宋体" w:cs="宋体"/>
                <w:color w:val="auto"/>
                <w:szCs w:val="21"/>
                <w:highlight w:val="none"/>
              </w:rPr>
              <w:t>3.2.3</w:t>
            </w:r>
          </w:p>
        </w:tc>
        <w:tc>
          <w:tcPr>
            <w:tcW w:w="775" w:type="pct"/>
            <w:noWrap w:val="0"/>
            <w:vAlign w:val="center"/>
          </w:tcPr>
          <w:p w14:paraId="74ED3867">
            <w:pPr>
              <w:spacing w:line="360" w:lineRule="auto"/>
              <w:jc w:val="center"/>
              <w:rPr>
                <w:rFonts w:hint="eastAsia"/>
                <w:color w:val="auto"/>
                <w:highlight w:val="none"/>
              </w:rPr>
            </w:pPr>
            <w:r>
              <w:rPr>
                <w:rFonts w:hint="eastAsia" w:ascii="宋体" w:hAnsi="宋体"/>
                <w:color w:val="auto"/>
                <w:szCs w:val="21"/>
                <w:highlight w:val="none"/>
              </w:rPr>
              <w:t>报价的次数</w:t>
            </w:r>
          </w:p>
        </w:tc>
        <w:tc>
          <w:tcPr>
            <w:tcW w:w="3712" w:type="pct"/>
            <w:noWrap w:val="0"/>
            <w:vAlign w:val="center"/>
          </w:tcPr>
          <w:p w14:paraId="40BDC488">
            <w:pPr>
              <w:spacing w:line="360" w:lineRule="auto"/>
              <w:rPr>
                <w:rFonts w:hint="eastAsia" w:ascii="宋体" w:hAnsi="宋体"/>
                <w:color w:val="auto"/>
                <w:szCs w:val="21"/>
                <w:highlight w:val="none"/>
              </w:rPr>
            </w:pPr>
            <w:r>
              <w:rPr>
                <w:rFonts w:hint="eastAsia" w:ascii="宋体" w:hAnsi="宋体"/>
                <w:color w:val="auto"/>
                <w:szCs w:val="21"/>
                <w:highlight w:val="none"/>
              </w:rPr>
              <w:t>2次</w:t>
            </w:r>
          </w:p>
        </w:tc>
      </w:tr>
      <w:tr w14:paraId="3514B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0B9A6A65">
            <w:pPr>
              <w:jc w:val="center"/>
              <w:rPr>
                <w:rFonts w:hint="eastAsia" w:ascii="宋体" w:hAnsi="宋体" w:cs="宋体"/>
                <w:color w:val="auto"/>
                <w:szCs w:val="21"/>
                <w:highlight w:val="none"/>
              </w:rPr>
            </w:pPr>
            <w:r>
              <w:rPr>
                <w:rFonts w:hint="eastAsia" w:ascii="宋体" w:hAnsi="宋体" w:cs="宋体"/>
                <w:color w:val="auto"/>
                <w:szCs w:val="21"/>
                <w:highlight w:val="none"/>
              </w:rPr>
              <w:t>3.2.4</w:t>
            </w:r>
          </w:p>
        </w:tc>
        <w:tc>
          <w:tcPr>
            <w:tcW w:w="775" w:type="pct"/>
            <w:noWrap w:val="0"/>
            <w:vAlign w:val="center"/>
          </w:tcPr>
          <w:p w14:paraId="115977B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最高限价</w:t>
            </w:r>
          </w:p>
        </w:tc>
        <w:tc>
          <w:tcPr>
            <w:tcW w:w="3712" w:type="pct"/>
            <w:noWrap w:val="0"/>
            <w:vAlign w:val="center"/>
          </w:tcPr>
          <w:p w14:paraId="012EFCD9">
            <w:pPr>
              <w:spacing w:line="360" w:lineRule="auto"/>
              <w:rPr>
                <w:rFonts w:hint="eastAsia" w:ascii="宋体" w:hAnsi="宋体" w:cs="宋体"/>
                <w:color w:val="auto"/>
                <w:szCs w:val="21"/>
                <w:highlight w:val="none"/>
              </w:rPr>
            </w:pPr>
            <w:r>
              <w:rPr>
                <w:rFonts w:hint="eastAsia" w:ascii="宋体" w:hAnsi="宋体" w:cs="宋体"/>
                <w:bCs/>
                <w:color w:val="auto"/>
                <w:szCs w:val="21"/>
                <w:highlight w:val="none"/>
                <w:lang w:val="en-US" w:eastAsia="zh-CN"/>
              </w:rPr>
              <w:t>525000.00</w:t>
            </w:r>
            <w:r>
              <w:rPr>
                <w:rFonts w:hint="eastAsia" w:ascii="宋体" w:hAnsi="宋体" w:eastAsia="宋体" w:cs="宋体"/>
                <w:bCs/>
                <w:color w:val="auto"/>
                <w:szCs w:val="21"/>
                <w:highlight w:val="none"/>
                <w:lang w:val="en-US" w:eastAsia="zh-CN"/>
              </w:rPr>
              <w:t>元</w:t>
            </w:r>
            <w:r>
              <w:rPr>
                <w:rFonts w:hint="eastAsia"/>
                <w:color w:val="auto"/>
                <w:highlight w:val="none"/>
              </w:rPr>
              <w:t>（首次报价及最后报价不得超过</w:t>
            </w:r>
            <w:r>
              <w:rPr>
                <w:rFonts w:hint="eastAsia"/>
                <w:color w:val="auto"/>
                <w:highlight w:val="none"/>
                <w:lang w:val="zh-CN"/>
              </w:rPr>
              <w:t>竞争性磋商最高限价</w:t>
            </w: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否则</w:t>
            </w:r>
            <w:r>
              <w:rPr>
                <w:rFonts w:hint="eastAsia"/>
                <w:color w:val="auto"/>
                <w:highlight w:val="none"/>
              </w:rPr>
              <w:t>视为无效报价，响应文件将被否决。）</w:t>
            </w:r>
          </w:p>
        </w:tc>
      </w:tr>
      <w:tr w14:paraId="42191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5470879F">
            <w:pPr>
              <w:jc w:val="center"/>
              <w:rPr>
                <w:rFonts w:hint="eastAsia" w:ascii="宋体" w:hAnsi="宋体" w:cs="宋体"/>
                <w:color w:val="auto"/>
                <w:szCs w:val="21"/>
                <w:highlight w:val="none"/>
              </w:rPr>
            </w:pPr>
            <w:r>
              <w:rPr>
                <w:rFonts w:hint="eastAsia" w:ascii="宋体" w:hAnsi="宋体" w:cs="宋体"/>
                <w:color w:val="auto"/>
                <w:szCs w:val="21"/>
                <w:highlight w:val="none"/>
              </w:rPr>
              <w:t>3.3.1</w:t>
            </w:r>
          </w:p>
        </w:tc>
        <w:tc>
          <w:tcPr>
            <w:tcW w:w="775" w:type="pct"/>
            <w:noWrap w:val="0"/>
            <w:vAlign w:val="center"/>
          </w:tcPr>
          <w:p w14:paraId="3B89B2AE">
            <w:pPr>
              <w:spacing w:line="360" w:lineRule="auto"/>
              <w:jc w:val="center"/>
              <w:rPr>
                <w:rFonts w:hint="eastAsia" w:ascii="宋体" w:hAnsi="宋体" w:cs="宋体"/>
                <w:color w:val="auto"/>
                <w:szCs w:val="21"/>
                <w:highlight w:val="none"/>
              </w:rPr>
            </w:pPr>
            <w:r>
              <w:rPr>
                <w:rFonts w:hint="eastAsia"/>
                <w:color w:val="auto"/>
                <w:highlight w:val="none"/>
              </w:rPr>
              <w:t>响应有效期</w:t>
            </w:r>
          </w:p>
        </w:tc>
        <w:tc>
          <w:tcPr>
            <w:tcW w:w="3712" w:type="pct"/>
            <w:noWrap w:val="0"/>
            <w:vAlign w:val="center"/>
          </w:tcPr>
          <w:p w14:paraId="2A9AF86D">
            <w:pPr>
              <w:spacing w:line="360" w:lineRule="auto"/>
              <w:rPr>
                <w:rFonts w:hint="eastAsia" w:ascii="宋体" w:hAnsi="宋体" w:cs="宋体"/>
                <w:color w:val="auto"/>
                <w:szCs w:val="21"/>
                <w:highlight w:val="none"/>
              </w:rPr>
            </w:pPr>
            <w:r>
              <w:rPr>
                <w:rFonts w:hint="eastAsia" w:ascii="宋体" w:hAnsi="宋体" w:cs="宋体"/>
                <w:color w:val="auto"/>
                <w:kern w:val="0"/>
                <w:szCs w:val="21"/>
                <w:highlight w:val="none"/>
                <w:lang w:val="en-US" w:eastAsia="zh-CN"/>
              </w:rPr>
              <w:t>提交响应文件</w:t>
            </w:r>
            <w:r>
              <w:rPr>
                <w:rFonts w:hint="eastAsia" w:ascii="宋体" w:hAnsi="宋体" w:cs="宋体"/>
                <w:color w:val="auto"/>
                <w:kern w:val="0"/>
                <w:szCs w:val="21"/>
                <w:highlight w:val="none"/>
              </w:rPr>
              <w:t>截止之日起90天</w:t>
            </w:r>
          </w:p>
        </w:tc>
      </w:tr>
      <w:tr w14:paraId="34BC9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540F8588">
            <w:pPr>
              <w:jc w:val="center"/>
              <w:rPr>
                <w:rFonts w:hint="eastAsia" w:ascii="宋体" w:hAnsi="宋体" w:cs="宋体"/>
                <w:color w:val="auto"/>
                <w:szCs w:val="21"/>
                <w:highlight w:val="none"/>
              </w:rPr>
            </w:pPr>
            <w:r>
              <w:rPr>
                <w:rFonts w:hint="eastAsia" w:ascii="宋体" w:hAnsi="宋体" w:cs="宋体"/>
                <w:color w:val="auto"/>
                <w:szCs w:val="21"/>
                <w:highlight w:val="none"/>
              </w:rPr>
              <w:t>3.4.1</w:t>
            </w:r>
          </w:p>
        </w:tc>
        <w:tc>
          <w:tcPr>
            <w:tcW w:w="775" w:type="pct"/>
            <w:noWrap w:val="0"/>
            <w:vAlign w:val="center"/>
          </w:tcPr>
          <w:p w14:paraId="64F771C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保证金</w:t>
            </w:r>
          </w:p>
        </w:tc>
        <w:tc>
          <w:tcPr>
            <w:tcW w:w="3712" w:type="pct"/>
            <w:noWrap w:val="0"/>
            <w:vAlign w:val="center"/>
          </w:tcPr>
          <w:p w14:paraId="6FDDA241">
            <w:pPr>
              <w:spacing w:line="360" w:lineRule="auto"/>
              <w:jc w:val="left"/>
              <w:rPr>
                <w:rFonts w:hint="eastAsia" w:cs="宋体"/>
                <w:color w:val="auto"/>
                <w:sz w:val="21"/>
                <w:szCs w:val="21"/>
                <w:highlight w:val="none"/>
              </w:rPr>
            </w:pPr>
            <w:r>
              <w:rPr>
                <w:rFonts w:hint="eastAsia"/>
                <w:color w:val="auto"/>
                <w:highlight w:val="none"/>
              </w:rPr>
              <w:t>无，按照《松原市优化提升营商环境建设60条》规定，本项目不设</w:t>
            </w:r>
            <w:r>
              <w:rPr>
                <w:rFonts w:hint="eastAsia"/>
                <w:color w:val="auto"/>
                <w:highlight w:val="none"/>
                <w:lang w:val="en-US" w:eastAsia="zh-CN"/>
              </w:rPr>
              <w:t>谈判</w:t>
            </w:r>
            <w:r>
              <w:rPr>
                <w:rFonts w:hint="eastAsia"/>
                <w:color w:val="auto"/>
                <w:highlight w:val="none"/>
              </w:rPr>
              <w:t>保证金。</w:t>
            </w:r>
            <w:r>
              <w:rPr>
                <w:rFonts w:hint="eastAsia" w:ascii="宋体" w:hAnsi="宋体"/>
                <w:szCs w:val="21"/>
                <w:highlight w:val="none"/>
              </w:rPr>
              <w:t xml:space="preserve"> </w:t>
            </w:r>
          </w:p>
        </w:tc>
      </w:tr>
      <w:tr w14:paraId="135B3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2B8EDE20">
            <w:pPr>
              <w:jc w:val="center"/>
              <w:rPr>
                <w:rFonts w:hint="eastAsia" w:ascii="宋体" w:hAnsi="宋体" w:cs="宋体"/>
                <w:color w:val="auto"/>
                <w:szCs w:val="21"/>
                <w:highlight w:val="none"/>
              </w:rPr>
            </w:pPr>
            <w:r>
              <w:rPr>
                <w:rFonts w:hint="eastAsia" w:ascii="宋体" w:hAnsi="宋体" w:cs="宋体"/>
                <w:color w:val="auto"/>
                <w:szCs w:val="21"/>
                <w:highlight w:val="none"/>
              </w:rPr>
              <w:t>3.5.2</w:t>
            </w:r>
          </w:p>
        </w:tc>
        <w:tc>
          <w:tcPr>
            <w:tcW w:w="775" w:type="pct"/>
            <w:noWrap w:val="0"/>
            <w:vAlign w:val="center"/>
          </w:tcPr>
          <w:p w14:paraId="104F17E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近年财务状况的年份要求</w:t>
            </w:r>
          </w:p>
        </w:tc>
        <w:tc>
          <w:tcPr>
            <w:tcW w:w="3712" w:type="pct"/>
            <w:noWrap w:val="0"/>
            <w:vAlign w:val="center"/>
          </w:tcPr>
          <w:p w14:paraId="2991AEF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w:t>
            </w:r>
          </w:p>
        </w:tc>
      </w:tr>
      <w:tr w14:paraId="196C4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7470D678">
            <w:pPr>
              <w:jc w:val="center"/>
              <w:rPr>
                <w:rFonts w:hint="eastAsia" w:ascii="宋体" w:hAnsi="宋体" w:cs="宋体"/>
                <w:color w:val="auto"/>
                <w:szCs w:val="21"/>
                <w:highlight w:val="none"/>
              </w:rPr>
            </w:pPr>
            <w:r>
              <w:rPr>
                <w:rFonts w:hint="eastAsia" w:ascii="宋体" w:hAnsi="宋体" w:cs="宋体"/>
                <w:color w:val="auto"/>
                <w:szCs w:val="21"/>
                <w:highlight w:val="none"/>
              </w:rPr>
              <w:t>3.5.3</w:t>
            </w:r>
          </w:p>
        </w:tc>
        <w:tc>
          <w:tcPr>
            <w:tcW w:w="775" w:type="pct"/>
            <w:noWrap w:val="0"/>
            <w:vAlign w:val="center"/>
          </w:tcPr>
          <w:p w14:paraId="6EE5A9E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近年完成的类似项目的年份要求</w:t>
            </w:r>
          </w:p>
        </w:tc>
        <w:tc>
          <w:tcPr>
            <w:tcW w:w="3712" w:type="pct"/>
            <w:noWrap w:val="0"/>
            <w:vAlign w:val="center"/>
          </w:tcPr>
          <w:p w14:paraId="02585857">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1月1日</w:t>
            </w:r>
            <w:r>
              <w:rPr>
                <w:rFonts w:hint="eastAsia" w:ascii="宋体" w:hAnsi="宋体" w:cs="宋体"/>
                <w:color w:val="auto"/>
                <w:szCs w:val="21"/>
                <w:highlight w:val="none"/>
              </w:rPr>
              <w:t>－至今</w:t>
            </w:r>
          </w:p>
          <w:p w14:paraId="63F19476">
            <w:pPr>
              <w:spacing w:line="360" w:lineRule="auto"/>
              <w:rPr>
                <w:rFonts w:hint="eastAsia" w:ascii="宋体" w:hAnsi="宋体" w:cs="宋体"/>
                <w:color w:val="auto"/>
                <w:szCs w:val="21"/>
                <w:highlight w:val="none"/>
              </w:rPr>
            </w:pPr>
            <w:r>
              <w:rPr>
                <w:rFonts w:hint="eastAsia" w:ascii="宋体" w:hAnsi="宋体"/>
                <w:b/>
                <w:color w:val="auto"/>
                <w:szCs w:val="21"/>
                <w:highlight w:val="none"/>
              </w:rPr>
              <w:t>以</w:t>
            </w:r>
            <w:r>
              <w:rPr>
                <w:rFonts w:hint="eastAsia" w:ascii="宋体" w:hAnsi="宋体"/>
                <w:b/>
                <w:color w:val="auto"/>
                <w:szCs w:val="21"/>
                <w:highlight w:val="none"/>
                <w:lang w:val="en-US" w:eastAsia="zh-CN"/>
              </w:rPr>
              <w:t>合同签订</w:t>
            </w:r>
            <w:r>
              <w:rPr>
                <w:rFonts w:hint="eastAsia" w:ascii="宋体" w:hAnsi="宋体"/>
                <w:b/>
                <w:color w:val="auto"/>
                <w:szCs w:val="21"/>
                <w:highlight w:val="none"/>
              </w:rPr>
              <w:t>时间为准</w:t>
            </w:r>
          </w:p>
        </w:tc>
      </w:tr>
      <w:tr w14:paraId="5D115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4097CBDB">
            <w:pPr>
              <w:jc w:val="center"/>
              <w:rPr>
                <w:rFonts w:hint="eastAsia" w:ascii="宋体" w:hAnsi="宋体" w:cs="宋体"/>
                <w:color w:val="auto"/>
                <w:szCs w:val="21"/>
                <w:highlight w:val="none"/>
              </w:rPr>
            </w:pPr>
            <w:r>
              <w:rPr>
                <w:rFonts w:hint="eastAsia" w:ascii="宋体" w:hAnsi="宋体" w:cs="宋体"/>
                <w:color w:val="auto"/>
                <w:szCs w:val="21"/>
                <w:highlight w:val="none"/>
              </w:rPr>
              <w:t>3.5.5</w:t>
            </w:r>
          </w:p>
        </w:tc>
        <w:tc>
          <w:tcPr>
            <w:tcW w:w="775" w:type="pct"/>
            <w:noWrap w:val="0"/>
            <w:vAlign w:val="center"/>
          </w:tcPr>
          <w:p w14:paraId="30DCFFCA">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近年发生的诉讼及仲裁情况的年份要求</w:t>
            </w:r>
          </w:p>
        </w:tc>
        <w:tc>
          <w:tcPr>
            <w:tcW w:w="3712" w:type="pct"/>
            <w:noWrap w:val="0"/>
            <w:vAlign w:val="center"/>
          </w:tcPr>
          <w:p w14:paraId="734A99AF">
            <w:pPr>
              <w:spacing w:line="360" w:lineRule="auto"/>
              <w:rPr>
                <w:rFonts w:hint="eastAsia" w:ascii="宋体" w:hAnsi="宋体"/>
                <w:b/>
                <w:color w:val="auto"/>
                <w:szCs w:val="21"/>
                <w:highlight w:val="none"/>
              </w:rPr>
            </w:pPr>
            <w:r>
              <w:rPr>
                <w:rFonts w:hint="eastAsia" w:ascii="宋体" w:hAnsi="宋体"/>
                <w:color w:val="auto"/>
                <w:szCs w:val="21"/>
                <w:highlight w:val="none"/>
              </w:rPr>
              <w:t>202</w:t>
            </w:r>
            <w:r>
              <w:rPr>
                <w:rFonts w:hint="eastAsia" w:ascii="宋体" w:hAnsi="宋体"/>
                <w:color w:val="auto"/>
                <w:szCs w:val="21"/>
                <w:highlight w:val="none"/>
                <w:lang w:val="en-US" w:eastAsia="zh-CN"/>
              </w:rPr>
              <w:t>3</w:t>
            </w:r>
            <w:r>
              <w:rPr>
                <w:rFonts w:hint="eastAsia" w:ascii="宋体" w:hAnsi="宋体"/>
                <w:color w:val="auto"/>
                <w:szCs w:val="21"/>
                <w:highlight w:val="none"/>
              </w:rPr>
              <w:t>年</w:t>
            </w:r>
            <w:r>
              <w:rPr>
                <w:rFonts w:hint="eastAsia" w:ascii="宋体" w:hAnsi="宋体" w:cs="宋体"/>
                <w:color w:val="auto"/>
                <w:szCs w:val="21"/>
                <w:highlight w:val="none"/>
                <w:lang w:val="en-US" w:eastAsia="zh-CN"/>
              </w:rPr>
              <w:t>1月1日-</w:t>
            </w:r>
            <w:r>
              <w:rPr>
                <w:rFonts w:hint="eastAsia" w:ascii="宋体" w:hAnsi="宋体"/>
                <w:color w:val="auto"/>
                <w:szCs w:val="21"/>
                <w:highlight w:val="none"/>
              </w:rPr>
              <w:t>至今</w:t>
            </w:r>
          </w:p>
        </w:tc>
      </w:tr>
      <w:tr w14:paraId="228A2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7D2C779E">
            <w:pPr>
              <w:jc w:val="center"/>
              <w:rPr>
                <w:rFonts w:ascii="宋体" w:hAnsi="宋体" w:cs="宋体"/>
                <w:color w:val="auto"/>
                <w:szCs w:val="21"/>
                <w:highlight w:val="none"/>
              </w:rPr>
            </w:pPr>
            <w:r>
              <w:rPr>
                <w:rFonts w:hint="eastAsia" w:ascii="宋体" w:hAnsi="宋体" w:cs="宋体"/>
                <w:color w:val="auto"/>
                <w:szCs w:val="21"/>
                <w:highlight w:val="none"/>
              </w:rPr>
              <w:t>3.6</w:t>
            </w:r>
          </w:p>
        </w:tc>
        <w:tc>
          <w:tcPr>
            <w:tcW w:w="775" w:type="pct"/>
            <w:noWrap w:val="0"/>
            <w:vAlign w:val="center"/>
          </w:tcPr>
          <w:p w14:paraId="44BA214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是否允许递交备选投标方案</w:t>
            </w:r>
          </w:p>
        </w:tc>
        <w:tc>
          <w:tcPr>
            <w:tcW w:w="3712" w:type="pct"/>
            <w:noWrap w:val="0"/>
            <w:vAlign w:val="center"/>
          </w:tcPr>
          <w:p w14:paraId="65F523E9">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不允许</w:t>
            </w:r>
          </w:p>
        </w:tc>
      </w:tr>
      <w:tr w14:paraId="5CBE4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001D23CF">
            <w:pPr>
              <w:jc w:val="center"/>
              <w:rPr>
                <w:rFonts w:hint="eastAsia" w:ascii="宋体" w:hAnsi="宋体" w:cs="宋体"/>
                <w:color w:val="auto"/>
                <w:szCs w:val="21"/>
                <w:highlight w:val="none"/>
              </w:rPr>
            </w:pPr>
            <w:r>
              <w:rPr>
                <w:rFonts w:hint="eastAsia" w:ascii="宋体" w:hAnsi="宋体" w:cs="宋体"/>
                <w:color w:val="auto"/>
                <w:szCs w:val="21"/>
                <w:highlight w:val="none"/>
              </w:rPr>
              <w:t>3.7.3</w:t>
            </w:r>
          </w:p>
        </w:tc>
        <w:tc>
          <w:tcPr>
            <w:tcW w:w="775" w:type="pct"/>
            <w:noWrap w:val="0"/>
            <w:vAlign w:val="center"/>
          </w:tcPr>
          <w:p w14:paraId="0ABD424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签字或盖章</w:t>
            </w:r>
          </w:p>
          <w:p w14:paraId="7D9701C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要求</w:t>
            </w:r>
          </w:p>
        </w:tc>
        <w:tc>
          <w:tcPr>
            <w:tcW w:w="3712" w:type="pct"/>
            <w:noWrap w:val="0"/>
            <w:vAlign w:val="center"/>
          </w:tcPr>
          <w:p w14:paraId="22B7772D">
            <w:pPr>
              <w:spacing w:line="360" w:lineRule="auto"/>
              <w:rPr>
                <w:rFonts w:hint="eastAsia" w:ascii="宋体" w:hAnsi="宋体" w:eastAsia="宋体" w:cs="宋体"/>
                <w:color w:val="auto"/>
                <w:kern w:val="0"/>
                <w:szCs w:val="21"/>
                <w:highlight w:val="none"/>
                <w:lang w:val="en-US" w:eastAsia="zh-CN"/>
              </w:rPr>
            </w:pPr>
            <w:r>
              <w:rPr>
                <w:rFonts w:hint="eastAsia" w:ascii="Times New Roman" w:hAnsi="Times New Roman" w:eastAsia="宋体" w:cs="Times New Roman"/>
                <w:color w:val="auto"/>
                <w:highlight w:val="none"/>
                <w:lang w:val="en-US" w:eastAsia="zh-CN"/>
              </w:rPr>
              <w:t>加密版响应文件：按政府采购云平台（网址：http://www.zcygov.cn）提供的格式及要求填写。</w:t>
            </w:r>
          </w:p>
        </w:tc>
      </w:tr>
      <w:tr w14:paraId="6B4A2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229047CB">
            <w:pPr>
              <w:jc w:val="center"/>
              <w:rPr>
                <w:rFonts w:hint="eastAsia" w:ascii="宋体" w:hAnsi="宋体" w:cs="宋体"/>
                <w:color w:val="auto"/>
                <w:szCs w:val="21"/>
                <w:highlight w:val="none"/>
              </w:rPr>
            </w:pPr>
            <w:r>
              <w:rPr>
                <w:rFonts w:hint="eastAsia" w:ascii="宋体" w:hAnsi="宋体" w:cs="宋体"/>
                <w:color w:val="auto"/>
                <w:szCs w:val="21"/>
                <w:highlight w:val="none"/>
              </w:rPr>
              <w:t>3.7.4</w:t>
            </w:r>
          </w:p>
        </w:tc>
        <w:tc>
          <w:tcPr>
            <w:tcW w:w="775" w:type="pct"/>
            <w:noWrap w:val="0"/>
            <w:vAlign w:val="center"/>
          </w:tcPr>
          <w:p w14:paraId="455B832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响应文件份数</w:t>
            </w:r>
          </w:p>
        </w:tc>
        <w:tc>
          <w:tcPr>
            <w:tcW w:w="3712" w:type="pct"/>
            <w:noWrap w:val="0"/>
            <w:vAlign w:val="center"/>
          </w:tcPr>
          <w:p w14:paraId="5B22A162">
            <w:pPr>
              <w:spacing w:line="360" w:lineRule="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供应商在“政采云”平台（http：//www.zcygov.cn）上制作响应文件一份（此响应文件须上传至“政采云”平台）。 </w:t>
            </w:r>
          </w:p>
        </w:tc>
      </w:tr>
      <w:tr w14:paraId="607C5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14A5722A">
            <w:pPr>
              <w:jc w:val="center"/>
              <w:rPr>
                <w:rFonts w:hint="eastAsia" w:ascii="宋体" w:hAnsi="宋体" w:cs="宋体"/>
                <w:color w:val="auto"/>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.2</w:t>
            </w:r>
          </w:p>
        </w:tc>
        <w:tc>
          <w:tcPr>
            <w:tcW w:w="775" w:type="pct"/>
            <w:noWrap w:val="0"/>
            <w:vAlign w:val="center"/>
          </w:tcPr>
          <w:p w14:paraId="7D54B829">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递交响应文件</w:t>
            </w:r>
          </w:p>
          <w:p w14:paraId="6B40DE1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地点</w:t>
            </w:r>
          </w:p>
        </w:tc>
        <w:tc>
          <w:tcPr>
            <w:tcW w:w="3712" w:type="pct"/>
            <w:noWrap w:val="0"/>
            <w:vAlign w:val="center"/>
          </w:tcPr>
          <w:p w14:paraId="51C0D254">
            <w:pPr>
              <w:spacing w:line="360" w:lineRule="auto"/>
              <w:rPr>
                <w:rFonts w:hint="eastAsia" w:ascii="宋体" w:hAnsi="宋体" w:cs="宋体"/>
                <w:color w:val="auto"/>
                <w:szCs w:val="21"/>
                <w:highlight w:val="none"/>
              </w:rPr>
            </w:pPr>
            <w:r>
              <w:rPr>
                <w:rFonts w:hint="eastAsia" w:ascii="宋体" w:hAnsi="宋体"/>
                <w:color w:val="auto"/>
                <w:szCs w:val="21"/>
                <w:highlight w:val="none"/>
              </w:rPr>
              <w:t>电子版上传至</w:t>
            </w:r>
            <w:r>
              <w:rPr>
                <w:rFonts w:hint="eastAsia" w:ascii="宋体" w:hAnsi="宋体"/>
                <w:color w:val="auto"/>
                <w:szCs w:val="21"/>
                <w:highlight w:val="none"/>
                <w:lang w:val="zh-CN"/>
              </w:rPr>
              <w:t>政府采购云平台</w:t>
            </w:r>
            <w:r>
              <w:rPr>
                <w:rFonts w:hint="eastAsia" w:ascii="宋体" w:hAnsi="宋体"/>
                <w:color w:val="auto"/>
                <w:szCs w:val="21"/>
                <w:highlight w:val="none"/>
              </w:rPr>
              <w:t>（</w:t>
            </w:r>
            <w:r>
              <w:rPr>
                <w:rFonts w:hint="eastAsia" w:ascii="宋体" w:hAnsi="宋体"/>
                <w:color w:val="auto"/>
                <w:szCs w:val="21"/>
                <w:highlight w:val="none"/>
                <w:lang w:val="zh-CN"/>
              </w:rPr>
              <w:t>网址</w:t>
            </w:r>
            <w:r>
              <w:rPr>
                <w:rFonts w:hint="eastAsia" w:ascii="宋体" w:hAnsi="宋体"/>
                <w:color w:val="auto"/>
                <w:szCs w:val="21"/>
                <w:highlight w:val="none"/>
              </w:rPr>
              <w:t>：http://</w:t>
            </w: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HYPERLINK "http://www.zcygov.cn）" </w:instrText>
            </w:r>
            <w:r>
              <w:rPr>
                <w:rFonts w:hint="eastAsia" w:ascii="宋体" w:hAnsi="宋体"/>
                <w:color w:val="auto"/>
                <w:szCs w:val="21"/>
                <w:highlight w:val="none"/>
              </w:rPr>
              <w:fldChar w:fldCharType="separate"/>
            </w:r>
            <w:r>
              <w:rPr>
                <w:rFonts w:hint="eastAsia" w:ascii="宋体" w:hAnsi="宋体"/>
                <w:color w:val="auto"/>
                <w:szCs w:val="21"/>
                <w:highlight w:val="none"/>
              </w:rPr>
              <w:t>www.zcygov.cn）</w:t>
            </w:r>
            <w:r>
              <w:rPr>
                <w:rFonts w:hint="eastAsia" w:ascii="宋体" w:hAnsi="宋体"/>
                <w:color w:val="auto"/>
                <w:szCs w:val="21"/>
                <w:highlight w:val="none"/>
              </w:rPr>
              <w:fldChar w:fldCharType="end"/>
            </w:r>
          </w:p>
        </w:tc>
      </w:tr>
      <w:tr w14:paraId="689A7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52D55369">
            <w:pPr>
              <w:jc w:val="center"/>
              <w:rPr>
                <w:rFonts w:hint="eastAsia" w:ascii="宋体" w:hAnsi="宋体" w:cs="宋体"/>
                <w:color w:val="auto"/>
                <w:szCs w:val="21"/>
                <w:highlight w:val="none"/>
              </w:rPr>
            </w:pPr>
            <w:r>
              <w:rPr>
                <w:rFonts w:hint="eastAsia" w:ascii="宋体" w:hAnsi="宋体" w:cs="宋体"/>
                <w:color w:val="auto"/>
                <w:szCs w:val="21"/>
                <w:highlight w:val="none"/>
              </w:rPr>
              <w:t>4.2.3</w:t>
            </w:r>
          </w:p>
        </w:tc>
        <w:tc>
          <w:tcPr>
            <w:tcW w:w="775" w:type="pct"/>
            <w:noWrap w:val="0"/>
            <w:vAlign w:val="center"/>
          </w:tcPr>
          <w:p w14:paraId="05C9124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是否退还响应文件</w:t>
            </w:r>
          </w:p>
        </w:tc>
        <w:tc>
          <w:tcPr>
            <w:tcW w:w="3712" w:type="pct"/>
            <w:noWrap w:val="0"/>
            <w:vAlign w:val="center"/>
          </w:tcPr>
          <w:p w14:paraId="74019254">
            <w:pPr>
              <w:spacing w:line="360" w:lineRule="auto"/>
              <w:rPr>
                <w:rFonts w:hint="eastAsia" w:ascii="宋体" w:hAnsi="宋体" w:cs="宋体"/>
                <w:color w:val="auto"/>
                <w:szCs w:val="21"/>
                <w:highlight w:val="none"/>
              </w:rPr>
            </w:pPr>
            <w:r>
              <w:rPr>
                <w:rFonts w:hint="eastAsia" w:ascii="宋体" w:hAnsi="宋体"/>
                <w:color w:val="auto"/>
                <w:szCs w:val="21"/>
                <w:highlight w:val="none"/>
              </w:rPr>
              <w:t>否</w:t>
            </w:r>
          </w:p>
        </w:tc>
      </w:tr>
      <w:tr w14:paraId="27F7D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04764CA2">
            <w:pPr>
              <w:jc w:val="center"/>
              <w:rPr>
                <w:rFonts w:hint="eastAsia" w:ascii="宋体" w:hAnsi="宋体" w:cs="宋体"/>
                <w:color w:val="auto"/>
                <w:szCs w:val="21"/>
                <w:highlight w:val="none"/>
              </w:rPr>
            </w:pPr>
            <w:r>
              <w:rPr>
                <w:rFonts w:hint="eastAsia" w:ascii="宋体" w:hAnsi="宋体" w:cs="宋体"/>
                <w:color w:val="auto"/>
                <w:szCs w:val="21"/>
                <w:highlight w:val="none"/>
              </w:rPr>
              <w:t>5.1</w:t>
            </w:r>
          </w:p>
        </w:tc>
        <w:tc>
          <w:tcPr>
            <w:tcW w:w="775" w:type="pct"/>
            <w:noWrap w:val="0"/>
            <w:vAlign w:val="center"/>
          </w:tcPr>
          <w:p w14:paraId="78F0CD86">
            <w:pPr>
              <w:spacing w:line="360" w:lineRule="auto"/>
              <w:jc w:val="center"/>
              <w:rPr>
                <w:rFonts w:hint="eastAsia"/>
                <w:color w:val="auto"/>
                <w:highlight w:val="none"/>
              </w:rPr>
            </w:pPr>
            <w:r>
              <w:rPr>
                <w:rFonts w:hint="eastAsia"/>
                <w:color w:val="auto"/>
                <w:highlight w:val="none"/>
              </w:rPr>
              <w:t>开启时间和</w:t>
            </w:r>
          </w:p>
          <w:p w14:paraId="0C4F3906">
            <w:pPr>
              <w:spacing w:line="360" w:lineRule="auto"/>
              <w:jc w:val="center"/>
              <w:rPr>
                <w:rFonts w:hint="eastAsia" w:ascii="宋体" w:hAnsi="宋体" w:cs="宋体"/>
                <w:color w:val="auto"/>
                <w:szCs w:val="21"/>
                <w:highlight w:val="none"/>
              </w:rPr>
            </w:pPr>
            <w:r>
              <w:rPr>
                <w:rFonts w:hint="eastAsia"/>
                <w:color w:val="auto"/>
                <w:highlight w:val="none"/>
              </w:rPr>
              <w:t>地点</w:t>
            </w:r>
          </w:p>
        </w:tc>
        <w:tc>
          <w:tcPr>
            <w:tcW w:w="3712" w:type="pct"/>
            <w:noWrap w:val="0"/>
            <w:vAlign w:val="center"/>
          </w:tcPr>
          <w:p w14:paraId="338A51E4">
            <w:pPr>
              <w:spacing w:line="360" w:lineRule="auto"/>
              <w:rPr>
                <w:rFonts w:hint="eastAsia" w:ascii="宋体" w:hAnsi="宋体" w:cs="宋体"/>
                <w:b/>
                <w:bCs/>
                <w:color w:val="auto"/>
                <w:szCs w:val="21"/>
                <w:highlight w:val="yellow"/>
              </w:rPr>
            </w:pPr>
            <w:r>
              <w:rPr>
                <w:rFonts w:hint="eastAsia" w:ascii="宋体" w:hAnsi="宋体" w:cs="宋体"/>
                <w:b/>
                <w:bCs/>
                <w:color w:val="auto"/>
                <w:szCs w:val="21"/>
                <w:highlight w:val="none"/>
              </w:rPr>
              <w:t>开</w:t>
            </w:r>
            <w:r>
              <w:rPr>
                <w:rFonts w:hint="eastAsia" w:ascii="宋体" w:hAnsi="宋体" w:cs="宋体"/>
                <w:b/>
                <w:bCs/>
                <w:color w:val="auto"/>
                <w:szCs w:val="21"/>
                <w:highlight w:val="none"/>
                <w:lang w:val="en-US" w:eastAsia="zh-CN"/>
              </w:rPr>
              <w:t>启</w:t>
            </w:r>
            <w:r>
              <w:rPr>
                <w:rFonts w:hint="eastAsia" w:ascii="宋体" w:hAnsi="宋体" w:cs="宋体"/>
                <w:b/>
                <w:bCs/>
                <w:color w:val="auto"/>
                <w:szCs w:val="21"/>
                <w:highlight w:val="none"/>
              </w:rPr>
              <w:t>时间：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日</w:t>
            </w:r>
            <w:r>
              <w:rPr>
                <w:rFonts w:hint="eastAsia" w:ascii="宋体" w:hAnsi="宋体" w:cs="宋体"/>
                <w:color w:val="auto"/>
                <w:szCs w:val="21"/>
                <w:highlight w:val="none"/>
                <w:lang w:val="en-US" w:eastAsia="zh-CN"/>
              </w:rPr>
              <w:t>13</w:t>
            </w:r>
            <w:r>
              <w:rPr>
                <w:rFonts w:hint="eastAsia" w:ascii="宋体" w:hAnsi="宋体" w:cs="宋体"/>
                <w:color w:val="auto"/>
                <w:szCs w:val="21"/>
                <w:highlight w:val="none"/>
              </w:rPr>
              <w:t>时</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p w14:paraId="03637C09">
            <w:pPr>
              <w:spacing w:line="360" w:lineRule="auto"/>
              <w:jc w:val="left"/>
              <w:rPr>
                <w:rFonts w:hint="eastAsia" w:ascii="宋体" w:hAnsi="宋体" w:cs="宋体"/>
                <w:color w:val="auto"/>
                <w:szCs w:val="21"/>
                <w:highlight w:val="none"/>
              </w:rPr>
            </w:pPr>
            <w:r>
              <w:rPr>
                <w:rFonts w:hint="eastAsia" w:ascii="宋体" w:hAnsi="宋体" w:cs="宋体"/>
                <w:b/>
                <w:bCs/>
                <w:color w:val="auto"/>
                <w:szCs w:val="21"/>
                <w:highlight w:val="none"/>
              </w:rPr>
              <w:t>地点：</w:t>
            </w:r>
            <w:r>
              <w:rPr>
                <w:rFonts w:hint="eastAsia" w:ascii="宋体" w:hAnsi="宋体" w:cs="宋体"/>
                <w:color w:val="auto"/>
                <w:sz w:val="21"/>
                <w:szCs w:val="21"/>
                <w:highlight w:val="none"/>
                <w:lang w:val="en-US" w:eastAsia="zh-CN"/>
              </w:rPr>
              <w:t>前郭尔罗斯蒙古族自治县政务服务运行保障中心4楼第一开标室（松原市前郭县哈达大街与源江东路交汇金福名居综合楼）</w:t>
            </w:r>
          </w:p>
        </w:tc>
      </w:tr>
      <w:tr w14:paraId="791CE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459184A4">
            <w:pPr>
              <w:jc w:val="center"/>
              <w:rPr>
                <w:rFonts w:hint="eastAsia" w:ascii="宋体" w:hAnsi="宋体" w:cs="宋体"/>
                <w:color w:val="auto"/>
                <w:szCs w:val="21"/>
                <w:highlight w:val="none"/>
              </w:rPr>
            </w:pPr>
            <w:r>
              <w:rPr>
                <w:rFonts w:hint="eastAsia" w:ascii="宋体" w:hAnsi="宋体" w:cs="宋体"/>
                <w:color w:val="auto"/>
                <w:szCs w:val="21"/>
                <w:highlight w:val="none"/>
              </w:rPr>
              <w:t>6.1.1</w:t>
            </w:r>
          </w:p>
        </w:tc>
        <w:tc>
          <w:tcPr>
            <w:tcW w:w="775" w:type="pct"/>
            <w:noWrap w:val="0"/>
            <w:vAlign w:val="center"/>
          </w:tcPr>
          <w:p w14:paraId="32AE9C14">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磋商小组</w:t>
            </w:r>
          </w:p>
          <w:p w14:paraId="6045810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的组建</w:t>
            </w:r>
          </w:p>
        </w:tc>
        <w:tc>
          <w:tcPr>
            <w:tcW w:w="3712" w:type="pct"/>
            <w:noWrap w:val="0"/>
            <w:vAlign w:val="center"/>
          </w:tcPr>
          <w:p w14:paraId="2BAF27A1">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磋商小组构成：</w:t>
            </w:r>
            <w:r>
              <w:rPr>
                <w:rFonts w:hint="eastAsia" w:ascii="宋体" w:hAnsi="宋体" w:cs="宋体"/>
                <w:lang w:val="en-US" w:eastAsia="zh-CN"/>
              </w:rPr>
              <w:t>3</w:t>
            </w:r>
            <w:r>
              <w:rPr>
                <w:rFonts w:hint="eastAsia" w:ascii="宋体" w:hAnsi="宋体" w:eastAsia="宋体" w:cs="宋体"/>
              </w:rPr>
              <w:t>人，其中</w:t>
            </w:r>
            <w:r>
              <w:rPr>
                <w:rFonts w:hint="eastAsia" w:ascii="宋体" w:hAnsi="宋体" w:eastAsia="宋体" w:cs="宋体"/>
                <w:lang w:eastAsia="zh-CN"/>
              </w:rPr>
              <w:t>采购</w:t>
            </w:r>
            <w:r>
              <w:rPr>
                <w:rFonts w:hint="eastAsia" w:ascii="宋体" w:hAnsi="宋体" w:eastAsia="宋体" w:cs="宋体"/>
              </w:rPr>
              <w:t>人代表</w:t>
            </w:r>
            <w:r>
              <w:rPr>
                <w:rFonts w:hint="eastAsia" w:ascii="宋体" w:hAnsi="宋体" w:cs="宋体"/>
                <w:lang w:val="en-US" w:eastAsia="zh-CN"/>
              </w:rPr>
              <w:t>1</w:t>
            </w:r>
            <w:r>
              <w:rPr>
                <w:rFonts w:hint="eastAsia" w:ascii="宋体" w:hAnsi="宋体" w:eastAsia="宋体" w:cs="宋体"/>
              </w:rPr>
              <w:t>人，有关技术、经济等方面的专家</w:t>
            </w:r>
            <w:r>
              <w:rPr>
                <w:rFonts w:hint="eastAsia" w:ascii="宋体" w:hAnsi="宋体" w:cs="宋体"/>
                <w:lang w:val="en-US" w:eastAsia="zh-CN"/>
              </w:rPr>
              <w:t>2</w:t>
            </w:r>
            <w:r>
              <w:rPr>
                <w:rFonts w:hint="eastAsia" w:ascii="宋体" w:hAnsi="宋体" w:eastAsia="宋体" w:cs="宋体"/>
              </w:rPr>
              <w:t>人组成。</w:t>
            </w:r>
          </w:p>
          <w:p w14:paraId="4915138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磋商小组评审专家确定方式：从依法设立的评审专家库中随机抽取。</w:t>
            </w:r>
          </w:p>
        </w:tc>
      </w:tr>
      <w:tr w14:paraId="7039A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16C73D81">
            <w:pPr>
              <w:jc w:val="center"/>
              <w:rPr>
                <w:rFonts w:hint="eastAsia" w:ascii="宋体" w:hAnsi="宋体" w:cs="宋体"/>
                <w:color w:val="auto"/>
                <w:szCs w:val="21"/>
                <w:highlight w:val="none"/>
              </w:rPr>
            </w:pPr>
            <w:r>
              <w:rPr>
                <w:rFonts w:hint="eastAsia" w:ascii="宋体" w:hAnsi="宋体" w:cs="宋体"/>
                <w:color w:val="auto"/>
                <w:szCs w:val="21"/>
                <w:highlight w:val="none"/>
              </w:rPr>
              <w:t>7.1</w:t>
            </w:r>
          </w:p>
        </w:tc>
        <w:tc>
          <w:tcPr>
            <w:tcW w:w="775" w:type="pct"/>
            <w:noWrap w:val="0"/>
            <w:vAlign w:val="center"/>
          </w:tcPr>
          <w:p w14:paraId="299CFB1C">
            <w:pPr>
              <w:spacing w:line="360" w:lineRule="auto"/>
              <w:jc w:val="center"/>
              <w:rPr>
                <w:rFonts w:hint="eastAsia" w:ascii="宋体" w:hAnsi="宋体" w:eastAsia="宋体" w:cs="宋体"/>
                <w:color w:val="auto"/>
                <w:szCs w:val="21"/>
                <w:highlight w:val="none"/>
                <w:lang w:val="en-US" w:eastAsia="zh-CN"/>
              </w:rPr>
            </w:pPr>
            <w:r>
              <w:rPr>
                <w:rFonts w:hint="eastAsia"/>
                <w:color w:val="auto"/>
                <w:highlight w:val="none"/>
              </w:rPr>
              <w:t>是否授权磋商小组确定成交</w:t>
            </w:r>
            <w:r>
              <w:rPr>
                <w:rFonts w:hint="eastAsia"/>
                <w:color w:val="auto"/>
                <w:highlight w:val="none"/>
                <w:lang w:val="en-US" w:eastAsia="zh-CN"/>
              </w:rPr>
              <w:t>供应商</w:t>
            </w:r>
          </w:p>
        </w:tc>
        <w:tc>
          <w:tcPr>
            <w:tcW w:w="3712" w:type="pct"/>
            <w:noWrap w:val="0"/>
            <w:vAlign w:val="center"/>
          </w:tcPr>
          <w:p w14:paraId="0A97404C">
            <w:pPr>
              <w:spacing w:line="360" w:lineRule="auto"/>
              <w:rPr>
                <w:rFonts w:hint="eastAsia" w:ascii="宋体" w:hAnsi="宋体"/>
                <w:color w:val="auto"/>
                <w:highlight w:val="none"/>
              </w:rPr>
            </w:pPr>
            <w:r>
              <w:rPr>
                <w:rFonts w:hint="eastAsia" w:ascii="宋体" w:hAnsi="宋体"/>
                <w:color w:val="auto"/>
                <w:highlight w:val="none"/>
              </w:rPr>
              <w:t>□是</w:t>
            </w:r>
          </w:p>
          <w:p w14:paraId="238BA7E2">
            <w:pPr>
              <w:spacing w:line="360" w:lineRule="auto"/>
              <w:rPr>
                <w:rFonts w:hint="eastAsia" w:ascii="宋体" w:hAnsi="宋体"/>
                <w:color w:val="auto"/>
                <w:highlight w:val="none"/>
              </w:rPr>
            </w:pPr>
            <w:r>
              <w:rPr>
                <w:rFonts w:hint="eastAsia" w:ascii="宋体" w:hAnsi="宋体"/>
                <w:color w:val="auto"/>
                <w:highlight w:val="none"/>
              </w:rPr>
              <w:fldChar w:fldCharType="begin"/>
            </w:r>
            <w:r>
              <w:rPr>
                <w:rFonts w:hint="eastAsia" w:ascii="宋体" w:hAnsi="宋体"/>
                <w:color w:val="auto"/>
                <w:highlight w:val="none"/>
              </w:rPr>
              <w:instrText xml:space="preserve">eq \o\ac(□,√)</w:instrText>
            </w:r>
            <w:r>
              <w:rPr>
                <w:rFonts w:hint="eastAsia" w:ascii="宋体" w:hAnsi="宋体"/>
                <w:color w:val="auto"/>
                <w:highlight w:val="none"/>
              </w:rPr>
              <w:fldChar w:fldCharType="end"/>
            </w:r>
            <w:r>
              <w:rPr>
                <w:rFonts w:hint="eastAsia" w:ascii="宋体" w:hAnsi="宋体"/>
                <w:color w:val="auto"/>
                <w:highlight w:val="none"/>
              </w:rPr>
              <w:t>否</w:t>
            </w:r>
          </w:p>
          <w:p w14:paraId="09C3236D">
            <w:pPr>
              <w:spacing w:line="360" w:lineRule="auto"/>
              <w:rPr>
                <w:rFonts w:hint="eastAsia" w:ascii="宋体" w:hAnsi="宋体" w:cs="宋体"/>
                <w:color w:val="auto"/>
                <w:szCs w:val="21"/>
                <w:highlight w:val="none"/>
              </w:rPr>
            </w:pPr>
            <w:r>
              <w:rPr>
                <w:rFonts w:hint="eastAsia" w:ascii="宋体" w:hAnsi="宋体"/>
                <w:color w:val="auto"/>
                <w:highlight w:val="none"/>
              </w:rPr>
              <w:t>注：采用资格后审、综合评分方式推荐三名成交</w:t>
            </w:r>
            <w:r>
              <w:rPr>
                <w:rFonts w:hint="eastAsia" w:ascii="宋体" w:hAnsi="宋体"/>
                <w:color w:val="auto"/>
                <w:highlight w:val="none"/>
                <w:lang w:val="en-US" w:eastAsia="zh-CN"/>
              </w:rPr>
              <w:t>供应商</w:t>
            </w:r>
            <w:r>
              <w:rPr>
                <w:rFonts w:hint="eastAsia" w:ascii="宋体" w:hAnsi="宋体"/>
                <w:color w:val="auto"/>
                <w:highlight w:val="none"/>
              </w:rPr>
              <w:t>。</w:t>
            </w:r>
          </w:p>
        </w:tc>
      </w:tr>
      <w:tr w14:paraId="1A6AA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72DF6E8C">
            <w:pPr>
              <w:jc w:val="center"/>
              <w:rPr>
                <w:rFonts w:hint="eastAsia" w:ascii="宋体" w:hAnsi="宋体" w:cs="宋体"/>
                <w:color w:val="auto"/>
                <w:szCs w:val="21"/>
                <w:highlight w:val="none"/>
              </w:rPr>
            </w:pPr>
            <w:r>
              <w:rPr>
                <w:rFonts w:hint="eastAsia" w:ascii="宋体" w:hAnsi="宋体" w:cs="宋体"/>
                <w:color w:val="auto"/>
                <w:szCs w:val="21"/>
                <w:highlight w:val="none"/>
              </w:rPr>
              <w:t>7.2</w:t>
            </w:r>
          </w:p>
        </w:tc>
        <w:tc>
          <w:tcPr>
            <w:tcW w:w="775" w:type="pct"/>
            <w:noWrap w:val="0"/>
            <w:vAlign w:val="center"/>
          </w:tcPr>
          <w:p w14:paraId="2116516D">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成交结果公告</w:t>
            </w:r>
            <w:r>
              <w:rPr>
                <w:rFonts w:hint="eastAsia" w:ascii="宋体" w:hAnsi="宋体" w:cs="宋体"/>
                <w:color w:val="auto"/>
                <w:szCs w:val="21"/>
                <w:highlight w:val="none"/>
              </w:rPr>
              <w:t>媒介</w:t>
            </w:r>
          </w:p>
        </w:tc>
        <w:tc>
          <w:tcPr>
            <w:tcW w:w="3712" w:type="pct"/>
            <w:noWrap w:val="0"/>
            <w:vAlign w:val="center"/>
          </w:tcPr>
          <w:p w14:paraId="3D7674CD">
            <w:pPr>
              <w:spacing w:line="360" w:lineRule="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政采云”平台（http:// www.zcygov.cn），同步推送到吉林省政府采购网</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中国政府采购网</w:t>
            </w:r>
            <w:r>
              <w:rPr>
                <w:rFonts w:hint="eastAsia" w:ascii="宋体" w:hAnsi="宋体" w:cs="Times New Roman"/>
                <w:color w:val="auto"/>
                <w:szCs w:val="21"/>
                <w:highlight w:val="none"/>
                <w:lang w:eastAsia="zh-CN"/>
              </w:rPr>
              <w:t>，</w:t>
            </w:r>
            <w:r>
              <w:rPr>
                <w:rFonts w:hint="eastAsia" w:ascii="宋体" w:hAnsi="宋体" w:eastAsia="宋体" w:cs="Times New Roman"/>
                <w:color w:val="auto"/>
                <w:szCs w:val="21"/>
                <w:highlight w:val="none"/>
              </w:rPr>
              <w:t>其他网站转载无效。</w:t>
            </w:r>
          </w:p>
          <w:p w14:paraId="19C39445">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公示期1个工作日。</w:t>
            </w:r>
          </w:p>
        </w:tc>
      </w:tr>
      <w:tr w14:paraId="23CB1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6A72A501">
            <w:pPr>
              <w:jc w:val="center"/>
              <w:rPr>
                <w:rFonts w:ascii="宋体" w:hAnsi="宋体" w:cs="宋体"/>
                <w:color w:val="auto"/>
                <w:szCs w:val="21"/>
                <w:highlight w:val="none"/>
              </w:rPr>
            </w:pPr>
            <w:r>
              <w:rPr>
                <w:rFonts w:hint="eastAsia" w:ascii="宋体" w:hAnsi="宋体" w:cs="宋体"/>
                <w:color w:val="auto"/>
                <w:szCs w:val="21"/>
                <w:highlight w:val="none"/>
              </w:rPr>
              <w:t>7.3.1</w:t>
            </w:r>
          </w:p>
        </w:tc>
        <w:tc>
          <w:tcPr>
            <w:tcW w:w="775" w:type="pct"/>
            <w:noWrap w:val="0"/>
            <w:vAlign w:val="center"/>
          </w:tcPr>
          <w:p w14:paraId="53DACD5D">
            <w:pPr>
              <w:autoSpaceDE w:val="0"/>
              <w:autoSpaceDN w:val="0"/>
              <w:adjustRightInd w:val="0"/>
              <w:spacing w:line="360" w:lineRule="auto"/>
              <w:jc w:val="center"/>
              <w:rPr>
                <w:rFonts w:hint="eastAsia" w:ascii="宋体" w:hAnsi="宋体" w:cs="宋体"/>
                <w:color w:val="auto"/>
                <w:szCs w:val="21"/>
                <w:highlight w:val="none"/>
              </w:rPr>
            </w:pPr>
            <w:r>
              <w:rPr>
                <w:rFonts w:hint="eastAsia" w:ascii="宋体" w:hAnsi="宋体" w:cs="宋体"/>
                <w:bCs/>
                <w:color w:val="auto"/>
                <w:szCs w:val="21"/>
                <w:highlight w:val="none"/>
                <w:lang w:val="zh-CN"/>
              </w:rPr>
              <w:t>履约保证金</w:t>
            </w:r>
          </w:p>
        </w:tc>
        <w:tc>
          <w:tcPr>
            <w:tcW w:w="3712" w:type="pct"/>
            <w:noWrap w:val="0"/>
            <w:vAlign w:val="center"/>
          </w:tcPr>
          <w:p w14:paraId="1838E9DF">
            <w:pPr>
              <w:spacing w:line="360" w:lineRule="auto"/>
              <w:rPr>
                <w:rFonts w:hint="eastAsia" w:ascii="宋体" w:hAnsi="宋体" w:cs="宋体"/>
                <w:color w:val="auto"/>
                <w:szCs w:val="21"/>
                <w:highlight w:val="none"/>
              </w:rPr>
            </w:pPr>
            <w:r>
              <w:rPr>
                <w:rFonts w:hint="eastAsia" w:ascii="宋体" w:hAnsi="宋体"/>
                <w:szCs w:val="21"/>
                <w:highlight w:val="none"/>
                <w:lang w:val="en-US" w:eastAsia="zh-CN"/>
              </w:rPr>
              <w:t>/</w:t>
            </w:r>
          </w:p>
        </w:tc>
      </w:tr>
      <w:tr w14:paraId="1C1A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4D8518C9">
            <w:pPr>
              <w:jc w:val="center"/>
              <w:rPr>
                <w:rFonts w:ascii="宋体" w:hAnsi="宋体" w:cs="宋体"/>
                <w:b/>
                <w:color w:val="auto"/>
                <w:szCs w:val="21"/>
                <w:highlight w:val="none"/>
              </w:rPr>
            </w:pPr>
            <w:r>
              <w:rPr>
                <w:rFonts w:hint="eastAsia" w:ascii="宋体" w:hAnsi="宋体" w:cs="宋体"/>
                <w:bCs/>
                <w:color w:val="auto"/>
                <w:szCs w:val="21"/>
                <w:highlight w:val="none"/>
              </w:rPr>
              <w:t>10</w:t>
            </w:r>
          </w:p>
        </w:tc>
        <w:tc>
          <w:tcPr>
            <w:tcW w:w="4488" w:type="pct"/>
            <w:gridSpan w:val="2"/>
            <w:noWrap w:val="0"/>
            <w:vAlign w:val="center"/>
          </w:tcPr>
          <w:p w14:paraId="32CF432E">
            <w:pPr>
              <w:spacing w:line="360" w:lineRule="auto"/>
              <w:jc w:val="center"/>
              <w:rPr>
                <w:rFonts w:hint="eastAsia" w:ascii="宋体" w:hAnsi="宋体" w:cs="宋体"/>
                <w:b/>
                <w:color w:val="auto"/>
                <w:szCs w:val="21"/>
                <w:highlight w:val="none"/>
              </w:rPr>
            </w:pPr>
            <w:r>
              <w:rPr>
                <w:rFonts w:hint="eastAsia" w:ascii="宋体" w:hAnsi="宋体" w:cs="宋体"/>
                <w:b/>
                <w:color w:val="auto"/>
                <w:szCs w:val="21"/>
                <w:highlight w:val="none"/>
              </w:rPr>
              <w:t>需要补充的其他内容</w:t>
            </w:r>
          </w:p>
        </w:tc>
      </w:tr>
      <w:tr w14:paraId="476A8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2F9D83EA">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10.</w:t>
            </w:r>
            <w:r>
              <w:rPr>
                <w:rFonts w:hint="eastAsia" w:ascii="宋体" w:hAnsi="宋体" w:cs="宋体"/>
                <w:color w:val="auto"/>
                <w:szCs w:val="21"/>
                <w:highlight w:val="none"/>
                <w:lang w:val="en-US" w:eastAsia="zh-CN"/>
              </w:rPr>
              <w:t>1</w:t>
            </w:r>
          </w:p>
        </w:tc>
        <w:tc>
          <w:tcPr>
            <w:tcW w:w="775" w:type="pct"/>
            <w:noWrap w:val="0"/>
            <w:vAlign w:val="center"/>
          </w:tcPr>
          <w:p w14:paraId="477CC877">
            <w:pPr>
              <w:spacing w:line="360" w:lineRule="auto"/>
              <w:jc w:val="center"/>
              <w:rPr>
                <w:rFonts w:hint="eastAsia" w:ascii="宋体" w:hAnsi="宋体" w:eastAsia="宋体" w:cs="宋体"/>
                <w:color w:val="auto"/>
                <w:highlight w:val="none"/>
                <w:lang w:eastAsia="zh-CN"/>
              </w:rPr>
            </w:pPr>
            <w:r>
              <w:rPr>
                <w:rFonts w:hint="eastAsia" w:ascii="宋体" w:hAnsi="宋体" w:cs="宋体"/>
                <w:color w:val="auto"/>
                <w:highlight w:val="none"/>
              </w:rPr>
              <w:t>付款</w:t>
            </w:r>
            <w:r>
              <w:rPr>
                <w:rFonts w:hint="eastAsia" w:ascii="宋体" w:hAnsi="宋体" w:cs="宋体"/>
                <w:color w:val="auto"/>
                <w:highlight w:val="none"/>
                <w:lang w:val="en-US" w:eastAsia="zh-CN"/>
              </w:rPr>
              <w:t>条件</w:t>
            </w:r>
          </w:p>
        </w:tc>
        <w:tc>
          <w:tcPr>
            <w:tcW w:w="3712" w:type="pct"/>
            <w:noWrap w:val="0"/>
            <w:vAlign w:val="center"/>
          </w:tcPr>
          <w:p w14:paraId="2FABC3DD">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按年均付</w:t>
            </w:r>
            <w:r>
              <w:rPr>
                <w:rFonts w:hint="eastAsia" w:ascii="宋体" w:hAnsi="宋体" w:cs="宋体"/>
                <w:color w:val="auto"/>
                <w:szCs w:val="21"/>
                <w:highlight w:val="none"/>
                <w:lang w:eastAsia="zh-CN"/>
              </w:rPr>
              <w:t>。</w:t>
            </w:r>
          </w:p>
        </w:tc>
      </w:tr>
      <w:tr w14:paraId="1F9D6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6E565961">
            <w:pPr>
              <w:spacing w:line="40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10.</w:t>
            </w:r>
            <w:r>
              <w:rPr>
                <w:rFonts w:hint="eastAsia" w:ascii="宋体" w:hAnsi="宋体" w:cs="宋体"/>
                <w:color w:val="auto"/>
                <w:szCs w:val="21"/>
                <w:highlight w:val="none"/>
                <w:lang w:val="en-US" w:eastAsia="zh-CN"/>
              </w:rPr>
              <w:t>2</w:t>
            </w:r>
          </w:p>
        </w:tc>
        <w:tc>
          <w:tcPr>
            <w:tcW w:w="775" w:type="pct"/>
            <w:noWrap w:val="0"/>
            <w:vAlign w:val="center"/>
          </w:tcPr>
          <w:p w14:paraId="07C19E90">
            <w:pPr>
              <w:spacing w:line="360" w:lineRule="auto"/>
              <w:jc w:val="center"/>
              <w:rPr>
                <w:rFonts w:hint="eastAsia" w:ascii="宋体" w:hAnsi="宋体"/>
                <w:color w:val="auto"/>
                <w:highlight w:val="none"/>
              </w:rPr>
            </w:pPr>
            <w:r>
              <w:rPr>
                <w:rFonts w:hint="eastAsia" w:ascii="宋体" w:hAnsi="宋体"/>
                <w:color w:val="auto"/>
                <w:highlight w:val="none"/>
              </w:rPr>
              <w:t>是否采用电子招标投标</w:t>
            </w:r>
          </w:p>
        </w:tc>
        <w:tc>
          <w:tcPr>
            <w:tcW w:w="3712" w:type="pct"/>
            <w:noWrap w:val="0"/>
            <w:vAlign w:val="center"/>
          </w:tcPr>
          <w:p w14:paraId="0FDEDA11">
            <w:pPr>
              <w:spacing w:line="360" w:lineRule="auto"/>
              <w:rPr>
                <w:rFonts w:hint="eastAsia" w:ascii="宋体" w:hAnsi="宋体"/>
                <w:color w:val="auto"/>
                <w:szCs w:val="21"/>
                <w:highlight w:val="none"/>
              </w:rPr>
            </w:pPr>
            <w:r>
              <w:rPr>
                <w:rFonts w:hint="eastAsia" w:ascii="宋体" w:hAnsi="宋体"/>
                <w:color w:val="auto"/>
                <w:szCs w:val="21"/>
                <w:highlight w:val="none"/>
              </w:rPr>
              <w:t>□否</w:t>
            </w:r>
          </w:p>
          <w:p w14:paraId="436BE486">
            <w:pPr>
              <w:spacing w:line="360" w:lineRule="auto"/>
              <w:rPr>
                <w:rFonts w:hint="eastAsia" w:ascii="宋体" w:hAnsi="宋体"/>
                <w:color w:val="auto"/>
                <w:szCs w:val="21"/>
                <w:highlight w:val="none"/>
              </w:rPr>
            </w:pPr>
            <w:r>
              <w:rPr>
                <w:rFonts w:hint="eastAsia" w:ascii="宋体" w:hAnsi="宋体"/>
                <w:color w:val="auto"/>
                <w:szCs w:val="21"/>
                <w:highlight w:val="none"/>
              </w:rPr>
              <w:t>☑是,本项目采用全流程电子化采购，需通过政采云平台（https://www.zcygov.cn/）递交电子响应文件，供应商无须到现场。操作流程：供应商在政府采购云平台网注册入库成为正式供应商后，在平台上按《政府采购项目电子交易管理操作指南-供应商》进行操作。若对项目采购电子交易系统操作有疑问，可登录“政采云”平台（https://www.zcygov.cn/）点击右侧咨询小采，获取采小蜜智能服务管家帮助，或拨打政采云服务热线 400-881-7190或95763获取热线服务帮助。</w:t>
            </w:r>
          </w:p>
        </w:tc>
      </w:tr>
      <w:tr w14:paraId="1681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533BCC7B">
            <w:pPr>
              <w:spacing w:line="40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10.3</w:t>
            </w:r>
          </w:p>
        </w:tc>
        <w:tc>
          <w:tcPr>
            <w:tcW w:w="775" w:type="pct"/>
            <w:noWrap w:val="0"/>
            <w:vAlign w:val="center"/>
          </w:tcPr>
          <w:p w14:paraId="61810059">
            <w:pPr>
              <w:spacing w:line="360" w:lineRule="auto"/>
              <w:jc w:val="center"/>
              <w:rPr>
                <w:rFonts w:hint="eastAsia" w:ascii="宋体" w:hAnsi="宋体" w:cs="宋体"/>
                <w:color w:val="auto"/>
                <w:highlight w:val="none"/>
              </w:rPr>
            </w:pPr>
            <w:r>
              <w:rPr>
                <w:rFonts w:hint="eastAsia" w:ascii="宋体" w:hAnsi="宋体" w:cs="宋体"/>
                <w:color w:val="auto"/>
                <w:highlight w:val="none"/>
                <w:lang w:val="en-US" w:eastAsia="zh-CN"/>
              </w:rPr>
              <w:t>采购</w:t>
            </w:r>
            <w:r>
              <w:rPr>
                <w:rFonts w:hint="eastAsia" w:ascii="宋体" w:hAnsi="宋体" w:cs="宋体"/>
                <w:color w:val="auto"/>
                <w:highlight w:val="none"/>
              </w:rPr>
              <w:t>代理服</w:t>
            </w:r>
          </w:p>
          <w:p w14:paraId="5F07ACAD">
            <w:pPr>
              <w:spacing w:line="360" w:lineRule="auto"/>
              <w:jc w:val="center"/>
              <w:rPr>
                <w:rFonts w:hint="eastAsia" w:ascii="宋体" w:hAnsi="宋体" w:cs="宋体"/>
                <w:color w:val="auto"/>
                <w:highlight w:val="none"/>
              </w:rPr>
            </w:pPr>
            <w:r>
              <w:rPr>
                <w:rFonts w:hint="eastAsia" w:ascii="宋体" w:hAnsi="宋体" w:cs="宋体"/>
                <w:color w:val="auto"/>
                <w:highlight w:val="none"/>
              </w:rPr>
              <w:t>务费</w:t>
            </w:r>
          </w:p>
        </w:tc>
        <w:tc>
          <w:tcPr>
            <w:tcW w:w="3712" w:type="pct"/>
            <w:noWrap w:val="0"/>
            <w:vAlign w:val="center"/>
          </w:tcPr>
          <w:p w14:paraId="6918DE1B">
            <w:pPr>
              <w:spacing w:line="360" w:lineRule="auto"/>
              <w:rPr>
                <w:rFonts w:hint="eastAsia" w:ascii="宋体" w:hAnsi="宋体" w:cs="宋体"/>
                <w:color w:val="auto"/>
                <w:highlight w:val="none"/>
              </w:rPr>
            </w:pPr>
            <w:r>
              <w:rPr>
                <w:rFonts w:hint="eastAsia"/>
                <w:color w:val="auto"/>
                <w:highlight w:val="none"/>
                <w:lang w:val="zh-CN" w:eastAsia="zh-CN"/>
              </w:rPr>
              <w:t>执行国家发改委办公厅颁布的《关于进一步放开建设项目专业服务价格的通知》（发改办价格[2015]299号文件）规定的标准，</w:t>
            </w:r>
            <w:r>
              <w:rPr>
                <w:rFonts w:hint="default"/>
                <w:color w:val="auto"/>
                <w:highlight w:val="none"/>
                <w:lang w:val="en-US" w:eastAsia="zh-CN"/>
              </w:rPr>
              <w:t>由</w:t>
            </w:r>
            <w:r>
              <w:rPr>
                <w:rFonts w:hint="eastAsia"/>
                <w:color w:val="auto"/>
                <w:highlight w:val="none"/>
                <w:lang w:val="zh-CN" w:eastAsia="zh-CN"/>
              </w:rPr>
              <w:t>成交</w:t>
            </w:r>
            <w:r>
              <w:rPr>
                <w:rFonts w:hint="eastAsia"/>
                <w:color w:val="auto"/>
                <w:highlight w:val="none"/>
                <w:lang w:val="en-US" w:eastAsia="zh-CN"/>
              </w:rPr>
              <w:t>供应商</w:t>
            </w:r>
            <w:r>
              <w:rPr>
                <w:rFonts w:hint="default"/>
                <w:color w:val="auto"/>
                <w:highlight w:val="none"/>
                <w:lang w:val="en-US" w:eastAsia="zh-CN"/>
              </w:rPr>
              <w:t>支付</w:t>
            </w:r>
            <w:r>
              <w:rPr>
                <w:rFonts w:hint="eastAsia"/>
                <w:color w:val="auto"/>
                <w:highlight w:val="none"/>
                <w:lang w:val="en-US" w:eastAsia="zh-CN"/>
              </w:rPr>
              <w:t>。</w:t>
            </w:r>
          </w:p>
        </w:tc>
      </w:tr>
      <w:tr w14:paraId="35F27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4715E29E">
            <w:pPr>
              <w:spacing w:line="40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10.4</w:t>
            </w:r>
          </w:p>
        </w:tc>
        <w:tc>
          <w:tcPr>
            <w:tcW w:w="775" w:type="pct"/>
            <w:noWrap w:val="0"/>
            <w:vAlign w:val="center"/>
          </w:tcPr>
          <w:p w14:paraId="2164C2CA">
            <w:pPr>
              <w:keepNext w:val="0"/>
              <w:keepLines w:val="0"/>
              <w:pageBreakBefore w:val="0"/>
              <w:kinsoku/>
              <w:wordWrap/>
              <w:overflowPunct/>
              <w:autoSpaceDN w:val="0"/>
              <w:bidi w:val="0"/>
              <w:adjustRightInd w:val="0"/>
              <w:snapToGrid w:val="0"/>
              <w:spacing w:line="360" w:lineRule="auto"/>
              <w:jc w:val="center"/>
              <w:rPr>
                <w:rFonts w:hint="eastAsia" w:ascii="宋体" w:hAnsi="宋体" w:eastAsia="宋体" w:cs="宋体"/>
                <w:bCs/>
                <w:color w:val="auto"/>
                <w:kern w:val="15"/>
                <w:szCs w:val="21"/>
                <w:highlight w:val="none"/>
              </w:rPr>
            </w:pPr>
            <w:r>
              <w:rPr>
                <w:rFonts w:hint="eastAsia" w:ascii="宋体" w:hAnsi="宋体" w:cs="宋体"/>
                <w:bCs/>
                <w:color w:val="auto"/>
                <w:kern w:val="15"/>
                <w:szCs w:val="21"/>
                <w:highlight w:val="none"/>
                <w:lang w:val="en-US" w:eastAsia="zh-CN"/>
              </w:rPr>
              <w:t>供应商</w:t>
            </w:r>
            <w:r>
              <w:rPr>
                <w:rFonts w:hint="eastAsia" w:ascii="宋体" w:hAnsi="宋体" w:eastAsia="宋体" w:cs="宋体"/>
                <w:bCs/>
                <w:color w:val="auto"/>
                <w:kern w:val="15"/>
                <w:szCs w:val="21"/>
                <w:highlight w:val="none"/>
              </w:rPr>
              <w:t>信用信息查询</w:t>
            </w:r>
          </w:p>
          <w:p w14:paraId="4B6F3080">
            <w:pPr>
              <w:keepNext w:val="0"/>
              <w:keepLines w:val="0"/>
              <w:pageBreakBefore w:val="0"/>
              <w:kinsoku/>
              <w:wordWrap/>
              <w:overflowPunct/>
              <w:autoSpaceDN w:val="0"/>
              <w:bidi w:val="0"/>
              <w:adjustRightInd w:val="0"/>
              <w:snapToGrid w:val="0"/>
              <w:spacing w:line="360" w:lineRule="auto"/>
              <w:jc w:val="center"/>
              <w:rPr>
                <w:rFonts w:hint="eastAsia" w:ascii="宋体" w:hAnsi="宋体" w:cs="宋体"/>
                <w:color w:val="auto"/>
                <w:highlight w:val="none"/>
              </w:rPr>
            </w:pPr>
          </w:p>
        </w:tc>
        <w:tc>
          <w:tcPr>
            <w:tcW w:w="3712" w:type="pct"/>
            <w:noWrap w:val="0"/>
            <w:vAlign w:val="center"/>
          </w:tcPr>
          <w:p w14:paraId="28BAE113">
            <w:pPr>
              <w:keepNext w:val="0"/>
              <w:keepLines w:val="0"/>
              <w:pageBreakBefore w:val="0"/>
              <w:kinsoku/>
              <w:wordWrap/>
              <w:overflowPunct/>
              <w:autoSpaceDN w:val="0"/>
              <w:bidi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查询渠道：</w:t>
            </w:r>
          </w:p>
          <w:p w14:paraId="313AF7EA">
            <w:pPr>
              <w:keepNext w:val="0"/>
              <w:keepLines w:val="0"/>
              <w:pageBreakBefore w:val="0"/>
              <w:kinsoku/>
              <w:wordWrap/>
              <w:overflowPunct/>
              <w:autoSpaceDN w:val="0"/>
              <w:bidi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①“信用中国”网站（www.creditchina.gov.cn）：失信被执行人、重大税收违法案件当事人名单 。</w:t>
            </w:r>
          </w:p>
          <w:p w14:paraId="0F610A24">
            <w:pPr>
              <w:keepNext w:val="0"/>
              <w:keepLines w:val="0"/>
              <w:pageBreakBefore w:val="0"/>
              <w:kinsoku/>
              <w:wordWrap/>
              <w:overflowPunct/>
              <w:autoSpaceDN w:val="0"/>
              <w:bidi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②中国政府采购网(www.ccgp.gov.cn)：政府采购严重违法失信行为信息记录。</w:t>
            </w:r>
          </w:p>
          <w:p w14:paraId="10CDA6A9">
            <w:pPr>
              <w:keepNext w:val="0"/>
              <w:keepLines w:val="0"/>
              <w:pageBreakBefore w:val="0"/>
              <w:kinsoku/>
              <w:wordWrap/>
              <w:overflowPunct/>
              <w:autoSpaceDN w:val="0"/>
              <w:bidi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查询截止时点：同</w:t>
            </w:r>
            <w:r>
              <w:rPr>
                <w:rFonts w:hint="eastAsia" w:ascii="宋体" w:hAnsi="宋体" w:eastAsia="宋体" w:cs="宋体"/>
                <w:bCs/>
                <w:color w:val="auto"/>
                <w:szCs w:val="21"/>
                <w:highlight w:val="none"/>
                <w:lang w:val="en-US" w:eastAsia="zh-CN"/>
              </w:rPr>
              <w:t>提交响应文件</w:t>
            </w:r>
            <w:r>
              <w:rPr>
                <w:rFonts w:hint="eastAsia" w:ascii="宋体" w:hAnsi="宋体" w:eastAsia="宋体" w:cs="宋体"/>
                <w:bCs/>
                <w:color w:val="auto"/>
                <w:szCs w:val="21"/>
                <w:highlight w:val="none"/>
              </w:rPr>
              <w:t>截止时间</w:t>
            </w:r>
          </w:p>
          <w:p w14:paraId="1186789C">
            <w:pPr>
              <w:keepNext w:val="0"/>
              <w:keepLines w:val="0"/>
              <w:pageBreakBefore w:val="0"/>
              <w:kinsoku/>
              <w:wordWrap/>
              <w:overflowPunct/>
              <w:autoSpaceDN w:val="0"/>
              <w:bidi w:val="0"/>
              <w:adjustRightInd w:val="0"/>
              <w:snapToGrid w:val="0"/>
              <w:spacing w:line="360" w:lineRule="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信用信息查询记录和证据留存的具体方式：</w:t>
            </w:r>
          </w:p>
          <w:p w14:paraId="3EE8FC99">
            <w:pPr>
              <w:keepNext w:val="0"/>
              <w:keepLines w:val="0"/>
              <w:pageBreakBefore w:val="0"/>
              <w:kinsoku/>
              <w:wordWrap/>
              <w:overflowPunct/>
              <w:autoSpaceDN w:val="0"/>
              <w:bidi w:val="0"/>
              <w:adjustRightInd w:val="0"/>
              <w:snapToGrid w:val="0"/>
              <w:spacing w:line="360" w:lineRule="auto"/>
              <w:rPr>
                <w:rFonts w:hint="eastAsia"/>
              </w:rPr>
            </w:pPr>
            <w:r>
              <w:rPr>
                <w:rFonts w:hint="eastAsia" w:ascii="宋体" w:hAnsi="宋体" w:eastAsia="宋体" w:cs="宋体"/>
                <w:bCs/>
                <w:color w:val="auto"/>
                <w:szCs w:val="21"/>
                <w:highlight w:val="none"/>
              </w:rPr>
              <w:t>采购人或采购代理机构将按查询截止时点对所有</w:t>
            </w:r>
            <w:r>
              <w:rPr>
                <w:rFonts w:hint="eastAsia" w:ascii="宋体" w:hAnsi="宋体" w:cs="宋体"/>
                <w:bCs/>
                <w:color w:val="auto"/>
                <w:szCs w:val="21"/>
                <w:highlight w:val="none"/>
                <w:lang w:val="en-US" w:eastAsia="zh-CN"/>
              </w:rPr>
              <w:t>供应商</w:t>
            </w:r>
            <w:r>
              <w:rPr>
                <w:rFonts w:hint="eastAsia" w:ascii="宋体" w:hAnsi="宋体" w:eastAsia="宋体" w:cs="宋体"/>
                <w:bCs/>
                <w:color w:val="auto"/>
                <w:szCs w:val="21"/>
                <w:highlight w:val="none"/>
              </w:rPr>
              <w:t>的信用信息进行查询，查询记录将作为评委评标的依据，对列入失信被执行人、重大税收违法案件当事人名单、政府采购严重违法失信行为记录名单的</w:t>
            </w:r>
            <w:r>
              <w:rPr>
                <w:rFonts w:hint="eastAsia" w:ascii="宋体" w:hAnsi="宋体" w:cs="宋体"/>
                <w:bCs/>
                <w:color w:val="auto"/>
                <w:szCs w:val="21"/>
                <w:highlight w:val="none"/>
                <w:lang w:val="en-US" w:eastAsia="zh-CN"/>
              </w:rPr>
              <w:t>供应商</w:t>
            </w:r>
            <w:r>
              <w:rPr>
                <w:rFonts w:hint="eastAsia" w:ascii="宋体" w:hAnsi="宋体" w:eastAsia="宋体" w:cs="宋体"/>
                <w:bCs/>
                <w:color w:val="auto"/>
                <w:szCs w:val="21"/>
                <w:highlight w:val="none"/>
              </w:rPr>
              <w:t>，</w:t>
            </w:r>
            <w:r>
              <w:rPr>
                <w:rFonts w:hint="eastAsia" w:ascii="宋体" w:hAnsi="宋体" w:eastAsia="宋体" w:cs="宋体"/>
                <w:bCs/>
                <w:color w:val="auto"/>
                <w:szCs w:val="21"/>
                <w:highlight w:val="none"/>
                <w:lang w:val="en-US" w:eastAsia="zh-CN"/>
              </w:rPr>
              <w:t>响应</w:t>
            </w:r>
            <w:r>
              <w:rPr>
                <w:rFonts w:hint="eastAsia" w:ascii="宋体" w:hAnsi="宋体" w:eastAsia="宋体" w:cs="宋体"/>
                <w:bCs/>
                <w:color w:val="auto"/>
                <w:szCs w:val="21"/>
                <w:highlight w:val="none"/>
              </w:rPr>
              <w:t>文件作无效处理。</w:t>
            </w:r>
          </w:p>
        </w:tc>
      </w:tr>
      <w:tr w14:paraId="2B275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6206204D">
            <w:pPr>
              <w:spacing w:line="40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10.5</w:t>
            </w:r>
          </w:p>
        </w:tc>
        <w:tc>
          <w:tcPr>
            <w:tcW w:w="775" w:type="pct"/>
            <w:noWrap w:val="0"/>
            <w:vAlign w:val="center"/>
          </w:tcPr>
          <w:p w14:paraId="674153AD">
            <w:pPr>
              <w:spacing w:line="360" w:lineRule="auto"/>
              <w:jc w:val="center"/>
              <w:rPr>
                <w:rFonts w:hint="eastAsia" w:ascii="宋体" w:hAnsi="宋体" w:cs="宋体"/>
                <w:color w:val="auto"/>
                <w:highlight w:val="none"/>
                <w:lang w:val="zh-CN"/>
              </w:rPr>
            </w:pPr>
            <w:r>
              <w:rPr>
                <w:rFonts w:hint="eastAsia" w:ascii="宋体" w:hAnsi="宋体"/>
                <w:color w:val="auto"/>
                <w:highlight w:val="none"/>
                <w:lang w:val="en-US" w:eastAsia="zh-CN"/>
              </w:rPr>
              <w:t>响应文件远程解密方式</w:t>
            </w:r>
          </w:p>
        </w:tc>
        <w:tc>
          <w:tcPr>
            <w:tcW w:w="3712" w:type="pct"/>
            <w:noWrap w:val="0"/>
            <w:vAlign w:val="center"/>
          </w:tcPr>
          <w:p w14:paraId="03A4FE8B">
            <w:pPr>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本项目采用“政采云”平台</w:t>
            </w:r>
            <w:r>
              <w:rPr>
                <w:rFonts w:hint="eastAsia" w:ascii="宋体" w:hAnsi="宋体"/>
                <w:color w:val="auto"/>
                <w:szCs w:val="21"/>
                <w:highlight w:val="none"/>
              </w:rPr>
              <w:t>（http://</w:t>
            </w:r>
            <w:r>
              <w:rPr>
                <w:rFonts w:hint="eastAsia" w:ascii="宋体" w:hAnsi="宋体"/>
                <w:color w:val="auto"/>
                <w:szCs w:val="21"/>
                <w:highlight w:val="none"/>
              </w:rPr>
              <w:fldChar w:fldCharType="begin"/>
            </w:r>
            <w:r>
              <w:rPr>
                <w:rFonts w:hint="eastAsia" w:ascii="宋体" w:hAnsi="宋体"/>
                <w:color w:val="auto"/>
                <w:szCs w:val="21"/>
                <w:highlight w:val="none"/>
              </w:rPr>
              <w:instrText xml:space="preserve"> HYPERLINK "http://www.zcygov.cn）" </w:instrText>
            </w:r>
            <w:r>
              <w:rPr>
                <w:rFonts w:hint="eastAsia" w:ascii="宋体" w:hAnsi="宋体"/>
                <w:color w:val="auto"/>
                <w:szCs w:val="21"/>
                <w:highlight w:val="none"/>
              </w:rPr>
              <w:fldChar w:fldCharType="separate"/>
            </w:r>
            <w:r>
              <w:rPr>
                <w:rFonts w:hint="eastAsia" w:ascii="宋体" w:hAnsi="宋体"/>
                <w:color w:val="auto"/>
                <w:szCs w:val="21"/>
                <w:highlight w:val="none"/>
              </w:rPr>
              <w:t>www.zcygov.cn）</w:t>
            </w:r>
            <w:r>
              <w:rPr>
                <w:rFonts w:hint="eastAsia" w:ascii="宋体" w:hAnsi="宋体"/>
                <w:color w:val="auto"/>
                <w:szCs w:val="21"/>
                <w:highlight w:val="none"/>
              </w:rPr>
              <w:fldChar w:fldCharType="end"/>
            </w:r>
            <w:r>
              <w:rPr>
                <w:rFonts w:hint="eastAsia" w:ascii="宋体" w:hAnsi="宋体"/>
                <w:color w:val="auto"/>
                <w:szCs w:val="21"/>
                <w:highlight w:val="none"/>
                <w:lang w:val="en-US" w:eastAsia="zh-CN"/>
              </w:rPr>
              <w:t>不见面开标大厅进行远程采购活动。</w:t>
            </w:r>
          </w:p>
          <w:p w14:paraId="485B5EBA">
            <w:pPr>
              <w:spacing w:line="360" w:lineRule="auto"/>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响应文件远程解密方式：</w:t>
            </w:r>
          </w:p>
          <w:p w14:paraId="085B34E8">
            <w:pPr>
              <w:spacing w:line="360" w:lineRule="auto"/>
              <w:rPr>
                <w:rFonts w:hint="eastAsia" w:ascii="宋体" w:hAnsi="宋体"/>
                <w:color w:val="auto"/>
                <w:szCs w:val="21"/>
                <w:highlight w:val="none"/>
                <w:lang w:val="en-US" w:eastAsia="zh-CN"/>
              </w:rPr>
            </w:pPr>
            <w:r>
              <w:rPr>
                <w:rFonts w:hint="default" w:ascii="宋体" w:hAnsi="宋体"/>
                <w:color w:val="auto"/>
                <w:szCs w:val="21"/>
                <w:highlight w:val="none"/>
                <w:lang w:val="en-US" w:eastAsia="zh-CN"/>
              </w:rPr>
              <w:fldChar w:fldCharType="begin"/>
            </w:r>
            <w:r>
              <w:rPr>
                <w:rFonts w:hint="default" w:ascii="宋体" w:hAnsi="宋体"/>
                <w:color w:val="auto"/>
                <w:szCs w:val="21"/>
                <w:highlight w:val="none"/>
                <w:lang w:val="en-US" w:eastAsia="zh-CN"/>
              </w:rPr>
              <w:instrText xml:space="preserve"> = 1 \* GB3 \* MERGEFORMAT </w:instrText>
            </w:r>
            <w:r>
              <w:rPr>
                <w:rFonts w:hint="default" w:ascii="宋体" w:hAnsi="宋体"/>
                <w:color w:val="auto"/>
                <w:szCs w:val="21"/>
                <w:highlight w:val="none"/>
                <w:lang w:val="en-US" w:eastAsia="zh-CN"/>
              </w:rPr>
              <w:fldChar w:fldCharType="separate"/>
            </w:r>
            <w:r>
              <w:rPr>
                <w:rFonts w:hint="eastAsia" w:ascii="宋体" w:hAnsi="宋体"/>
                <w:color w:val="auto"/>
                <w:szCs w:val="21"/>
                <w:highlight w:val="none"/>
              </w:rPr>
              <w:t>①</w:t>
            </w:r>
            <w:r>
              <w:rPr>
                <w:rFonts w:hint="default" w:ascii="宋体" w:hAnsi="宋体"/>
                <w:color w:val="auto"/>
                <w:szCs w:val="21"/>
                <w:highlight w:val="none"/>
                <w:lang w:val="en-US" w:eastAsia="zh-CN"/>
              </w:rPr>
              <w:fldChar w:fldCharType="end"/>
            </w:r>
            <w:r>
              <w:rPr>
                <w:rFonts w:hint="eastAsia" w:ascii="宋体" w:hAnsi="宋体"/>
                <w:color w:val="auto"/>
                <w:szCs w:val="21"/>
                <w:highlight w:val="none"/>
                <w:lang w:val="en-US" w:eastAsia="zh-CN"/>
              </w:rPr>
              <w:t>公布供应商名单后30分钟内，由供应商持制作该电子响应文件的相同数字证书（CA锁）及电脑进行远程解密（各供应商在响应文件提交截止时间前及“政采云”系统公布供应商名单前，不要提前进行远程解密）。</w:t>
            </w:r>
          </w:p>
          <w:p w14:paraId="5A231BD7">
            <w:pPr>
              <w:spacing w:line="360" w:lineRule="auto"/>
              <w:rPr>
                <w:rFonts w:hint="eastAsia" w:ascii="宋体" w:hAnsi="宋体"/>
                <w:color w:val="auto"/>
                <w:szCs w:val="21"/>
                <w:highlight w:val="none"/>
                <w:lang w:val="en-US" w:eastAsia="zh-CN"/>
              </w:rPr>
            </w:pPr>
            <w:r>
              <w:rPr>
                <w:rFonts w:hint="default" w:ascii="宋体" w:hAnsi="宋体"/>
                <w:color w:val="auto"/>
                <w:szCs w:val="21"/>
                <w:highlight w:val="none"/>
                <w:lang w:val="en-US" w:eastAsia="zh-CN"/>
              </w:rPr>
              <w:fldChar w:fldCharType="begin"/>
            </w:r>
            <w:r>
              <w:rPr>
                <w:rFonts w:hint="default" w:ascii="宋体" w:hAnsi="宋体"/>
                <w:color w:val="auto"/>
                <w:szCs w:val="21"/>
                <w:highlight w:val="none"/>
                <w:lang w:val="en-US" w:eastAsia="zh-CN"/>
              </w:rPr>
              <w:instrText xml:space="preserve"> = 2 \* GB3 \* MERGEFORMAT </w:instrText>
            </w:r>
            <w:r>
              <w:rPr>
                <w:rFonts w:hint="default" w:ascii="宋体" w:hAnsi="宋体"/>
                <w:color w:val="auto"/>
                <w:szCs w:val="21"/>
                <w:highlight w:val="none"/>
                <w:lang w:val="en-US" w:eastAsia="zh-CN"/>
              </w:rPr>
              <w:fldChar w:fldCharType="separate"/>
            </w:r>
            <w:r>
              <w:rPr>
                <w:rFonts w:hint="eastAsia" w:ascii="宋体" w:hAnsi="宋体"/>
                <w:color w:val="auto"/>
                <w:szCs w:val="21"/>
                <w:highlight w:val="none"/>
                <w:lang w:val="en-US" w:eastAsia="zh-CN"/>
              </w:rPr>
              <w:t>②</w:t>
            </w:r>
            <w:r>
              <w:rPr>
                <w:rFonts w:hint="default" w:ascii="宋体" w:hAnsi="宋体"/>
                <w:color w:val="auto"/>
                <w:szCs w:val="21"/>
                <w:highlight w:val="none"/>
                <w:lang w:val="en-US" w:eastAsia="zh-CN"/>
              </w:rPr>
              <w:fldChar w:fldCharType="end"/>
            </w:r>
            <w:r>
              <w:rPr>
                <w:rFonts w:hint="eastAsia" w:ascii="宋体" w:hAnsi="宋体"/>
                <w:color w:val="auto"/>
                <w:szCs w:val="21"/>
                <w:highlight w:val="none"/>
                <w:lang w:val="en-US" w:eastAsia="zh-CN"/>
              </w:rPr>
              <w:t>响应文件解密截止时间后，“政采云”平台公布报价信息，供应商需持企业数字证书登录“政采云”平台在线确认报价信息。</w:t>
            </w:r>
          </w:p>
          <w:p w14:paraId="7D012BB3">
            <w:pPr>
              <w:spacing w:line="360" w:lineRule="auto"/>
              <w:rPr>
                <w:rFonts w:hint="eastAsia" w:ascii="宋体" w:hAnsi="宋体"/>
                <w:color w:val="auto"/>
                <w:szCs w:val="21"/>
                <w:highlight w:val="none"/>
                <w:lang w:val="en-US" w:eastAsia="zh-CN"/>
              </w:rPr>
            </w:pPr>
            <w:r>
              <w:rPr>
                <w:rFonts w:hint="default" w:ascii="宋体" w:hAnsi="宋体"/>
                <w:color w:val="auto"/>
                <w:szCs w:val="21"/>
                <w:highlight w:val="none"/>
                <w:lang w:val="en-US" w:eastAsia="zh-CN"/>
              </w:rPr>
              <w:fldChar w:fldCharType="begin"/>
            </w:r>
            <w:r>
              <w:rPr>
                <w:rFonts w:hint="default" w:ascii="宋体" w:hAnsi="宋体"/>
                <w:color w:val="auto"/>
                <w:szCs w:val="21"/>
                <w:highlight w:val="none"/>
                <w:lang w:val="en-US" w:eastAsia="zh-CN"/>
              </w:rPr>
              <w:instrText xml:space="preserve"> = 3 \* GB3 \* MERGEFORMAT </w:instrText>
            </w:r>
            <w:r>
              <w:rPr>
                <w:rFonts w:hint="default" w:ascii="宋体" w:hAnsi="宋体"/>
                <w:color w:val="auto"/>
                <w:szCs w:val="21"/>
                <w:highlight w:val="none"/>
                <w:lang w:val="en-US" w:eastAsia="zh-CN"/>
              </w:rPr>
              <w:fldChar w:fldCharType="separate"/>
            </w:r>
            <w:r>
              <w:rPr>
                <w:rFonts w:hint="eastAsia" w:ascii="宋体" w:hAnsi="宋体"/>
                <w:color w:val="auto"/>
                <w:szCs w:val="21"/>
                <w:highlight w:val="none"/>
                <w:lang w:val="en-US" w:eastAsia="zh-CN"/>
              </w:rPr>
              <w:t>③</w:t>
            </w:r>
            <w:r>
              <w:rPr>
                <w:rFonts w:hint="default" w:ascii="宋体" w:hAnsi="宋体"/>
                <w:color w:val="auto"/>
                <w:szCs w:val="21"/>
                <w:highlight w:val="none"/>
                <w:lang w:val="en-US" w:eastAsia="zh-CN"/>
              </w:rPr>
              <w:fldChar w:fldCharType="end"/>
            </w:r>
            <w:r>
              <w:rPr>
                <w:rFonts w:hint="eastAsia" w:ascii="宋体" w:hAnsi="宋体"/>
                <w:color w:val="auto"/>
                <w:szCs w:val="21"/>
                <w:highlight w:val="none"/>
                <w:lang w:val="en-US" w:eastAsia="zh-CN"/>
              </w:rPr>
              <w:t>因供应商自身原因未能按时完成解密的，视为逾期未提交响应文件，其响应无效。</w:t>
            </w:r>
          </w:p>
          <w:p w14:paraId="0B2A6B75">
            <w:pPr>
              <w:spacing w:line="360" w:lineRule="auto"/>
              <w:rPr>
                <w:rFonts w:hint="eastAsia" w:ascii="宋体" w:hAnsi="宋体" w:cs="宋体"/>
                <w:color w:val="auto"/>
                <w:szCs w:val="18"/>
                <w:highlight w:val="none"/>
                <w:lang w:val="zh-CN"/>
              </w:rPr>
            </w:pPr>
            <w:r>
              <w:rPr>
                <w:rFonts w:hint="eastAsia" w:ascii="宋体" w:hAnsi="宋体"/>
                <w:b/>
                <w:bCs/>
                <w:color w:val="auto"/>
                <w:szCs w:val="21"/>
                <w:highlight w:val="none"/>
                <w:lang w:val="en-US" w:eastAsia="zh-CN"/>
              </w:rPr>
              <w:t>最后报价递交方式</w:t>
            </w:r>
            <w:r>
              <w:rPr>
                <w:rFonts w:hint="eastAsia" w:ascii="宋体" w:hAnsi="宋体"/>
                <w:color w:val="auto"/>
                <w:szCs w:val="21"/>
                <w:highlight w:val="none"/>
                <w:lang w:val="en-US" w:eastAsia="zh-CN"/>
              </w:rPr>
              <w:t>：收到平台短信后5分钟内登录“政采云”平台（http://</w:t>
            </w:r>
            <w:r>
              <w:rPr>
                <w:rFonts w:hint="eastAsia" w:ascii="宋体" w:hAnsi="宋体"/>
                <w:color w:val="auto"/>
                <w:szCs w:val="21"/>
                <w:highlight w:val="none"/>
                <w:lang w:val="en-US" w:eastAsia="zh-CN"/>
              </w:rPr>
              <w:fldChar w:fldCharType="begin"/>
            </w:r>
            <w:r>
              <w:rPr>
                <w:rFonts w:hint="eastAsia" w:ascii="宋体" w:hAnsi="宋体"/>
                <w:color w:val="auto"/>
                <w:szCs w:val="21"/>
                <w:highlight w:val="none"/>
                <w:lang w:val="en-US" w:eastAsia="zh-CN"/>
              </w:rPr>
              <w:instrText xml:space="preserve"> HYPERLINK "http://www.zcygov.cn）" </w:instrText>
            </w:r>
            <w:r>
              <w:rPr>
                <w:rFonts w:hint="eastAsia" w:ascii="宋体" w:hAnsi="宋体"/>
                <w:color w:val="auto"/>
                <w:szCs w:val="21"/>
                <w:highlight w:val="none"/>
                <w:lang w:val="en-US" w:eastAsia="zh-CN"/>
              </w:rPr>
              <w:fldChar w:fldCharType="separate"/>
            </w:r>
            <w:r>
              <w:rPr>
                <w:rFonts w:hint="eastAsia" w:ascii="宋体" w:hAnsi="宋体"/>
                <w:color w:val="auto"/>
                <w:szCs w:val="21"/>
                <w:highlight w:val="none"/>
                <w:lang w:val="en-US" w:eastAsia="zh-CN"/>
              </w:rPr>
              <w:t>www.zcygov.cn）</w:t>
            </w:r>
            <w:r>
              <w:rPr>
                <w:rFonts w:hint="eastAsia" w:ascii="宋体" w:hAnsi="宋体"/>
                <w:color w:val="auto"/>
                <w:szCs w:val="21"/>
                <w:highlight w:val="none"/>
                <w:lang w:val="en-US" w:eastAsia="zh-CN"/>
              </w:rPr>
              <w:fldChar w:fldCharType="end"/>
            </w:r>
            <w:r>
              <w:rPr>
                <w:rFonts w:hint="eastAsia" w:ascii="宋体" w:hAnsi="宋体"/>
                <w:color w:val="auto"/>
                <w:szCs w:val="21"/>
                <w:highlight w:val="none"/>
                <w:lang w:val="en-US" w:eastAsia="zh-CN"/>
              </w:rPr>
              <w:t>，并于30分钟内提交最后报价，最后报价须将分项报价列出，逾期未提交，其响应无效。</w:t>
            </w:r>
          </w:p>
        </w:tc>
      </w:tr>
      <w:tr w14:paraId="011E9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409A5B11">
            <w:pPr>
              <w:spacing w:line="40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10.6</w:t>
            </w:r>
          </w:p>
        </w:tc>
        <w:tc>
          <w:tcPr>
            <w:tcW w:w="775" w:type="pct"/>
            <w:noWrap w:val="0"/>
            <w:vAlign w:val="center"/>
          </w:tcPr>
          <w:p w14:paraId="52798610">
            <w:pPr>
              <w:adjustRightInd w:val="0"/>
              <w:snapToGrid w:val="0"/>
              <w:spacing w:before="120" w:beforeLines="50" w:line="360" w:lineRule="auto"/>
              <w:jc w:val="center"/>
              <w:rPr>
                <w:rFonts w:hint="eastAsia" w:ascii="宋体" w:hAnsi="宋体" w:cs="宋体"/>
                <w:szCs w:val="22"/>
                <w:highlight w:val="none"/>
              </w:rPr>
            </w:pPr>
            <w:r>
              <w:rPr>
                <w:rFonts w:hint="eastAsia" w:ascii="宋体" w:hAnsi="宋体" w:cs="宋体"/>
                <w:szCs w:val="22"/>
                <w:highlight w:val="none"/>
                <w:lang w:val="en-US" w:eastAsia="zh-CN"/>
              </w:rPr>
              <w:t>中小</w:t>
            </w:r>
            <w:r>
              <w:rPr>
                <w:rFonts w:hint="eastAsia" w:ascii="宋体" w:hAnsi="宋体" w:cs="宋体"/>
                <w:szCs w:val="22"/>
                <w:highlight w:val="none"/>
              </w:rPr>
              <w:t>企业</w:t>
            </w:r>
          </w:p>
          <w:p w14:paraId="73BB040A">
            <w:pPr>
              <w:spacing w:line="360" w:lineRule="auto"/>
              <w:jc w:val="center"/>
              <w:rPr>
                <w:rFonts w:hint="default" w:ascii="宋体" w:hAnsi="宋体"/>
                <w:color w:val="auto"/>
                <w:highlight w:val="none"/>
                <w:lang w:val="en-US" w:eastAsia="zh-CN"/>
              </w:rPr>
            </w:pPr>
            <w:r>
              <w:rPr>
                <w:rFonts w:hint="eastAsia" w:ascii="宋体" w:hAnsi="宋体" w:cs="宋体"/>
                <w:szCs w:val="22"/>
                <w:highlight w:val="none"/>
              </w:rPr>
              <w:t>（含监狱企业、残疾人福利单位）</w:t>
            </w:r>
          </w:p>
        </w:tc>
        <w:tc>
          <w:tcPr>
            <w:tcW w:w="3712" w:type="pct"/>
            <w:noWrap w:val="0"/>
            <w:vAlign w:val="center"/>
          </w:tcPr>
          <w:p w14:paraId="1F0D2D23">
            <w:pPr>
              <w:widowControl/>
              <w:spacing w:line="360" w:lineRule="auto"/>
              <w:rPr>
                <w:rFonts w:hint="eastAsia" w:ascii="宋体" w:hAnsi="宋体" w:eastAsia="宋体" w:cs="宋体"/>
                <w:snapToGrid w:val="0"/>
                <w:color w:val="auto"/>
                <w:kern w:val="0"/>
                <w:sz w:val="21"/>
                <w:szCs w:val="21"/>
                <w:highlight w:val="none"/>
                <w:lang w:eastAsia="zh-CN"/>
              </w:rPr>
            </w:pPr>
            <w:r>
              <w:rPr>
                <w:rFonts w:hint="eastAsia" w:ascii="宋体" w:hAnsi="宋体" w:eastAsia="宋体" w:cs="宋体"/>
                <w:sz w:val="21"/>
                <w:szCs w:val="21"/>
                <w:highlight w:val="none"/>
                <w:lang w:val="en-US" w:eastAsia="zh-CN"/>
              </w:rPr>
              <w:t>本项目为</w:t>
            </w:r>
            <w:r>
              <w:rPr>
                <w:rFonts w:hint="eastAsia" w:ascii="宋体" w:hAnsi="宋体" w:eastAsia="宋体" w:cs="宋体"/>
                <w:snapToGrid w:val="0"/>
                <w:color w:val="auto"/>
                <w:kern w:val="0"/>
                <w:sz w:val="21"/>
                <w:szCs w:val="21"/>
                <w:highlight w:val="none"/>
                <w:lang w:eastAsia="zh-CN"/>
              </w:rPr>
              <w:t>专门面向中小企业</w:t>
            </w:r>
            <w:r>
              <w:rPr>
                <w:rFonts w:hint="eastAsia" w:ascii="宋体" w:hAnsi="宋体" w:cs="宋体"/>
                <w:sz w:val="21"/>
                <w:szCs w:val="21"/>
                <w:highlight w:val="none"/>
                <w:lang w:val="en-US" w:eastAsia="zh-CN"/>
              </w:rPr>
              <w:t>，供应商须按以下要求出具相关证明资料之一：</w:t>
            </w:r>
          </w:p>
          <w:p w14:paraId="1D8FA38E">
            <w:pPr>
              <w:keepNext w:val="0"/>
              <w:keepLines w:val="0"/>
              <w:pageBreakBefore w:val="0"/>
              <w:kinsoku/>
              <w:wordWrap/>
              <w:topLinePunct w:val="0"/>
              <w:bidi w:val="0"/>
              <w:spacing w:line="360" w:lineRule="auto"/>
              <w:ind w:firstLine="0" w:firstLine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1）提供《</w:t>
            </w:r>
            <w:r>
              <w:rPr>
                <w:rFonts w:hint="eastAsia" w:ascii="宋体" w:hAnsi="宋体" w:eastAsia="宋体" w:cs="宋体"/>
                <w:sz w:val="21"/>
                <w:szCs w:val="21"/>
                <w:highlight w:val="none"/>
                <w:lang w:eastAsia="zh-CN"/>
              </w:rPr>
              <w:t>中</w:t>
            </w:r>
            <w:r>
              <w:rPr>
                <w:rFonts w:hint="eastAsia" w:ascii="宋体" w:hAnsi="宋体" w:eastAsia="宋体" w:cs="宋体"/>
                <w:sz w:val="21"/>
                <w:szCs w:val="21"/>
                <w:highlight w:val="none"/>
              </w:rPr>
              <w:t>小企业声明函》；</w:t>
            </w:r>
          </w:p>
          <w:p w14:paraId="70B6F836">
            <w:pPr>
              <w:keepNext w:val="0"/>
              <w:keepLines w:val="0"/>
              <w:pageBreakBefore w:val="0"/>
              <w:kinsoku/>
              <w:wordWrap/>
              <w:topLinePunct w:val="0"/>
              <w:bidi w:val="0"/>
              <w:spacing w:line="360" w:lineRule="auto"/>
              <w:ind w:firstLine="0" w:firstLineChars="0"/>
              <w:jc w:val="both"/>
              <w:rPr>
                <w:rFonts w:hint="eastAsia" w:ascii="宋体" w:hAnsi="宋体" w:eastAsia="宋体" w:cs="宋体"/>
                <w:sz w:val="21"/>
                <w:szCs w:val="21"/>
                <w:highlight w:val="none"/>
              </w:rPr>
            </w:pPr>
            <w:r>
              <w:rPr>
                <w:rFonts w:hint="eastAsia" w:ascii="宋体" w:hAnsi="宋体" w:eastAsia="宋体" w:cs="宋体"/>
                <w:sz w:val="21"/>
                <w:szCs w:val="21"/>
                <w:highlight w:val="none"/>
              </w:rPr>
              <w:t>2）监狱企业参加政府采购活动时，应当提供由省级以上监狱管理局、戒毒管理局（含新疆生产建设兵团）出具的属于监狱企业的证明文件；</w:t>
            </w:r>
          </w:p>
          <w:p w14:paraId="25CE9C4F">
            <w:pPr>
              <w:spacing w:line="360" w:lineRule="auto"/>
              <w:rPr>
                <w:rFonts w:hint="eastAsia" w:ascii="宋体" w:hAnsi="宋体" w:eastAsia="宋体"/>
                <w:b/>
                <w:bCs/>
                <w:color w:val="auto"/>
                <w:szCs w:val="21"/>
                <w:highlight w:val="none"/>
                <w:lang w:val="en-US" w:eastAsia="zh-CN"/>
              </w:rPr>
            </w:pPr>
            <w:r>
              <w:rPr>
                <w:rFonts w:hint="eastAsia" w:ascii="宋体" w:hAnsi="宋体" w:eastAsia="宋体" w:cs="宋体"/>
                <w:sz w:val="21"/>
                <w:szCs w:val="21"/>
                <w:highlight w:val="none"/>
              </w:rPr>
              <w:t>3）</w:t>
            </w:r>
            <w:r>
              <w:rPr>
                <w:rFonts w:hint="eastAsia" w:ascii="宋体" w:hAnsi="宋体" w:cs="宋体"/>
                <w:sz w:val="21"/>
                <w:szCs w:val="21"/>
                <w:highlight w:val="none"/>
                <w:lang w:val="en-US" w:eastAsia="zh-CN"/>
              </w:rPr>
              <w:t>供应商</w:t>
            </w:r>
            <w:r>
              <w:rPr>
                <w:rFonts w:hint="eastAsia" w:ascii="宋体" w:hAnsi="宋体" w:eastAsia="宋体" w:cs="宋体"/>
                <w:sz w:val="21"/>
                <w:szCs w:val="21"/>
                <w:highlight w:val="none"/>
              </w:rPr>
              <w:t>为残疾人福利性单位的视同小型和微型企业，应当提供《残疾人福利性单位声明函》</w:t>
            </w:r>
            <w:r>
              <w:rPr>
                <w:rFonts w:hint="eastAsia" w:ascii="宋体" w:hAnsi="宋体" w:cs="宋体"/>
                <w:sz w:val="21"/>
                <w:szCs w:val="21"/>
                <w:highlight w:val="none"/>
                <w:lang w:eastAsia="zh-CN"/>
              </w:rPr>
              <w:t>。</w:t>
            </w:r>
          </w:p>
        </w:tc>
      </w:tr>
      <w:tr w14:paraId="3CA5B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11" w:type="pct"/>
            <w:noWrap w:val="0"/>
            <w:vAlign w:val="center"/>
          </w:tcPr>
          <w:p w14:paraId="0BE12678">
            <w:pPr>
              <w:spacing w:line="40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10.7</w:t>
            </w:r>
          </w:p>
        </w:tc>
        <w:tc>
          <w:tcPr>
            <w:tcW w:w="775" w:type="pct"/>
            <w:noWrap w:val="0"/>
            <w:vAlign w:val="center"/>
          </w:tcPr>
          <w:p w14:paraId="3309D94C">
            <w:pPr>
              <w:spacing w:line="360" w:lineRule="auto"/>
              <w:jc w:val="center"/>
              <w:rPr>
                <w:rFonts w:hint="eastAsia" w:ascii="宋体" w:hAnsi="宋体" w:cs="宋体"/>
                <w:b w:val="0"/>
                <w:bCs w:val="0"/>
                <w:color w:val="auto"/>
                <w:szCs w:val="21"/>
                <w:highlight w:val="none"/>
              </w:rPr>
            </w:pPr>
            <w:r>
              <w:rPr>
                <w:rFonts w:hint="eastAsia" w:ascii="宋体" w:hAnsi="宋体" w:eastAsia="宋体" w:cs="Times New Roman"/>
                <w:highlight w:val="none"/>
                <w:lang w:val="en-US" w:eastAsia="zh-CN"/>
              </w:rPr>
              <w:t>异常低价</w:t>
            </w:r>
          </w:p>
        </w:tc>
        <w:tc>
          <w:tcPr>
            <w:tcW w:w="3712" w:type="pct"/>
            <w:noWrap w:val="0"/>
            <w:vAlign w:val="center"/>
          </w:tcPr>
          <w:p w14:paraId="05157E04">
            <w:pPr>
              <w:spacing w:line="380" w:lineRule="exac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依据《关于推动解决政府采购异常低价问题的通知》财库〔2026〕2号</w:t>
            </w:r>
          </w:p>
          <w:p w14:paraId="5580C8A8">
            <w:pPr>
              <w:spacing w:line="380" w:lineRule="exac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政府采购评审中出现下列情形之一的，评审委员会应当启动异常低价投标（响应）审查程序：</w:t>
            </w:r>
          </w:p>
          <w:p w14:paraId="7B0290EC">
            <w:pPr>
              <w:spacing w:line="380" w:lineRule="exac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①投标（响应）报价低于全部通过符合性审查供应商投标（响应）报价平均值50%的，即投标（响应）报价&lt;全部通过符合性审查供应商投标（响应）报价平均值×50%；</w:t>
            </w:r>
          </w:p>
          <w:p w14:paraId="4B36D6DB">
            <w:pPr>
              <w:spacing w:line="380" w:lineRule="exac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②投标（响应）报价低于通过符合性审查的次低报价供应商投标（响应）报价50%的，即投标（响应）报价&lt;通过符合性审查的次低报价供应商投标（响应）报价×50%；</w:t>
            </w:r>
          </w:p>
          <w:p w14:paraId="277EC8A9">
            <w:pPr>
              <w:spacing w:line="380" w:lineRule="exac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③投标（响应）报价低于采购项目最高限价45%的，即投标（响应）报价&lt;采购项目最高限价×45%；</w:t>
            </w:r>
          </w:p>
          <w:p w14:paraId="67CF5D01">
            <w:pPr>
              <w:spacing w:line="380" w:lineRule="exact"/>
              <w:rPr>
                <w:rFonts w:hint="eastAsia" w:ascii="宋体" w:hAnsi="宋体" w:eastAsia="宋体" w:cs="Times New Roman"/>
                <w:szCs w:val="21"/>
                <w:highlight w:val="none"/>
                <w:lang w:val="en-US" w:eastAsia="zh-CN"/>
              </w:rPr>
            </w:pPr>
            <w:r>
              <w:rPr>
                <w:rFonts w:hint="eastAsia" w:ascii="宋体" w:hAnsi="宋体" w:eastAsia="宋体" w:cs="Times New Roman"/>
                <w:szCs w:val="21"/>
                <w:highlight w:val="none"/>
                <w:lang w:val="en-US" w:eastAsia="zh-CN"/>
              </w:rPr>
              <w:t>④评审委员会基于专业判断，认为供应商报价过低，有可能影响产品质量或者不能诚信履约的其他情形。</w:t>
            </w:r>
          </w:p>
          <w:p w14:paraId="14755C0E">
            <w:pPr>
              <w:spacing w:line="380" w:lineRule="exact"/>
              <w:rPr>
                <w:rFonts w:hint="eastAsia" w:ascii="宋体" w:hAnsi="宋体" w:eastAsia="宋体" w:cs="宋体"/>
                <w:b w:val="0"/>
                <w:bCs w:val="0"/>
                <w:sz w:val="21"/>
                <w:szCs w:val="21"/>
                <w:highlight w:val="none"/>
              </w:rPr>
            </w:pPr>
            <w:r>
              <w:rPr>
                <w:rFonts w:hint="eastAsia" w:ascii="宋体" w:hAnsi="宋体" w:eastAsia="宋体" w:cs="Times New Roman"/>
                <w:szCs w:val="21"/>
                <w:highlight w:val="none"/>
                <w:lang w:val="en-US" w:eastAsia="zh-CN"/>
              </w:rPr>
              <w:t xml:space="preserve">   评审委员会启动异常低价投标（响应）审查后，要求相关供应商在30分钟内对投标（响应）价格作出解释，提供项目具体成本测算等与报价合理性相关的书面说明及必要的证明材料，包括但不限于原材料成本、人工成本、制造费用等。投标人不能证明其报价合理性的，未提供或内容不全面无法支持报价构成的，由评标委员会认定该投标人是否以恶意低价竞标。供应商不能证明其报价合理性的，评标委员会应当将其作为无效处理。超过采购预算的投标报价将否决其投。</w:t>
            </w:r>
          </w:p>
        </w:tc>
      </w:tr>
      <w:tr w14:paraId="1F8B6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gridSpan w:val="3"/>
            <w:noWrap w:val="0"/>
            <w:vAlign w:val="center"/>
          </w:tcPr>
          <w:p w14:paraId="46C087CE">
            <w:pPr>
              <w:rPr>
                <w:rFonts w:hint="eastAsia" w:ascii="宋体" w:hAnsi="宋体" w:cs="宋体"/>
                <w:color w:val="auto"/>
                <w:szCs w:val="21"/>
                <w:highlight w:val="none"/>
              </w:rPr>
            </w:pPr>
            <w:r>
              <w:rPr>
                <w:rFonts w:hint="eastAsia" w:ascii="宋体" w:hAnsi="宋体"/>
                <w:b/>
                <w:color w:val="auto"/>
                <w:szCs w:val="21"/>
                <w:highlight w:val="none"/>
              </w:rPr>
              <w:t>注：磋商公告与磋商文件不一致处，以磋商文件为准。</w:t>
            </w:r>
          </w:p>
        </w:tc>
      </w:tr>
    </w:tbl>
    <w:p w14:paraId="532B2518">
      <w:pPr>
        <w:pStyle w:val="4"/>
        <w:rPr>
          <w:rFonts w:ascii="宋体" w:hAnsi="宋体"/>
          <w:color w:val="auto"/>
          <w:highlight w:val="none"/>
        </w:rPr>
      </w:pPr>
      <w:r>
        <w:rPr>
          <w:rFonts w:hint="eastAsia" w:ascii="宋体" w:hAnsi="宋体" w:cs="宋体"/>
          <w:color w:val="auto"/>
          <w:highlight w:val="none"/>
        </w:rPr>
        <w:br w:type="page"/>
      </w:r>
      <w:bookmarkEnd w:id="27"/>
      <w:bookmarkEnd w:id="28"/>
      <w:bookmarkEnd w:id="29"/>
      <w:bookmarkEnd w:id="30"/>
      <w:bookmarkEnd w:id="31"/>
      <w:bookmarkEnd w:id="32"/>
      <w:bookmarkEnd w:id="33"/>
      <w:bookmarkStart w:id="34" w:name="_Toc32348"/>
      <w:bookmarkStart w:id="35" w:name="_Toc30501"/>
      <w:bookmarkStart w:id="36" w:name="_Toc179632616"/>
      <w:bookmarkStart w:id="37" w:name="_Toc144974565"/>
      <w:bookmarkStart w:id="38" w:name="_Toc246996241"/>
      <w:bookmarkStart w:id="39" w:name="_Toc152045598"/>
      <w:bookmarkStart w:id="40" w:name="_Toc246996984"/>
      <w:bookmarkStart w:id="41" w:name="_Toc152042375"/>
      <w:bookmarkStart w:id="42" w:name="_Toc247085756"/>
      <w:r>
        <w:rPr>
          <w:rFonts w:hint="eastAsia" w:ascii="宋体" w:hAnsi="宋体"/>
          <w:color w:val="auto"/>
          <w:highlight w:val="none"/>
        </w:rPr>
        <w:t>1．总则</w:t>
      </w:r>
      <w:bookmarkEnd w:id="34"/>
      <w:bookmarkEnd w:id="35"/>
    </w:p>
    <w:p w14:paraId="3FFF7B10">
      <w:pPr>
        <w:pStyle w:val="5"/>
        <w:rPr>
          <w:rFonts w:ascii="宋体" w:hAnsi="宋体" w:eastAsia="宋体"/>
          <w:color w:val="auto"/>
          <w:highlight w:val="none"/>
        </w:rPr>
      </w:pPr>
      <w:bookmarkStart w:id="43" w:name="_Toc258"/>
      <w:bookmarkStart w:id="44" w:name="_Toc14269"/>
      <w:r>
        <w:rPr>
          <w:rFonts w:hint="eastAsia" w:ascii="宋体" w:hAnsi="宋体" w:eastAsia="宋体"/>
          <w:color w:val="auto"/>
          <w:highlight w:val="none"/>
        </w:rPr>
        <w:t>1.1 项目概况</w:t>
      </w:r>
      <w:bookmarkEnd w:id="43"/>
      <w:bookmarkEnd w:id="44"/>
    </w:p>
    <w:p w14:paraId="52ADA5D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1.1.1 根据</w:t>
      </w:r>
      <w:r>
        <w:rPr>
          <w:rFonts w:hint="eastAsia" w:ascii="宋体" w:hAnsi="宋体"/>
          <w:color w:val="auto"/>
          <w:szCs w:val="21"/>
          <w:highlight w:val="none"/>
          <w:lang w:val="zh-CN"/>
        </w:rPr>
        <w:t>《中华人民共和国政府采购法》、《中华人民共和国政府采购法实施条例》、</w:t>
      </w:r>
      <w:r>
        <w:rPr>
          <w:rFonts w:hint="eastAsia" w:ascii="宋体" w:hAnsi="宋体"/>
          <w:color w:val="auto"/>
          <w:szCs w:val="21"/>
          <w:highlight w:val="none"/>
        </w:rPr>
        <w:t>《政府采购竞争性磋商采购方式管理暂行办法》等有关法律、法规和规章的规定，本采购项目己具备招标条件，现对本施工进行竞争性磋商。</w:t>
      </w:r>
    </w:p>
    <w:p w14:paraId="263EBB8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1.1.2 本采购项目采购人：见供应商须知前附表。</w:t>
      </w:r>
    </w:p>
    <w:p w14:paraId="27FA23D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1.1.3 本采购代理机构：见供应商须知前附表。</w:t>
      </w:r>
    </w:p>
    <w:p w14:paraId="051F504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1.1.4 本采购项目名称：见供应商须知前附表。</w:t>
      </w:r>
    </w:p>
    <w:p w14:paraId="234666BB">
      <w:pPr>
        <w:pStyle w:val="5"/>
        <w:rPr>
          <w:rFonts w:ascii="宋体" w:hAnsi="宋体" w:eastAsia="宋体"/>
          <w:color w:val="auto"/>
          <w:highlight w:val="none"/>
        </w:rPr>
      </w:pPr>
      <w:bookmarkStart w:id="45" w:name="_Toc12570"/>
      <w:bookmarkStart w:id="46" w:name="_Toc3754"/>
      <w:r>
        <w:rPr>
          <w:rFonts w:hint="eastAsia" w:ascii="宋体" w:hAnsi="宋体" w:eastAsia="宋体"/>
          <w:color w:val="auto"/>
          <w:highlight w:val="none"/>
        </w:rPr>
        <w:t>1.2 资金来源和落实情况</w:t>
      </w:r>
      <w:bookmarkEnd w:id="45"/>
      <w:bookmarkEnd w:id="46"/>
    </w:p>
    <w:p w14:paraId="7C8B162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1.2.1 本采购项目的资金来源：见供应商须知前附表。</w:t>
      </w:r>
    </w:p>
    <w:p w14:paraId="331ED2A8">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1.2.2 本采购项目的出资比例：见供应商须知前附表。</w:t>
      </w:r>
    </w:p>
    <w:p w14:paraId="5FC7629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1.2.3 本采购项目的资金落实情况：见供应商须知前附表。</w:t>
      </w:r>
    </w:p>
    <w:p w14:paraId="4D20ED29">
      <w:pPr>
        <w:pStyle w:val="5"/>
        <w:rPr>
          <w:rFonts w:ascii="宋体" w:hAnsi="宋体" w:eastAsia="宋体"/>
          <w:color w:val="auto"/>
          <w:highlight w:val="none"/>
        </w:rPr>
      </w:pPr>
      <w:bookmarkStart w:id="47" w:name="_Toc15717"/>
      <w:bookmarkStart w:id="48" w:name="_Toc28790"/>
      <w:r>
        <w:rPr>
          <w:rFonts w:hint="eastAsia" w:ascii="宋体" w:hAnsi="宋体" w:eastAsia="宋体"/>
          <w:color w:val="auto"/>
          <w:highlight w:val="none"/>
        </w:rPr>
        <w:t>1.3 采购需求、</w:t>
      </w:r>
      <w:r>
        <w:rPr>
          <w:rFonts w:hint="eastAsia" w:ascii="宋体" w:hAnsi="宋体" w:eastAsia="宋体"/>
          <w:color w:val="auto"/>
          <w:highlight w:val="none"/>
          <w:lang w:eastAsia="zh-CN"/>
        </w:rPr>
        <w:t>合同履行期限（服务期限）</w:t>
      </w:r>
      <w:r>
        <w:rPr>
          <w:rFonts w:hint="eastAsia" w:ascii="宋体" w:hAnsi="宋体" w:eastAsia="宋体"/>
          <w:color w:val="auto"/>
          <w:highlight w:val="none"/>
        </w:rPr>
        <w:t>和</w:t>
      </w:r>
      <w:r>
        <w:rPr>
          <w:rFonts w:hint="eastAsia" w:ascii="宋体" w:hAnsi="宋体" w:eastAsia="宋体"/>
          <w:color w:val="auto"/>
          <w:highlight w:val="none"/>
          <w:lang w:val="en-US" w:eastAsia="zh-CN"/>
        </w:rPr>
        <w:t>服务</w:t>
      </w:r>
      <w:r>
        <w:rPr>
          <w:rFonts w:hint="eastAsia" w:ascii="宋体" w:hAnsi="宋体" w:eastAsia="宋体"/>
          <w:color w:val="auto"/>
          <w:highlight w:val="none"/>
        </w:rPr>
        <w:t>标准</w:t>
      </w:r>
      <w:bookmarkEnd w:id="47"/>
      <w:bookmarkEnd w:id="48"/>
    </w:p>
    <w:p w14:paraId="6B3B3CF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1.3.1 本次采购需求：见供应商须知前附表。</w:t>
      </w:r>
    </w:p>
    <w:p w14:paraId="3C726B1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1.3.2 本项目的</w:t>
      </w:r>
      <w:r>
        <w:rPr>
          <w:rFonts w:hint="eastAsia" w:ascii="宋体" w:hAnsi="宋体" w:cs="宋体"/>
          <w:bCs/>
          <w:color w:val="auto"/>
          <w:szCs w:val="21"/>
          <w:lang w:eastAsia="zh-CN"/>
        </w:rPr>
        <w:t>合同履行期限（服务期限）</w:t>
      </w:r>
      <w:r>
        <w:rPr>
          <w:rFonts w:hint="eastAsia" w:ascii="宋体" w:hAnsi="宋体"/>
          <w:color w:val="auto"/>
          <w:szCs w:val="21"/>
          <w:highlight w:val="none"/>
        </w:rPr>
        <w:t>：见供应商须知前附表。</w:t>
      </w:r>
    </w:p>
    <w:p w14:paraId="572FF5E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1.3.3 本项目的</w:t>
      </w:r>
      <w:r>
        <w:rPr>
          <w:rFonts w:hint="eastAsia" w:ascii="宋体" w:hAnsi="宋体" w:cs="宋体"/>
          <w:bCs/>
          <w:color w:val="auto"/>
          <w:szCs w:val="21"/>
        </w:rPr>
        <w:t>服务标准</w:t>
      </w:r>
      <w:r>
        <w:rPr>
          <w:rFonts w:hint="eastAsia" w:ascii="宋体" w:hAnsi="宋体"/>
          <w:color w:val="auto"/>
          <w:szCs w:val="21"/>
          <w:highlight w:val="none"/>
        </w:rPr>
        <w:t>：见供应商须知前附表。</w:t>
      </w:r>
    </w:p>
    <w:p w14:paraId="4203D19A">
      <w:pPr>
        <w:pStyle w:val="5"/>
        <w:rPr>
          <w:rFonts w:ascii="宋体" w:hAnsi="宋体" w:eastAsia="宋体"/>
          <w:color w:val="auto"/>
          <w:highlight w:val="none"/>
        </w:rPr>
      </w:pPr>
      <w:bookmarkStart w:id="49" w:name="_Toc17736"/>
      <w:bookmarkStart w:id="50" w:name="_Toc13497"/>
      <w:r>
        <w:rPr>
          <w:rFonts w:hint="eastAsia" w:ascii="宋体" w:hAnsi="宋体" w:eastAsia="宋体"/>
          <w:color w:val="auto"/>
          <w:highlight w:val="none"/>
        </w:rPr>
        <w:t>1.4 申请人资格要求</w:t>
      </w:r>
      <w:bookmarkEnd w:id="49"/>
      <w:bookmarkEnd w:id="50"/>
    </w:p>
    <w:p w14:paraId="79A29A8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1.4.1 供应商应具备承担本标段施工的资质条件、能力和信誉。</w:t>
      </w:r>
    </w:p>
    <w:p w14:paraId="24FBAF0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(l）资质条件：见供应商须知前附表；</w:t>
      </w:r>
    </w:p>
    <w:p w14:paraId="6CFF46F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(2）财务要求：见供应商须知前附表；</w:t>
      </w:r>
    </w:p>
    <w:p w14:paraId="6FB2289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）信誉要求：见供应商须知前附表；</w:t>
      </w:r>
    </w:p>
    <w:p w14:paraId="0359FF8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）其他要求：见供应商须知前附表。</w:t>
      </w:r>
    </w:p>
    <w:p w14:paraId="0B570E9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1.4.2 供应商须知前附表规定接受联合体投标的，除应符合本章第1.4.1项和供应商须知前附表的要求外，还应遵守以下规定：</w:t>
      </w:r>
    </w:p>
    <w:p w14:paraId="7AF83BD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(1）联合体各方应按磋商文件提供的格式签订联合体协议书，明确联合体牵头人和各方权利义务；</w:t>
      </w:r>
    </w:p>
    <w:p w14:paraId="23AC440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(2）由同一专业的单位组成的联合体，按照</w:t>
      </w:r>
      <w:r>
        <w:rPr>
          <w:rFonts w:hint="eastAsia" w:ascii="宋体" w:hAnsi="宋体"/>
          <w:color w:val="auto"/>
          <w:szCs w:val="21"/>
          <w:highlight w:val="none"/>
          <w:lang w:eastAsia="zh-CN"/>
        </w:rPr>
        <w:t>资质要求</w:t>
      </w:r>
      <w:r>
        <w:rPr>
          <w:rFonts w:hint="eastAsia" w:ascii="宋体" w:hAnsi="宋体"/>
          <w:color w:val="auto"/>
          <w:szCs w:val="21"/>
          <w:highlight w:val="none"/>
        </w:rPr>
        <w:t>较低的单位确定</w:t>
      </w:r>
      <w:r>
        <w:rPr>
          <w:rFonts w:hint="eastAsia" w:ascii="宋体" w:hAnsi="宋体"/>
          <w:color w:val="auto"/>
          <w:szCs w:val="21"/>
          <w:highlight w:val="none"/>
          <w:lang w:eastAsia="zh-CN"/>
        </w:rPr>
        <w:t>资质要求</w:t>
      </w:r>
      <w:r>
        <w:rPr>
          <w:rFonts w:hint="eastAsia" w:ascii="宋体" w:hAnsi="宋体"/>
          <w:color w:val="auto"/>
          <w:szCs w:val="21"/>
          <w:highlight w:val="none"/>
        </w:rPr>
        <w:t>；</w:t>
      </w:r>
    </w:p>
    <w:p w14:paraId="75F52BC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(3）联合体各方不得再以自己名义单独或参加其他联合体在同一标段中投标。</w:t>
      </w:r>
    </w:p>
    <w:p w14:paraId="1EBDC5CB">
      <w:pPr>
        <w:pStyle w:val="5"/>
        <w:rPr>
          <w:rFonts w:ascii="宋体" w:hAnsi="宋体" w:eastAsia="宋体"/>
          <w:color w:val="auto"/>
          <w:highlight w:val="none"/>
        </w:rPr>
      </w:pPr>
      <w:bookmarkStart w:id="51" w:name="_Toc3676"/>
      <w:bookmarkStart w:id="52" w:name="_Toc25680"/>
      <w:r>
        <w:rPr>
          <w:rFonts w:hint="eastAsia" w:ascii="宋体" w:hAnsi="宋体" w:eastAsia="宋体"/>
          <w:color w:val="auto"/>
          <w:highlight w:val="none"/>
        </w:rPr>
        <w:t>1.5 费用承担</w:t>
      </w:r>
      <w:bookmarkEnd w:id="51"/>
      <w:bookmarkEnd w:id="52"/>
    </w:p>
    <w:p w14:paraId="78DDBBD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供应商准备和参加磋商活动发生的费用自理。</w:t>
      </w:r>
    </w:p>
    <w:p w14:paraId="66C87A2E">
      <w:pPr>
        <w:pStyle w:val="5"/>
        <w:rPr>
          <w:rFonts w:ascii="宋体" w:hAnsi="宋体" w:eastAsia="宋体"/>
          <w:color w:val="auto"/>
          <w:highlight w:val="none"/>
        </w:rPr>
      </w:pPr>
      <w:bookmarkStart w:id="53" w:name="_Toc5703"/>
      <w:bookmarkStart w:id="54" w:name="_Toc31223"/>
      <w:r>
        <w:rPr>
          <w:rFonts w:hint="eastAsia" w:ascii="宋体" w:hAnsi="宋体" w:eastAsia="宋体"/>
          <w:color w:val="auto"/>
          <w:highlight w:val="none"/>
        </w:rPr>
        <w:t>1.6 保密</w:t>
      </w:r>
      <w:bookmarkEnd w:id="53"/>
      <w:bookmarkEnd w:id="54"/>
    </w:p>
    <w:p w14:paraId="1570309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参与磋商活动的各方应对磋商文件和响应文件中的商业和技术等秘密保密，违者应对由此造成的后果承担法律责任。</w:t>
      </w:r>
    </w:p>
    <w:p w14:paraId="2CAE1770">
      <w:pPr>
        <w:pStyle w:val="5"/>
        <w:rPr>
          <w:rFonts w:ascii="宋体" w:hAnsi="宋体" w:eastAsia="宋体"/>
          <w:color w:val="auto"/>
          <w:highlight w:val="none"/>
        </w:rPr>
      </w:pPr>
      <w:bookmarkStart w:id="55" w:name="_Toc19026"/>
      <w:bookmarkStart w:id="56" w:name="_Toc31200"/>
      <w:r>
        <w:rPr>
          <w:rFonts w:hint="eastAsia" w:ascii="宋体" w:hAnsi="宋体" w:eastAsia="宋体"/>
          <w:color w:val="auto"/>
          <w:highlight w:val="none"/>
        </w:rPr>
        <w:t>1.7 语言文字</w:t>
      </w:r>
      <w:bookmarkEnd w:id="55"/>
      <w:bookmarkEnd w:id="56"/>
    </w:p>
    <w:p w14:paraId="1A7A25B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除专用术语外，与磋商活动有关的语言均使用中文。必要时专用术语应附有中文注释。</w:t>
      </w:r>
    </w:p>
    <w:p w14:paraId="62D30855">
      <w:pPr>
        <w:pStyle w:val="5"/>
        <w:rPr>
          <w:rFonts w:ascii="宋体" w:hAnsi="宋体" w:eastAsia="宋体"/>
          <w:color w:val="auto"/>
          <w:highlight w:val="none"/>
        </w:rPr>
      </w:pPr>
      <w:bookmarkStart w:id="57" w:name="_Toc10409"/>
      <w:bookmarkStart w:id="58" w:name="_Toc28552"/>
      <w:r>
        <w:rPr>
          <w:rFonts w:hint="eastAsia" w:ascii="宋体" w:hAnsi="宋体" w:eastAsia="宋体"/>
          <w:color w:val="auto"/>
          <w:highlight w:val="none"/>
        </w:rPr>
        <w:t>1.8 计量单位</w:t>
      </w:r>
      <w:bookmarkEnd w:id="57"/>
      <w:bookmarkEnd w:id="58"/>
    </w:p>
    <w:p w14:paraId="1D746B9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所有计量均采用中华人民共和国法定计量单位。</w:t>
      </w:r>
    </w:p>
    <w:p w14:paraId="73F0CFC6">
      <w:pPr>
        <w:pStyle w:val="5"/>
        <w:rPr>
          <w:rFonts w:ascii="宋体" w:hAnsi="宋体" w:eastAsia="宋体"/>
          <w:color w:val="auto"/>
          <w:highlight w:val="none"/>
        </w:rPr>
      </w:pPr>
      <w:bookmarkStart w:id="59" w:name="_Toc17565"/>
      <w:bookmarkStart w:id="60" w:name="_Toc18019"/>
      <w:r>
        <w:rPr>
          <w:rFonts w:hint="eastAsia" w:ascii="宋体" w:hAnsi="宋体" w:eastAsia="宋体"/>
          <w:color w:val="auto"/>
          <w:highlight w:val="none"/>
        </w:rPr>
        <w:t>1.9 踏勘现场</w:t>
      </w:r>
      <w:bookmarkEnd w:id="59"/>
      <w:bookmarkEnd w:id="60"/>
    </w:p>
    <w:p w14:paraId="415F678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1.9.1 供应商须知前附表规定组织踏勘现场的，采购人按供应商须知前附表规定的时间、地点组织供应商踏勘项目现场。</w:t>
      </w:r>
    </w:p>
    <w:p w14:paraId="5CB03FA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1.9.2 供应商踏勘现场发生的费用自理。</w:t>
      </w:r>
    </w:p>
    <w:p w14:paraId="20D7BBD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1.9 .3 除采购人的原因外，供应商自行负责在踏勘现场中所发生的人员伤亡和财产损失。</w:t>
      </w:r>
    </w:p>
    <w:p w14:paraId="443F4D2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1.9.4 采购人在踏勘现场中介绍的工程场地和相关的周边环境情况，供应商在编制响应文件时参考，采购人不对供应商据此作出的判断和决策负责。</w:t>
      </w:r>
    </w:p>
    <w:p w14:paraId="572730D0">
      <w:pPr>
        <w:pStyle w:val="5"/>
        <w:rPr>
          <w:rFonts w:ascii="宋体" w:hAnsi="宋体" w:eastAsia="宋体"/>
          <w:color w:val="auto"/>
          <w:highlight w:val="none"/>
        </w:rPr>
      </w:pPr>
      <w:bookmarkStart w:id="61" w:name="_Toc7239"/>
      <w:bookmarkStart w:id="62" w:name="_Toc3787"/>
      <w:r>
        <w:rPr>
          <w:rFonts w:hint="eastAsia" w:ascii="宋体" w:hAnsi="宋体" w:eastAsia="宋体"/>
          <w:color w:val="auto"/>
          <w:highlight w:val="none"/>
        </w:rPr>
        <w:t>1.10 磋商预备会</w:t>
      </w:r>
      <w:bookmarkEnd w:id="61"/>
      <w:bookmarkEnd w:id="62"/>
    </w:p>
    <w:p w14:paraId="2ACE47D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1.10.1 供应商须知前附表规定召开磋商预备会的，采购人按供应商须知前附表规定的时间和地点召开磋商预备会，澄清供应商提出的问题。</w:t>
      </w:r>
    </w:p>
    <w:p w14:paraId="458D796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1.10.2 供应商应在供应商须知前附表规定的时间前，以书面形式将提出的问题送达采购人，以便采购人在会议期间澄清。</w:t>
      </w:r>
    </w:p>
    <w:p w14:paraId="146401D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1.10.3 磋商预备会后，采购人在供应商须知前附表规定的时间内，将对供应商所提问题的澄清，以书面方式通知所有</w:t>
      </w:r>
      <w:r>
        <w:rPr>
          <w:rFonts w:hint="eastAsia" w:ascii="宋体" w:hAnsi="宋体"/>
          <w:color w:val="auto"/>
          <w:szCs w:val="21"/>
          <w:highlight w:val="none"/>
          <w:lang w:val="en-US" w:eastAsia="zh-CN"/>
        </w:rPr>
        <w:t>获取</w:t>
      </w:r>
      <w:r>
        <w:rPr>
          <w:rFonts w:hint="eastAsia" w:ascii="宋体" w:hAnsi="宋体"/>
          <w:color w:val="auto"/>
          <w:szCs w:val="21"/>
          <w:highlight w:val="none"/>
        </w:rPr>
        <w:t>磋商文件的供应商。该澄清内容为磋商文件的组成部分。</w:t>
      </w:r>
    </w:p>
    <w:p w14:paraId="7B3B4A31">
      <w:pPr>
        <w:pStyle w:val="5"/>
        <w:rPr>
          <w:rFonts w:ascii="宋体" w:hAnsi="宋体" w:eastAsia="宋体"/>
          <w:color w:val="auto"/>
          <w:highlight w:val="none"/>
        </w:rPr>
      </w:pPr>
      <w:bookmarkStart w:id="63" w:name="_Toc12634"/>
      <w:bookmarkStart w:id="64" w:name="_Toc24941"/>
      <w:r>
        <w:rPr>
          <w:rFonts w:hint="eastAsia" w:ascii="宋体" w:hAnsi="宋体" w:eastAsia="宋体"/>
          <w:color w:val="auto"/>
          <w:highlight w:val="none"/>
        </w:rPr>
        <w:t>1.11 偏离</w:t>
      </w:r>
      <w:bookmarkEnd w:id="63"/>
      <w:bookmarkEnd w:id="64"/>
    </w:p>
    <w:p w14:paraId="31F4CDC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供应商须知前附表允许响应文件偏离磋商文件某些要求的，偏离应当符合磋商文件规定的偏离范围和幅度。</w:t>
      </w:r>
    </w:p>
    <w:p w14:paraId="46C7F213">
      <w:pPr>
        <w:pStyle w:val="4"/>
        <w:rPr>
          <w:rFonts w:ascii="宋体" w:hAnsi="宋体"/>
          <w:color w:val="auto"/>
          <w:highlight w:val="none"/>
        </w:rPr>
      </w:pPr>
      <w:bookmarkStart w:id="65" w:name="_Toc381"/>
      <w:bookmarkStart w:id="66" w:name="_Toc28237"/>
      <w:bookmarkStart w:id="67" w:name="_Toc184635072"/>
      <w:r>
        <w:rPr>
          <w:rFonts w:hint="eastAsia" w:ascii="宋体" w:hAnsi="宋体"/>
          <w:color w:val="auto"/>
          <w:highlight w:val="none"/>
        </w:rPr>
        <w:t>2．磋商文件</w:t>
      </w:r>
      <w:bookmarkEnd w:id="65"/>
      <w:bookmarkEnd w:id="66"/>
      <w:bookmarkEnd w:id="67"/>
    </w:p>
    <w:p w14:paraId="47015E57">
      <w:pPr>
        <w:pStyle w:val="5"/>
        <w:rPr>
          <w:rFonts w:ascii="宋体" w:hAnsi="宋体" w:eastAsia="宋体"/>
          <w:color w:val="auto"/>
          <w:highlight w:val="none"/>
        </w:rPr>
      </w:pPr>
      <w:bookmarkStart w:id="68" w:name="_Toc16836"/>
      <w:bookmarkStart w:id="69" w:name="_Toc5876"/>
      <w:r>
        <w:rPr>
          <w:rFonts w:hint="eastAsia" w:ascii="宋体" w:hAnsi="宋体" w:eastAsia="宋体"/>
          <w:color w:val="auto"/>
          <w:highlight w:val="none"/>
        </w:rPr>
        <w:t>2.1 磋商文件的组成</w:t>
      </w:r>
      <w:bookmarkEnd w:id="68"/>
      <w:bookmarkEnd w:id="69"/>
    </w:p>
    <w:p w14:paraId="1DB4759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本磋商文件包括：</w:t>
      </w:r>
    </w:p>
    <w:p w14:paraId="4A049872">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(1）磋商公告；</w:t>
      </w:r>
    </w:p>
    <w:p w14:paraId="2CD8CBD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(2）供应商须知；</w:t>
      </w:r>
    </w:p>
    <w:p w14:paraId="35510A26">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(3）评审办法；</w:t>
      </w:r>
    </w:p>
    <w:p w14:paraId="7CB90835">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(4）合同条款及格式；</w:t>
      </w:r>
    </w:p>
    <w:p w14:paraId="53FD573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w:t>
      </w:r>
      <w:r>
        <w:rPr>
          <w:rFonts w:hint="eastAsia" w:ascii="宋体" w:hAnsi="宋体" w:eastAsia="宋体" w:cs="宋体"/>
          <w:bCs/>
          <w:color w:val="auto"/>
          <w:szCs w:val="21"/>
          <w:highlight w:val="none"/>
          <w:lang w:val="en-US" w:eastAsia="zh-CN"/>
        </w:rPr>
        <w:t>采购</w:t>
      </w:r>
      <w:r>
        <w:rPr>
          <w:rFonts w:hint="eastAsia" w:ascii="宋体" w:hAnsi="宋体"/>
          <w:color w:val="auto"/>
          <w:szCs w:val="21"/>
          <w:highlight w:val="none"/>
          <w:lang w:val="en-US" w:eastAsia="zh-CN"/>
        </w:rPr>
        <w:t>需求</w:t>
      </w:r>
      <w:r>
        <w:rPr>
          <w:rFonts w:hint="eastAsia" w:ascii="宋体" w:hAnsi="宋体"/>
          <w:color w:val="auto"/>
          <w:szCs w:val="21"/>
          <w:highlight w:val="none"/>
        </w:rPr>
        <w:t>；</w:t>
      </w:r>
    </w:p>
    <w:p w14:paraId="4EC0938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）响应文件格式；</w:t>
      </w:r>
    </w:p>
    <w:p w14:paraId="473E42D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7</w:t>
      </w:r>
      <w:r>
        <w:rPr>
          <w:rFonts w:hint="eastAsia" w:ascii="宋体" w:hAnsi="宋体"/>
          <w:color w:val="auto"/>
          <w:szCs w:val="21"/>
          <w:highlight w:val="none"/>
        </w:rPr>
        <w:t>）供应商须知前附表规定的其他材料。</w:t>
      </w:r>
    </w:p>
    <w:p w14:paraId="6656042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根据本章第1.10 款、第2.2 款和第2.3 款对磋商文件所作的澄清、修改，构成磋商文件的组成部分。</w:t>
      </w:r>
    </w:p>
    <w:p w14:paraId="14665560">
      <w:pPr>
        <w:pStyle w:val="5"/>
        <w:rPr>
          <w:rFonts w:ascii="宋体" w:hAnsi="宋体" w:eastAsia="宋体"/>
          <w:color w:val="auto"/>
          <w:highlight w:val="none"/>
        </w:rPr>
      </w:pPr>
      <w:bookmarkStart w:id="70" w:name="_Toc26892"/>
      <w:bookmarkStart w:id="71" w:name="_Toc32737"/>
      <w:r>
        <w:rPr>
          <w:rFonts w:hint="eastAsia" w:ascii="宋体" w:hAnsi="宋体" w:eastAsia="宋体"/>
          <w:color w:val="auto"/>
          <w:highlight w:val="none"/>
        </w:rPr>
        <w:t>2.2 磋商文件的澄清</w:t>
      </w:r>
      <w:bookmarkEnd w:id="70"/>
      <w:bookmarkEnd w:id="71"/>
    </w:p>
    <w:p w14:paraId="253D8ED8">
      <w:pPr>
        <w:spacing w:line="360" w:lineRule="auto"/>
        <w:ind w:firstLine="420" w:firstLineChars="200"/>
        <w:rPr>
          <w:rFonts w:ascii="宋体" w:hAnsi="宋体"/>
          <w:color w:val="auto"/>
          <w:szCs w:val="21"/>
          <w:highlight w:val="none"/>
        </w:rPr>
      </w:pPr>
      <w:bookmarkStart w:id="72" w:name="_Toc184635073"/>
      <w:r>
        <w:rPr>
          <w:rFonts w:hint="eastAsia" w:ascii="宋体" w:hAnsi="宋体"/>
          <w:color w:val="auto"/>
          <w:szCs w:val="21"/>
          <w:highlight w:val="none"/>
        </w:rPr>
        <w:t>2.2.1 供应商应仔细阅读和检查磋商文件的全部内容。如发现缺页或附件不全，应及时向采购人提出，以便补齐。如有疑问，应在供应商须知前附表规定的时间前以书面形式（包括信函、电报、传真等可以有形地表现所载内容的形式，下同），要求采购人对磋商文件予以澄清。</w:t>
      </w:r>
    </w:p>
    <w:p w14:paraId="078B142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2.2.2 磋商文件的澄清将在供应商须知前附表规定的提交首次响应文件截止至少5日前以书面形式在政采云平台发布，但不指明澄清问题的来源。如果澄清发出的时间距提交首次响应文件截止时间不足5天，采购人、采购代理机构应当顺延提交首次响应文件截止时间。</w:t>
      </w:r>
    </w:p>
    <w:p w14:paraId="4A2CB58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2.2.3 </w:t>
      </w:r>
      <w:r>
        <w:rPr>
          <w:rFonts w:hint="eastAsia"/>
          <w:color w:val="auto"/>
          <w:szCs w:val="21"/>
          <w:highlight w:val="none"/>
        </w:rPr>
        <w:t>供应商在参加本项目活动期间关注“政采云”平台信息，所有有磋商意愿的供应商有义务在网上自行查询，无需书面回复。</w:t>
      </w:r>
    </w:p>
    <w:p w14:paraId="009D8F72">
      <w:pPr>
        <w:pStyle w:val="5"/>
        <w:rPr>
          <w:rFonts w:ascii="宋体" w:hAnsi="宋体" w:eastAsia="宋体"/>
          <w:color w:val="auto"/>
          <w:highlight w:val="none"/>
        </w:rPr>
      </w:pPr>
      <w:bookmarkStart w:id="73" w:name="_Toc8443"/>
      <w:bookmarkStart w:id="74" w:name="_Toc21936"/>
      <w:r>
        <w:rPr>
          <w:rFonts w:hint="eastAsia" w:ascii="宋体" w:hAnsi="宋体" w:eastAsia="宋体"/>
          <w:color w:val="auto"/>
          <w:highlight w:val="none"/>
        </w:rPr>
        <w:t>2.3 磋商文件的修改</w:t>
      </w:r>
      <w:bookmarkEnd w:id="73"/>
      <w:bookmarkEnd w:id="74"/>
    </w:p>
    <w:p w14:paraId="3C985AD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2.3.1 在提交首次响应文件截止时间5天前，采购人可以书面形式修改磋商文件，在政采云平台发布。如果修改磋商文件的时间距提交首次响应文件截止时间不足5天，</w:t>
      </w:r>
      <w:r>
        <w:rPr>
          <w:rFonts w:hint="eastAsia" w:ascii="宋体" w:hAnsi="宋体" w:cs="宋体"/>
          <w:color w:val="auto"/>
          <w:highlight w:val="none"/>
        </w:rPr>
        <w:t>采购人、采购代理机构应当顺延提交首次响应文件截止时间。</w:t>
      </w:r>
    </w:p>
    <w:p w14:paraId="2C06267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2.3.2 </w:t>
      </w:r>
      <w:r>
        <w:rPr>
          <w:rFonts w:hint="eastAsia"/>
          <w:color w:val="auto"/>
          <w:szCs w:val="21"/>
          <w:highlight w:val="none"/>
        </w:rPr>
        <w:t>供应商在参加本项目活动期间关注“政采云”平台信息，所有有磋商意愿的供应商有义务在网上自行查询，无需书面回复。</w:t>
      </w:r>
    </w:p>
    <w:p w14:paraId="14E05525">
      <w:pPr>
        <w:pStyle w:val="4"/>
        <w:rPr>
          <w:rFonts w:ascii="宋体" w:hAnsi="宋体"/>
          <w:color w:val="auto"/>
          <w:highlight w:val="none"/>
        </w:rPr>
      </w:pPr>
      <w:bookmarkStart w:id="75" w:name="_Toc32120"/>
      <w:bookmarkStart w:id="76" w:name="_Toc14011"/>
      <w:r>
        <w:rPr>
          <w:rFonts w:hint="eastAsia" w:ascii="宋体" w:hAnsi="宋体"/>
          <w:color w:val="auto"/>
          <w:highlight w:val="none"/>
        </w:rPr>
        <w:t>3．响应文件</w:t>
      </w:r>
      <w:bookmarkEnd w:id="72"/>
      <w:bookmarkEnd w:id="75"/>
      <w:bookmarkEnd w:id="76"/>
    </w:p>
    <w:p w14:paraId="2C3457C4">
      <w:pPr>
        <w:pStyle w:val="5"/>
        <w:rPr>
          <w:rFonts w:ascii="宋体" w:hAnsi="宋体" w:eastAsia="宋体"/>
          <w:color w:val="auto"/>
          <w:highlight w:val="none"/>
        </w:rPr>
      </w:pPr>
      <w:bookmarkStart w:id="77" w:name="_Toc29540"/>
      <w:bookmarkStart w:id="78" w:name="_Toc28242"/>
      <w:r>
        <w:rPr>
          <w:rFonts w:hint="eastAsia" w:ascii="宋体" w:hAnsi="宋体" w:eastAsia="宋体"/>
          <w:color w:val="auto"/>
          <w:highlight w:val="none"/>
        </w:rPr>
        <w:t>3.1 响应文件的组成</w:t>
      </w:r>
      <w:bookmarkEnd w:id="77"/>
      <w:bookmarkEnd w:id="78"/>
    </w:p>
    <w:p w14:paraId="68C99AD9">
      <w:pPr>
        <w:spacing w:line="360" w:lineRule="auto"/>
        <w:ind w:firstLine="420" w:firstLineChars="200"/>
        <w:rPr>
          <w:rFonts w:ascii="宋体" w:hAnsi="宋体"/>
          <w:color w:val="auto"/>
          <w:szCs w:val="21"/>
          <w:highlight w:val="none"/>
        </w:rPr>
      </w:pPr>
      <w:r>
        <w:rPr>
          <w:rFonts w:ascii="宋体" w:hAnsi="宋体"/>
          <w:color w:val="auto"/>
          <w:szCs w:val="21"/>
          <w:highlight w:val="none"/>
        </w:rPr>
        <w:t>3.1.1</w:t>
      </w:r>
      <w:r>
        <w:rPr>
          <w:rFonts w:hint="eastAsia" w:ascii="宋体" w:hAnsi="宋体"/>
          <w:color w:val="auto"/>
          <w:szCs w:val="21"/>
          <w:highlight w:val="none"/>
        </w:rPr>
        <w:t xml:space="preserve"> 响应文件应包括下列内容</w:t>
      </w:r>
      <w:r>
        <w:rPr>
          <w:rFonts w:ascii="宋体" w:hAnsi="宋体"/>
          <w:color w:val="auto"/>
          <w:szCs w:val="21"/>
          <w:highlight w:val="none"/>
        </w:rPr>
        <w:t>：</w:t>
      </w:r>
    </w:p>
    <w:p w14:paraId="4D1B8317">
      <w:pPr>
        <w:numPr>
          <w:ilvl w:val="0"/>
          <w:numId w:val="1"/>
        </w:numPr>
        <w:autoSpaceDE w:val="0"/>
        <w:autoSpaceDN w:val="0"/>
        <w:adjustRightInd w:val="0"/>
        <w:spacing w:line="400" w:lineRule="exact"/>
        <w:ind w:firstLine="420"/>
        <w:jc w:val="left"/>
        <w:rPr>
          <w:rFonts w:hint="eastAsia" w:ascii="宋体" w:hAnsi="宋体" w:eastAsia="宋体" w:cs="宋体"/>
          <w:bCs/>
          <w:color w:val="auto"/>
          <w:szCs w:val="18"/>
          <w:highlight w:val="none"/>
          <w:lang w:val="zh-CN"/>
        </w:rPr>
      </w:pPr>
      <w:r>
        <w:rPr>
          <w:rFonts w:hint="eastAsia" w:ascii="宋体" w:hAnsi="宋体" w:eastAsia="宋体" w:cs="宋体"/>
          <w:bCs/>
          <w:color w:val="auto"/>
          <w:szCs w:val="18"/>
          <w:highlight w:val="none"/>
          <w:lang w:val="en-US" w:eastAsia="zh-CN"/>
        </w:rPr>
        <w:t>磋商</w:t>
      </w:r>
      <w:r>
        <w:rPr>
          <w:rFonts w:hint="eastAsia" w:ascii="宋体" w:hAnsi="宋体" w:eastAsia="宋体" w:cs="宋体"/>
          <w:bCs/>
          <w:color w:val="auto"/>
          <w:szCs w:val="18"/>
          <w:highlight w:val="none"/>
          <w:lang w:val="zh-CN"/>
        </w:rPr>
        <w:t>函及</w:t>
      </w:r>
      <w:r>
        <w:rPr>
          <w:rFonts w:hint="eastAsia" w:ascii="宋体" w:hAnsi="宋体" w:eastAsia="宋体" w:cs="宋体"/>
          <w:bCs/>
          <w:color w:val="auto"/>
          <w:szCs w:val="18"/>
          <w:highlight w:val="none"/>
          <w:lang w:val="en-US" w:eastAsia="zh-CN"/>
        </w:rPr>
        <w:t>磋商</w:t>
      </w:r>
      <w:r>
        <w:rPr>
          <w:rFonts w:hint="eastAsia" w:ascii="宋体" w:hAnsi="宋体" w:eastAsia="宋体" w:cs="宋体"/>
          <w:bCs/>
          <w:color w:val="auto"/>
          <w:szCs w:val="18"/>
          <w:highlight w:val="none"/>
          <w:lang w:val="zh-CN"/>
        </w:rPr>
        <w:t>函附录</w:t>
      </w:r>
      <w:r>
        <w:rPr>
          <w:rFonts w:hint="eastAsia" w:ascii="宋体" w:hAnsi="宋体" w:eastAsia="宋体" w:cs="宋体"/>
          <w:bCs/>
          <w:color w:val="auto"/>
          <w:szCs w:val="18"/>
          <w:highlight w:val="none"/>
          <w:lang w:val="en-US" w:eastAsia="zh-CN"/>
        </w:rPr>
        <w:t>及</w:t>
      </w:r>
      <w:r>
        <w:rPr>
          <w:rFonts w:hint="eastAsia" w:ascii="宋体" w:hAnsi="宋体" w:eastAsia="宋体" w:cs="宋体"/>
          <w:bCs/>
          <w:color w:val="auto"/>
          <w:szCs w:val="18"/>
          <w:highlight w:val="none"/>
          <w:lang w:val="zh-CN"/>
        </w:rPr>
        <w:t>首次报价一览表</w:t>
      </w:r>
    </w:p>
    <w:p w14:paraId="4D41DF20">
      <w:pPr>
        <w:numPr>
          <w:ilvl w:val="0"/>
          <w:numId w:val="1"/>
        </w:numPr>
        <w:autoSpaceDE w:val="0"/>
        <w:autoSpaceDN w:val="0"/>
        <w:adjustRightInd w:val="0"/>
        <w:spacing w:line="400" w:lineRule="exact"/>
        <w:ind w:firstLine="420"/>
        <w:jc w:val="left"/>
        <w:rPr>
          <w:rFonts w:hint="eastAsia" w:ascii="宋体" w:hAnsi="宋体" w:eastAsia="宋体" w:cs="宋体"/>
          <w:bCs/>
          <w:color w:val="auto"/>
          <w:szCs w:val="18"/>
          <w:highlight w:val="none"/>
          <w:lang w:val="zh-CN"/>
        </w:rPr>
      </w:pPr>
      <w:r>
        <w:rPr>
          <w:rFonts w:hint="eastAsia" w:ascii="宋体" w:hAnsi="宋体" w:eastAsia="宋体" w:cs="宋体"/>
          <w:bCs/>
          <w:color w:val="auto"/>
          <w:szCs w:val="18"/>
          <w:highlight w:val="none"/>
          <w:lang w:val="zh-CN"/>
        </w:rPr>
        <w:t>法定代表人身份证明及法定代表人授权委托书</w:t>
      </w:r>
    </w:p>
    <w:p w14:paraId="12818CFD">
      <w:pPr>
        <w:numPr>
          <w:ilvl w:val="0"/>
          <w:numId w:val="1"/>
        </w:numPr>
        <w:autoSpaceDE w:val="0"/>
        <w:autoSpaceDN w:val="0"/>
        <w:adjustRightInd w:val="0"/>
        <w:spacing w:line="400" w:lineRule="exact"/>
        <w:ind w:firstLine="420"/>
        <w:jc w:val="left"/>
        <w:rPr>
          <w:rFonts w:hint="eastAsia" w:ascii="宋体" w:hAnsi="宋体" w:eastAsia="宋体" w:cs="宋体"/>
          <w:bCs/>
          <w:color w:val="auto"/>
          <w:szCs w:val="18"/>
          <w:highlight w:val="none"/>
          <w:lang w:val="zh-CN"/>
        </w:rPr>
      </w:pPr>
      <w:r>
        <w:rPr>
          <w:rFonts w:hint="eastAsia" w:ascii="宋体" w:hAnsi="宋体" w:eastAsia="宋体" w:cs="宋体"/>
          <w:bCs/>
          <w:color w:val="auto"/>
          <w:szCs w:val="18"/>
          <w:highlight w:val="none"/>
          <w:lang w:val="zh-CN"/>
        </w:rPr>
        <w:t>首次报价一览表</w:t>
      </w:r>
      <w:r>
        <w:rPr>
          <w:rFonts w:hint="eastAsia" w:ascii="宋体" w:hAnsi="宋体" w:eastAsia="宋体" w:cs="宋体"/>
          <w:bCs/>
          <w:color w:val="auto"/>
          <w:szCs w:val="18"/>
          <w:highlight w:val="none"/>
          <w:lang w:val="zh-CN" w:eastAsia="zh-CN"/>
        </w:rPr>
        <w:t>（</w:t>
      </w:r>
      <w:r>
        <w:rPr>
          <w:rFonts w:hint="eastAsia" w:ascii="宋体" w:hAnsi="宋体" w:eastAsia="宋体" w:cs="宋体"/>
          <w:bCs/>
          <w:color w:val="auto"/>
          <w:szCs w:val="18"/>
          <w:highlight w:val="none"/>
          <w:lang w:val="en-US" w:eastAsia="zh-CN"/>
        </w:rPr>
        <w:t>以政采云平台报价格式为准</w:t>
      </w:r>
      <w:r>
        <w:rPr>
          <w:rFonts w:hint="eastAsia" w:ascii="宋体" w:hAnsi="宋体" w:eastAsia="宋体" w:cs="宋体"/>
          <w:bCs/>
          <w:color w:val="auto"/>
          <w:szCs w:val="18"/>
          <w:highlight w:val="none"/>
          <w:lang w:val="zh-CN" w:eastAsia="zh-CN"/>
        </w:rPr>
        <w:t>）</w:t>
      </w:r>
    </w:p>
    <w:p w14:paraId="3BBC0127">
      <w:pPr>
        <w:numPr>
          <w:ilvl w:val="0"/>
          <w:numId w:val="1"/>
        </w:numPr>
        <w:autoSpaceDE w:val="0"/>
        <w:autoSpaceDN w:val="0"/>
        <w:adjustRightInd w:val="0"/>
        <w:spacing w:line="400" w:lineRule="exact"/>
        <w:ind w:firstLine="420"/>
        <w:jc w:val="left"/>
        <w:rPr>
          <w:rFonts w:hint="eastAsia" w:ascii="宋体" w:hAnsi="宋体" w:eastAsia="宋体" w:cs="宋体"/>
          <w:bCs/>
          <w:color w:val="auto"/>
          <w:szCs w:val="18"/>
          <w:highlight w:val="none"/>
          <w:lang w:val="zh-CN"/>
        </w:rPr>
      </w:pPr>
      <w:r>
        <w:rPr>
          <w:rFonts w:hint="eastAsia" w:ascii="宋体" w:hAnsi="宋体" w:eastAsia="宋体" w:cs="宋体"/>
          <w:bCs/>
          <w:color w:val="auto"/>
          <w:szCs w:val="18"/>
          <w:highlight w:val="none"/>
          <w:lang w:val="zh-CN"/>
        </w:rPr>
        <w:t>分项报价表</w:t>
      </w:r>
    </w:p>
    <w:p w14:paraId="52BBB692">
      <w:pPr>
        <w:numPr>
          <w:ilvl w:val="0"/>
          <w:numId w:val="1"/>
        </w:numPr>
        <w:autoSpaceDE w:val="0"/>
        <w:autoSpaceDN w:val="0"/>
        <w:adjustRightInd w:val="0"/>
        <w:spacing w:line="400" w:lineRule="exact"/>
        <w:ind w:firstLine="420"/>
        <w:jc w:val="left"/>
        <w:rPr>
          <w:rFonts w:hint="eastAsia" w:ascii="宋体" w:hAnsi="宋体" w:eastAsia="宋体" w:cs="宋体"/>
          <w:bCs/>
          <w:color w:val="auto"/>
          <w:szCs w:val="18"/>
          <w:highlight w:val="none"/>
          <w:lang w:val="zh-CN"/>
        </w:rPr>
      </w:pPr>
      <w:r>
        <w:rPr>
          <w:rFonts w:hint="eastAsia" w:ascii="宋体" w:hAnsi="宋体" w:eastAsia="宋体" w:cs="宋体"/>
          <w:bCs/>
          <w:color w:val="auto"/>
          <w:szCs w:val="18"/>
          <w:highlight w:val="none"/>
          <w:lang w:val="zh-CN"/>
        </w:rPr>
        <w:t>商务</w:t>
      </w:r>
      <w:r>
        <w:rPr>
          <w:rFonts w:hint="eastAsia" w:ascii="宋体" w:hAnsi="宋体" w:eastAsia="宋体" w:cs="宋体"/>
          <w:bCs/>
          <w:color w:val="auto"/>
          <w:szCs w:val="18"/>
          <w:highlight w:val="none"/>
          <w:lang w:val="en-US" w:eastAsia="zh-CN"/>
        </w:rPr>
        <w:t>偏离</w:t>
      </w:r>
      <w:r>
        <w:rPr>
          <w:rFonts w:hint="eastAsia" w:ascii="宋体" w:hAnsi="宋体" w:eastAsia="宋体" w:cs="宋体"/>
          <w:bCs/>
          <w:color w:val="auto"/>
          <w:szCs w:val="18"/>
          <w:highlight w:val="none"/>
          <w:lang w:val="zh-CN"/>
        </w:rPr>
        <w:t>表</w:t>
      </w:r>
    </w:p>
    <w:p w14:paraId="44505926">
      <w:pPr>
        <w:numPr>
          <w:ilvl w:val="0"/>
          <w:numId w:val="1"/>
        </w:numPr>
        <w:autoSpaceDE w:val="0"/>
        <w:autoSpaceDN w:val="0"/>
        <w:adjustRightInd w:val="0"/>
        <w:spacing w:line="400" w:lineRule="exact"/>
        <w:ind w:firstLine="420"/>
        <w:jc w:val="left"/>
        <w:rPr>
          <w:rFonts w:hint="eastAsia" w:ascii="宋体" w:hAnsi="宋体" w:eastAsia="宋体" w:cs="宋体"/>
          <w:bCs/>
          <w:color w:val="auto"/>
          <w:szCs w:val="18"/>
          <w:highlight w:val="none"/>
          <w:lang w:val="zh-CN"/>
        </w:rPr>
      </w:pPr>
      <w:r>
        <w:rPr>
          <w:rFonts w:hint="eastAsia" w:ascii="宋体" w:hAnsi="宋体" w:eastAsia="宋体" w:cs="宋体"/>
          <w:bCs/>
          <w:color w:val="auto"/>
          <w:szCs w:val="18"/>
          <w:highlight w:val="none"/>
          <w:lang w:val="en-US" w:eastAsia="zh-CN"/>
        </w:rPr>
        <w:t>服务偏离</w:t>
      </w:r>
      <w:r>
        <w:rPr>
          <w:rFonts w:hint="eastAsia" w:ascii="宋体" w:hAnsi="宋体" w:eastAsia="宋体" w:cs="宋体"/>
          <w:bCs/>
          <w:color w:val="auto"/>
          <w:szCs w:val="18"/>
          <w:highlight w:val="none"/>
          <w:lang w:val="zh-CN"/>
        </w:rPr>
        <w:t>表</w:t>
      </w:r>
    </w:p>
    <w:p w14:paraId="2E00286A">
      <w:pPr>
        <w:numPr>
          <w:ilvl w:val="0"/>
          <w:numId w:val="1"/>
        </w:numPr>
        <w:autoSpaceDE w:val="0"/>
        <w:autoSpaceDN w:val="0"/>
        <w:adjustRightInd w:val="0"/>
        <w:spacing w:line="400" w:lineRule="exact"/>
        <w:ind w:firstLine="420"/>
        <w:jc w:val="left"/>
        <w:rPr>
          <w:rFonts w:hint="eastAsia" w:ascii="宋体" w:hAnsi="宋体" w:eastAsia="宋体" w:cs="宋体"/>
          <w:bCs/>
          <w:color w:val="auto"/>
          <w:szCs w:val="18"/>
          <w:highlight w:val="none"/>
          <w:lang w:val="zh-CN"/>
        </w:rPr>
      </w:pPr>
      <w:r>
        <w:rPr>
          <w:rFonts w:hint="eastAsia" w:ascii="宋体" w:hAnsi="宋体" w:eastAsia="宋体" w:cs="宋体"/>
          <w:bCs/>
          <w:color w:val="auto"/>
          <w:szCs w:val="18"/>
          <w:highlight w:val="none"/>
          <w:lang w:val="zh-CN"/>
        </w:rPr>
        <w:t>拟投入技术团队基本情况表</w:t>
      </w:r>
    </w:p>
    <w:p w14:paraId="169D4192">
      <w:pPr>
        <w:numPr>
          <w:ilvl w:val="0"/>
          <w:numId w:val="1"/>
        </w:numPr>
        <w:autoSpaceDE w:val="0"/>
        <w:autoSpaceDN w:val="0"/>
        <w:adjustRightInd w:val="0"/>
        <w:spacing w:line="400" w:lineRule="exact"/>
        <w:ind w:firstLine="420"/>
        <w:jc w:val="left"/>
        <w:rPr>
          <w:rFonts w:hint="eastAsia" w:ascii="宋体" w:hAnsi="宋体" w:eastAsia="宋体" w:cs="宋体"/>
          <w:bCs/>
          <w:color w:val="auto"/>
          <w:szCs w:val="18"/>
          <w:highlight w:val="none"/>
          <w:lang w:val="zh-CN" w:eastAsia="zh-CN"/>
        </w:rPr>
      </w:pPr>
      <w:r>
        <w:rPr>
          <w:rFonts w:hint="eastAsia" w:ascii="宋体" w:hAnsi="宋体" w:eastAsia="宋体" w:cs="宋体"/>
          <w:bCs/>
          <w:color w:val="auto"/>
          <w:szCs w:val="18"/>
          <w:highlight w:val="none"/>
          <w:lang w:val="zh-CN"/>
        </w:rPr>
        <w:t>技术部分内容</w:t>
      </w:r>
      <w:r>
        <w:rPr>
          <w:rFonts w:hint="eastAsia" w:ascii="宋体" w:hAnsi="宋体" w:eastAsia="宋体" w:cs="宋体"/>
          <w:bCs/>
          <w:color w:val="auto"/>
          <w:szCs w:val="18"/>
          <w:highlight w:val="none"/>
          <w:lang w:val="zh-CN" w:eastAsia="zh-CN"/>
        </w:rPr>
        <w:t>（</w:t>
      </w:r>
      <w:r>
        <w:rPr>
          <w:rFonts w:hint="eastAsia" w:ascii="宋体" w:hAnsi="宋体" w:eastAsia="宋体" w:cs="宋体"/>
          <w:bCs/>
          <w:color w:val="auto"/>
          <w:szCs w:val="18"/>
          <w:highlight w:val="none"/>
          <w:lang w:val="en-US" w:eastAsia="zh-CN"/>
        </w:rPr>
        <w:t>暗标部分</w:t>
      </w:r>
      <w:r>
        <w:rPr>
          <w:rFonts w:hint="eastAsia" w:ascii="宋体" w:hAnsi="宋体" w:eastAsia="宋体" w:cs="宋体"/>
          <w:bCs/>
          <w:color w:val="auto"/>
          <w:szCs w:val="18"/>
          <w:highlight w:val="none"/>
          <w:lang w:val="zh-CN" w:eastAsia="zh-CN"/>
        </w:rPr>
        <w:t>）</w:t>
      </w:r>
    </w:p>
    <w:p w14:paraId="1992DF05">
      <w:pPr>
        <w:numPr>
          <w:ilvl w:val="0"/>
          <w:numId w:val="1"/>
        </w:numPr>
        <w:autoSpaceDE w:val="0"/>
        <w:autoSpaceDN w:val="0"/>
        <w:adjustRightInd w:val="0"/>
        <w:spacing w:line="400" w:lineRule="exact"/>
        <w:ind w:firstLine="420"/>
        <w:jc w:val="left"/>
        <w:rPr>
          <w:rFonts w:hint="eastAsia" w:ascii="宋体" w:hAnsi="宋体" w:eastAsia="宋体" w:cs="宋体"/>
          <w:bCs/>
          <w:color w:val="auto"/>
          <w:szCs w:val="18"/>
          <w:highlight w:val="none"/>
          <w:lang w:val="zh-CN"/>
        </w:rPr>
      </w:pPr>
      <w:r>
        <w:rPr>
          <w:rFonts w:hint="eastAsia" w:ascii="宋体" w:hAnsi="宋体" w:eastAsia="宋体" w:cs="宋体"/>
          <w:bCs/>
          <w:color w:val="auto"/>
          <w:szCs w:val="18"/>
          <w:highlight w:val="none"/>
          <w:lang w:val="zh-CN"/>
        </w:rPr>
        <w:t>资格审查资料</w:t>
      </w:r>
    </w:p>
    <w:p w14:paraId="4927EFD6">
      <w:pPr>
        <w:numPr>
          <w:ilvl w:val="0"/>
          <w:numId w:val="1"/>
        </w:numPr>
        <w:autoSpaceDE w:val="0"/>
        <w:autoSpaceDN w:val="0"/>
        <w:adjustRightInd w:val="0"/>
        <w:spacing w:line="400" w:lineRule="exact"/>
        <w:ind w:firstLine="420"/>
        <w:jc w:val="left"/>
        <w:rPr>
          <w:rFonts w:hint="eastAsia" w:ascii="宋体" w:hAnsi="宋体" w:eastAsia="宋体" w:cs="宋体"/>
          <w:bCs/>
          <w:color w:val="auto"/>
          <w:szCs w:val="18"/>
          <w:highlight w:val="none"/>
          <w:lang w:val="zh-CN"/>
        </w:rPr>
      </w:pPr>
      <w:r>
        <w:rPr>
          <w:rFonts w:hint="eastAsia" w:ascii="宋体" w:hAnsi="宋体" w:eastAsia="宋体" w:cs="宋体"/>
          <w:bCs/>
          <w:color w:val="auto"/>
          <w:szCs w:val="18"/>
          <w:highlight w:val="none"/>
          <w:lang w:val="zh-CN"/>
        </w:rPr>
        <w:t>其他资料</w:t>
      </w:r>
    </w:p>
    <w:p w14:paraId="1079417C">
      <w:pPr>
        <w:pStyle w:val="5"/>
        <w:rPr>
          <w:rFonts w:ascii="宋体" w:hAnsi="宋体" w:eastAsia="宋体"/>
          <w:color w:val="auto"/>
          <w:highlight w:val="none"/>
        </w:rPr>
      </w:pPr>
      <w:bookmarkStart w:id="79" w:name="_Toc3910"/>
      <w:bookmarkStart w:id="80" w:name="_Toc18561"/>
      <w:r>
        <w:rPr>
          <w:rFonts w:hint="eastAsia" w:ascii="宋体" w:hAnsi="宋体" w:eastAsia="宋体"/>
          <w:color w:val="auto"/>
          <w:highlight w:val="none"/>
        </w:rPr>
        <w:t>3.2 磋商报价</w:t>
      </w:r>
      <w:bookmarkEnd w:id="79"/>
      <w:bookmarkEnd w:id="80"/>
    </w:p>
    <w:p w14:paraId="0A41A84A">
      <w:pPr>
        <w:spacing w:line="360" w:lineRule="auto"/>
        <w:ind w:firstLine="420" w:firstLineChars="200"/>
        <w:rPr>
          <w:rFonts w:hint="eastAsia" w:ascii="宋体" w:hAnsi="宋体" w:cs="宋体"/>
          <w:bCs/>
          <w:color w:val="auto"/>
          <w:szCs w:val="21"/>
        </w:rPr>
      </w:pPr>
      <w:r>
        <w:rPr>
          <w:rFonts w:hint="eastAsia" w:ascii="宋体" w:hAnsi="宋体"/>
          <w:color w:val="auto"/>
          <w:szCs w:val="21"/>
          <w:highlight w:val="none"/>
        </w:rPr>
        <w:t>3.2.1</w:t>
      </w:r>
      <w:r>
        <w:rPr>
          <w:rFonts w:hint="eastAsia" w:ascii="宋体" w:hAnsi="宋体" w:cs="宋体"/>
          <w:bCs/>
          <w:color w:val="auto"/>
          <w:szCs w:val="21"/>
          <w:highlight w:val="none"/>
        </w:rPr>
        <w:t>报价为供应商在响应文件中提出的各项支付金额的总和。报价应包括承担本项目的全部费用，包</w:t>
      </w:r>
      <w:r>
        <w:rPr>
          <w:rFonts w:hint="eastAsia" w:ascii="宋体" w:hAnsi="宋体" w:cs="宋体"/>
          <w:bCs/>
          <w:color w:val="auto"/>
          <w:szCs w:val="21"/>
        </w:rPr>
        <w:t>括系统集成费、安装调试费、各种税费等为完成磋商文件规定的一切工作所需的全部费用。报价若有遗漏，视为免费提供，采购人不再另行支付。</w:t>
      </w:r>
    </w:p>
    <w:p w14:paraId="3C690C68">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3.2.</w:t>
      </w:r>
      <w:r>
        <w:rPr>
          <w:rFonts w:hint="eastAsia" w:ascii="宋体" w:hAnsi="宋体"/>
          <w:color w:val="auto"/>
          <w:szCs w:val="21"/>
          <w:highlight w:val="none"/>
          <w:lang w:val="en-US" w:eastAsia="zh-CN"/>
        </w:rPr>
        <w:t>2</w:t>
      </w:r>
      <w:r>
        <w:rPr>
          <w:rFonts w:hint="eastAsia" w:ascii="宋体" w:hAnsi="宋体"/>
          <w:color w:val="auto"/>
          <w:szCs w:val="21"/>
          <w:highlight w:val="none"/>
        </w:rPr>
        <w:t>报价次数：供应商须知前附表规定；</w:t>
      </w:r>
    </w:p>
    <w:p w14:paraId="4C81E2DE">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3.2.</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最高限价：供应商须知前附表规定。</w:t>
      </w:r>
    </w:p>
    <w:p w14:paraId="2FF8BAD8">
      <w:pPr>
        <w:pStyle w:val="5"/>
        <w:rPr>
          <w:rFonts w:ascii="宋体" w:hAnsi="宋体" w:eastAsia="宋体"/>
          <w:color w:val="auto"/>
          <w:highlight w:val="none"/>
        </w:rPr>
      </w:pPr>
      <w:bookmarkStart w:id="81" w:name="_Toc32399"/>
      <w:bookmarkStart w:id="82" w:name="_Toc26769"/>
      <w:r>
        <w:rPr>
          <w:rFonts w:hint="eastAsia" w:ascii="宋体" w:hAnsi="宋体" w:eastAsia="宋体"/>
          <w:color w:val="auto"/>
          <w:highlight w:val="none"/>
        </w:rPr>
        <w:t>3.3 响应有效期</w:t>
      </w:r>
      <w:bookmarkEnd w:id="81"/>
      <w:bookmarkEnd w:id="82"/>
    </w:p>
    <w:p w14:paraId="5F9855C3">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3.3.1 在供应商须知前附表规定的响应有效期内，供应商不得要求撤销或修改其响应文件。</w:t>
      </w:r>
    </w:p>
    <w:p w14:paraId="6B82DA7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3.3.2 出现特殊情况需要延长响应有效期的，采购人以书面形式通知所有供应商延长响应有效期。供应商同意延长的，应相应延长其磋商保证金的有效期，但不得要求或被允许修改或撤销其响应文件；供应商拒绝延长的，其投标失效，但供应商有权收回其磋商保证金。</w:t>
      </w:r>
    </w:p>
    <w:p w14:paraId="76E33A81">
      <w:pPr>
        <w:pStyle w:val="5"/>
        <w:rPr>
          <w:rFonts w:ascii="宋体" w:hAnsi="宋体" w:eastAsia="宋体"/>
          <w:color w:val="auto"/>
          <w:highlight w:val="none"/>
        </w:rPr>
      </w:pPr>
      <w:bookmarkStart w:id="83" w:name="_Toc10268"/>
      <w:bookmarkStart w:id="84" w:name="_Toc29749"/>
      <w:r>
        <w:rPr>
          <w:rFonts w:hint="eastAsia" w:ascii="宋体" w:hAnsi="宋体" w:eastAsia="宋体"/>
          <w:color w:val="auto"/>
          <w:highlight w:val="none"/>
        </w:rPr>
        <w:t>3.4 磋商保证金</w:t>
      </w:r>
      <w:bookmarkEnd w:id="83"/>
      <w:bookmarkEnd w:id="84"/>
    </w:p>
    <w:p w14:paraId="2C6DB36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详见供应商须知前附表规定</w:t>
      </w:r>
    </w:p>
    <w:p w14:paraId="1A5DAC29">
      <w:pPr>
        <w:pStyle w:val="5"/>
        <w:rPr>
          <w:rFonts w:ascii="宋体" w:hAnsi="宋体" w:eastAsia="宋体"/>
          <w:color w:val="auto"/>
          <w:highlight w:val="none"/>
        </w:rPr>
      </w:pPr>
      <w:bookmarkStart w:id="85" w:name="_Toc23287"/>
      <w:bookmarkStart w:id="86" w:name="_Toc20600"/>
      <w:r>
        <w:rPr>
          <w:rFonts w:hint="eastAsia" w:ascii="宋体" w:hAnsi="宋体" w:eastAsia="宋体"/>
          <w:color w:val="auto"/>
          <w:highlight w:val="none"/>
        </w:rPr>
        <w:t>3.5 资格审查资料</w:t>
      </w:r>
      <w:bookmarkEnd w:id="85"/>
      <w:bookmarkEnd w:id="86"/>
    </w:p>
    <w:p w14:paraId="47A6606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lang w:val="en-US" w:eastAsia="zh-CN"/>
        </w:rPr>
        <w:t>见供应商须知前附表</w:t>
      </w:r>
      <w:r>
        <w:rPr>
          <w:rFonts w:hint="eastAsia" w:ascii="宋体" w:hAnsi="宋体"/>
          <w:color w:val="auto"/>
          <w:szCs w:val="21"/>
          <w:highlight w:val="none"/>
        </w:rPr>
        <w:t>。</w:t>
      </w:r>
    </w:p>
    <w:p w14:paraId="0D0D04DE">
      <w:pPr>
        <w:pStyle w:val="5"/>
        <w:rPr>
          <w:rFonts w:ascii="宋体" w:hAnsi="宋体" w:eastAsia="宋体"/>
          <w:color w:val="auto"/>
          <w:highlight w:val="none"/>
        </w:rPr>
      </w:pPr>
      <w:bookmarkStart w:id="87" w:name="_Toc4063"/>
      <w:bookmarkStart w:id="88" w:name="_Toc22789"/>
      <w:r>
        <w:rPr>
          <w:rFonts w:hint="eastAsia" w:ascii="宋体" w:hAnsi="宋体" w:eastAsia="宋体"/>
          <w:color w:val="auto"/>
          <w:highlight w:val="none"/>
        </w:rPr>
        <w:t>3.6 备选投标方案</w:t>
      </w:r>
      <w:bookmarkEnd w:id="87"/>
      <w:bookmarkEnd w:id="88"/>
    </w:p>
    <w:p w14:paraId="6C61A731">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除供应商须知前附表另有规定外，供应商不得递交备选投标方案。允许供应商递交备选投标方案的，只有成交单位所递交的备选投标方案方可予以考虑。磋商小组认为成交单位的备选投标方案优于其按照磋商文件要求编制的投标方案的，采购人可以接受该备选投标方案。</w:t>
      </w:r>
    </w:p>
    <w:p w14:paraId="6F67FD2F">
      <w:pPr>
        <w:pStyle w:val="5"/>
        <w:rPr>
          <w:rFonts w:ascii="宋体" w:hAnsi="宋体" w:eastAsia="宋体"/>
          <w:color w:val="auto"/>
          <w:highlight w:val="none"/>
        </w:rPr>
      </w:pPr>
      <w:bookmarkStart w:id="89" w:name="_Toc8170"/>
      <w:bookmarkStart w:id="90" w:name="_Toc27531"/>
      <w:r>
        <w:rPr>
          <w:rFonts w:hint="eastAsia" w:ascii="宋体" w:hAnsi="宋体" w:eastAsia="宋体"/>
          <w:color w:val="auto"/>
          <w:highlight w:val="none"/>
        </w:rPr>
        <w:t>3.7 响应文件的编制</w:t>
      </w:r>
      <w:bookmarkEnd w:id="89"/>
      <w:bookmarkEnd w:id="90"/>
    </w:p>
    <w:p w14:paraId="56BB0C9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3.7.1 响应文件应按第</w:t>
      </w:r>
      <w:r>
        <w:rPr>
          <w:rFonts w:hint="eastAsia" w:ascii="宋体" w:hAnsi="宋体"/>
          <w:color w:val="auto"/>
          <w:szCs w:val="21"/>
          <w:highlight w:val="none"/>
          <w:lang w:val="en-US" w:eastAsia="zh-CN"/>
        </w:rPr>
        <w:t>六</w:t>
      </w:r>
      <w:r>
        <w:rPr>
          <w:rFonts w:hint="eastAsia" w:ascii="宋体" w:hAnsi="宋体"/>
          <w:color w:val="auto"/>
          <w:szCs w:val="21"/>
          <w:highlight w:val="none"/>
        </w:rPr>
        <w:t>章“响应文件格式”进行编写，如有必要，可以增加附页，作为响应文件的组成部分。其中，磋商函附录在满足磋商文件实质性要求的基础上，可以提出比磋商文件要求更有利于采购人的承诺。</w:t>
      </w:r>
    </w:p>
    <w:p w14:paraId="20B3B6D9">
      <w:pPr>
        <w:spacing w:line="360" w:lineRule="auto"/>
        <w:ind w:firstLine="420" w:firstLineChars="200"/>
        <w:rPr>
          <w:rFonts w:ascii="宋体" w:hAnsi="宋体"/>
          <w:bCs/>
          <w:color w:val="auto"/>
          <w:szCs w:val="21"/>
          <w:highlight w:val="none"/>
          <w:lang w:val="zh-CN"/>
        </w:rPr>
      </w:pPr>
      <w:r>
        <w:rPr>
          <w:rFonts w:ascii="宋体" w:hAnsi="宋体"/>
          <w:bCs/>
          <w:color w:val="auto"/>
          <w:szCs w:val="21"/>
          <w:highlight w:val="none"/>
          <w:lang w:val="zh-CN"/>
        </w:rPr>
        <w:t>3</w:t>
      </w:r>
      <w:r>
        <w:rPr>
          <w:rFonts w:hint="eastAsia" w:ascii="宋体" w:hAnsi="宋体"/>
          <w:bCs/>
          <w:color w:val="auto"/>
          <w:szCs w:val="21"/>
          <w:highlight w:val="none"/>
          <w:lang w:val="zh-CN"/>
        </w:rPr>
        <w:t>.7.</w:t>
      </w:r>
      <w:r>
        <w:rPr>
          <w:rFonts w:ascii="宋体" w:hAnsi="宋体"/>
          <w:bCs/>
          <w:color w:val="auto"/>
          <w:szCs w:val="21"/>
          <w:highlight w:val="none"/>
          <w:lang w:val="zh-CN"/>
        </w:rPr>
        <w:t>2</w:t>
      </w:r>
      <w:r>
        <w:rPr>
          <w:rFonts w:hint="eastAsia" w:ascii="宋体" w:hAnsi="宋体"/>
          <w:bCs/>
          <w:color w:val="auto"/>
          <w:szCs w:val="21"/>
          <w:highlight w:val="none"/>
          <w:lang w:val="zh-CN"/>
        </w:rPr>
        <w:t xml:space="preserve"> 响应文件应当对磋商文件有关</w:t>
      </w:r>
      <w:r>
        <w:rPr>
          <w:rFonts w:hint="eastAsia" w:ascii="宋体" w:hAnsi="宋体"/>
          <w:bCs/>
          <w:color w:val="auto"/>
          <w:szCs w:val="21"/>
          <w:highlight w:val="none"/>
          <w:lang w:val="en-US" w:eastAsia="zh-CN"/>
        </w:rPr>
        <w:t>合同履行期限（服务期限）</w:t>
      </w:r>
      <w:r>
        <w:rPr>
          <w:rFonts w:hint="eastAsia" w:ascii="宋体" w:hAnsi="宋体"/>
          <w:bCs/>
          <w:color w:val="auto"/>
          <w:szCs w:val="21"/>
          <w:highlight w:val="none"/>
          <w:lang w:val="zh-CN"/>
        </w:rPr>
        <w:t>、响应有效期、</w:t>
      </w:r>
      <w:r>
        <w:rPr>
          <w:rFonts w:hint="eastAsia" w:ascii="宋体" w:hAnsi="宋体"/>
          <w:bCs/>
          <w:color w:val="auto"/>
          <w:szCs w:val="21"/>
          <w:highlight w:val="none"/>
          <w:lang w:val="en-US" w:eastAsia="zh-CN"/>
        </w:rPr>
        <w:t>服务</w:t>
      </w:r>
      <w:r>
        <w:rPr>
          <w:rFonts w:hint="eastAsia" w:ascii="宋体" w:hAnsi="宋体"/>
          <w:bCs/>
          <w:color w:val="auto"/>
          <w:szCs w:val="21"/>
          <w:highlight w:val="none"/>
          <w:lang w:val="zh-CN"/>
        </w:rPr>
        <w:t>标准、</w:t>
      </w:r>
      <w:r>
        <w:rPr>
          <w:rFonts w:hint="eastAsia" w:ascii="宋体" w:hAnsi="宋体"/>
          <w:bCs/>
          <w:color w:val="auto"/>
          <w:szCs w:val="21"/>
          <w:highlight w:val="none"/>
          <w:lang w:val="en-US" w:eastAsia="zh-CN"/>
        </w:rPr>
        <w:t>采购需求</w:t>
      </w:r>
      <w:r>
        <w:rPr>
          <w:rFonts w:hint="eastAsia" w:ascii="宋体" w:hAnsi="宋体"/>
          <w:bCs/>
          <w:color w:val="auto"/>
          <w:szCs w:val="21"/>
          <w:highlight w:val="none"/>
          <w:lang w:val="zh-CN"/>
        </w:rPr>
        <w:t>等实质性内容作出响应。</w:t>
      </w:r>
    </w:p>
    <w:p w14:paraId="59759E72">
      <w:pPr>
        <w:spacing w:line="360" w:lineRule="auto"/>
        <w:ind w:firstLine="420" w:firstLineChars="200"/>
        <w:rPr>
          <w:rFonts w:hint="eastAsia" w:ascii="宋体" w:hAnsi="宋体"/>
          <w:bCs/>
          <w:color w:val="auto"/>
          <w:szCs w:val="21"/>
          <w:highlight w:val="none"/>
          <w:lang w:val="zh-CN"/>
        </w:rPr>
      </w:pPr>
      <w:r>
        <w:rPr>
          <w:rFonts w:hint="eastAsia" w:ascii="宋体" w:hAnsi="宋体"/>
          <w:bCs/>
          <w:color w:val="auto"/>
          <w:szCs w:val="21"/>
          <w:highlight w:val="none"/>
          <w:lang w:val="zh-CN"/>
        </w:rPr>
        <w:t>3.7.3 响应文件应用不褪色的材料书写或打印，由供应商的法定代表人或其委托代理人签字或盖单位章。委托代理人签字的，响应文件应附法定代表人签署的授权委托书。响应文件应尽量避免涂改、行间插字或删除。如果出现上述情况，改动之处应加盖单位章或由供应商的法定代表人或委托代理人签字确认。签字或盖章的具体要求见供应商须知前附表。</w:t>
      </w:r>
    </w:p>
    <w:p w14:paraId="09EC3D87">
      <w:pPr>
        <w:spacing w:line="360" w:lineRule="auto"/>
        <w:ind w:firstLine="420" w:firstLineChars="200"/>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3.7.4</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文件份数</w:t>
      </w:r>
      <w:r>
        <w:rPr>
          <w:rFonts w:hint="eastAsia" w:ascii="宋体" w:hAnsi="宋体" w:cs="宋体"/>
          <w:color w:val="auto"/>
          <w:szCs w:val="21"/>
          <w:highlight w:val="none"/>
          <w:lang w:val="en-US" w:eastAsia="zh-CN"/>
        </w:rPr>
        <w:t>见供应商须知前附表。</w:t>
      </w:r>
    </w:p>
    <w:p w14:paraId="7B636B0A">
      <w:pPr>
        <w:pStyle w:val="4"/>
        <w:rPr>
          <w:rFonts w:hint="eastAsia" w:ascii="宋体" w:hAnsi="宋体" w:eastAsia="宋体"/>
          <w:color w:val="auto"/>
          <w:highlight w:val="none"/>
          <w:lang w:eastAsia="zh-CN"/>
        </w:rPr>
      </w:pPr>
      <w:bookmarkStart w:id="91" w:name="_Toc184635074"/>
      <w:bookmarkStart w:id="92" w:name="_Toc24051"/>
      <w:bookmarkStart w:id="93" w:name="_Toc25303"/>
      <w:r>
        <w:rPr>
          <w:rFonts w:hint="eastAsia" w:ascii="宋体" w:hAnsi="宋体"/>
          <w:color w:val="auto"/>
          <w:highlight w:val="none"/>
        </w:rPr>
        <w:t>4．</w:t>
      </w:r>
      <w:bookmarkEnd w:id="91"/>
      <w:bookmarkEnd w:id="92"/>
      <w:r>
        <w:rPr>
          <w:rFonts w:hint="eastAsia" w:ascii="宋体" w:hAnsi="宋体"/>
          <w:color w:val="auto"/>
          <w:highlight w:val="none"/>
          <w:lang w:val="en-US" w:eastAsia="zh-CN"/>
        </w:rPr>
        <w:t>响应</w:t>
      </w:r>
      <w:bookmarkEnd w:id="93"/>
    </w:p>
    <w:p w14:paraId="0F6A2A02">
      <w:pPr>
        <w:pStyle w:val="5"/>
        <w:rPr>
          <w:rFonts w:ascii="宋体" w:hAnsi="宋体" w:eastAsia="宋体"/>
          <w:color w:val="auto"/>
          <w:highlight w:val="none"/>
        </w:rPr>
      </w:pPr>
      <w:bookmarkStart w:id="94" w:name="_Toc12680"/>
      <w:bookmarkStart w:id="95" w:name="_Toc23861"/>
      <w:r>
        <w:rPr>
          <w:rFonts w:hint="eastAsia" w:ascii="宋体" w:hAnsi="宋体" w:eastAsia="宋体"/>
          <w:color w:val="auto"/>
          <w:highlight w:val="none"/>
        </w:rPr>
        <w:t>4.</w:t>
      </w:r>
      <w:r>
        <w:rPr>
          <w:rFonts w:hint="eastAsia" w:ascii="宋体" w:hAnsi="宋体" w:eastAsia="宋体"/>
          <w:color w:val="auto"/>
          <w:highlight w:val="none"/>
          <w:lang w:val="en-US" w:eastAsia="zh-CN"/>
        </w:rPr>
        <w:t>1</w:t>
      </w:r>
      <w:r>
        <w:rPr>
          <w:rFonts w:hint="eastAsia" w:ascii="宋体" w:hAnsi="宋体" w:eastAsia="宋体"/>
          <w:color w:val="auto"/>
          <w:highlight w:val="none"/>
        </w:rPr>
        <w:t xml:space="preserve"> 响应文件的递交</w:t>
      </w:r>
      <w:bookmarkEnd w:id="94"/>
      <w:bookmarkEnd w:id="95"/>
    </w:p>
    <w:p w14:paraId="45AB3DDB">
      <w:pPr>
        <w:spacing w:line="440" w:lineRule="exact"/>
        <w:ind w:firstLine="420" w:firstLineChars="200"/>
        <w:rPr>
          <w:rFonts w:hint="eastAsia" w:ascii="宋体" w:hAnsi="宋体" w:cs="宋体"/>
          <w:color w:val="auto"/>
          <w:highlight w:val="none"/>
        </w:rPr>
      </w:pPr>
      <w:bookmarkStart w:id="96" w:name="_Toc184635075"/>
      <w:r>
        <w:rPr>
          <w:rFonts w:hint="eastAsia" w:ascii="宋体" w:hAnsi="宋体" w:cs="宋体"/>
          <w:color w:val="auto"/>
          <w:highlight w:val="none"/>
        </w:rPr>
        <w:t>4.</w:t>
      </w:r>
      <w:r>
        <w:rPr>
          <w:rFonts w:hint="eastAsia" w:ascii="宋体" w:hAnsi="宋体" w:cs="宋体"/>
          <w:color w:val="auto"/>
          <w:highlight w:val="none"/>
          <w:lang w:val="en-US" w:eastAsia="zh-CN"/>
        </w:rPr>
        <w:t>1</w:t>
      </w:r>
      <w:r>
        <w:rPr>
          <w:rFonts w:hint="eastAsia" w:ascii="宋体" w:hAnsi="宋体" w:cs="宋体"/>
          <w:color w:val="auto"/>
          <w:highlight w:val="none"/>
        </w:rPr>
        <w:t xml:space="preserve">.1 </w:t>
      </w:r>
      <w:r>
        <w:rPr>
          <w:rFonts w:hint="eastAsia" w:ascii="宋体" w:hAnsi="宋体" w:cs="宋体"/>
          <w:color w:val="auto"/>
          <w:highlight w:val="none"/>
          <w:lang w:val="en-US" w:eastAsia="zh-CN"/>
        </w:rPr>
        <w:t>供应商</w:t>
      </w:r>
      <w:r>
        <w:rPr>
          <w:rFonts w:hint="eastAsia" w:ascii="宋体" w:hAnsi="宋体" w:cs="宋体"/>
          <w:color w:val="auto"/>
          <w:highlight w:val="none"/>
        </w:rPr>
        <w:t>应在本章第2.2.2项规定的</w:t>
      </w:r>
      <w:r>
        <w:rPr>
          <w:rFonts w:hint="eastAsia" w:ascii="宋体" w:hAnsi="宋体" w:cs="宋体"/>
          <w:color w:val="auto"/>
          <w:highlight w:val="none"/>
          <w:lang w:val="en-US" w:eastAsia="zh-CN"/>
        </w:rPr>
        <w:t>提交响应文件</w:t>
      </w:r>
      <w:r>
        <w:rPr>
          <w:rFonts w:hint="eastAsia" w:ascii="宋体" w:hAnsi="宋体" w:cs="宋体"/>
          <w:color w:val="auto"/>
          <w:highlight w:val="none"/>
        </w:rPr>
        <w:t>截止时间前</w:t>
      </w:r>
      <w:r>
        <w:rPr>
          <w:rFonts w:hint="eastAsia" w:ascii="宋体" w:hAnsi="宋体" w:cs="宋体"/>
          <w:color w:val="auto"/>
          <w:highlight w:val="none"/>
          <w:lang w:val="en-US" w:eastAsia="zh-CN"/>
        </w:rPr>
        <w:t>提交响应</w:t>
      </w:r>
      <w:r>
        <w:rPr>
          <w:rFonts w:hint="eastAsia" w:ascii="宋体" w:hAnsi="宋体" w:cs="宋体"/>
          <w:color w:val="auto"/>
          <w:highlight w:val="none"/>
        </w:rPr>
        <w:t>文件。</w:t>
      </w:r>
    </w:p>
    <w:p w14:paraId="0564F74D">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highlight w:val="none"/>
          <w:lang w:val="en-US" w:eastAsia="zh-CN"/>
        </w:rPr>
        <w:t>1</w:t>
      </w:r>
      <w:r>
        <w:rPr>
          <w:rFonts w:hint="eastAsia" w:ascii="宋体" w:hAnsi="宋体" w:cs="宋体"/>
          <w:color w:val="auto"/>
          <w:highlight w:val="none"/>
        </w:rPr>
        <w:t xml:space="preserve">.2 </w:t>
      </w:r>
      <w:r>
        <w:rPr>
          <w:rFonts w:hint="eastAsia" w:ascii="宋体" w:hAnsi="宋体" w:cs="宋体"/>
          <w:color w:val="auto"/>
          <w:highlight w:val="none"/>
          <w:lang w:val="en-US" w:eastAsia="zh-CN"/>
        </w:rPr>
        <w:t>供应商提交响应文件</w:t>
      </w:r>
      <w:r>
        <w:rPr>
          <w:rFonts w:hint="eastAsia" w:ascii="宋体" w:hAnsi="宋体" w:cs="宋体"/>
          <w:color w:val="auto"/>
          <w:highlight w:val="none"/>
        </w:rPr>
        <w:t>的地点：见</w:t>
      </w:r>
      <w:r>
        <w:rPr>
          <w:rFonts w:hint="eastAsia" w:ascii="宋体" w:hAnsi="宋体" w:cs="宋体"/>
          <w:color w:val="auto"/>
          <w:highlight w:val="none"/>
          <w:lang w:val="en-US" w:eastAsia="zh-CN"/>
        </w:rPr>
        <w:t>供应商</w:t>
      </w:r>
      <w:r>
        <w:rPr>
          <w:rFonts w:hint="eastAsia" w:ascii="宋体" w:hAnsi="宋体" w:cs="宋体"/>
          <w:color w:val="auto"/>
          <w:highlight w:val="none"/>
        </w:rPr>
        <w:t>须知前附表。</w:t>
      </w:r>
    </w:p>
    <w:p w14:paraId="30A2DC41">
      <w:pPr>
        <w:spacing w:line="440" w:lineRule="exact"/>
        <w:ind w:firstLine="420" w:firstLineChars="200"/>
        <w:rPr>
          <w:rFonts w:hint="eastAsia" w:ascii="宋体" w:hAnsi="宋体" w:cs="宋体"/>
          <w:color w:val="auto"/>
          <w:highlight w:val="none"/>
        </w:rPr>
      </w:pPr>
      <w:r>
        <w:rPr>
          <w:rFonts w:hint="eastAsia" w:ascii="宋体" w:hAnsi="宋体" w:cs="宋体"/>
          <w:color w:val="auto"/>
          <w:highlight w:val="none"/>
        </w:rPr>
        <w:t>4.</w:t>
      </w:r>
      <w:r>
        <w:rPr>
          <w:rFonts w:hint="eastAsia" w:ascii="宋体" w:hAnsi="宋体" w:cs="宋体"/>
          <w:color w:val="auto"/>
          <w:highlight w:val="none"/>
          <w:lang w:val="en-US" w:eastAsia="zh-CN"/>
        </w:rPr>
        <w:t>1</w:t>
      </w:r>
      <w:r>
        <w:rPr>
          <w:rFonts w:hint="eastAsia" w:ascii="宋体" w:hAnsi="宋体" w:cs="宋体"/>
          <w:color w:val="auto"/>
          <w:highlight w:val="none"/>
        </w:rPr>
        <w:t>.3 除</w:t>
      </w:r>
      <w:r>
        <w:rPr>
          <w:rFonts w:hint="eastAsia" w:ascii="宋体" w:hAnsi="宋体" w:cs="宋体"/>
          <w:color w:val="auto"/>
          <w:highlight w:val="none"/>
          <w:lang w:val="en-US" w:eastAsia="zh-CN"/>
        </w:rPr>
        <w:t>供应商</w:t>
      </w:r>
      <w:r>
        <w:rPr>
          <w:rFonts w:hint="eastAsia" w:ascii="宋体" w:hAnsi="宋体" w:cs="宋体"/>
          <w:color w:val="auto"/>
          <w:highlight w:val="none"/>
        </w:rPr>
        <w:t>须知前附表另有规定外，</w:t>
      </w:r>
      <w:r>
        <w:rPr>
          <w:rFonts w:hint="eastAsia" w:ascii="宋体" w:hAnsi="宋体" w:cs="宋体"/>
          <w:color w:val="auto"/>
          <w:highlight w:val="none"/>
          <w:lang w:val="en-US" w:eastAsia="zh-CN"/>
        </w:rPr>
        <w:t>供应商</w:t>
      </w:r>
      <w:r>
        <w:rPr>
          <w:rFonts w:hint="eastAsia" w:ascii="宋体" w:hAnsi="宋体" w:cs="宋体"/>
          <w:color w:val="auto"/>
          <w:highlight w:val="none"/>
        </w:rPr>
        <w:t>所</w:t>
      </w:r>
      <w:r>
        <w:rPr>
          <w:rFonts w:hint="eastAsia" w:ascii="宋体" w:hAnsi="宋体" w:cs="宋体"/>
          <w:color w:val="auto"/>
          <w:highlight w:val="none"/>
          <w:lang w:val="en-US" w:eastAsia="zh-CN"/>
        </w:rPr>
        <w:t>提</w:t>
      </w:r>
      <w:r>
        <w:rPr>
          <w:rFonts w:hint="eastAsia" w:ascii="宋体" w:hAnsi="宋体" w:cs="宋体"/>
          <w:color w:val="auto"/>
          <w:highlight w:val="none"/>
        </w:rPr>
        <w:t>交的</w:t>
      </w:r>
      <w:r>
        <w:rPr>
          <w:rFonts w:hint="eastAsia" w:ascii="宋体" w:hAnsi="宋体" w:cs="宋体"/>
          <w:color w:val="auto"/>
          <w:highlight w:val="none"/>
          <w:lang w:val="en-US" w:eastAsia="zh-CN"/>
        </w:rPr>
        <w:t>响应</w:t>
      </w:r>
      <w:r>
        <w:rPr>
          <w:rFonts w:hint="eastAsia" w:ascii="宋体" w:hAnsi="宋体" w:cs="宋体"/>
          <w:color w:val="auto"/>
          <w:highlight w:val="none"/>
        </w:rPr>
        <w:t>文件不予退还。</w:t>
      </w:r>
    </w:p>
    <w:p w14:paraId="79460398">
      <w:pPr>
        <w:pStyle w:val="4"/>
        <w:rPr>
          <w:rFonts w:hint="eastAsia" w:ascii="宋体" w:hAnsi="宋体" w:eastAsia="宋体"/>
          <w:color w:val="auto"/>
          <w:highlight w:val="none"/>
          <w:lang w:val="en-US" w:eastAsia="zh-CN"/>
        </w:rPr>
      </w:pPr>
      <w:bookmarkStart w:id="97" w:name="_Toc9257"/>
      <w:bookmarkStart w:id="98" w:name="_Toc11938"/>
      <w:r>
        <w:rPr>
          <w:rFonts w:hint="eastAsia" w:ascii="宋体" w:hAnsi="宋体"/>
          <w:color w:val="auto"/>
          <w:highlight w:val="none"/>
        </w:rPr>
        <w:t>5．</w:t>
      </w:r>
      <w:bookmarkEnd w:id="96"/>
      <w:r>
        <w:rPr>
          <w:rFonts w:hint="eastAsia" w:ascii="宋体" w:hAnsi="宋体"/>
          <w:color w:val="auto"/>
          <w:highlight w:val="none"/>
          <w:lang w:val="en-US" w:eastAsia="zh-CN"/>
        </w:rPr>
        <w:t>开启</w:t>
      </w:r>
      <w:bookmarkEnd w:id="97"/>
      <w:bookmarkEnd w:id="98"/>
    </w:p>
    <w:p w14:paraId="54561C40">
      <w:pPr>
        <w:pStyle w:val="5"/>
        <w:rPr>
          <w:rFonts w:ascii="宋体" w:hAnsi="宋体" w:eastAsia="宋体"/>
          <w:color w:val="auto"/>
          <w:highlight w:val="none"/>
        </w:rPr>
      </w:pPr>
      <w:bookmarkStart w:id="99" w:name="_Toc9696"/>
      <w:bookmarkStart w:id="100" w:name="_Toc31451"/>
      <w:r>
        <w:rPr>
          <w:rFonts w:hint="eastAsia" w:ascii="宋体" w:hAnsi="宋体" w:eastAsia="宋体"/>
          <w:color w:val="auto"/>
          <w:highlight w:val="none"/>
        </w:rPr>
        <w:t>5.1 开启时间和地点</w:t>
      </w:r>
      <w:bookmarkEnd w:id="99"/>
      <w:bookmarkEnd w:id="100"/>
    </w:p>
    <w:p w14:paraId="6D77E80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采购人在本章第2.2.2 项规定的递交响应文件截止时间（开启时间）和供应商须知前附表规定的地点组织磋商会议，并邀请所有供应商的法定代表人或其委托代理人准时参加。</w:t>
      </w:r>
    </w:p>
    <w:p w14:paraId="67E3566A">
      <w:pPr>
        <w:pStyle w:val="5"/>
        <w:rPr>
          <w:rFonts w:ascii="宋体" w:hAnsi="宋体" w:eastAsia="宋体"/>
          <w:color w:val="auto"/>
          <w:highlight w:val="none"/>
        </w:rPr>
      </w:pPr>
      <w:bookmarkStart w:id="101" w:name="_Toc20928"/>
      <w:bookmarkStart w:id="102" w:name="_Toc19185"/>
      <w:r>
        <w:rPr>
          <w:rFonts w:hint="eastAsia" w:ascii="宋体" w:hAnsi="宋体" w:eastAsia="宋体"/>
          <w:color w:val="auto"/>
          <w:highlight w:val="none"/>
        </w:rPr>
        <w:t>5.2 磋商程序</w:t>
      </w:r>
      <w:bookmarkEnd w:id="101"/>
      <w:bookmarkEnd w:id="102"/>
    </w:p>
    <w:p w14:paraId="2E43302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主持人按下列程序进行开标：</w:t>
      </w:r>
    </w:p>
    <w:p w14:paraId="03DA99C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(l）宣布会议纪律；</w:t>
      </w:r>
    </w:p>
    <w:p w14:paraId="1DFBA36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(2）公布在</w:t>
      </w:r>
      <w:r>
        <w:rPr>
          <w:rFonts w:hint="eastAsia" w:ascii="宋体" w:hAnsi="宋体"/>
          <w:color w:val="auto"/>
          <w:szCs w:val="21"/>
          <w:highlight w:val="none"/>
          <w:lang w:val="en-US" w:eastAsia="zh-CN"/>
        </w:rPr>
        <w:t>提交</w:t>
      </w:r>
      <w:r>
        <w:rPr>
          <w:rFonts w:hint="eastAsia" w:ascii="宋体" w:hAnsi="宋体"/>
          <w:color w:val="auto"/>
          <w:szCs w:val="21"/>
          <w:highlight w:val="none"/>
        </w:rPr>
        <w:t>响应文件截止时间前递交响应文件的供应商名称；</w:t>
      </w:r>
    </w:p>
    <w:p w14:paraId="6EEFB95A">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(3）宣布采购人、主持人等有关人员姓名；</w:t>
      </w:r>
    </w:p>
    <w:p w14:paraId="68476510">
      <w:pPr>
        <w:spacing w:line="360" w:lineRule="auto"/>
        <w:ind w:firstLine="420" w:firstLineChars="200"/>
        <w:rPr>
          <w:rFonts w:hint="eastAsia" w:ascii="宋体" w:hAnsi="宋体"/>
          <w:color w:val="auto"/>
          <w:szCs w:val="21"/>
          <w:highlight w:val="none"/>
        </w:rPr>
      </w:pPr>
      <w:bookmarkStart w:id="103" w:name="_Toc184635076"/>
      <w:r>
        <w:rPr>
          <w:rFonts w:hint="eastAsia" w:ascii="宋体" w:hAnsi="宋体"/>
          <w:color w:val="auto"/>
          <w:szCs w:val="21"/>
          <w:highlight w:val="none"/>
        </w:rPr>
        <w:t>(4）响应文件解密</w:t>
      </w:r>
    </w:p>
    <w:p w14:paraId="50B737B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(5）宣布评审办法及磋商工作时间安排；</w:t>
      </w:r>
    </w:p>
    <w:p w14:paraId="0F5396D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(6）会议结束。</w:t>
      </w:r>
    </w:p>
    <w:p w14:paraId="7565346C">
      <w:pPr>
        <w:pStyle w:val="4"/>
        <w:rPr>
          <w:rFonts w:ascii="宋体" w:hAnsi="宋体"/>
          <w:color w:val="auto"/>
          <w:highlight w:val="none"/>
        </w:rPr>
      </w:pPr>
      <w:bookmarkStart w:id="104" w:name="_Toc32353"/>
      <w:bookmarkStart w:id="105" w:name="_Toc23746"/>
      <w:r>
        <w:rPr>
          <w:rFonts w:hint="eastAsia" w:ascii="宋体" w:hAnsi="宋体"/>
          <w:color w:val="auto"/>
          <w:highlight w:val="none"/>
        </w:rPr>
        <w:t>6．评审</w:t>
      </w:r>
      <w:bookmarkEnd w:id="103"/>
      <w:bookmarkEnd w:id="104"/>
      <w:bookmarkEnd w:id="105"/>
    </w:p>
    <w:p w14:paraId="502AB2C0">
      <w:pPr>
        <w:pStyle w:val="5"/>
        <w:rPr>
          <w:rFonts w:ascii="宋体" w:hAnsi="宋体" w:eastAsia="宋体"/>
          <w:color w:val="auto"/>
          <w:highlight w:val="none"/>
        </w:rPr>
      </w:pPr>
      <w:bookmarkStart w:id="106" w:name="_Toc22637"/>
      <w:bookmarkStart w:id="107" w:name="_Toc1416"/>
      <w:r>
        <w:rPr>
          <w:rFonts w:hint="eastAsia" w:ascii="宋体" w:hAnsi="宋体" w:eastAsia="宋体"/>
          <w:color w:val="auto"/>
          <w:highlight w:val="none"/>
        </w:rPr>
        <w:t>6.1 磋商小组</w:t>
      </w:r>
      <w:bookmarkEnd w:id="106"/>
      <w:bookmarkEnd w:id="107"/>
    </w:p>
    <w:p w14:paraId="0D9D565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6.1.1 评审工作由采购人依法组建的磋商小组负责。磋商小组由有关技术、经济等方面专家3人组成。磋商小组成员人数以及技术、经济等方面专家的确定方式见供应商须知前附表。</w:t>
      </w:r>
    </w:p>
    <w:p w14:paraId="3AE8B61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6.1.2 磋商小组成员有下列情形之一的，应当回避：</w:t>
      </w:r>
    </w:p>
    <w:p w14:paraId="3E45A0B0">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(1）采购人或供应商的主要负责人的近亲属；</w:t>
      </w:r>
    </w:p>
    <w:p w14:paraId="39CE8AE7">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(2）项目主管部门或者行政监督部门的人员；</w:t>
      </w:r>
    </w:p>
    <w:p w14:paraId="0C970AA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(3）与供应商有经济利益关系，可能影响对投标公正评审的；</w:t>
      </w:r>
    </w:p>
    <w:p w14:paraId="2D3F224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(4）曾因在招标、评审工作以及其他与招标投标有关活动中从事违法行为而受过行政处罚或刑事处罚的。</w:t>
      </w:r>
    </w:p>
    <w:p w14:paraId="78C47AF4">
      <w:pPr>
        <w:pStyle w:val="5"/>
        <w:rPr>
          <w:rFonts w:ascii="宋体" w:hAnsi="宋体" w:eastAsia="宋体"/>
          <w:color w:val="auto"/>
          <w:highlight w:val="none"/>
        </w:rPr>
      </w:pPr>
      <w:bookmarkStart w:id="108" w:name="_Toc3269"/>
      <w:bookmarkStart w:id="109" w:name="_Toc3811"/>
      <w:r>
        <w:rPr>
          <w:rFonts w:hint="eastAsia" w:ascii="宋体" w:hAnsi="宋体" w:eastAsia="宋体"/>
          <w:color w:val="auto"/>
          <w:highlight w:val="none"/>
        </w:rPr>
        <w:t>6.2 评审原则</w:t>
      </w:r>
      <w:bookmarkEnd w:id="108"/>
      <w:bookmarkEnd w:id="109"/>
    </w:p>
    <w:p w14:paraId="7B64F2D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评审工作活动遵循公平、公正、科学和择优的原则。</w:t>
      </w:r>
    </w:p>
    <w:p w14:paraId="530A9104">
      <w:pPr>
        <w:pStyle w:val="5"/>
        <w:rPr>
          <w:rFonts w:ascii="宋体" w:hAnsi="宋体" w:eastAsia="宋体"/>
          <w:color w:val="auto"/>
          <w:highlight w:val="none"/>
        </w:rPr>
      </w:pPr>
      <w:bookmarkStart w:id="110" w:name="_Toc5522"/>
      <w:bookmarkStart w:id="111" w:name="_Toc30883"/>
      <w:r>
        <w:rPr>
          <w:rFonts w:hint="eastAsia" w:ascii="宋体" w:hAnsi="宋体" w:eastAsia="宋体"/>
          <w:color w:val="auto"/>
          <w:highlight w:val="none"/>
        </w:rPr>
        <w:t>6.3 评审工作</w:t>
      </w:r>
      <w:bookmarkEnd w:id="110"/>
      <w:bookmarkEnd w:id="111"/>
    </w:p>
    <w:p w14:paraId="0D40589F">
      <w:pPr>
        <w:spacing w:line="360" w:lineRule="auto"/>
        <w:ind w:firstLine="420" w:firstLineChars="200"/>
        <w:rPr>
          <w:rFonts w:hint="eastAsia" w:ascii="宋体" w:hAnsi="宋体"/>
          <w:color w:val="auto"/>
          <w:szCs w:val="21"/>
          <w:highlight w:val="none"/>
        </w:rPr>
      </w:pPr>
      <w:bookmarkStart w:id="112" w:name="_Toc184635077"/>
      <w:r>
        <w:rPr>
          <w:rFonts w:hint="eastAsia" w:ascii="宋体" w:hAnsi="宋体"/>
          <w:color w:val="auto"/>
          <w:szCs w:val="21"/>
          <w:highlight w:val="none"/>
        </w:rPr>
        <w:t>6.3.1 磋商小组按照第三章“评标办法”规定的方法、评审因素、标准和程序对响应文件进行评审。第三章“评标办法”没有规定的方法、评审因素和标准，不作为评标依据。</w:t>
      </w:r>
    </w:p>
    <w:p w14:paraId="652D0D4C">
      <w:pPr>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6.3.2 评标完成后，磋商小组应当向采购人提交书面评标报告和成交候选</w:t>
      </w:r>
      <w:r>
        <w:rPr>
          <w:rFonts w:hint="eastAsia" w:ascii="宋体" w:hAnsi="宋体"/>
          <w:color w:val="auto"/>
          <w:szCs w:val="21"/>
          <w:highlight w:val="none"/>
          <w:lang w:val="en-US" w:eastAsia="zh-CN"/>
        </w:rPr>
        <w:t>供应商</w:t>
      </w:r>
      <w:r>
        <w:rPr>
          <w:rFonts w:hint="eastAsia" w:ascii="宋体" w:hAnsi="宋体"/>
          <w:color w:val="auto"/>
          <w:szCs w:val="21"/>
          <w:highlight w:val="none"/>
        </w:rPr>
        <w:t>名单。磋商小组推荐</w:t>
      </w:r>
      <w:r>
        <w:rPr>
          <w:rFonts w:hint="eastAsia" w:ascii="宋体" w:hAnsi="宋体"/>
          <w:color w:val="auto"/>
          <w:szCs w:val="21"/>
          <w:highlight w:val="none"/>
          <w:lang w:val="en-US" w:eastAsia="zh-CN"/>
        </w:rPr>
        <w:t>成交供应商</w:t>
      </w:r>
      <w:r>
        <w:rPr>
          <w:rFonts w:hint="eastAsia" w:ascii="宋体" w:hAnsi="宋体"/>
          <w:color w:val="auto"/>
          <w:szCs w:val="21"/>
          <w:highlight w:val="none"/>
        </w:rPr>
        <w:t>的</w:t>
      </w:r>
      <w:r>
        <w:rPr>
          <w:rFonts w:hint="eastAsia" w:ascii="宋体" w:hAnsi="宋体"/>
          <w:color w:val="auto"/>
          <w:szCs w:val="21"/>
          <w:highlight w:val="none"/>
          <w:lang w:val="en-US" w:eastAsia="zh-CN"/>
        </w:rPr>
        <w:t>数量</w:t>
      </w:r>
      <w:r>
        <w:rPr>
          <w:rFonts w:hint="eastAsia" w:ascii="宋体" w:hAnsi="宋体"/>
          <w:color w:val="auto"/>
          <w:szCs w:val="21"/>
          <w:highlight w:val="none"/>
        </w:rPr>
        <w:t>见供应商须知前附表。</w:t>
      </w:r>
    </w:p>
    <w:p w14:paraId="14A47D52">
      <w:pPr>
        <w:pStyle w:val="4"/>
        <w:rPr>
          <w:rFonts w:ascii="宋体" w:hAnsi="宋体"/>
          <w:color w:val="auto"/>
          <w:highlight w:val="none"/>
        </w:rPr>
      </w:pPr>
      <w:bookmarkStart w:id="113" w:name="_Toc30226"/>
      <w:bookmarkStart w:id="114" w:name="_Toc17196"/>
      <w:r>
        <w:rPr>
          <w:rFonts w:hint="eastAsia" w:ascii="宋体" w:hAnsi="宋体"/>
          <w:color w:val="auto"/>
          <w:highlight w:val="none"/>
        </w:rPr>
        <w:t>7．合同授予</w:t>
      </w:r>
      <w:bookmarkEnd w:id="112"/>
      <w:bookmarkEnd w:id="113"/>
      <w:bookmarkEnd w:id="114"/>
    </w:p>
    <w:p w14:paraId="3623C693">
      <w:pPr>
        <w:pStyle w:val="5"/>
        <w:rPr>
          <w:rFonts w:ascii="宋体" w:hAnsi="宋体" w:eastAsia="宋体"/>
          <w:color w:val="auto"/>
          <w:highlight w:val="none"/>
        </w:rPr>
      </w:pPr>
      <w:bookmarkStart w:id="115" w:name="_Toc32420"/>
      <w:bookmarkStart w:id="116" w:name="_Toc8330"/>
      <w:r>
        <w:rPr>
          <w:rFonts w:hint="eastAsia" w:ascii="宋体" w:hAnsi="宋体" w:eastAsia="宋体"/>
          <w:color w:val="auto"/>
          <w:highlight w:val="none"/>
        </w:rPr>
        <w:t>7.1 定标方式</w:t>
      </w:r>
      <w:bookmarkEnd w:id="115"/>
      <w:bookmarkEnd w:id="116"/>
    </w:p>
    <w:p w14:paraId="79F2010C">
      <w:pPr>
        <w:spacing w:line="360" w:lineRule="auto"/>
        <w:ind w:firstLine="420" w:firstLineChars="200"/>
        <w:jc w:val="left"/>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除供应商须知前附表规定磋商小组直接确定成交供应商外，采购人依据磋商小组推荐的成交候选供应商确定供应商，磋商小组推荐成交候选供应商的人数见供应商须知前附表。</w:t>
      </w:r>
    </w:p>
    <w:p w14:paraId="3BEA4B5E">
      <w:pPr>
        <w:spacing w:line="360" w:lineRule="auto"/>
        <w:ind w:firstLine="420" w:firstLineChars="200"/>
        <w:jc w:val="left"/>
        <w:rPr>
          <w:rFonts w:hint="eastAsia" w:ascii="宋体" w:hAnsi="宋体" w:eastAsia="宋体" w:cs="宋体"/>
          <w:color w:val="auto"/>
          <w:highlight w:val="none"/>
          <w:lang w:val="zh-TW"/>
        </w:rPr>
      </w:pPr>
      <w:r>
        <w:rPr>
          <w:rFonts w:hint="eastAsia" w:ascii="宋体" w:hAnsi="宋体" w:eastAsia="宋体" w:cs="宋体"/>
          <w:color w:val="auto"/>
          <w:highlight w:val="none"/>
          <w:lang w:val="zh-TW"/>
        </w:rPr>
        <w:t>采购代理机构应当在评审结束后2个工作日内将评审报告送采购人确认。</w:t>
      </w:r>
    </w:p>
    <w:p w14:paraId="6FA8CD9C">
      <w:pPr>
        <w:spacing w:line="400" w:lineRule="exact"/>
        <w:ind w:firstLine="420" w:firstLineChars="200"/>
        <w:rPr>
          <w:color w:val="auto"/>
          <w:highlight w:val="none"/>
        </w:rPr>
      </w:pPr>
      <w:r>
        <w:rPr>
          <w:rFonts w:hint="eastAsia" w:ascii="宋体" w:hAnsi="宋体" w:eastAsia="宋体" w:cs="宋体"/>
          <w:color w:val="auto"/>
          <w:highlight w:val="none"/>
          <w:lang w:val="en-US" w:eastAsia="zh-CN"/>
        </w:rPr>
        <w:t>采购人应当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14:paraId="5A840B5A">
      <w:pPr>
        <w:pStyle w:val="5"/>
        <w:rPr>
          <w:rFonts w:ascii="宋体" w:hAnsi="宋体" w:eastAsia="宋体"/>
          <w:color w:val="auto"/>
          <w:highlight w:val="none"/>
        </w:rPr>
      </w:pPr>
      <w:bookmarkStart w:id="117" w:name="_Toc9141"/>
      <w:bookmarkStart w:id="118" w:name="_Toc18215"/>
      <w:r>
        <w:rPr>
          <w:rFonts w:hint="eastAsia" w:ascii="宋体" w:hAnsi="宋体" w:eastAsia="宋体"/>
          <w:color w:val="auto"/>
          <w:highlight w:val="none"/>
        </w:rPr>
        <w:t>7.2 成交通知</w:t>
      </w:r>
      <w:bookmarkEnd w:id="117"/>
      <w:bookmarkEnd w:id="118"/>
    </w:p>
    <w:p w14:paraId="7936DDA7">
      <w:pPr>
        <w:spacing w:line="400" w:lineRule="exact"/>
        <w:rPr>
          <w:rFonts w:hint="eastAsia"/>
          <w:color w:val="auto"/>
          <w:highlight w:val="none"/>
        </w:rPr>
      </w:pPr>
      <w:r>
        <w:rPr>
          <w:rFonts w:hint="eastAsia"/>
          <w:color w:val="auto"/>
          <w:highlight w:val="none"/>
        </w:rPr>
        <w:t>　</w:t>
      </w:r>
      <w:r>
        <w:rPr>
          <w:rFonts w:hint="eastAsia"/>
          <w:color w:val="auto"/>
          <w:highlight w:val="none"/>
          <w:lang w:val="en-US" w:eastAsia="zh-CN"/>
        </w:rPr>
        <w:t xml:space="preserve"> </w:t>
      </w:r>
      <w:r>
        <w:rPr>
          <w:rFonts w:hint="eastAsia"/>
          <w:color w:val="auto"/>
          <w:highlight w:val="none"/>
        </w:rPr>
        <w:t>采购代理机构在成交供应商确定后2个工作日内，在发布磋商公告媒体上公告成交结果，同时向成交供应商发出成交通知书，向未成交供应商发出未成交结果通知书，同时将成交结果通知未中标的供应商。</w:t>
      </w:r>
    </w:p>
    <w:p w14:paraId="56843FFC">
      <w:pPr>
        <w:pStyle w:val="5"/>
        <w:rPr>
          <w:rFonts w:ascii="宋体" w:hAnsi="宋体" w:eastAsia="宋体"/>
          <w:color w:val="auto"/>
          <w:highlight w:val="none"/>
        </w:rPr>
      </w:pPr>
      <w:bookmarkStart w:id="119" w:name="_Toc29702"/>
      <w:bookmarkStart w:id="120" w:name="_Toc887"/>
      <w:r>
        <w:rPr>
          <w:rFonts w:hint="eastAsia" w:ascii="宋体" w:hAnsi="宋体" w:eastAsia="宋体"/>
          <w:color w:val="auto"/>
          <w:highlight w:val="none"/>
        </w:rPr>
        <w:t>7.3 履约担保</w:t>
      </w:r>
      <w:bookmarkEnd w:id="119"/>
      <w:bookmarkEnd w:id="120"/>
    </w:p>
    <w:p w14:paraId="7ACDED2C">
      <w:pPr>
        <w:spacing w:line="360" w:lineRule="auto"/>
        <w:ind w:firstLine="420" w:firstLineChars="200"/>
        <w:jc w:val="left"/>
        <w:rPr>
          <w:rFonts w:hint="eastAsia" w:ascii="宋体" w:hAnsi="宋体" w:eastAsia="宋体" w:cs="宋体"/>
          <w:color w:val="auto"/>
          <w:kern w:val="2"/>
          <w:sz w:val="21"/>
          <w:szCs w:val="24"/>
          <w:highlight w:val="none"/>
          <w:lang w:val="zh-TW" w:eastAsia="zh-CN" w:bidi="ar-SA"/>
        </w:rPr>
      </w:pPr>
      <w:r>
        <w:rPr>
          <w:rFonts w:hint="eastAsia" w:ascii="宋体" w:hAnsi="宋体" w:eastAsia="宋体" w:cs="宋体"/>
          <w:color w:val="auto"/>
          <w:kern w:val="2"/>
          <w:sz w:val="21"/>
          <w:szCs w:val="24"/>
          <w:highlight w:val="none"/>
          <w:lang w:val="zh-TW" w:eastAsia="zh-CN" w:bidi="ar-SA"/>
        </w:rPr>
        <w:t>7.3.1 在签订合同前，成交供应商应按供应商须知前附表规定的金额、担保形式和磋商文件第四章“合同条款及格式”规定的履约担保格式向采购人提交履约担保。联合体成交的，其履约担保由牵头人递交，并应符合供应商须知前附表规定的金额、担保形式和磋商文件第四章“合同条款及格式”规定的履约担保格式要求。</w:t>
      </w:r>
    </w:p>
    <w:p w14:paraId="0C0FB119">
      <w:pPr>
        <w:spacing w:line="360" w:lineRule="auto"/>
        <w:ind w:firstLine="420" w:firstLineChars="200"/>
        <w:jc w:val="left"/>
        <w:rPr>
          <w:rFonts w:ascii="宋体" w:hAnsi="宋体"/>
          <w:color w:val="auto"/>
          <w:szCs w:val="21"/>
          <w:highlight w:val="none"/>
        </w:rPr>
      </w:pPr>
      <w:r>
        <w:rPr>
          <w:rFonts w:hint="eastAsia" w:ascii="宋体" w:hAnsi="宋体" w:eastAsia="宋体" w:cs="宋体"/>
          <w:color w:val="auto"/>
          <w:kern w:val="2"/>
          <w:sz w:val="21"/>
          <w:szCs w:val="24"/>
          <w:highlight w:val="none"/>
          <w:lang w:val="zh-TW" w:eastAsia="zh-CN" w:bidi="ar-SA"/>
        </w:rPr>
        <w:t>7.3.2 成交供应商不能按本章第7.3.1 项要求提交履约担保的，视为放弃成交，其磋商保证金不予退还，给采购人造成的损失超过磋商保证金数额的，成交供应商还应当对超过部分予以赔偿。</w:t>
      </w:r>
    </w:p>
    <w:p w14:paraId="4A47F227">
      <w:pPr>
        <w:pStyle w:val="5"/>
        <w:rPr>
          <w:rFonts w:ascii="宋体" w:hAnsi="宋体" w:eastAsia="宋体"/>
          <w:color w:val="auto"/>
          <w:highlight w:val="none"/>
        </w:rPr>
      </w:pPr>
      <w:bookmarkStart w:id="121" w:name="_Toc12978"/>
      <w:bookmarkStart w:id="122" w:name="_Toc6017"/>
      <w:r>
        <w:rPr>
          <w:rFonts w:hint="eastAsia" w:ascii="宋体" w:hAnsi="宋体" w:eastAsia="宋体"/>
          <w:color w:val="auto"/>
          <w:highlight w:val="none"/>
        </w:rPr>
        <w:t>7.4 签订合同</w:t>
      </w:r>
      <w:bookmarkEnd w:id="121"/>
      <w:bookmarkEnd w:id="122"/>
    </w:p>
    <w:p w14:paraId="31FBBF4C">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7.4.1 采购人和成交供应商应当自成交通知书发出之日起30天内，根据磋商文件和成交供应商的响应文件订立书面合同。成交供应商无正当理由拒签合同的，采购人取消其成交资格，其磋商保证金不予退还；给采购人造成的损失超过磋商保证金数额的，成交供应商还应当对超过部分予以赔偿。</w:t>
      </w:r>
    </w:p>
    <w:p w14:paraId="7FEAEB2F">
      <w:pPr>
        <w:spacing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7.4.2 发出成交通知书后，采购人无正当理由拒签合同的，采购人向成交供应商退还磋商保证金；给成交供应商造成损失的，还应当赔偿损失。</w:t>
      </w:r>
    </w:p>
    <w:p w14:paraId="2F2A577C">
      <w:pPr>
        <w:spacing w:line="400" w:lineRule="exact"/>
        <w:ind w:firstLine="420" w:firstLineChars="200"/>
        <w:jc w:val="left"/>
        <w:rPr>
          <w:color w:val="auto"/>
          <w:szCs w:val="21"/>
          <w:highlight w:val="none"/>
        </w:rPr>
      </w:pPr>
      <w:r>
        <w:rPr>
          <w:rFonts w:hint="eastAsia" w:ascii="宋体" w:hAnsi="宋体"/>
          <w:color w:val="auto"/>
          <w:szCs w:val="21"/>
          <w:highlight w:val="none"/>
        </w:rPr>
        <w:t>7.4.3</w:t>
      </w:r>
      <w:r>
        <w:rPr>
          <w:rFonts w:hint="eastAsia"/>
          <w:color w:val="auto"/>
          <w:szCs w:val="21"/>
          <w:highlight w:val="none"/>
        </w:rPr>
        <w:t>采购人应当确定排名第一的</w:t>
      </w:r>
      <w:r>
        <w:rPr>
          <w:rFonts w:hint="eastAsia" w:ascii="宋体" w:hAnsi="宋体"/>
          <w:color w:val="auto"/>
          <w:szCs w:val="21"/>
          <w:highlight w:val="none"/>
        </w:rPr>
        <w:t>成交候选供应商</w:t>
      </w:r>
      <w:r>
        <w:rPr>
          <w:rFonts w:hint="eastAsia"/>
          <w:color w:val="auto"/>
          <w:szCs w:val="21"/>
          <w:highlight w:val="none"/>
        </w:rPr>
        <w:t>为成交</w:t>
      </w:r>
      <w:r>
        <w:rPr>
          <w:rFonts w:hint="eastAsia" w:ascii="宋体" w:hAnsi="宋体"/>
          <w:color w:val="auto"/>
          <w:szCs w:val="21"/>
          <w:highlight w:val="none"/>
        </w:rPr>
        <w:t>供应商</w:t>
      </w:r>
      <w:r>
        <w:rPr>
          <w:rFonts w:hint="eastAsia"/>
          <w:color w:val="auto"/>
          <w:szCs w:val="21"/>
          <w:highlight w:val="none"/>
        </w:rPr>
        <w:t>。排名第一的</w:t>
      </w:r>
      <w:r>
        <w:rPr>
          <w:rFonts w:hint="eastAsia" w:ascii="宋体" w:hAnsi="宋体"/>
          <w:color w:val="auto"/>
          <w:szCs w:val="21"/>
          <w:highlight w:val="none"/>
        </w:rPr>
        <w:t>交候选供应商</w:t>
      </w:r>
      <w:r>
        <w:rPr>
          <w:rFonts w:hint="eastAsia"/>
          <w:color w:val="auto"/>
          <w:szCs w:val="21"/>
          <w:highlight w:val="none"/>
        </w:rPr>
        <w:t>放弃</w:t>
      </w:r>
      <w:r>
        <w:rPr>
          <w:rFonts w:hint="eastAsia"/>
          <w:color w:val="auto"/>
          <w:szCs w:val="21"/>
          <w:highlight w:val="none"/>
          <w:lang w:eastAsia="zh-CN"/>
        </w:rPr>
        <w:t>成交</w:t>
      </w:r>
      <w:r>
        <w:rPr>
          <w:rFonts w:hint="eastAsia"/>
          <w:color w:val="auto"/>
          <w:szCs w:val="21"/>
          <w:highlight w:val="none"/>
        </w:rPr>
        <w:t>、因不可抗力不能履行合同、不按照磋商文件要求提交履约保证金，或者被查实存在影响成交结果的违法行为等情形，不符合成交条件的，采购人可以按照磋商小组提出的</w:t>
      </w:r>
      <w:r>
        <w:rPr>
          <w:rFonts w:hint="eastAsia" w:ascii="宋体" w:hAnsi="宋体"/>
          <w:color w:val="auto"/>
          <w:szCs w:val="21"/>
          <w:highlight w:val="none"/>
        </w:rPr>
        <w:t>成交候选供应商</w:t>
      </w:r>
      <w:r>
        <w:rPr>
          <w:rFonts w:hint="eastAsia"/>
          <w:color w:val="auto"/>
          <w:szCs w:val="21"/>
          <w:highlight w:val="none"/>
        </w:rPr>
        <w:t>名单排序依次确定其他</w:t>
      </w:r>
      <w:r>
        <w:rPr>
          <w:rFonts w:hint="eastAsia" w:ascii="宋体" w:hAnsi="宋体"/>
          <w:color w:val="auto"/>
          <w:szCs w:val="21"/>
          <w:highlight w:val="none"/>
        </w:rPr>
        <w:t>成交候选供应商</w:t>
      </w:r>
      <w:r>
        <w:rPr>
          <w:rFonts w:hint="eastAsia"/>
          <w:color w:val="auto"/>
          <w:szCs w:val="21"/>
          <w:highlight w:val="none"/>
        </w:rPr>
        <w:t>为成交</w:t>
      </w:r>
      <w:r>
        <w:rPr>
          <w:rFonts w:hint="eastAsia" w:ascii="宋体" w:hAnsi="宋体"/>
          <w:color w:val="auto"/>
          <w:szCs w:val="21"/>
          <w:highlight w:val="none"/>
        </w:rPr>
        <w:t>供应商</w:t>
      </w:r>
      <w:r>
        <w:rPr>
          <w:rFonts w:hint="eastAsia"/>
          <w:color w:val="auto"/>
          <w:szCs w:val="21"/>
          <w:highlight w:val="none"/>
        </w:rPr>
        <w:t>，也可以重新</w:t>
      </w:r>
      <w:r>
        <w:rPr>
          <w:rFonts w:hint="eastAsia"/>
          <w:color w:val="auto"/>
          <w:szCs w:val="21"/>
          <w:highlight w:val="none"/>
          <w:lang w:val="en-US" w:eastAsia="zh-CN"/>
        </w:rPr>
        <w:t>采购</w:t>
      </w:r>
      <w:r>
        <w:rPr>
          <w:rFonts w:hint="eastAsia"/>
          <w:color w:val="auto"/>
          <w:szCs w:val="21"/>
          <w:highlight w:val="none"/>
        </w:rPr>
        <w:t>。</w:t>
      </w:r>
    </w:p>
    <w:p w14:paraId="0B4C6A39">
      <w:pPr>
        <w:pStyle w:val="4"/>
        <w:rPr>
          <w:rFonts w:hint="eastAsia" w:ascii="宋体" w:hAnsi="宋体" w:eastAsia="宋体"/>
          <w:color w:val="auto"/>
          <w:highlight w:val="none"/>
          <w:lang w:eastAsia="zh-CN"/>
        </w:rPr>
      </w:pPr>
      <w:bookmarkStart w:id="123" w:name="_Toc184635078"/>
      <w:bookmarkStart w:id="124" w:name="_Toc23874"/>
      <w:bookmarkStart w:id="125" w:name="_Toc13351"/>
      <w:r>
        <w:rPr>
          <w:rFonts w:hint="eastAsia" w:ascii="宋体" w:hAnsi="宋体"/>
          <w:color w:val="auto"/>
          <w:highlight w:val="none"/>
        </w:rPr>
        <w:t>8．重新</w:t>
      </w:r>
      <w:r>
        <w:rPr>
          <w:rFonts w:hint="eastAsia" w:ascii="宋体" w:hAnsi="宋体"/>
          <w:color w:val="auto"/>
          <w:highlight w:val="none"/>
          <w:lang w:val="en-US" w:eastAsia="zh-CN"/>
        </w:rPr>
        <w:t>采购</w:t>
      </w:r>
      <w:r>
        <w:rPr>
          <w:rFonts w:hint="eastAsia" w:ascii="宋体" w:hAnsi="宋体"/>
          <w:color w:val="auto"/>
          <w:highlight w:val="none"/>
        </w:rPr>
        <w:t>和不再</w:t>
      </w:r>
      <w:bookmarkEnd w:id="123"/>
      <w:r>
        <w:rPr>
          <w:rFonts w:hint="eastAsia" w:ascii="宋体" w:hAnsi="宋体"/>
          <w:color w:val="auto"/>
          <w:highlight w:val="none"/>
          <w:lang w:val="en-US" w:eastAsia="zh-CN"/>
        </w:rPr>
        <w:t>采购</w:t>
      </w:r>
      <w:bookmarkEnd w:id="124"/>
      <w:bookmarkEnd w:id="125"/>
    </w:p>
    <w:p w14:paraId="510B002C">
      <w:pPr>
        <w:pStyle w:val="5"/>
        <w:rPr>
          <w:rFonts w:hint="eastAsia" w:ascii="宋体" w:hAnsi="宋体" w:eastAsia="宋体"/>
          <w:color w:val="auto"/>
          <w:highlight w:val="none"/>
          <w:lang w:eastAsia="zh-CN"/>
        </w:rPr>
      </w:pPr>
      <w:bookmarkStart w:id="126" w:name="_Toc30935"/>
      <w:bookmarkStart w:id="127" w:name="_Toc2440"/>
      <w:r>
        <w:rPr>
          <w:rFonts w:hint="eastAsia" w:ascii="宋体" w:hAnsi="宋体" w:eastAsia="宋体"/>
          <w:color w:val="auto"/>
          <w:highlight w:val="none"/>
        </w:rPr>
        <w:t>8.1 重新</w:t>
      </w:r>
      <w:r>
        <w:rPr>
          <w:rFonts w:hint="eastAsia" w:ascii="宋体" w:hAnsi="宋体" w:eastAsia="宋体"/>
          <w:color w:val="auto"/>
          <w:highlight w:val="none"/>
          <w:lang w:val="en-US" w:eastAsia="zh-CN"/>
        </w:rPr>
        <w:t>采购</w:t>
      </w:r>
      <w:bookmarkEnd w:id="126"/>
      <w:bookmarkEnd w:id="127"/>
    </w:p>
    <w:p w14:paraId="137B017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有下列情形之一的，采购人将重新</w:t>
      </w:r>
      <w:r>
        <w:rPr>
          <w:rFonts w:hint="eastAsia" w:ascii="宋体" w:hAnsi="宋体"/>
          <w:color w:val="auto"/>
          <w:szCs w:val="21"/>
          <w:highlight w:val="none"/>
          <w:lang w:val="en-US" w:eastAsia="zh-CN"/>
        </w:rPr>
        <w:t>采购</w:t>
      </w:r>
      <w:r>
        <w:rPr>
          <w:rFonts w:hint="eastAsia" w:ascii="宋体" w:hAnsi="宋体"/>
          <w:color w:val="auto"/>
          <w:szCs w:val="21"/>
          <w:highlight w:val="none"/>
        </w:rPr>
        <w:t>：</w:t>
      </w:r>
    </w:p>
    <w:p w14:paraId="11E6A74E">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(l）</w:t>
      </w:r>
      <w:r>
        <w:rPr>
          <w:rFonts w:hint="eastAsia" w:ascii="宋体" w:hAnsi="宋体"/>
          <w:color w:val="auto"/>
          <w:szCs w:val="21"/>
          <w:highlight w:val="none"/>
          <w:lang w:val="en-US" w:eastAsia="zh-CN"/>
        </w:rPr>
        <w:t>递交响应文件</w:t>
      </w:r>
      <w:r>
        <w:rPr>
          <w:rFonts w:hint="eastAsia" w:ascii="宋体" w:hAnsi="宋体"/>
          <w:color w:val="auto"/>
          <w:szCs w:val="21"/>
          <w:highlight w:val="none"/>
        </w:rPr>
        <w:t>截止时间止，供应商少于3 个的；</w:t>
      </w:r>
    </w:p>
    <w:p w14:paraId="7997395D">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(2）经磋商小组评审后否决所有</w:t>
      </w:r>
      <w:r>
        <w:rPr>
          <w:rFonts w:hint="eastAsia" w:ascii="宋体" w:hAnsi="宋体"/>
          <w:color w:val="auto"/>
          <w:szCs w:val="21"/>
          <w:highlight w:val="none"/>
          <w:lang w:val="en-US" w:eastAsia="zh-CN"/>
        </w:rPr>
        <w:t>响应文件</w:t>
      </w:r>
      <w:r>
        <w:rPr>
          <w:rFonts w:hint="eastAsia" w:ascii="宋体" w:hAnsi="宋体"/>
          <w:color w:val="auto"/>
          <w:szCs w:val="21"/>
          <w:highlight w:val="none"/>
        </w:rPr>
        <w:t>的。</w:t>
      </w:r>
    </w:p>
    <w:p w14:paraId="610B51EE">
      <w:pPr>
        <w:pStyle w:val="5"/>
        <w:rPr>
          <w:rFonts w:hint="eastAsia" w:ascii="宋体" w:hAnsi="宋体" w:eastAsia="宋体"/>
          <w:color w:val="auto"/>
          <w:highlight w:val="none"/>
          <w:lang w:eastAsia="zh-CN"/>
        </w:rPr>
      </w:pPr>
      <w:bookmarkStart w:id="128" w:name="_Toc8650"/>
      <w:bookmarkStart w:id="129" w:name="_Toc11280"/>
      <w:r>
        <w:rPr>
          <w:rFonts w:hint="eastAsia" w:ascii="宋体" w:hAnsi="宋体" w:eastAsia="宋体"/>
          <w:color w:val="auto"/>
          <w:highlight w:val="none"/>
        </w:rPr>
        <w:t>8.2 不再</w:t>
      </w:r>
      <w:r>
        <w:rPr>
          <w:rFonts w:hint="eastAsia" w:ascii="宋体" w:hAnsi="宋体" w:eastAsia="宋体"/>
          <w:color w:val="auto"/>
          <w:highlight w:val="none"/>
          <w:lang w:val="en-US" w:eastAsia="zh-CN"/>
        </w:rPr>
        <w:t>采购</w:t>
      </w:r>
      <w:bookmarkEnd w:id="128"/>
      <w:bookmarkEnd w:id="129"/>
    </w:p>
    <w:p w14:paraId="50AC30B4">
      <w:pPr>
        <w:spacing w:line="360" w:lineRule="auto"/>
        <w:ind w:firstLine="420" w:firstLineChars="200"/>
        <w:jc w:val="left"/>
        <w:rPr>
          <w:rFonts w:ascii="宋体" w:hAnsi="宋体"/>
          <w:color w:val="auto"/>
          <w:szCs w:val="21"/>
          <w:highlight w:val="none"/>
        </w:rPr>
      </w:pPr>
      <w:r>
        <w:rPr>
          <w:rFonts w:hint="eastAsia" w:ascii="宋体" w:hAnsi="宋体"/>
          <w:color w:val="auto"/>
          <w:szCs w:val="21"/>
          <w:highlight w:val="none"/>
        </w:rPr>
        <w:t>重新招标后供应商仍少于3 个或者所有</w:t>
      </w:r>
      <w:r>
        <w:rPr>
          <w:rFonts w:hint="eastAsia" w:ascii="宋体" w:hAnsi="宋体"/>
          <w:color w:val="auto"/>
          <w:szCs w:val="21"/>
          <w:highlight w:val="none"/>
          <w:lang w:val="en-US" w:eastAsia="zh-CN"/>
        </w:rPr>
        <w:t>响应文件</w:t>
      </w:r>
      <w:r>
        <w:rPr>
          <w:rFonts w:hint="eastAsia" w:ascii="宋体" w:hAnsi="宋体"/>
          <w:color w:val="auto"/>
          <w:szCs w:val="21"/>
          <w:highlight w:val="none"/>
        </w:rPr>
        <w:t>被否决的，属于必须审批或核准的工程建设项目，经原审批或核准部门批准后不再进行</w:t>
      </w:r>
      <w:r>
        <w:rPr>
          <w:rFonts w:hint="eastAsia" w:ascii="宋体" w:hAnsi="宋体"/>
          <w:color w:val="auto"/>
          <w:szCs w:val="21"/>
          <w:highlight w:val="none"/>
          <w:lang w:val="en-US" w:eastAsia="zh-CN"/>
        </w:rPr>
        <w:t>采购</w:t>
      </w:r>
      <w:r>
        <w:rPr>
          <w:rFonts w:hint="eastAsia" w:ascii="宋体" w:hAnsi="宋体"/>
          <w:color w:val="auto"/>
          <w:szCs w:val="21"/>
          <w:highlight w:val="none"/>
        </w:rPr>
        <w:t>。</w:t>
      </w:r>
    </w:p>
    <w:p w14:paraId="1838252A">
      <w:pPr>
        <w:pStyle w:val="4"/>
        <w:rPr>
          <w:rFonts w:ascii="宋体" w:hAnsi="宋体"/>
          <w:color w:val="auto"/>
          <w:highlight w:val="none"/>
        </w:rPr>
      </w:pPr>
      <w:bookmarkStart w:id="130" w:name="_Toc23291"/>
      <w:bookmarkStart w:id="131" w:name="_Toc24306"/>
      <w:bookmarkStart w:id="132" w:name="_Toc184635079"/>
      <w:r>
        <w:rPr>
          <w:rFonts w:hint="eastAsia" w:ascii="宋体" w:hAnsi="宋体"/>
          <w:color w:val="auto"/>
          <w:highlight w:val="none"/>
        </w:rPr>
        <w:t>9．纪律和监督</w:t>
      </w:r>
      <w:bookmarkEnd w:id="130"/>
      <w:bookmarkEnd w:id="131"/>
      <w:bookmarkEnd w:id="132"/>
    </w:p>
    <w:p w14:paraId="3C6584AA">
      <w:pPr>
        <w:pStyle w:val="5"/>
        <w:rPr>
          <w:rFonts w:ascii="宋体" w:hAnsi="宋体" w:eastAsia="宋体"/>
          <w:color w:val="auto"/>
          <w:highlight w:val="none"/>
        </w:rPr>
      </w:pPr>
      <w:bookmarkStart w:id="133" w:name="_Toc20263"/>
      <w:bookmarkStart w:id="134" w:name="_Toc15901"/>
      <w:r>
        <w:rPr>
          <w:rFonts w:hint="eastAsia" w:ascii="宋体" w:hAnsi="宋体" w:eastAsia="宋体"/>
          <w:color w:val="auto"/>
          <w:highlight w:val="none"/>
        </w:rPr>
        <w:t>9.1 对采购人的纪律要求</w:t>
      </w:r>
      <w:bookmarkEnd w:id="133"/>
      <w:bookmarkEnd w:id="134"/>
    </w:p>
    <w:p w14:paraId="01AB0B2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采购人不得泄漏磋商活动中应当保密的情况和资料，不得与供应商串通损害国家利益、社会公共利益或者他人合法权益。</w:t>
      </w:r>
    </w:p>
    <w:p w14:paraId="3425E05A">
      <w:pPr>
        <w:pStyle w:val="5"/>
        <w:rPr>
          <w:rFonts w:ascii="宋体" w:hAnsi="宋体" w:eastAsia="宋体"/>
          <w:color w:val="auto"/>
          <w:highlight w:val="none"/>
        </w:rPr>
      </w:pPr>
      <w:bookmarkStart w:id="135" w:name="_Toc9062"/>
      <w:bookmarkStart w:id="136" w:name="_Toc8145"/>
      <w:r>
        <w:rPr>
          <w:rFonts w:hint="eastAsia" w:ascii="宋体" w:hAnsi="宋体" w:eastAsia="宋体"/>
          <w:color w:val="auto"/>
          <w:highlight w:val="none"/>
        </w:rPr>
        <w:t>9.2 对供应商的纪律要求</w:t>
      </w:r>
      <w:bookmarkEnd w:id="135"/>
      <w:bookmarkEnd w:id="136"/>
    </w:p>
    <w:p w14:paraId="174273A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供应商不得相互串通投标或者与采购人串通投标，不得向采购人或者磋商小组成员行贿谋取中标，不得以他人名义投标或者以其他方式弄虚作假骗取中标；供应商不得以任何方式干扰、影响评审工作工作。</w:t>
      </w:r>
    </w:p>
    <w:p w14:paraId="3790B8BF">
      <w:pPr>
        <w:pStyle w:val="5"/>
        <w:rPr>
          <w:rFonts w:ascii="宋体" w:hAnsi="宋体" w:eastAsia="宋体"/>
          <w:color w:val="auto"/>
          <w:highlight w:val="none"/>
        </w:rPr>
      </w:pPr>
      <w:bookmarkStart w:id="137" w:name="_Toc22135"/>
      <w:bookmarkStart w:id="138" w:name="_Toc22302"/>
      <w:r>
        <w:rPr>
          <w:rFonts w:hint="eastAsia" w:ascii="宋体" w:hAnsi="宋体" w:eastAsia="宋体"/>
          <w:color w:val="auto"/>
          <w:highlight w:val="none"/>
        </w:rPr>
        <w:t>9.3 对磋商小组成员的纪律要求</w:t>
      </w:r>
      <w:bookmarkEnd w:id="137"/>
      <w:bookmarkEnd w:id="138"/>
    </w:p>
    <w:p w14:paraId="0FAFFEB9">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磋商小组成员不得收受他人的财物或者其他好处，不得向他人透漏对响应文件的评审和比较、成交候选人的推荐情况以及评审工作有关的其他情况。在评审工作活动中，磋商小组成员不得擅离职守，影响评审工作程序正常进行，不得使用第三章“评审办法”没有规定的评审因素和标准进行评审工作。</w:t>
      </w:r>
    </w:p>
    <w:p w14:paraId="6D844CB1">
      <w:pPr>
        <w:pStyle w:val="5"/>
        <w:rPr>
          <w:rFonts w:ascii="宋体" w:hAnsi="宋体" w:eastAsia="宋体"/>
          <w:color w:val="auto"/>
          <w:highlight w:val="none"/>
        </w:rPr>
      </w:pPr>
      <w:bookmarkStart w:id="139" w:name="_Toc26629"/>
      <w:bookmarkStart w:id="140" w:name="_Toc3440"/>
      <w:r>
        <w:rPr>
          <w:rFonts w:hint="eastAsia" w:ascii="宋体" w:hAnsi="宋体" w:eastAsia="宋体"/>
          <w:color w:val="auto"/>
          <w:highlight w:val="none"/>
        </w:rPr>
        <w:t>9.4 对与评审活动有关的工作人员的纪律要求</w:t>
      </w:r>
      <w:bookmarkEnd w:id="139"/>
      <w:bookmarkEnd w:id="140"/>
    </w:p>
    <w:p w14:paraId="475D602E">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与评审活动有关的工作人员不得收受他人的财物或者其他好处，不得向他人透漏对响应文件的评审和比较、成交候选人的推荐情况以及评审工作有关的其他情况。在评审活动中，与评审活动有关的工作人员不得擅离职守，影响评审工作程序正常进行。</w:t>
      </w:r>
    </w:p>
    <w:p w14:paraId="0E5B111C">
      <w:pPr>
        <w:pStyle w:val="5"/>
        <w:rPr>
          <w:rFonts w:ascii="宋体" w:hAnsi="宋体" w:eastAsia="宋体"/>
          <w:color w:val="auto"/>
          <w:highlight w:val="none"/>
        </w:rPr>
      </w:pPr>
      <w:bookmarkStart w:id="141" w:name="_Toc17545"/>
      <w:bookmarkStart w:id="142" w:name="_Toc16757"/>
      <w:r>
        <w:rPr>
          <w:rFonts w:hint="eastAsia" w:ascii="宋体" w:hAnsi="宋体" w:eastAsia="宋体"/>
          <w:color w:val="auto"/>
          <w:highlight w:val="none"/>
        </w:rPr>
        <w:t xml:space="preserve">9.5 </w:t>
      </w:r>
      <w:r>
        <w:rPr>
          <w:rFonts w:hint="eastAsia" w:ascii="宋体" w:hAnsi="宋体" w:eastAsia="宋体" w:cs="宋体"/>
          <w:color w:val="auto"/>
          <w:highlight w:val="none"/>
        </w:rPr>
        <w:t>质疑</w:t>
      </w:r>
      <w:bookmarkEnd w:id="141"/>
      <w:bookmarkEnd w:id="142"/>
    </w:p>
    <w:p w14:paraId="3A50999C">
      <w:pPr>
        <w:pStyle w:val="9"/>
        <w:wordWrap w:val="0"/>
        <w:spacing w:line="360" w:lineRule="auto"/>
        <w:ind w:firstLine="420" w:firstLineChars="200"/>
        <w:rPr>
          <w:rFonts w:hint="eastAsia" w:ascii="宋体" w:hAnsi="宋体" w:eastAsia="宋体" w:cs="Times New Roman"/>
          <w:color w:val="auto"/>
          <w:kern w:val="2"/>
          <w:sz w:val="21"/>
          <w:szCs w:val="21"/>
          <w:highlight w:val="none"/>
          <w:lang w:val="en-US" w:eastAsia="zh-CN" w:bidi="ar-SA"/>
        </w:rPr>
      </w:pPr>
      <w:bookmarkStart w:id="143" w:name="_Toc184635080"/>
      <w:r>
        <w:rPr>
          <w:rFonts w:hint="eastAsia" w:ascii="宋体" w:hAnsi="宋体" w:eastAsia="宋体" w:cs="Times New Roman"/>
          <w:color w:val="auto"/>
          <w:kern w:val="2"/>
          <w:sz w:val="21"/>
          <w:szCs w:val="21"/>
          <w:highlight w:val="none"/>
          <w:lang w:val="en-US" w:eastAsia="zh-CN" w:bidi="ar-SA"/>
        </w:rPr>
        <w:t>供应商认为磋商文件、磋商过程和中标结果使自己的合法权益受到损害的，应当在质疑有效期内，一次性提出针对同一采购程序环节，通过书面形式向采购人及采购代理机构提出质疑。</w:t>
      </w:r>
    </w:p>
    <w:p w14:paraId="32E371D6">
      <w:pPr>
        <w:pStyle w:val="4"/>
        <w:rPr>
          <w:rFonts w:ascii="宋体" w:hAnsi="宋体"/>
          <w:color w:val="auto"/>
          <w:highlight w:val="none"/>
        </w:rPr>
      </w:pPr>
      <w:bookmarkStart w:id="144" w:name="_Toc32292"/>
      <w:bookmarkStart w:id="145" w:name="_Toc9828"/>
      <w:r>
        <w:rPr>
          <w:rFonts w:hint="eastAsia" w:ascii="宋体" w:hAnsi="宋体"/>
          <w:color w:val="auto"/>
          <w:highlight w:val="none"/>
        </w:rPr>
        <w:t>10、需要补充的其他内容</w:t>
      </w:r>
      <w:bookmarkEnd w:id="143"/>
      <w:bookmarkEnd w:id="144"/>
      <w:bookmarkEnd w:id="145"/>
    </w:p>
    <w:p w14:paraId="59EC128D">
      <w:pPr>
        <w:wordWrap w:val="0"/>
        <w:spacing w:line="480" w:lineRule="exact"/>
        <w:rPr>
          <w:rFonts w:hint="eastAsia" w:ascii="宋体" w:hAnsi="宋体"/>
          <w:color w:val="auto"/>
          <w:szCs w:val="21"/>
          <w:highlight w:val="none"/>
        </w:rPr>
      </w:pPr>
      <w:r>
        <w:rPr>
          <w:rFonts w:hint="eastAsia" w:ascii="宋体" w:hAnsi="宋体"/>
          <w:color w:val="auto"/>
          <w:szCs w:val="21"/>
          <w:highlight w:val="none"/>
        </w:rPr>
        <w:t>需要补充的其他内容：见供应商须知前附表。</w:t>
      </w:r>
    </w:p>
    <w:p w14:paraId="5FB4E3FC">
      <w:pPr>
        <w:wordWrap w:val="0"/>
        <w:spacing w:line="480" w:lineRule="exact"/>
        <w:jc w:val="right"/>
        <w:rPr>
          <w:rFonts w:hint="eastAsia" w:ascii="宋体" w:hAnsi="宋体" w:cs="宋体"/>
          <w:color w:val="auto"/>
          <w:highlight w:val="none"/>
        </w:rPr>
      </w:pPr>
      <w:r>
        <w:rPr>
          <w:rFonts w:hint="eastAsia" w:ascii="宋体" w:hAnsi="宋体" w:cs="宋体"/>
          <w:color w:val="auto"/>
          <w:highlight w:val="none"/>
        </w:rPr>
        <w:t xml:space="preserve">   </w:t>
      </w:r>
    </w:p>
    <w:p w14:paraId="4B3B2A82">
      <w:pPr>
        <w:pStyle w:val="2"/>
        <w:jc w:val="center"/>
        <w:outlineLvl w:val="0"/>
        <w:rPr>
          <w:rFonts w:hint="eastAsia" w:ascii="宋体" w:hAnsi="宋体" w:eastAsia="宋体" w:cs="宋体"/>
          <w:b w:val="0"/>
          <w:bCs w:val="0"/>
          <w:color w:val="auto"/>
          <w:sz w:val="36"/>
          <w:szCs w:val="36"/>
          <w:highlight w:val="none"/>
        </w:rPr>
      </w:pPr>
      <w:r>
        <w:rPr>
          <w:rFonts w:hint="eastAsia" w:ascii="宋体" w:hAnsi="宋体" w:eastAsia="宋体" w:cs="宋体"/>
          <w:color w:val="auto"/>
          <w:highlight w:val="none"/>
        </w:rPr>
        <w:br w:type="page"/>
      </w:r>
      <w:bookmarkStart w:id="146" w:name="_Toc25808"/>
      <w:r>
        <w:rPr>
          <w:rFonts w:hint="eastAsia" w:ascii="宋体" w:hAnsi="宋体" w:eastAsia="宋体" w:cs="宋体"/>
          <w:color w:val="auto"/>
          <w:sz w:val="36"/>
          <w:szCs w:val="36"/>
          <w:highlight w:val="none"/>
        </w:rPr>
        <w:t>第三章  评标办法（综合</w:t>
      </w:r>
      <w:r>
        <w:rPr>
          <w:rFonts w:hint="eastAsia" w:ascii="宋体" w:hAnsi="宋体" w:eastAsia="宋体" w:cs="宋体"/>
          <w:color w:val="auto"/>
          <w:sz w:val="36"/>
          <w:szCs w:val="36"/>
          <w:highlight w:val="none"/>
          <w:lang w:val="en-US" w:eastAsia="zh-CN"/>
        </w:rPr>
        <w:t>评估</w:t>
      </w:r>
      <w:r>
        <w:rPr>
          <w:rFonts w:hint="eastAsia" w:ascii="宋体" w:hAnsi="宋体" w:eastAsia="宋体" w:cs="宋体"/>
          <w:color w:val="auto"/>
          <w:sz w:val="36"/>
          <w:szCs w:val="36"/>
          <w:highlight w:val="none"/>
        </w:rPr>
        <w:t>法）</w:t>
      </w:r>
      <w:bookmarkEnd w:id="36"/>
      <w:bookmarkEnd w:id="37"/>
      <w:bookmarkEnd w:id="38"/>
      <w:bookmarkEnd w:id="39"/>
      <w:bookmarkEnd w:id="40"/>
      <w:bookmarkEnd w:id="41"/>
      <w:bookmarkEnd w:id="42"/>
      <w:bookmarkEnd w:id="146"/>
    </w:p>
    <w:p w14:paraId="080A745F">
      <w:pPr>
        <w:autoSpaceDE w:val="0"/>
        <w:autoSpaceDN w:val="0"/>
        <w:adjustRightInd w:val="0"/>
        <w:spacing w:line="360" w:lineRule="auto"/>
        <w:ind w:firstLine="480" w:firstLineChars="200"/>
        <w:rPr>
          <w:rFonts w:hint="eastAsia" w:ascii="宋体" w:hAnsi="宋体" w:cs="宋体"/>
          <w:color w:val="auto"/>
          <w:highlight w:val="none"/>
        </w:rPr>
      </w:pPr>
      <w:r>
        <w:rPr>
          <w:rFonts w:hint="eastAsia" w:ascii="宋体" w:hAnsi="宋体" w:cs="宋体"/>
          <w:color w:val="auto"/>
          <w:sz w:val="24"/>
          <w:highlight w:val="none"/>
          <w:lang w:val="zh-CN"/>
        </w:rPr>
        <w:t>磋商小组按以下工作程序进行评标：初步</w:t>
      </w:r>
      <w:r>
        <w:rPr>
          <w:rFonts w:hint="eastAsia" w:ascii="宋体" w:hAnsi="宋体" w:cs="宋体"/>
          <w:color w:val="auto"/>
          <w:sz w:val="24"/>
          <w:highlight w:val="none"/>
          <w:lang w:val="en-US" w:eastAsia="zh-CN"/>
        </w:rPr>
        <w:t>审查</w:t>
      </w:r>
      <w:r>
        <w:rPr>
          <w:rFonts w:hint="eastAsia" w:ascii="宋体" w:hAnsi="宋体" w:cs="宋体"/>
          <w:color w:val="auto"/>
          <w:sz w:val="24"/>
          <w:highlight w:val="none"/>
          <w:lang w:val="zh-CN"/>
        </w:rPr>
        <w:t>（详见评标办法前附表（一）、磋商有关问题、最</w:t>
      </w:r>
      <w:r>
        <w:rPr>
          <w:rFonts w:hint="eastAsia" w:ascii="宋体" w:hAnsi="宋体" w:cs="宋体"/>
          <w:color w:val="auto"/>
          <w:sz w:val="24"/>
          <w:highlight w:val="none"/>
          <w:lang w:val="en-US" w:eastAsia="zh-CN"/>
        </w:rPr>
        <w:t>后</w:t>
      </w:r>
      <w:r>
        <w:rPr>
          <w:rFonts w:hint="eastAsia" w:ascii="宋体" w:hAnsi="宋体" w:cs="宋体"/>
          <w:color w:val="auto"/>
          <w:sz w:val="24"/>
          <w:highlight w:val="none"/>
          <w:lang w:val="zh-CN"/>
        </w:rPr>
        <w:t>报价、详细评审（详见评标办法前附表（二））、</w:t>
      </w:r>
      <w:r>
        <w:rPr>
          <w:rFonts w:hint="eastAsia" w:ascii="宋体" w:hAnsi="宋体" w:cs="宋体"/>
          <w:color w:val="auto"/>
          <w:sz w:val="24"/>
          <w:highlight w:val="none"/>
          <w:shd w:val="clear" w:color="auto" w:fill="FFFFFF"/>
        </w:rPr>
        <w:t>编写评标报告</w:t>
      </w:r>
      <w:r>
        <w:rPr>
          <w:rFonts w:hint="eastAsia" w:ascii="宋体" w:hAnsi="宋体" w:cs="宋体"/>
          <w:color w:val="auto"/>
          <w:sz w:val="24"/>
          <w:highlight w:val="none"/>
          <w:lang w:val="zh-CN"/>
        </w:rPr>
        <w:t>。</w:t>
      </w:r>
    </w:p>
    <w:p w14:paraId="2B08FFBE">
      <w:pPr>
        <w:spacing w:line="360" w:lineRule="auto"/>
        <w:jc w:val="center"/>
        <w:rPr>
          <w:rFonts w:hint="eastAsia" w:ascii="宋体" w:hAnsi="宋体" w:cs="宋体"/>
          <w:b/>
          <w:color w:val="auto"/>
          <w:sz w:val="28"/>
          <w:szCs w:val="28"/>
          <w:highlight w:val="none"/>
        </w:rPr>
      </w:pPr>
      <w:bookmarkStart w:id="147" w:name="_Toc246996985"/>
      <w:bookmarkStart w:id="148" w:name="_Toc179632617"/>
      <w:bookmarkStart w:id="149" w:name="_Toc247085757"/>
      <w:bookmarkStart w:id="150" w:name="_Toc144974566"/>
      <w:bookmarkStart w:id="151" w:name="_Toc152045599"/>
      <w:bookmarkStart w:id="152" w:name="_Toc246996242"/>
      <w:bookmarkStart w:id="153" w:name="_Toc152042376"/>
      <w:r>
        <w:rPr>
          <w:rFonts w:hint="eastAsia" w:ascii="宋体" w:hAnsi="宋体" w:cs="宋体"/>
          <w:b/>
          <w:color w:val="auto"/>
          <w:sz w:val="28"/>
          <w:szCs w:val="28"/>
          <w:highlight w:val="none"/>
        </w:rPr>
        <w:t>1、</w:t>
      </w:r>
      <w:r>
        <w:rPr>
          <w:rFonts w:hint="eastAsia" w:ascii="宋体" w:hAnsi="宋体" w:eastAsia="宋体" w:cs="宋体"/>
          <w:b/>
          <w:color w:val="auto"/>
          <w:sz w:val="28"/>
          <w:szCs w:val="28"/>
          <w:highlight w:val="none"/>
        </w:rPr>
        <w:t>初步</w:t>
      </w:r>
      <w:r>
        <w:rPr>
          <w:rFonts w:hint="eastAsia" w:ascii="宋体" w:hAnsi="宋体" w:eastAsia="宋体" w:cs="宋体"/>
          <w:b/>
          <w:color w:val="auto"/>
          <w:sz w:val="28"/>
          <w:szCs w:val="28"/>
          <w:highlight w:val="none"/>
          <w:lang w:val="en-US" w:eastAsia="zh-CN"/>
        </w:rPr>
        <w:t>审查</w:t>
      </w:r>
    </w:p>
    <w:p w14:paraId="21EFF45C">
      <w:pPr>
        <w:spacing w:line="360" w:lineRule="auto"/>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t>评标办法前附表</w:t>
      </w:r>
      <w:bookmarkEnd w:id="147"/>
      <w:bookmarkEnd w:id="148"/>
      <w:bookmarkEnd w:id="149"/>
      <w:bookmarkEnd w:id="150"/>
      <w:bookmarkEnd w:id="151"/>
      <w:bookmarkEnd w:id="152"/>
      <w:bookmarkEnd w:id="153"/>
      <w:r>
        <w:rPr>
          <w:rFonts w:hint="eastAsia" w:ascii="宋体" w:hAnsi="宋体" w:cs="宋体"/>
          <w:b/>
          <w:color w:val="auto"/>
          <w:sz w:val="28"/>
          <w:szCs w:val="28"/>
          <w:highlight w:val="none"/>
        </w:rPr>
        <w:t>（一）</w:t>
      </w:r>
    </w:p>
    <w:tbl>
      <w:tblPr>
        <w:tblStyle w:val="25"/>
        <w:tblW w:w="9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2355"/>
        <w:gridCol w:w="6371"/>
      </w:tblGrid>
      <w:tr w14:paraId="66D3B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 w:hRule="atLeast"/>
          <w:jc w:val="center"/>
        </w:trPr>
        <w:tc>
          <w:tcPr>
            <w:tcW w:w="1185" w:type="dxa"/>
            <w:vMerge w:val="restart"/>
            <w:noWrap w:val="0"/>
            <w:vAlign w:val="center"/>
          </w:tcPr>
          <w:p w14:paraId="5C1E84F3">
            <w:pPr>
              <w:autoSpaceDE w:val="0"/>
              <w:autoSpaceDN w:val="0"/>
              <w:adjustRightInd w:val="0"/>
              <w:spacing w:line="360" w:lineRule="auto"/>
              <w:jc w:val="center"/>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资格</w:t>
            </w:r>
            <w:r>
              <w:rPr>
                <w:rFonts w:hint="eastAsia" w:ascii="宋体" w:hAnsi="宋体" w:cs="宋体"/>
                <w:bCs/>
                <w:color w:val="auto"/>
                <w:sz w:val="21"/>
                <w:szCs w:val="21"/>
                <w:highlight w:val="none"/>
                <w:lang w:val="en-US" w:eastAsia="zh-CN"/>
              </w:rPr>
              <w:t>审查</w:t>
            </w:r>
            <w:r>
              <w:rPr>
                <w:rFonts w:hint="eastAsia" w:ascii="宋体" w:hAnsi="宋体" w:cs="宋体"/>
                <w:bCs/>
                <w:color w:val="auto"/>
                <w:sz w:val="21"/>
                <w:szCs w:val="21"/>
                <w:highlight w:val="none"/>
                <w:lang w:val="zh-CN"/>
              </w:rPr>
              <w:t>标准</w:t>
            </w:r>
          </w:p>
          <w:p w14:paraId="17EEF4CE">
            <w:pPr>
              <w:autoSpaceDE w:val="0"/>
              <w:autoSpaceDN w:val="0"/>
              <w:adjustRightInd w:val="0"/>
              <w:spacing w:line="360" w:lineRule="auto"/>
              <w:jc w:val="center"/>
              <w:rPr>
                <w:rFonts w:ascii="宋体" w:hAnsi="宋体" w:cs="宋体"/>
                <w:bCs/>
                <w:color w:val="auto"/>
                <w:sz w:val="21"/>
                <w:szCs w:val="21"/>
                <w:highlight w:val="none"/>
                <w:lang w:val="zh-CN"/>
              </w:rPr>
            </w:pPr>
          </w:p>
        </w:tc>
        <w:tc>
          <w:tcPr>
            <w:tcW w:w="2355" w:type="dxa"/>
            <w:noWrap w:val="0"/>
            <w:vAlign w:val="center"/>
          </w:tcPr>
          <w:p w14:paraId="65E6FEB9">
            <w:pPr>
              <w:autoSpaceDE w:val="0"/>
              <w:autoSpaceDN w:val="0"/>
              <w:adjustRightInd w:val="0"/>
              <w:spacing w:line="360" w:lineRule="auto"/>
              <w:jc w:val="center"/>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营业执照</w:t>
            </w:r>
          </w:p>
        </w:tc>
        <w:tc>
          <w:tcPr>
            <w:tcW w:w="6371" w:type="dxa"/>
            <w:noWrap w:val="0"/>
            <w:vAlign w:val="center"/>
          </w:tcPr>
          <w:p w14:paraId="6EBBAB13">
            <w:pPr>
              <w:spacing w:line="360" w:lineRule="auto"/>
              <w:rPr>
                <w:rFonts w:hint="eastAsia" w:ascii="宋体" w:hAnsi="宋体" w:eastAsia="宋体" w:cs="宋体"/>
                <w:sz w:val="21"/>
                <w:szCs w:val="21"/>
                <w:highlight w:val="none"/>
                <w:lang w:val="en-US"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sz w:val="21"/>
                <w:szCs w:val="21"/>
                <w:highlight w:val="none"/>
                <w:lang w:val="en-US" w:eastAsia="zh-CN"/>
              </w:rPr>
              <w:t>须</w:t>
            </w:r>
            <w:r>
              <w:rPr>
                <w:rFonts w:hint="eastAsia" w:ascii="宋体" w:hAnsi="宋体" w:eastAsia="宋体" w:cs="宋体"/>
                <w:sz w:val="21"/>
                <w:szCs w:val="21"/>
                <w:highlight w:val="none"/>
                <w:lang w:val="zh-CN" w:eastAsia="zh-CN"/>
              </w:rPr>
              <w:t>具有独立法人资格</w:t>
            </w:r>
            <w:r>
              <w:rPr>
                <w:rFonts w:hint="eastAsia" w:ascii="宋体" w:hAnsi="宋体" w:eastAsia="宋体" w:cs="宋体"/>
                <w:sz w:val="21"/>
                <w:szCs w:val="21"/>
                <w:highlight w:val="none"/>
                <w:lang w:val="en-US" w:eastAsia="zh-CN"/>
              </w:rPr>
              <w:t>或其他组织</w:t>
            </w:r>
            <w:r>
              <w:rPr>
                <w:rFonts w:hint="eastAsia" w:ascii="宋体" w:hAnsi="宋体" w:eastAsia="宋体" w:cs="宋体"/>
                <w:sz w:val="21"/>
                <w:szCs w:val="21"/>
                <w:highlight w:val="none"/>
                <w:lang w:val="zh-CN" w:eastAsia="zh-CN"/>
              </w:rPr>
              <w:t>，</w:t>
            </w:r>
            <w:r>
              <w:rPr>
                <w:rFonts w:hint="eastAsia" w:ascii="宋体" w:hAnsi="宋体" w:eastAsia="宋体" w:cs="宋体"/>
                <w:sz w:val="21"/>
                <w:szCs w:val="21"/>
                <w:highlight w:val="none"/>
                <w:lang w:val="en-US" w:eastAsia="zh-CN"/>
              </w:rPr>
              <w:t>具备有效的营业执照，具备能够履行合同所必需的设备和专业技术能力。</w:t>
            </w:r>
          </w:p>
          <w:p w14:paraId="6EF16F45">
            <w:pPr>
              <w:spacing w:line="360" w:lineRule="auto"/>
              <w:rPr>
                <w:rFonts w:ascii="宋体" w:hAnsi="宋体" w:cs="宋体"/>
                <w:bCs/>
                <w:color w:val="auto"/>
                <w:sz w:val="21"/>
                <w:szCs w:val="21"/>
                <w:highlight w:val="none"/>
                <w:lang w:val="zh-CN"/>
              </w:rPr>
            </w:pPr>
            <w:r>
              <w:rPr>
                <w:rFonts w:hint="eastAsia"/>
                <w:b/>
                <w:bCs/>
                <w:color w:val="auto"/>
                <w:sz w:val="21"/>
                <w:szCs w:val="21"/>
                <w:highlight w:val="none"/>
              </w:rPr>
              <w:t>响应文件内附营业执照副本复印件加盖公章。</w:t>
            </w:r>
          </w:p>
        </w:tc>
      </w:tr>
      <w:tr w14:paraId="37B5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185" w:type="dxa"/>
            <w:vMerge w:val="continue"/>
            <w:noWrap w:val="0"/>
            <w:vAlign w:val="center"/>
          </w:tcPr>
          <w:p w14:paraId="3C8DB9D8">
            <w:pPr>
              <w:autoSpaceDE w:val="0"/>
              <w:autoSpaceDN w:val="0"/>
              <w:adjustRightInd w:val="0"/>
              <w:spacing w:line="360" w:lineRule="auto"/>
              <w:jc w:val="center"/>
              <w:rPr>
                <w:rFonts w:ascii="宋体" w:hAnsi="宋体" w:cs="宋体"/>
                <w:bCs/>
                <w:color w:val="auto"/>
                <w:sz w:val="21"/>
                <w:szCs w:val="21"/>
                <w:highlight w:val="none"/>
                <w:lang w:val="zh-CN"/>
              </w:rPr>
            </w:pPr>
          </w:p>
        </w:tc>
        <w:tc>
          <w:tcPr>
            <w:tcW w:w="2355" w:type="dxa"/>
            <w:noWrap w:val="0"/>
            <w:vAlign w:val="center"/>
          </w:tcPr>
          <w:p w14:paraId="3DFF5000">
            <w:pPr>
              <w:spacing w:line="360" w:lineRule="auto"/>
              <w:jc w:val="center"/>
              <w:rPr>
                <w:rFonts w:hint="eastAsia" w:cs="Times New Roman"/>
                <w:color w:val="auto"/>
                <w:sz w:val="21"/>
                <w:szCs w:val="21"/>
                <w:highlight w:val="none"/>
                <w:lang w:val="en-US" w:eastAsia="zh-CN"/>
              </w:rPr>
            </w:pPr>
            <w:r>
              <w:rPr>
                <w:rFonts w:hint="eastAsia" w:ascii="宋体" w:hAnsi="宋体" w:cs="宋体"/>
                <w:color w:val="auto"/>
                <w:szCs w:val="21"/>
                <w:highlight w:val="none"/>
              </w:rPr>
              <w:t>开户许可证</w:t>
            </w:r>
          </w:p>
        </w:tc>
        <w:tc>
          <w:tcPr>
            <w:tcW w:w="6371" w:type="dxa"/>
            <w:noWrap w:val="0"/>
            <w:vAlign w:val="center"/>
          </w:tcPr>
          <w:p w14:paraId="3BF7B0BF">
            <w:pPr>
              <w:autoSpaceDE w:val="0"/>
              <w:autoSpaceDN w:val="0"/>
              <w:adjustRightInd w:val="0"/>
              <w:spacing w:line="360" w:lineRule="auto"/>
              <w:rPr>
                <w:rFonts w:hint="eastAsia" w:ascii="宋体" w:hAnsi="宋体" w:eastAsia="宋体" w:cs="宋体"/>
                <w:bCs/>
                <w:color w:val="auto"/>
                <w:sz w:val="21"/>
                <w:szCs w:val="21"/>
                <w:highlight w:val="none"/>
                <w:lang w:val="zh-CN"/>
              </w:rPr>
            </w:pPr>
            <w:r>
              <w:rPr>
                <w:rFonts w:hint="eastAsia" w:ascii="宋体" w:hAnsi="宋体" w:eastAsia="宋体" w:cs="宋体"/>
                <w:color w:val="auto"/>
                <w:sz w:val="21"/>
                <w:szCs w:val="21"/>
                <w:highlight w:val="none"/>
                <w:lang w:val="en-US" w:eastAsia="zh-CN"/>
              </w:rPr>
              <w:t>具有有效的基本户的银行开户许可证或基本存款账户信息</w:t>
            </w:r>
            <w:r>
              <w:rPr>
                <w:rFonts w:hint="eastAsia" w:ascii="宋体" w:hAnsi="宋体" w:eastAsia="宋体" w:cs="宋体"/>
                <w:bCs/>
                <w:color w:val="auto"/>
                <w:sz w:val="21"/>
                <w:szCs w:val="21"/>
                <w:highlight w:val="none"/>
                <w:lang w:val="zh-CN"/>
              </w:rPr>
              <w:t>。</w:t>
            </w:r>
          </w:p>
          <w:p w14:paraId="05AC1159">
            <w:pPr>
              <w:autoSpaceDE w:val="0"/>
              <w:autoSpaceDN w:val="0"/>
              <w:adjustRightInd w:val="0"/>
              <w:spacing w:line="360" w:lineRule="auto"/>
              <w:rPr>
                <w:rFonts w:hint="eastAsia" w:ascii="宋体" w:hAnsi="宋体" w:cs="宋体"/>
                <w:snapToGrid w:val="0"/>
                <w:color w:val="auto"/>
                <w:kern w:val="0"/>
                <w:sz w:val="21"/>
                <w:szCs w:val="21"/>
                <w:highlight w:val="none"/>
                <w:lang w:val="en-US" w:eastAsia="zh-CN"/>
              </w:rPr>
            </w:pPr>
            <w:r>
              <w:rPr>
                <w:rFonts w:hint="eastAsia"/>
                <w:b/>
                <w:bCs/>
                <w:color w:val="auto"/>
                <w:sz w:val="21"/>
                <w:szCs w:val="21"/>
                <w:highlight w:val="none"/>
              </w:rPr>
              <w:t>响应文件内附</w:t>
            </w:r>
            <w:r>
              <w:rPr>
                <w:rFonts w:hint="eastAsia" w:ascii="宋体" w:hAnsi="宋体" w:eastAsia="宋体" w:cs="宋体"/>
                <w:b/>
                <w:bCs/>
                <w:color w:val="auto"/>
                <w:sz w:val="21"/>
                <w:szCs w:val="21"/>
                <w:highlight w:val="none"/>
                <w:lang w:val="en-US" w:eastAsia="zh-CN"/>
              </w:rPr>
              <w:t>银行开户许可证或基本存款账户信息复印件加盖公章。</w:t>
            </w:r>
          </w:p>
        </w:tc>
      </w:tr>
      <w:tr w14:paraId="0ED0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185" w:type="dxa"/>
            <w:vMerge w:val="continue"/>
            <w:noWrap w:val="0"/>
            <w:vAlign w:val="center"/>
          </w:tcPr>
          <w:p w14:paraId="7DE6180E">
            <w:pPr>
              <w:autoSpaceDE w:val="0"/>
              <w:autoSpaceDN w:val="0"/>
              <w:adjustRightInd w:val="0"/>
              <w:spacing w:line="360" w:lineRule="auto"/>
              <w:jc w:val="center"/>
              <w:rPr>
                <w:rFonts w:ascii="宋体" w:hAnsi="宋体" w:cs="宋体"/>
                <w:bCs/>
                <w:color w:val="auto"/>
                <w:sz w:val="21"/>
                <w:szCs w:val="21"/>
                <w:highlight w:val="none"/>
                <w:lang w:val="zh-CN"/>
              </w:rPr>
            </w:pPr>
          </w:p>
        </w:tc>
        <w:tc>
          <w:tcPr>
            <w:tcW w:w="2355" w:type="dxa"/>
            <w:noWrap w:val="0"/>
            <w:vAlign w:val="center"/>
          </w:tcPr>
          <w:p w14:paraId="020094C4">
            <w:pPr>
              <w:spacing w:line="360" w:lineRule="auto"/>
              <w:jc w:val="center"/>
              <w:rPr>
                <w:rFonts w:hint="eastAsia" w:ascii="宋体" w:hAnsi="宋体" w:cs="宋体"/>
                <w:color w:val="auto"/>
                <w:szCs w:val="21"/>
                <w:highlight w:val="none"/>
              </w:rPr>
            </w:pPr>
            <w:r>
              <w:rPr>
                <w:rFonts w:hint="eastAsia" w:ascii="Times New Roman" w:hAnsi="Times New Roman" w:eastAsia="宋体" w:cs="Times New Roman"/>
                <w:color w:val="auto"/>
                <w:highlight w:val="none"/>
                <w:lang w:val="en-US" w:eastAsia="zh-CN"/>
              </w:rPr>
              <w:t>中小</w:t>
            </w:r>
            <w:r>
              <w:rPr>
                <w:rFonts w:hint="eastAsia" w:ascii="Times New Roman" w:hAnsi="Times New Roman" w:eastAsia="宋体" w:cs="Times New Roman"/>
                <w:color w:val="auto"/>
                <w:highlight w:val="none"/>
                <w:lang w:val="zh-CN"/>
              </w:rPr>
              <w:t>企业认定</w:t>
            </w:r>
          </w:p>
        </w:tc>
        <w:tc>
          <w:tcPr>
            <w:tcW w:w="6371" w:type="dxa"/>
            <w:noWrap w:val="0"/>
            <w:vAlign w:val="center"/>
          </w:tcPr>
          <w:p w14:paraId="5EF9D4FB">
            <w:pPr>
              <w:autoSpaceDE w:val="0"/>
              <w:autoSpaceDN w:val="0"/>
              <w:adjustRightInd w:val="0"/>
              <w:spacing w:line="360" w:lineRule="auto"/>
              <w:rPr>
                <w:rFonts w:hint="eastAsia" w:ascii="Times New Roman" w:hAnsi="Times New Roman" w:eastAsia="宋体" w:cs="Times New Roman"/>
                <w:color w:val="auto"/>
                <w:highlight w:val="none"/>
                <w:lang w:val="zh-CN"/>
              </w:rPr>
            </w:pPr>
            <w:r>
              <w:rPr>
                <w:rFonts w:hint="eastAsia" w:ascii="Times New Roman" w:hAnsi="Times New Roman" w:eastAsia="宋体" w:cs="Times New Roman"/>
                <w:color w:val="auto"/>
                <w:highlight w:val="none"/>
                <w:lang w:val="zh-CN"/>
              </w:rPr>
              <w:t>本项目专门面向</w:t>
            </w:r>
            <w:r>
              <w:rPr>
                <w:rFonts w:hint="eastAsia" w:ascii="Times New Roman" w:hAnsi="Times New Roman" w:eastAsia="宋体" w:cs="Times New Roman"/>
                <w:color w:val="auto"/>
                <w:highlight w:val="none"/>
                <w:lang w:val="en-US" w:eastAsia="zh-CN"/>
              </w:rPr>
              <w:t>中小</w:t>
            </w:r>
            <w:r>
              <w:rPr>
                <w:rFonts w:hint="eastAsia" w:ascii="Times New Roman" w:hAnsi="Times New Roman" w:eastAsia="宋体" w:cs="Times New Roman"/>
                <w:color w:val="auto"/>
                <w:highlight w:val="none"/>
                <w:lang w:val="zh-CN"/>
              </w:rPr>
              <w:t>企业。</w:t>
            </w:r>
          </w:p>
          <w:p w14:paraId="658E1B8B">
            <w:pPr>
              <w:autoSpaceDE w:val="0"/>
              <w:autoSpaceDN w:val="0"/>
              <w:adjustRightInd w:val="0"/>
              <w:spacing w:line="360" w:lineRule="auto"/>
              <w:rPr>
                <w:rFonts w:hint="eastAsia"/>
                <w:b/>
                <w:bCs/>
                <w:color w:val="auto"/>
                <w:sz w:val="21"/>
                <w:szCs w:val="21"/>
                <w:highlight w:val="none"/>
              </w:rPr>
            </w:pPr>
            <w:r>
              <w:rPr>
                <w:rFonts w:hint="eastAsia" w:ascii="Times New Roman" w:hAnsi="Times New Roman" w:eastAsia="宋体" w:cs="Times New Roman"/>
                <w:color w:val="auto"/>
                <w:highlight w:val="none"/>
                <w:lang w:val="en-US" w:eastAsia="zh-CN"/>
              </w:rPr>
              <w:t>供应商须按磋商文件第六章“响应文件格式”要求附</w:t>
            </w:r>
            <w:r>
              <w:rPr>
                <w:rFonts w:hint="eastAsia" w:ascii="Times New Roman" w:hAnsi="Times New Roman" w:eastAsia="宋体" w:cs="Times New Roman"/>
                <w:color w:val="auto"/>
                <w:highlight w:val="none"/>
                <w:lang w:val="zh-CN" w:eastAsia="zh-CN"/>
              </w:rPr>
              <w:t>中小企业声明函或残疾人福利性单位声明</w:t>
            </w:r>
            <w:r>
              <w:rPr>
                <w:rFonts w:hint="eastAsia" w:ascii="Times New Roman" w:hAnsi="Times New Roman" w:eastAsia="宋体" w:cs="Times New Roman"/>
                <w:color w:val="auto"/>
                <w:highlight w:val="none"/>
                <w:lang w:val="zh-CN"/>
              </w:rPr>
              <w:t>函或监狱企业的证明文件。</w:t>
            </w:r>
          </w:p>
        </w:tc>
      </w:tr>
      <w:tr w14:paraId="62AD1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4" w:hRule="atLeast"/>
          <w:jc w:val="center"/>
        </w:trPr>
        <w:tc>
          <w:tcPr>
            <w:tcW w:w="1185" w:type="dxa"/>
            <w:vMerge w:val="continue"/>
            <w:noWrap w:val="0"/>
            <w:vAlign w:val="center"/>
          </w:tcPr>
          <w:p w14:paraId="2887CF8D">
            <w:pPr>
              <w:autoSpaceDE w:val="0"/>
              <w:autoSpaceDN w:val="0"/>
              <w:adjustRightInd w:val="0"/>
              <w:spacing w:line="360" w:lineRule="auto"/>
              <w:jc w:val="center"/>
              <w:rPr>
                <w:rFonts w:ascii="宋体" w:hAnsi="宋体" w:cs="宋体"/>
                <w:bCs/>
                <w:color w:val="auto"/>
                <w:sz w:val="21"/>
                <w:szCs w:val="21"/>
                <w:highlight w:val="none"/>
                <w:lang w:val="zh-CN"/>
              </w:rPr>
            </w:pPr>
          </w:p>
        </w:tc>
        <w:tc>
          <w:tcPr>
            <w:tcW w:w="2355" w:type="dxa"/>
            <w:noWrap w:val="0"/>
            <w:vAlign w:val="center"/>
          </w:tcPr>
          <w:p w14:paraId="4E4A3042">
            <w:pPr>
              <w:spacing w:line="360"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财务要求</w:t>
            </w:r>
          </w:p>
        </w:tc>
        <w:tc>
          <w:tcPr>
            <w:tcW w:w="6371" w:type="dxa"/>
            <w:noWrap w:val="0"/>
            <w:vAlign w:val="center"/>
          </w:tcPr>
          <w:p w14:paraId="6D9A75D3">
            <w:pPr>
              <w:spacing w:line="360" w:lineRule="auto"/>
              <w:rPr>
                <w:rFonts w:hint="eastAsia" w:ascii="宋体" w:hAnsi="宋体" w:eastAsia="宋体" w:cs="宋体"/>
                <w:snapToGrid w:val="0"/>
                <w:color w:val="auto"/>
                <w:kern w:val="0"/>
                <w:sz w:val="21"/>
                <w:szCs w:val="21"/>
                <w:highlight w:val="none"/>
                <w:lang w:val="en-US" w:eastAsia="zh-CN"/>
              </w:rPr>
            </w:pPr>
            <w:r>
              <w:rPr>
                <w:rFonts w:hint="eastAsia" w:ascii="宋体" w:hAnsi="宋体" w:cs="宋体"/>
                <w:color w:val="auto"/>
                <w:sz w:val="21"/>
                <w:szCs w:val="21"/>
                <w:highlight w:val="none"/>
                <w:lang w:val="en-US" w:eastAsia="zh-CN"/>
              </w:rPr>
              <w:t>供应商具有提交响应文件截止时间前三个月（2026年4月-2026年6月）内基本开户银行出具的资信证明或经会计师事务所审计的2025年度财务审计报告或2025年度供应商内部的财务报表（至少应包含资产负债表、现金流量表、利润表）</w:t>
            </w:r>
            <w:r>
              <w:rPr>
                <w:rFonts w:hint="eastAsia" w:ascii="宋体" w:hAnsi="宋体" w:eastAsia="宋体" w:cs="宋体"/>
                <w:snapToGrid w:val="0"/>
                <w:color w:val="auto"/>
                <w:kern w:val="0"/>
                <w:sz w:val="21"/>
                <w:szCs w:val="21"/>
                <w:highlight w:val="none"/>
                <w:lang w:val="en-US" w:eastAsia="zh-CN"/>
              </w:rPr>
              <w:t>。</w:t>
            </w:r>
          </w:p>
          <w:p w14:paraId="1015284A">
            <w:pPr>
              <w:spacing w:line="360" w:lineRule="auto"/>
              <w:rPr>
                <w:rFonts w:hint="eastAsia" w:ascii="宋体" w:hAnsi="宋体" w:eastAsia="宋体" w:cs="宋体"/>
                <w:snapToGrid w:val="0"/>
                <w:color w:val="auto"/>
                <w:kern w:val="0"/>
                <w:sz w:val="21"/>
                <w:szCs w:val="21"/>
                <w:highlight w:val="none"/>
                <w:lang w:val="en-US" w:eastAsia="zh-CN"/>
              </w:rPr>
            </w:pPr>
            <w:r>
              <w:rPr>
                <w:rFonts w:hint="eastAsia"/>
                <w:b/>
                <w:bCs/>
                <w:color w:val="auto"/>
                <w:sz w:val="21"/>
                <w:szCs w:val="21"/>
                <w:highlight w:val="none"/>
              </w:rPr>
              <w:t>响应文件内附</w:t>
            </w:r>
            <w:r>
              <w:rPr>
                <w:rFonts w:hint="eastAsia" w:ascii="宋体" w:hAnsi="宋体" w:eastAsia="宋体" w:cs="宋体"/>
                <w:b/>
                <w:bCs/>
                <w:color w:val="auto"/>
                <w:sz w:val="21"/>
                <w:szCs w:val="21"/>
                <w:highlight w:val="none"/>
                <w:lang w:val="en-US" w:eastAsia="zh-CN"/>
              </w:rPr>
              <w:t>资信证明或财务审计报告</w:t>
            </w:r>
            <w:r>
              <w:rPr>
                <w:rFonts w:hint="eastAsia" w:ascii="宋体" w:hAnsi="宋体" w:cs="宋体"/>
                <w:b/>
                <w:bCs/>
                <w:color w:val="auto"/>
                <w:sz w:val="21"/>
                <w:szCs w:val="21"/>
                <w:highlight w:val="none"/>
                <w:lang w:val="en-US" w:eastAsia="zh-CN"/>
              </w:rPr>
              <w:t>或财务报表</w:t>
            </w:r>
            <w:r>
              <w:rPr>
                <w:rFonts w:hint="eastAsia" w:ascii="宋体" w:hAnsi="宋体" w:eastAsia="宋体" w:cs="宋体"/>
                <w:b/>
                <w:bCs/>
                <w:color w:val="auto"/>
                <w:sz w:val="21"/>
                <w:szCs w:val="21"/>
                <w:highlight w:val="none"/>
                <w:lang w:val="en-US" w:eastAsia="zh-CN"/>
              </w:rPr>
              <w:t>复印件加盖公章。</w:t>
            </w:r>
          </w:p>
        </w:tc>
      </w:tr>
      <w:tr w14:paraId="77B6C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1185" w:type="dxa"/>
            <w:vMerge w:val="continue"/>
            <w:noWrap w:val="0"/>
            <w:vAlign w:val="center"/>
          </w:tcPr>
          <w:p w14:paraId="54A548D9">
            <w:pPr>
              <w:autoSpaceDE w:val="0"/>
              <w:autoSpaceDN w:val="0"/>
              <w:adjustRightInd w:val="0"/>
              <w:spacing w:line="360" w:lineRule="auto"/>
              <w:jc w:val="center"/>
              <w:rPr>
                <w:rFonts w:ascii="宋体" w:hAnsi="宋体" w:cs="宋体"/>
                <w:bCs/>
                <w:color w:val="auto"/>
                <w:sz w:val="21"/>
                <w:szCs w:val="21"/>
                <w:highlight w:val="none"/>
                <w:lang w:val="zh-CN"/>
              </w:rPr>
            </w:pPr>
          </w:p>
        </w:tc>
        <w:tc>
          <w:tcPr>
            <w:tcW w:w="2355" w:type="dxa"/>
            <w:noWrap w:val="0"/>
            <w:vAlign w:val="center"/>
          </w:tcPr>
          <w:p w14:paraId="6F949E8E">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依法缴纳税收</w:t>
            </w:r>
          </w:p>
          <w:p w14:paraId="75AADDCA">
            <w:pPr>
              <w:spacing w:line="360" w:lineRule="auto"/>
              <w:jc w:val="center"/>
              <w:rPr>
                <w:rFonts w:hint="eastAsia" w:cs="Times New Roman"/>
                <w:color w:val="auto"/>
                <w:sz w:val="21"/>
                <w:szCs w:val="21"/>
                <w:highlight w:val="none"/>
                <w:lang w:val="en-US" w:eastAsia="zh-CN"/>
              </w:rPr>
            </w:pPr>
            <w:r>
              <w:rPr>
                <w:rFonts w:hint="eastAsia" w:ascii="宋体" w:hAnsi="宋体" w:cs="宋体"/>
                <w:bCs/>
                <w:color w:val="auto"/>
                <w:szCs w:val="21"/>
                <w:highlight w:val="none"/>
              </w:rPr>
              <w:t>证明</w:t>
            </w:r>
          </w:p>
        </w:tc>
        <w:tc>
          <w:tcPr>
            <w:tcW w:w="6371" w:type="dxa"/>
            <w:noWrap w:val="0"/>
            <w:vAlign w:val="center"/>
          </w:tcPr>
          <w:p w14:paraId="5D861067">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具有近一年</w:t>
            </w:r>
            <w:r>
              <w:rPr>
                <w:rFonts w:hint="eastAsia" w:ascii="宋体" w:hAnsi="宋体" w:eastAsia="宋体" w:cs="宋体"/>
                <w:color w:val="auto"/>
                <w:sz w:val="21"/>
                <w:szCs w:val="21"/>
                <w:highlight w:val="none"/>
                <w:lang w:val="en-US" w:eastAsia="zh-CN"/>
              </w:rPr>
              <w:t>内任意一个月</w:t>
            </w:r>
            <w:r>
              <w:rPr>
                <w:rFonts w:hint="eastAsia" w:ascii="宋体" w:hAnsi="宋体" w:eastAsia="宋体" w:cs="宋体"/>
                <w:color w:val="auto"/>
                <w:sz w:val="21"/>
                <w:szCs w:val="21"/>
                <w:highlight w:val="none"/>
              </w:rPr>
              <w:t>缴税凭证或完税凭证（依法免税的，应提供相应文件证明其依法免税）</w:t>
            </w:r>
            <w:r>
              <w:rPr>
                <w:rFonts w:hint="eastAsia" w:ascii="宋体" w:hAnsi="宋体" w:eastAsia="宋体" w:cs="宋体"/>
                <w:color w:val="auto"/>
                <w:sz w:val="21"/>
                <w:szCs w:val="21"/>
                <w:highlight w:val="none"/>
                <w:lang w:val="en-US" w:eastAsia="zh-CN"/>
              </w:rPr>
              <w:t>。</w:t>
            </w:r>
          </w:p>
          <w:p w14:paraId="0C7DFAD2">
            <w:pPr>
              <w:spacing w:line="360" w:lineRule="auto"/>
              <w:rPr>
                <w:rFonts w:hint="eastAsia" w:ascii="宋体" w:hAnsi="宋体"/>
                <w:b/>
                <w:bCs/>
                <w:sz w:val="21"/>
                <w:szCs w:val="21"/>
              </w:rPr>
            </w:pPr>
            <w:r>
              <w:rPr>
                <w:rFonts w:hint="eastAsia" w:ascii="宋体" w:hAnsi="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lang w:val="en-US" w:eastAsia="zh-CN"/>
              </w:rPr>
              <w:t>文件中附缴税凭据或完税证明复印件加盖公章（依法免税的，附相应文件复印件加盖公章）。</w:t>
            </w:r>
          </w:p>
        </w:tc>
      </w:tr>
      <w:tr w14:paraId="16179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1185" w:type="dxa"/>
            <w:vMerge w:val="continue"/>
            <w:noWrap w:val="0"/>
            <w:vAlign w:val="center"/>
          </w:tcPr>
          <w:p w14:paraId="02F299B8">
            <w:pPr>
              <w:autoSpaceDE w:val="0"/>
              <w:autoSpaceDN w:val="0"/>
              <w:adjustRightInd w:val="0"/>
              <w:spacing w:line="360" w:lineRule="auto"/>
              <w:jc w:val="center"/>
              <w:rPr>
                <w:rFonts w:ascii="宋体" w:hAnsi="宋体" w:cs="宋体"/>
                <w:bCs/>
                <w:color w:val="auto"/>
                <w:sz w:val="21"/>
                <w:szCs w:val="21"/>
                <w:highlight w:val="none"/>
                <w:lang w:val="zh-CN"/>
              </w:rPr>
            </w:pPr>
          </w:p>
        </w:tc>
        <w:tc>
          <w:tcPr>
            <w:tcW w:w="2355" w:type="dxa"/>
            <w:noWrap w:val="0"/>
            <w:vAlign w:val="center"/>
          </w:tcPr>
          <w:p w14:paraId="71C584A9">
            <w:pPr>
              <w:spacing w:line="360" w:lineRule="auto"/>
              <w:jc w:val="center"/>
              <w:rPr>
                <w:rFonts w:hint="eastAsia" w:ascii="宋体" w:hAnsi="宋体" w:cs="宋体"/>
                <w:bCs/>
                <w:color w:val="auto"/>
                <w:szCs w:val="21"/>
                <w:highlight w:val="none"/>
              </w:rPr>
            </w:pPr>
            <w:r>
              <w:rPr>
                <w:rFonts w:hint="eastAsia" w:ascii="宋体" w:hAnsi="宋体" w:cs="宋体"/>
                <w:bCs/>
                <w:color w:val="auto"/>
                <w:szCs w:val="21"/>
                <w:highlight w:val="none"/>
              </w:rPr>
              <w:t>社会保障资金</w:t>
            </w:r>
          </w:p>
          <w:p w14:paraId="5B9BE5A3">
            <w:pPr>
              <w:spacing w:line="360" w:lineRule="auto"/>
              <w:jc w:val="center"/>
              <w:rPr>
                <w:rFonts w:hint="eastAsia" w:cs="Times New Roman"/>
                <w:color w:val="auto"/>
                <w:sz w:val="21"/>
                <w:szCs w:val="21"/>
                <w:highlight w:val="none"/>
                <w:lang w:val="en-US" w:eastAsia="zh-CN"/>
              </w:rPr>
            </w:pPr>
            <w:r>
              <w:rPr>
                <w:rFonts w:hint="eastAsia" w:ascii="宋体" w:hAnsi="宋体" w:cs="宋体"/>
                <w:bCs/>
                <w:color w:val="auto"/>
                <w:szCs w:val="21"/>
                <w:highlight w:val="none"/>
              </w:rPr>
              <w:t>证明</w:t>
            </w:r>
          </w:p>
        </w:tc>
        <w:tc>
          <w:tcPr>
            <w:tcW w:w="6371" w:type="dxa"/>
            <w:noWrap w:val="0"/>
            <w:vAlign w:val="center"/>
          </w:tcPr>
          <w:p w14:paraId="5E438B8B">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具有近一年</w:t>
            </w:r>
            <w:r>
              <w:rPr>
                <w:rFonts w:hint="eastAsia" w:ascii="宋体" w:hAnsi="宋体" w:eastAsia="宋体" w:cs="宋体"/>
                <w:color w:val="auto"/>
                <w:sz w:val="21"/>
                <w:szCs w:val="21"/>
                <w:highlight w:val="none"/>
                <w:lang w:val="en-US" w:eastAsia="zh-CN"/>
              </w:rPr>
              <w:t>内</w:t>
            </w:r>
            <w:r>
              <w:rPr>
                <w:rFonts w:hint="eastAsia" w:ascii="宋体" w:hAnsi="宋体" w:eastAsia="宋体" w:cs="宋体"/>
                <w:color w:val="auto"/>
                <w:sz w:val="21"/>
                <w:szCs w:val="21"/>
                <w:highlight w:val="none"/>
              </w:rPr>
              <w:t>任意一个月用人单位社会保险凭证或参保证明（依法不需要缴纳社会保险的，应提供相应文件证明其依法不需要缴纳社会保险）</w:t>
            </w:r>
            <w:r>
              <w:rPr>
                <w:rFonts w:hint="eastAsia" w:ascii="宋体" w:hAnsi="宋体" w:eastAsia="宋体" w:cs="宋体"/>
                <w:color w:val="auto"/>
                <w:sz w:val="21"/>
                <w:szCs w:val="21"/>
                <w:highlight w:val="none"/>
                <w:lang w:val="en-US" w:eastAsia="zh-CN"/>
              </w:rPr>
              <w:t>。</w:t>
            </w:r>
          </w:p>
          <w:p w14:paraId="5E4F4411">
            <w:pPr>
              <w:spacing w:line="360" w:lineRule="auto"/>
              <w:rPr>
                <w:rFonts w:hint="eastAsia" w:ascii="宋体" w:hAnsi="宋体"/>
                <w:b/>
                <w:bCs/>
                <w:sz w:val="21"/>
                <w:szCs w:val="21"/>
              </w:rPr>
            </w:pPr>
            <w:r>
              <w:rPr>
                <w:rFonts w:hint="eastAsia" w:ascii="宋体" w:hAnsi="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lang w:val="en-US" w:eastAsia="zh-CN"/>
              </w:rPr>
              <w:t>文件中附用人单位社会保险凭证或参保证明复印件加盖公章（依法不需要缴纳社会保险的，附相应文件复印件加盖公章）。</w:t>
            </w:r>
          </w:p>
        </w:tc>
      </w:tr>
      <w:tr w14:paraId="6661D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25" w:hRule="atLeast"/>
          <w:jc w:val="center"/>
        </w:trPr>
        <w:tc>
          <w:tcPr>
            <w:tcW w:w="1185" w:type="dxa"/>
            <w:vMerge w:val="continue"/>
            <w:noWrap w:val="0"/>
            <w:vAlign w:val="center"/>
          </w:tcPr>
          <w:p w14:paraId="1565509B">
            <w:pPr>
              <w:autoSpaceDE w:val="0"/>
              <w:autoSpaceDN w:val="0"/>
              <w:adjustRightInd w:val="0"/>
              <w:spacing w:line="360" w:lineRule="auto"/>
              <w:jc w:val="center"/>
              <w:rPr>
                <w:rFonts w:ascii="宋体" w:hAnsi="宋体" w:cs="宋体"/>
                <w:bCs/>
                <w:color w:val="auto"/>
                <w:sz w:val="21"/>
                <w:szCs w:val="21"/>
                <w:highlight w:val="none"/>
                <w:lang w:val="zh-CN"/>
              </w:rPr>
            </w:pPr>
          </w:p>
        </w:tc>
        <w:tc>
          <w:tcPr>
            <w:tcW w:w="2355" w:type="dxa"/>
            <w:noWrap w:val="0"/>
            <w:vAlign w:val="center"/>
          </w:tcPr>
          <w:p w14:paraId="743E75CA">
            <w:pPr>
              <w:autoSpaceDE w:val="0"/>
              <w:autoSpaceDN w:val="0"/>
              <w:adjustRightInd w:val="0"/>
              <w:spacing w:line="360" w:lineRule="auto"/>
              <w:jc w:val="center"/>
              <w:rPr>
                <w:rFonts w:hint="eastAsia" w:ascii="宋体" w:hAnsi="宋体" w:eastAsia="宋体"/>
                <w:color w:val="auto"/>
                <w:sz w:val="21"/>
                <w:szCs w:val="21"/>
                <w:highlight w:val="none"/>
                <w:lang w:val="en-US" w:eastAsia="zh-CN"/>
              </w:rPr>
            </w:pPr>
            <w:r>
              <w:rPr>
                <w:rFonts w:hint="eastAsia" w:ascii="宋体" w:hAnsi="宋体"/>
                <w:color w:val="auto"/>
                <w:sz w:val="21"/>
                <w:szCs w:val="21"/>
                <w:highlight w:val="none"/>
                <w:lang w:val="zh-CN"/>
              </w:rPr>
              <w:t>信誉</w:t>
            </w:r>
            <w:r>
              <w:rPr>
                <w:rFonts w:hint="eastAsia" w:ascii="宋体" w:hAnsi="宋体"/>
                <w:color w:val="auto"/>
                <w:sz w:val="21"/>
                <w:szCs w:val="21"/>
                <w:highlight w:val="none"/>
                <w:lang w:val="en-US" w:eastAsia="zh-CN"/>
              </w:rPr>
              <w:t>要求</w:t>
            </w:r>
          </w:p>
        </w:tc>
        <w:tc>
          <w:tcPr>
            <w:tcW w:w="6371" w:type="dxa"/>
            <w:noWrap w:val="0"/>
            <w:vAlign w:val="center"/>
          </w:tcPr>
          <w:p w14:paraId="658AAC0E">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②参加政府采购活动前三年内，在经营活动中没有重大违法记录；③拒绝列入政府取消投标资格记录期间的企业或个人磋商。</w:t>
            </w:r>
          </w:p>
          <w:p w14:paraId="44C3FEA7">
            <w:pPr>
              <w:spacing w:line="360" w:lineRule="auto"/>
              <w:rPr>
                <w:color w:val="auto"/>
                <w:sz w:val="21"/>
                <w:szCs w:val="21"/>
                <w:highlight w:val="none"/>
              </w:rPr>
            </w:pPr>
            <w:r>
              <w:rPr>
                <w:rFonts w:hint="eastAsia" w:ascii="宋体" w:hAnsi="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lang w:val="zh-CN" w:eastAsia="zh-CN"/>
              </w:rPr>
              <w:t>文件中</w:t>
            </w:r>
            <w:r>
              <w:rPr>
                <w:rFonts w:hint="eastAsia" w:ascii="宋体" w:hAnsi="宋体" w:eastAsia="宋体" w:cs="宋体"/>
                <w:b/>
                <w:bCs/>
                <w:color w:val="auto"/>
                <w:sz w:val="21"/>
                <w:szCs w:val="21"/>
                <w:highlight w:val="none"/>
                <w:lang w:val="en-US" w:eastAsia="zh-CN"/>
              </w:rPr>
              <w:t>①</w:t>
            </w:r>
            <w:r>
              <w:rPr>
                <w:rFonts w:hint="eastAsia" w:ascii="宋体" w:hAnsi="宋体" w:eastAsia="宋体" w:cs="宋体"/>
                <w:b/>
                <w:bCs/>
                <w:color w:val="auto"/>
                <w:sz w:val="21"/>
                <w:szCs w:val="21"/>
                <w:highlight w:val="none"/>
                <w:lang w:val="zh-CN" w:eastAsia="zh-CN"/>
              </w:rPr>
              <w:t>附相关网站查询截图，查询时点为获取</w:t>
            </w:r>
            <w:r>
              <w:rPr>
                <w:rFonts w:hint="eastAsia" w:ascii="宋体" w:hAnsi="宋体" w:cs="宋体"/>
                <w:b/>
                <w:bCs/>
                <w:color w:val="auto"/>
                <w:sz w:val="21"/>
                <w:szCs w:val="21"/>
                <w:highlight w:val="none"/>
                <w:lang w:val="en-US" w:eastAsia="zh-CN"/>
              </w:rPr>
              <w:t>磋商</w:t>
            </w:r>
            <w:r>
              <w:rPr>
                <w:rFonts w:hint="eastAsia" w:ascii="宋体" w:hAnsi="宋体" w:eastAsia="宋体" w:cs="宋体"/>
                <w:b/>
                <w:bCs/>
                <w:color w:val="auto"/>
                <w:sz w:val="21"/>
                <w:szCs w:val="21"/>
                <w:highlight w:val="none"/>
                <w:lang w:val="zh-CN" w:eastAsia="zh-CN"/>
              </w:rPr>
              <w:t>文件开始时间至</w:t>
            </w:r>
            <w:r>
              <w:rPr>
                <w:rFonts w:hint="eastAsia" w:ascii="宋体" w:hAnsi="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lang w:val="zh-CN" w:eastAsia="zh-CN"/>
              </w:rPr>
              <w:t>文件</w:t>
            </w:r>
            <w:r>
              <w:rPr>
                <w:rFonts w:hint="eastAsia" w:ascii="宋体" w:hAnsi="宋体" w:eastAsia="宋体" w:cs="宋体"/>
                <w:b/>
                <w:bCs/>
                <w:color w:val="auto"/>
                <w:sz w:val="21"/>
                <w:szCs w:val="21"/>
                <w:highlight w:val="none"/>
                <w:lang w:val="en-US" w:eastAsia="zh-CN"/>
              </w:rPr>
              <w:t>提交</w:t>
            </w:r>
            <w:r>
              <w:rPr>
                <w:rFonts w:hint="eastAsia" w:ascii="宋体" w:hAnsi="宋体" w:eastAsia="宋体" w:cs="宋体"/>
                <w:b/>
                <w:bCs/>
                <w:color w:val="auto"/>
                <w:sz w:val="21"/>
                <w:szCs w:val="21"/>
                <w:highlight w:val="none"/>
                <w:lang w:val="zh-CN" w:eastAsia="zh-CN"/>
              </w:rPr>
              <w:t>截止时间；</w:t>
            </w:r>
            <w:r>
              <w:rPr>
                <w:rFonts w:hint="eastAsia" w:ascii="宋体" w:hAnsi="宋体" w:eastAsia="宋体" w:cs="宋体"/>
                <w:b/>
                <w:bCs/>
                <w:color w:val="auto"/>
                <w:sz w:val="21"/>
                <w:szCs w:val="21"/>
                <w:highlight w:val="none"/>
                <w:lang w:val="en-US" w:eastAsia="zh-CN"/>
              </w:rPr>
              <w:t>②-③</w:t>
            </w:r>
            <w:r>
              <w:rPr>
                <w:rFonts w:hint="eastAsia" w:ascii="宋体" w:hAnsi="宋体" w:cs="宋体"/>
                <w:b/>
                <w:bCs/>
                <w:color w:val="auto"/>
                <w:sz w:val="21"/>
                <w:szCs w:val="21"/>
                <w:highlight w:val="none"/>
                <w:lang w:val="en-US" w:eastAsia="zh-CN"/>
              </w:rPr>
              <w:t>响应</w:t>
            </w:r>
            <w:r>
              <w:rPr>
                <w:rFonts w:hint="eastAsia" w:ascii="宋体" w:hAnsi="宋体" w:eastAsia="宋体" w:cs="宋体"/>
                <w:b/>
                <w:bCs/>
                <w:color w:val="auto"/>
                <w:sz w:val="21"/>
                <w:szCs w:val="21"/>
                <w:highlight w:val="none"/>
                <w:lang w:val="zh-CN" w:eastAsia="zh-CN"/>
              </w:rPr>
              <w:t>文件中附由法定代表人签字并加盖公章的承诺书，格式自拟。</w:t>
            </w:r>
          </w:p>
        </w:tc>
      </w:tr>
      <w:tr w14:paraId="08241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05" w:hRule="atLeast"/>
          <w:jc w:val="center"/>
        </w:trPr>
        <w:tc>
          <w:tcPr>
            <w:tcW w:w="1185" w:type="dxa"/>
            <w:vMerge w:val="continue"/>
            <w:noWrap w:val="0"/>
            <w:vAlign w:val="center"/>
          </w:tcPr>
          <w:p w14:paraId="23FA8888">
            <w:pPr>
              <w:autoSpaceDE w:val="0"/>
              <w:autoSpaceDN w:val="0"/>
              <w:adjustRightInd w:val="0"/>
              <w:spacing w:line="360" w:lineRule="auto"/>
              <w:jc w:val="center"/>
              <w:rPr>
                <w:rFonts w:ascii="宋体" w:hAnsi="宋体" w:cs="宋体"/>
                <w:bCs/>
                <w:color w:val="auto"/>
                <w:sz w:val="21"/>
                <w:szCs w:val="21"/>
                <w:highlight w:val="none"/>
                <w:lang w:val="zh-CN"/>
              </w:rPr>
            </w:pPr>
          </w:p>
        </w:tc>
        <w:tc>
          <w:tcPr>
            <w:tcW w:w="2355" w:type="dxa"/>
            <w:noWrap w:val="0"/>
            <w:vAlign w:val="center"/>
          </w:tcPr>
          <w:p w14:paraId="657B980D">
            <w:pPr>
              <w:autoSpaceDE w:val="0"/>
              <w:autoSpaceDN w:val="0"/>
              <w:adjustRightInd w:val="0"/>
              <w:spacing w:line="360" w:lineRule="auto"/>
              <w:jc w:val="center"/>
              <w:rPr>
                <w:rFonts w:ascii="宋体" w:hAnsi="宋体"/>
                <w:color w:val="auto"/>
                <w:sz w:val="21"/>
                <w:szCs w:val="21"/>
                <w:highlight w:val="none"/>
                <w:lang w:val="zh-CN"/>
              </w:rPr>
            </w:pPr>
            <w:r>
              <w:rPr>
                <w:rFonts w:hint="eastAsia" w:ascii="宋体" w:hAnsi="宋体"/>
                <w:color w:val="auto"/>
                <w:sz w:val="21"/>
                <w:szCs w:val="21"/>
                <w:highlight w:val="none"/>
                <w:lang w:val="zh-CN"/>
              </w:rPr>
              <w:t>其他</w:t>
            </w:r>
          </w:p>
        </w:tc>
        <w:tc>
          <w:tcPr>
            <w:tcW w:w="6371" w:type="dxa"/>
            <w:noWrap w:val="0"/>
            <w:vAlign w:val="center"/>
          </w:tcPr>
          <w:p w14:paraId="223F1B26">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单位负责人为同一人或者存在控股、管理关系的不同单位，不得参加同一标段磋商或者未划分标段的同一采购项目磋商。</w:t>
            </w:r>
          </w:p>
          <w:p w14:paraId="303B6EC4">
            <w:pPr>
              <w:spacing w:line="360" w:lineRule="auto"/>
              <w:rPr>
                <w:color w:val="auto"/>
                <w:sz w:val="21"/>
                <w:szCs w:val="21"/>
                <w:highlight w:val="none"/>
              </w:rPr>
            </w:pPr>
            <w:r>
              <w:rPr>
                <w:rFonts w:hint="eastAsia"/>
                <w:b/>
                <w:bCs/>
                <w:color w:val="auto"/>
                <w:sz w:val="21"/>
                <w:szCs w:val="21"/>
                <w:highlight w:val="none"/>
                <w:lang w:val="en-US" w:eastAsia="zh-CN"/>
              </w:rPr>
              <w:t>响应文件内附由</w:t>
            </w:r>
            <w:r>
              <w:rPr>
                <w:rFonts w:hint="eastAsia"/>
                <w:b/>
                <w:bCs/>
                <w:color w:val="auto"/>
                <w:sz w:val="21"/>
                <w:szCs w:val="21"/>
                <w:highlight w:val="none"/>
                <w:lang w:val="zh-CN" w:eastAsia="zh-CN"/>
              </w:rPr>
              <w:t>法定代表人或其委托代理人签字并加盖公章的承诺书（</w:t>
            </w:r>
            <w:r>
              <w:rPr>
                <w:rFonts w:hint="eastAsia"/>
                <w:b/>
                <w:bCs/>
                <w:color w:val="auto"/>
                <w:sz w:val="21"/>
                <w:szCs w:val="21"/>
                <w:highlight w:val="none"/>
                <w:lang w:val="en-US" w:eastAsia="zh-CN"/>
              </w:rPr>
              <w:t>格式自拟）。</w:t>
            </w:r>
          </w:p>
        </w:tc>
      </w:tr>
      <w:tr w14:paraId="36FB4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911" w:type="dxa"/>
            <w:gridSpan w:val="3"/>
            <w:noWrap w:val="0"/>
            <w:vAlign w:val="center"/>
          </w:tcPr>
          <w:p w14:paraId="0421938B">
            <w:pPr>
              <w:autoSpaceDE w:val="0"/>
              <w:autoSpaceDN w:val="0"/>
              <w:adjustRightInd w:val="0"/>
              <w:spacing w:line="360" w:lineRule="auto"/>
              <w:jc w:val="center"/>
              <w:rPr>
                <w:rFonts w:ascii="宋体" w:hAnsi="宋体"/>
                <w:color w:val="auto"/>
                <w:sz w:val="21"/>
                <w:szCs w:val="21"/>
                <w:highlight w:val="none"/>
                <w:lang w:val="zh-CN"/>
              </w:rPr>
            </w:pPr>
            <w:r>
              <w:rPr>
                <w:rFonts w:hint="eastAsia" w:ascii="宋体" w:hAnsi="宋体"/>
                <w:b/>
                <w:bCs/>
                <w:color w:val="auto"/>
                <w:sz w:val="21"/>
                <w:szCs w:val="21"/>
                <w:highlight w:val="none"/>
              </w:rPr>
              <w:t>注：供应商有一项不满足资格</w:t>
            </w:r>
            <w:r>
              <w:rPr>
                <w:rFonts w:hint="eastAsia" w:ascii="宋体" w:hAnsi="宋体"/>
                <w:b/>
                <w:bCs/>
                <w:color w:val="auto"/>
                <w:sz w:val="21"/>
                <w:szCs w:val="21"/>
                <w:highlight w:val="none"/>
                <w:lang w:val="en-US" w:eastAsia="zh-CN"/>
              </w:rPr>
              <w:t>审查</w:t>
            </w:r>
            <w:r>
              <w:rPr>
                <w:rFonts w:hint="eastAsia" w:ascii="宋体" w:hAnsi="宋体"/>
                <w:b/>
                <w:bCs/>
                <w:color w:val="auto"/>
                <w:sz w:val="21"/>
                <w:szCs w:val="21"/>
                <w:highlight w:val="none"/>
              </w:rPr>
              <w:t>标准的，其响应文件将被</w:t>
            </w:r>
            <w:r>
              <w:rPr>
                <w:rFonts w:hint="eastAsia" w:ascii="宋体" w:hAnsi="宋体" w:cs="宋体"/>
                <w:b/>
                <w:bCs/>
                <w:color w:val="auto"/>
                <w:sz w:val="21"/>
                <w:szCs w:val="21"/>
                <w:highlight w:val="none"/>
              </w:rPr>
              <w:t>否决</w:t>
            </w:r>
            <w:r>
              <w:rPr>
                <w:rFonts w:hint="eastAsia" w:ascii="宋体" w:hAnsi="宋体"/>
                <w:b/>
                <w:bCs/>
                <w:color w:val="auto"/>
                <w:sz w:val="21"/>
                <w:szCs w:val="21"/>
                <w:highlight w:val="none"/>
              </w:rPr>
              <w:t>，不再进入后续</w:t>
            </w:r>
            <w:r>
              <w:rPr>
                <w:rFonts w:hint="eastAsia" w:ascii="宋体" w:hAnsi="宋体"/>
                <w:b/>
                <w:bCs/>
                <w:color w:val="auto"/>
                <w:sz w:val="21"/>
                <w:szCs w:val="21"/>
                <w:highlight w:val="none"/>
                <w:lang w:val="en-US" w:eastAsia="zh-CN"/>
              </w:rPr>
              <w:t>符合性审查</w:t>
            </w:r>
            <w:r>
              <w:rPr>
                <w:rFonts w:hint="eastAsia" w:ascii="宋体" w:hAnsi="宋体"/>
                <w:b/>
                <w:bCs/>
                <w:color w:val="auto"/>
                <w:sz w:val="21"/>
                <w:szCs w:val="21"/>
                <w:highlight w:val="none"/>
              </w:rPr>
              <w:t>。</w:t>
            </w:r>
          </w:p>
        </w:tc>
      </w:tr>
      <w:tr w14:paraId="1C613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185" w:type="dxa"/>
            <w:vMerge w:val="restart"/>
            <w:noWrap w:val="0"/>
            <w:vAlign w:val="center"/>
          </w:tcPr>
          <w:p w14:paraId="0F127A76">
            <w:pPr>
              <w:autoSpaceDE w:val="0"/>
              <w:autoSpaceDN w:val="0"/>
              <w:adjustRightInd w:val="0"/>
              <w:spacing w:line="360" w:lineRule="auto"/>
              <w:jc w:val="center"/>
              <w:rPr>
                <w:rFonts w:ascii="宋体" w:hAnsi="宋体" w:cs="宋体"/>
                <w:bCs/>
                <w:color w:val="auto"/>
                <w:sz w:val="21"/>
                <w:szCs w:val="21"/>
                <w:highlight w:val="none"/>
                <w:lang w:val="zh-CN"/>
              </w:rPr>
            </w:pPr>
          </w:p>
          <w:p w14:paraId="5F71813E">
            <w:pPr>
              <w:autoSpaceDE w:val="0"/>
              <w:autoSpaceDN w:val="0"/>
              <w:adjustRightInd w:val="0"/>
              <w:spacing w:line="360" w:lineRule="auto"/>
              <w:jc w:val="center"/>
              <w:rPr>
                <w:rFonts w:ascii="宋体" w:hAnsi="宋体" w:cs="宋体"/>
                <w:bCs/>
                <w:color w:val="auto"/>
                <w:sz w:val="21"/>
                <w:szCs w:val="21"/>
                <w:highlight w:val="none"/>
                <w:lang w:val="zh-CN"/>
              </w:rPr>
            </w:pPr>
          </w:p>
          <w:p w14:paraId="4D1D521E">
            <w:pPr>
              <w:autoSpaceDE w:val="0"/>
              <w:autoSpaceDN w:val="0"/>
              <w:adjustRightInd w:val="0"/>
              <w:spacing w:line="360" w:lineRule="auto"/>
              <w:jc w:val="center"/>
              <w:rPr>
                <w:rFonts w:ascii="宋体" w:hAnsi="宋体" w:cs="宋体"/>
                <w:bCs/>
                <w:color w:val="auto"/>
                <w:sz w:val="21"/>
                <w:szCs w:val="21"/>
                <w:highlight w:val="none"/>
                <w:lang w:val="zh-CN"/>
              </w:rPr>
            </w:pPr>
          </w:p>
          <w:p w14:paraId="08B1F9FE">
            <w:pPr>
              <w:autoSpaceDE w:val="0"/>
              <w:autoSpaceDN w:val="0"/>
              <w:adjustRightInd w:val="0"/>
              <w:spacing w:line="360" w:lineRule="auto"/>
              <w:jc w:val="center"/>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en-US" w:eastAsia="zh-CN"/>
              </w:rPr>
              <w:t>符合性审查</w:t>
            </w:r>
            <w:r>
              <w:rPr>
                <w:rFonts w:hint="eastAsia" w:ascii="宋体" w:hAnsi="宋体" w:cs="宋体"/>
                <w:bCs/>
                <w:color w:val="auto"/>
                <w:sz w:val="21"/>
                <w:szCs w:val="21"/>
                <w:highlight w:val="none"/>
                <w:lang w:val="zh-CN"/>
              </w:rPr>
              <w:t>标准</w:t>
            </w:r>
          </w:p>
        </w:tc>
        <w:tc>
          <w:tcPr>
            <w:tcW w:w="2355" w:type="dxa"/>
            <w:noWrap w:val="0"/>
            <w:vAlign w:val="center"/>
          </w:tcPr>
          <w:p w14:paraId="712F9181">
            <w:pPr>
              <w:autoSpaceDE w:val="0"/>
              <w:autoSpaceDN w:val="0"/>
              <w:adjustRightInd w:val="0"/>
              <w:spacing w:line="360" w:lineRule="auto"/>
              <w:jc w:val="center"/>
              <w:rPr>
                <w:rFonts w:hint="eastAsia" w:ascii="宋体" w:hAnsi="宋体" w:cs="宋体"/>
                <w:bCs/>
                <w:color w:val="auto"/>
                <w:sz w:val="21"/>
                <w:szCs w:val="21"/>
                <w:highlight w:val="none"/>
                <w:lang w:val="zh-CN"/>
              </w:rPr>
            </w:pPr>
            <w:r>
              <w:rPr>
                <w:rFonts w:hint="eastAsia" w:ascii="宋体" w:hAnsi="宋体" w:cs="宋体"/>
                <w:b w:val="0"/>
                <w:bCs w:val="0"/>
                <w:color w:val="auto"/>
                <w:highlight w:val="none"/>
                <w:lang w:val="en-US" w:eastAsia="zh-CN"/>
              </w:rPr>
              <w:t>技术标文件（暗标）</w:t>
            </w:r>
          </w:p>
        </w:tc>
        <w:tc>
          <w:tcPr>
            <w:tcW w:w="6371" w:type="dxa"/>
            <w:noWrap w:val="0"/>
            <w:vAlign w:val="center"/>
          </w:tcPr>
          <w:p w14:paraId="5B5F3AFD">
            <w:pPr>
              <w:spacing w:line="360" w:lineRule="auto"/>
              <w:jc w:val="left"/>
              <w:rPr>
                <w:rFonts w:hint="eastAsia" w:ascii="宋体" w:hAnsi="宋体" w:eastAsia="宋体" w:cs="宋体"/>
                <w:bCs/>
                <w:color w:val="auto"/>
                <w:szCs w:val="21"/>
                <w:highlight w:val="none"/>
                <w:lang w:val="en-US" w:eastAsia="zh-CN"/>
              </w:rPr>
            </w:pPr>
            <w:r>
              <w:rPr>
                <w:rFonts w:hint="eastAsia" w:ascii="宋体" w:hAnsi="宋体" w:cs="宋体"/>
                <w:bCs/>
                <w:color w:val="auto"/>
                <w:szCs w:val="21"/>
                <w:highlight w:val="none"/>
                <w:lang w:val="en-US" w:eastAsia="zh-CN"/>
              </w:rPr>
              <w:t>响应</w:t>
            </w:r>
            <w:r>
              <w:rPr>
                <w:rFonts w:hint="eastAsia" w:ascii="宋体" w:hAnsi="宋体" w:eastAsia="宋体" w:cs="宋体"/>
                <w:bCs/>
                <w:color w:val="auto"/>
                <w:szCs w:val="21"/>
                <w:highlight w:val="none"/>
                <w:lang w:val="en-US" w:eastAsia="zh-CN"/>
              </w:rPr>
              <w:t>文件技术标必须遵守的统一格式和规范。</w:t>
            </w:r>
          </w:p>
          <w:p w14:paraId="62DA00C6">
            <w:pPr>
              <w:spacing w:line="360" w:lineRule="auto"/>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技术标文件(暗标)未按以下“盲评”要求制作的，为无效投标，除下述要求外，不得因暗标格式问题认定为无效投标：</w:t>
            </w:r>
          </w:p>
          <w:p w14:paraId="766C9B1C">
            <w:pPr>
              <w:spacing w:line="360" w:lineRule="auto"/>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1.版面要求：A4纸张大小；</w:t>
            </w:r>
          </w:p>
          <w:p w14:paraId="5FC27E23">
            <w:pPr>
              <w:spacing w:line="360" w:lineRule="auto"/>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2.颜色要求：所有文字、图表均为黑色；</w:t>
            </w:r>
          </w:p>
          <w:p w14:paraId="5971A2F2">
            <w:pPr>
              <w:spacing w:line="360" w:lineRule="auto"/>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3.字体要求：标题及正文部分所用文字均采用“宋体”四号“常规”字；图、表内的字体及字号不作要求；全部使用中文标点符号；所有字体均不得出现加粗、加色、倾斜、下划线等标记；</w:t>
            </w:r>
          </w:p>
          <w:p w14:paraId="5D2FFF39">
            <w:pPr>
              <w:spacing w:line="360" w:lineRule="auto"/>
              <w:jc w:val="left"/>
              <w:rPr>
                <w:rFonts w:hint="eastAsia"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4.排版要求:页边距要求上边距2.5厘米，其余均为2厘米；不得设置目录；正文行间距为固定值30磅；文字内容(含正文标题、正文及表格标题)统一设为左对齐；首行缩进2字符，不得有空格；段落前后不设置空行；不得设置页眉、页脚和页码；图、表部分对齐形式统一设为居中对齐；</w:t>
            </w:r>
          </w:p>
          <w:p w14:paraId="332C1F08">
            <w:pPr>
              <w:autoSpaceDE w:val="0"/>
              <w:autoSpaceDN w:val="0"/>
              <w:adjustRightInd w:val="0"/>
              <w:spacing w:line="360" w:lineRule="auto"/>
              <w:rPr>
                <w:rFonts w:hint="eastAsia" w:ascii="宋体" w:hAnsi="宋体" w:cs="宋体"/>
                <w:bCs/>
                <w:color w:val="auto"/>
                <w:sz w:val="21"/>
                <w:szCs w:val="21"/>
                <w:highlight w:val="none"/>
                <w:lang w:val="zh-CN"/>
              </w:rPr>
            </w:pPr>
            <w:r>
              <w:rPr>
                <w:rFonts w:hint="eastAsia" w:ascii="宋体" w:hAnsi="宋体" w:eastAsia="宋体" w:cs="宋体"/>
                <w:bCs/>
                <w:color w:val="auto"/>
                <w:szCs w:val="21"/>
                <w:highlight w:val="none"/>
                <w:lang w:val="en-US" w:eastAsia="zh-CN"/>
              </w:rPr>
              <w:t>5.其它：除满足上述各项要求外，构成投标文件的“技术暗标”的正文中均不得出现供应商的名称和其它可识别供应商身份的字符、徽标、人员名称以及其他可能被辨别出供应商身份的任何标记。</w:t>
            </w:r>
          </w:p>
        </w:tc>
      </w:tr>
      <w:tr w14:paraId="23011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185" w:type="dxa"/>
            <w:vMerge w:val="continue"/>
            <w:noWrap w:val="0"/>
            <w:vAlign w:val="center"/>
          </w:tcPr>
          <w:p w14:paraId="15431E4B">
            <w:pPr>
              <w:autoSpaceDE w:val="0"/>
              <w:autoSpaceDN w:val="0"/>
              <w:adjustRightInd w:val="0"/>
              <w:spacing w:line="360" w:lineRule="auto"/>
              <w:jc w:val="center"/>
              <w:rPr>
                <w:rFonts w:ascii="宋体" w:hAnsi="宋体" w:cs="宋体"/>
                <w:bCs/>
                <w:color w:val="auto"/>
                <w:sz w:val="21"/>
                <w:szCs w:val="21"/>
                <w:highlight w:val="none"/>
                <w:lang w:val="zh-CN"/>
              </w:rPr>
            </w:pPr>
          </w:p>
        </w:tc>
        <w:tc>
          <w:tcPr>
            <w:tcW w:w="2355" w:type="dxa"/>
            <w:noWrap w:val="0"/>
            <w:vAlign w:val="center"/>
          </w:tcPr>
          <w:p w14:paraId="792629E2">
            <w:pPr>
              <w:autoSpaceDE w:val="0"/>
              <w:autoSpaceDN w:val="0"/>
              <w:adjustRightInd w:val="0"/>
              <w:spacing w:line="360" w:lineRule="auto"/>
              <w:jc w:val="center"/>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zh-CN"/>
              </w:rPr>
              <w:t>供应商名称</w:t>
            </w:r>
          </w:p>
        </w:tc>
        <w:tc>
          <w:tcPr>
            <w:tcW w:w="6371" w:type="dxa"/>
            <w:noWrap w:val="0"/>
            <w:vAlign w:val="center"/>
          </w:tcPr>
          <w:p w14:paraId="49FBB76F">
            <w:pPr>
              <w:autoSpaceDE w:val="0"/>
              <w:autoSpaceDN w:val="0"/>
              <w:adjustRightInd w:val="0"/>
              <w:spacing w:line="360" w:lineRule="auto"/>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zh-CN"/>
              </w:rPr>
              <w:t>与营业执照一致。</w:t>
            </w:r>
          </w:p>
        </w:tc>
      </w:tr>
      <w:tr w14:paraId="22022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185" w:type="dxa"/>
            <w:vMerge w:val="continue"/>
            <w:noWrap w:val="0"/>
            <w:vAlign w:val="center"/>
          </w:tcPr>
          <w:p w14:paraId="51F0500C">
            <w:pPr>
              <w:autoSpaceDE w:val="0"/>
              <w:autoSpaceDN w:val="0"/>
              <w:adjustRightInd w:val="0"/>
              <w:spacing w:line="360" w:lineRule="auto"/>
              <w:jc w:val="center"/>
              <w:rPr>
                <w:rFonts w:hint="eastAsia" w:ascii="宋体" w:hAnsi="宋体" w:cs="宋体"/>
                <w:bCs/>
                <w:color w:val="auto"/>
                <w:sz w:val="21"/>
                <w:szCs w:val="21"/>
                <w:highlight w:val="none"/>
                <w:lang w:val="en-US" w:eastAsia="zh-CN"/>
              </w:rPr>
            </w:pPr>
          </w:p>
        </w:tc>
        <w:tc>
          <w:tcPr>
            <w:tcW w:w="2355" w:type="dxa"/>
            <w:noWrap w:val="0"/>
            <w:vAlign w:val="center"/>
          </w:tcPr>
          <w:p w14:paraId="64FA2A18">
            <w:pPr>
              <w:autoSpaceDE w:val="0"/>
              <w:autoSpaceDN w:val="0"/>
              <w:adjustRightInd w:val="0"/>
              <w:spacing w:line="360" w:lineRule="auto"/>
              <w:jc w:val="center"/>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rPr>
              <w:t>磋商</w:t>
            </w:r>
            <w:r>
              <w:rPr>
                <w:rFonts w:hint="eastAsia" w:ascii="宋体" w:hAnsi="宋体" w:cs="宋体"/>
                <w:bCs/>
                <w:color w:val="auto"/>
                <w:sz w:val="21"/>
                <w:szCs w:val="21"/>
                <w:highlight w:val="none"/>
                <w:lang w:val="zh-CN"/>
              </w:rPr>
              <w:t>函签字盖章</w:t>
            </w:r>
          </w:p>
        </w:tc>
        <w:tc>
          <w:tcPr>
            <w:tcW w:w="6371" w:type="dxa"/>
            <w:noWrap w:val="0"/>
            <w:vAlign w:val="center"/>
          </w:tcPr>
          <w:p w14:paraId="430F07F5">
            <w:pPr>
              <w:autoSpaceDE w:val="0"/>
              <w:autoSpaceDN w:val="0"/>
              <w:adjustRightInd w:val="0"/>
              <w:spacing w:line="360" w:lineRule="auto"/>
              <w:rPr>
                <w:rFonts w:hint="eastAsia" w:ascii="宋体" w:hAnsi="宋体" w:eastAsia="宋体" w:cs="宋体"/>
                <w:bCs/>
                <w:color w:val="auto"/>
                <w:sz w:val="21"/>
                <w:szCs w:val="21"/>
                <w:highlight w:val="none"/>
                <w:lang w:val="en-US" w:eastAsia="zh-CN"/>
              </w:rPr>
            </w:pPr>
            <w:r>
              <w:rPr>
                <w:rFonts w:hint="eastAsia" w:ascii="宋体" w:hAnsi="宋体"/>
                <w:color w:val="auto"/>
                <w:sz w:val="21"/>
                <w:szCs w:val="21"/>
                <w:highlight w:val="none"/>
              </w:rPr>
              <w:t>磋商函</w:t>
            </w:r>
            <w:r>
              <w:rPr>
                <w:rFonts w:ascii="宋体" w:hAnsi="宋体"/>
                <w:color w:val="auto"/>
                <w:sz w:val="21"/>
                <w:szCs w:val="21"/>
                <w:highlight w:val="none"/>
              </w:rPr>
              <w:t>应加盖供应商</w:t>
            </w:r>
            <w:r>
              <w:rPr>
                <w:rFonts w:hint="eastAsia" w:ascii="宋体" w:hAnsi="宋体" w:cs="宋体"/>
                <w:color w:val="auto"/>
                <w:szCs w:val="21"/>
                <w:highlight w:val="none"/>
              </w:rPr>
              <w:t>单位章</w:t>
            </w:r>
            <w:r>
              <w:rPr>
                <w:rFonts w:ascii="宋体" w:hAnsi="宋体"/>
                <w:color w:val="auto"/>
                <w:sz w:val="21"/>
                <w:szCs w:val="21"/>
                <w:highlight w:val="none"/>
              </w:rPr>
              <w:t>并经法定代表人或其委托代理人签字。</w:t>
            </w:r>
          </w:p>
        </w:tc>
      </w:tr>
      <w:tr w14:paraId="5A38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185" w:type="dxa"/>
            <w:vMerge w:val="continue"/>
            <w:noWrap w:val="0"/>
            <w:vAlign w:val="center"/>
          </w:tcPr>
          <w:p w14:paraId="0F300AC4">
            <w:pPr>
              <w:autoSpaceDE w:val="0"/>
              <w:autoSpaceDN w:val="0"/>
              <w:adjustRightInd w:val="0"/>
              <w:spacing w:line="360" w:lineRule="auto"/>
              <w:jc w:val="center"/>
              <w:rPr>
                <w:rFonts w:hint="eastAsia" w:ascii="宋体" w:hAnsi="宋体" w:cs="宋体"/>
                <w:bCs/>
                <w:color w:val="auto"/>
                <w:sz w:val="21"/>
                <w:szCs w:val="21"/>
                <w:highlight w:val="none"/>
                <w:lang w:val="en-US" w:eastAsia="zh-CN"/>
              </w:rPr>
            </w:pPr>
          </w:p>
        </w:tc>
        <w:tc>
          <w:tcPr>
            <w:tcW w:w="2355" w:type="dxa"/>
            <w:noWrap w:val="0"/>
            <w:vAlign w:val="center"/>
          </w:tcPr>
          <w:p w14:paraId="0F6906F8">
            <w:pPr>
              <w:autoSpaceDE w:val="0"/>
              <w:autoSpaceDN w:val="0"/>
              <w:adjustRightInd w:val="0"/>
              <w:spacing w:line="360" w:lineRule="auto"/>
              <w:jc w:val="center"/>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zh-CN"/>
              </w:rPr>
              <w:t>响应文件格式</w:t>
            </w:r>
          </w:p>
        </w:tc>
        <w:tc>
          <w:tcPr>
            <w:tcW w:w="6371" w:type="dxa"/>
            <w:noWrap w:val="0"/>
            <w:vAlign w:val="center"/>
          </w:tcPr>
          <w:p w14:paraId="73626C09">
            <w:pPr>
              <w:autoSpaceDE w:val="0"/>
              <w:autoSpaceDN w:val="0"/>
              <w:adjustRightInd w:val="0"/>
              <w:spacing w:line="360" w:lineRule="auto"/>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zh-CN"/>
              </w:rPr>
              <w:t>符合磋商文件中“响应文件格式”的要求，按磋商文件的要求盖章、签署。</w:t>
            </w:r>
          </w:p>
        </w:tc>
      </w:tr>
      <w:tr w14:paraId="2E652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1185" w:type="dxa"/>
            <w:vMerge w:val="continue"/>
            <w:noWrap w:val="0"/>
            <w:vAlign w:val="center"/>
          </w:tcPr>
          <w:p w14:paraId="264FC74E">
            <w:pPr>
              <w:autoSpaceDE w:val="0"/>
              <w:autoSpaceDN w:val="0"/>
              <w:adjustRightInd w:val="0"/>
              <w:spacing w:line="360" w:lineRule="auto"/>
              <w:jc w:val="center"/>
              <w:rPr>
                <w:rFonts w:hint="eastAsia" w:ascii="宋体" w:hAnsi="宋体" w:cs="宋体"/>
                <w:bCs/>
                <w:color w:val="auto"/>
                <w:sz w:val="21"/>
                <w:szCs w:val="21"/>
                <w:highlight w:val="none"/>
                <w:lang w:val="en-US" w:eastAsia="zh-CN"/>
              </w:rPr>
            </w:pPr>
          </w:p>
        </w:tc>
        <w:tc>
          <w:tcPr>
            <w:tcW w:w="2355" w:type="dxa"/>
            <w:noWrap w:val="0"/>
            <w:vAlign w:val="center"/>
          </w:tcPr>
          <w:p w14:paraId="65138081">
            <w:pPr>
              <w:autoSpaceDE w:val="0"/>
              <w:autoSpaceDN w:val="0"/>
              <w:adjustRightInd w:val="0"/>
              <w:spacing w:line="360" w:lineRule="auto"/>
              <w:jc w:val="center"/>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zh-CN"/>
              </w:rPr>
              <w:t>报价唯一</w:t>
            </w:r>
          </w:p>
        </w:tc>
        <w:tc>
          <w:tcPr>
            <w:tcW w:w="6371" w:type="dxa"/>
            <w:noWrap w:val="0"/>
            <w:vAlign w:val="center"/>
          </w:tcPr>
          <w:p w14:paraId="68F2CC46">
            <w:pPr>
              <w:autoSpaceDE w:val="0"/>
              <w:autoSpaceDN w:val="0"/>
              <w:adjustRightInd w:val="0"/>
              <w:spacing w:line="360" w:lineRule="auto"/>
              <w:rPr>
                <w:rFonts w:hint="eastAsia"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zh-CN"/>
              </w:rPr>
              <w:t>只能有一个有效报价。</w:t>
            </w:r>
          </w:p>
        </w:tc>
      </w:tr>
      <w:tr w14:paraId="0269A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85" w:type="dxa"/>
            <w:vMerge w:val="continue"/>
            <w:noWrap w:val="0"/>
            <w:vAlign w:val="center"/>
          </w:tcPr>
          <w:p w14:paraId="36465786">
            <w:pPr>
              <w:autoSpaceDE w:val="0"/>
              <w:autoSpaceDN w:val="0"/>
              <w:adjustRightInd w:val="0"/>
              <w:spacing w:line="360" w:lineRule="auto"/>
              <w:jc w:val="center"/>
              <w:rPr>
                <w:rFonts w:ascii="宋体" w:hAnsi="宋体" w:cs="宋体"/>
                <w:bCs/>
                <w:color w:val="auto"/>
                <w:sz w:val="21"/>
                <w:szCs w:val="21"/>
                <w:highlight w:val="none"/>
                <w:lang w:val="zh-CN"/>
              </w:rPr>
            </w:pPr>
          </w:p>
        </w:tc>
        <w:tc>
          <w:tcPr>
            <w:tcW w:w="2355" w:type="dxa"/>
            <w:noWrap w:val="0"/>
            <w:vAlign w:val="center"/>
          </w:tcPr>
          <w:p w14:paraId="5FB02150">
            <w:pPr>
              <w:pStyle w:val="17"/>
              <w:tabs>
                <w:tab w:val="clear" w:pos="4153"/>
                <w:tab w:val="clear" w:pos="8306"/>
              </w:tabs>
              <w:autoSpaceDE w:val="0"/>
              <w:autoSpaceDN w:val="0"/>
              <w:adjustRightInd w:val="0"/>
              <w:snapToGrid/>
              <w:spacing w:line="360" w:lineRule="auto"/>
              <w:jc w:val="center"/>
              <w:rPr>
                <w:rFonts w:hint="eastAsia" w:ascii="宋体" w:hAnsi="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合同履行期限</w:t>
            </w:r>
          </w:p>
          <w:p w14:paraId="62FF8539">
            <w:pPr>
              <w:pStyle w:val="17"/>
              <w:tabs>
                <w:tab w:val="clear" w:pos="4153"/>
                <w:tab w:val="clear" w:pos="8306"/>
              </w:tabs>
              <w:autoSpaceDE w:val="0"/>
              <w:autoSpaceDN w:val="0"/>
              <w:adjustRightInd w:val="0"/>
              <w:snapToGrid/>
              <w:spacing w:line="360" w:lineRule="auto"/>
              <w:jc w:val="center"/>
              <w:rPr>
                <w:rFonts w:hint="default" w:ascii="宋体" w:hAnsi="宋体" w:cs="宋体"/>
                <w:bCs/>
                <w:color w:val="auto"/>
                <w:sz w:val="21"/>
                <w:szCs w:val="21"/>
                <w:highlight w:val="none"/>
                <w:lang w:val="en-US"/>
              </w:rPr>
            </w:pPr>
            <w:r>
              <w:rPr>
                <w:rFonts w:hint="eastAsia" w:ascii="宋体" w:hAnsi="宋体" w:cs="宋体"/>
                <w:bCs/>
                <w:color w:val="auto"/>
                <w:sz w:val="21"/>
                <w:szCs w:val="21"/>
                <w:highlight w:val="none"/>
                <w:lang w:val="en-US" w:eastAsia="zh-CN"/>
              </w:rPr>
              <w:t>（服务期限）</w:t>
            </w:r>
          </w:p>
        </w:tc>
        <w:tc>
          <w:tcPr>
            <w:tcW w:w="6371" w:type="dxa"/>
            <w:noWrap w:val="0"/>
            <w:vAlign w:val="center"/>
          </w:tcPr>
          <w:p w14:paraId="583F7EA5">
            <w:pPr>
              <w:spacing w:line="360" w:lineRule="auto"/>
              <w:jc w:val="both"/>
              <w:rPr>
                <w:rFonts w:hint="default" w:ascii="宋体" w:hAnsi="宋体" w:eastAsia="宋体" w:cs="宋体"/>
                <w:bCs/>
                <w:color w:val="auto"/>
                <w:sz w:val="21"/>
                <w:szCs w:val="21"/>
                <w:highlight w:val="none"/>
                <w:lang w:val="en-US" w:eastAsia="zh-CN"/>
              </w:rPr>
            </w:pPr>
            <w:r>
              <w:rPr>
                <w:rFonts w:hint="eastAsia" w:ascii="宋体" w:hAnsi="宋体" w:cs="宋体"/>
                <w:color w:val="auto"/>
                <w:szCs w:val="21"/>
                <w:highlight w:val="none"/>
                <w:lang w:val="en-US" w:eastAsia="zh-CN"/>
              </w:rPr>
              <w:t>3年</w:t>
            </w:r>
            <w:r>
              <w:rPr>
                <w:rFonts w:hint="eastAsia" w:ascii="宋体" w:hAnsi="宋体" w:eastAsia="宋体" w:cs="宋体"/>
                <w:color w:val="auto"/>
                <w:szCs w:val="21"/>
                <w:highlight w:val="none"/>
                <w:lang w:val="en-US" w:eastAsia="zh-CN"/>
              </w:rPr>
              <w:t>。</w:t>
            </w:r>
          </w:p>
        </w:tc>
      </w:tr>
      <w:tr w14:paraId="7E5ED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1185" w:type="dxa"/>
            <w:vMerge w:val="continue"/>
            <w:noWrap w:val="0"/>
            <w:vAlign w:val="top"/>
          </w:tcPr>
          <w:p w14:paraId="59DAEDB5">
            <w:pPr>
              <w:autoSpaceDE w:val="0"/>
              <w:autoSpaceDN w:val="0"/>
              <w:adjustRightInd w:val="0"/>
              <w:spacing w:line="360" w:lineRule="auto"/>
              <w:jc w:val="center"/>
              <w:rPr>
                <w:rFonts w:ascii="宋体" w:hAnsi="宋体" w:cs="宋体"/>
                <w:bCs/>
                <w:color w:val="auto"/>
                <w:sz w:val="21"/>
                <w:szCs w:val="21"/>
                <w:highlight w:val="none"/>
                <w:lang w:val="zh-CN"/>
              </w:rPr>
            </w:pPr>
          </w:p>
        </w:tc>
        <w:tc>
          <w:tcPr>
            <w:tcW w:w="2355" w:type="dxa"/>
            <w:noWrap w:val="0"/>
            <w:vAlign w:val="center"/>
          </w:tcPr>
          <w:p w14:paraId="34B3C72E">
            <w:pPr>
              <w:autoSpaceDE w:val="0"/>
              <w:autoSpaceDN w:val="0"/>
              <w:adjustRightInd w:val="0"/>
              <w:spacing w:line="360" w:lineRule="auto"/>
              <w:jc w:val="center"/>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服务标准</w:t>
            </w:r>
          </w:p>
        </w:tc>
        <w:tc>
          <w:tcPr>
            <w:tcW w:w="6371" w:type="dxa"/>
            <w:noWrap w:val="0"/>
            <w:vAlign w:val="center"/>
          </w:tcPr>
          <w:p w14:paraId="64C96212">
            <w:pPr>
              <w:spacing w:line="360" w:lineRule="auto"/>
              <w:jc w:val="both"/>
              <w:rPr>
                <w:rFonts w:hint="default" w:ascii="宋体" w:hAnsi="宋体" w:eastAsia="宋体" w:cs="宋体"/>
                <w:bCs/>
                <w:color w:val="auto"/>
                <w:sz w:val="21"/>
                <w:szCs w:val="21"/>
                <w:highlight w:val="none"/>
                <w:lang w:val="en-US" w:eastAsia="zh-CN"/>
              </w:rPr>
            </w:pPr>
            <w:r>
              <w:rPr>
                <w:rFonts w:hint="eastAsia" w:ascii="宋体" w:hAnsi="宋体" w:cs="宋体"/>
                <w:bCs/>
                <w:color w:val="auto"/>
                <w:sz w:val="21"/>
                <w:szCs w:val="21"/>
                <w:highlight w:val="none"/>
                <w:lang w:val="en-US" w:eastAsia="zh-CN"/>
              </w:rPr>
              <w:t>符合国家及行业合格标准，提供优质服务。</w:t>
            </w:r>
          </w:p>
        </w:tc>
      </w:tr>
      <w:tr w14:paraId="5D2D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jc w:val="center"/>
        </w:trPr>
        <w:tc>
          <w:tcPr>
            <w:tcW w:w="1185" w:type="dxa"/>
            <w:vMerge w:val="continue"/>
            <w:noWrap w:val="0"/>
            <w:vAlign w:val="top"/>
          </w:tcPr>
          <w:p w14:paraId="74437C75">
            <w:pPr>
              <w:autoSpaceDE w:val="0"/>
              <w:autoSpaceDN w:val="0"/>
              <w:adjustRightInd w:val="0"/>
              <w:spacing w:line="360" w:lineRule="auto"/>
              <w:jc w:val="center"/>
              <w:rPr>
                <w:rFonts w:ascii="宋体" w:hAnsi="宋体" w:cs="宋体"/>
                <w:bCs/>
                <w:color w:val="auto"/>
                <w:sz w:val="21"/>
                <w:szCs w:val="21"/>
                <w:highlight w:val="none"/>
                <w:lang w:val="zh-CN"/>
              </w:rPr>
            </w:pPr>
          </w:p>
        </w:tc>
        <w:tc>
          <w:tcPr>
            <w:tcW w:w="2355" w:type="dxa"/>
            <w:noWrap w:val="0"/>
            <w:vAlign w:val="center"/>
          </w:tcPr>
          <w:p w14:paraId="6B09F8DC">
            <w:pPr>
              <w:autoSpaceDE w:val="0"/>
              <w:autoSpaceDN w:val="0"/>
              <w:adjustRightInd w:val="0"/>
              <w:spacing w:line="360" w:lineRule="auto"/>
              <w:jc w:val="center"/>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en-US" w:eastAsia="zh-CN"/>
              </w:rPr>
              <w:t>响应</w:t>
            </w:r>
            <w:r>
              <w:rPr>
                <w:rFonts w:hint="eastAsia" w:ascii="宋体" w:hAnsi="宋体" w:cs="宋体"/>
                <w:bCs/>
                <w:color w:val="auto"/>
                <w:sz w:val="21"/>
                <w:szCs w:val="21"/>
                <w:highlight w:val="none"/>
                <w:lang w:val="zh-CN"/>
              </w:rPr>
              <w:t>有效期</w:t>
            </w:r>
          </w:p>
        </w:tc>
        <w:tc>
          <w:tcPr>
            <w:tcW w:w="6371" w:type="dxa"/>
            <w:noWrap w:val="0"/>
            <w:vAlign w:val="center"/>
          </w:tcPr>
          <w:p w14:paraId="60030349">
            <w:pPr>
              <w:spacing w:line="360" w:lineRule="auto"/>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提交响应文件截止之日起90天</w:t>
            </w:r>
            <w:r>
              <w:rPr>
                <w:rFonts w:hint="eastAsia" w:ascii="宋体" w:hAnsi="宋体" w:eastAsia="宋体" w:cs="宋体"/>
                <w:bCs/>
                <w:color w:val="auto"/>
                <w:sz w:val="21"/>
                <w:szCs w:val="21"/>
                <w:highlight w:val="none"/>
                <w:lang w:val="zh-CN" w:eastAsia="zh-CN"/>
              </w:rPr>
              <w:t>。</w:t>
            </w:r>
          </w:p>
        </w:tc>
      </w:tr>
      <w:tr w14:paraId="67FB2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185" w:type="dxa"/>
            <w:vMerge w:val="continue"/>
            <w:noWrap w:val="0"/>
            <w:vAlign w:val="top"/>
          </w:tcPr>
          <w:p w14:paraId="15CD6166">
            <w:pPr>
              <w:autoSpaceDE w:val="0"/>
              <w:autoSpaceDN w:val="0"/>
              <w:adjustRightInd w:val="0"/>
              <w:spacing w:line="360" w:lineRule="auto"/>
              <w:jc w:val="center"/>
              <w:rPr>
                <w:rFonts w:ascii="宋体" w:hAnsi="宋体" w:cs="宋体"/>
                <w:bCs/>
                <w:color w:val="auto"/>
                <w:sz w:val="21"/>
                <w:szCs w:val="21"/>
                <w:highlight w:val="none"/>
                <w:lang w:val="zh-CN"/>
              </w:rPr>
            </w:pPr>
          </w:p>
        </w:tc>
        <w:tc>
          <w:tcPr>
            <w:tcW w:w="2355" w:type="dxa"/>
            <w:noWrap w:val="0"/>
            <w:vAlign w:val="center"/>
          </w:tcPr>
          <w:p w14:paraId="1277FBCB">
            <w:pPr>
              <w:autoSpaceDE w:val="0"/>
              <w:autoSpaceDN w:val="0"/>
              <w:adjustRightInd w:val="0"/>
              <w:spacing w:line="360" w:lineRule="auto"/>
              <w:jc w:val="center"/>
              <w:rPr>
                <w:rFonts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权利义务</w:t>
            </w:r>
          </w:p>
        </w:tc>
        <w:tc>
          <w:tcPr>
            <w:tcW w:w="6371" w:type="dxa"/>
            <w:noWrap w:val="0"/>
            <w:vAlign w:val="center"/>
          </w:tcPr>
          <w:p w14:paraId="0E86F5AC">
            <w:pPr>
              <w:autoSpaceDE w:val="0"/>
              <w:autoSpaceDN w:val="0"/>
              <w:adjustRightInd w:val="0"/>
              <w:spacing w:line="360" w:lineRule="auto"/>
              <w:jc w:val="left"/>
              <w:rPr>
                <w:rFonts w:hint="eastAsia" w:ascii="宋体" w:hAnsi="宋体" w:cs="宋体"/>
                <w:bCs/>
                <w:color w:val="auto"/>
                <w:sz w:val="21"/>
                <w:szCs w:val="21"/>
                <w:highlight w:val="none"/>
                <w:lang w:val="zh-CN"/>
              </w:rPr>
            </w:pPr>
            <w:r>
              <w:rPr>
                <w:rFonts w:hint="eastAsia" w:ascii="宋体" w:hAnsi="宋体" w:cs="宋体"/>
                <w:bCs/>
                <w:color w:val="auto"/>
                <w:sz w:val="21"/>
                <w:szCs w:val="21"/>
                <w:highlight w:val="none"/>
                <w:lang w:val="zh-CN"/>
              </w:rPr>
              <w:t>符合第四</w:t>
            </w:r>
            <w:r>
              <w:rPr>
                <w:rFonts w:hint="eastAsia" w:ascii="宋体" w:hAnsi="宋体" w:cs="宋体"/>
                <w:bCs/>
                <w:color w:val="auto"/>
                <w:sz w:val="21"/>
                <w:szCs w:val="21"/>
                <w:highlight w:val="none"/>
                <w:lang w:val="en-US" w:eastAsia="zh-CN"/>
              </w:rPr>
              <w:t>章</w:t>
            </w:r>
            <w:r>
              <w:rPr>
                <w:rFonts w:hint="eastAsia" w:ascii="宋体" w:hAnsi="宋体" w:cs="宋体"/>
                <w:bCs/>
                <w:color w:val="auto"/>
                <w:sz w:val="21"/>
                <w:szCs w:val="21"/>
                <w:highlight w:val="none"/>
                <w:lang w:val="zh-CN"/>
              </w:rPr>
              <w:t>“合同条款及格式”规定。</w:t>
            </w:r>
          </w:p>
        </w:tc>
      </w:tr>
      <w:tr w14:paraId="6D830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185" w:type="dxa"/>
            <w:vMerge w:val="continue"/>
            <w:noWrap w:val="0"/>
            <w:vAlign w:val="top"/>
          </w:tcPr>
          <w:p w14:paraId="1CF9E48F">
            <w:pPr>
              <w:autoSpaceDE w:val="0"/>
              <w:autoSpaceDN w:val="0"/>
              <w:adjustRightInd w:val="0"/>
              <w:spacing w:line="360" w:lineRule="auto"/>
              <w:jc w:val="center"/>
              <w:rPr>
                <w:rFonts w:ascii="宋体" w:hAnsi="宋体" w:cs="宋体"/>
                <w:bCs/>
                <w:color w:val="auto"/>
                <w:sz w:val="21"/>
                <w:szCs w:val="21"/>
                <w:highlight w:val="none"/>
                <w:lang w:val="zh-CN"/>
              </w:rPr>
            </w:pPr>
          </w:p>
        </w:tc>
        <w:tc>
          <w:tcPr>
            <w:tcW w:w="2355" w:type="dxa"/>
            <w:noWrap w:val="0"/>
            <w:vAlign w:val="center"/>
          </w:tcPr>
          <w:p w14:paraId="65BBEABD">
            <w:pPr>
              <w:spacing w:line="360" w:lineRule="auto"/>
              <w:jc w:val="center"/>
              <w:rPr>
                <w:rFonts w:hint="eastAsia" w:ascii="宋体" w:hAnsi="宋体" w:cs="宋体"/>
                <w:bCs/>
                <w:color w:val="auto"/>
                <w:sz w:val="21"/>
                <w:szCs w:val="21"/>
                <w:highlight w:val="none"/>
                <w:lang w:val="zh-CN"/>
              </w:rPr>
            </w:pPr>
            <w:r>
              <w:rPr>
                <w:rFonts w:hint="eastAsia" w:ascii="宋体" w:hAnsi="宋体" w:cs="宋体"/>
                <w:bCs/>
                <w:color w:val="auto"/>
                <w:szCs w:val="21"/>
                <w:highlight w:val="none"/>
                <w:lang w:val="en-US" w:eastAsia="zh-CN"/>
              </w:rPr>
              <w:t>服务要求</w:t>
            </w:r>
          </w:p>
        </w:tc>
        <w:tc>
          <w:tcPr>
            <w:tcW w:w="6371" w:type="dxa"/>
            <w:noWrap w:val="0"/>
            <w:vAlign w:val="center"/>
          </w:tcPr>
          <w:p w14:paraId="55F536E3">
            <w:pPr>
              <w:spacing w:line="360" w:lineRule="auto"/>
              <w:jc w:val="left"/>
              <w:rPr>
                <w:rFonts w:hint="eastAsia" w:ascii="宋体" w:hAnsi="宋体" w:cs="宋体"/>
                <w:bCs/>
                <w:color w:val="auto"/>
                <w:sz w:val="21"/>
                <w:szCs w:val="21"/>
                <w:highlight w:val="none"/>
                <w:lang w:val="zh-CN"/>
              </w:rPr>
            </w:pPr>
            <w:r>
              <w:rPr>
                <w:rFonts w:hint="eastAsia" w:ascii="宋体" w:hAnsi="宋体" w:eastAsia="宋体" w:cs="宋体"/>
                <w:bCs/>
                <w:color w:val="auto"/>
                <w:szCs w:val="21"/>
                <w:highlight w:val="none"/>
                <w:lang w:val="en-US" w:eastAsia="zh-CN"/>
              </w:rPr>
              <w:t>满足第五章“</w:t>
            </w:r>
            <w:r>
              <w:rPr>
                <w:rFonts w:hint="eastAsia" w:ascii="宋体" w:hAnsi="宋体" w:cs="宋体"/>
                <w:bCs/>
                <w:color w:val="auto"/>
                <w:szCs w:val="21"/>
                <w:highlight w:val="none"/>
                <w:lang w:val="en-US" w:eastAsia="zh-CN"/>
              </w:rPr>
              <w:t>采购</w:t>
            </w:r>
            <w:r>
              <w:rPr>
                <w:rFonts w:hint="eastAsia" w:ascii="宋体" w:hAnsi="宋体" w:eastAsia="宋体" w:cs="宋体"/>
                <w:bCs/>
                <w:color w:val="auto"/>
                <w:szCs w:val="21"/>
                <w:highlight w:val="none"/>
                <w:lang w:val="en-US" w:eastAsia="zh-CN"/>
              </w:rPr>
              <w:t>需求”，</w:t>
            </w:r>
            <w:r>
              <w:rPr>
                <w:rFonts w:hint="eastAsia" w:ascii="宋体" w:hAnsi="宋体" w:eastAsia="宋体" w:cs="宋体"/>
                <w:bCs/>
                <w:color w:val="auto"/>
                <w:szCs w:val="21"/>
                <w:highlight w:val="none"/>
                <w:lang w:val="zh-CN"/>
              </w:rPr>
              <w:t>不允许负偏离</w:t>
            </w:r>
            <w:r>
              <w:rPr>
                <w:rFonts w:hint="eastAsia" w:ascii="宋体" w:hAnsi="宋体" w:eastAsia="宋体" w:cs="宋体"/>
                <w:bCs/>
                <w:color w:val="auto"/>
                <w:szCs w:val="21"/>
                <w:highlight w:val="none"/>
                <w:lang w:val="zh-CN" w:eastAsia="zh-CN"/>
              </w:rPr>
              <w:t>，</w:t>
            </w:r>
            <w:r>
              <w:rPr>
                <w:rFonts w:hint="eastAsia" w:ascii="宋体" w:hAnsi="宋体" w:eastAsia="宋体" w:cs="宋体"/>
                <w:bCs/>
                <w:color w:val="auto"/>
                <w:szCs w:val="21"/>
                <w:highlight w:val="none"/>
                <w:lang w:val="en-US" w:eastAsia="zh-CN"/>
              </w:rPr>
              <w:t>否则响应文件将被否决。</w:t>
            </w:r>
          </w:p>
        </w:tc>
      </w:tr>
      <w:tr w14:paraId="28724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1185" w:type="dxa"/>
            <w:vMerge w:val="continue"/>
            <w:noWrap w:val="0"/>
            <w:vAlign w:val="top"/>
          </w:tcPr>
          <w:p w14:paraId="46B1D40C">
            <w:pPr>
              <w:autoSpaceDE w:val="0"/>
              <w:autoSpaceDN w:val="0"/>
              <w:adjustRightInd w:val="0"/>
              <w:spacing w:line="360" w:lineRule="auto"/>
              <w:jc w:val="center"/>
              <w:rPr>
                <w:rFonts w:ascii="宋体" w:hAnsi="宋体" w:cs="宋体"/>
                <w:bCs/>
                <w:color w:val="auto"/>
                <w:sz w:val="21"/>
                <w:szCs w:val="21"/>
                <w:highlight w:val="none"/>
                <w:lang w:val="zh-CN"/>
              </w:rPr>
            </w:pPr>
          </w:p>
        </w:tc>
        <w:tc>
          <w:tcPr>
            <w:tcW w:w="2355" w:type="dxa"/>
            <w:noWrap w:val="0"/>
            <w:vAlign w:val="center"/>
          </w:tcPr>
          <w:p w14:paraId="5C7451AD">
            <w:pPr>
              <w:autoSpaceDE w:val="0"/>
              <w:autoSpaceDN w:val="0"/>
              <w:adjustRightInd w:val="0"/>
              <w:spacing w:line="360" w:lineRule="auto"/>
              <w:jc w:val="center"/>
              <w:rPr>
                <w:rFonts w:ascii="宋体" w:hAnsi="宋体" w:cs="宋体"/>
                <w:bCs/>
                <w:color w:val="auto"/>
                <w:sz w:val="21"/>
                <w:szCs w:val="21"/>
                <w:highlight w:val="none"/>
                <w:lang w:val="zh-CN"/>
              </w:rPr>
            </w:pPr>
            <w:r>
              <w:rPr>
                <w:rFonts w:hint="eastAsia" w:ascii="宋体" w:hAnsi="宋体" w:cs="宋体"/>
                <w:color w:val="auto"/>
                <w:sz w:val="21"/>
                <w:szCs w:val="21"/>
                <w:highlight w:val="none"/>
              </w:rPr>
              <w:t>磋商</w:t>
            </w:r>
            <w:r>
              <w:rPr>
                <w:rFonts w:hint="eastAsia" w:ascii="宋体" w:hAnsi="宋体" w:cs="宋体"/>
                <w:bCs/>
                <w:color w:val="auto"/>
                <w:sz w:val="21"/>
                <w:szCs w:val="21"/>
                <w:highlight w:val="none"/>
                <w:lang w:val="zh-CN"/>
              </w:rPr>
              <w:t>响应报价</w:t>
            </w:r>
          </w:p>
        </w:tc>
        <w:tc>
          <w:tcPr>
            <w:tcW w:w="6371" w:type="dxa"/>
            <w:noWrap w:val="0"/>
            <w:vAlign w:val="center"/>
          </w:tcPr>
          <w:p w14:paraId="27EEC947">
            <w:pPr>
              <w:autoSpaceDE w:val="0"/>
              <w:autoSpaceDN w:val="0"/>
              <w:adjustRightInd w:val="0"/>
              <w:spacing w:line="360" w:lineRule="auto"/>
              <w:rPr>
                <w:rFonts w:ascii="宋体" w:hAnsi="宋体" w:cs="宋体"/>
                <w:b/>
                <w:bCs/>
                <w:color w:val="auto"/>
                <w:sz w:val="21"/>
                <w:szCs w:val="21"/>
                <w:highlight w:val="none"/>
                <w:lang w:val="zh-CN"/>
              </w:rPr>
            </w:pPr>
            <w:r>
              <w:rPr>
                <w:rFonts w:hint="eastAsia"/>
                <w:color w:val="auto"/>
                <w:highlight w:val="none"/>
              </w:rPr>
              <w:t>首次报价及最后报价不得超过</w:t>
            </w:r>
            <w:r>
              <w:rPr>
                <w:rFonts w:hint="eastAsia"/>
                <w:color w:val="auto"/>
                <w:highlight w:val="none"/>
                <w:lang w:val="zh-CN"/>
              </w:rPr>
              <w:t>竞争性磋商最高限价</w:t>
            </w:r>
            <w:r>
              <w:rPr>
                <w:rFonts w:hint="eastAsia" w:ascii="宋体" w:hAnsi="宋体" w:eastAsia="宋体" w:cs="宋体"/>
                <w:bCs/>
                <w:color w:val="auto"/>
                <w:szCs w:val="21"/>
                <w:highlight w:val="none"/>
              </w:rPr>
              <w:t>，</w:t>
            </w:r>
            <w:r>
              <w:rPr>
                <w:rFonts w:hint="eastAsia" w:ascii="宋体" w:hAnsi="宋体" w:cs="宋体"/>
                <w:bCs/>
                <w:color w:val="auto"/>
                <w:szCs w:val="21"/>
                <w:highlight w:val="none"/>
                <w:lang w:val="en-US" w:eastAsia="zh-CN"/>
              </w:rPr>
              <w:t>否则</w:t>
            </w:r>
            <w:r>
              <w:rPr>
                <w:rFonts w:hint="eastAsia"/>
                <w:color w:val="auto"/>
                <w:highlight w:val="none"/>
              </w:rPr>
              <w:t>视为无效报价，响应文件将被否决。</w:t>
            </w:r>
          </w:p>
        </w:tc>
      </w:tr>
      <w:tr w14:paraId="04B3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1185" w:type="dxa"/>
            <w:vMerge w:val="continue"/>
            <w:noWrap w:val="0"/>
            <w:vAlign w:val="top"/>
          </w:tcPr>
          <w:p w14:paraId="498DF4EA">
            <w:pPr>
              <w:autoSpaceDE w:val="0"/>
              <w:autoSpaceDN w:val="0"/>
              <w:adjustRightInd w:val="0"/>
              <w:spacing w:line="360" w:lineRule="auto"/>
              <w:jc w:val="center"/>
              <w:rPr>
                <w:rFonts w:ascii="宋体" w:hAnsi="宋体" w:cs="宋体"/>
                <w:bCs/>
                <w:color w:val="auto"/>
                <w:sz w:val="21"/>
                <w:szCs w:val="21"/>
                <w:highlight w:val="none"/>
                <w:lang w:val="zh-CN"/>
              </w:rPr>
            </w:pPr>
          </w:p>
        </w:tc>
        <w:tc>
          <w:tcPr>
            <w:tcW w:w="2355" w:type="dxa"/>
            <w:noWrap w:val="0"/>
            <w:vAlign w:val="center"/>
          </w:tcPr>
          <w:p w14:paraId="5A7B1DEF">
            <w:pPr>
              <w:autoSpaceDE w:val="0"/>
              <w:autoSpaceDN w:val="0"/>
              <w:adjustRightInd w:val="0"/>
              <w:spacing w:line="360" w:lineRule="auto"/>
              <w:jc w:val="center"/>
              <w:rPr>
                <w:rFonts w:ascii="宋体" w:hAnsi="宋体" w:cs="宋体"/>
                <w:bCs/>
                <w:color w:val="auto"/>
                <w:sz w:val="21"/>
                <w:szCs w:val="21"/>
                <w:highlight w:val="none"/>
              </w:rPr>
            </w:pPr>
            <w:r>
              <w:rPr>
                <w:rFonts w:hint="eastAsia" w:ascii="宋体" w:hAnsi="宋体" w:cs="宋体"/>
                <w:bCs/>
                <w:color w:val="auto"/>
                <w:sz w:val="21"/>
                <w:szCs w:val="21"/>
                <w:highlight w:val="none"/>
              </w:rPr>
              <w:t>其他响应</w:t>
            </w:r>
          </w:p>
        </w:tc>
        <w:tc>
          <w:tcPr>
            <w:tcW w:w="6371" w:type="dxa"/>
            <w:noWrap w:val="0"/>
            <w:vAlign w:val="center"/>
          </w:tcPr>
          <w:p w14:paraId="07669D50">
            <w:pPr>
              <w:autoSpaceDE w:val="0"/>
              <w:autoSpaceDN w:val="0"/>
              <w:adjustRightInd w:val="0"/>
              <w:spacing w:line="360" w:lineRule="auto"/>
              <w:jc w:val="left"/>
              <w:rPr>
                <w:rFonts w:ascii="宋体" w:hAnsi="宋体" w:cs="宋体"/>
                <w:bCs/>
                <w:color w:val="auto"/>
                <w:sz w:val="21"/>
                <w:szCs w:val="21"/>
                <w:highlight w:val="none"/>
              </w:rPr>
            </w:pPr>
            <w:r>
              <w:rPr>
                <w:rFonts w:hint="eastAsia" w:ascii="宋体" w:hAnsi="宋体" w:cs="宋体"/>
                <w:bCs/>
                <w:color w:val="auto"/>
                <w:sz w:val="21"/>
                <w:szCs w:val="21"/>
                <w:highlight w:val="none"/>
              </w:rPr>
              <w:t>符合第二章供应商须知中的全部内容。</w:t>
            </w:r>
          </w:p>
        </w:tc>
      </w:tr>
      <w:tr w14:paraId="596E0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9" w:hRule="atLeast"/>
          <w:jc w:val="center"/>
        </w:trPr>
        <w:tc>
          <w:tcPr>
            <w:tcW w:w="9911" w:type="dxa"/>
            <w:gridSpan w:val="3"/>
            <w:noWrap w:val="0"/>
            <w:vAlign w:val="top"/>
          </w:tcPr>
          <w:p w14:paraId="584933F0">
            <w:pPr>
              <w:autoSpaceDE w:val="0"/>
              <w:autoSpaceDN w:val="0"/>
              <w:adjustRightInd w:val="0"/>
              <w:spacing w:line="360" w:lineRule="auto"/>
              <w:ind w:firstLine="632" w:firstLineChars="300"/>
              <w:jc w:val="both"/>
              <w:rPr>
                <w:rFonts w:hint="eastAsia" w:ascii="宋体" w:hAnsi="宋体"/>
                <w:b/>
                <w:bCs/>
                <w:color w:val="auto"/>
                <w:sz w:val="21"/>
                <w:szCs w:val="21"/>
                <w:highlight w:val="none"/>
              </w:rPr>
            </w:pPr>
            <w:r>
              <w:rPr>
                <w:rFonts w:hint="eastAsia" w:ascii="宋体" w:hAnsi="宋体"/>
                <w:b/>
                <w:bCs/>
                <w:color w:val="auto"/>
                <w:sz w:val="21"/>
                <w:szCs w:val="21"/>
                <w:highlight w:val="none"/>
              </w:rPr>
              <w:t>注：供应商有一项不满足</w:t>
            </w:r>
            <w:r>
              <w:rPr>
                <w:rFonts w:hint="eastAsia" w:ascii="宋体" w:hAnsi="宋体"/>
                <w:b/>
                <w:bCs/>
                <w:color w:val="auto"/>
                <w:sz w:val="21"/>
                <w:szCs w:val="21"/>
                <w:highlight w:val="none"/>
                <w:lang w:val="en-US" w:eastAsia="zh-CN"/>
              </w:rPr>
              <w:t>符合性审查</w:t>
            </w:r>
            <w:r>
              <w:rPr>
                <w:rFonts w:hint="eastAsia" w:ascii="宋体" w:hAnsi="宋体"/>
                <w:b/>
                <w:bCs/>
                <w:color w:val="auto"/>
                <w:sz w:val="21"/>
                <w:szCs w:val="21"/>
                <w:highlight w:val="none"/>
              </w:rPr>
              <w:t>标准的，其响应文件将被否决，不再进入后续</w:t>
            </w:r>
            <w:r>
              <w:rPr>
                <w:rFonts w:hint="eastAsia" w:ascii="宋体" w:hAnsi="宋体"/>
                <w:b/>
                <w:bCs/>
                <w:color w:val="auto"/>
                <w:sz w:val="21"/>
                <w:szCs w:val="21"/>
                <w:highlight w:val="none"/>
                <w:lang w:val="en-US" w:eastAsia="zh-CN"/>
              </w:rPr>
              <w:t>详细</w:t>
            </w:r>
            <w:r>
              <w:rPr>
                <w:rFonts w:hint="eastAsia" w:ascii="宋体" w:hAnsi="宋体"/>
                <w:b/>
                <w:bCs/>
                <w:color w:val="auto"/>
                <w:sz w:val="21"/>
                <w:szCs w:val="21"/>
                <w:highlight w:val="none"/>
              </w:rPr>
              <w:t>评审。</w:t>
            </w:r>
          </w:p>
        </w:tc>
      </w:tr>
    </w:tbl>
    <w:p w14:paraId="2FB2E768">
      <w:pPr>
        <w:spacing w:line="360" w:lineRule="auto"/>
        <w:jc w:val="center"/>
        <w:rPr>
          <w:rFonts w:hint="eastAsia" w:ascii="宋体" w:hAnsi="宋体" w:cs="宋体"/>
          <w:b/>
          <w:color w:val="auto"/>
          <w:sz w:val="28"/>
          <w:szCs w:val="28"/>
          <w:highlight w:val="none"/>
          <w:lang w:val="zh-CN"/>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2、</w:t>
      </w:r>
      <w:r>
        <w:rPr>
          <w:rFonts w:hint="eastAsia" w:ascii="宋体" w:hAnsi="宋体" w:cs="宋体"/>
          <w:b/>
          <w:color w:val="auto"/>
          <w:sz w:val="28"/>
          <w:szCs w:val="28"/>
          <w:highlight w:val="none"/>
          <w:lang w:val="zh-CN"/>
        </w:rPr>
        <w:t>磋商有关问题</w:t>
      </w:r>
    </w:p>
    <w:p w14:paraId="1C6A1F7D">
      <w:pPr>
        <w:autoSpaceDE w:val="0"/>
        <w:autoSpaceDN w:val="0"/>
        <w:adjustRightInd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（1）对于响应文件中含义不明确、同类问题表述不一致或者有明显文字和计算错误的内容，磋商小组应当以书面形式要求供应商作出必要的澄清、说明或者补正。</w:t>
      </w:r>
    </w:p>
    <w:p w14:paraId="76B1EE97">
      <w:pPr>
        <w:autoSpaceDE w:val="0"/>
        <w:autoSpaceDN w:val="0"/>
        <w:adjustRightInd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供应商应当按照磋商小组的要求在规定时间内提交书面的澄清、说明或者补正，并加盖公章，或者由法定代表人或其授权的代表签字。供应商的澄清、说明或者补正不得超出响应文件的范围或者改变响应文件的实质性内容。</w:t>
      </w:r>
    </w:p>
    <w:p w14:paraId="0365DDFD">
      <w:pPr>
        <w:autoSpaceDE w:val="0"/>
        <w:autoSpaceDN w:val="0"/>
        <w:adjustRightInd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（2）磋商小组与通过初步评审的供应商针对竞争性磋商文件里未标明或标注不明确的有关问题进行磋商。</w:t>
      </w:r>
    </w:p>
    <w:p w14:paraId="3FEBBDB8">
      <w:pPr>
        <w:autoSpaceDE w:val="0"/>
        <w:autoSpaceDN w:val="0"/>
        <w:adjustRightInd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（3）磋商小组所有成员应当集中与单一供应商分别进行磋商，并给予所有参加磋商的供应商平等的磋商机会。</w:t>
      </w:r>
    </w:p>
    <w:p w14:paraId="67EFF378">
      <w:pPr>
        <w:autoSpaceDE w:val="0"/>
        <w:autoSpaceDN w:val="0"/>
        <w:adjustRightInd w:val="0"/>
        <w:spacing w:line="360" w:lineRule="auto"/>
        <w:ind w:firstLine="420" w:firstLineChars="200"/>
        <w:rPr>
          <w:rFonts w:hint="eastAsia" w:ascii="宋体" w:hAnsi="宋体" w:cs="宋体"/>
          <w:color w:val="auto"/>
          <w:szCs w:val="21"/>
          <w:highlight w:val="none"/>
          <w:lang w:val="zh-CN"/>
        </w:rPr>
      </w:pPr>
      <w:r>
        <w:rPr>
          <w:rFonts w:hint="eastAsia" w:ascii="宋体" w:hAnsi="宋体" w:cs="宋体"/>
          <w:color w:val="auto"/>
          <w:szCs w:val="21"/>
          <w:highlight w:val="none"/>
          <w:lang w:val="zh-CN"/>
        </w:rPr>
        <w:t>（4）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当及时以书面形式同时通知所有参加磋商的供应商。</w:t>
      </w:r>
    </w:p>
    <w:p w14:paraId="11EF6147">
      <w:pPr>
        <w:jc w:val="center"/>
        <w:rPr>
          <w:rFonts w:hint="eastAsia" w:ascii="宋体" w:hAnsi="宋体" w:cs="宋体"/>
          <w:b/>
          <w:color w:val="auto"/>
          <w:sz w:val="28"/>
          <w:szCs w:val="28"/>
          <w:highlight w:val="none"/>
          <w:lang w:val="zh-CN"/>
        </w:rPr>
      </w:pPr>
      <w:r>
        <w:rPr>
          <w:rFonts w:hint="eastAsia" w:ascii="宋体" w:hAnsi="宋体" w:cs="宋体"/>
          <w:b/>
          <w:color w:val="auto"/>
          <w:sz w:val="28"/>
          <w:szCs w:val="28"/>
          <w:highlight w:val="none"/>
        </w:rPr>
        <w:t>3、</w:t>
      </w:r>
      <w:r>
        <w:rPr>
          <w:rFonts w:hint="eastAsia" w:ascii="宋体" w:hAnsi="宋体" w:cs="宋体"/>
          <w:b/>
          <w:color w:val="auto"/>
          <w:sz w:val="28"/>
          <w:szCs w:val="28"/>
          <w:highlight w:val="none"/>
          <w:lang w:val="zh-CN"/>
        </w:rPr>
        <w:t>最</w:t>
      </w:r>
      <w:r>
        <w:rPr>
          <w:rFonts w:hint="eastAsia" w:ascii="宋体" w:hAnsi="宋体" w:cs="宋体"/>
          <w:b/>
          <w:color w:val="auto"/>
          <w:sz w:val="28"/>
          <w:szCs w:val="28"/>
          <w:highlight w:val="none"/>
          <w:lang w:val="en-US" w:eastAsia="zh-CN"/>
        </w:rPr>
        <w:t>后</w:t>
      </w:r>
      <w:r>
        <w:rPr>
          <w:rFonts w:hint="eastAsia" w:ascii="宋体" w:hAnsi="宋体" w:cs="宋体"/>
          <w:b/>
          <w:color w:val="auto"/>
          <w:sz w:val="28"/>
          <w:szCs w:val="28"/>
          <w:highlight w:val="none"/>
          <w:lang w:val="zh-CN"/>
        </w:rPr>
        <w:t>报价</w:t>
      </w:r>
    </w:p>
    <w:p w14:paraId="668C3283">
      <w:pPr>
        <w:jc w:val="center"/>
        <w:rPr>
          <w:rFonts w:hint="eastAsia" w:ascii="宋体" w:hAnsi="宋体" w:cs="宋体"/>
          <w:b/>
          <w:color w:val="auto"/>
          <w:sz w:val="28"/>
          <w:szCs w:val="28"/>
          <w:highlight w:val="none"/>
          <w:lang w:val="zh-CN"/>
        </w:rPr>
      </w:pPr>
    </w:p>
    <w:p w14:paraId="6065CA11">
      <w:pPr>
        <w:spacing w:line="360" w:lineRule="auto"/>
        <w:ind w:firstLine="420" w:firstLineChars="200"/>
        <w:outlineLvl w:val="9"/>
        <w:rPr>
          <w:rFonts w:hint="eastAsia" w:ascii="宋体" w:hAnsi="宋体" w:cs="宋体"/>
          <w:b w:val="0"/>
          <w:bCs w:val="0"/>
          <w:color w:val="auto"/>
          <w:sz w:val="21"/>
          <w:szCs w:val="21"/>
          <w:highlight w:val="none"/>
          <w:lang w:val="zh-CN"/>
        </w:rPr>
      </w:pPr>
      <w:bookmarkStart w:id="154" w:name="_Toc17737"/>
      <w:r>
        <w:rPr>
          <w:rFonts w:hint="eastAsia" w:ascii="宋体" w:hAnsi="宋体" w:cs="宋体"/>
          <w:b w:val="0"/>
          <w:bCs w:val="0"/>
          <w:color w:val="auto"/>
          <w:sz w:val="21"/>
          <w:szCs w:val="21"/>
          <w:highlight w:val="none"/>
        </w:rPr>
        <w:t>（1）通过初步审查的供应商应当按照磋商文件的变动情况和磋商小组的要求重新提交最</w:t>
      </w:r>
      <w:r>
        <w:rPr>
          <w:rFonts w:hint="eastAsia" w:ascii="宋体" w:hAnsi="宋体" w:cs="宋体"/>
          <w:b w:val="0"/>
          <w:bCs w:val="0"/>
          <w:color w:val="auto"/>
          <w:sz w:val="21"/>
          <w:szCs w:val="21"/>
          <w:highlight w:val="none"/>
          <w:lang w:val="en-US" w:eastAsia="zh-CN"/>
        </w:rPr>
        <w:t>后</w:t>
      </w:r>
      <w:r>
        <w:rPr>
          <w:rFonts w:hint="eastAsia" w:ascii="宋体" w:hAnsi="宋体" w:cs="宋体"/>
          <w:b w:val="0"/>
          <w:bCs w:val="0"/>
          <w:color w:val="auto"/>
          <w:sz w:val="21"/>
          <w:szCs w:val="21"/>
          <w:highlight w:val="none"/>
        </w:rPr>
        <w:t>报价表，并统一提交，如不重新提交的，以首次报价一览表（初始报价）为准。</w:t>
      </w:r>
      <w:bookmarkEnd w:id="154"/>
    </w:p>
    <w:p w14:paraId="7980E9E8">
      <w:pPr>
        <w:spacing w:line="360" w:lineRule="auto"/>
        <w:ind w:firstLine="420" w:firstLineChars="200"/>
        <w:rPr>
          <w:rFonts w:hint="eastAsia" w:ascii="宋体" w:hAnsi="宋体" w:cs="宋体"/>
          <w:color w:val="auto"/>
          <w:highlight w:val="none"/>
          <w:lang w:val="zh-CN"/>
        </w:rPr>
      </w:pPr>
      <w:r>
        <w:rPr>
          <w:rFonts w:hint="eastAsia" w:ascii="宋体" w:hAnsi="宋体" w:cs="宋体"/>
          <w:color w:val="auto"/>
          <w:highlight w:val="none"/>
          <w:lang w:val="zh-CN"/>
        </w:rPr>
        <w:t>（2）</w:t>
      </w:r>
      <w:r>
        <w:rPr>
          <w:rFonts w:hint="eastAsia" w:ascii="宋体" w:hAnsi="宋体" w:cs="宋体"/>
          <w:color w:val="auto"/>
          <w:highlight w:val="none"/>
        </w:rPr>
        <w:t>磋商小组认为供应商的报价明显低于其他通过初步评审供应商的报价，有可能影响</w:t>
      </w:r>
      <w:r>
        <w:rPr>
          <w:rFonts w:hint="eastAsia" w:ascii="宋体" w:hAnsi="宋体" w:cs="宋体"/>
          <w:color w:val="auto"/>
          <w:highlight w:val="none"/>
          <w:lang w:val="en-US" w:eastAsia="zh-CN"/>
        </w:rPr>
        <w:t>服务</w:t>
      </w:r>
      <w:r>
        <w:rPr>
          <w:rFonts w:hint="eastAsia" w:ascii="宋体" w:hAnsi="宋体" w:cs="宋体"/>
          <w:color w:val="auto"/>
          <w:highlight w:val="none"/>
        </w:rPr>
        <w:t>质量或者不能诚信履约的，应当要求其在评标现场合理的时间内提供书面说明，必要时提交相关证明材料；供应商不能证明其报价合理性的，磋商小组应当将其作为无效</w:t>
      </w:r>
      <w:r>
        <w:rPr>
          <w:rFonts w:hint="eastAsia" w:ascii="宋体" w:hAnsi="宋体" w:cs="宋体"/>
          <w:color w:val="auto"/>
          <w:highlight w:val="none"/>
          <w:lang w:val="en-US" w:eastAsia="zh-CN"/>
        </w:rPr>
        <w:t>响应</w:t>
      </w:r>
      <w:r>
        <w:rPr>
          <w:rFonts w:hint="eastAsia" w:ascii="宋体" w:hAnsi="宋体" w:cs="宋体"/>
          <w:color w:val="auto"/>
          <w:highlight w:val="none"/>
        </w:rPr>
        <w:t>处理。</w:t>
      </w:r>
    </w:p>
    <w:p w14:paraId="2F697C8F">
      <w:pPr>
        <w:pStyle w:val="23"/>
        <w:spacing w:line="300" w:lineRule="exact"/>
        <w:outlineLvl w:val="9"/>
        <w:rPr>
          <w:rFonts w:hint="eastAsia" w:ascii="宋体" w:hAnsi="宋体" w:cs="宋体"/>
          <w:color w:val="auto"/>
          <w:sz w:val="28"/>
          <w:szCs w:val="28"/>
          <w:highlight w:val="none"/>
        </w:rPr>
      </w:pPr>
      <w:bookmarkStart w:id="155" w:name="_Toc10240"/>
    </w:p>
    <w:p w14:paraId="0E32819F">
      <w:pPr>
        <w:pStyle w:val="23"/>
        <w:spacing w:line="300" w:lineRule="exact"/>
        <w:outlineLvl w:val="9"/>
        <w:rPr>
          <w:rFonts w:hint="eastAsia" w:ascii="宋体" w:hAnsi="宋体" w:cs="宋体"/>
          <w:color w:val="auto"/>
          <w:sz w:val="28"/>
          <w:szCs w:val="28"/>
          <w:highlight w:val="none"/>
        </w:rPr>
      </w:pPr>
      <w:r>
        <w:rPr>
          <w:rFonts w:hint="eastAsia" w:ascii="宋体" w:hAnsi="宋体" w:cs="宋体"/>
          <w:color w:val="auto"/>
          <w:sz w:val="28"/>
          <w:szCs w:val="28"/>
          <w:highlight w:val="none"/>
        </w:rPr>
        <w:br w:type="page"/>
      </w:r>
      <w:r>
        <w:rPr>
          <w:rFonts w:hint="eastAsia" w:ascii="宋体" w:hAnsi="宋体" w:cs="宋体"/>
          <w:color w:val="auto"/>
          <w:sz w:val="28"/>
          <w:szCs w:val="28"/>
          <w:highlight w:val="none"/>
        </w:rPr>
        <w:t>4、</w:t>
      </w:r>
      <w:r>
        <w:rPr>
          <w:rFonts w:hint="eastAsia" w:ascii="宋体" w:hAnsi="宋体" w:cs="宋体"/>
          <w:color w:val="auto"/>
          <w:sz w:val="28"/>
          <w:szCs w:val="28"/>
          <w:highlight w:val="none"/>
          <w:lang w:val="zh-CN"/>
        </w:rPr>
        <w:t>详细评审</w:t>
      </w:r>
      <w:bookmarkEnd w:id="155"/>
    </w:p>
    <w:p w14:paraId="25C65CD9">
      <w:pPr>
        <w:pStyle w:val="23"/>
        <w:spacing w:line="300" w:lineRule="exact"/>
        <w:outlineLvl w:val="9"/>
        <w:rPr>
          <w:rFonts w:hint="eastAsia" w:ascii="宋体" w:hAnsi="宋体" w:cs="宋体"/>
          <w:color w:val="auto"/>
          <w:sz w:val="28"/>
          <w:highlight w:val="none"/>
          <w:lang w:val="zh-CN"/>
        </w:rPr>
      </w:pPr>
      <w:bookmarkStart w:id="156" w:name="_Toc6664"/>
      <w:r>
        <w:rPr>
          <w:rFonts w:hint="eastAsia" w:ascii="宋体" w:hAnsi="宋体" w:cs="宋体"/>
          <w:color w:val="auto"/>
          <w:sz w:val="28"/>
          <w:highlight w:val="none"/>
          <w:lang w:val="zh-CN"/>
        </w:rPr>
        <w:t>评标办法前附表（二）</w:t>
      </w:r>
      <w:bookmarkEnd w:id="156"/>
    </w:p>
    <w:p w14:paraId="6F5D1BDB">
      <w:pPr>
        <w:spacing w:before="316" w:beforeLines="100" w:line="300" w:lineRule="exact"/>
        <w:jc w:val="center"/>
        <w:outlineLvl w:val="9"/>
        <w:rPr>
          <w:rFonts w:hint="eastAsia" w:ascii="宋体" w:hAnsi="宋体" w:cs="宋体"/>
          <w:bCs/>
          <w:color w:val="auto"/>
          <w:sz w:val="24"/>
          <w:szCs w:val="18"/>
          <w:highlight w:val="none"/>
          <w:lang w:val="zh-CN"/>
        </w:rPr>
      </w:pPr>
      <w:r>
        <w:rPr>
          <w:rFonts w:hint="eastAsia" w:ascii="宋体" w:hAnsi="宋体" w:cs="宋体"/>
          <w:bCs/>
          <w:color w:val="auto"/>
          <w:sz w:val="24"/>
          <w:szCs w:val="18"/>
          <w:highlight w:val="none"/>
          <w:lang w:val="zh-CN"/>
        </w:rPr>
        <w:t>分值构成及评分标准</w:t>
      </w:r>
    </w:p>
    <w:tbl>
      <w:tblPr>
        <w:tblStyle w:val="25"/>
        <w:tblW w:w="92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0"/>
        <w:gridCol w:w="2615"/>
        <w:gridCol w:w="5470"/>
      </w:tblGrid>
      <w:tr w14:paraId="11955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755" w:type="dxa"/>
            <w:gridSpan w:val="2"/>
            <w:noWrap w:val="0"/>
            <w:vAlign w:val="center"/>
          </w:tcPr>
          <w:p w14:paraId="3C0A34AD">
            <w:pPr>
              <w:spacing w:line="360" w:lineRule="auto"/>
              <w:jc w:val="center"/>
              <w:rPr>
                <w:rFonts w:ascii="宋体" w:hAnsi="宋体"/>
                <w:color w:val="auto"/>
                <w:kern w:val="0"/>
                <w:szCs w:val="21"/>
                <w:highlight w:val="none"/>
              </w:rPr>
            </w:pPr>
            <w:bookmarkStart w:id="157" w:name="_Toc13652"/>
            <w:r>
              <w:rPr>
                <w:rFonts w:hint="eastAsia" w:ascii="宋体" w:hAnsi="宋体"/>
                <w:color w:val="auto"/>
                <w:kern w:val="0"/>
                <w:szCs w:val="21"/>
                <w:highlight w:val="none"/>
              </w:rPr>
              <w:t>分值构成</w:t>
            </w:r>
          </w:p>
          <w:p w14:paraId="7B92B44D">
            <w:pPr>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（总分100分）</w:t>
            </w:r>
          </w:p>
        </w:tc>
        <w:tc>
          <w:tcPr>
            <w:tcW w:w="5470" w:type="dxa"/>
            <w:noWrap w:val="0"/>
            <w:vAlign w:val="center"/>
          </w:tcPr>
          <w:p w14:paraId="75515613">
            <w:pPr>
              <w:spacing w:line="360" w:lineRule="auto"/>
              <w:rPr>
                <w:rFonts w:ascii="宋体" w:hAnsi="宋体"/>
                <w:color w:val="auto"/>
                <w:kern w:val="0"/>
                <w:szCs w:val="21"/>
                <w:highlight w:val="none"/>
              </w:rPr>
            </w:pPr>
            <w:r>
              <w:rPr>
                <w:rFonts w:hint="eastAsia" w:ascii="宋体" w:hAnsi="宋体"/>
                <w:color w:val="auto"/>
                <w:kern w:val="0"/>
                <w:szCs w:val="21"/>
                <w:highlight w:val="none"/>
              </w:rPr>
              <w:t>报价部分：</w:t>
            </w:r>
            <w:r>
              <w:rPr>
                <w:rFonts w:hint="eastAsia" w:ascii="宋体" w:hAnsi="宋体"/>
                <w:color w:val="auto"/>
                <w:kern w:val="0"/>
                <w:szCs w:val="21"/>
                <w:highlight w:val="none"/>
                <w:lang w:val="en-US" w:eastAsia="zh-CN"/>
              </w:rPr>
              <w:t>10</w:t>
            </w:r>
            <w:r>
              <w:rPr>
                <w:rFonts w:hint="eastAsia" w:ascii="宋体" w:hAnsi="宋体"/>
                <w:color w:val="auto"/>
                <w:kern w:val="0"/>
                <w:szCs w:val="21"/>
                <w:highlight w:val="none"/>
              </w:rPr>
              <w:t>分</w:t>
            </w:r>
          </w:p>
          <w:p w14:paraId="351D7A2A">
            <w:pPr>
              <w:spacing w:line="360" w:lineRule="auto"/>
              <w:rPr>
                <w:rFonts w:ascii="宋体" w:hAnsi="宋体"/>
                <w:color w:val="auto"/>
                <w:kern w:val="0"/>
                <w:szCs w:val="21"/>
                <w:highlight w:val="none"/>
              </w:rPr>
            </w:pPr>
            <w:r>
              <w:rPr>
                <w:rFonts w:hint="eastAsia" w:ascii="宋体" w:hAnsi="宋体"/>
                <w:color w:val="auto"/>
                <w:kern w:val="0"/>
                <w:szCs w:val="21"/>
                <w:highlight w:val="none"/>
                <w:lang w:val="en-US" w:eastAsia="zh-CN"/>
              </w:rPr>
              <w:t>技术部分</w:t>
            </w: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72</w:t>
            </w:r>
            <w:r>
              <w:rPr>
                <w:rFonts w:hint="eastAsia" w:ascii="宋体" w:hAnsi="宋体"/>
                <w:color w:val="auto"/>
                <w:kern w:val="0"/>
                <w:szCs w:val="21"/>
                <w:highlight w:val="none"/>
              </w:rPr>
              <w:t>分</w:t>
            </w:r>
          </w:p>
          <w:p w14:paraId="1243E9F1">
            <w:pPr>
              <w:spacing w:line="360" w:lineRule="auto"/>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rPr>
              <w:t>商务部分：</w:t>
            </w:r>
            <w:r>
              <w:rPr>
                <w:rFonts w:hint="eastAsia" w:ascii="宋体" w:hAnsi="宋体"/>
                <w:color w:val="auto"/>
                <w:kern w:val="0"/>
                <w:szCs w:val="21"/>
                <w:highlight w:val="none"/>
                <w:lang w:val="en-US" w:eastAsia="zh-CN"/>
              </w:rPr>
              <w:t>18</w:t>
            </w:r>
            <w:r>
              <w:rPr>
                <w:rFonts w:hint="eastAsia" w:ascii="宋体" w:hAnsi="宋体"/>
                <w:color w:val="auto"/>
                <w:kern w:val="0"/>
                <w:szCs w:val="21"/>
                <w:highlight w:val="none"/>
              </w:rPr>
              <w:t>分</w:t>
            </w:r>
          </w:p>
        </w:tc>
      </w:tr>
      <w:tr w14:paraId="1F7B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140" w:type="dxa"/>
            <w:noWrap w:val="0"/>
            <w:vAlign w:val="center"/>
          </w:tcPr>
          <w:p w14:paraId="5A9A680A">
            <w:pPr>
              <w:spacing w:line="360" w:lineRule="auto"/>
              <w:jc w:val="center"/>
              <w:rPr>
                <w:rFonts w:hint="eastAsia" w:ascii="宋体" w:hAnsi="宋体"/>
                <w:color w:val="auto"/>
                <w:kern w:val="0"/>
                <w:szCs w:val="21"/>
                <w:highlight w:val="none"/>
                <w:lang w:val="en-US" w:eastAsia="zh-CN"/>
              </w:rPr>
            </w:pPr>
            <w:r>
              <w:rPr>
                <w:rFonts w:hint="eastAsia" w:ascii="宋体" w:hAnsi="宋体"/>
                <w:color w:val="auto"/>
                <w:kern w:val="0"/>
                <w:szCs w:val="21"/>
                <w:highlight w:val="none"/>
                <w:lang w:val="en-US" w:eastAsia="zh-CN"/>
              </w:rPr>
              <w:t>评审项目</w:t>
            </w:r>
          </w:p>
        </w:tc>
        <w:tc>
          <w:tcPr>
            <w:tcW w:w="2615" w:type="dxa"/>
            <w:noWrap w:val="0"/>
            <w:vAlign w:val="center"/>
          </w:tcPr>
          <w:p w14:paraId="62942374">
            <w:pPr>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评分因素</w:t>
            </w:r>
          </w:p>
        </w:tc>
        <w:tc>
          <w:tcPr>
            <w:tcW w:w="5470" w:type="dxa"/>
            <w:noWrap w:val="0"/>
            <w:vAlign w:val="center"/>
          </w:tcPr>
          <w:p w14:paraId="24B675DA">
            <w:pPr>
              <w:spacing w:line="360" w:lineRule="auto"/>
              <w:jc w:val="center"/>
              <w:rPr>
                <w:rFonts w:ascii="宋体" w:hAnsi="宋体"/>
                <w:color w:val="auto"/>
                <w:kern w:val="0"/>
                <w:szCs w:val="21"/>
                <w:highlight w:val="none"/>
              </w:rPr>
            </w:pPr>
            <w:r>
              <w:rPr>
                <w:rFonts w:hint="eastAsia" w:ascii="宋体" w:hAnsi="宋体"/>
                <w:color w:val="auto"/>
                <w:kern w:val="0"/>
                <w:szCs w:val="21"/>
                <w:highlight w:val="none"/>
              </w:rPr>
              <w:t>评分标准</w:t>
            </w:r>
          </w:p>
        </w:tc>
      </w:tr>
      <w:tr w14:paraId="0AD50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jc w:val="center"/>
        </w:trPr>
        <w:tc>
          <w:tcPr>
            <w:tcW w:w="1140" w:type="dxa"/>
            <w:noWrap w:val="0"/>
            <w:vAlign w:val="center"/>
          </w:tcPr>
          <w:p w14:paraId="79BFF474">
            <w:pPr>
              <w:pStyle w:val="31"/>
              <w:spacing w:line="360" w:lineRule="auto"/>
              <w:jc w:val="center"/>
              <w:rPr>
                <w:rFonts w:hint="eastAsia" w:hAnsi="宋体"/>
                <w:color w:val="auto"/>
                <w:sz w:val="21"/>
                <w:szCs w:val="21"/>
                <w:highlight w:val="none"/>
              </w:rPr>
            </w:pPr>
            <w:r>
              <w:rPr>
                <w:rFonts w:hint="eastAsia" w:hAnsi="宋体"/>
                <w:color w:val="auto"/>
                <w:kern w:val="2"/>
                <w:sz w:val="21"/>
                <w:szCs w:val="21"/>
                <w:highlight w:val="none"/>
              </w:rPr>
              <w:t>报价部分（</w:t>
            </w:r>
            <w:r>
              <w:rPr>
                <w:rFonts w:hint="eastAsia" w:hAnsi="宋体"/>
                <w:color w:val="auto"/>
                <w:kern w:val="2"/>
                <w:sz w:val="21"/>
                <w:szCs w:val="21"/>
                <w:highlight w:val="none"/>
                <w:lang w:val="en-US" w:eastAsia="zh-CN"/>
              </w:rPr>
              <w:t>10</w:t>
            </w:r>
            <w:r>
              <w:rPr>
                <w:rFonts w:hint="eastAsia" w:hAnsi="宋体"/>
                <w:color w:val="auto"/>
                <w:kern w:val="2"/>
                <w:sz w:val="21"/>
                <w:szCs w:val="21"/>
                <w:highlight w:val="none"/>
              </w:rPr>
              <w:t>分）</w:t>
            </w:r>
          </w:p>
        </w:tc>
        <w:tc>
          <w:tcPr>
            <w:tcW w:w="2615" w:type="dxa"/>
            <w:noWrap w:val="0"/>
            <w:vAlign w:val="center"/>
          </w:tcPr>
          <w:p w14:paraId="6BC9F1D1">
            <w:pPr>
              <w:spacing w:line="360" w:lineRule="auto"/>
              <w:jc w:val="center"/>
              <w:rPr>
                <w:rFonts w:hint="eastAsia" w:ascii="宋体" w:hAnsi="宋体"/>
                <w:color w:val="auto"/>
                <w:szCs w:val="21"/>
                <w:highlight w:val="none"/>
              </w:rPr>
            </w:pPr>
            <w:r>
              <w:rPr>
                <w:rFonts w:hint="eastAsia" w:ascii="宋体" w:hAnsi="宋体"/>
                <w:color w:val="auto"/>
                <w:szCs w:val="21"/>
                <w:highlight w:val="none"/>
                <w:lang w:val="en-US" w:eastAsia="zh-CN"/>
              </w:rPr>
              <w:t>磋商</w:t>
            </w:r>
            <w:r>
              <w:rPr>
                <w:rFonts w:hint="eastAsia" w:ascii="宋体" w:hAnsi="宋体"/>
                <w:color w:val="auto"/>
                <w:szCs w:val="21"/>
                <w:highlight w:val="none"/>
              </w:rPr>
              <w:t>报价</w:t>
            </w:r>
          </w:p>
          <w:p w14:paraId="7816B9D6">
            <w:pPr>
              <w:spacing w:line="360" w:lineRule="auto"/>
              <w:jc w:val="center"/>
              <w:rPr>
                <w:rFonts w:hint="eastAsia" w:ascii="宋体" w:hAnsi="宋体" w:cs="宋体"/>
                <w:color w:val="auto"/>
                <w:kern w:val="0"/>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c>
          <w:tcPr>
            <w:tcW w:w="5470" w:type="dxa"/>
            <w:noWrap w:val="0"/>
            <w:vAlign w:val="center"/>
          </w:tcPr>
          <w:p w14:paraId="7DBEBF6A">
            <w:pPr>
              <w:numPr>
                <w:ilvl w:val="0"/>
                <w:numId w:val="0"/>
              </w:numPr>
              <w:spacing w:line="360" w:lineRule="auto"/>
              <w:rPr>
                <w:rFonts w:hint="eastAsia" w:ascii="宋体" w:hAnsi="宋体" w:eastAsia="宋体" w:cs="宋体"/>
                <w:sz w:val="21"/>
                <w:szCs w:val="21"/>
                <w:highlight w:val="none"/>
              </w:rPr>
            </w:pPr>
            <w:r>
              <w:rPr>
                <w:rFonts w:hint="eastAsia" w:ascii="宋体" w:hAnsi="宋体"/>
                <w:color w:val="auto"/>
                <w:highlight w:val="none"/>
              </w:rPr>
              <w:t>满足</w:t>
            </w:r>
            <w:r>
              <w:rPr>
                <w:rFonts w:hint="eastAsia" w:ascii="宋体" w:hAnsi="宋体"/>
                <w:color w:val="auto"/>
                <w:highlight w:val="none"/>
                <w:lang w:val="en-US" w:eastAsia="zh-CN"/>
              </w:rPr>
              <w:t>磋商</w:t>
            </w:r>
            <w:r>
              <w:rPr>
                <w:rFonts w:hint="eastAsia" w:ascii="宋体" w:hAnsi="宋体"/>
                <w:color w:val="auto"/>
                <w:highlight w:val="none"/>
              </w:rPr>
              <w:t>文件要求且</w:t>
            </w:r>
            <w:r>
              <w:rPr>
                <w:rFonts w:hint="eastAsia" w:ascii="宋体" w:hAnsi="宋体"/>
                <w:color w:val="auto"/>
                <w:highlight w:val="none"/>
                <w:lang w:val="en-US" w:eastAsia="zh-CN"/>
              </w:rPr>
              <w:t>最后报价</w:t>
            </w:r>
            <w:r>
              <w:rPr>
                <w:rFonts w:hint="eastAsia" w:ascii="宋体" w:hAnsi="宋体"/>
                <w:color w:val="auto"/>
                <w:highlight w:val="none"/>
              </w:rPr>
              <w:t>最低的报价为评标基准价，其价格分为满分。其他</w:t>
            </w:r>
            <w:r>
              <w:rPr>
                <w:rFonts w:hint="eastAsia" w:ascii="宋体" w:hAnsi="宋体"/>
                <w:color w:val="auto"/>
                <w:highlight w:val="none"/>
                <w:lang w:val="en-US" w:eastAsia="zh-CN"/>
              </w:rPr>
              <w:t>供应商</w:t>
            </w:r>
            <w:r>
              <w:rPr>
                <w:rFonts w:hint="eastAsia" w:ascii="宋体" w:hAnsi="宋体"/>
                <w:color w:val="auto"/>
                <w:highlight w:val="none"/>
              </w:rPr>
              <w:t>的价格分统一按照下列公式计算：</w:t>
            </w:r>
            <w:r>
              <w:rPr>
                <w:rFonts w:hint="eastAsia" w:ascii="宋体" w:hAnsi="宋体"/>
                <w:color w:val="auto"/>
                <w:highlight w:val="none"/>
                <w:lang w:val="en-US" w:eastAsia="zh-CN"/>
              </w:rPr>
              <w:t>磋商</w:t>
            </w:r>
            <w:r>
              <w:rPr>
                <w:rFonts w:hint="eastAsia" w:ascii="宋体" w:hAnsi="宋体"/>
                <w:color w:val="auto"/>
                <w:highlight w:val="none"/>
              </w:rPr>
              <w:t>报价得分=(评标基准价／</w:t>
            </w:r>
            <w:r>
              <w:rPr>
                <w:rFonts w:hint="eastAsia" w:ascii="宋体" w:hAnsi="宋体"/>
                <w:color w:val="auto"/>
                <w:highlight w:val="none"/>
                <w:lang w:val="en-US" w:eastAsia="zh-CN"/>
              </w:rPr>
              <w:t>最后报价</w:t>
            </w:r>
            <w:r>
              <w:rPr>
                <w:rFonts w:hint="eastAsia" w:ascii="宋体" w:hAnsi="宋体"/>
                <w:color w:val="auto"/>
                <w:highlight w:val="none"/>
              </w:rPr>
              <w:t>)</w:t>
            </w:r>
            <w:r>
              <w:rPr>
                <w:rFonts w:hint="eastAsia" w:ascii="宋体" w:hAnsi="宋体" w:eastAsia="宋体" w:cs="宋体"/>
                <w:sz w:val="21"/>
                <w:szCs w:val="21"/>
                <w:highlight w:val="none"/>
              </w:rPr>
              <w:t>×价格权值</w:t>
            </w:r>
            <w:r>
              <w:rPr>
                <w:rFonts w:hint="eastAsia" w:ascii="宋体" w:hAnsi="宋体" w:cs="宋体"/>
                <w:sz w:val="21"/>
                <w:szCs w:val="21"/>
                <w:highlight w:val="none"/>
                <w:lang w:val="en-US" w:eastAsia="zh-CN"/>
              </w:rPr>
              <w:t>1</w:t>
            </w:r>
            <w:r>
              <w:rPr>
                <w:rFonts w:hint="eastAsia" w:ascii="宋体" w:hAnsi="宋体" w:eastAsia="宋体" w:cs="宋体"/>
                <w:sz w:val="21"/>
                <w:szCs w:val="21"/>
                <w:highlight w:val="none"/>
              </w:rPr>
              <w:t>0%×100</w:t>
            </w:r>
          </w:p>
          <w:p w14:paraId="041E72D9">
            <w:pPr>
              <w:pStyle w:val="32"/>
              <w:numPr>
                <w:ilvl w:val="0"/>
                <w:numId w:val="0"/>
              </w:numPr>
              <w:spacing w:line="360" w:lineRule="auto"/>
              <w:rPr>
                <w:rFonts w:hint="eastAsia" w:ascii="宋体" w:hAnsi="宋体"/>
                <w:bCs/>
                <w:color w:val="auto"/>
                <w:szCs w:val="21"/>
                <w:highlight w:val="none"/>
              </w:rPr>
            </w:pPr>
            <w:r>
              <w:rPr>
                <w:rFonts w:hint="eastAsia" w:ascii="宋体" w:hAnsi="宋体" w:eastAsia="宋体" w:cs="宋体"/>
                <w:color w:val="auto"/>
                <w:sz w:val="21"/>
                <w:szCs w:val="21"/>
                <w:highlight w:val="none"/>
              </w:rPr>
              <w:t>注：</w:t>
            </w:r>
            <w:r>
              <w:rPr>
                <w:rFonts w:hint="eastAsia" w:ascii="宋体" w:hAnsi="宋体" w:eastAsia="宋体" w:cs="宋体"/>
                <w:kern w:val="2"/>
                <w:sz w:val="21"/>
                <w:szCs w:val="21"/>
                <w:highlight w:val="none"/>
                <w:lang w:val="en-US" w:eastAsia="zh-CN" w:bidi="ar-SA"/>
              </w:rPr>
              <w:t>异常低价投标（响应）审查程序详见供应商须知前附表10.8项的规定。</w:t>
            </w:r>
          </w:p>
        </w:tc>
      </w:tr>
      <w:tr w14:paraId="595FB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140" w:type="dxa"/>
            <w:vMerge w:val="restart"/>
            <w:noWrap w:val="0"/>
            <w:vAlign w:val="center"/>
          </w:tcPr>
          <w:p w14:paraId="53324685">
            <w:pPr>
              <w:pStyle w:val="31"/>
              <w:spacing w:line="360" w:lineRule="auto"/>
              <w:jc w:val="cente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val="en-US" w:eastAsia="zh-CN"/>
              </w:rPr>
              <w:t>技术部分</w:t>
            </w:r>
            <w:r>
              <w:rPr>
                <w:rFonts w:hint="eastAsia" w:ascii="宋体" w:hAnsi="宋体" w:eastAsia="宋体" w:cs="宋体"/>
                <w:b/>
                <w:color w:val="auto"/>
                <w:sz w:val="21"/>
                <w:szCs w:val="21"/>
                <w:highlight w:val="none"/>
                <w:lang w:val="en-US" w:eastAsia="zh-CN"/>
              </w:rPr>
              <w:t>(暗标)</w:t>
            </w:r>
            <w:r>
              <w:rPr>
                <w:rFonts w:hint="eastAsia" w:ascii="宋体" w:hAnsi="宋体" w:eastAsia="宋体" w:cs="宋体"/>
                <w:color w:val="auto"/>
                <w:kern w:val="2"/>
                <w:sz w:val="21"/>
                <w:szCs w:val="21"/>
                <w:highlight w:val="none"/>
              </w:rPr>
              <w:t>（</w:t>
            </w:r>
            <w:r>
              <w:rPr>
                <w:rFonts w:hint="eastAsia" w:hAnsi="宋体" w:cs="宋体"/>
                <w:color w:val="auto"/>
                <w:kern w:val="2"/>
                <w:sz w:val="21"/>
                <w:szCs w:val="21"/>
                <w:highlight w:val="none"/>
                <w:lang w:val="en-US" w:eastAsia="zh-CN"/>
              </w:rPr>
              <w:t>72</w:t>
            </w:r>
            <w:r>
              <w:rPr>
                <w:rFonts w:hint="eastAsia" w:ascii="宋体" w:hAnsi="宋体" w:eastAsia="宋体" w:cs="宋体"/>
                <w:color w:val="auto"/>
                <w:kern w:val="2"/>
                <w:sz w:val="21"/>
                <w:szCs w:val="21"/>
                <w:highlight w:val="none"/>
              </w:rPr>
              <w:t>分）</w:t>
            </w:r>
          </w:p>
        </w:tc>
        <w:tc>
          <w:tcPr>
            <w:tcW w:w="2615" w:type="dxa"/>
            <w:noWrap w:val="0"/>
            <w:vAlign w:val="center"/>
          </w:tcPr>
          <w:p w14:paraId="3B6D550C">
            <w:pPr>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总体服务方案</w:t>
            </w:r>
          </w:p>
          <w:p w14:paraId="57387861">
            <w:pPr>
              <w:spacing w:line="360" w:lineRule="auto"/>
              <w:jc w:val="center"/>
              <w:rPr>
                <w:rFonts w:hint="eastAsia" w:ascii="宋体" w:hAnsi="宋体" w:eastAsia="宋体" w:cs="Times New Roman"/>
                <w:color w:val="auto"/>
                <w:highlight w:val="none"/>
                <w:lang w:eastAsia="zh-CN"/>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24</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val="zh-CN"/>
              </w:rPr>
              <w:t>）</w:t>
            </w:r>
          </w:p>
        </w:tc>
        <w:tc>
          <w:tcPr>
            <w:tcW w:w="5470" w:type="dxa"/>
            <w:noWrap w:val="0"/>
            <w:vAlign w:val="center"/>
          </w:tcPr>
          <w:p w14:paraId="323FC662">
            <w:pPr>
              <w:numPr>
                <w:ilvl w:val="0"/>
                <w:numId w:val="0"/>
              </w:numPr>
              <w:spacing w:line="360" w:lineRule="auto"/>
              <w:rPr>
                <w:rFonts w:hint="eastAsia" w:ascii="宋体" w:hAnsi="宋体" w:eastAsia="宋体" w:cs="Times New Roman"/>
                <w:color w:val="auto"/>
                <w:highlight w:val="none"/>
                <w:lang w:val="zh-CN"/>
              </w:rPr>
            </w:pPr>
            <w:r>
              <w:rPr>
                <w:rFonts w:hint="eastAsia" w:ascii="宋体" w:hAnsi="宋体" w:eastAsia="宋体" w:cs="Times New Roman"/>
                <w:color w:val="auto"/>
                <w:highlight w:val="none"/>
                <w:lang w:val="zh-CN"/>
              </w:rPr>
              <w:t>对</w:t>
            </w:r>
            <w:r>
              <w:rPr>
                <w:rFonts w:hint="eastAsia" w:ascii="宋体" w:hAnsi="宋体" w:eastAsia="宋体" w:cs="Times New Roman"/>
                <w:color w:val="auto"/>
                <w:highlight w:val="none"/>
                <w:lang w:val="en-US" w:eastAsia="zh-CN"/>
              </w:rPr>
              <w:t>供应商</w:t>
            </w:r>
            <w:r>
              <w:rPr>
                <w:rFonts w:hint="eastAsia" w:ascii="宋体" w:hAnsi="宋体" w:eastAsia="宋体" w:cs="Times New Roman"/>
                <w:color w:val="auto"/>
                <w:highlight w:val="none"/>
                <w:lang w:val="zh-CN"/>
              </w:rPr>
              <w:t>提供的总体维保服务方案进行评分，包括但不限于：</w:t>
            </w:r>
          </w:p>
          <w:p w14:paraId="4A915C3A">
            <w:pPr>
              <w:numPr>
                <w:ilvl w:val="0"/>
                <w:numId w:val="0"/>
              </w:numPr>
              <w:spacing w:line="360" w:lineRule="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1.到达故障现场时间响应时间；</w:t>
            </w:r>
          </w:p>
          <w:p w14:paraId="3C582F6D">
            <w:pPr>
              <w:numPr>
                <w:ilvl w:val="0"/>
                <w:numId w:val="0"/>
              </w:numPr>
              <w:spacing w:line="360" w:lineRule="auto"/>
              <w:rPr>
                <w:rFonts w:hint="eastAsia" w:ascii="宋体" w:hAnsi="宋体" w:eastAsia="宋体" w:cs="Times New Roman"/>
                <w:color w:val="auto"/>
                <w:highlight w:val="none"/>
                <w:lang w:val="zh-CN"/>
              </w:rPr>
            </w:pPr>
            <w:r>
              <w:rPr>
                <w:rFonts w:hint="eastAsia" w:ascii="宋体" w:hAnsi="宋体" w:eastAsia="宋体" w:cs="Times New Roman"/>
                <w:color w:val="auto"/>
                <w:highlight w:val="none"/>
                <w:lang w:val="zh-CN"/>
              </w:rPr>
              <w:t>2.</w:t>
            </w:r>
            <w:r>
              <w:rPr>
                <w:rFonts w:hint="eastAsia" w:ascii="宋体" w:hAnsi="宋体" w:eastAsia="宋体" w:cs="Times New Roman"/>
                <w:color w:val="auto"/>
                <w:highlight w:val="none"/>
                <w:lang w:val="en-US" w:eastAsia="zh-CN"/>
              </w:rPr>
              <w:t>日常保养</w:t>
            </w:r>
            <w:r>
              <w:rPr>
                <w:rFonts w:hint="eastAsia" w:ascii="宋体" w:hAnsi="宋体" w:eastAsia="宋体" w:cs="Times New Roman"/>
                <w:color w:val="auto"/>
                <w:highlight w:val="none"/>
                <w:lang w:val="zh-CN"/>
              </w:rPr>
              <w:t>；</w:t>
            </w:r>
          </w:p>
          <w:p w14:paraId="7FB2545B">
            <w:pPr>
              <w:numPr>
                <w:ilvl w:val="0"/>
                <w:numId w:val="0"/>
              </w:numPr>
              <w:spacing w:line="360" w:lineRule="auto"/>
              <w:rPr>
                <w:rFonts w:hint="eastAsia" w:ascii="宋体" w:hAnsi="宋体" w:eastAsia="宋体" w:cs="Times New Roman"/>
                <w:color w:val="auto"/>
                <w:highlight w:val="none"/>
                <w:lang w:val="zh-CN"/>
              </w:rPr>
            </w:pPr>
            <w:r>
              <w:rPr>
                <w:rFonts w:hint="eastAsia" w:ascii="宋体" w:hAnsi="宋体" w:eastAsia="宋体" w:cs="Times New Roman"/>
                <w:color w:val="auto"/>
                <w:highlight w:val="none"/>
                <w:lang w:val="zh-CN"/>
              </w:rPr>
              <w:t>3.</w:t>
            </w:r>
            <w:r>
              <w:rPr>
                <w:rFonts w:hint="eastAsia" w:ascii="宋体" w:hAnsi="宋体" w:eastAsia="宋体" w:cs="Times New Roman"/>
                <w:color w:val="auto"/>
                <w:highlight w:val="none"/>
                <w:lang w:val="en-US" w:eastAsia="zh-CN"/>
              </w:rPr>
              <w:t>应急保障方案</w:t>
            </w:r>
            <w:r>
              <w:rPr>
                <w:rFonts w:hint="eastAsia" w:ascii="宋体" w:hAnsi="宋体" w:eastAsia="宋体" w:cs="Times New Roman"/>
                <w:color w:val="auto"/>
                <w:highlight w:val="none"/>
                <w:lang w:val="zh-CN"/>
              </w:rPr>
              <w:t>；</w:t>
            </w:r>
          </w:p>
          <w:p w14:paraId="70DF1228">
            <w:pPr>
              <w:numPr>
                <w:ilvl w:val="0"/>
                <w:numId w:val="0"/>
              </w:numPr>
              <w:spacing w:line="360" w:lineRule="auto"/>
              <w:rPr>
                <w:rFonts w:hint="eastAsia" w:ascii="宋体" w:hAnsi="宋体" w:eastAsia="宋体" w:cs="Times New Roman"/>
                <w:color w:val="auto"/>
                <w:highlight w:val="none"/>
                <w:lang w:val="zh-CN"/>
              </w:rPr>
            </w:pPr>
            <w:r>
              <w:rPr>
                <w:rFonts w:hint="eastAsia" w:ascii="宋体" w:hAnsi="宋体" w:eastAsia="宋体" w:cs="Times New Roman"/>
                <w:color w:val="auto"/>
                <w:highlight w:val="none"/>
                <w:lang w:val="zh-CN"/>
              </w:rPr>
              <w:t>4.</w:t>
            </w:r>
            <w:r>
              <w:rPr>
                <w:rFonts w:hint="eastAsia" w:ascii="宋体" w:hAnsi="宋体" w:eastAsia="宋体" w:cs="Times New Roman"/>
                <w:color w:val="auto"/>
                <w:highlight w:val="none"/>
                <w:lang w:val="en-US" w:eastAsia="zh-CN"/>
              </w:rPr>
              <w:t>服务质量保证措施</w:t>
            </w:r>
            <w:r>
              <w:rPr>
                <w:rFonts w:hint="eastAsia" w:ascii="宋体" w:hAnsi="宋体" w:eastAsia="宋体" w:cs="Times New Roman"/>
                <w:color w:val="auto"/>
                <w:highlight w:val="none"/>
                <w:lang w:val="zh-CN"/>
              </w:rPr>
              <w:t>；</w:t>
            </w:r>
          </w:p>
          <w:p w14:paraId="069B8091">
            <w:pPr>
              <w:numPr>
                <w:ilvl w:val="0"/>
                <w:numId w:val="0"/>
              </w:numPr>
              <w:spacing w:line="360" w:lineRule="auto"/>
              <w:rPr>
                <w:rFonts w:hint="eastAsia" w:ascii="仿宋_GB2312" w:hAnsi="仿宋" w:eastAsia="仿宋_GB2312"/>
                <w:szCs w:val="21"/>
                <w:highlight w:val="none"/>
                <w:lang w:val="en-US" w:eastAsia="zh-CN"/>
              </w:rPr>
            </w:pPr>
            <w:r>
              <w:rPr>
                <w:rFonts w:hint="eastAsia" w:ascii="宋体" w:hAnsi="宋体" w:eastAsia="宋体" w:cs="Times New Roman"/>
                <w:color w:val="auto"/>
                <w:highlight w:val="none"/>
                <w:lang w:val="zh-CN"/>
              </w:rPr>
              <w:t>以上</w:t>
            </w:r>
            <w:r>
              <w:rPr>
                <w:rFonts w:hint="eastAsia" w:ascii="宋体" w:hAnsi="宋体" w:eastAsia="宋体" w:cs="Times New Roman"/>
                <w:color w:val="auto"/>
                <w:highlight w:val="none"/>
                <w:lang w:val="en-US" w:eastAsia="zh-CN"/>
              </w:rPr>
              <w:t>4</w:t>
            </w:r>
            <w:r>
              <w:rPr>
                <w:rFonts w:hint="eastAsia" w:ascii="宋体" w:hAnsi="宋体" w:eastAsia="宋体" w:cs="Times New Roman"/>
                <w:color w:val="auto"/>
                <w:highlight w:val="none"/>
                <w:lang w:val="zh-CN"/>
              </w:rPr>
              <w:t>项每提供一小项得</w:t>
            </w:r>
            <w:r>
              <w:rPr>
                <w:rFonts w:hint="eastAsia" w:ascii="宋体" w:hAnsi="宋体" w:cs="Times New Roman"/>
                <w:color w:val="auto"/>
                <w:highlight w:val="none"/>
                <w:lang w:val="en-US" w:eastAsia="zh-CN"/>
              </w:rPr>
              <w:t>6</w:t>
            </w:r>
            <w:r>
              <w:rPr>
                <w:rFonts w:hint="eastAsia" w:ascii="宋体" w:hAnsi="宋体" w:eastAsia="宋体" w:cs="Times New Roman"/>
                <w:color w:val="auto"/>
                <w:highlight w:val="none"/>
                <w:lang w:val="zh-CN"/>
              </w:rPr>
              <w:t>分，本项满分</w:t>
            </w:r>
            <w:r>
              <w:rPr>
                <w:rFonts w:hint="eastAsia" w:ascii="宋体" w:hAnsi="宋体" w:cs="Times New Roman"/>
                <w:color w:val="auto"/>
                <w:highlight w:val="none"/>
                <w:lang w:val="en-US" w:eastAsia="zh-CN"/>
              </w:rPr>
              <w:t>24</w:t>
            </w:r>
            <w:r>
              <w:rPr>
                <w:rFonts w:hint="eastAsia" w:ascii="宋体" w:hAnsi="宋体" w:eastAsia="宋体" w:cs="Times New Roman"/>
                <w:color w:val="auto"/>
                <w:highlight w:val="none"/>
                <w:lang w:val="zh-CN"/>
              </w:rPr>
              <w:t>分。方案中每有一</w:t>
            </w:r>
            <w:r>
              <w:rPr>
                <w:rFonts w:hint="eastAsia" w:ascii="宋体" w:hAnsi="宋体" w:eastAsia="宋体" w:cs="Times New Roman"/>
                <w:color w:val="auto"/>
                <w:highlight w:val="none"/>
                <w:lang w:val="en-US" w:eastAsia="zh-CN"/>
              </w:rPr>
              <w:t>项</w:t>
            </w:r>
            <w:r>
              <w:rPr>
                <w:rFonts w:hint="eastAsia" w:ascii="宋体" w:hAnsi="宋体" w:eastAsia="宋体" w:cs="Times New Roman"/>
                <w:color w:val="auto"/>
                <w:highlight w:val="none"/>
                <w:lang w:val="zh-CN"/>
              </w:rPr>
              <w:t>具有缺陷（缺陷是指：存在不适用性、凭空编造、内容前后不一致、文不对题、前后逻辑错误、内容缺失有瑕疵、无具体流程细节描述之处等）的扣</w:t>
            </w:r>
            <w:r>
              <w:rPr>
                <w:rFonts w:hint="eastAsia" w:ascii="宋体" w:hAnsi="宋体" w:cs="Times New Roman"/>
                <w:color w:val="auto"/>
                <w:highlight w:val="none"/>
                <w:lang w:val="en-US" w:eastAsia="zh-CN"/>
              </w:rPr>
              <w:t>3</w:t>
            </w:r>
            <w:r>
              <w:rPr>
                <w:rFonts w:hint="eastAsia" w:ascii="宋体" w:hAnsi="宋体" w:eastAsia="宋体" w:cs="Times New Roman"/>
                <w:color w:val="auto"/>
                <w:highlight w:val="none"/>
                <w:lang w:val="zh-CN"/>
              </w:rPr>
              <w:t>分，扣完为止，没有不得分。</w:t>
            </w:r>
          </w:p>
        </w:tc>
      </w:tr>
      <w:tr w14:paraId="04EB1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140" w:type="dxa"/>
            <w:vMerge w:val="continue"/>
            <w:noWrap w:val="0"/>
            <w:vAlign w:val="center"/>
          </w:tcPr>
          <w:p w14:paraId="4C6609C2">
            <w:pPr>
              <w:pStyle w:val="31"/>
              <w:spacing w:line="360" w:lineRule="auto"/>
              <w:jc w:val="center"/>
              <w:rPr>
                <w:rFonts w:hint="eastAsia" w:ascii="宋体" w:hAnsi="宋体" w:eastAsia="宋体" w:cs="宋体"/>
                <w:color w:val="auto"/>
                <w:kern w:val="2"/>
                <w:sz w:val="21"/>
                <w:szCs w:val="21"/>
                <w:highlight w:val="none"/>
              </w:rPr>
            </w:pPr>
          </w:p>
        </w:tc>
        <w:tc>
          <w:tcPr>
            <w:tcW w:w="2615" w:type="dxa"/>
            <w:noWrap w:val="0"/>
            <w:vAlign w:val="center"/>
          </w:tcPr>
          <w:p w14:paraId="64F5205D">
            <w:pPr>
              <w:widowControl/>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远程服务方案</w:t>
            </w:r>
          </w:p>
          <w:p w14:paraId="012BDD9C">
            <w:pPr>
              <w:widowControl/>
              <w:adjustRightInd w:val="0"/>
              <w:snapToGrid w:val="0"/>
              <w:spacing w:line="360" w:lineRule="auto"/>
              <w:jc w:val="center"/>
              <w:rPr>
                <w:rFonts w:hint="eastAsia" w:ascii="宋体" w:hAnsi="宋体" w:eastAsia="宋体" w:cs="Times New Roman"/>
                <w:color w:val="auto"/>
                <w:highlight w:val="none"/>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12分</w:t>
            </w:r>
            <w:r>
              <w:rPr>
                <w:rFonts w:hint="eastAsia" w:ascii="宋体" w:hAnsi="宋体" w:eastAsia="宋体" w:cs="宋体"/>
                <w:color w:val="auto"/>
                <w:sz w:val="21"/>
                <w:szCs w:val="21"/>
                <w:highlight w:val="none"/>
                <w:lang w:val="zh-CN"/>
              </w:rPr>
              <w:t>）</w:t>
            </w:r>
          </w:p>
        </w:tc>
        <w:tc>
          <w:tcPr>
            <w:tcW w:w="5470" w:type="dxa"/>
            <w:noWrap w:val="0"/>
            <w:vAlign w:val="center"/>
          </w:tcPr>
          <w:p w14:paraId="59DA1F70">
            <w:pPr>
              <w:numPr>
                <w:ilvl w:val="0"/>
                <w:numId w:val="0"/>
              </w:numPr>
              <w:spacing w:line="360" w:lineRule="auto"/>
              <w:rPr>
                <w:rFonts w:hint="eastAsia" w:ascii="宋体" w:hAnsi="宋体" w:eastAsia="宋体" w:cs="Times New Roman"/>
                <w:color w:val="auto"/>
                <w:highlight w:val="none"/>
                <w:lang w:val="zh-CN"/>
              </w:rPr>
            </w:pPr>
            <w:r>
              <w:rPr>
                <w:rFonts w:hint="eastAsia" w:ascii="宋体" w:hAnsi="宋体" w:eastAsia="宋体" w:cs="Times New Roman"/>
                <w:color w:val="auto"/>
                <w:highlight w:val="none"/>
                <w:lang w:val="zh-CN"/>
              </w:rPr>
              <w:t>对</w:t>
            </w:r>
            <w:r>
              <w:rPr>
                <w:rFonts w:hint="eastAsia" w:ascii="宋体" w:hAnsi="宋体" w:eastAsia="宋体" w:cs="Times New Roman"/>
                <w:color w:val="auto"/>
                <w:highlight w:val="none"/>
                <w:lang w:val="en-US" w:eastAsia="zh-CN"/>
              </w:rPr>
              <w:t>供应商</w:t>
            </w:r>
            <w:r>
              <w:rPr>
                <w:rFonts w:hint="eastAsia" w:ascii="宋体" w:hAnsi="宋体" w:eastAsia="宋体" w:cs="Times New Roman"/>
                <w:color w:val="auto"/>
                <w:highlight w:val="none"/>
                <w:lang w:val="zh-CN"/>
              </w:rPr>
              <w:t>提供的远程服务方案进行评分，包括但不限于：</w:t>
            </w:r>
          </w:p>
          <w:p w14:paraId="78184452">
            <w:pPr>
              <w:numPr>
                <w:ilvl w:val="0"/>
                <w:numId w:val="0"/>
              </w:numPr>
              <w:spacing w:line="360" w:lineRule="auto"/>
              <w:rPr>
                <w:rFonts w:hint="eastAsia" w:ascii="宋体" w:hAnsi="宋体" w:eastAsia="宋体" w:cs="Times New Roman"/>
                <w:color w:val="auto"/>
                <w:highlight w:val="none"/>
                <w:lang w:val="zh-CN" w:eastAsia="zh-CN"/>
              </w:rPr>
            </w:pPr>
            <w:r>
              <w:rPr>
                <w:rFonts w:hint="eastAsia" w:ascii="宋体" w:hAnsi="宋体" w:eastAsia="宋体" w:cs="Times New Roman"/>
                <w:color w:val="auto"/>
                <w:highlight w:val="none"/>
                <w:lang w:val="en-US" w:eastAsia="zh-CN"/>
              </w:rPr>
              <w:t>1</w:t>
            </w:r>
            <w:r>
              <w:rPr>
                <w:rFonts w:hint="eastAsia" w:ascii="宋体" w:hAnsi="宋体" w:eastAsia="宋体" w:cs="Times New Roman"/>
                <w:color w:val="auto"/>
                <w:highlight w:val="none"/>
                <w:lang w:val="zh-CN" w:eastAsia="zh-CN"/>
              </w:rPr>
              <w:t>.远程指导方案；</w:t>
            </w:r>
          </w:p>
          <w:p w14:paraId="64352820">
            <w:pPr>
              <w:numPr>
                <w:ilvl w:val="0"/>
                <w:numId w:val="0"/>
              </w:numPr>
              <w:spacing w:line="360" w:lineRule="auto"/>
              <w:rPr>
                <w:rFonts w:hint="eastAsia" w:ascii="宋体" w:hAnsi="宋体" w:eastAsia="宋体" w:cs="Times New Roman"/>
                <w:color w:val="auto"/>
                <w:highlight w:val="none"/>
                <w:lang w:val="zh-CN" w:eastAsia="zh-CN"/>
              </w:rPr>
            </w:pPr>
            <w:r>
              <w:rPr>
                <w:rFonts w:hint="eastAsia" w:ascii="宋体" w:hAnsi="宋体" w:eastAsia="宋体" w:cs="Times New Roman"/>
                <w:color w:val="auto"/>
                <w:highlight w:val="none"/>
                <w:lang w:val="en-US" w:eastAsia="zh-CN"/>
              </w:rPr>
              <w:t>2</w:t>
            </w:r>
            <w:r>
              <w:rPr>
                <w:rFonts w:hint="eastAsia" w:ascii="宋体" w:hAnsi="宋体" w:eastAsia="宋体" w:cs="Times New Roman"/>
                <w:color w:val="auto"/>
                <w:highlight w:val="none"/>
                <w:lang w:val="zh-CN" w:eastAsia="zh-CN"/>
              </w:rPr>
              <w:t>.远程故障诊断措施；</w:t>
            </w:r>
          </w:p>
          <w:p w14:paraId="55FB1EE1">
            <w:pPr>
              <w:numPr>
                <w:ilvl w:val="0"/>
                <w:numId w:val="0"/>
              </w:numPr>
              <w:spacing w:line="360" w:lineRule="auto"/>
              <w:rPr>
                <w:rFonts w:hint="eastAsia" w:ascii="宋体" w:hAnsi="宋体" w:eastAsia="宋体" w:cs="Times New Roman"/>
                <w:color w:val="auto"/>
                <w:highlight w:val="none"/>
                <w:lang w:val="zh-CN" w:eastAsia="zh-CN"/>
              </w:rPr>
            </w:pPr>
            <w:r>
              <w:rPr>
                <w:rFonts w:hint="eastAsia" w:ascii="宋体" w:hAnsi="宋体" w:eastAsia="宋体" w:cs="Times New Roman"/>
                <w:color w:val="auto"/>
                <w:highlight w:val="none"/>
                <w:lang w:val="en-US" w:eastAsia="zh-CN"/>
              </w:rPr>
              <w:t>3</w:t>
            </w:r>
            <w:r>
              <w:rPr>
                <w:rFonts w:hint="eastAsia" w:ascii="宋体" w:hAnsi="宋体" w:eastAsia="宋体" w:cs="Times New Roman"/>
                <w:color w:val="auto"/>
                <w:highlight w:val="none"/>
                <w:lang w:val="zh-CN" w:eastAsia="zh-CN"/>
              </w:rPr>
              <w:t>.远程服务人员配置；</w:t>
            </w:r>
          </w:p>
          <w:p w14:paraId="21805131">
            <w:pPr>
              <w:numPr>
                <w:ilvl w:val="0"/>
                <w:numId w:val="0"/>
              </w:numPr>
              <w:spacing w:line="360" w:lineRule="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4.远程数据安全保障。</w:t>
            </w:r>
          </w:p>
          <w:p w14:paraId="77A64585">
            <w:pPr>
              <w:numPr>
                <w:ilvl w:val="0"/>
                <w:numId w:val="0"/>
              </w:numPr>
              <w:spacing w:line="360" w:lineRule="auto"/>
              <w:rPr>
                <w:rFonts w:hint="eastAsia" w:ascii="宋体" w:hAnsi="宋体" w:eastAsia="宋体" w:cs="Times New Roman"/>
                <w:color w:val="auto"/>
                <w:highlight w:val="none"/>
              </w:rPr>
            </w:pPr>
            <w:r>
              <w:rPr>
                <w:rFonts w:hint="eastAsia" w:ascii="宋体" w:hAnsi="宋体" w:eastAsia="宋体" w:cs="Times New Roman"/>
                <w:color w:val="auto"/>
                <w:highlight w:val="none"/>
                <w:lang w:val="zh-CN" w:eastAsia="zh-CN"/>
              </w:rPr>
              <w:t>以上</w:t>
            </w:r>
            <w:r>
              <w:rPr>
                <w:rFonts w:hint="eastAsia" w:ascii="宋体" w:hAnsi="宋体" w:eastAsia="宋体" w:cs="Times New Roman"/>
                <w:color w:val="auto"/>
                <w:highlight w:val="none"/>
                <w:lang w:val="en-US" w:eastAsia="zh-CN"/>
              </w:rPr>
              <w:t>4</w:t>
            </w:r>
            <w:r>
              <w:rPr>
                <w:rFonts w:hint="eastAsia" w:ascii="宋体" w:hAnsi="宋体" w:eastAsia="宋体" w:cs="Times New Roman"/>
                <w:color w:val="auto"/>
                <w:highlight w:val="none"/>
                <w:lang w:val="zh-CN" w:eastAsia="zh-CN"/>
              </w:rPr>
              <w:t>项每提供一小项得</w:t>
            </w:r>
            <w:r>
              <w:rPr>
                <w:rFonts w:hint="eastAsia" w:ascii="宋体" w:hAnsi="宋体" w:eastAsia="宋体" w:cs="Times New Roman"/>
                <w:color w:val="auto"/>
                <w:highlight w:val="none"/>
                <w:lang w:val="en-US" w:eastAsia="zh-CN"/>
              </w:rPr>
              <w:t>3</w:t>
            </w:r>
            <w:r>
              <w:rPr>
                <w:rFonts w:hint="eastAsia" w:ascii="宋体" w:hAnsi="宋体" w:eastAsia="宋体" w:cs="Times New Roman"/>
                <w:color w:val="auto"/>
                <w:highlight w:val="none"/>
                <w:lang w:val="zh-CN" w:eastAsia="zh-CN"/>
              </w:rPr>
              <w:t>分，本项满分</w:t>
            </w:r>
            <w:r>
              <w:rPr>
                <w:rFonts w:hint="eastAsia" w:ascii="宋体" w:hAnsi="宋体" w:eastAsia="宋体" w:cs="Times New Roman"/>
                <w:color w:val="auto"/>
                <w:highlight w:val="none"/>
                <w:lang w:val="en-US" w:eastAsia="zh-CN"/>
              </w:rPr>
              <w:t>12</w:t>
            </w:r>
            <w:r>
              <w:rPr>
                <w:rFonts w:hint="eastAsia" w:ascii="宋体" w:hAnsi="宋体" w:eastAsia="宋体" w:cs="Times New Roman"/>
                <w:color w:val="auto"/>
                <w:highlight w:val="none"/>
                <w:lang w:val="zh-CN" w:eastAsia="zh-CN"/>
              </w:rPr>
              <w:t>分。方案中每有一</w:t>
            </w:r>
            <w:r>
              <w:rPr>
                <w:rFonts w:hint="eastAsia" w:ascii="宋体" w:hAnsi="宋体" w:eastAsia="宋体" w:cs="Times New Roman"/>
                <w:color w:val="auto"/>
                <w:highlight w:val="none"/>
                <w:lang w:val="en-US" w:eastAsia="zh-CN"/>
              </w:rPr>
              <w:t>项</w:t>
            </w:r>
            <w:r>
              <w:rPr>
                <w:rFonts w:hint="eastAsia" w:ascii="宋体" w:hAnsi="宋体" w:eastAsia="宋体" w:cs="Times New Roman"/>
                <w:color w:val="auto"/>
                <w:highlight w:val="none"/>
                <w:lang w:val="zh-CN" w:eastAsia="zh-CN"/>
              </w:rPr>
              <w:t>具有缺陷（缺陷是指：存在不适用性、凭空编造、内容前后不一致、文不对题、前后逻辑错误、内容缺失有瑕疵、无具体流程细节描述之处等）的扣</w:t>
            </w:r>
            <w:r>
              <w:rPr>
                <w:rFonts w:hint="eastAsia" w:ascii="宋体" w:hAnsi="宋体" w:eastAsia="宋体" w:cs="Times New Roman"/>
                <w:color w:val="auto"/>
                <w:highlight w:val="none"/>
                <w:lang w:val="en-US" w:eastAsia="zh-CN"/>
              </w:rPr>
              <w:t>1</w:t>
            </w:r>
            <w:r>
              <w:rPr>
                <w:rFonts w:hint="eastAsia" w:ascii="宋体" w:hAnsi="宋体" w:eastAsia="宋体" w:cs="Times New Roman"/>
                <w:color w:val="auto"/>
                <w:highlight w:val="none"/>
                <w:lang w:val="zh-CN" w:eastAsia="zh-CN"/>
              </w:rPr>
              <w:t>分，扣完为止，没有不得分。</w:t>
            </w:r>
          </w:p>
        </w:tc>
      </w:tr>
      <w:tr w14:paraId="2A010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40" w:type="dxa"/>
            <w:vMerge w:val="continue"/>
            <w:noWrap w:val="0"/>
            <w:vAlign w:val="center"/>
          </w:tcPr>
          <w:p w14:paraId="3CF93CD5">
            <w:pPr>
              <w:pStyle w:val="31"/>
              <w:spacing w:line="360" w:lineRule="auto"/>
              <w:jc w:val="center"/>
              <w:rPr>
                <w:rFonts w:hint="eastAsia" w:ascii="宋体" w:hAnsi="宋体" w:eastAsia="宋体" w:cs="宋体"/>
                <w:color w:val="auto"/>
                <w:kern w:val="2"/>
                <w:sz w:val="21"/>
                <w:szCs w:val="21"/>
                <w:highlight w:val="none"/>
              </w:rPr>
            </w:pPr>
          </w:p>
        </w:tc>
        <w:tc>
          <w:tcPr>
            <w:tcW w:w="2615" w:type="dxa"/>
            <w:noWrap w:val="0"/>
            <w:vAlign w:val="center"/>
          </w:tcPr>
          <w:p w14:paraId="3543E3DC">
            <w:pPr>
              <w:widowControl/>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重点难点</w:t>
            </w:r>
            <w:r>
              <w:rPr>
                <w:rFonts w:hint="eastAsia" w:ascii="宋体" w:hAnsi="宋体" w:eastAsia="宋体" w:cs="宋体"/>
                <w:color w:val="auto"/>
                <w:sz w:val="21"/>
                <w:szCs w:val="21"/>
                <w:highlight w:val="none"/>
                <w:lang w:val="zh-CN" w:eastAsia="zh-CN"/>
              </w:rPr>
              <w:t>（及时响应、维修质量、维修效率）</w:t>
            </w:r>
            <w:r>
              <w:rPr>
                <w:rFonts w:hint="eastAsia" w:ascii="宋体" w:hAnsi="宋体" w:eastAsia="宋体" w:cs="宋体"/>
                <w:color w:val="auto"/>
                <w:sz w:val="21"/>
                <w:szCs w:val="21"/>
                <w:highlight w:val="none"/>
                <w:lang w:val="zh-CN"/>
              </w:rPr>
              <w:t>分析</w:t>
            </w:r>
          </w:p>
          <w:p w14:paraId="1AC255EC">
            <w:pPr>
              <w:widowControl/>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12分</w:t>
            </w:r>
            <w:r>
              <w:rPr>
                <w:rFonts w:hint="eastAsia" w:ascii="宋体" w:hAnsi="宋体" w:eastAsia="宋体" w:cs="宋体"/>
                <w:color w:val="auto"/>
                <w:sz w:val="21"/>
                <w:szCs w:val="21"/>
                <w:highlight w:val="none"/>
                <w:lang w:val="zh-CN"/>
              </w:rPr>
              <w:t>）</w:t>
            </w:r>
          </w:p>
        </w:tc>
        <w:tc>
          <w:tcPr>
            <w:tcW w:w="5470" w:type="dxa"/>
            <w:noWrap w:val="0"/>
            <w:vAlign w:val="center"/>
          </w:tcPr>
          <w:p w14:paraId="06C65182">
            <w:pPr>
              <w:numPr>
                <w:ilvl w:val="0"/>
                <w:numId w:val="0"/>
              </w:numPr>
              <w:spacing w:line="360" w:lineRule="auto"/>
              <w:rPr>
                <w:rFonts w:hint="eastAsia" w:ascii="宋体" w:hAnsi="宋体" w:eastAsia="宋体" w:cs="Times New Roman"/>
                <w:color w:val="auto"/>
                <w:highlight w:val="none"/>
                <w:lang w:val="zh-CN"/>
              </w:rPr>
            </w:pPr>
            <w:r>
              <w:rPr>
                <w:rFonts w:hint="eastAsia" w:ascii="宋体" w:hAnsi="宋体" w:eastAsia="宋体" w:cs="Times New Roman"/>
                <w:color w:val="auto"/>
                <w:highlight w:val="none"/>
                <w:lang w:val="zh-CN"/>
              </w:rPr>
              <w:t>对</w:t>
            </w:r>
            <w:r>
              <w:rPr>
                <w:rFonts w:hint="eastAsia" w:ascii="宋体" w:hAnsi="宋体" w:eastAsia="宋体" w:cs="Times New Roman"/>
                <w:color w:val="auto"/>
                <w:highlight w:val="none"/>
                <w:lang w:val="en-US" w:eastAsia="zh-CN"/>
              </w:rPr>
              <w:t>供应商</w:t>
            </w:r>
            <w:r>
              <w:rPr>
                <w:rFonts w:hint="eastAsia" w:ascii="宋体" w:hAnsi="宋体" w:eastAsia="宋体" w:cs="Times New Roman"/>
                <w:color w:val="auto"/>
                <w:highlight w:val="none"/>
                <w:lang w:val="zh-CN"/>
              </w:rPr>
              <w:t>提供的重点难点分析进行评分，包括但不限于：</w:t>
            </w:r>
          </w:p>
          <w:p w14:paraId="3C288CAF">
            <w:pPr>
              <w:numPr>
                <w:ilvl w:val="0"/>
                <w:numId w:val="0"/>
              </w:numPr>
              <w:spacing w:line="360" w:lineRule="auto"/>
              <w:rPr>
                <w:rFonts w:hint="eastAsia" w:ascii="宋体" w:hAnsi="宋体" w:eastAsia="宋体" w:cs="Times New Roman"/>
                <w:color w:val="auto"/>
                <w:highlight w:val="none"/>
                <w:lang w:val="zh-CN"/>
              </w:rPr>
            </w:pPr>
            <w:r>
              <w:rPr>
                <w:rFonts w:hint="eastAsia" w:ascii="宋体" w:hAnsi="宋体" w:eastAsia="宋体" w:cs="Times New Roman"/>
                <w:color w:val="auto"/>
                <w:highlight w:val="none"/>
                <w:lang w:val="en-US" w:eastAsia="zh-CN"/>
              </w:rPr>
              <w:t>1.</w:t>
            </w:r>
            <w:r>
              <w:rPr>
                <w:rFonts w:hint="eastAsia" w:ascii="宋体" w:hAnsi="宋体" w:eastAsia="宋体" w:cs="Times New Roman"/>
                <w:color w:val="auto"/>
                <w:highlight w:val="none"/>
                <w:lang w:val="zh-CN"/>
              </w:rPr>
              <w:t>重点难点剖析；</w:t>
            </w:r>
          </w:p>
          <w:p w14:paraId="67CB04F8">
            <w:pPr>
              <w:numPr>
                <w:ilvl w:val="0"/>
                <w:numId w:val="0"/>
              </w:numPr>
              <w:spacing w:line="360" w:lineRule="auto"/>
              <w:rPr>
                <w:rFonts w:hint="eastAsia" w:ascii="宋体" w:hAnsi="宋体" w:eastAsia="宋体" w:cs="Times New Roman"/>
                <w:color w:val="auto"/>
                <w:highlight w:val="none"/>
                <w:lang w:val="zh-CN"/>
              </w:rPr>
            </w:pPr>
            <w:r>
              <w:rPr>
                <w:rFonts w:hint="eastAsia" w:ascii="宋体" w:hAnsi="宋体" w:eastAsia="宋体" w:cs="Times New Roman"/>
                <w:color w:val="auto"/>
                <w:highlight w:val="none"/>
                <w:lang w:val="en-US" w:eastAsia="zh-CN"/>
              </w:rPr>
              <w:t>2.</w:t>
            </w:r>
            <w:r>
              <w:rPr>
                <w:rFonts w:hint="eastAsia" w:ascii="宋体" w:hAnsi="宋体" w:eastAsia="宋体" w:cs="Times New Roman"/>
                <w:color w:val="auto"/>
                <w:highlight w:val="none"/>
                <w:lang w:val="zh-CN"/>
              </w:rPr>
              <w:t>重点难点预防；</w:t>
            </w:r>
          </w:p>
          <w:p w14:paraId="7006D40F">
            <w:pPr>
              <w:numPr>
                <w:ilvl w:val="0"/>
                <w:numId w:val="0"/>
              </w:numPr>
              <w:spacing w:line="360" w:lineRule="auto"/>
              <w:rPr>
                <w:rFonts w:hint="eastAsia" w:ascii="宋体" w:hAnsi="宋体" w:eastAsia="宋体" w:cs="Times New Roman"/>
                <w:color w:val="auto"/>
                <w:highlight w:val="none"/>
                <w:lang w:val="zh-CN"/>
              </w:rPr>
            </w:pPr>
            <w:r>
              <w:rPr>
                <w:rFonts w:hint="eastAsia" w:ascii="宋体" w:hAnsi="宋体" w:eastAsia="宋体" w:cs="Times New Roman"/>
                <w:color w:val="auto"/>
                <w:highlight w:val="none"/>
                <w:lang w:val="en-US" w:eastAsia="zh-CN"/>
              </w:rPr>
              <w:t>3.</w:t>
            </w:r>
            <w:r>
              <w:rPr>
                <w:rFonts w:hint="eastAsia" w:ascii="宋体" w:hAnsi="宋体" w:eastAsia="宋体" w:cs="Times New Roman"/>
                <w:color w:val="auto"/>
                <w:highlight w:val="none"/>
                <w:lang w:val="zh-CN"/>
              </w:rPr>
              <w:t>重点难点解决方案；</w:t>
            </w:r>
          </w:p>
          <w:p w14:paraId="43EF9CC1">
            <w:pPr>
              <w:numPr>
                <w:ilvl w:val="0"/>
                <w:numId w:val="0"/>
              </w:numPr>
              <w:spacing w:line="360" w:lineRule="auto"/>
              <w:rPr>
                <w:rFonts w:hint="default"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4.</w:t>
            </w:r>
            <w:r>
              <w:rPr>
                <w:rFonts w:hint="eastAsia" w:ascii="宋体" w:hAnsi="宋体" w:eastAsia="宋体" w:cs="Times New Roman"/>
                <w:color w:val="auto"/>
                <w:highlight w:val="none"/>
                <w:lang w:val="zh-CN"/>
              </w:rPr>
              <w:t>重点难点</w:t>
            </w:r>
            <w:r>
              <w:rPr>
                <w:rFonts w:hint="eastAsia" w:ascii="宋体" w:hAnsi="宋体" w:eastAsia="宋体" w:cs="Times New Roman"/>
                <w:color w:val="auto"/>
                <w:highlight w:val="none"/>
                <w:lang w:val="en-US" w:eastAsia="zh-CN"/>
              </w:rPr>
              <w:t>专项保障措施。</w:t>
            </w:r>
          </w:p>
          <w:p w14:paraId="2CF28A6C">
            <w:pPr>
              <w:numPr>
                <w:ilvl w:val="0"/>
                <w:numId w:val="0"/>
              </w:numPr>
              <w:spacing w:line="360" w:lineRule="auto"/>
              <w:rPr>
                <w:rFonts w:hint="eastAsia" w:ascii="宋体" w:hAnsi="宋体" w:cs="宋体"/>
                <w:color w:val="auto"/>
                <w:szCs w:val="21"/>
                <w:highlight w:val="none"/>
              </w:rPr>
            </w:pPr>
            <w:r>
              <w:rPr>
                <w:rFonts w:hint="eastAsia" w:ascii="宋体" w:hAnsi="宋体" w:eastAsia="宋体" w:cs="Times New Roman"/>
                <w:color w:val="auto"/>
                <w:highlight w:val="none"/>
                <w:lang w:val="zh-CN"/>
              </w:rPr>
              <w:t>以上</w:t>
            </w:r>
            <w:r>
              <w:rPr>
                <w:rFonts w:hint="eastAsia" w:ascii="宋体" w:hAnsi="宋体" w:eastAsia="宋体" w:cs="Times New Roman"/>
                <w:color w:val="auto"/>
                <w:highlight w:val="none"/>
                <w:lang w:val="en-US" w:eastAsia="zh-CN"/>
              </w:rPr>
              <w:t>4</w:t>
            </w:r>
            <w:r>
              <w:rPr>
                <w:rFonts w:hint="eastAsia" w:ascii="宋体" w:hAnsi="宋体" w:eastAsia="宋体" w:cs="Times New Roman"/>
                <w:color w:val="auto"/>
                <w:highlight w:val="none"/>
                <w:lang w:val="zh-CN"/>
              </w:rPr>
              <w:t>项每提供一小项得</w:t>
            </w:r>
            <w:r>
              <w:rPr>
                <w:rFonts w:hint="eastAsia" w:ascii="宋体" w:hAnsi="宋体" w:eastAsia="宋体" w:cs="Times New Roman"/>
                <w:color w:val="auto"/>
                <w:highlight w:val="none"/>
                <w:lang w:val="en-US" w:eastAsia="zh-CN"/>
              </w:rPr>
              <w:t>3</w:t>
            </w:r>
            <w:r>
              <w:rPr>
                <w:rFonts w:hint="eastAsia" w:ascii="宋体" w:hAnsi="宋体" w:eastAsia="宋体" w:cs="Times New Roman"/>
                <w:color w:val="auto"/>
                <w:highlight w:val="none"/>
                <w:lang w:val="zh-CN"/>
              </w:rPr>
              <w:t>分，本项满分</w:t>
            </w:r>
            <w:r>
              <w:rPr>
                <w:rFonts w:hint="eastAsia" w:ascii="宋体" w:hAnsi="宋体" w:eastAsia="宋体" w:cs="Times New Roman"/>
                <w:color w:val="auto"/>
                <w:highlight w:val="none"/>
                <w:lang w:val="en-US" w:eastAsia="zh-CN"/>
              </w:rPr>
              <w:t>12</w:t>
            </w:r>
            <w:r>
              <w:rPr>
                <w:rFonts w:hint="eastAsia" w:ascii="宋体" w:hAnsi="宋体" w:eastAsia="宋体" w:cs="Times New Roman"/>
                <w:color w:val="auto"/>
                <w:highlight w:val="none"/>
                <w:lang w:val="zh-CN"/>
              </w:rPr>
              <w:t>分。方案中每有一</w:t>
            </w:r>
            <w:r>
              <w:rPr>
                <w:rFonts w:hint="eastAsia" w:ascii="宋体" w:hAnsi="宋体" w:eastAsia="宋体" w:cs="Times New Roman"/>
                <w:color w:val="auto"/>
                <w:highlight w:val="none"/>
                <w:lang w:val="en-US" w:eastAsia="zh-CN"/>
              </w:rPr>
              <w:t>项</w:t>
            </w:r>
            <w:r>
              <w:rPr>
                <w:rFonts w:hint="eastAsia" w:ascii="宋体" w:hAnsi="宋体" w:eastAsia="宋体" w:cs="Times New Roman"/>
                <w:color w:val="auto"/>
                <w:highlight w:val="none"/>
                <w:lang w:val="zh-CN"/>
              </w:rPr>
              <w:t>具有缺陷（缺陷是指：存在不适用性、凭空编造、内容前后不一致、文不对题、前后逻辑错误、内容缺失有瑕疵、无具体流程细节描述之处等）的扣</w:t>
            </w:r>
            <w:r>
              <w:rPr>
                <w:rFonts w:hint="eastAsia" w:ascii="宋体" w:hAnsi="宋体" w:eastAsia="宋体" w:cs="Times New Roman"/>
                <w:color w:val="auto"/>
                <w:highlight w:val="none"/>
                <w:lang w:val="en-US" w:eastAsia="zh-CN"/>
              </w:rPr>
              <w:t>1</w:t>
            </w:r>
            <w:r>
              <w:rPr>
                <w:rFonts w:hint="eastAsia" w:ascii="宋体" w:hAnsi="宋体" w:eastAsia="宋体" w:cs="Times New Roman"/>
                <w:color w:val="auto"/>
                <w:highlight w:val="none"/>
                <w:lang w:val="zh-CN"/>
              </w:rPr>
              <w:t>分，扣完为止，没有不得分。</w:t>
            </w:r>
          </w:p>
        </w:tc>
      </w:tr>
      <w:tr w14:paraId="4F634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140" w:type="dxa"/>
            <w:vMerge w:val="continue"/>
            <w:noWrap w:val="0"/>
            <w:vAlign w:val="center"/>
          </w:tcPr>
          <w:p w14:paraId="30CAFF1D">
            <w:pPr>
              <w:spacing w:line="360" w:lineRule="auto"/>
              <w:jc w:val="center"/>
              <w:rPr>
                <w:rFonts w:hint="eastAsia" w:ascii="宋体" w:hAnsi="宋体" w:cs="宋体"/>
                <w:color w:val="auto"/>
                <w:kern w:val="0"/>
                <w:szCs w:val="21"/>
                <w:highlight w:val="yellow"/>
              </w:rPr>
            </w:pPr>
          </w:p>
        </w:tc>
        <w:tc>
          <w:tcPr>
            <w:tcW w:w="2615" w:type="dxa"/>
            <w:shd w:val="clear" w:color="auto" w:fill="auto"/>
            <w:noWrap w:val="0"/>
            <w:vAlign w:val="center"/>
          </w:tcPr>
          <w:p w14:paraId="3F618E8E">
            <w:pPr>
              <w:widowControl/>
              <w:adjustRightInd w:val="0"/>
              <w:snapToGrid w:val="0"/>
              <w:spacing w:line="36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预防性检查方案</w:t>
            </w:r>
          </w:p>
          <w:p w14:paraId="0217AE40">
            <w:pPr>
              <w:widowControl/>
              <w:adjustRightInd w:val="0"/>
              <w:snapToGrid w:val="0"/>
              <w:spacing w:line="360" w:lineRule="auto"/>
              <w:jc w:val="center"/>
              <w:rPr>
                <w:rFonts w:hint="eastAsia" w:ascii="宋体" w:hAnsi="宋体" w:eastAsia="宋体" w:cs="Times New Roman"/>
                <w:color w:val="auto"/>
                <w:highlight w:val="none"/>
                <w:lang w:eastAsia="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12分</w:t>
            </w:r>
            <w:r>
              <w:rPr>
                <w:rFonts w:hint="eastAsia" w:ascii="宋体" w:hAnsi="宋体" w:eastAsia="宋体" w:cs="宋体"/>
                <w:color w:val="auto"/>
                <w:sz w:val="21"/>
                <w:szCs w:val="21"/>
                <w:highlight w:val="none"/>
                <w:lang w:val="zh-CN"/>
              </w:rPr>
              <w:t>）</w:t>
            </w:r>
          </w:p>
        </w:tc>
        <w:tc>
          <w:tcPr>
            <w:tcW w:w="5470" w:type="dxa"/>
            <w:shd w:val="clear" w:color="auto" w:fill="auto"/>
            <w:noWrap w:val="0"/>
            <w:vAlign w:val="center"/>
          </w:tcPr>
          <w:p w14:paraId="1A4D9E19">
            <w:pPr>
              <w:numPr>
                <w:ilvl w:val="0"/>
                <w:numId w:val="0"/>
              </w:numPr>
              <w:spacing w:line="360" w:lineRule="auto"/>
              <w:rPr>
                <w:rFonts w:hint="eastAsia" w:ascii="宋体" w:hAnsi="宋体" w:eastAsia="宋体" w:cs="Times New Roman"/>
                <w:color w:val="auto"/>
                <w:highlight w:val="none"/>
                <w:lang w:val="zh-CN"/>
              </w:rPr>
            </w:pPr>
            <w:r>
              <w:rPr>
                <w:rFonts w:hint="eastAsia" w:ascii="宋体" w:hAnsi="宋体" w:eastAsia="宋体" w:cs="Times New Roman"/>
                <w:color w:val="auto"/>
                <w:highlight w:val="none"/>
                <w:lang w:val="zh-CN"/>
              </w:rPr>
              <w:t>对</w:t>
            </w:r>
            <w:r>
              <w:rPr>
                <w:rFonts w:hint="eastAsia" w:ascii="宋体" w:hAnsi="宋体" w:eastAsia="宋体" w:cs="Times New Roman"/>
                <w:color w:val="auto"/>
                <w:highlight w:val="none"/>
                <w:lang w:val="en-US" w:eastAsia="zh-CN"/>
              </w:rPr>
              <w:t>供应商</w:t>
            </w:r>
            <w:r>
              <w:rPr>
                <w:rFonts w:hint="eastAsia" w:ascii="宋体" w:hAnsi="宋体" w:eastAsia="宋体" w:cs="Times New Roman"/>
                <w:color w:val="auto"/>
                <w:highlight w:val="none"/>
                <w:lang w:val="zh-CN"/>
              </w:rPr>
              <w:t>提供的预防性检查方案进行评分，包括但不限于：</w:t>
            </w:r>
          </w:p>
          <w:p w14:paraId="6B346FFB">
            <w:pPr>
              <w:numPr>
                <w:ilvl w:val="0"/>
                <w:numId w:val="0"/>
              </w:numPr>
              <w:spacing w:line="360" w:lineRule="auto"/>
              <w:rPr>
                <w:rFonts w:hint="eastAsia" w:ascii="宋体" w:hAnsi="宋体" w:eastAsia="宋体" w:cs="Times New Roman"/>
                <w:color w:val="auto"/>
                <w:highlight w:val="none"/>
                <w:lang w:val="zh-CN"/>
              </w:rPr>
            </w:pPr>
            <w:r>
              <w:rPr>
                <w:rFonts w:hint="eastAsia" w:ascii="宋体" w:hAnsi="宋体" w:eastAsia="宋体" w:cs="Times New Roman"/>
                <w:color w:val="auto"/>
                <w:highlight w:val="none"/>
                <w:lang w:val="en-US" w:eastAsia="zh-CN"/>
              </w:rPr>
              <w:t>1.</w:t>
            </w:r>
            <w:r>
              <w:rPr>
                <w:rFonts w:hint="eastAsia" w:ascii="宋体" w:hAnsi="宋体" w:eastAsia="宋体" w:cs="Times New Roman"/>
                <w:color w:val="auto"/>
                <w:highlight w:val="none"/>
                <w:lang w:val="zh-CN"/>
              </w:rPr>
              <w:t>定期检查机制；</w:t>
            </w:r>
          </w:p>
          <w:p w14:paraId="6FB6EDB7">
            <w:pPr>
              <w:numPr>
                <w:ilvl w:val="0"/>
                <w:numId w:val="0"/>
              </w:numPr>
              <w:spacing w:line="360" w:lineRule="auto"/>
              <w:rPr>
                <w:rFonts w:hint="eastAsia" w:ascii="宋体" w:hAnsi="宋体" w:eastAsia="宋体" w:cs="Times New Roman"/>
                <w:color w:val="auto"/>
                <w:highlight w:val="none"/>
                <w:lang w:val="zh-CN"/>
              </w:rPr>
            </w:pPr>
            <w:r>
              <w:rPr>
                <w:rFonts w:hint="eastAsia" w:ascii="宋体" w:hAnsi="宋体" w:eastAsia="宋体" w:cs="Times New Roman"/>
                <w:color w:val="auto"/>
                <w:highlight w:val="none"/>
                <w:lang w:val="zh-CN"/>
              </w:rPr>
              <w:t>2.易损件更换流程；</w:t>
            </w:r>
          </w:p>
          <w:p w14:paraId="4D3D238C">
            <w:pPr>
              <w:numPr>
                <w:ilvl w:val="0"/>
                <w:numId w:val="0"/>
              </w:numPr>
              <w:spacing w:line="360" w:lineRule="auto"/>
              <w:rPr>
                <w:rFonts w:hint="eastAsia" w:ascii="宋体" w:hAnsi="宋体" w:eastAsia="宋体" w:cs="Times New Roman"/>
                <w:color w:val="auto"/>
                <w:highlight w:val="none"/>
                <w:lang w:val="zh-CN"/>
              </w:rPr>
            </w:pPr>
            <w:r>
              <w:rPr>
                <w:rFonts w:hint="eastAsia" w:ascii="宋体" w:hAnsi="宋体" w:eastAsia="宋体" w:cs="Times New Roman"/>
                <w:color w:val="auto"/>
                <w:highlight w:val="none"/>
                <w:lang w:val="zh-CN"/>
              </w:rPr>
              <w:t>3.日常巡检方案；</w:t>
            </w:r>
          </w:p>
          <w:p w14:paraId="3FA58388">
            <w:pPr>
              <w:numPr>
                <w:ilvl w:val="0"/>
                <w:numId w:val="0"/>
              </w:numPr>
              <w:spacing w:line="360" w:lineRule="auto"/>
              <w:rPr>
                <w:rFonts w:hint="eastAsia" w:ascii="宋体" w:hAnsi="宋体" w:eastAsia="宋体" w:cs="Times New Roman"/>
                <w:color w:val="auto"/>
                <w:highlight w:val="none"/>
                <w:lang w:val="zh-CN"/>
              </w:rPr>
            </w:pPr>
            <w:r>
              <w:rPr>
                <w:rFonts w:hint="eastAsia" w:ascii="宋体" w:hAnsi="宋体" w:eastAsia="宋体" w:cs="Times New Roman"/>
                <w:color w:val="auto"/>
                <w:highlight w:val="none"/>
                <w:lang w:val="zh-CN"/>
              </w:rPr>
              <w:t>4.维护报告内容。</w:t>
            </w:r>
          </w:p>
          <w:p w14:paraId="58F37FE2">
            <w:pPr>
              <w:numPr>
                <w:ilvl w:val="0"/>
                <w:numId w:val="0"/>
              </w:numPr>
              <w:spacing w:line="360" w:lineRule="auto"/>
              <w:rPr>
                <w:rFonts w:hint="eastAsia" w:ascii="宋体" w:hAnsi="宋体" w:eastAsia="宋体" w:cs="Times New Roman"/>
                <w:color w:val="auto"/>
                <w:highlight w:val="none"/>
                <w:lang w:val="zh-CN"/>
              </w:rPr>
            </w:pPr>
            <w:r>
              <w:rPr>
                <w:rFonts w:hint="eastAsia" w:ascii="宋体" w:hAnsi="宋体" w:eastAsia="宋体" w:cs="Times New Roman"/>
                <w:color w:val="auto"/>
                <w:highlight w:val="none"/>
                <w:lang w:val="zh-CN" w:eastAsia="zh-CN"/>
              </w:rPr>
              <w:t>以上4项每提供一小项</w:t>
            </w:r>
            <w:r>
              <w:rPr>
                <w:rFonts w:hint="eastAsia" w:ascii="宋体" w:hAnsi="宋体" w:eastAsia="宋体" w:cs="Times New Roman"/>
                <w:color w:val="auto"/>
                <w:highlight w:val="none"/>
                <w:lang w:val="en-US" w:eastAsia="zh-CN"/>
              </w:rPr>
              <w:t>得3</w:t>
            </w:r>
            <w:r>
              <w:rPr>
                <w:rFonts w:hint="eastAsia" w:ascii="宋体" w:hAnsi="宋体" w:eastAsia="宋体" w:cs="Times New Roman"/>
                <w:color w:val="auto"/>
                <w:highlight w:val="none"/>
                <w:lang w:val="zh-CN" w:eastAsia="zh-CN"/>
              </w:rPr>
              <w:t>分，本项满分</w:t>
            </w:r>
            <w:r>
              <w:rPr>
                <w:rFonts w:hint="eastAsia" w:ascii="宋体" w:hAnsi="宋体" w:eastAsia="宋体" w:cs="Times New Roman"/>
                <w:color w:val="auto"/>
                <w:highlight w:val="none"/>
                <w:lang w:val="en-US" w:eastAsia="zh-CN"/>
              </w:rPr>
              <w:t>12</w:t>
            </w:r>
            <w:r>
              <w:rPr>
                <w:rFonts w:hint="eastAsia" w:ascii="宋体" w:hAnsi="宋体" w:eastAsia="宋体" w:cs="Times New Roman"/>
                <w:color w:val="auto"/>
                <w:highlight w:val="none"/>
                <w:lang w:val="zh-CN" w:eastAsia="zh-CN"/>
              </w:rPr>
              <w:t>分。</w:t>
            </w:r>
            <w:r>
              <w:rPr>
                <w:rFonts w:hint="eastAsia" w:ascii="宋体" w:hAnsi="宋体" w:eastAsia="宋体" w:cs="Times New Roman"/>
                <w:color w:val="auto"/>
                <w:highlight w:val="none"/>
                <w:lang w:val="zh-CN"/>
              </w:rPr>
              <w:t>方案中每有一</w:t>
            </w:r>
            <w:r>
              <w:rPr>
                <w:rFonts w:hint="eastAsia" w:ascii="宋体" w:hAnsi="宋体" w:eastAsia="宋体" w:cs="Times New Roman"/>
                <w:color w:val="auto"/>
                <w:highlight w:val="none"/>
                <w:lang w:val="en-US" w:eastAsia="zh-CN"/>
              </w:rPr>
              <w:t>项</w:t>
            </w:r>
            <w:r>
              <w:rPr>
                <w:rFonts w:hint="eastAsia" w:ascii="宋体" w:hAnsi="宋体" w:eastAsia="宋体" w:cs="Times New Roman"/>
                <w:color w:val="auto"/>
                <w:highlight w:val="none"/>
                <w:lang w:val="zh-CN"/>
              </w:rPr>
              <w:t>具有缺陷（缺陷是指：存在不适用性、凭空编造、内容前后不一致、文不对题、前后逻辑错误、内容缺失有瑕疵、无具体流程细节描述之处等）的扣</w:t>
            </w:r>
            <w:r>
              <w:rPr>
                <w:rFonts w:hint="eastAsia" w:ascii="宋体" w:hAnsi="宋体" w:eastAsia="宋体" w:cs="Times New Roman"/>
                <w:color w:val="auto"/>
                <w:highlight w:val="none"/>
                <w:lang w:val="en-US" w:eastAsia="zh-CN"/>
              </w:rPr>
              <w:t>1</w:t>
            </w:r>
            <w:r>
              <w:rPr>
                <w:rFonts w:hint="eastAsia" w:ascii="宋体" w:hAnsi="宋体" w:eastAsia="宋体" w:cs="Times New Roman"/>
                <w:color w:val="auto"/>
                <w:highlight w:val="none"/>
                <w:lang w:val="zh-CN"/>
              </w:rPr>
              <w:t>分，扣完为止，没有不得分。</w:t>
            </w:r>
          </w:p>
        </w:tc>
      </w:tr>
      <w:tr w14:paraId="51DEB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140" w:type="dxa"/>
            <w:vMerge w:val="continue"/>
            <w:noWrap w:val="0"/>
            <w:vAlign w:val="center"/>
          </w:tcPr>
          <w:p w14:paraId="14D2317C">
            <w:pPr>
              <w:spacing w:line="360" w:lineRule="auto"/>
              <w:jc w:val="center"/>
              <w:rPr>
                <w:rFonts w:hint="eastAsia" w:ascii="宋体" w:hAnsi="宋体" w:cs="宋体"/>
                <w:color w:val="auto"/>
                <w:kern w:val="0"/>
                <w:szCs w:val="21"/>
                <w:highlight w:val="yellow"/>
              </w:rPr>
            </w:pPr>
          </w:p>
        </w:tc>
        <w:tc>
          <w:tcPr>
            <w:tcW w:w="2615" w:type="dxa"/>
            <w:shd w:val="clear" w:color="auto" w:fill="auto"/>
            <w:noWrap w:val="0"/>
            <w:vAlign w:val="center"/>
          </w:tcPr>
          <w:p w14:paraId="7FF00239">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培训方案</w:t>
            </w:r>
          </w:p>
          <w:p w14:paraId="24E01B8C">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12分</w:t>
            </w:r>
            <w:r>
              <w:rPr>
                <w:rFonts w:hint="eastAsia" w:ascii="宋体" w:hAnsi="宋体" w:eastAsia="宋体" w:cs="宋体"/>
                <w:color w:val="auto"/>
                <w:sz w:val="21"/>
                <w:szCs w:val="21"/>
                <w:highlight w:val="none"/>
                <w:lang w:val="zh-CN"/>
              </w:rPr>
              <w:t>）</w:t>
            </w:r>
          </w:p>
        </w:tc>
        <w:tc>
          <w:tcPr>
            <w:tcW w:w="5470" w:type="dxa"/>
            <w:shd w:val="clear" w:color="auto" w:fill="auto"/>
            <w:noWrap w:val="0"/>
            <w:vAlign w:val="center"/>
          </w:tcPr>
          <w:p w14:paraId="50EE7B84">
            <w:pPr>
              <w:numPr>
                <w:ilvl w:val="0"/>
                <w:numId w:val="0"/>
              </w:numPr>
              <w:spacing w:line="360" w:lineRule="auto"/>
              <w:rPr>
                <w:rFonts w:hint="eastAsia" w:ascii="宋体" w:hAnsi="宋体" w:eastAsia="宋体" w:cs="Times New Roman"/>
                <w:color w:val="auto"/>
                <w:highlight w:val="none"/>
                <w:lang w:val="zh-CN" w:eastAsia="zh-CN"/>
              </w:rPr>
            </w:pPr>
            <w:r>
              <w:rPr>
                <w:rFonts w:hint="eastAsia" w:ascii="宋体" w:hAnsi="宋体" w:eastAsia="宋体" w:cs="Times New Roman"/>
                <w:color w:val="auto"/>
                <w:highlight w:val="none"/>
                <w:lang w:val="en-US" w:eastAsia="zh-CN"/>
              </w:rPr>
              <w:t>对供应商提供针对本项目的合理培训方案</w:t>
            </w:r>
            <w:r>
              <w:rPr>
                <w:rFonts w:hint="eastAsia" w:ascii="宋体" w:hAnsi="宋体" w:eastAsia="宋体" w:cs="Times New Roman"/>
                <w:color w:val="auto"/>
                <w:highlight w:val="none"/>
                <w:lang w:val="zh-CN" w:eastAsia="zh-CN"/>
              </w:rPr>
              <w:t>进行评分，包括但不限于：</w:t>
            </w:r>
          </w:p>
          <w:p w14:paraId="0EFF6E5F">
            <w:pPr>
              <w:numPr>
                <w:ilvl w:val="0"/>
                <w:numId w:val="0"/>
              </w:numPr>
              <w:spacing w:line="360" w:lineRule="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1.培训内容；</w:t>
            </w:r>
          </w:p>
          <w:p w14:paraId="5CA76E95">
            <w:pPr>
              <w:numPr>
                <w:ilvl w:val="0"/>
                <w:numId w:val="0"/>
              </w:numPr>
              <w:spacing w:line="360" w:lineRule="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2.培训方法；</w:t>
            </w:r>
          </w:p>
          <w:p w14:paraId="1F031F95">
            <w:pPr>
              <w:numPr>
                <w:ilvl w:val="0"/>
                <w:numId w:val="0"/>
              </w:numPr>
              <w:spacing w:line="360" w:lineRule="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3.培训人员配置及安排；</w:t>
            </w:r>
          </w:p>
          <w:p w14:paraId="17AADBEB">
            <w:pPr>
              <w:numPr>
                <w:ilvl w:val="0"/>
                <w:numId w:val="0"/>
              </w:numPr>
              <w:spacing w:line="360" w:lineRule="auto"/>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val="en-US" w:eastAsia="zh-CN"/>
              </w:rPr>
              <w:t>4.预期效果。</w:t>
            </w:r>
          </w:p>
          <w:p w14:paraId="3A6846F5">
            <w:pPr>
              <w:numPr>
                <w:ilvl w:val="0"/>
                <w:numId w:val="0"/>
              </w:numPr>
              <w:spacing w:line="360" w:lineRule="auto"/>
              <w:rPr>
                <w:rFonts w:hint="eastAsia" w:ascii="宋体" w:hAnsi="宋体" w:eastAsia="宋体" w:cs="Times New Roman"/>
                <w:color w:val="auto"/>
                <w:highlight w:val="none"/>
                <w:lang w:val="zh-CN"/>
              </w:rPr>
            </w:pPr>
            <w:r>
              <w:rPr>
                <w:rFonts w:hint="eastAsia" w:ascii="宋体" w:hAnsi="宋体" w:eastAsia="宋体" w:cs="Times New Roman"/>
                <w:color w:val="auto"/>
                <w:highlight w:val="none"/>
                <w:lang w:val="zh-CN" w:eastAsia="zh-CN"/>
              </w:rPr>
              <w:t>以上</w:t>
            </w:r>
            <w:r>
              <w:rPr>
                <w:rFonts w:hint="eastAsia" w:ascii="宋体" w:hAnsi="宋体" w:eastAsia="宋体" w:cs="Times New Roman"/>
                <w:color w:val="auto"/>
                <w:highlight w:val="none"/>
                <w:lang w:val="en-US" w:eastAsia="zh-CN"/>
              </w:rPr>
              <w:t>4</w:t>
            </w:r>
            <w:r>
              <w:rPr>
                <w:rFonts w:hint="eastAsia" w:ascii="宋体" w:hAnsi="宋体" w:eastAsia="宋体" w:cs="Times New Roman"/>
                <w:color w:val="auto"/>
                <w:highlight w:val="none"/>
                <w:lang w:val="zh-CN" w:eastAsia="zh-CN"/>
              </w:rPr>
              <w:t>项每提供一小项得</w:t>
            </w:r>
            <w:r>
              <w:rPr>
                <w:rFonts w:hint="eastAsia" w:ascii="宋体" w:hAnsi="宋体" w:eastAsia="宋体" w:cs="Times New Roman"/>
                <w:color w:val="auto"/>
                <w:highlight w:val="none"/>
                <w:lang w:val="en-US" w:eastAsia="zh-CN"/>
              </w:rPr>
              <w:t>3</w:t>
            </w:r>
            <w:r>
              <w:rPr>
                <w:rFonts w:hint="eastAsia" w:ascii="宋体" w:hAnsi="宋体" w:eastAsia="宋体" w:cs="Times New Roman"/>
                <w:color w:val="auto"/>
                <w:highlight w:val="none"/>
                <w:lang w:val="zh-CN" w:eastAsia="zh-CN"/>
              </w:rPr>
              <w:t>分，本项满分</w:t>
            </w:r>
            <w:r>
              <w:rPr>
                <w:rFonts w:hint="eastAsia" w:ascii="宋体" w:hAnsi="宋体" w:eastAsia="宋体" w:cs="Times New Roman"/>
                <w:color w:val="auto"/>
                <w:highlight w:val="none"/>
                <w:lang w:val="en-US" w:eastAsia="zh-CN"/>
              </w:rPr>
              <w:t>12</w:t>
            </w:r>
            <w:r>
              <w:rPr>
                <w:rFonts w:hint="eastAsia" w:ascii="宋体" w:hAnsi="宋体" w:eastAsia="宋体" w:cs="Times New Roman"/>
                <w:color w:val="auto"/>
                <w:highlight w:val="none"/>
                <w:lang w:val="zh-CN" w:eastAsia="zh-CN"/>
              </w:rPr>
              <w:t>分。方案中每有一</w:t>
            </w:r>
            <w:r>
              <w:rPr>
                <w:rFonts w:hint="eastAsia" w:ascii="宋体" w:hAnsi="宋体" w:eastAsia="宋体" w:cs="Times New Roman"/>
                <w:color w:val="auto"/>
                <w:highlight w:val="none"/>
                <w:lang w:val="en-US" w:eastAsia="zh-CN"/>
              </w:rPr>
              <w:t>项</w:t>
            </w:r>
            <w:r>
              <w:rPr>
                <w:rFonts w:hint="eastAsia" w:ascii="宋体" w:hAnsi="宋体" w:eastAsia="宋体" w:cs="Times New Roman"/>
                <w:color w:val="auto"/>
                <w:highlight w:val="none"/>
                <w:lang w:val="zh-CN" w:eastAsia="zh-CN"/>
              </w:rPr>
              <w:t>具有缺陷（缺陷是指：存在不适用性、凭空编造、内容前后不一致、文不对题、前后逻辑错误、内容缺失有瑕疵、无具体流程细节描述之处等）的扣</w:t>
            </w:r>
            <w:r>
              <w:rPr>
                <w:rFonts w:hint="eastAsia" w:ascii="宋体" w:hAnsi="宋体" w:eastAsia="宋体" w:cs="Times New Roman"/>
                <w:color w:val="auto"/>
                <w:highlight w:val="none"/>
                <w:lang w:val="en-US" w:eastAsia="zh-CN"/>
              </w:rPr>
              <w:t>1</w:t>
            </w:r>
            <w:r>
              <w:rPr>
                <w:rFonts w:hint="eastAsia" w:ascii="宋体" w:hAnsi="宋体" w:eastAsia="宋体" w:cs="Times New Roman"/>
                <w:color w:val="auto"/>
                <w:highlight w:val="none"/>
                <w:lang w:val="zh-CN" w:eastAsia="zh-CN"/>
              </w:rPr>
              <w:t>分，扣完为止，没有不得分。</w:t>
            </w:r>
          </w:p>
        </w:tc>
      </w:tr>
      <w:tr w14:paraId="63E29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jc w:val="center"/>
        </w:trPr>
        <w:tc>
          <w:tcPr>
            <w:tcW w:w="1140" w:type="dxa"/>
            <w:vMerge w:val="restart"/>
            <w:noWrap w:val="0"/>
            <w:vAlign w:val="center"/>
          </w:tcPr>
          <w:p w14:paraId="5F740ACC">
            <w:pPr>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商务部分（</w:t>
            </w:r>
            <w:r>
              <w:rPr>
                <w:rFonts w:hint="eastAsia" w:ascii="宋体" w:hAnsi="宋体" w:cs="宋体"/>
                <w:color w:val="auto"/>
                <w:kern w:val="0"/>
                <w:szCs w:val="21"/>
                <w:highlight w:val="none"/>
                <w:lang w:val="en-US" w:eastAsia="zh-CN"/>
              </w:rPr>
              <w:t>18</w:t>
            </w:r>
            <w:r>
              <w:rPr>
                <w:rFonts w:hint="eastAsia" w:ascii="宋体" w:hAnsi="宋体" w:cs="宋体"/>
                <w:color w:val="auto"/>
                <w:kern w:val="0"/>
                <w:szCs w:val="21"/>
                <w:highlight w:val="none"/>
              </w:rPr>
              <w:t>分）</w:t>
            </w:r>
          </w:p>
        </w:tc>
        <w:tc>
          <w:tcPr>
            <w:tcW w:w="2615" w:type="dxa"/>
            <w:noWrap w:val="0"/>
            <w:vAlign w:val="center"/>
          </w:tcPr>
          <w:p w14:paraId="1E76CF42">
            <w:pPr>
              <w:spacing w:line="240" w:lineRule="auto"/>
              <w:jc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业绩</w:t>
            </w:r>
          </w:p>
          <w:p w14:paraId="16CD6A99">
            <w:pPr>
              <w:spacing w:line="240" w:lineRule="auto"/>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6分</w:t>
            </w:r>
            <w:r>
              <w:rPr>
                <w:rFonts w:hint="eastAsia" w:ascii="宋体" w:hAnsi="宋体" w:eastAsia="宋体" w:cs="宋体"/>
                <w:color w:val="auto"/>
                <w:sz w:val="21"/>
                <w:szCs w:val="21"/>
                <w:highlight w:val="none"/>
                <w:lang w:val="zh-CN"/>
              </w:rPr>
              <w:t>）</w:t>
            </w:r>
          </w:p>
        </w:tc>
        <w:tc>
          <w:tcPr>
            <w:tcW w:w="5470" w:type="dxa"/>
            <w:noWrap w:val="0"/>
            <w:vAlign w:val="center"/>
          </w:tcPr>
          <w:p w14:paraId="6465521E">
            <w:pPr>
              <w:numPr>
                <w:ilvl w:val="0"/>
                <w:numId w:val="0"/>
              </w:numPr>
              <w:spacing w:line="360" w:lineRule="auto"/>
              <w:rPr>
                <w:rFonts w:hint="eastAsia" w:ascii="宋体" w:hAnsi="宋体" w:eastAsia="宋体" w:cs="Times New Roman"/>
                <w:color w:val="auto"/>
                <w:highlight w:val="none"/>
                <w:lang w:val="zh-CN" w:eastAsia="zh-CN"/>
              </w:rPr>
            </w:pPr>
            <w:r>
              <w:rPr>
                <w:rFonts w:hint="eastAsia" w:ascii="宋体" w:hAnsi="宋体" w:eastAsia="宋体" w:cs="Times New Roman"/>
                <w:color w:val="auto"/>
                <w:highlight w:val="none"/>
                <w:lang w:val="en-US" w:eastAsia="zh-CN"/>
              </w:rPr>
              <w:t>供应商</w:t>
            </w:r>
            <w:r>
              <w:rPr>
                <w:rFonts w:hint="eastAsia" w:ascii="宋体" w:hAnsi="宋体" w:eastAsia="宋体" w:cs="Times New Roman"/>
                <w:color w:val="auto"/>
                <w:highlight w:val="none"/>
                <w:lang w:val="zh-CN" w:eastAsia="zh-CN"/>
              </w:rPr>
              <w:t>近</w:t>
            </w:r>
            <w:r>
              <w:rPr>
                <w:rFonts w:hint="eastAsia" w:ascii="宋体" w:hAnsi="宋体" w:eastAsia="宋体" w:cs="Times New Roman"/>
                <w:color w:val="auto"/>
                <w:highlight w:val="none"/>
                <w:lang w:val="en-US" w:eastAsia="zh-CN"/>
              </w:rPr>
              <w:t>三</w:t>
            </w:r>
            <w:r>
              <w:rPr>
                <w:rFonts w:hint="eastAsia" w:ascii="宋体" w:hAnsi="宋体" w:eastAsia="宋体" w:cs="Times New Roman"/>
                <w:color w:val="auto"/>
                <w:highlight w:val="none"/>
                <w:lang w:val="zh-CN" w:eastAsia="zh-CN"/>
              </w:rPr>
              <w:t>年（202</w:t>
            </w:r>
            <w:r>
              <w:rPr>
                <w:rFonts w:hint="eastAsia" w:ascii="宋体" w:hAnsi="宋体" w:eastAsia="宋体" w:cs="Times New Roman"/>
                <w:color w:val="auto"/>
                <w:highlight w:val="none"/>
                <w:lang w:val="en-US" w:eastAsia="zh-CN"/>
              </w:rPr>
              <w:t>3</w:t>
            </w:r>
            <w:r>
              <w:rPr>
                <w:rFonts w:hint="eastAsia" w:ascii="宋体" w:hAnsi="宋体" w:eastAsia="宋体" w:cs="Times New Roman"/>
                <w:color w:val="auto"/>
                <w:highlight w:val="none"/>
                <w:lang w:val="zh-CN" w:eastAsia="zh-CN"/>
              </w:rPr>
              <w:t>年</w:t>
            </w:r>
            <w:r>
              <w:rPr>
                <w:rFonts w:hint="eastAsia" w:ascii="宋体" w:hAnsi="宋体" w:eastAsia="宋体" w:cs="Times New Roman"/>
                <w:color w:val="auto"/>
                <w:highlight w:val="none"/>
                <w:lang w:val="en-US" w:eastAsia="zh-CN"/>
              </w:rPr>
              <w:t>1</w:t>
            </w:r>
            <w:r>
              <w:rPr>
                <w:rFonts w:hint="eastAsia" w:ascii="宋体" w:hAnsi="宋体" w:eastAsia="宋体" w:cs="Times New Roman"/>
                <w:color w:val="auto"/>
                <w:highlight w:val="none"/>
                <w:lang w:val="zh-CN" w:eastAsia="zh-CN"/>
              </w:rPr>
              <w:t>月1日</w:t>
            </w:r>
            <w:r>
              <w:rPr>
                <w:rFonts w:hint="eastAsia" w:ascii="宋体" w:hAnsi="宋体" w:eastAsia="宋体" w:cs="Times New Roman"/>
                <w:color w:val="auto"/>
                <w:highlight w:val="none"/>
                <w:lang w:val="en-US" w:eastAsia="zh-CN"/>
              </w:rPr>
              <w:t>起</w:t>
            </w:r>
            <w:r>
              <w:rPr>
                <w:rFonts w:hint="eastAsia" w:ascii="宋体" w:hAnsi="宋体" w:eastAsia="宋体" w:cs="Times New Roman"/>
                <w:color w:val="auto"/>
                <w:highlight w:val="none"/>
                <w:lang w:val="zh-CN" w:eastAsia="zh-CN"/>
              </w:rPr>
              <w:t>至</w:t>
            </w:r>
            <w:r>
              <w:rPr>
                <w:rFonts w:hint="eastAsia" w:ascii="宋体" w:hAnsi="宋体" w:eastAsia="宋体" w:cs="Times New Roman"/>
                <w:color w:val="auto"/>
                <w:highlight w:val="none"/>
                <w:lang w:val="en-US" w:eastAsia="zh-CN"/>
              </w:rPr>
              <w:t>提交响应文件截止时间止</w:t>
            </w:r>
            <w:r>
              <w:rPr>
                <w:rFonts w:hint="eastAsia" w:ascii="宋体" w:hAnsi="宋体" w:eastAsia="宋体" w:cs="Times New Roman"/>
                <w:color w:val="auto"/>
                <w:highlight w:val="none"/>
                <w:lang w:val="zh-CN" w:eastAsia="zh-CN"/>
              </w:rPr>
              <w:t>）</w:t>
            </w:r>
            <w:r>
              <w:rPr>
                <w:rFonts w:hint="eastAsia" w:ascii="宋体" w:hAnsi="宋体" w:cs="Times New Roman"/>
                <w:color w:val="auto"/>
                <w:highlight w:val="none"/>
                <w:lang w:val="en-US" w:eastAsia="zh-CN"/>
              </w:rPr>
              <w:t>每具有</w:t>
            </w:r>
            <w:r>
              <w:rPr>
                <w:rFonts w:hint="eastAsia" w:ascii="宋体" w:hAnsi="宋体" w:eastAsia="宋体" w:cs="Times New Roman"/>
                <w:color w:val="auto"/>
                <w:highlight w:val="none"/>
                <w:lang w:val="zh-CN" w:eastAsia="zh-CN"/>
              </w:rPr>
              <w:t>一项</w:t>
            </w:r>
            <w:r>
              <w:rPr>
                <w:rFonts w:hint="eastAsia" w:ascii="宋体" w:hAnsi="宋体" w:cs="Times New Roman"/>
                <w:color w:val="auto"/>
                <w:highlight w:val="none"/>
                <w:lang w:val="en-US" w:eastAsia="zh-CN"/>
              </w:rPr>
              <w:t>类似业绩</w:t>
            </w:r>
            <w:r>
              <w:rPr>
                <w:rFonts w:hint="eastAsia" w:ascii="宋体" w:hAnsi="宋体" w:eastAsia="宋体" w:cs="Times New Roman"/>
                <w:color w:val="auto"/>
                <w:highlight w:val="none"/>
                <w:lang w:val="zh-CN" w:eastAsia="zh-CN"/>
              </w:rPr>
              <w:t>得</w:t>
            </w:r>
            <w:r>
              <w:rPr>
                <w:rFonts w:hint="eastAsia" w:ascii="宋体" w:hAnsi="宋体" w:eastAsia="宋体" w:cs="Times New Roman"/>
                <w:color w:val="auto"/>
                <w:highlight w:val="none"/>
                <w:lang w:val="en-US" w:eastAsia="zh-CN"/>
              </w:rPr>
              <w:t>2</w:t>
            </w:r>
            <w:r>
              <w:rPr>
                <w:rFonts w:hint="eastAsia" w:ascii="宋体" w:hAnsi="宋体" w:eastAsia="宋体" w:cs="Times New Roman"/>
                <w:color w:val="auto"/>
                <w:highlight w:val="none"/>
                <w:lang w:val="zh-CN" w:eastAsia="zh-CN"/>
              </w:rPr>
              <w:t>分，最多得</w:t>
            </w:r>
            <w:r>
              <w:rPr>
                <w:rFonts w:hint="eastAsia" w:ascii="宋体" w:hAnsi="宋体" w:eastAsia="宋体" w:cs="Times New Roman"/>
                <w:color w:val="auto"/>
                <w:highlight w:val="none"/>
                <w:lang w:val="en-US" w:eastAsia="zh-CN"/>
              </w:rPr>
              <w:t>6</w:t>
            </w:r>
            <w:r>
              <w:rPr>
                <w:rFonts w:hint="eastAsia" w:ascii="宋体" w:hAnsi="宋体" w:eastAsia="宋体" w:cs="Times New Roman"/>
                <w:color w:val="auto"/>
                <w:highlight w:val="none"/>
                <w:lang w:val="zh-CN" w:eastAsia="zh-CN"/>
              </w:rPr>
              <w:t>分。</w:t>
            </w:r>
          </w:p>
          <w:p w14:paraId="21B2927F">
            <w:pPr>
              <w:numPr>
                <w:ilvl w:val="0"/>
                <w:numId w:val="0"/>
              </w:numPr>
              <w:spacing w:line="360" w:lineRule="auto"/>
              <w:rPr>
                <w:rFonts w:hint="eastAsia" w:ascii="宋体" w:hAnsi="宋体" w:eastAsia="宋体" w:cs="Times New Roman"/>
                <w:color w:val="auto"/>
                <w:highlight w:val="none"/>
                <w:lang w:val="zh-CN" w:eastAsia="zh-CN"/>
              </w:rPr>
            </w:pPr>
            <w:r>
              <w:rPr>
                <w:rFonts w:hint="eastAsia" w:ascii="宋体" w:hAnsi="宋体" w:eastAsia="宋体" w:cs="Times New Roman"/>
                <w:color w:val="auto"/>
                <w:highlight w:val="none"/>
                <w:lang w:val="en-US" w:eastAsia="zh-CN"/>
              </w:rPr>
              <w:t>响应文件内附</w:t>
            </w:r>
            <w:r>
              <w:rPr>
                <w:rFonts w:hint="eastAsia" w:ascii="宋体" w:hAnsi="宋体" w:eastAsia="宋体" w:cs="Times New Roman"/>
                <w:color w:val="auto"/>
                <w:highlight w:val="none"/>
                <w:lang w:val="zh-CN" w:eastAsia="zh-CN"/>
              </w:rPr>
              <w:t>中标通知书或合同（含合同首页、服务内容页、服务期限页、签字盖章页）</w:t>
            </w:r>
            <w:r>
              <w:rPr>
                <w:rFonts w:hint="eastAsia" w:ascii="宋体" w:hAnsi="宋体" w:eastAsia="宋体" w:cs="Times New Roman"/>
                <w:color w:val="auto"/>
                <w:highlight w:val="none"/>
                <w:lang w:val="en-US" w:eastAsia="zh-CN"/>
              </w:rPr>
              <w:t>复印件加盖公章。</w:t>
            </w:r>
          </w:p>
        </w:tc>
      </w:tr>
      <w:tr w14:paraId="090B6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140" w:type="dxa"/>
            <w:vMerge w:val="continue"/>
            <w:noWrap w:val="0"/>
            <w:vAlign w:val="center"/>
          </w:tcPr>
          <w:p w14:paraId="2C383548">
            <w:pPr>
              <w:spacing w:line="360" w:lineRule="auto"/>
              <w:jc w:val="center"/>
              <w:rPr>
                <w:rFonts w:hint="eastAsia" w:ascii="宋体" w:hAnsi="宋体" w:cs="宋体"/>
                <w:color w:val="auto"/>
                <w:kern w:val="0"/>
                <w:szCs w:val="21"/>
                <w:highlight w:val="none"/>
              </w:rPr>
            </w:pPr>
          </w:p>
        </w:tc>
        <w:tc>
          <w:tcPr>
            <w:tcW w:w="2615" w:type="dxa"/>
            <w:shd w:val="clear" w:color="auto" w:fill="auto"/>
            <w:noWrap w:val="0"/>
            <w:vAlign w:val="center"/>
          </w:tcPr>
          <w:p w14:paraId="4DA24762">
            <w:pPr>
              <w:spacing w:line="240"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质量管理体系认证</w:t>
            </w:r>
          </w:p>
          <w:p w14:paraId="7371B979">
            <w:pPr>
              <w:spacing w:line="240" w:lineRule="auto"/>
              <w:jc w:val="center"/>
              <w:rPr>
                <w:rFonts w:hint="eastAsia" w:ascii="宋体" w:hAnsi="宋体" w:eastAsia="宋体" w:cs="宋体"/>
                <w:kern w:val="2"/>
                <w:sz w:val="21"/>
                <w:szCs w:val="24"/>
                <w:highlight w:val="none"/>
                <w:lang w:val="en-US" w:eastAsia="zh-CN" w:bidi="ar-SA"/>
              </w:rPr>
            </w:pPr>
            <w:r>
              <w:rPr>
                <w:rFonts w:hint="eastAsia" w:ascii="宋体" w:hAnsi="宋体" w:eastAsia="宋体" w:cs="宋体"/>
                <w:color w:val="auto"/>
                <w:sz w:val="21"/>
                <w:szCs w:val="21"/>
                <w:highlight w:val="none"/>
                <w:lang w:val="zh-CN"/>
              </w:rPr>
              <w:t>（</w:t>
            </w: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分</w:t>
            </w:r>
            <w:r>
              <w:rPr>
                <w:rFonts w:hint="eastAsia" w:ascii="宋体" w:hAnsi="宋体" w:eastAsia="宋体" w:cs="宋体"/>
                <w:color w:val="auto"/>
                <w:sz w:val="21"/>
                <w:szCs w:val="21"/>
                <w:highlight w:val="none"/>
                <w:lang w:val="zh-CN"/>
              </w:rPr>
              <w:t>）</w:t>
            </w:r>
          </w:p>
        </w:tc>
        <w:tc>
          <w:tcPr>
            <w:tcW w:w="5470" w:type="dxa"/>
            <w:noWrap w:val="0"/>
            <w:vAlign w:val="center"/>
          </w:tcPr>
          <w:p w14:paraId="52375D30">
            <w:pPr>
              <w:keepNext w:val="0"/>
              <w:keepLines w:val="0"/>
              <w:widowControl/>
              <w:suppressLineNumbers w:val="0"/>
              <w:spacing w:line="360" w:lineRule="auto"/>
              <w:jc w:val="left"/>
              <w:rPr>
                <w:rFonts w:hint="eastAsia" w:ascii="宋体" w:hAnsi="宋体" w:cs="宋体"/>
                <w:bCs/>
                <w:sz w:val="21"/>
                <w:szCs w:val="21"/>
                <w:highlight w:val="none"/>
                <w:lang w:val="en-US" w:eastAsia="zh-CN"/>
              </w:rPr>
            </w:pPr>
            <w:r>
              <w:rPr>
                <w:rFonts w:hint="eastAsia" w:ascii="宋体" w:hAnsi="宋体" w:cs="宋体"/>
                <w:bCs/>
                <w:sz w:val="21"/>
                <w:szCs w:val="21"/>
                <w:highlight w:val="none"/>
                <w:lang w:val="en-US" w:eastAsia="zh-CN"/>
              </w:rPr>
              <w:t>具有质量管理体系认证证书的得2分，最多得2分，未提供的不得分。</w:t>
            </w:r>
          </w:p>
          <w:p w14:paraId="33316498">
            <w:pPr>
              <w:keepNext w:val="0"/>
              <w:keepLines w:val="0"/>
              <w:widowControl/>
              <w:suppressLineNumbers w:val="0"/>
              <w:spacing w:line="360" w:lineRule="auto"/>
              <w:jc w:val="left"/>
              <w:rPr>
                <w:rFonts w:hint="eastAsia" w:ascii="宋体" w:hAnsi="宋体" w:eastAsia="宋体" w:cs="宋体"/>
                <w:bCs/>
                <w:sz w:val="21"/>
                <w:szCs w:val="21"/>
                <w:highlight w:val="none"/>
                <w:lang w:val="zh-CN" w:eastAsia="zh-CN"/>
              </w:rPr>
            </w:pPr>
            <w:r>
              <w:rPr>
                <w:rFonts w:hint="eastAsia" w:ascii="宋体" w:hAnsi="宋体" w:cs="宋体"/>
                <w:bCs/>
                <w:sz w:val="21"/>
                <w:szCs w:val="21"/>
                <w:highlight w:val="none"/>
                <w:lang w:val="en-US" w:eastAsia="zh-CN"/>
              </w:rPr>
              <w:t>响应文件内附相应证书复印件加盖公章。</w:t>
            </w:r>
          </w:p>
        </w:tc>
      </w:tr>
      <w:tr w14:paraId="660F0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1140" w:type="dxa"/>
            <w:vMerge w:val="continue"/>
            <w:noWrap w:val="0"/>
            <w:vAlign w:val="center"/>
          </w:tcPr>
          <w:p w14:paraId="57CDCD60">
            <w:pPr>
              <w:spacing w:line="360" w:lineRule="auto"/>
              <w:jc w:val="center"/>
              <w:rPr>
                <w:rFonts w:hint="eastAsia" w:ascii="宋体" w:hAnsi="宋体" w:cs="宋体"/>
                <w:color w:val="auto"/>
                <w:kern w:val="0"/>
                <w:szCs w:val="21"/>
                <w:highlight w:val="none"/>
              </w:rPr>
            </w:pPr>
          </w:p>
        </w:tc>
        <w:tc>
          <w:tcPr>
            <w:tcW w:w="2615" w:type="dxa"/>
            <w:shd w:val="clear" w:color="auto" w:fill="auto"/>
            <w:noWrap w:val="0"/>
            <w:vAlign w:val="center"/>
          </w:tcPr>
          <w:p w14:paraId="737EA8D3">
            <w:pPr>
              <w:spacing w:line="240" w:lineRule="auto"/>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优惠条件</w:t>
            </w:r>
          </w:p>
          <w:p w14:paraId="616E3BBD">
            <w:pPr>
              <w:spacing w:line="240" w:lineRule="auto"/>
              <w:jc w:val="center"/>
              <w:rPr>
                <w:rFonts w:hint="eastAsia" w:ascii="宋体" w:hAnsi="宋体" w:cs="宋体"/>
                <w:sz w:val="21"/>
                <w:szCs w:val="21"/>
                <w:highlight w:val="none"/>
                <w:lang w:val="en-US" w:eastAsia="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3分</w:t>
            </w:r>
            <w:r>
              <w:rPr>
                <w:rFonts w:hint="eastAsia" w:ascii="宋体" w:hAnsi="宋体" w:eastAsia="宋体" w:cs="宋体"/>
                <w:color w:val="auto"/>
                <w:sz w:val="21"/>
                <w:szCs w:val="21"/>
                <w:highlight w:val="none"/>
                <w:lang w:val="zh-CN"/>
              </w:rPr>
              <w:t>）</w:t>
            </w:r>
          </w:p>
        </w:tc>
        <w:tc>
          <w:tcPr>
            <w:tcW w:w="5470" w:type="dxa"/>
            <w:noWrap w:val="0"/>
            <w:vAlign w:val="center"/>
          </w:tcPr>
          <w:p w14:paraId="6B8F345E">
            <w:pPr>
              <w:keepNext w:val="0"/>
              <w:keepLines w:val="0"/>
              <w:widowControl/>
              <w:suppressLineNumbers w:val="0"/>
              <w:spacing w:line="36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rPr>
              <w:t>对</w:t>
            </w:r>
            <w:r>
              <w:rPr>
                <w:rFonts w:hint="eastAsia" w:ascii="宋体" w:hAnsi="宋体" w:eastAsia="宋体" w:cs="宋体"/>
                <w:bCs/>
                <w:sz w:val="21"/>
                <w:szCs w:val="21"/>
                <w:highlight w:val="none"/>
                <w:lang w:val="en-US" w:eastAsia="zh-CN"/>
              </w:rPr>
              <w:t>供应商</w:t>
            </w:r>
            <w:r>
              <w:rPr>
                <w:rFonts w:hint="eastAsia" w:ascii="宋体" w:hAnsi="宋体" w:eastAsia="宋体" w:cs="宋体"/>
                <w:bCs/>
                <w:sz w:val="21"/>
                <w:szCs w:val="21"/>
                <w:highlight w:val="none"/>
              </w:rPr>
              <w:t>提出的采购人可以接受的合理</w:t>
            </w:r>
            <w:r>
              <w:rPr>
                <w:rFonts w:hint="eastAsia" w:ascii="宋体" w:hAnsi="宋体" w:eastAsia="宋体" w:cs="宋体"/>
                <w:bCs/>
                <w:sz w:val="21"/>
                <w:szCs w:val="21"/>
                <w:highlight w:val="none"/>
                <w:lang w:val="en-US" w:eastAsia="zh-CN"/>
              </w:rPr>
              <w:t>优惠条件</w:t>
            </w:r>
            <w:r>
              <w:rPr>
                <w:rFonts w:hint="eastAsia" w:ascii="宋体" w:hAnsi="宋体" w:eastAsia="宋体" w:cs="宋体"/>
                <w:bCs/>
                <w:sz w:val="21"/>
                <w:szCs w:val="21"/>
                <w:highlight w:val="none"/>
              </w:rPr>
              <w:t>进行综合评价，具有具体量化的实质性内容且合理，每有一条得1分，满分</w:t>
            </w:r>
            <w:r>
              <w:rPr>
                <w:rFonts w:hint="eastAsia" w:ascii="宋体" w:hAnsi="宋体" w:eastAsia="宋体" w:cs="宋体"/>
                <w:bCs/>
                <w:sz w:val="21"/>
                <w:szCs w:val="21"/>
                <w:highlight w:val="none"/>
                <w:lang w:val="en-US" w:eastAsia="zh-CN"/>
              </w:rPr>
              <w:t>3</w:t>
            </w:r>
            <w:r>
              <w:rPr>
                <w:rFonts w:hint="eastAsia" w:ascii="宋体" w:hAnsi="宋体" w:eastAsia="宋体" w:cs="宋体"/>
                <w:bCs/>
                <w:sz w:val="21"/>
                <w:szCs w:val="21"/>
                <w:highlight w:val="none"/>
              </w:rPr>
              <w:t>分。</w:t>
            </w:r>
          </w:p>
        </w:tc>
      </w:tr>
      <w:tr w14:paraId="176AB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140" w:type="dxa"/>
            <w:vMerge w:val="continue"/>
            <w:noWrap w:val="0"/>
            <w:vAlign w:val="center"/>
          </w:tcPr>
          <w:p w14:paraId="372CD36E">
            <w:pPr>
              <w:spacing w:line="360" w:lineRule="auto"/>
              <w:jc w:val="center"/>
              <w:rPr>
                <w:rFonts w:hint="eastAsia" w:ascii="宋体" w:hAnsi="宋体" w:cs="宋体"/>
                <w:color w:val="auto"/>
                <w:kern w:val="0"/>
                <w:szCs w:val="21"/>
                <w:highlight w:val="none"/>
              </w:rPr>
            </w:pPr>
          </w:p>
        </w:tc>
        <w:tc>
          <w:tcPr>
            <w:tcW w:w="2615" w:type="dxa"/>
            <w:shd w:val="clear" w:color="auto" w:fill="auto"/>
            <w:noWrap w:val="0"/>
            <w:vAlign w:val="center"/>
          </w:tcPr>
          <w:p w14:paraId="66FF5A12">
            <w:pPr>
              <w:spacing w:line="240" w:lineRule="auto"/>
              <w:jc w:val="cente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技术团队</w:t>
            </w:r>
          </w:p>
          <w:p w14:paraId="28DA8504">
            <w:pPr>
              <w:spacing w:line="240" w:lineRule="auto"/>
              <w:jc w:val="center"/>
              <w:rPr>
                <w:rFonts w:hint="default" w:ascii="宋体" w:hAnsi="宋体" w:cs="宋体"/>
                <w:sz w:val="21"/>
                <w:szCs w:val="21"/>
                <w:highlight w:val="none"/>
                <w:lang w:val="en-US" w:eastAsia="zh-CN"/>
              </w:rPr>
            </w:pPr>
            <w:r>
              <w:rPr>
                <w:rFonts w:hint="eastAsia" w:ascii="宋体" w:hAnsi="宋体" w:eastAsia="宋体" w:cs="宋体"/>
                <w:color w:val="auto"/>
                <w:sz w:val="21"/>
                <w:szCs w:val="21"/>
                <w:highlight w:val="none"/>
                <w:lang w:val="zh-CN"/>
              </w:rPr>
              <w:t>（</w:t>
            </w:r>
            <w:r>
              <w:rPr>
                <w:rFonts w:hint="eastAsia" w:ascii="宋体" w:hAnsi="宋体" w:eastAsia="宋体" w:cs="宋体"/>
                <w:color w:val="auto"/>
                <w:sz w:val="21"/>
                <w:szCs w:val="21"/>
                <w:highlight w:val="none"/>
                <w:lang w:val="en-US" w:eastAsia="zh-CN"/>
              </w:rPr>
              <w:t>5分</w:t>
            </w:r>
            <w:r>
              <w:rPr>
                <w:rFonts w:hint="eastAsia" w:ascii="宋体" w:hAnsi="宋体" w:eastAsia="宋体" w:cs="宋体"/>
                <w:color w:val="auto"/>
                <w:sz w:val="21"/>
                <w:szCs w:val="21"/>
                <w:highlight w:val="none"/>
                <w:lang w:val="zh-CN"/>
              </w:rPr>
              <w:t>）</w:t>
            </w:r>
          </w:p>
        </w:tc>
        <w:tc>
          <w:tcPr>
            <w:tcW w:w="5470" w:type="dxa"/>
            <w:noWrap w:val="0"/>
            <w:vAlign w:val="center"/>
          </w:tcPr>
          <w:p w14:paraId="48814BA8">
            <w:pPr>
              <w:keepNext w:val="0"/>
              <w:keepLines w:val="0"/>
              <w:widowControl/>
              <w:suppressLineNumbers w:val="0"/>
              <w:spacing w:line="36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为本项目配备</w:t>
            </w:r>
            <w:bookmarkStart w:id="381" w:name="_GoBack"/>
            <w:bookmarkEnd w:id="381"/>
            <w:r>
              <w:rPr>
                <w:rFonts w:hint="eastAsia" w:ascii="宋体" w:hAnsi="宋体" w:eastAsia="宋体" w:cs="宋体"/>
                <w:bCs/>
                <w:sz w:val="21"/>
                <w:szCs w:val="21"/>
                <w:highlight w:val="none"/>
                <w:lang w:val="en-US" w:eastAsia="zh-CN"/>
              </w:rPr>
              <w:t>专业的技术服务人员，每提供1人得1分，最多得5分。</w:t>
            </w:r>
          </w:p>
          <w:p w14:paraId="3BD59E26">
            <w:pPr>
              <w:keepNext w:val="0"/>
              <w:keepLines w:val="0"/>
              <w:widowControl/>
              <w:suppressLineNumbers w:val="0"/>
              <w:spacing w:line="36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响应文件</w:t>
            </w:r>
            <w:r>
              <w:rPr>
                <w:rFonts w:hint="eastAsia" w:ascii="宋体" w:hAnsi="宋体" w:eastAsia="宋体" w:cs="宋体"/>
                <w:bCs/>
                <w:sz w:val="21"/>
                <w:szCs w:val="21"/>
                <w:highlight w:val="none"/>
                <w:lang w:val="zh-CN" w:eastAsia="zh-CN"/>
              </w:rPr>
              <w:t>内附</w:t>
            </w:r>
            <w:r>
              <w:rPr>
                <w:rFonts w:hint="eastAsia" w:ascii="宋体" w:hAnsi="宋体" w:eastAsia="宋体" w:cs="宋体"/>
                <w:bCs/>
                <w:sz w:val="21"/>
                <w:szCs w:val="21"/>
                <w:highlight w:val="none"/>
                <w:lang w:val="en-US" w:eastAsia="zh-CN"/>
              </w:rPr>
              <w:t>相应人员资格证书</w:t>
            </w:r>
            <w:r>
              <w:rPr>
                <w:rFonts w:hint="eastAsia" w:ascii="宋体" w:hAnsi="宋体" w:cs="宋体"/>
                <w:bCs/>
                <w:sz w:val="21"/>
                <w:szCs w:val="21"/>
                <w:highlight w:val="none"/>
                <w:lang w:val="en-US" w:eastAsia="zh-CN"/>
              </w:rPr>
              <w:t>复印件</w:t>
            </w:r>
            <w:r>
              <w:rPr>
                <w:rFonts w:hint="eastAsia" w:ascii="宋体" w:hAnsi="宋体" w:eastAsia="宋体" w:cs="宋体"/>
                <w:bCs/>
                <w:sz w:val="21"/>
                <w:szCs w:val="21"/>
                <w:highlight w:val="none"/>
                <w:lang w:val="zh-CN" w:eastAsia="zh-CN"/>
              </w:rPr>
              <w:t>加盖公章</w:t>
            </w:r>
            <w:r>
              <w:rPr>
                <w:rFonts w:hint="eastAsia" w:ascii="宋体" w:hAnsi="宋体" w:eastAsia="宋体" w:cs="宋体"/>
                <w:bCs/>
                <w:sz w:val="21"/>
                <w:szCs w:val="21"/>
                <w:highlight w:val="none"/>
                <w:lang w:val="en-US" w:eastAsia="zh-CN"/>
              </w:rPr>
              <w:t>及由法定代表人或授权委托人签字并加盖公章的所配备人员名单人员开展维保服务工作承诺书</w:t>
            </w:r>
            <w:r>
              <w:rPr>
                <w:rFonts w:hint="eastAsia" w:ascii="宋体" w:hAnsi="宋体" w:eastAsia="宋体" w:cs="宋体"/>
                <w:bCs/>
                <w:sz w:val="21"/>
                <w:szCs w:val="21"/>
                <w:highlight w:val="none"/>
                <w:lang w:val="zh-CN" w:eastAsia="zh-CN"/>
              </w:rPr>
              <w:t>。</w:t>
            </w:r>
          </w:p>
        </w:tc>
      </w:tr>
      <w:tr w14:paraId="41F6E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1140" w:type="dxa"/>
            <w:vMerge w:val="continue"/>
            <w:noWrap w:val="0"/>
            <w:vAlign w:val="center"/>
          </w:tcPr>
          <w:p w14:paraId="3169D71E">
            <w:pPr>
              <w:spacing w:line="360" w:lineRule="auto"/>
              <w:jc w:val="center"/>
              <w:rPr>
                <w:rFonts w:hint="eastAsia" w:ascii="宋体" w:hAnsi="宋体" w:cs="宋体"/>
                <w:color w:val="auto"/>
                <w:kern w:val="0"/>
                <w:szCs w:val="21"/>
                <w:highlight w:val="none"/>
              </w:rPr>
            </w:pPr>
          </w:p>
        </w:tc>
        <w:tc>
          <w:tcPr>
            <w:tcW w:w="2615" w:type="dxa"/>
            <w:shd w:val="clear" w:color="auto" w:fill="auto"/>
            <w:noWrap w:val="0"/>
            <w:vAlign w:val="center"/>
          </w:tcPr>
          <w:p w14:paraId="1D7AA2C7">
            <w:pPr>
              <w:spacing w:line="240" w:lineRule="auto"/>
              <w:jc w:val="center"/>
              <w:rPr>
                <w:rFonts w:hint="eastAsia" w:ascii="宋体" w:hAnsi="宋体" w:cs="宋体"/>
                <w:color w:val="000000"/>
                <w:kern w:val="0"/>
                <w:sz w:val="21"/>
                <w:szCs w:val="21"/>
                <w:highlight w:val="none"/>
                <w:lang w:val="en-US" w:eastAsia="zh-CN"/>
              </w:rPr>
            </w:pPr>
            <w:r>
              <w:rPr>
                <w:rFonts w:hint="eastAsia" w:ascii="宋体" w:hAnsi="宋体" w:cs="宋体"/>
                <w:color w:val="000000"/>
                <w:kern w:val="0"/>
                <w:sz w:val="21"/>
                <w:szCs w:val="21"/>
                <w:highlight w:val="none"/>
                <w:lang w:val="en-US" w:eastAsia="zh-CN"/>
              </w:rPr>
              <w:t>备件仓库与存储</w:t>
            </w:r>
          </w:p>
          <w:p w14:paraId="176CF3AA">
            <w:pPr>
              <w:spacing w:line="24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000000"/>
                <w:kern w:val="0"/>
                <w:sz w:val="21"/>
                <w:szCs w:val="21"/>
                <w:highlight w:val="none"/>
                <w:lang w:val="en-US" w:eastAsia="zh-CN"/>
              </w:rPr>
              <w:t>（2分）</w:t>
            </w:r>
          </w:p>
        </w:tc>
        <w:tc>
          <w:tcPr>
            <w:tcW w:w="5470" w:type="dxa"/>
            <w:noWrap w:val="0"/>
            <w:vAlign w:val="center"/>
          </w:tcPr>
          <w:p w14:paraId="35E771B7">
            <w:pPr>
              <w:keepNext w:val="0"/>
              <w:keepLines w:val="0"/>
              <w:widowControl/>
              <w:suppressLineNumbers w:val="0"/>
              <w:spacing w:line="36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具备国内备件库的得2分，最多得2分。</w:t>
            </w:r>
          </w:p>
          <w:p w14:paraId="19A475BD">
            <w:pPr>
              <w:keepNext w:val="0"/>
              <w:keepLines w:val="0"/>
              <w:widowControl/>
              <w:suppressLineNumbers w:val="0"/>
              <w:spacing w:line="360" w:lineRule="auto"/>
              <w:jc w:val="left"/>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响应文件</w:t>
            </w:r>
            <w:r>
              <w:rPr>
                <w:rFonts w:hint="eastAsia" w:ascii="宋体" w:hAnsi="宋体" w:eastAsia="宋体" w:cs="宋体"/>
                <w:bCs/>
                <w:sz w:val="21"/>
                <w:szCs w:val="21"/>
                <w:highlight w:val="none"/>
                <w:lang w:val="zh-CN" w:eastAsia="zh-CN"/>
              </w:rPr>
              <w:t>内附</w:t>
            </w:r>
            <w:r>
              <w:rPr>
                <w:rFonts w:hint="eastAsia" w:ascii="宋体" w:hAnsi="宋体" w:eastAsia="宋体" w:cs="宋体"/>
                <w:bCs/>
                <w:sz w:val="21"/>
                <w:szCs w:val="21"/>
                <w:highlight w:val="none"/>
                <w:lang w:val="en-US" w:eastAsia="zh-CN"/>
              </w:rPr>
              <w:t>库房照片及租赁合同复印件或库房房产证明文件复印件加盖公章。</w:t>
            </w:r>
          </w:p>
        </w:tc>
      </w:tr>
    </w:tbl>
    <w:p w14:paraId="002EC740">
      <w:pPr>
        <w:pStyle w:val="23"/>
        <w:outlineLvl w:val="9"/>
        <w:rPr>
          <w:rFonts w:hint="eastAsia" w:ascii="宋体" w:hAnsi="宋体" w:cs="宋体"/>
          <w:color w:val="auto"/>
          <w:sz w:val="28"/>
          <w:highlight w:val="none"/>
        </w:rPr>
      </w:pPr>
      <w:r>
        <w:rPr>
          <w:rFonts w:hint="eastAsia" w:ascii="宋体" w:hAnsi="宋体" w:cs="宋体"/>
          <w:color w:val="auto"/>
          <w:sz w:val="28"/>
          <w:highlight w:val="none"/>
        </w:rPr>
        <w:br w:type="page"/>
      </w:r>
      <w:r>
        <w:rPr>
          <w:rFonts w:hint="eastAsia" w:ascii="宋体" w:hAnsi="宋体" w:cs="宋体"/>
          <w:color w:val="auto"/>
          <w:sz w:val="28"/>
          <w:highlight w:val="none"/>
        </w:rPr>
        <w:t>5、编写评标报告</w:t>
      </w:r>
      <w:bookmarkEnd w:id="157"/>
    </w:p>
    <w:p w14:paraId="43F3D36E">
      <w:pPr>
        <w:spacing w:line="360" w:lineRule="auto"/>
        <w:ind w:firstLine="420" w:firstLineChars="200"/>
        <w:outlineLvl w:val="9"/>
        <w:rPr>
          <w:rFonts w:hint="eastAsia" w:ascii="宋体" w:hAnsi="宋体" w:eastAsia="宋体" w:cs="宋体"/>
          <w:b w:val="0"/>
          <w:bCs w:val="0"/>
          <w:kern w:val="2"/>
          <w:szCs w:val="21"/>
        </w:rPr>
      </w:pPr>
      <w:r>
        <w:rPr>
          <w:rFonts w:hint="eastAsia" w:ascii="宋体" w:hAnsi="宋体" w:eastAsia="宋体" w:cs="宋体"/>
          <w:b w:val="0"/>
          <w:bCs w:val="0"/>
          <w:szCs w:val="21"/>
          <w:shd w:val="clear"/>
        </w:rPr>
        <w:t>磋商小组根据全体评标成员签字的原始评标记录和评标结果编写</w:t>
      </w:r>
      <w:r>
        <w:rPr>
          <w:rFonts w:hint="eastAsia" w:ascii="宋体" w:hAnsi="宋体" w:eastAsia="宋体" w:cs="宋体"/>
          <w:b w:val="0"/>
          <w:bCs w:val="0"/>
          <w:szCs w:val="21"/>
          <w:shd w:val="clear"/>
          <w:lang w:val="zh-CN"/>
        </w:rPr>
        <w:t>竞争性磋商</w:t>
      </w:r>
      <w:r>
        <w:rPr>
          <w:rFonts w:hint="eastAsia" w:ascii="宋体" w:hAnsi="宋体" w:eastAsia="宋体" w:cs="宋体"/>
          <w:b w:val="0"/>
          <w:bCs w:val="0"/>
          <w:szCs w:val="21"/>
          <w:shd w:val="clear"/>
        </w:rPr>
        <w:t>评标报告。</w:t>
      </w:r>
      <w:r>
        <w:rPr>
          <w:rFonts w:hint="eastAsia" w:ascii="宋体" w:hAnsi="宋体" w:eastAsia="宋体" w:cs="宋体"/>
          <w:b w:val="0"/>
          <w:bCs w:val="0"/>
          <w:szCs w:val="21"/>
          <w:lang w:val="zh-CN"/>
        </w:rPr>
        <w:t>磋商小组应当在评标报告上签字，对自己的评审意见承担法律责任。对评标报告有异议的，应当在评标报告上签署不同意见，并说明理由，否则视为同意评标报告。</w:t>
      </w:r>
    </w:p>
    <w:p w14:paraId="210CD7EF">
      <w:pPr>
        <w:spacing w:line="360" w:lineRule="auto"/>
        <w:rPr>
          <w:rFonts w:hint="eastAsia" w:ascii="宋体" w:hAnsi="宋体" w:eastAsia="宋体" w:cs="宋体"/>
          <w:b w:val="0"/>
          <w:bCs w:val="0"/>
          <w:kern w:val="0"/>
          <w:sz w:val="21"/>
          <w:szCs w:val="21"/>
          <w:shd w:val="clear"/>
          <w:lang w:val="zh-CN"/>
        </w:rPr>
      </w:pPr>
      <w:bookmarkStart w:id="158" w:name="_Toc3961"/>
      <w:r>
        <w:rPr>
          <w:rFonts w:hint="eastAsia" w:ascii="宋体" w:hAnsi="宋体" w:eastAsia="宋体" w:cs="宋体"/>
          <w:b w:val="0"/>
          <w:bCs w:val="0"/>
          <w:kern w:val="0"/>
          <w:sz w:val="21"/>
          <w:szCs w:val="21"/>
          <w:shd w:val="clear"/>
        </w:rPr>
        <w:t>5.1</w:t>
      </w:r>
      <w:r>
        <w:rPr>
          <w:rFonts w:hint="eastAsia" w:ascii="宋体" w:hAnsi="宋体" w:eastAsia="宋体" w:cs="宋体"/>
          <w:b w:val="0"/>
          <w:bCs w:val="0"/>
          <w:kern w:val="0"/>
          <w:sz w:val="21"/>
          <w:szCs w:val="21"/>
          <w:shd w:val="clear"/>
          <w:lang w:val="zh-CN"/>
        </w:rPr>
        <w:t>在评标过程中，磋商小组可以书面形式要求供应商对所提交响应文件中不明确的内容进行书面澄清或说明，或者对细微偏差进行补正。磋商小组不接受供应商主动提出的澄清、说明或补正。</w:t>
      </w:r>
      <w:bookmarkEnd w:id="158"/>
    </w:p>
    <w:p w14:paraId="6C0F88C1">
      <w:pPr>
        <w:spacing w:line="360" w:lineRule="auto"/>
        <w:rPr>
          <w:rFonts w:hint="eastAsia" w:ascii="宋体" w:hAnsi="宋体" w:eastAsia="宋体" w:cs="宋体"/>
          <w:b w:val="0"/>
          <w:bCs w:val="0"/>
          <w:kern w:val="0"/>
          <w:sz w:val="21"/>
          <w:szCs w:val="21"/>
          <w:shd w:val="clear"/>
          <w:lang w:val="zh-CN"/>
        </w:rPr>
      </w:pPr>
      <w:bookmarkStart w:id="159" w:name="_Toc15453"/>
      <w:r>
        <w:rPr>
          <w:rFonts w:hint="eastAsia" w:ascii="宋体" w:hAnsi="宋体" w:eastAsia="宋体" w:cs="宋体"/>
          <w:b w:val="0"/>
          <w:bCs w:val="0"/>
          <w:kern w:val="0"/>
          <w:sz w:val="21"/>
          <w:szCs w:val="21"/>
          <w:shd w:val="clear"/>
        </w:rPr>
        <w:t>5.2</w:t>
      </w:r>
      <w:r>
        <w:rPr>
          <w:rFonts w:hint="eastAsia" w:ascii="宋体" w:hAnsi="宋体" w:eastAsia="宋体" w:cs="宋体"/>
          <w:b w:val="0"/>
          <w:bCs w:val="0"/>
          <w:kern w:val="0"/>
          <w:sz w:val="21"/>
          <w:szCs w:val="21"/>
          <w:shd w:val="clear"/>
          <w:lang w:val="zh-CN"/>
        </w:rPr>
        <w:t>澄清、说明和补正不得改变响应文件的实质性内容。供应商的书面澄清、说明和补正属于响应文件的组成部分。</w:t>
      </w:r>
      <w:bookmarkEnd w:id="159"/>
    </w:p>
    <w:p w14:paraId="71D40EFD">
      <w:pPr>
        <w:spacing w:line="360" w:lineRule="auto"/>
        <w:rPr>
          <w:rFonts w:hint="eastAsia" w:ascii="宋体" w:hAnsi="宋体" w:eastAsia="宋体" w:cs="宋体"/>
          <w:b w:val="0"/>
          <w:bCs w:val="0"/>
          <w:kern w:val="0"/>
          <w:sz w:val="21"/>
          <w:szCs w:val="21"/>
          <w:shd w:val="clear"/>
          <w:lang w:val="zh-CN"/>
        </w:rPr>
      </w:pPr>
      <w:bookmarkStart w:id="160" w:name="_Toc1379"/>
      <w:r>
        <w:rPr>
          <w:rFonts w:hint="eastAsia" w:ascii="宋体" w:hAnsi="宋体" w:eastAsia="宋体" w:cs="宋体"/>
          <w:b w:val="0"/>
          <w:bCs w:val="0"/>
          <w:kern w:val="0"/>
          <w:sz w:val="21"/>
          <w:szCs w:val="21"/>
          <w:shd w:val="clear"/>
        </w:rPr>
        <w:t>5.3</w:t>
      </w:r>
      <w:r>
        <w:rPr>
          <w:rFonts w:hint="eastAsia" w:ascii="宋体" w:hAnsi="宋体" w:eastAsia="宋体" w:cs="宋体"/>
          <w:b w:val="0"/>
          <w:bCs w:val="0"/>
          <w:kern w:val="0"/>
          <w:sz w:val="21"/>
          <w:szCs w:val="21"/>
          <w:shd w:val="clear"/>
          <w:lang w:val="zh-CN"/>
        </w:rPr>
        <w:t>磋商小组对供应商提交的澄清、说明或补正有疑问的，可以要求供应商进一步澄清、说明或补正，直至满足磋商小组的要求。</w:t>
      </w:r>
      <w:bookmarkEnd w:id="160"/>
    </w:p>
    <w:p w14:paraId="6356D09F">
      <w:pPr>
        <w:spacing w:line="360" w:lineRule="auto"/>
        <w:rPr>
          <w:rFonts w:hint="eastAsia" w:ascii="宋体" w:hAnsi="宋体" w:eastAsia="宋体" w:cs="宋体"/>
          <w:b w:val="0"/>
          <w:bCs w:val="0"/>
          <w:kern w:val="0"/>
          <w:sz w:val="21"/>
          <w:szCs w:val="21"/>
          <w:shd w:val="clear"/>
          <w:lang w:val="zh-CN"/>
        </w:rPr>
      </w:pPr>
      <w:bookmarkStart w:id="161" w:name="_Toc30251"/>
      <w:bookmarkStart w:id="162" w:name="_Toc247085766"/>
      <w:bookmarkStart w:id="163" w:name="_Toc144974576"/>
      <w:bookmarkStart w:id="164" w:name="_Toc152045608"/>
      <w:bookmarkStart w:id="165" w:name="_Toc179632626"/>
      <w:bookmarkStart w:id="166" w:name="_Toc246996994"/>
      <w:bookmarkStart w:id="167" w:name="_Toc152042386"/>
      <w:bookmarkStart w:id="168" w:name="_Toc246996251"/>
      <w:r>
        <w:rPr>
          <w:rFonts w:hint="eastAsia" w:ascii="宋体" w:hAnsi="宋体" w:eastAsia="宋体" w:cs="宋体"/>
          <w:b w:val="0"/>
          <w:bCs w:val="0"/>
          <w:kern w:val="0"/>
          <w:sz w:val="21"/>
          <w:szCs w:val="21"/>
          <w:shd w:val="clear"/>
        </w:rPr>
        <w:t>5.4</w:t>
      </w:r>
      <w:r>
        <w:rPr>
          <w:rFonts w:hint="eastAsia" w:ascii="宋体" w:hAnsi="宋体" w:eastAsia="宋体" w:cs="宋体"/>
          <w:b w:val="0"/>
          <w:bCs w:val="0"/>
          <w:kern w:val="0"/>
          <w:sz w:val="21"/>
          <w:szCs w:val="21"/>
          <w:shd w:val="clear"/>
          <w:lang w:val="zh-CN"/>
        </w:rPr>
        <w:t>评标结果</w:t>
      </w:r>
      <w:bookmarkEnd w:id="161"/>
      <w:bookmarkEnd w:id="162"/>
      <w:bookmarkEnd w:id="163"/>
      <w:bookmarkEnd w:id="164"/>
      <w:bookmarkEnd w:id="165"/>
      <w:bookmarkEnd w:id="166"/>
      <w:bookmarkEnd w:id="167"/>
      <w:bookmarkEnd w:id="168"/>
    </w:p>
    <w:p w14:paraId="52F37B56">
      <w:pPr>
        <w:spacing w:line="360" w:lineRule="auto"/>
        <w:rPr>
          <w:rFonts w:hint="eastAsia" w:ascii="宋体" w:hAnsi="宋体" w:eastAsia="宋体" w:cs="宋体"/>
          <w:b w:val="0"/>
          <w:bCs w:val="0"/>
          <w:kern w:val="0"/>
          <w:sz w:val="21"/>
          <w:szCs w:val="21"/>
          <w:shd w:val="clear"/>
          <w:lang w:val="zh-CN"/>
        </w:rPr>
      </w:pPr>
      <w:bookmarkStart w:id="169" w:name="_Toc20343"/>
      <w:r>
        <w:rPr>
          <w:rFonts w:hint="eastAsia" w:ascii="宋体" w:hAnsi="宋体" w:eastAsia="宋体" w:cs="宋体"/>
          <w:b w:val="0"/>
          <w:bCs w:val="0"/>
          <w:kern w:val="0"/>
          <w:sz w:val="21"/>
          <w:szCs w:val="21"/>
          <w:shd w:val="clear"/>
        </w:rPr>
        <w:t>5.4.1</w:t>
      </w:r>
      <w:r>
        <w:rPr>
          <w:rFonts w:hint="eastAsia" w:ascii="宋体" w:hAnsi="宋体" w:eastAsia="宋体" w:cs="宋体"/>
          <w:b w:val="0"/>
          <w:bCs w:val="0"/>
          <w:kern w:val="0"/>
          <w:sz w:val="21"/>
          <w:szCs w:val="21"/>
          <w:shd w:val="clear"/>
          <w:lang w:val="zh-CN"/>
        </w:rPr>
        <w:t>除第二章“供应商须知”前附表授权直接确定</w:t>
      </w:r>
      <w:r>
        <w:rPr>
          <w:rFonts w:hint="eastAsia" w:ascii="宋体" w:hAnsi="宋体" w:eastAsia="宋体" w:cs="宋体"/>
          <w:b w:val="0"/>
          <w:bCs w:val="0"/>
          <w:kern w:val="0"/>
          <w:sz w:val="21"/>
          <w:szCs w:val="21"/>
          <w:shd w:val="clear"/>
          <w:lang w:val="en-US" w:eastAsia="zh-CN"/>
        </w:rPr>
        <w:t>成交供应商</w:t>
      </w:r>
      <w:r>
        <w:rPr>
          <w:rFonts w:hint="eastAsia" w:ascii="宋体" w:hAnsi="宋体" w:eastAsia="宋体" w:cs="宋体"/>
          <w:b w:val="0"/>
          <w:bCs w:val="0"/>
          <w:kern w:val="0"/>
          <w:sz w:val="21"/>
          <w:szCs w:val="21"/>
          <w:shd w:val="clear"/>
          <w:lang w:val="zh-CN"/>
        </w:rPr>
        <w:t>外，磋商小组按照得分由高到低的顺序推荐</w:t>
      </w:r>
      <w:r>
        <w:rPr>
          <w:rFonts w:hint="eastAsia" w:ascii="宋体" w:hAnsi="宋体" w:eastAsia="宋体" w:cs="宋体"/>
          <w:b w:val="0"/>
          <w:bCs w:val="0"/>
          <w:kern w:val="0"/>
          <w:sz w:val="21"/>
          <w:szCs w:val="21"/>
          <w:shd w:val="clear"/>
          <w:lang w:val="en-US" w:eastAsia="zh-CN"/>
        </w:rPr>
        <w:t>成交候选供应商</w:t>
      </w:r>
      <w:r>
        <w:rPr>
          <w:rFonts w:hint="eastAsia" w:ascii="宋体" w:hAnsi="宋体" w:eastAsia="宋体" w:cs="宋体"/>
          <w:b w:val="0"/>
          <w:bCs w:val="0"/>
          <w:kern w:val="0"/>
          <w:sz w:val="21"/>
          <w:szCs w:val="21"/>
          <w:shd w:val="clear"/>
          <w:lang w:val="zh-CN"/>
        </w:rPr>
        <w:t>。综合评分相等时，以报价低的优先；报价也相等的，由采购人或其授权的磋商小组自行确定。</w:t>
      </w:r>
      <w:bookmarkEnd w:id="169"/>
    </w:p>
    <w:p w14:paraId="4A5575C5">
      <w:pPr>
        <w:spacing w:line="360" w:lineRule="auto"/>
        <w:rPr>
          <w:rFonts w:hint="eastAsia" w:ascii="宋体" w:hAnsi="宋体" w:eastAsia="宋体" w:cs="宋体"/>
          <w:b w:val="0"/>
          <w:bCs w:val="0"/>
          <w:kern w:val="0"/>
          <w:sz w:val="21"/>
          <w:szCs w:val="21"/>
          <w:shd w:val="clear"/>
          <w:lang w:val="zh-CN"/>
        </w:rPr>
      </w:pPr>
      <w:r>
        <w:rPr>
          <w:rFonts w:hint="eastAsia" w:ascii="宋体" w:hAnsi="宋体" w:eastAsia="宋体" w:cs="宋体"/>
          <w:b w:val="0"/>
          <w:bCs w:val="0"/>
          <w:kern w:val="0"/>
          <w:sz w:val="21"/>
          <w:szCs w:val="21"/>
          <w:shd w:val="clear"/>
          <w:lang w:val="zh-CN"/>
        </w:rPr>
        <w:t>原则上推荐排名位于第一名的成交候选供应商为成交供应商。若</w:t>
      </w:r>
      <w:r>
        <w:rPr>
          <w:rFonts w:hint="eastAsia" w:ascii="宋体" w:hAnsi="宋体" w:eastAsia="宋体" w:cs="宋体"/>
          <w:b w:val="0"/>
          <w:bCs w:val="0"/>
          <w:kern w:val="0"/>
          <w:sz w:val="21"/>
          <w:szCs w:val="21"/>
          <w:shd w:val="clear"/>
        </w:rPr>
        <w:t>排名第一的交候选供应商放弃</w:t>
      </w:r>
      <w:r>
        <w:rPr>
          <w:rFonts w:hint="eastAsia" w:ascii="宋体" w:hAnsi="宋体" w:eastAsia="宋体" w:cs="宋体"/>
          <w:b w:val="0"/>
          <w:bCs w:val="0"/>
          <w:kern w:val="0"/>
          <w:sz w:val="21"/>
          <w:szCs w:val="21"/>
          <w:shd w:val="clear"/>
          <w:lang w:eastAsia="zh-CN"/>
        </w:rPr>
        <w:t>成交</w:t>
      </w:r>
      <w:r>
        <w:rPr>
          <w:rFonts w:hint="eastAsia" w:ascii="宋体" w:hAnsi="宋体" w:eastAsia="宋体" w:cs="宋体"/>
          <w:b w:val="0"/>
          <w:bCs w:val="0"/>
          <w:kern w:val="0"/>
          <w:sz w:val="21"/>
          <w:szCs w:val="21"/>
          <w:shd w:val="clear"/>
        </w:rPr>
        <w:t>、因不可抗力不能履行合同、不按照磋商文件要求提交履约保证金，或者被查实存在影响成交结果的违法行为等情形，不符合成交条件的，采购人可以按照磋商小组提出的成交候选供应商名单排序依次确定其他成交候选供应商为成交供应商，也可以重新</w:t>
      </w:r>
      <w:r>
        <w:rPr>
          <w:rFonts w:hint="eastAsia" w:ascii="宋体" w:hAnsi="宋体" w:eastAsia="宋体" w:cs="宋体"/>
          <w:b w:val="0"/>
          <w:bCs w:val="0"/>
          <w:kern w:val="0"/>
          <w:sz w:val="21"/>
          <w:szCs w:val="21"/>
          <w:shd w:val="clear"/>
          <w:lang w:val="en-US" w:eastAsia="zh-CN"/>
        </w:rPr>
        <w:t>采购</w:t>
      </w:r>
      <w:r>
        <w:rPr>
          <w:rFonts w:hint="eastAsia" w:ascii="宋体" w:hAnsi="宋体" w:eastAsia="宋体" w:cs="宋体"/>
          <w:b w:val="0"/>
          <w:bCs w:val="0"/>
          <w:kern w:val="0"/>
          <w:sz w:val="21"/>
          <w:szCs w:val="21"/>
          <w:shd w:val="clear"/>
        </w:rPr>
        <w:t>。</w:t>
      </w:r>
    </w:p>
    <w:p w14:paraId="062B1EF2">
      <w:pPr>
        <w:spacing w:line="360" w:lineRule="auto"/>
        <w:rPr>
          <w:rFonts w:hint="eastAsia" w:ascii="宋体" w:hAnsi="宋体" w:eastAsia="宋体" w:cs="宋体"/>
          <w:b w:val="0"/>
          <w:bCs w:val="0"/>
          <w:kern w:val="0"/>
          <w:sz w:val="21"/>
          <w:szCs w:val="21"/>
          <w:shd w:val="clear"/>
          <w:lang w:val="zh-CN"/>
        </w:rPr>
      </w:pPr>
      <w:bookmarkStart w:id="170" w:name="_Toc21278"/>
      <w:r>
        <w:rPr>
          <w:rFonts w:hint="eastAsia" w:ascii="宋体" w:hAnsi="宋体" w:eastAsia="宋体" w:cs="宋体"/>
          <w:b w:val="0"/>
          <w:bCs w:val="0"/>
          <w:kern w:val="0"/>
          <w:sz w:val="21"/>
          <w:szCs w:val="21"/>
          <w:shd w:val="clear"/>
        </w:rPr>
        <w:t>5.4.2</w:t>
      </w:r>
      <w:r>
        <w:rPr>
          <w:rFonts w:hint="eastAsia" w:ascii="宋体" w:hAnsi="宋体" w:eastAsia="宋体" w:cs="宋体"/>
          <w:b w:val="0"/>
          <w:bCs w:val="0"/>
          <w:kern w:val="0"/>
          <w:sz w:val="21"/>
          <w:szCs w:val="21"/>
          <w:shd w:val="clear"/>
          <w:lang w:val="zh-CN"/>
        </w:rPr>
        <w:t>磋商小组完成评标后，应当向采购人提交书面评标报告。</w:t>
      </w:r>
      <w:bookmarkEnd w:id="170"/>
    </w:p>
    <w:p w14:paraId="4EC4669E">
      <w:pPr>
        <w:rPr>
          <w:rFonts w:hint="eastAsia" w:ascii="宋体" w:hAnsi="宋体" w:eastAsia="宋体" w:cs="宋体"/>
          <w:b w:val="0"/>
          <w:bCs w:val="0"/>
          <w:kern w:val="0"/>
          <w:sz w:val="21"/>
          <w:szCs w:val="21"/>
          <w:shd w:val="clear"/>
          <w:lang w:val="zh-CN"/>
        </w:rPr>
      </w:pPr>
      <w:r>
        <w:rPr>
          <w:rFonts w:hint="eastAsia" w:ascii="宋体" w:hAnsi="宋体" w:eastAsia="宋体" w:cs="宋体"/>
          <w:b w:val="0"/>
          <w:bCs w:val="0"/>
          <w:kern w:val="0"/>
          <w:sz w:val="21"/>
          <w:szCs w:val="21"/>
          <w:shd w:val="clear"/>
          <w:lang w:val="zh-CN"/>
        </w:rPr>
        <w:br w:type="page"/>
      </w:r>
    </w:p>
    <w:p w14:paraId="1384B47C">
      <w:pPr>
        <w:spacing w:line="312" w:lineRule="auto"/>
        <w:rPr>
          <w:rFonts w:hint="eastAsia" w:ascii="宋体" w:hAnsi="宋体" w:eastAsia="宋体" w:cs="宋体"/>
          <w:b/>
          <w:color w:val="auto"/>
          <w:sz w:val="21"/>
          <w:szCs w:val="21"/>
          <w:highlight w:val="none"/>
        </w:rPr>
      </w:pPr>
      <w:bookmarkStart w:id="171" w:name="_Toc25461"/>
      <w:r>
        <w:rPr>
          <w:rFonts w:hint="eastAsia" w:ascii="宋体" w:hAnsi="宋体" w:eastAsia="宋体" w:cs="宋体"/>
          <w:b/>
          <w:color w:val="auto"/>
          <w:sz w:val="21"/>
          <w:szCs w:val="21"/>
          <w:highlight w:val="none"/>
        </w:rPr>
        <w:t>附件：</w:t>
      </w:r>
    </w:p>
    <w:p w14:paraId="09889BD1">
      <w:pPr>
        <w:spacing w:line="312" w:lineRule="auto"/>
        <w:ind w:firstLine="422" w:firstLineChars="200"/>
        <w:jc w:val="center"/>
        <w:outlineLvl w:val="9"/>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关于印发《政府采购促进中小企业发展管理办法》的通知</w:t>
      </w:r>
    </w:p>
    <w:p w14:paraId="1BEBD3F3">
      <w:pPr>
        <w:spacing w:line="312" w:lineRule="auto"/>
        <w:ind w:firstLine="420" w:firstLineChars="200"/>
        <w:jc w:val="center"/>
        <w:outlineLvl w:val="9"/>
        <w:rPr>
          <w:rFonts w:hint="eastAsia" w:ascii="宋体" w:hAnsi="宋体" w:eastAsia="宋体" w:cs="宋体"/>
          <w:bCs/>
          <w:color w:val="auto"/>
          <w:sz w:val="21"/>
          <w:szCs w:val="21"/>
          <w:highlight w:val="none"/>
        </w:rPr>
      </w:pPr>
      <w:bookmarkStart w:id="172" w:name="_Toc18113"/>
      <w:r>
        <w:rPr>
          <w:rFonts w:hint="eastAsia" w:ascii="宋体" w:hAnsi="宋体" w:eastAsia="宋体" w:cs="宋体"/>
          <w:bCs/>
          <w:color w:val="auto"/>
          <w:sz w:val="21"/>
          <w:szCs w:val="21"/>
          <w:highlight w:val="none"/>
        </w:rPr>
        <w:t>财库〔2020〕46号</w:t>
      </w:r>
      <w:bookmarkEnd w:id="172"/>
    </w:p>
    <w:p w14:paraId="31B90BE7">
      <w:pPr>
        <w:spacing w:line="360" w:lineRule="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各中央预算单位办公厅（室），各省、自治区、直辖市、计划单列市财政厅（局）、工业和信息化主管部门，新疆生产建设兵团财政局、工业和信息化主管部门：</w:t>
      </w:r>
    </w:p>
    <w:p w14:paraId="277FC1F7">
      <w:pPr>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45A508AA">
      <w:pPr>
        <w:spacing w:line="360" w:lineRule="auto"/>
        <w:rPr>
          <w:rFonts w:hint="eastAsia" w:ascii="宋体" w:hAnsi="宋体" w:eastAsia="宋体" w:cs="宋体"/>
          <w:bCs/>
          <w:color w:val="auto"/>
          <w:sz w:val="21"/>
          <w:szCs w:val="21"/>
          <w:highlight w:val="none"/>
        </w:rPr>
      </w:pPr>
    </w:p>
    <w:p w14:paraId="713616E8">
      <w:pPr>
        <w:pStyle w:val="22"/>
        <w:spacing w:before="0" w:beforeAutospacing="0" w:after="0" w:afterAutospacing="0" w:line="360" w:lineRule="auto"/>
        <w:jc w:val="center"/>
        <w:rPr>
          <w:rStyle w:val="28"/>
          <w:rFonts w:hint="eastAsia" w:ascii="宋体" w:hAnsi="宋体" w:eastAsia="宋体" w:cs="宋体"/>
          <w:color w:val="auto"/>
          <w:sz w:val="21"/>
          <w:szCs w:val="21"/>
          <w:highlight w:val="none"/>
        </w:rPr>
      </w:pPr>
    </w:p>
    <w:p w14:paraId="0D100323">
      <w:pPr>
        <w:pStyle w:val="22"/>
        <w:spacing w:before="0" w:beforeAutospacing="0" w:after="0" w:afterAutospacing="0" w:line="360" w:lineRule="auto"/>
        <w:jc w:val="center"/>
        <w:rPr>
          <w:rFonts w:hint="eastAsia" w:ascii="宋体" w:hAnsi="宋体" w:eastAsia="宋体" w:cs="宋体"/>
          <w:color w:val="auto"/>
          <w:sz w:val="21"/>
          <w:szCs w:val="21"/>
          <w:highlight w:val="none"/>
        </w:rPr>
      </w:pPr>
      <w:r>
        <w:rPr>
          <w:rStyle w:val="28"/>
          <w:rFonts w:hint="eastAsia" w:ascii="宋体" w:hAnsi="宋体" w:eastAsia="宋体" w:cs="宋体"/>
          <w:color w:val="auto"/>
          <w:sz w:val="21"/>
          <w:szCs w:val="21"/>
          <w:highlight w:val="none"/>
        </w:rPr>
        <w:t>政府采购促进中小企业发展管理办法</w:t>
      </w:r>
    </w:p>
    <w:p w14:paraId="05B4D8B7">
      <w:pPr>
        <w:pStyle w:val="22"/>
        <w:spacing w:before="0" w:beforeAutospacing="0" w:after="0" w:afterAutospacing="0" w:line="360" w:lineRule="auto"/>
        <w:rPr>
          <w:rFonts w:hint="eastAsia" w:ascii="宋体" w:hAnsi="宋体" w:eastAsia="宋体" w:cs="宋体"/>
          <w:color w:val="auto"/>
          <w:sz w:val="21"/>
          <w:szCs w:val="21"/>
          <w:highlight w:val="none"/>
        </w:rPr>
      </w:pPr>
    </w:p>
    <w:p w14:paraId="7AAA136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第一条　为了发挥政府采购的政策功能，促进中小企业健康发展，根据《中华人民共和国政府采购法》、《中华人民共和国中小企业促进法》等有关法律法规，制定本办法。</w:t>
      </w:r>
    </w:p>
    <w:p w14:paraId="1B6A57F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28F3F00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符合中小企业划分标准的个体工商户，在政府采购活动中视同中小企业。</w:t>
      </w:r>
    </w:p>
    <w:p w14:paraId="3C6B8FC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第三条　采购人在政府采购活动中应当通过加强采购需求管理，落实预留采购份额、价格评审优惠、优先采购等措施，提高中小企业在政府采购中的份额，支持中小企业发展。</w:t>
      </w:r>
    </w:p>
    <w:p w14:paraId="65C03DD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第四条　在政府采购活动中，供应商提供的货物、工程或者服务符合下列情形的，享受本办法规定的中小企业扶持政策：</w:t>
      </w:r>
    </w:p>
    <w:p w14:paraId="64DA7D2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（一）在货物采购项目中，货物由中小企业制造，即货物由中小企业生产且使用该中小企业商号或者注册商标；</w:t>
      </w:r>
    </w:p>
    <w:p w14:paraId="206EE94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（二）在工程采购项目中，工程由中小企业承建，即工程施工单位为中小企业；</w:t>
      </w:r>
    </w:p>
    <w:p w14:paraId="5E6FE82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（三）在服务采购项目中，服务由中小企业承接，即提供服务的人员为中小企业依照《中华人民共和国劳动合同法》订立劳动合同的从业人员。</w:t>
      </w:r>
    </w:p>
    <w:p w14:paraId="5D7C156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在货物采购项目中，供应商提供的货物既有中小企业制造货物，也有大型企业制造货物的，不享受本办法规定的中小企业扶持政策。</w:t>
      </w:r>
    </w:p>
    <w:p w14:paraId="2CE3B82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以联合体形式参加政府采购活动，联合体各方均为中小企业的，联合体视同中小企业。其中，联合体各方均为小微企业的，联合体视同小微企业。</w:t>
      </w:r>
    </w:p>
    <w:p w14:paraId="631E144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1A861C1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269C391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符合下列情形之一的，可不专门面向中小企业预留采购份额：</w:t>
      </w:r>
    </w:p>
    <w:p w14:paraId="4968971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（一）法律法规和国家有关政策明确规定优先或者应当面向事业单位、社会组织等非企业主体采购的；</w:t>
      </w:r>
    </w:p>
    <w:p w14:paraId="2A3D8BA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（二）因确需使用不可替代的专利、专有技术，基础设施限制，或者提供特定公共服务等原因，只能从中小企业之外的供应商处采购的；</w:t>
      </w:r>
    </w:p>
    <w:p w14:paraId="358048A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（三）按照本办法规定预留采购份额无法确保充分供应、充分竞争，或者存在可能影响政府采购目标实现的情形；</w:t>
      </w:r>
    </w:p>
    <w:p w14:paraId="53D5AAD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（四）框架协议采购项目；</w:t>
      </w:r>
    </w:p>
    <w:p w14:paraId="4323A26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（五）省级以上人民政府财政部门规定的其他情形。</w:t>
      </w:r>
    </w:p>
    <w:p w14:paraId="2C23056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除上述情形外，其他均为适宜由中小企业提供的情形。</w:t>
      </w:r>
    </w:p>
    <w:p w14:paraId="7E8D4D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第七条　采购限额标准以上，200万元以下的货物和服务采购项目、400万元以下的工程采购项目，适宜由中小企业提供的，采购人应当专门面向中小企业采购。</w:t>
      </w:r>
    </w:p>
    <w:p w14:paraId="5C7BFBB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第八条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197F687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（一）将采购项目整体或者设置采购包专门面向中小企业采购；</w:t>
      </w:r>
    </w:p>
    <w:p w14:paraId="36ADFA2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（二）要求供应商以联合体形式参加采购活动，且联合体中中小企业承担的部分达到一定比例；</w:t>
      </w:r>
    </w:p>
    <w:p w14:paraId="4E6EBFF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（三）要求获得采购合同的供应商将采购项目中的一定比例分包给一家或者多家中小企业。</w:t>
      </w:r>
    </w:p>
    <w:p w14:paraId="5C23C01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组成联合体或者接受分包合同的中小企业与联合体内其他企业、分包企业之间不得存在直接控股、管理关系。</w:t>
      </w:r>
    </w:p>
    <w:p w14:paraId="28613B6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第九条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5640C72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257C364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5CBDDD0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第十条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5AFADC1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14:paraId="6D701AD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第十二条　采购项目涉及中小企业采购的，采购文件应当明确以下内容：</w:t>
      </w:r>
    </w:p>
    <w:p w14:paraId="0022338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（一）预留份额的采购项目或者采购包，明确该项目或相关采购包专门面向中小企业采购，以及相关标的及预算金额；</w:t>
      </w:r>
    </w:p>
    <w:p w14:paraId="3A80A46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（二）要求以联合体形式参加或者合同分包的，明确联合协议或者分包意向协议中中小企业合同金额应当达到的比例，并作为供应商资格条件；</w:t>
      </w:r>
    </w:p>
    <w:p w14:paraId="0A075C0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（三）非预留份额的采购项目或者采购包，明确有关价格扣除比例或者价格分加分比例；</w:t>
      </w:r>
    </w:p>
    <w:p w14:paraId="098C55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（四）规定依据本办法规定享受扶持政策获得政府采购合同的，小微企业不得将合同分包给大中型企业，中型企业不得将合同分包给大型企业；</w:t>
      </w:r>
    </w:p>
    <w:p w14:paraId="0FD1002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（五）采购人认为具备相关条件的，明确对中小企业在资金支付期限、预付款比例等方面的优惠措施；</w:t>
      </w:r>
    </w:p>
    <w:p w14:paraId="330A35D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（六）明确采购标的对应的中小企业划分标准所属行业；</w:t>
      </w:r>
    </w:p>
    <w:p w14:paraId="7504390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（七）法律法规和省级以上人民政府财政部门规定的其他事项。</w:t>
      </w:r>
    </w:p>
    <w:p w14:paraId="53CCC70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第十三条　中标、成交供应商享受本办法规定的中小企业扶持政策的，采购人、采购代理机构应当随中标、成交结果公开中标、成交供应商的《中小企业声明函》。</w:t>
      </w:r>
    </w:p>
    <w:p w14:paraId="176973B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适用招标投标法的政府采购工程建设项目，应当在公示中标候选人时公开中标候选人的《中小企业声明函》。</w:t>
      </w:r>
    </w:p>
    <w:p w14:paraId="05119A3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第十四　条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303753C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第十五条　鼓励各地区、各部门在采购活动中允许中小企业引入信用担保手段，为中小企业在投标（响应）保证、履约保证等方面提供专业化服务。鼓励中小企业依法合规通过政府采购合同融资。</w:t>
      </w:r>
    </w:p>
    <w:p w14:paraId="2B0834F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第十六条　政府采购监督检查、投诉处理及政府采购行政处罚中对中小企业的认定，由货物制造商或者工程、服务供应商注册登记所在地的县级以上人民政府中小企业主管部门负责。</w:t>
      </w:r>
    </w:p>
    <w:p w14:paraId="79F16CF7">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中小企业主管部门应当在收到财政部门或者有关招标投标行政监督部门关于协助开展中小企业认定函后10个工作日内做出书面答复。</w:t>
      </w:r>
    </w:p>
    <w:p w14:paraId="4CC5B06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第十七条　各地区、各部门应当对涉及中小企业采购的预算项目实施全过程绩效管理，合理设置绩效目标和指标，落实扶持中小企业有关政策要求，定期开展绩效监控和评价，强化绩效评价结果应用。</w:t>
      </w:r>
    </w:p>
    <w:p w14:paraId="3258C21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第十八条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3382C24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7BD36C31">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第二十条　供应商按照本办法规定提供声明函内容不实的，属于提供虚假材料谋取中标、成交，依照《中华人民共和国政府采购法》等国家有关规定追究相应责任。</w:t>
      </w:r>
    </w:p>
    <w:p w14:paraId="36CE6AB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适用招标投标法的政府采购工程建设项目，投标人按照本办法规定提供声明函内容不实的，属于弄虚作假骗取中标，依照《中华人民共和国招标投标法》等国家有关规定追究相应责任。</w:t>
      </w:r>
    </w:p>
    <w:p w14:paraId="12F16D7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6790387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第二十二条　对外援助项目、国家相关资格或者资质管理制度另有规定的项目，不适用本办法。</w:t>
      </w:r>
    </w:p>
    <w:p w14:paraId="5ECB3F9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第二十三条　关于视同中小企业的其他主体的政府采购扶持政策，由财政部会同有关部门另行规定。</w:t>
      </w:r>
    </w:p>
    <w:p w14:paraId="48AE8AE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第二十四条　省级财政部门可以会同中小企业主管部门根据本办法的规定制定具体实施办法。</w:t>
      </w:r>
    </w:p>
    <w:p w14:paraId="40B6CFF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center"/>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第二十五条　本办法自2021年1月1日起施行。《财政部工业和信息化部关于印发〈政府采购促进中小企业发展暂行办法〉的通知》（财库﹝2011﹞181号）同时废止。</w:t>
      </w:r>
    </w:p>
    <w:p w14:paraId="7CFC5745">
      <w:pPr>
        <w:rPr>
          <w:rFonts w:hint="eastAsia" w:ascii="宋体" w:hAnsi="宋体" w:cs="宋体"/>
          <w:b/>
          <w:color w:val="auto"/>
          <w:sz w:val="21"/>
          <w:szCs w:val="21"/>
          <w:highlight w:val="none"/>
        </w:rPr>
      </w:pPr>
      <w:r>
        <w:rPr>
          <w:rFonts w:hint="eastAsia" w:ascii="宋体" w:hAnsi="宋体" w:cs="宋体"/>
          <w:b/>
          <w:color w:val="auto"/>
          <w:sz w:val="21"/>
          <w:szCs w:val="21"/>
          <w:highlight w:val="none"/>
        </w:rPr>
        <w:br w:type="page"/>
      </w:r>
    </w:p>
    <w:p w14:paraId="7BF009B3">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关于进一步加大政府采购支持中小企业力度的通知</w:t>
      </w:r>
    </w:p>
    <w:p w14:paraId="0825E394">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财库〔2022〕19号</w:t>
      </w:r>
    </w:p>
    <w:p w14:paraId="518FF59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各中央预算单位，各省、自治区、直辖市、计划单列市财政厅（局），新疆生产建设兵团财政局：</w:t>
      </w:r>
    </w:p>
    <w:p w14:paraId="04C8FA9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贯彻落实《国务院关于印发扎实稳住经济一揽子政策措施的通知》（国发〔2022〕12号）有关要求，做好财政政策支持中小企业纾困解难工作，助力经济平稳健康发展，现就加大政府采购支持中小企业力度有关事项通知如下：</w:t>
      </w:r>
    </w:p>
    <w:p w14:paraId="48453B8C">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一、严格落实支持中小企业政府采购政策。各地区、各部门要按照国务院的统一部署，认真落实《政府采购促进中小企业发展管理办法》（财库〔2020〕46号）的规定，规范资格条件设置，降低中小企业参与门槛，灵活采取项目整体预留、合理预留采购包、要求大企业与中小企业组成联合体、要求大企业向中小企业分包等形式，确保中小企业合同份额。要通过提高预付款比例、引入信用担保、支持中小企业开展合同融资、免费提供电子采购文件等方式，为中小企业参与采购活动提供便利。要严格按规定及时支付采购资金，不得收取没有法律法规依据的保证金，有效减轻中小企业资金压力。</w:t>
      </w:r>
    </w:p>
    <w:p w14:paraId="3FAAB2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调整对小微企业的价格评审优惠幅度。货物服务采购项目给予小微企业的价格扣除优惠，由财库〔2020〕46号文件规定的6%—10%提高至10%—20%。大中型企业与小微企业组成联合体或者大中型企业向小微企业分包的，评审优惠幅度由2%—3%提高至4%—6%。政府采购工程的价格评审优惠按照财库〔2020〕46号文件的规定执行。自本通知执行之日起发布采购公告或者发出采购邀请的货物服务采购项目，按照本通知规定的评审优惠幅度执行。</w:t>
      </w:r>
    </w:p>
    <w:p w14:paraId="11CF34B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提高政府采购工程面向中小企业预留份额。400万元以下的工程采购项目适宜由中小企业提供的，采购人应当专门面向中小企业采购。超过400万元的工程采购项目中适宜由中小企业提供的，在坚持公开公正、公平竞争原则和统一质量标准的前提下，2022年下半年面向中小企业的预留份额由30%以上阶段性提高至40%以上。发展改革委会同相关工程招投标行政监督部门完善工程招投标领域落实政府采购支持中小企业政策相关措施。省级财政部门要积极协调发展改革、工业和信息化、住房和城乡建设、交通、水利、商务、铁路、民航等部门调整完善工程招投标领域有关标准文本、评标制度等规定和做法，并于2022年6月30日前将落实情况汇总报财政部。</w:t>
      </w:r>
    </w:p>
    <w:p w14:paraId="60C383FC">
      <w:pPr>
        <w:keepNext w:val="0"/>
        <w:keepLines w:val="0"/>
        <w:pageBreakBefore w:val="0"/>
        <w:widowControl w:val="0"/>
        <w:kinsoku/>
        <w:wordWrap/>
        <w:overflowPunct/>
        <w:topLinePunct w:val="0"/>
        <w:autoSpaceDE/>
        <w:autoSpaceDN/>
        <w:bidi w:val="0"/>
        <w:adjustRightInd/>
        <w:snapToGrid/>
        <w:spacing w:line="360" w:lineRule="auto"/>
        <w:ind w:firstLine="210" w:firstLineChars="1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四、认真做好组织实施。各地区、各部门应当加强组织领导，明确工作责任，细化执行要求，强化监督检查，确保国务院部署落实到位，对通知执行中出现的问题要及时向财政部报告。</w:t>
      </w:r>
    </w:p>
    <w:p w14:paraId="22570E1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本通知自2022年7月1日起执行。</w:t>
      </w:r>
    </w:p>
    <w:p w14:paraId="65929F3F">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财  政  部</w:t>
      </w:r>
    </w:p>
    <w:p w14:paraId="0D07848A">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right"/>
        <w:textAlignment w:val="auto"/>
        <w:rPr>
          <w:rFonts w:hint="eastAsia"/>
          <w:color w:val="auto"/>
          <w:highlight w:val="none"/>
        </w:rPr>
      </w:pPr>
      <w:r>
        <w:rPr>
          <w:rFonts w:hint="eastAsia" w:ascii="宋体" w:hAnsi="宋体" w:eastAsia="宋体" w:cs="宋体"/>
          <w:color w:val="auto"/>
          <w:sz w:val="21"/>
          <w:szCs w:val="21"/>
          <w:highlight w:val="none"/>
        </w:rPr>
        <w:t>　　2022年5月30日</w:t>
      </w:r>
    </w:p>
    <w:p w14:paraId="4E5EE3BC">
      <w:pPr>
        <w:rPr>
          <w:rFonts w:hint="eastAsia" w:ascii="宋体" w:hAnsi="宋体" w:cs="宋体"/>
          <w:b/>
          <w:color w:val="auto"/>
          <w:sz w:val="21"/>
          <w:szCs w:val="21"/>
          <w:highlight w:val="none"/>
        </w:rPr>
      </w:pPr>
    </w:p>
    <w:p w14:paraId="4F6A1E69">
      <w:pPr>
        <w:rPr>
          <w:rFonts w:hint="eastAsia" w:ascii="宋体" w:hAnsi="宋体" w:cs="宋体"/>
          <w:b/>
          <w:color w:val="auto"/>
          <w:sz w:val="21"/>
          <w:szCs w:val="21"/>
          <w:highlight w:val="none"/>
        </w:rPr>
      </w:pPr>
      <w:r>
        <w:rPr>
          <w:rFonts w:hint="eastAsia" w:ascii="宋体" w:hAnsi="宋体" w:cs="宋体"/>
          <w:b/>
          <w:color w:val="auto"/>
          <w:sz w:val="21"/>
          <w:szCs w:val="21"/>
          <w:highlight w:val="none"/>
        </w:rPr>
        <w:br w:type="page"/>
      </w:r>
    </w:p>
    <w:p w14:paraId="0984C5A5">
      <w:pPr>
        <w:pStyle w:val="22"/>
        <w:keepNext w:val="0"/>
        <w:keepLines w:val="0"/>
        <w:widowControl/>
        <w:suppressLineNumbers w:val="0"/>
        <w:shd w:val="clear" w:fill="FFFFFF"/>
        <w:spacing w:line="360" w:lineRule="auto"/>
        <w:ind w:left="0" w:firstLine="0"/>
        <w:jc w:val="center"/>
        <w:rPr>
          <w:rFonts w:hint="eastAsia" w:ascii="宋体" w:hAnsi="宋体" w:eastAsia="宋体" w:cs="宋体"/>
          <w:i w:val="0"/>
          <w:iCs w:val="0"/>
          <w:caps w:val="0"/>
          <w:color w:val="000000"/>
          <w:spacing w:val="0"/>
          <w:sz w:val="21"/>
          <w:szCs w:val="21"/>
        </w:rPr>
      </w:pPr>
      <w:r>
        <w:rPr>
          <w:rStyle w:val="28"/>
          <w:rFonts w:hint="eastAsia" w:ascii="宋体" w:hAnsi="宋体" w:eastAsia="宋体" w:cs="宋体"/>
          <w:i w:val="0"/>
          <w:iCs w:val="0"/>
          <w:caps w:val="0"/>
          <w:color w:val="000000"/>
          <w:spacing w:val="0"/>
          <w:sz w:val="21"/>
          <w:szCs w:val="21"/>
          <w:shd w:val="clear" w:fill="FFFFFF"/>
        </w:rPr>
        <w:t>关于印发《吉林省强化政府采购政策支持中小企业发展落实举措》的通知</w:t>
      </w:r>
    </w:p>
    <w:p w14:paraId="70B9A5A0">
      <w:pPr>
        <w:pStyle w:val="22"/>
        <w:keepNext w:val="0"/>
        <w:keepLines w:val="0"/>
        <w:widowControl/>
        <w:suppressLineNumbers w:val="0"/>
        <w:shd w:val="clear" w:fill="FFFFFF"/>
        <w:spacing w:line="360" w:lineRule="auto"/>
        <w:ind w:left="0" w:firstLine="0"/>
        <w:jc w:val="center"/>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吉财采购〔2022〕478号</w:t>
      </w:r>
    </w:p>
    <w:p w14:paraId="1692416E">
      <w:pPr>
        <w:pStyle w:val="22"/>
        <w:keepNext w:val="0"/>
        <w:keepLines w:val="0"/>
        <w:widowControl/>
        <w:suppressLineNumbers w:val="0"/>
        <w:shd w:val="clear" w:fill="FFFFFF"/>
        <w:spacing w:line="360" w:lineRule="auto"/>
        <w:ind w:left="0" w:firstLine="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各省级主管预算单位，各市（州）、县（市、区）财政局，长白山管委会、长春新区、中韩（长春）国际合作示范区管委会财政局，各政府采购代理机构：</w:t>
      </w:r>
    </w:p>
    <w:p w14:paraId="277F2412">
      <w:pPr>
        <w:pStyle w:val="22"/>
        <w:keepNext w:val="0"/>
        <w:keepLines w:val="0"/>
        <w:widowControl/>
        <w:suppressLineNumbers w:val="0"/>
        <w:shd w:val="clear" w:fill="FFFFFF"/>
        <w:spacing w:line="360" w:lineRule="auto"/>
        <w:ind w:left="0" w:firstLine="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现将《吉林省强化政府采购政策支持中小企业发展落实举措》印发给你们，请遵照执行。</w:t>
      </w:r>
    </w:p>
    <w:p w14:paraId="3AD5325A">
      <w:pPr>
        <w:pStyle w:val="22"/>
        <w:keepNext w:val="0"/>
        <w:keepLines w:val="0"/>
        <w:widowControl/>
        <w:suppressLineNumbers w:val="0"/>
        <w:shd w:val="clear" w:fill="FFFFFF"/>
        <w:spacing w:line="360" w:lineRule="auto"/>
        <w:ind w:left="0" w:firstLine="0"/>
        <w:jc w:val="center"/>
        <w:rPr>
          <w:rFonts w:hint="eastAsia" w:ascii="宋体" w:hAnsi="宋体" w:eastAsia="宋体" w:cs="宋体"/>
          <w:i w:val="0"/>
          <w:iCs w:val="0"/>
          <w:caps w:val="0"/>
          <w:color w:val="000000"/>
          <w:spacing w:val="0"/>
          <w:sz w:val="21"/>
          <w:szCs w:val="21"/>
        </w:rPr>
      </w:pPr>
      <w:r>
        <w:rPr>
          <w:rStyle w:val="28"/>
          <w:rFonts w:hint="eastAsia" w:ascii="宋体" w:hAnsi="宋体" w:eastAsia="宋体" w:cs="宋体"/>
          <w:i w:val="0"/>
          <w:iCs w:val="0"/>
          <w:caps w:val="0"/>
          <w:color w:val="000000"/>
          <w:spacing w:val="0"/>
          <w:sz w:val="21"/>
          <w:szCs w:val="21"/>
          <w:shd w:val="clear" w:fill="FFFFFF"/>
        </w:rPr>
        <w:t>吉林省强化政府采购政策支持中小企业发展落实举措</w:t>
      </w:r>
    </w:p>
    <w:p w14:paraId="3A148AC2">
      <w:pPr>
        <w:pStyle w:val="22"/>
        <w:keepNext w:val="0"/>
        <w:keepLines w:val="0"/>
        <w:widowControl/>
        <w:suppressLineNumbers w:val="0"/>
        <w:shd w:val="clear" w:fill="FFFFFF"/>
        <w:spacing w:line="360" w:lineRule="auto"/>
        <w:ind w:left="0" w:firstLine="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为贯彻落实《国务院关于印发扎实稳住经济一揽子政策措施的通知》（国发〔2022〕12号）和省政府《稳定全省经济若干措施》要求，积极应对突发疫情对我省经济社会影响，做好财政政策支持中小企业纾困解难工作，助力全省经济平稳健康发展，按照财政部《关于进一步加大政府采购支持中小企业力度的通知》（财库〔2022〕19号）规定，提出如下落实措施：</w:t>
      </w:r>
    </w:p>
    <w:p w14:paraId="100AAB96">
      <w:pPr>
        <w:pStyle w:val="22"/>
        <w:keepNext w:val="0"/>
        <w:keepLines w:val="0"/>
        <w:widowControl/>
        <w:suppressLineNumbers w:val="0"/>
        <w:shd w:val="clear" w:fill="FFFFFF"/>
        <w:spacing w:line="360" w:lineRule="auto"/>
        <w:ind w:left="0" w:firstLine="0"/>
        <w:jc w:val="both"/>
        <w:rPr>
          <w:rFonts w:hint="eastAsia" w:ascii="宋体" w:hAnsi="宋体" w:eastAsia="宋体" w:cs="宋体"/>
          <w:i w:val="0"/>
          <w:iCs w:val="0"/>
          <w:caps w:val="0"/>
          <w:color w:val="000000"/>
          <w:spacing w:val="0"/>
          <w:sz w:val="21"/>
          <w:szCs w:val="21"/>
        </w:rPr>
      </w:pPr>
      <w:r>
        <w:rPr>
          <w:rStyle w:val="28"/>
          <w:rFonts w:hint="eastAsia" w:ascii="宋体" w:hAnsi="宋体" w:eastAsia="宋体" w:cs="宋体"/>
          <w:i w:val="0"/>
          <w:iCs w:val="0"/>
          <w:caps w:val="0"/>
          <w:color w:val="000000"/>
          <w:spacing w:val="0"/>
          <w:sz w:val="21"/>
          <w:szCs w:val="21"/>
          <w:shd w:val="clear" w:fill="FFFFFF"/>
        </w:rPr>
        <w:t>　　一、强化政策落实支持中小企业发展</w:t>
      </w:r>
    </w:p>
    <w:p w14:paraId="643DA392">
      <w:pPr>
        <w:pStyle w:val="22"/>
        <w:keepNext w:val="0"/>
        <w:keepLines w:val="0"/>
        <w:widowControl/>
        <w:suppressLineNumbers w:val="0"/>
        <w:shd w:val="clear" w:fill="FFFFFF"/>
        <w:spacing w:line="360" w:lineRule="auto"/>
        <w:ind w:left="0" w:firstLine="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各级预算单位要认真落实《政府采购促进中小企业发展管理办法》（财库〔2020〕46号，以下简称《办法》）的规定，加强采购需求管理，规范资格条件设置，降低中小企业参加政府采购活动门槛 。科学编制政府采购预算，提高中小企业预留份额。结合采购项目的实际情况，灵活采取项目整体预留、合理预留采购包、要求大企业与中小企业组成联合体或向中小企业分包等形式，确保中小企业合同份额。适用招标投标法的政府采购工程项目应严格落实政府采购支持中小企业政策。</w:t>
      </w:r>
    </w:p>
    <w:p w14:paraId="0EF9EB62">
      <w:pPr>
        <w:pStyle w:val="22"/>
        <w:keepNext w:val="0"/>
        <w:keepLines w:val="0"/>
        <w:widowControl/>
        <w:suppressLineNumbers w:val="0"/>
        <w:shd w:val="clear" w:fill="FFFFFF"/>
        <w:spacing w:line="360" w:lineRule="auto"/>
        <w:ind w:left="0" w:firstLine="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w:t>
      </w:r>
      <w:r>
        <w:rPr>
          <w:rStyle w:val="28"/>
          <w:rFonts w:hint="eastAsia" w:ascii="宋体" w:hAnsi="宋体" w:eastAsia="宋体" w:cs="宋体"/>
          <w:i w:val="0"/>
          <w:iCs w:val="0"/>
          <w:caps w:val="0"/>
          <w:color w:val="000000"/>
          <w:spacing w:val="0"/>
          <w:sz w:val="21"/>
          <w:szCs w:val="21"/>
          <w:shd w:val="clear" w:fill="FFFFFF"/>
        </w:rPr>
        <w:t>二、提高政府采购项目价格评审优惠幅度</w:t>
      </w:r>
    </w:p>
    <w:p w14:paraId="2D2B11AE">
      <w:pPr>
        <w:pStyle w:val="22"/>
        <w:keepNext w:val="0"/>
        <w:keepLines w:val="0"/>
        <w:widowControl/>
        <w:suppressLineNumbers w:val="0"/>
        <w:shd w:val="clear" w:fill="FFFFFF"/>
        <w:spacing w:line="360" w:lineRule="auto"/>
        <w:ind w:left="0" w:firstLine="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自2022年7月1日起发布采购公告或者发出采购邀请，未预留份额专门面向中小企业采购的货物、服务项目，给予小微企业的价格扣除优惠由《办法》规定的6%-10%提高至10%-20%；大中型企业与小微企业组成联合体或者大中型企业向小微企业分包的，评审优惠幅度由2%—3%提高至4%—6%。政府采购工程的价格评审优惠按照《办法》的规定执行。</w:t>
      </w:r>
    </w:p>
    <w:p w14:paraId="08A5733B">
      <w:pPr>
        <w:pStyle w:val="22"/>
        <w:keepNext w:val="0"/>
        <w:keepLines w:val="0"/>
        <w:widowControl/>
        <w:suppressLineNumbers w:val="0"/>
        <w:shd w:val="clear" w:fill="FFFFFF"/>
        <w:spacing w:line="360" w:lineRule="auto"/>
        <w:ind w:left="0" w:firstLine="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w:t>
      </w:r>
      <w:r>
        <w:rPr>
          <w:rStyle w:val="28"/>
          <w:rFonts w:hint="eastAsia" w:ascii="宋体" w:hAnsi="宋体" w:eastAsia="宋体" w:cs="宋体"/>
          <w:i w:val="0"/>
          <w:iCs w:val="0"/>
          <w:caps w:val="0"/>
          <w:color w:val="000000"/>
          <w:spacing w:val="0"/>
          <w:sz w:val="21"/>
          <w:szCs w:val="21"/>
          <w:shd w:val="clear" w:fill="FFFFFF"/>
        </w:rPr>
        <w:t>三、提高政府采购工程项目预留份额比例</w:t>
      </w:r>
    </w:p>
    <w:p w14:paraId="61885846">
      <w:pPr>
        <w:pStyle w:val="22"/>
        <w:keepNext w:val="0"/>
        <w:keepLines w:val="0"/>
        <w:widowControl/>
        <w:suppressLineNumbers w:val="0"/>
        <w:shd w:val="clear" w:fill="FFFFFF"/>
        <w:spacing w:line="360" w:lineRule="auto"/>
        <w:ind w:left="0" w:firstLine="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400万元以下的工程采购项目适宜由中小企业提供的，采购人应当专门面向中小企业采购。达到或超过400万元的工程采购项目中适宜由中小企业提供的，在坚持公开、公正、公平竞争和统一质量标准的前提下，2022年下半年面向中小企业的预留份额由30%以上提高至40%以上。省财政厅将协调发改、工信、住建、交通、水利、商务等部门，按照国家相关工程招投标行政监督部门对工程招投标领域落实政府采购支持中小企业的政策要求，及时调整完善工程招投标领域有关标准文本、评标制度等，支持督促各预算单位严格落实政府采购政策。</w:t>
      </w:r>
    </w:p>
    <w:p w14:paraId="193FB5B4">
      <w:pPr>
        <w:pStyle w:val="22"/>
        <w:keepNext w:val="0"/>
        <w:keepLines w:val="0"/>
        <w:widowControl/>
        <w:suppressLineNumbers w:val="0"/>
        <w:shd w:val="clear" w:fill="FFFFFF"/>
        <w:spacing w:line="360" w:lineRule="auto"/>
        <w:ind w:left="0" w:firstLine="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w:t>
      </w:r>
      <w:r>
        <w:rPr>
          <w:rStyle w:val="28"/>
          <w:rFonts w:hint="eastAsia" w:ascii="宋体" w:hAnsi="宋体" w:eastAsia="宋体" w:cs="宋体"/>
          <w:i w:val="0"/>
          <w:iCs w:val="0"/>
          <w:caps w:val="0"/>
          <w:color w:val="000000"/>
          <w:spacing w:val="0"/>
          <w:sz w:val="21"/>
          <w:szCs w:val="21"/>
          <w:shd w:val="clear" w:fill="FFFFFF"/>
        </w:rPr>
        <w:t>四、降低经营成本提高履约能力</w:t>
      </w:r>
    </w:p>
    <w:p w14:paraId="1EB5ED72">
      <w:pPr>
        <w:pStyle w:val="22"/>
        <w:keepNext w:val="0"/>
        <w:keepLines w:val="0"/>
        <w:widowControl/>
        <w:suppressLineNumbers w:val="0"/>
        <w:shd w:val="clear" w:fill="FFFFFF"/>
        <w:spacing w:line="360" w:lineRule="auto"/>
        <w:ind w:left="0" w:firstLine="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鼓励采购人、采购代理机构在政府采购活动中免收中小企业保证金或降低收取比例。对确需依法收取保证金的，应明确收取标准、缴纳方式和退还时限等要求，允许中小企业自主选择以支票、汇票、本票、保函等非现金形式缴纳或提交，降低经营成本。采购人、采购代理机构应对2022年5月前实施完成的政府采购项目投标（响应）或履约保证金进行核查清理，对符合法定或合同约定退还条件的应及时退还，切实减轻中小企业资金压力。采购人在编制采购文件时可结合项目实际，明确中小企业获得合同后可采取分期付款的方式，最大限度的确定首期预付款比例，并尽量缩短资金支付期限。</w:t>
      </w:r>
    </w:p>
    <w:p w14:paraId="5C97CB2C">
      <w:pPr>
        <w:pStyle w:val="22"/>
        <w:keepNext w:val="0"/>
        <w:keepLines w:val="0"/>
        <w:widowControl/>
        <w:suppressLineNumbers w:val="0"/>
        <w:shd w:val="clear" w:fill="FFFFFF"/>
        <w:spacing w:line="360" w:lineRule="auto"/>
        <w:ind w:left="0" w:firstLine="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w:t>
      </w:r>
      <w:r>
        <w:rPr>
          <w:rStyle w:val="28"/>
          <w:rFonts w:hint="eastAsia" w:ascii="宋体" w:hAnsi="宋体" w:eastAsia="宋体" w:cs="宋体"/>
          <w:i w:val="0"/>
          <w:iCs w:val="0"/>
          <w:caps w:val="0"/>
          <w:color w:val="000000"/>
          <w:spacing w:val="0"/>
          <w:sz w:val="21"/>
          <w:szCs w:val="21"/>
          <w:shd w:val="clear" w:fill="FFFFFF"/>
        </w:rPr>
        <w:t>五、优化政府采购程序推进全流程电子化</w:t>
      </w:r>
    </w:p>
    <w:p w14:paraId="670C3926">
      <w:pPr>
        <w:pStyle w:val="22"/>
        <w:keepNext w:val="0"/>
        <w:keepLines w:val="0"/>
        <w:widowControl/>
        <w:suppressLineNumbers w:val="0"/>
        <w:shd w:val="clear" w:fill="FFFFFF"/>
        <w:spacing w:line="360" w:lineRule="auto"/>
        <w:ind w:left="0" w:firstLine="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中小企业参加政府采购活动，对于出具《中小企业声明函》的，任何单位和个人不得另行要求提供《中小企业声明函》之外的中小企业身份证明文件。对于法人代表已经出具委托书的，不得要求法人代表亲自领购采购文件或者到场参加开标、谈判等。加快推进全省政府采购全流程电子化建设，实现在线发布采购公告、提供采购文件、提交投标（响应）文件，实行电子开标、电子评审，提升中小企业参与政府采购活动的便利度。</w:t>
      </w:r>
    </w:p>
    <w:p w14:paraId="1DB47BA5">
      <w:pPr>
        <w:pStyle w:val="22"/>
        <w:keepNext w:val="0"/>
        <w:keepLines w:val="0"/>
        <w:widowControl/>
        <w:suppressLineNumbers w:val="0"/>
        <w:shd w:val="clear" w:fill="FFFFFF"/>
        <w:spacing w:line="360" w:lineRule="auto"/>
        <w:ind w:left="0" w:firstLine="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w:t>
      </w:r>
      <w:r>
        <w:rPr>
          <w:rStyle w:val="28"/>
          <w:rFonts w:hint="eastAsia" w:ascii="宋体" w:hAnsi="宋体" w:eastAsia="宋体" w:cs="宋体"/>
          <w:i w:val="0"/>
          <w:iCs w:val="0"/>
          <w:caps w:val="0"/>
          <w:color w:val="000000"/>
          <w:spacing w:val="0"/>
          <w:sz w:val="21"/>
          <w:szCs w:val="21"/>
          <w:shd w:val="clear" w:fill="FFFFFF"/>
        </w:rPr>
        <w:t>六、加强项目执行管理提升政府采购透明度</w:t>
      </w:r>
    </w:p>
    <w:p w14:paraId="60A88380">
      <w:pPr>
        <w:pStyle w:val="22"/>
        <w:keepNext w:val="0"/>
        <w:keepLines w:val="0"/>
        <w:widowControl/>
        <w:suppressLineNumbers w:val="0"/>
        <w:shd w:val="clear" w:fill="FFFFFF"/>
        <w:spacing w:line="360" w:lineRule="auto"/>
        <w:ind w:left="0" w:firstLine="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采购人、采购代理机构对投标（响应）文件的格式、形式要求应当简化明确，不得因非实质性的格式、形式问题限制和影响中小企业投标（响应）。实现电子化采购的，采购人、采购代理机构应当免费提供电子采购文件；暂未实现电子化采购的，鼓励采购人、采购代理机构向中小企业免费提供纸质采购文件。各级预算单位在公开政府采购意向时，必须标明是否专门面向中小企业采购，便于中小企业提前做好参与政府采购活动的各项准备工作。未按照规定进行政府采购意向公开的采购项目，原则上不得开展采购活动。</w:t>
      </w:r>
    </w:p>
    <w:p w14:paraId="7F2466DC">
      <w:pPr>
        <w:pStyle w:val="22"/>
        <w:keepNext w:val="0"/>
        <w:keepLines w:val="0"/>
        <w:widowControl/>
        <w:suppressLineNumbers w:val="0"/>
        <w:shd w:val="clear" w:fill="FFFFFF"/>
        <w:spacing w:line="360" w:lineRule="auto"/>
        <w:ind w:left="0" w:firstLine="0"/>
        <w:jc w:val="both"/>
        <w:rPr>
          <w:rFonts w:hint="eastAsia" w:ascii="宋体" w:hAnsi="宋体" w:eastAsia="宋体" w:cs="宋体"/>
          <w:i w:val="0"/>
          <w:iCs w:val="0"/>
          <w:caps w:val="0"/>
          <w:color w:val="000000"/>
          <w:spacing w:val="0"/>
          <w:sz w:val="21"/>
          <w:szCs w:val="21"/>
        </w:rPr>
      </w:pPr>
      <w:r>
        <w:rPr>
          <w:rFonts w:hint="eastAsia" w:ascii="宋体" w:hAnsi="宋体" w:eastAsia="宋体" w:cs="宋体"/>
          <w:i w:val="0"/>
          <w:iCs w:val="0"/>
          <w:caps w:val="0"/>
          <w:color w:val="000000"/>
          <w:spacing w:val="0"/>
          <w:sz w:val="21"/>
          <w:szCs w:val="21"/>
          <w:shd w:val="clear" w:fill="FFFFFF"/>
        </w:rPr>
        <w:t>　　各级主管预算单位要加强对本部门、本系统政府采购项目的统筹把握，明确工作责任，周密安排部署，严格落实预留采购份额和价格评审优惠措施支持中小企业发展。同时，按照六条措施要求，要制定具体工作方案，确保政策执行不走样、显成效。各级财政部门应加强组织领导，结合本地区实际情况明确政策执行要求，加强对采购单位政策执行情况的监督检查，在政策执行中好的经验办法和遇到的问题及时向省财政厅报告。</w:t>
      </w:r>
    </w:p>
    <w:p w14:paraId="60061406">
      <w:pPr>
        <w:rPr>
          <w:rFonts w:hint="eastAsia" w:ascii="宋体" w:hAnsi="宋体" w:cs="宋体"/>
          <w:b/>
          <w:color w:val="auto"/>
          <w:sz w:val="21"/>
          <w:szCs w:val="21"/>
          <w:highlight w:val="none"/>
        </w:rPr>
      </w:pPr>
    </w:p>
    <w:p w14:paraId="309CCF2C">
      <w:pPr>
        <w:spacing w:line="500" w:lineRule="exact"/>
        <w:jc w:val="center"/>
        <w:rPr>
          <w:rFonts w:hint="eastAsia" w:ascii="宋体" w:hAnsi="宋体" w:cs="宋体"/>
          <w:b/>
          <w:color w:val="auto"/>
          <w:sz w:val="21"/>
          <w:szCs w:val="21"/>
          <w:highlight w:val="none"/>
        </w:rPr>
      </w:pPr>
    </w:p>
    <w:p w14:paraId="65AB0B98">
      <w:pPr>
        <w:spacing w:line="50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 xml:space="preserve">工业和信息化部 国家统计局  国家发展改革委  财政部  </w:t>
      </w:r>
    </w:p>
    <w:p w14:paraId="34AF3482">
      <w:pPr>
        <w:spacing w:line="500" w:lineRule="exact"/>
        <w:jc w:val="center"/>
        <w:rPr>
          <w:rFonts w:ascii="宋体" w:hAnsi="宋体" w:cs="宋体"/>
          <w:b/>
          <w:color w:val="auto"/>
          <w:sz w:val="21"/>
          <w:szCs w:val="21"/>
          <w:highlight w:val="none"/>
        </w:rPr>
      </w:pPr>
      <w:r>
        <w:rPr>
          <w:rFonts w:hint="eastAsia" w:ascii="宋体" w:hAnsi="宋体" w:cs="宋体"/>
          <w:b/>
          <w:color w:val="auto"/>
          <w:sz w:val="21"/>
          <w:szCs w:val="21"/>
          <w:highlight w:val="none"/>
        </w:rPr>
        <w:t>工信部联企业[2011]300号</w:t>
      </w:r>
    </w:p>
    <w:p w14:paraId="467F5DA8">
      <w:pPr>
        <w:spacing w:line="500" w:lineRule="exact"/>
        <w:jc w:val="center"/>
        <w:rPr>
          <w:rFonts w:ascii="宋体" w:hAnsi="宋体" w:cs="宋体"/>
          <w:color w:val="auto"/>
          <w:sz w:val="21"/>
          <w:szCs w:val="21"/>
          <w:highlight w:val="none"/>
        </w:rPr>
      </w:pPr>
      <w:r>
        <w:rPr>
          <w:rFonts w:hint="eastAsia" w:ascii="宋体" w:hAnsi="宋体" w:cs="宋体"/>
          <w:color w:val="auto"/>
          <w:sz w:val="21"/>
          <w:szCs w:val="21"/>
          <w:highlight w:val="none"/>
        </w:rPr>
        <w:t>关于印发中小企业划型标准规定的通知</w:t>
      </w:r>
    </w:p>
    <w:p w14:paraId="4633FBA9">
      <w:pPr>
        <w:spacing w:line="50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各省、自治区、直辖市人民政府，国务院各部委、各直属机构及有关单位：</w:t>
      </w:r>
    </w:p>
    <w:p w14:paraId="569A495A">
      <w:pPr>
        <w:spacing w:line="500" w:lineRule="exact"/>
        <w:jc w:val="left"/>
        <w:rPr>
          <w:rFonts w:ascii="宋体" w:hAnsi="宋体" w:cs="宋体"/>
          <w:color w:val="auto"/>
          <w:sz w:val="21"/>
          <w:szCs w:val="21"/>
          <w:highlight w:val="none"/>
        </w:rPr>
      </w:pPr>
      <w:r>
        <w:rPr>
          <w:rFonts w:hint="eastAsia" w:ascii="宋体" w:hAnsi="宋体" w:cs="宋体"/>
          <w:color w:val="auto"/>
          <w:sz w:val="21"/>
          <w:szCs w:val="21"/>
          <w:highlight w:val="none"/>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73CB2341">
      <w:pPr>
        <w:spacing w:line="500" w:lineRule="exact"/>
        <w:ind w:firstLine="105" w:firstLineChars="50"/>
        <w:jc w:val="right"/>
        <w:rPr>
          <w:rFonts w:ascii="宋体" w:hAnsi="宋体" w:cs="宋体"/>
          <w:color w:val="auto"/>
          <w:sz w:val="21"/>
          <w:szCs w:val="21"/>
          <w:highlight w:val="none"/>
        </w:rPr>
      </w:pPr>
      <w:r>
        <w:rPr>
          <w:rFonts w:hint="eastAsia" w:ascii="宋体" w:hAnsi="宋体" w:cs="宋体"/>
          <w:color w:val="auto"/>
          <w:sz w:val="21"/>
          <w:szCs w:val="21"/>
          <w:highlight w:val="none"/>
        </w:rPr>
        <w:t xml:space="preserve">        工业和信息化部  国家统计局</w:t>
      </w:r>
    </w:p>
    <w:p w14:paraId="6333F253">
      <w:pPr>
        <w:spacing w:line="500" w:lineRule="exact"/>
        <w:ind w:firstLine="105" w:firstLineChars="50"/>
        <w:jc w:val="right"/>
        <w:rPr>
          <w:rFonts w:ascii="宋体" w:hAnsi="宋体" w:cs="宋体"/>
          <w:color w:val="auto"/>
          <w:sz w:val="21"/>
          <w:szCs w:val="21"/>
          <w:highlight w:val="none"/>
        </w:rPr>
      </w:pPr>
      <w:r>
        <w:rPr>
          <w:rFonts w:hint="eastAsia" w:ascii="宋体" w:hAnsi="宋体" w:cs="宋体"/>
          <w:color w:val="auto"/>
          <w:sz w:val="21"/>
          <w:szCs w:val="21"/>
          <w:highlight w:val="none"/>
        </w:rPr>
        <w:t xml:space="preserve">       国家发展和改革委员会  财政部</w:t>
      </w:r>
    </w:p>
    <w:p w14:paraId="76661847">
      <w:pPr>
        <w:spacing w:line="500" w:lineRule="exact"/>
        <w:ind w:firstLine="105" w:firstLineChars="50"/>
        <w:jc w:val="right"/>
        <w:rPr>
          <w:rFonts w:ascii="宋体" w:hAnsi="宋体" w:cs="宋体"/>
          <w:color w:val="auto"/>
          <w:sz w:val="21"/>
          <w:szCs w:val="21"/>
          <w:highlight w:val="none"/>
        </w:rPr>
      </w:pPr>
      <w:r>
        <w:rPr>
          <w:rFonts w:hint="eastAsia" w:ascii="宋体" w:hAnsi="宋体" w:cs="宋体"/>
          <w:color w:val="auto"/>
          <w:sz w:val="21"/>
          <w:szCs w:val="21"/>
          <w:highlight w:val="none"/>
        </w:rPr>
        <w:t xml:space="preserve">       二○一一年六月十八日</w:t>
      </w:r>
    </w:p>
    <w:p w14:paraId="5860736F">
      <w:pPr>
        <w:spacing w:line="500" w:lineRule="exact"/>
        <w:jc w:val="center"/>
        <w:rPr>
          <w:rFonts w:hint="eastAsia" w:ascii="宋体" w:hAnsi="宋体" w:cs="宋体"/>
          <w:b/>
          <w:color w:val="auto"/>
          <w:sz w:val="21"/>
          <w:szCs w:val="21"/>
          <w:highlight w:val="none"/>
        </w:rPr>
      </w:pPr>
    </w:p>
    <w:p w14:paraId="1609FEA7">
      <w:pPr>
        <w:spacing w:line="500" w:lineRule="exact"/>
        <w:jc w:val="center"/>
        <w:rPr>
          <w:rFonts w:hint="eastAsia" w:ascii="宋体" w:hAnsi="宋体" w:cs="宋体"/>
          <w:b/>
          <w:color w:val="auto"/>
          <w:sz w:val="21"/>
          <w:szCs w:val="21"/>
          <w:highlight w:val="none"/>
        </w:rPr>
      </w:pPr>
    </w:p>
    <w:p w14:paraId="431BF0C4">
      <w:pPr>
        <w:rPr>
          <w:rFonts w:hint="eastAsia" w:ascii="宋体" w:hAnsi="宋体" w:cs="宋体"/>
          <w:b/>
          <w:color w:val="auto"/>
          <w:sz w:val="21"/>
          <w:szCs w:val="21"/>
          <w:highlight w:val="none"/>
        </w:rPr>
      </w:pPr>
      <w:r>
        <w:rPr>
          <w:rFonts w:hint="eastAsia" w:ascii="宋体" w:hAnsi="宋体" w:cs="宋体"/>
          <w:b/>
          <w:color w:val="auto"/>
          <w:sz w:val="21"/>
          <w:szCs w:val="21"/>
          <w:highlight w:val="none"/>
        </w:rPr>
        <w:br w:type="page"/>
      </w:r>
    </w:p>
    <w:p w14:paraId="47D043F7">
      <w:pPr>
        <w:spacing w:line="500" w:lineRule="exact"/>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中小企业划型标准规定</w:t>
      </w:r>
    </w:p>
    <w:p w14:paraId="5C01672D">
      <w:pPr>
        <w:spacing w:line="500" w:lineRule="exact"/>
        <w:jc w:val="center"/>
        <w:rPr>
          <w:rFonts w:hint="eastAsia" w:ascii="宋体" w:hAnsi="宋体" w:cs="宋体"/>
          <w:b/>
          <w:color w:val="auto"/>
          <w:sz w:val="21"/>
          <w:szCs w:val="21"/>
          <w:highlight w:val="none"/>
        </w:rPr>
      </w:pPr>
    </w:p>
    <w:p w14:paraId="26ECF00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一、根据《中华人民共和国中小企业促进法》和《国务院关于进一步促进中小企业发展的若干意见》(国发〔2009〕36号)，制定本规定。</w:t>
      </w:r>
    </w:p>
    <w:p w14:paraId="43B98A2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二、中小企业划分为中型、小型、微型三种类型，具体标准根据企业从业人员、营业收入、资产总额等指标，结合行业特点制定。</w:t>
      </w:r>
    </w:p>
    <w:p w14:paraId="1796264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30C30DB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四、各行业划型标准为：</w:t>
      </w:r>
    </w:p>
    <w:p w14:paraId="45ECCC3A">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（一）农、林、牧、渔业。营业收入20000万元以下的为中小微型企业。其中，营业收入500万元及以上的为中型企业，营业收入50万元及以上的为小型企业，营业收入50万元以下的为微型企业。</w:t>
      </w:r>
    </w:p>
    <w:p w14:paraId="517CAB1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72EA790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7DC9C80">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EB327AD">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753E9EEF">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2740A5FE">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071E0F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B5B292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6C6360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555F07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30C5CB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8C63CD5">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24D716B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807581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1A82B73">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（十六）其他未列明行业。从业人员300人以下的为中小微型企业。其中，从业人员100人及以上的为中型企业；从业人员10人及以上的为小型企业；从业人员10人以下的为微型企业。</w:t>
      </w:r>
    </w:p>
    <w:p w14:paraId="795EA238">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五、企业类型的划分以统计部门的统计数据为依据。</w:t>
      </w:r>
    </w:p>
    <w:p w14:paraId="0589469B">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六、本规定适用于在中华人民共和国境内依法设立的各类所有制和各种组织形式的企业。个体工商户和本规定以外的行业，参照本规定进行划型。</w:t>
      </w:r>
    </w:p>
    <w:p w14:paraId="0D18D8B4">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0195FB7C">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ascii="宋体" w:hAnsi="宋体" w:cs="宋体"/>
          <w:color w:val="auto"/>
          <w:sz w:val="21"/>
          <w:szCs w:val="21"/>
          <w:highlight w:val="none"/>
        </w:rPr>
      </w:pPr>
      <w:r>
        <w:rPr>
          <w:rFonts w:hint="eastAsia" w:ascii="宋体" w:hAnsi="宋体" w:cs="宋体"/>
          <w:color w:val="auto"/>
          <w:sz w:val="21"/>
          <w:szCs w:val="21"/>
          <w:highlight w:val="none"/>
        </w:rPr>
        <w:t>八、本规定由工业和信息化部、国家统计局会同有关部门根据《国民经济行业分类》修订情况和企业发展变化情况适时修订。</w:t>
      </w:r>
    </w:p>
    <w:p w14:paraId="69CAE0B2">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九、本规定由工业和信息化部、国家统计局会同有关部门负责解释。</w:t>
      </w:r>
    </w:p>
    <w:p w14:paraId="537208C9">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cs="宋体"/>
          <w:color w:val="auto"/>
          <w:sz w:val="24"/>
          <w:szCs w:val="24"/>
          <w:highlight w:val="none"/>
        </w:rPr>
      </w:pPr>
      <w:r>
        <w:rPr>
          <w:rFonts w:hint="eastAsia" w:ascii="宋体" w:hAnsi="宋体" w:cs="宋体"/>
          <w:color w:val="auto"/>
          <w:sz w:val="21"/>
          <w:szCs w:val="21"/>
          <w:highlight w:val="none"/>
        </w:rPr>
        <w:t>十、本规定自发布之日起执行，原国家经贸委、原国家计委、财政部和国家统计局2003年颁布的《中小企业标准暂行规定》同时废止。</w:t>
      </w:r>
      <w:r>
        <w:rPr>
          <w:rFonts w:hint="eastAsia" w:ascii="宋体" w:hAnsi="宋体" w:cs="宋体"/>
          <w:color w:val="auto"/>
          <w:sz w:val="24"/>
          <w:szCs w:val="24"/>
          <w:highlight w:val="none"/>
        </w:rPr>
        <w:br w:type="page"/>
      </w:r>
    </w:p>
    <w:p w14:paraId="1C3462D6">
      <w:pPr>
        <w:jc w:val="cente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t>国家统计局关于印发《统计上大中小微型企业划分办法（2017）》的通知</w:t>
      </w:r>
    </w:p>
    <w:p w14:paraId="1A9CD240">
      <w:pP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 </w:t>
      </w:r>
    </w:p>
    <w:p w14:paraId="007D48BA">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国统字〔2017〕213号 </w:t>
      </w:r>
    </w:p>
    <w:p w14:paraId="25F22E32">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各省、自治区、直辖市统计局，新疆生产建设兵团统计局，国务院各有关部门，国家统计局各调查总队：</w:t>
      </w:r>
    </w:p>
    <w:p w14:paraId="0CAD42A9">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w:t>
      </w:r>
    </w:p>
    <w:p w14:paraId="72381DD7">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07EDD702">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w:t>
      </w:r>
    </w:p>
    <w:p w14:paraId="31A8246C">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附件：《统计上大中小微型企业划分办法（2017）》修订说明</w:t>
      </w:r>
    </w:p>
    <w:p w14:paraId="188E6C69">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w:t>
      </w:r>
    </w:p>
    <w:p w14:paraId="4D73F264">
      <w:pPr>
        <w:spacing w:line="360" w:lineRule="auto"/>
        <w:jc w:val="righ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xml:space="preserve">    国家统计局  </w:t>
      </w:r>
    </w:p>
    <w:p w14:paraId="78372BF6">
      <w:pPr>
        <w:spacing w:line="360" w:lineRule="auto"/>
        <w:jc w:val="right"/>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2017年12月28日</w:t>
      </w:r>
    </w:p>
    <w:p w14:paraId="5668C6C9">
      <w:pP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w:t>
      </w:r>
    </w:p>
    <w:p w14:paraId="57CDD456">
      <w:pPr>
        <w:jc w:val="cente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br w:type="page"/>
      </w:r>
      <w:r>
        <w:rPr>
          <w:rFonts w:hint="eastAsia" w:ascii="宋体" w:hAnsi="宋体" w:eastAsia="宋体" w:cs="宋体"/>
          <w:b/>
          <w:bCs/>
          <w:i w:val="0"/>
          <w:iCs w:val="0"/>
          <w:caps w:val="0"/>
          <w:color w:val="auto"/>
          <w:spacing w:val="0"/>
          <w:kern w:val="0"/>
          <w:sz w:val="21"/>
          <w:szCs w:val="21"/>
          <w:highlight w:val="none"/>
          <w:shd w:val="clear" w:color="auto" w:fill="FFFFFF"/>
          <w:lang w:val="en-US" w:eastAsia="zh-CN" w:bidi="ar"/>
        </w:rPr>
        <w:t>统计上大中小微型企业划分办法（2017）</w:t>
      </w:r>
    </w:p>
    <w:p w14:paraId="2C8ACA98">
      <w:pP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w:t>
      </w:r>
    </w:p>
    <w:p w14:paraId="21638F74">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一、根据工业和信息化部、国家统计局、国家发展改革委、财政部《关于印发中小企业划型标准规定的通知》（工信部联企业〔2011〕300号），以《国民经济行业分类》（GB/T4754-2017）为基础，结合统计工作的实际情况，制定本办法。</w:t>
      </w:r>
    </w:p>
    <w:p w14:paraId="4BF4752A">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w:t>
      </w:r>
    </w:p>
    <w:p w14:paraId="6137EB17">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二、本办法适用对象为在中华人民共和国境内依法设立的各种组织形式的法人企业或单位。个体工商户参照本办法进行划分。</w:t>
      </w:r>
    </w:p>
    <w:p w14:paraId="38EE90EA">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w:t>
      </w:r>
    </w:p>
    <w:p w14:paraId="628C558D">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0C494485">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w:t>
      </w:r>
    </w:p>
    <w:p w14:paraId="36B9B992">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四、本办法按照行业门类、大类、中类和组合类别，依据从业人员、营业收入、资产总额等指标或替代指标，将我国的企业划分为大型、中型、小型、微型等四种类型。具体划分标准见附表。</w:t>
      </w:r>
    </w:p>
    <w:p w14:paraId="4F2FEB15">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w:t>
      </w:r>
    </w:p>
    <w:p w14:paraId="22DCD6DF">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五、企业划分由政府综合统计部门根据统计年报每年确定一次，定报统计原则上不进行调整。</w:t>
      </w:r>
    </w:p>
    <w:p w14:paraId="305DB1BE">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w:t>
      </w:r>
    </w:p>
    <w:p w14:paraId="6765D4C7">
      <w:pPr>
        <w:spacing w:line="360" w:lineRule="auto"/>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六、本办法自印发之日起执行，国家统计局2011年印发的《统计上大中小微型企业划分办法》（国统字〔2011〕75号）同时废止。</w:t>
      </w:r>
    </w:p>
    <w:p w14:paraId="3779E8E6">
      <w:pP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pP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 </w:t>
      </w:r>
    </w:p>
    <w:p w14:paraId="059770A9">
      <w:pP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　</w:t>
      </w:r>
    </w:p>
    <w:p w14:paraId="332097AD">
      <w:pP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p>
    <w:p w14:paraId="4E407A5C">
      <w:pP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p>
    <w:p w14:paraId="1753E144">
      <w:pP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p>
    <w:p w14:paraId="0167C929">
      <w:pP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p>
    <w:p w14:paraId="527BA904">
      <w:pP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p>
    <w:p w14:paraId="549ECF9A">
      <w:pP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br w:type="page"/>
      </w:r>
      <w:r>
        <w:rPr>
          <w:rFonts w:hint="eastAsia" w:ascii="宋体" w:hAnsi="宋体" w:eastAsia="宋体" w:cs="宋体"/>
          <w:i w:val="0"/>
          <w:iCs w:val="0"/>
          <w:caps w:val="0"/>
          <w:color w:val="auto"/>
          <w:spacing w:val="0"/>
          <w:kern w:val="0"/>
          <w:sz w:val="21"/>
          <w:szCs w:val="21"/>
          <w:highlight w:val="none"/>
          <w:shd w:val="clear" w:color="auto" w:fill="FFFFFF"/>
          <w:lang w:val="en-US" w:eastAsia="zh-CN" w:bidi="ar"/>
        </w:rPr>
        <w:t>附表：统计上大中小微型企业划分标准</w:t>
      </w:r>
    </w:p>
    <w:p w14:paraId="71C6337D">
      <w:pPr>
        <w:rPr>
          <w:color w:val="auto"/>
          <w:sz w:val="24"/>
          <w:szCs w:val="24"/>
          <w:highlight w:val="none"/>
        </w:rPr>
      </w:pPr>
    </w:p>
    <w:p w14:paraId="2BBE96A7">
      <w:pPr>
        <w:widowControl/>
        <w:spacing w:line="330" w:lineRule="atLeast"/>
        <w:jc w:val="center"/>
        <w:rPr>
          <w:rFonts w:hint="eastAsia" w:ascii="方正小标宋_GBK" w:hAnsi="宋体" w:eastAsia="方正小标宋_GBK" w:cs="宋体"/>
          <w:color w:val="auto"/>
          <w:kern w:val="0"/>
          <w:sz w:val="36"/>
          <w:szCs w:val="32"/>
          <w:highlight w:val="none"/>
        </w:rPr>
      </w:pPr>
      <w:r>
        <w:rPr>
          <w:rFonts w:hint="eastAsia" w:ascii="方正小标宋_GBK" w:hAnsi="宋体" w:eastAsia="方正小标宋_GBK" w:cs="宋体"/>
          <w:color w:val="auto"/>
          <w:kern w:val="0"/>
          <w:sz w:val="36"/>
          <w:szCs w:val="32"/>
          <w:highlight w:val="none"/>
        </w:rPr>
        <w:t>统计上大中小微型企业划分标准</w:t>
      </w:r>
    </w:p>
    <w:tbl>
      <w:tblPr>
        <w:tblStyle w:val="25"/>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0CC0AFBE">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noWrap w:val="0"/>
            <w:vAlign w:val="center"/>
          </w:tcPr>
          <w:p w14:paraId="6BD75E00">
            <w:pPr>
              <w:widowControl/>
              <w:spacing w:line="24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tcBorders>
              <w:top w:val="single" w:color="auto" w:sz="4" w:space="0"/>
              <w:left w:val="nil"/>
              <w:bottom w:val="single" w:color="auto" w:sz="4" w:space="0"/>
              <w:right w:val="single" w:color="auto" w:sz="4" w:space="0"/>
            </w:tcBorders>
            <w:noWrap w:val="0"/>
            <w:vAlign w:val="center"/>
          </w:tcPr>
          <w:p w14:paraId="7572AC89">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tcBorders>
              <w:top w:val="single" w:color="auto" w:sz="4" w:space="0"/>
              <w:left w:val="nil"/>
              <w:bottom w:val="single" w:color="auto" w:sz="4" w:space="0"/>
              <w:right w:val="single" w:color="auto" w:sz="4" w:space="0"/>
            </w:tcBorders>
            <w:noWrap w:val="0"/>
            <w:vAlign w:val="center"/>
          </w:tcPr>
          <w:p w14:paraId="3A98D6BF">
            <w:pPr>
              <w:widowControl/>
              <w:jc w:val="center"/>
              <w:rPr>
                <w:rFonts w:hint="eastAsia" w:ascii="宋体" w:hAnsi="宋体" w:eastAsia="宋体" w:cs="宋体"/>
                <w:b/>
                <w:bCs/>
                <w:color w:val="auto"/>
                <w:kern w:val="0"/>
                <w:sz w:val="18"/>
                <w:szCs w:val="18"/>
                <w:highlight w:val="none"/>
                <w:lang w:eastAsia="zh-CN"/>
              </w:rPr>
            </w:pPr>
            <w:r>
              <w:rPr>
                <w:rFonts w:hint="eastAsia" w:ascii="宋体" w:hAnsi="宋体" w:cs="宋体"/>
                <w:b/>
                <w:bCs/>
                <w:color w:val="auto"/>
                <w:kern w:val="0"/>
                <w:sz w:val="18"/>
                <w:szCs w:val="18"/>
                <w:highlight w:val="none"/>
              </w:rPr>
              <w:t>计量</w:t>
            </w:r>
          </w:p>
          <w:p w14:paraId="3EE1DC92">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单位</w:t>
            </w:r>
          </w:p>
        </w:tc>
        <w:tc>
          <w:tcPr>
            <w:tcW w:w="1125" w:type="dxa"/>
            <w:tcBorders>
              <w:top w:val="single" w:color="auto" w:sz="4" w:space="0"/>
              <w:left w:val="nil"/>
              <w:bottom w:val="single" w:color="auto" w:sz="4" w:space="0"/>
              <w:right w:val="single" w:color="auto" w:sz="4" w:space="0"/>
            </w:tcBorders>
            <w:noWrap w:val="0"/>
            <w:vAlign w:val="center"/>
          </w:tcPr>
          <w:p w14:paraId="20A7D655">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tcBorders>
              <w:top w:val="single" w:color="auto" w:sz="4" w:space="0"/>
              <w:left w:val="nil"/>
              <w:bottom w:val="single" w:color="auto" w:sz="4" w:space="0"/>
              <w:right w:val="single" w:color="auto" w:sz="4" w:space="0"/>
            </w:tcBorders>
            <w:noWrap w:val="0"/>
            <w:vAlign w:val="center"/>
          </w:tcPr>
          <w:p w14:paraId="06C42DB3">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tcBorders>
              <w:top w:val="single" w:color="auto" w:sz="4" w:space="0"/>
              <w:left w:val="nil"/>
              <w:bottom w:val="single" w:color="auto" w:sz="4" w:space="0"/>
              <w:right w:val="single" w:color="auto" w:sz="4" w:space="0"/>
            </w:tcBorders>
            <w:noWrap w:val="0"/>
            <w:vAlign w:val="center"/>
          </w:tcPr>
          <w:p w14:paraId="460B8517">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tcBorders>
              <w:top w:val="single" w:color="auto" w:sz="4" w:space="0"/>
              <w:left w:val="nil"/>
              <w:bottom w:val="single" w:color="auto" w:sz="4" w:space="0"/>
              <w:right w:val="nil"/>
            </w:tcBorders>
            <w:noWrap w:val="0"/>
            <w:vAlign w:val="center"/>
          </w:tcPr>
          <w:p w14:paraId="6D2E2616">
            <w:pPr>
              <w:widowControl/>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72BC7AF5">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noWrap w:val="0"/>
            <w:vAlign w:val="center"/>
          </w:tcPr>
          <w:p w14:paraId="52F38C0D">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农、林、牧、渔业</w:t>
            </w:r>
          </w:p>
        </w:tc>
        <w:tc>
          <w:tcPr>
            <w:tcW w:w="1369" w:type="dxa"/>
            <w:tcBorders>
              <w:top w:val="nil"/>
              <w:left w:val="nil"/>
              <w:bottom w:val="single" w:color="auto" w:sz="4" w:space="0"/>
              <w:right w:val="single" w:color="auto" w:sz="4" w:space="0"/>
            </w:tcBorders>
            <w:noWrap w:val="0"/>
            <w:vAlign w:val="center"/>
          </w:tcPr>
          <w:p w14:paraId="66160BF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5D9A992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5D42ED7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tcBorders>
              <w:top w:val="nil"/>
              <w:left w:val="nil"/>
              <w:bottom w:val="single" w:color="auto" w:sz="4" w:space="0"/>
              <w:right w:val="single" w:color="auto" w:sz="4" w:space="0"/>
            </w:tcBorders>
            <w:noWrap w:val="0"/>
            <w:vAlign w:val="center"/>
          </w:tcPr>
          <w:p w14:paraId="381EC19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tcBorders>
              <w:top w:val="nil"/>
              <w:left w:val="nil"/>
              <w:bottom w:val="single" w:color="auto" w:sz="4" w:space="0"/>
              <w:right w:val="single" w:color="auto" w:sz="4" w:space="0"/>
            </w:tcBorders>
            <w:noWrap w:val="0"/>
            <w:vAlign w:val="center"/>
          </w:tcPr>
          <w:p w14:paraId="4884CC1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50≤Y＜500</w:t>
            </w:r>
          </w:p>
        </w:tc>
        <w:tc>
          <w:tcPr>
            <w:tcW w:w="992" w:type="dxa"/>
            <w:tcBorders>
              <w:top w:val="nil"/>
              <w:left w:val="nil"/>
              <w:bottom w:val="single" w:color="auto" w:sz="4" w:space="0"/>
              <w:right w:val="nil"/>
            </w:tcBorders>
            <w:noWrap w:val="0"/>
            <w:vAlign w:val="center"/>
          </w:tcPr>
          <w:p w14:paraId="791FFB6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7EC6BFE6">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240A4CA7">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工业 *</w:t>
            </w:r>
          </w:p>
        </w:tc>
        <w:tc>
          <w:tcPr>
            <w:tcW w:w="1369" w:type="dxa"/>
            <w:tcBorders>
              <w:top w:val="nil"/>
              <w:left w:val="nil"/>
              <w:bottom w:val="nil"/>
              <w:right w:val="single" w:color="auto" w:sz="4" w:space="0"/>
            </w:tcBorders>
            <w:noWrap w:val="0"/>
            <w:vAlign w:val="center"/>
          </w:tcPr>
          <w:p w14:paraId="45005B1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46926CA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1C94CA6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op w:val="nil"/>
              <w:left w:val="nil"/>
              <w:bottom w:val="nil"/>
              <w:right w:val="single" w:color="auto" w:sz="4" w:space="0"/>
            </w:tcBorders>
            <w:noWrap w:val="0"/>
            <w:vAlign w:val="center"/>
          </w:tcPr>
          <w:p w14:paraId="61D212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op w:val="nil"/>
              <w:left w:val="nil"/>
              <w:bottom w:val="nil"/>
              <w:right w:val="single" w:color="auto" w:sz="4" w:space="0"/>
            </w:tcBorders>
            <w:noWrap w:val="0"/>
            <w:vAlign w:val="center"/>
          </w:tcPr>
          <w:p w14:paraId="45C18B2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tcBorders>
              <w:top w:val="nil"/>
              <w:left w:val="nil"/>
              <w:bottom w:val="nil"/>
              <w:right w:val="nil"/>
            </w:tcBorders>
            <w:noWrap w:val="0"/>
            <w:vAlign w:val="center"/>
          </w:tcPr>
          <w:p w14:paraId="749849D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6286CB06">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4E9D44A7">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571F8C13">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57925A4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6E089D3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tcBorders>
              <w:top w:val="nil"/>
              <w:left w:val="nil"/>
              <w:bottom w:val="single" w:color="auto" w:sz="4" w:space="0"/>
              <w:right w:val="single" w:color="auto" w:sz="4" w:space="0"/>
            </w:tcBorders>
            <w:noWrap w:val="0"/>
            <w:vAlign w:val="center"/>
          </w:tcPr>
          <w:p w14:paraId="19C3F3A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tcBorders>
              <w:top w:val="nil"/>
              <w:left w:val="nil"/>
              <w:bottom w:val="single" w:color="auto" w:sz="4" w:space="0"/>
              <w:right w:val="single" w:color="auto" w:sz="4" w:space="0"/>
            </w:tcBorders>
            <w:noWrap w:val="0"/>
            <w:vAlign w:val="center"/>
          </w:tcPr>
          <w:p w14:paraId="0058E17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300≤Y＜2000</w:t>
            </w:r>
          </w:p>
        </w:tc>
        <w:tc>
          <w:tcPr>
            <w:tcW w:w="992" w:type="dxa"/>
            <w:tcBorders>
              <w:top w:val="nil"/>
              <w:left w:val="nil"/>
              <w:bottom w:val="single" w:color="auto" w:sz="4" w:space="0"/>
              <w:right w:val="nil"/>
            </w:tcBorders>
            <w:noWrap w:val="0"/>
            <w:vAlign w:val="center"/>
          </w:tcPr>
          <w:p w14:paraId="65EBA53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2E23290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246C279D">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建筑业</w:t>
            </w:r>
          </w:p>
        </w:tc>
        <w:tc>
          <w:tcPr>
            <w:tcW w:w="1369" w:type="dxa"/>
            <w:tcBorders>
              <w:top w:val="nil"/>
              <w:left w:val="nil"/>
              <w:bottom w:val="nil"/>
              <w:right w:val="single" w:color="auto" w:sz="4" w:space="0"/>
            </w:tcBorders>
            <w:noWrap w:val="0"/>
            <w:vAlign w:val="center"/>
          </w:tcPr>
          <w:p w14:paraId="38A9D54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nil"/>
              <w:right w:val="single" w:color="auto" w:sz="4" w:space="0"/>
            </w:tcBorders>
            <w:noWrap w:val="0"/>
            <w:vAlign w:val="center"/>
          </w:tcPr>
          <w:p w14:paraId="5BDA111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nil"/>
              <w:right w:val="single" w:color="auto" w:sz="4" w:space="0"/>
            </w:tcBorders>
            <w:noWrap w:val="0"/>
            <w:vAlign w:val="center"/>
          </w:tcPr>
          <w:p w14:paraId="60778D3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tcBorders>
              <w:top w:val="nil"/>
              <w:left w:val="nil"/>
              <w:bottom w:val="nil"/>
              <w:right w:val="single" w:color="auto" w:sz="4" w:space="0"/>
            </w:tcBorders>
            <w:noWrap w:val="0"/>
            <w:vAlign w:val="center"/>
          </w:tcPr>
          <w:p w14:paraId="39A8E10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tcBorders>
              <w:top w:val="nil"/>
              <w:left w:val="nil"/>
              <w:bottom w:val="nil"/>
              <w:right w:val="single" w:color="auto" w:sz="4" w:space="0"/>
            </w:tcBorders>
            <w:noWrap w:val="0"/>
            <w:vAlign w:val="center"/>
          </w:tcPr>
          <w:p w14:paraId="56D1BD4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300≤Y＜6000</w:t>
            </w:r>
          </w:p>
        </w:tc>
        <w:tc>
          <w:tcPr>
            <w:tcW w:w="992" w:type="dxa"/>
            <w:tcBorders>
              <w:top w:val="nil"/>
              <w:left w:val="nil"/>
              <w:bottom w:val="nil"/>
              <w:right w:val="nil"/>
            </w:tcBorders>
            <w:noWrap w:val="0"/>
            <w:vAlign w:val="center"/>
          </w:tcPr>
          <w:p w14:paraId="2DB35F9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09FFF5C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31DED57F">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290749B1">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tcBorders>
              <w:top w:val="nil"/>
              <w:left w:val="nil"/>
              <w:bottom w:val="single" w:color="auto" w:sz="4" w:space="0"/>
              <w:right w:val="single" w:color="auto" w:sz="4" w:space="0"/>
            </w:tcBorders>
            <w:noWrap w:val="0"/>
            <w:vAlign w:val="center"/>
          </w:tcPr>
          <w:p w14:paraId="28C3DB7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4DB3F74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tcBorders>
              <w:top w:val="nil"/>
              <w:left w:val="nil"/>
              <w:bottom w:val="single" w:color="auto" w:sz="4" w:space="0"/>
              <w:right w:val="single" w:color="auto" w:sz="4" w:space="0"/>
            </w:tcBorders>
            <w:noWrap w:val="0"/>
            <w:vAlign w:val="center"/>
          </w:tcPr>
          <w:p w14:paraId="69F5091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tcBorders>
              <w:top w:val="nil"/>
              <w:left w:val="nil"/>
              <w:bottom w:val="single" w:color="auto" w:sz="4" w:space="0"/>
              <w:right w:val="single" w:color="auto" w:sz="4" w:space="0"/>
            </w:tcBorders>
            <w:noWrap w:val="0"/>
            <w:vAlign w:val="center"/>
          </w:tcPr>
          <w:p w14:paraId="3A6F5B5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300≤Z＜5000</w:t>
            </w:r>
          </w:p>
        </w:tc>
        <w:tc>
          <w:tcPr>
            <w:tcW w:w="992" w:type="dxa"/>
            <w:tcBorders>
              <w:top w:val="nil"/>
              <w:left w:val="nil"/>
              <w:bottom w:val="single" w:color="auto" w:sz="4" w:space="0"/>
              <w:right w:val="nil"/>
            </w:tcBorders>
            <w:noWrap w:val="0"/>
            <w:vAlign w:val="center"/>
          </w:tcPr>
          <w:p w14:paraId="56D5A23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417B5F24">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786ADBCB">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批发业</w:t>
            </w:r>
          </w:p>
        </w:tc>
        <w:tc>
          <w:tcPr>
            <w:tcW w:w="1369" w:type="dxa"/>
            <w:tcBorders>
              <w:top w:val="nil"/>
              <w:left w:val="nil"/>
              <w:bottom w:val="nil"/>
              <w:right w:val="single" w:color="auto" w:sz="4" w:space="0"/>
            </w:tcBorders>
            <w:noWrap w:val="0"/>
            <w:vAlign w:val="center"/>
          </w:tcPr>
          <w:p w14:paraId="3609003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35DF30D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5634BE4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tcBorders>
              <w:top w:val="nil"/>
              <w:left w:val="nil"/>
              <w:bottom w:val="nil"/>
              <w:right w:val="single" w:color="auto" w:sz="4" w:space="0"/>
            </w:tcBorders>
            <w:noWrap w:val="0"/>
            <w:vAlign w:val="center"/>
          </w:tcPr>
          <w:p w14:paraId="4A906FA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tcBorders>
              <w:top w:val="nil"/>
              <w:left w:val="nil"/>
              <w:bottom w:val="nil"/>
              <w:right w:val="single" w:color="auto" w:sz="4" w:space="0"/>
            </w:tcBorders>
            <w:noWrap w:val="0"/>
            <w:vAlign w:val="center"/>
          </w:tcPr>
          <w:p w14:paraId="3F9E7EC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5≤X＜20</w:t>
            </w:r>
          </w:p>
        </w:tc>
        <w:tc>
          <w:tcPr>
            <w:tcW w:w="992" w:type="dxa"/>
            <w:tcBorders>
              <w:top w:val="nil"/>
              <w:left w:val="nil"/>
              <w:bottom w:val="nil"/>
              <w:right w:val="nil"/>
            </w:tcBorders>
            <w:noWrap w:val="0"/>
            <w:vAlign w:val="center"/>
          </w:tcPr>
          <w:p w14:paraId="064FA61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0AE48C9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36D4A066">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31CC36B2">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68F7E10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4191F5A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tcBorders>
              <w:top w:val="nil"/>
              <w:left w:val="nil"/>
              <w:bottom w:val="single" w:color="auto" w:sz="4" w:space="0"/>
              <w:right w:val="single" w:color="auto" w:sz="4" w:space="0"/>
            </w:tcBorders>
            <w:noWrap w:val="0"/>
            <w:vAlign w:val="center"/>
          </w:tcPr>
          <w:p w14:paraId="29A5B7A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tcBorders>
              <w:top w:val="nil"/>
              <w:left w:val="nil"/>
              <w:bottom w:val="single" w:color="auto" w:sz="4" w:space="0"/>
              <w:right w:val="single" w:color="auto" w:sz="4" w:space="0"/>
            </w:tcBorders>
            <w:noWrap w:val="0"/>
            <w:vAlign w:val="center"/>
          </w:tcPr>
          <w:p w14:paraId="541E74F9">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tcBorders>
              <w:top w:val="nil"/>
              <w:left w:val="nil"/>
              <w:bottom w:val="single" w:color="auto" w:sz="4" w:space="0"/>
              <w:right w:val="nil"/>
            </w:tcBorders>
            <w:noWrap w:val="0"/>
            <w:vAlign w:val="center"/>
          </w:tcPr>
          <w:p w14:paraId="16D1C9B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0712F21B">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471C58FD">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零售业</w:t>
            </w:r>
          </w:p>
        </w:tc>
        <w:tc>
          <w:tcPr>
            <w:tcW w:w="1369" w:type="dxa"/>
            <w:tcBorders>
              <w:top w:val="nil"/>
              <w:left w:val="nil"/>
              <w:bottom w:val="nil"/>
              <w:right w:val="single" w:color="auto" w:sz="4" w:space="0"/>
            </w:tcBorders>
            <w:noWrap w:val="0"/>
            <w:vAlign w:val="center"/>
          </w:tcPr>
          <w:p w14:paraId="7F85F08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2E96D95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052EF26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noWrap w:val="0"/>
            <w:vAlign w:val="center"/>
          </w:tcPr>
          <w:p w14:paraId="4375CA5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tcBorders>
              <w:top w:val="nil"/>
              <w:left w:val="nil"/>
              <w:bottom w:val="nil"/>
              <w:right w:val="single" w:color="auto" w:sz="4" w:space="0"/>
            </w:tcBorders>
            <w:noWrap w:val="0"/>
            <w:vAlign w:val="center"/>
          </w:tcPr>
          <w:p w14:paraId="27E4C04A">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tcBorders>
              <w:top w:val="nil"/>
              <w:left w:val="nil"/>
              <w:bottom w:val="nil"/>
              <w:right w:val="nil"/>
            </w:tcBorders>
            <w:noWrap w:val="0"/>
            <w:vAlign w:val="center"/>
          </w:tcPr>
          <w:p w14:paraId="335B32F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5596D7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0934FE6C">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48FBA1ED">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4EDBA5A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2C5DFAF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tcBorders>
              <w:top w:val="nil"/>
              <w:left w:val="nil"/>
              <w:bottom w:val="single" w:color="auto" w:sz="4" w:space="0"/>
              <w:right w:val="single" w:color="auto" w:sz="4" w:space="0"/>
            </w:tcBorders>
            <w:noWrap w:val="0"/>
            <w:vAlign w:val="center"/>
          </w:tcPr>
          <w:p w14:paraId="000742D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500≤Y＜20000</w:t>
            </w:r>
          </w:p>
        </w:tc>
        <w:tc>
          <w:tcPr>
            <w:tcW w:w="1426" w:type="dxa"/>
            <w:tcBorders>
              <w:top w:val="nil"/>
              <w:left w:val="nil"/>
              <w:bottom w:val="single" w:color="auto" w:sz="4" w:space="0"/>
              <w:right w:val="single" w:color="auto" w:sz="4" w:space="0"/>
            </w:tcBorders>
            <w:noWrap w:val="0"/>
            <w:vAlign w:val="center"/>
          </w:tcPr>
          <w:p w14:paraId="126E1867">
            <w:pPr>
              <w:widowControl/>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100≤Y＜500 </w:t>
            </w:r>
          </w:p>
        </w:tc>
        <w:tc>
          <w:tcPr>
            <w:tcW w:w="992" w:type="dxa"/>
            <w:tcBorders>
              <w:top w:val="nil"/>
              <w:left w:val="nil"/>
              <w:bottom w:val="single" w:color="auto" w:sz="4" w:space="0"/>
              <w:right w:val="nil"/>
            </w:tcBorders>
            <w:noWrap w:val="0"/>
            <w:vAlign w:val="center"/>
          </w:tcPr>
          <w:p w14:paraId="5AB9B78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499D88D">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6F12B8A4">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交通运输业 *</w:t>
            </w:r>
          </w:p>
        </w:tc>
        <w:tc>
          <w:tcPr>
            <w:tcW w:w="1369" w:type="dxa"/>
            <w:tcBorders>
              <w:top w:val="nil"/>
              <w:left w:val="nil"/>
              <w:bottom w:val="nil"/>
              <w:right w:val="single" w:color="auto" w:sz="4" w:space="0"/>
            </w:tcBorders>
            <w:noWrap w:val="0"/>
            <w:vAlign w:val="center"/>
          </w:tcPr>
          <w:p w14:paraId="57C342D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1D495DD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355DC62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op w:val="nil"/>
              <w:left w:val="nil"/>
              <w:bottom w:val="nil"/>
              <w:right w:val="single" w:color="auto" w:sz="4" w:space="0"/>
            </w:tcBorders>
            <w:noWrap w:val="0"/>
            <w:vAlign w:val="center"/>
          </w:tcPr>
          <w:p w14:paraId="66C5841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op w:val="nil"/>
              <w:left w:val="nil"/>
              <w:bottom w:val="nil"/>
              <w:right w:val="single" w:color="auto" w:sz="4" w:space="0"/>
            </w:tcBorders>
            <w:noWrap w:val="0"/>
            <w:vAlign w:val="center"/>
          </w:tcPr>
          <w:p w14:paraId="082D33F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tcBorders>
              <w:top w:val="nil"/>
              <w:left w:val="nil"/>
              <w:bottom w:val="nil"/>
              <w:right w:val="nil"/>
            </w:tcBorders>
            <w:noWrap w:val="0"/>
            <w:vAlign w:val="center"/>
          </w:tcPr>
          <w:p w14:paraId="0EADCA9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46A4B9C0">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2CBF351B">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10278D3B">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327588E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3311154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tcBorders>
              <w:top w:val="nil"/>
              <w:left w:val="nil"/>
              <w:bottom w:val="single" w:color="auto" w:sz="4" w:space="0"/>
              <w:right w:val="single" w:color="auto" w:sz="4" w:space="0"/>
            </w:tcBorders>
            <w:noWrap w:val="0"/>
            <w:vAlign w:val="center"/>
          </w:tcPr>
          <w:p w14:paraId="070B166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tcBorders>
              <w:top w:val="nil"/>
              <w:left w:val="nil"/>
              <w:bottom w:val="single" w:color="auto" w:sz="4" w:space="0"/>
              <w:right w:val="single" w:color="auto" w:sz="4" w:space="0"/>
            </w:tcBorders>
            <w:noWrap w:val="0"/>
            <w:vAlign w:val="center"/>
          </w:tcPr>
          <w:p w14:paraId="5AA2B75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200≤Y＜3000</w:t>
            </w:r>
          </w:p>
        </w:tc>
        <w:tc>
          <w:tcPr>
            <w:tcW w:w="992" w:type="dxa"/>
            <w:tcBorders>
              <w:top w:val="nil"/>
              <w:left w:val="nil"/>
              <w:bottom w:val="single" w:color="auto" w:sz="4" w:space="0"/>
              <w:right w:val="nil"/>
            </w:tcBorders>
            <w:noWrap w:val="0"/>
            <w:vAlign w:val="center"/>
          </w:tcPr>
          <w:p w14:paraId="6CAFD0C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08BC42F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45CA0056">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仓储业*</w:t>
            </w:r>
          </w:p>
        </w:tc>
        <w:tc>
          <w:tcPr>
            <w:tcW w:w="1369" w:type="dxa"/>
            <w:tcBorders>
              <w:top w:val="nil"/>
              <w:left w:val="nil"/>
              <w:bottom w:val="nil"/>
              <w:right w:val="single" w:color="auto" w:sz="4" w:space="0"/>
            </w:tcBorders>
            <w:noWrap w:val="0"/>
            <w:vAlign w:val="center"/>
          </w:tcPr>
          <w:p w14:paraId="42CE973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0D42E4D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17F9170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tcBorders>
              <w:top w:val="nil"/>
              <w:left w:val="nil"/>
              <w:bottom w:val="nil"/>
              <w:right w:val="single" w:color="auto" w:sz="4" w:space="0"/>
            </w:tcBorders>
            <w:noWrap w:val="0"/>
            <w:vAlign w:val="center"/>
          </w:tcPr>
          <w:p w14:paraId="7EA58C56">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tcBorders>
              <w:top w:val="nil"/>
              <w:left w:val="nil"/>
              <w:bottom w:val="nil"/>
              <w:right w:val="single" w:color="auto" w:sz="4" w:space="0"/>
            </w:tcBorders>
            <w:noWrap w:val="0"/>
            <w:vAlign w:val="center"/>
          </w:tcPr>
          <w:p w14:paraId="143D46D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20≤X＜100</w:t>
            </w:r>
          </w:p>
        </w:tc>
        <w:tc>
          <w:tcPr>
            <w:tcW w:w="992" w:type="dxa"/>
            <w:tcBorders>
              <w:top w:val="nil"/>
              <w:left w:val="nil"/>
              <w:bottom w:val="nil"/>
              <w:right w:val="nil"/>
            </w:tcBorders>
            <w:noWrap w:val="0"/>
            <w:vAlign w:val="center"/>
          </w:tcPr>
          <w:p w14:paraId="18637F1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3B8A898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5A2487D6">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14EA012E">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18DA66B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3F9A841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tcBorders>
              <w:top w:val="nil"/>
              <w:left w:val="nil"/>
              <w:bottom w:val="single" w:color="auto" w:sz="4" w:space="0"/>
              <w:right w:val="single" w:color="auto" w:sz="4" w:space="0"/>
            </w:tcBorders>
            <w:noWrap w:val="0"/>
            <w:vAlign w:val="center"/>
          </w:tcPr>
          <w:p w14:paraId="6423F95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tcBorders>
              <w:top w:val="nil"/>
              <w:left w:val="nil"/>
              <w:bottom w:val="single" w:color="auto" w:sz="4" w:space="0"/>
              <w:right w:val="single" w:color="auto" w:sz="4" w:space="0"/>
            </w:tcBorders>
            <w:noWrap w:val="0"/>
            <w:vAlign w:val="center"/>
          </w:tcPr>
          <w:p w14:paraId="7CB998E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tcBorders>
              <w:top w:val="nil"/>
              <w:left w:val="nil"/>
              <w:bottom w:val="single" w:color="auto" w:sz="4" w:space="0"/>
              <w:right w:val="nil"/>
            </w:tcBorders>
            <w:noWrap w:val="0"/>
            <w:vAlign w:val="center"/>
          </w:tcPr>
          <w:p w14:paraId="05217B2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C6EE5AB">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6A5C7484">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邮政业</w:t>
            </w:r>
          </w:p>
        </w:tc>
        <w:tc>
          <w:tcPr>
            <w:tcW w:w="1369" w:type="dxa"/>
            <w:tcBorders>
              <w:top w:val="nil"/>
              <w:left w:val="nil"/>
              <w:bottom w:val="nil"/>
              <w:right w:val="single" w:color="auto" w:sz="4" w:space="0"/>
            </w:tcBorders>
            <w:noWrap w:val="0"/>
            <w:vAlign w:val="center"/>
          </w:tcPr>
          <w:p w14:paraId="3D8E80A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74DE7D9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139D6EA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op w:val="nil"/>
              <w:left w:val="nil"/>
              <w:bottom w:val="nil"/>
              <w:right w:val="single" w:color="auto" w:sz="4" w:space="0"/>
            </w:tcBorders>
            <w:noWrap w:val="0"/>
            <w:vAlign w:val="center"/>
          </w:tcPr>
          <w:p w14:paraId="16271CE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op w:val="nil"/>
              <w:left w:val="nil"/>
              <w:bottom w:val="nil"/>
              <w:right w:val="single" w:color="auto" w:sz="4" w:space="0"/>
            </w:tcBorders>
            <w:noWrap w:val="0"/>
            <w:vAlign w:val="center"/>
          </w:tcPr>
          <w:p w14:paraId="453D09F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20≤X＜300</w:t>
            </w:r>
          </w:p>
        </w:tc>
        <w:tc>
          <w:tcPr>
            <w:tcW w:w="992" w:type="dxa"/>
            <w:tcBorders>
              <w:top w:val="nil"/>
              <w:left w:val="nil"/>
              <w:bottom w:val="nil"/>
              <w:right w:val="nil"/>
            </w:tcBorders>
            <w:noWrap w:val="0"/>
            <w:vAlign w:val="center"/>
          </w:tcPr>
          <w:p w14:paraId="71BD23C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28FCE3FE">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685A029D">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50614E2F">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0E129BF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10CFB47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tcBorders>
              <w:top w:val="nil"/>
              <w:left w:val="nil"/>
              <w:bottom w:val="single" w:color="auto" w:sz="4" w:space="0"/>
              <w:right w:val="single" w:color="auto" w:sz="4" w:space="0"/>
            </w:tcBorders>
            <w:noWrap w:val="0"/>
            <w:vAlign w:val="center"/>
          </w:tcPr>
          <w:p w14:paraId="021B7C6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tcBorders>
              <w:top w:val="nil"/>
              <w:left w:val="nil"/>
              <w:bottom w:val="single" w:color="auto" w:sz="4" w:space="0"/>
              <w:right w:val="single" w:color="auto" w:sz="4" w:space="0"/>
            </w:tcBorders>
            <w:noWrap w:val="0"/>
            <w:vAlign w:val="center"/>
          </w:tcPr>
          <w:p w14:paraId="42BFA9A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tcBorders>
              <w:top w:val="nil"/>
              <w:left w:val="nil"/>
              <w:bottom w:val="single" w:color="auto" w:sz="4" w:space="0"/>
              <w:right w:val="nil"/>
            </w:tcBorders>
            <w:noWrap w:val="0"/>
            <w:vAlign w:val="center"/>
          </w:tcPr>
          <w:p w14:paraId="09D71CE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2021FDD">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2EF24520">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住宿业</w:t>
            </w:r>
          </w:p>
        </w:tc>
        <w:tc>
          <w:tcPr>
            <w:tcW w:w="1369" w:type="dxa"/>
            <w:tcBorders>
              <w:top w:val="nil"/>
              <w:left w:val="nil"/>
              <w:bottom w:val="nil"/>
              <w:right w:val="single" w:color="auto" w:sz="4" w:space="0"/>
            </w:tcBorders>
            <w:noWrap w:val="0"/>
            <w:vAlign w:val="center"/>
          </w:tcPr>
          <w:p w14:paraId="2FE62F2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6EA06C0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75EB3A7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noWrap w:val="0"/>
            <w:vAlign w:val="center"/>
          </w:tcPr>
          <w:p w14:paraId="46E4B1C8">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nil"/>
              <w:left w:val="nil"/>
              <w:bottom w:val="nil"/>
              <w:right w:val="single" w:color="auto" w:sz="4" w:space="0"/>
            </w:tcBorders>
            <w:noWrap w:val="0"/>
            <w:vAlign w:val="center"/>
          </w:tcPr>
          <w:p w14:paraId="743349B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bottom w:val="nil"/>
              <w:right w:val="nil"/>
            </w:tcBorders>
            <w:noWrap w:val="0"/>
            <w:vAlign w:val="center"/>
          </w:tcPr>
          <w:p w14:paraId="0BD3B50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76FD197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7AC1FFFC">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0E0420A2">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138168D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20C5CBE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tcBorders>
              <w:top w:val="nil"/>
              <w:left w:val="nil"/>
              <w:bottom w:val="single" w:color="auto" w:sz="4" w:space="0"/>
              <w:right w:val="single" w:color="auto" w:sz="4" w:space="0"/>
            </w:tcBorders>
            <w:noWrap w:val="0"/>
            <w:vAlign w:val="center"/>
          </w:tcPr>
          <w:p w14:paraId="2C79238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tcBorders>
              <w:top w:val="nil"/>
              <w:left w:val="nil"/>
              <w:bottom w:val="single" w:color="auto" w:sz="4" w:space="0"/>
              <w:right w:val="single" w:color="auto" w:sz="4" w:space="0"/>
            </w:tcBorders>
            <w:noWrap w:val="0"/>
            <w:vAlign w:val="center"/>
          </w:tcPr>
          <w:p w14:paraId="1E17FDE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tcBorders>
              <w:top w:val="nil"/>
              <w:left w:val="nil"/>
              <w:bottom w:val="single" w:color="auto" w:sz="4" w:space="0"/>
              <w:right w:val="nil"/>
            </w:tcBorders>
            <w:noWrap w:val="0"/>
            <w:vAlign w:val="center"/>
          </w:tcPr>
          <w:p w14:paraId="0576B9A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2BE1A8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173C7A68">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餐饮业</w:t>
            </w:r>
          </w:p>
        </w:tc>
        <w:tc>
          <w:tcPr>
            <w:tcW w:w="1369" w:type="dxa"/>
            <w:tcBorders>
              <w:top w:val="nil"/>
              <w:left w:val="nil"/>
              <w:bottom w:val="nil"/>
              <w:right w:val="single" w:color="auto" w:sz="4" w:space="0"/>
            </w:tcBorders>
            <w:noWrap w:val="0"/>
            <w:vAlign w:val="center"/>
          </w:tcPr>
          <w:p w14:paraId="4409D8E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5B5902B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20E9440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noWrap w:val="0"/>
            <w:vAlign w:val="center"/>
          </w:tcPr>
          <w:p w14:paraId="2F655B0D">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nil"/>
              <w:left w:val="nil"/>
              <w:bottom w:val="nil"/>
              <w:right w:val="single" w:color="auto" w:sz="4" w:space="0"/>
            </w:tcBorders>
            <w:noWrap w:val="0"/>
            <w:vAlign w:val="center"/>
          </w:tcPr>
          <w:p w14:paraId="4098E95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bottom w:val="nil"/>
              <w:right w:val="nil"/>
            </w:tcBorders>
            <w:noWrap w:val="0"/>
            <w:vAlign w:val="center"/>
          </w:tcPr>
          <w:p w14:paraId="21F26B7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87B3AF2">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1F370BDE">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498E0C7D">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596EF74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5B45229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tcBorders>
              <w:top w:val="nil"/>
              <w:left w:val="nil"/>
              <w:bottom w:val="single" w:color="auto" w:sz="4" w:space="0"/>
              <w:right w:val="single" w:color="auto" w:sz="4" w:space="0"/>
            </w:tcBorders>
            <w:noWrap w:val="0"/>
            <w:vAlign w:val="center"/>
          </w:tcPr>
          <w:p w14:paraId="1D280B1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tcBorders>
              <w:top w:val="nil"/>
              <w:left w:val="nil"/>
              <w:bottom w:val="single" w:color="auto" w:sz="4" w:space="0"/>
              <w:right w:val="single" w:color="auto" w:sz="4" w:space="0"/>
            </w:tcBorders>
            <w:noWrap w:val="0"/>
            <w:vAlign w:val="center"/>
          </w:tcPr>
          <w:p w14:paraId="35BD456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100≤Y＜2000</w:t>
            </w:r>
          </w:p>
        </w:tc>
        <w:tc>
          <w:tcPr>
            <w:tcW w:w="992" w:type="dxa"/>
            <w:tcBorders>
              <w:top w:val="nil"/>
              <w:left w:val="nil"/>
              <w:bottom w:val="single" w:color="auto" w:sz="4" w:space="0"/>
              <w:right w:val="nil"/>
            </w:tcBorders>
            <w:noWrap w:val="0"/>
            <w:vAlign w:val="center"/>
          </w:tcPr>
          <w:p w14:paraId="2CA2172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9E7427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noWrap w:val="0"/>
            <w:vAlign w:val="center"/>
          </w:tcPr>
          <w:p w14:paraId="64C613A9">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信息传输业 *</w:t>
            </w:r>
          </w:p>
        </w:tc>
        <w:tc>
          <w:tcPr>
            <w:tcW w:w="1369" w:type="dxa"/>
            <w:tcBorders>
              <w:top w:val="nil"/>
              <w:left w:val="nil"/>
              <w:bottom w:val="nil"/>
              <w:right w:val="single" w:color="auto" w:sz="4" w:space="0"/>
            </w:tcBorders>
            <w:noWrap w:val="0"/>
            <w:vAlign w:val="center"/>
          </w:tcPr>
          <w:p w14:paraId="415F081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42A5341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20C0F5C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tcBorders>
              <w:top w:val="nil"/>
              <w:left w:val="nil"/>
              <w:bottom w:val="nil"/>
              <w:right w:val="single" w:color="auto" w:sz="4" w:space="0"/>
            </w:tcBorders>
            <w:noWrap w:val="0"/>
            <w:vAlign w:val="center"/>
          </w:tcPr>
          <w:p w14:paraId="16748F2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tcBorders>
              <w:top w:val="nil"/>
              <w:left w:val="nil"/>
              <w:bottom w:val="nil"/>
              <w:right w:val="single" w:color="auto" w:sz="4" w:space="0"/>
            </w:tcBorders>
            <w:noWrap w:val="0"/>
            <w:vAlign w:val="center"/>
          </w:tcPr>
          <w:p w14:paraId="310CF03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bottom w:val="nil"/>
              <w:right w:val="nil"/>
            </w:tcBorders>
            <w:noWrap w:val="0"/>
            <w:vAlign w:val="center"/>
          </w:tcPr>
          <w:p w14:paraId="254625A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57BD9D4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noWrap w:val="0"/>
            <w:vAlign w:val="center"/>
          </w:tcPr>
          <w:p w14:paraId="56EA0005">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49BD7E10">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3F5ACB3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149C087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tcBorders>
              <w:top w:val="nil"/>
              <w:left w:val="nil"/>
              <w:bottom w:val="single" w:color="auto" w:sz="4" w:space="0"/>
              <w:right w:val="single" w:color="auto" w:sz="4" w:space="0"/>
            </w:tcBorders>
            <w:noWrap w:val="0"/>
            <w:vAlign w:val="center"/>
          </w:tcPr>
          <w:p w14:paraId="3E34C5E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1000≤Y＜100000</w:t>
            </w:r>
          </w:p>
        </w:tc>
        <w:tc>
          <w:tcPr>
            <w:tcW w:w="1426" w:type="dxa"/>
            <w:tcBorders>
              <w:top w:val="nil"/>
              <w:left w:val="nil"/>
              <w:bottom w:val="single" w:color="auto" w:sz="4" w:space="0"/>
              <w:right w:val="single" w:color="auto" w:sz="4" w:space="0"/>
            </w:tcBorders>
            <w:noWrap w:val="0"/>
            <w:vAlign w:val="center"/>
          </w:tcPr>
          <w:p w14:paraId="0028F54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tcBorders>
              <w:top w:val="nil"/>
              <w:left w:val="nil"/>
              <w:bottom w:val="single" w:color="auto" w:sz="4" w:space="0"/>
              <w:right w:val="nil"/>
            </w:tcBorders>
            <w:noWrap w:val="0"/>
            <w:vAlign w:val="center"/>
          </w:tcPr>
          <w:p w14:paraId="7A882F3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645E66F">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noWrap w:val="0"/>
            <w:vAlign w:val="center"/>
          </w:tcPr>
          <w:p w14:paraId="34D9A0C8">
            <w:pPr>
              <w:widowControl/>
              <w:spacing w:line="240" w:lineRule="exact"/>
              <w:jc w:val="left"/>
              <w:rPr>
                <w:rFonts w:ascii="宋体" w:hAnsi="宋体" w:cs="宋体"/>
                <w:color w:val="auto"/>
                <w:spacing w:val="-12"/>
                <w:kern w:val="0"/>
                <w:sz w:val="18"/>
                <w:szCs w:val="18"/>
                <w:highlight w:val="none"/>
              </w:rPr>
            </w:pPr>
            <w:r>
              <w:rPr>
                <w:rFonts w:hint="eastAsia" w:ascii="宋体" w:hAnsi="宋体" w:cs="宋体"/>
                <w:color w:val="auto"/>
                <w:spacing w:val="-12"/>
                <w:kern w:val="0"/>
                <w:sz w:val="18"/>
                <w:szCs w:val="18"/>
                <w:highlight w:val="none"/>
              </w:rPr>
              <w:t>软件和信息技术服</w:t>
            </w:r>
            <w:r>
              <w:rPr>
                <w:rFonts w:hint="eastAsia" w:ascii="宋体" w:hAnsi="宋体" w:cs="宋体"/>
                <w:color w:val="auto"/>
                <w:kern w:val="0"/>
                <w:sz w:val="18"/>
                <w:szCs w:val="18"/>
                <w:highlight w:val="none"/>
              </w:rPr>
              <w:t>务业</w:t>
            </w:r>
          </w:p>
        </w:tc>
        <w:tc>
          <w:tcPr>
            <w:tcW w:w="1369" w:type="dxa"/>
            <w:tcBorders>
              <w:top w:val="nil"/>
              <w:left w:val="nil"/>
              <w:bottom w:val="nil"/>
              <w:right w:val="single" w:color="auto" w:sz="4" w:space="0"/>
            </w:tcBorders>
            <w:noWrap w:val="0"/>
            <w:vAlign w:val="center"/>
          </w:tcPr>
          <w:p w14:paraId="2D7631F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3537BF8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3F4317E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noWrap w:val="0"/>
            <w:vAlign w:val="center"/>
          </w:tcPr>
          <w:p w14:paraId="1CA96E86">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nil"/>
              <w:left w:val="nil"/>
              <w:bottom w:val="nil"/>
              <w:right w:val="single" w:color="auto" w:sz="4" w:space="0"/>
            </w:tcBorders>
            <w:noWrap w:val="0"/>
            <w:vAlign w:val="center"/>
          </w:tcPr>
          <w:p w14:paraId="37FEC5A8">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bottom w:val="nil"/>
              <w:right w:val="nil"/>
            </w:tcBorders>
            <w:noWrap w:val="0"/>
            <w:vAlign w:val="center"/>
          </w:tcPr>
          <w:p w14:paraId="3EC815B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A13DB68">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noWrap w:val="0"/>
            <w:vAlign w:val="center"/>
          </w:tcPr>
          <w:p w14:paraId="15204B9C">
            <w:pPr>
              <w:widowControl/>
              <w:jc w:val="left"/>
              <w:rPr>
                <w:rFonts w:ascii="宋体" w:hAnsi="宋体" w:cs="宋体"/>
                <w:color w:val="auto"/>
                <w:spacing w:val="-12"/>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5A6F24E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608958C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30C73EF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tcBorders>
              <w:top w:val="nil"/>
              <w:left w:val="nil"/>
              <w:bottom w:val="single" w:color="auto" w:sz="4" w:space="0"/>
              <w:right w:val="single" w:color="auto" w:sz="4" w:space="0"/>
            </w:tcBorders>
            <w:noWrap w:val="0"/>
            <w:vAlign w:val="center"/>
          </w:tcPr>
          <w:p w14:paraId="27EFB67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tcBorders>
              <w:top w:val="nil"/>
              <w:left w:val="nil"/>
              <w:bottom w:val="single" w:color="auto" w:sz="4" w:space="0"/>
              <w:right w:val="single" w:color="auto" w:sz="4" w:space="0"/>
            </w:tcBorders>
            <w:noWrap w:val="0"/>
            <w:vAlign w:val="center"/>
          </w:tcPr>
          <w:p w14:paraId="1735FFA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50≤Y＜1000</w:t>
            </w:r>
          </w:p>
        </w:tc>
        <w:tc>
          <w:tcPr>
            <w:tcW w:w="992" w:type="dxa"/>
            <w:tcBorders>
              <w:top w:val="nil"/>
              <w:left w:val="nil"/>
              <w:bottom w:val="single" w:color="auto" w:sz="4" w:space="0"/>
              <w:right w:val="nil"/>
            </w:tcBorders>
            <w:noWrap w:val="0"/>
            <w:vAlign w:val="center"/>
          </w:tcPr>
          <w:p w14:paraId="5CF1EF6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19533E98">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14:paraId="67EABEB9">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房地产开发经营</w:t>
            </w:r>
          </w:p>
        </w:tc>
        <w:tc>
          <w:tcPr>
            <w:tcW w:w="1369" w:type="dxa"/>
            <w:tcBorders>
              <w:top w:val="nil"/>
              <w:left w:val="nil"/>
              <w:bottom w:val="nil"/>
              <w:right w:val="single" w:color="auto" w:sz="4" w:space="0"/>
            </w:tcBorders>
            <w:noWrap w:val="0"/>
            <w:vAlign w:val="center"/>
          </w:tcPr>
          <w:p w14:paraId="2E8E7DC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nil"/>
              <w:right w:val="single" w:color="auto" w:sz="4" w:space="0"/>
            </w:tcBorders>
            <w:noWrap w:val="0"/>
            <w:vAlign w:val="center"/>
          </w:tcPr>
          <w:p w14:paraId="24B70D0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nil"/>
              <w:right w:val="single" w:color="auto" w:sz="4" w:space="0"/>
            </w:tcBorders>
            <w:noWrap w:val="0"/>
            <w:vAlign w:val="center"/>
          </w:tcPr>
          <w:p w14:paraId="1A9839C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tcBorders>
              <w:top w:val="nil"/>
              <w:left w:val="nil"/>
              <w:bottom w:val="nil"/>
              <w:right w:val="single" w:color="auto" w:sz="4" w:space="0"/>
            </w:tcBorders>
            <w:noWrap w:val="0"/>
            <w:vAlign w:val="center"/>
          </w:tcPr>
          <w:p w14:paraId="042FEBA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1000≤Y＜200000</w:t>
            </w:r>
          </w:p>
        </w:tc>
        <w:tc>
          <w:tcPr>
            <w:tcW w:w="1426" w:type="dxa"/>
            <w:tcBorders>
              <w:top w:val="nil"/>
              <w:left w:val="nil"/>
              <w:bottom w:val="nil"/>
              <w:right w:val="single" w:color="auto" w:sz="4" w:space="0"/>
            </w:tcBorders>
            <w:noWrap w:val="0"/>
            <w:vAlign w:val="center"/>
          </w:tcPr>
          <w:p w14:paraId="56B2F3D3">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100≤Y＜1000</w:t>
            </w:r>
          </w:p>
        </w:tc>
        <w:tc>
          <w:tcPr>
            <w:tcW w:w="992" w:type="dxa"/>
            <w:tcBorders>
              <w:top w:val="nil"/>
              <w:left w:val="nil"/>
              <w:bottom w:val="nil"/>
              <w:right w:val="nil"/>
            </w:tcBorders>
            <w:noWrap w:val="0"/>
            <w:vAlign w:val="center"/>
          </w:tcPr>
          <w:p w14:paraId="04952C6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34AADE3">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14:paraId="5A8A7592">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165A42A7">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tcBorders>
              <w:top w:val="nil"/>
              <w:left w:val="nil"/>
              <w:bottom w:val="single" w:color="auto" w:sz="4" w:space="0"/>
              <w:right w:val="single" w:color="auto" w:sz="4" w:space="0"/>
            </w:tcBorders>
            <w:noWrap w:val="0"/>
            <w:vAlign w:val="center"/>
          </w:tcPr>
          <w:p w14:paraId="1852881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768C605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tcBorders>
              <w:top w:val="nil"/>
              <w:left w:val="nil"/>
              <w:bottom w:val="single" w:color="auto" w:sz="4" w:space="0"/>
              <w:right w:val="single" w:color="auto" w:sz="4" w:space="0"/>
            </w:tcBorders>
            <w:noWrap w:val="0"/>
            <w:vAlign w:val="center"/>
          </w:tcPr>
          <w:p w14:paraId="302868A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tcBorders>
              <w:top w:val="nil"/>
              <w:left w:val="nil"/>
              <w:bottom w:val="single" w:color="auto" w:sz="4" w:space="0"/>
              <w:right w:val="single" w:color="auto" w:sz="4" w:space="0"/>
            </w:tcBorders>
            <w:noWrap w:val="0"/>
            <w:vAlign w:val="center"/>
          </w:tcPr>
          <w:p w14:paraId="1D08D21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2000≤Z＜5000   </w:t>
            </w:r>
          </w:p>
        </w:tc>
        <w:tc>
          <w:tcPr>
            <w:tcW w:w="992" w:type="dxa"/>
            <w:tcBorders>
              <w:top w:val="nil"/>
              <w:left w:val="nil"/>
              <w:bottom w:val="single" w:color="auto" w:sz="4" w:space="0"/>
              <w:right w:val="nil"/>
            </w:tcBorders>
            <w:noWrap w:val="0"/>
            <w:vAlign w:val="center"/>
          </w:tcPr>
          <w:p w14:paraId="5537E52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77241423">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14:paraId="6BDFEE50">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物业管理</w:t>
            </w:r>
          </w:p>
        </w:tc>
        <w:tc>
          <w:tcPr>
            <w:tcW w:w="1369" w:type="dxa"/>
            <w:tcBorders>
              <w:top w:val="nil"/>
              <w:left w:val="nil"/>
              <w:bottom w:val="nil"/>
              <w:right w:val="single" w:color="auto" w:sz="4" w:space="0"/>
            </w:tcBorders>
            <w:noWrap w:val="0"/>
            <w:vAlign w:val="center"/>
          </w:tcPr>
          <w:p w14:paraId="1D4D0FD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0054AFB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762F869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tcBorders>
              <w:top w:val="nil"/>
              <w:left w:val="nil"/>
              <w:bottom w:val="nil"/>
              <w:right w:val="single" w:color="auto" w:sz="4" w:space="0"/>
            </w:tcBorders>
            <w:noWrap w:val="0"/>
            <w:vAlign w:val="center"/>
          </w:tcPr>
          <w:p w14:paraId="314129CA">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tcBorders>
              <w:top w:val="nil"/>
              <w:left w:val="nil"/>
              <w:bottom w:val="nil"/>
              <w:right w:val="single" w:color="auto" w:sz="4" w:space="0"/>
            </w:tcBorders>
            <w:noWrap w:val="0"/>
            <w:vAlign w:val="center"/>
          </w:tcPr>
          <w:p w14:paraId="43FC66F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992" w:type="dxa"/>
            <w:tcBorders>
              <w:top w:val="nil"/>
              <w:left w:val="nil"/>
              <w:bottom w:val="nil"/>
              <w:right w:val="nil"/>
            </w:tcBorders>
            <w:noWrap w:val="0"/>
            <w:vAlign w:val="center"/>
          </w:tcPr>
          <w:p w14:paraId="1F7AB9B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0A1C11E0">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14:paraId="6547D0C6">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2797C038">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tcBorders>
              <w:top w:val="nil"/>
              <w:left w:val="nil"/>
              <w:bottom w:val="single" w:color="auto" w:sz="4" w:space="0"/>
              <w:right w:val="single" w:color="auto" w:sz="4" w:space="0"/>
            </w:tcBorders>
            <w:noWrap w:val="0"/>
            <w:vAlign w:val="center"/>
          </w:tcPr>
          <w:p w14:paraId="13EBC1E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533950BC">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tcBorders>
              <w:top w:val="nil"/>
              <w:left w:val="nil"/>
              <w:bottom w:val="single" w:color="auto" w:sz="4" w:space="0"/>
              <w:right w:val="single" w:color="auto" w:sz="4" w:space="0"/>
            </w:tcBorders>
            <w:noWrap w:val="0"/>
            <w:vAlign w:val="center"/>
          </w:tcPr>
          <w:p w14:paraId="1F08F9EE">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1000≤Y＜5000 </w:t>
            </w:r>
          </w:p>
        </w:tc>
        <w:tc>
          <w:tcPr>
            <w:tcW w:w="1426" w:type="dxa"/>
            <w:tcBorders>
              <w:top w:val="nil"/>
              <w:left w:val="nil"/>
              <w:bottom w:val="single" w:color="auto" w:sz="4" w:space="0"/>
              <w:right w:val="single" w:color="auto" w:sz="4" w:space="0"/>
            </w:tcBorders>
            <w:noWrap w:val="0"/>
            <w:vAlign w:val="center"/>
          </w:tcPr>
          <w:p w14:paraId="21D24EE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500≤Y＜1000</w:t>
            </w:r>
          </w:p>
        </w:tc>
        <w:tc>
          <w:tcPr>
            <w:tcW w:w="992" w:type="dxa"/>
            <w:tcBorders>
              <w:top w:val="nil"/>
              <w:left w:val="nil"/>
              <w:bottom w:val="single" w:color="auto" w:sz="4" w:space="0"/>
              <w:right w:val="nil"/>
            </w:tcBorders>
            <w:noWrap w:val="0"/>
            <w:vAlign w:val="center"/>
          </w:tcPr>
          <w:p w14:paraId="6FFD99A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4A597BC9">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noWrap w:val="0"/>
            <w:vAlign w:val="center"/>
          </w:tcPr>
          <w:p w14:paraId="315E9321">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租赁和商务服务业</w:t>
            </w:r>
          </w:p>
        </w:tc>
        <w:tc>
          <w:tcPr>
            <w:tcW w:w="1369" w:type="dxa"/>
            <w:tcBorders>
              <w:top w:val="nil"/>
              <w:left w:val="nil"/>
              <w:bottom w:val="nil"/>
              <w:right w:val="single" w:color="auto" w:sz="4" w:space="0"/>
            </w:tcBorders>
            <w:noWrap w:val="0"/>
            <w:vAlign w:val="center"/>
          </w:tcPr>
          <w:p w14:paraId="277FDDC1">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nil"/>
              <w:right w:val="single" w:color="auto" w:sz="4" w:space="0"/>
            </w:tcBorders>
            <w:noWrap w:val="0"/>
            <w:vAlign w:val="center"/>
          </w:tcPr>
          <w:p w14:paraId="4C3E621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nil"/>
              <w:right w:val="single" w:color="auto" w:sz="4" w:space="0"/>
            </w:tcBorders>
            <w:noWrap w:val="0"/>
            <w:vAlign w:val="center"/>
          </w:tcPr>
          <w:p w14:paraId="7A9D4147">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nil"/>
              <w:right w:val="single" w:color="auto" w:sz="4" w:space="0"/>
            </w:tcBorders>
            <w:noWrap w:val="0"/>
            <w:vAlign w:val="center"/>
          </w:tcPr>
          <w:p w14:paraId="1D44956B">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nil"/>
              <w:left w:val="nil"/>
              <w:bottom w:val="nil"/>
              <w:right w:val="single" w:color="auto" w:sz="4" w:space="0"/>
            </w:tcBorders>
            <w:noWrap w:val="0"/>
            <w:vAlign w:val="center"/>
          </w:tcPr>
          <w:p w14:paraId="7075D5FE">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bottom w:val="nil"/>
              <w:right w:val="nil"/>
            </w:tcBorders>
            <w:noWrap w:val="0"/>
            <w:vAlign w:val="center"/>
          </w:tcPr>
          <w:p w14:paraId="50CC4132">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367DF026">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noWrap w:val="0"/>
            <w:vAlign w:val="center"/>
          </w:tcPr>
          <w:p w14:paraId="48BF1A21">
            <w:pPr>
              <w:widowControl/>
              <w:jc w:val="left"/>
              <w:rPr>
                <w:rFonts w:ascii="宋体" w:hAnsi="宋体" w:cs="宋体"/>
                <w:color w:val="auto"/>
                <w:kern w:val="0"/>
                <w:sz w:val="18"/>
                <w:szCs w:val="18"/>
                <w:highlight w:val="none"/>
              </w:rPr>
            </w:pPr>
          </w:p>
        </w:tc>
        <w:tc>
          <w:tcPr>
            <w:tcW w:w="1369" w:type="dxa"/>
            <w:tcBorders>
              <w:top w:val="nil"/>
              <w:left w:val="nil"/>
              <w:bottom w:val="single" w:color="auto" w:sz="4" w:space="0"/>
              <w:right w:val="single" w:color="auto" w:sz="4" w:space="0"/>
            </w:tcBorders>
            <w:noWrap w:val="0"/>
            <w:vAlign w:val="center"/>
          </w:tcPr>
          <w:p w14:paraId="2333997B">
            <w:pPr>
              <w:widowControl/>
              <w:spacing w:line="24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tcBorders>
              <w:top w:val="nil"/>
              <w:left w:val="nil"/>
              <w:bottom w:val="single" w:color="auto" w:sz="4" w:space="0"/>
              <w:right w:val="single" w:color="auto" w:sz="4" w:space="0"/>
            </w:tcBorders>
            <w:noWrap w:val="0"/>
            <w:vAlign w:val="center"/>
          </w:tcPr>
          <w:p w14:paraId="7865AF6D">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tcBorders>
              <w:top w:val="nil"/>
              <w:left w:val="nil"/>
              <w:bottom w:val="single" w:color="auto" w:sz="4" w:space="0"/>
              <w:right w:val="single" w:color="auto" w:sz="4" w:space="0"/>
            </w:tcBorders>
            <w:noWrap w:val="0"/>
            <w:vAlign w:val="center"/>
          </w:tcPr>
          <w:p w14:paraId="01EADC2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tcBorders>
              <w:top w:val="nil"/>
              <w:left w:val="nil"/>
              <w:bottom w:val="single" w:color="auto" w:sz="4" w:space="0"/>
              <w:right w:val="single" w:color="auto" w:sz="4" w:space="0"/>
            </w:tcBorders>
            <w:noWrap w:val="0"/>
            <w:vAlign w:val="center"/>
          </w:tcPr>
          <w:p w14:paraId="1FAFA64F">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8000≤Z＜120000</w:t>
            </w:r>
          </w:p>
        </w:tc>
        <w:tc>
          <w:tcPr>
            <w:tcW w:w="1426" w:type="dxa"/>
            <w:tcBorders>
              <w:top w:val="nil"/>
              <w:left w:val="nil"/>
              <w:bottom w:val="single" w:color="auto" w:sz="4" w:space="0"/>
              <w:right w:val="single" w:color="auto" w:sz="4" w:space="0"/>
            </w:tcBorders>
            <w:noWrap w:val="0"/>
            <w:vAlign w:val="center"/>
          </w:tcPr>
          <w:p w14:paraId="37093D16">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100≤Z＜8000</w:t>
            </w:r>
          </w:p>
        </w:tc>
        <w:tc>
          <w:tcPr>
            <w:tcW w:w="992" w:type="dxa"/>
            <w:tcBorders>
              <w:top w:val="nil"/>
              <w:left w:val="nil"/>
              <w:bottom w:val="single" w:color="auto" w:sz="4" w:space="0"/>
              <w:right w:val="nil"/>
            </w:tcBorders>
            <w:noWrap w:val="0"/>
            <w:vAlign w:val="center"/>
          </w:tcPr>
          <w:p w14:paraId="6ED393FB">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3DFAA04E">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noWrap w:val="0"/>
            <w:vAlign w:val="center"/>
          </w:tcPr>
          <w:p w14:paraId="6EE0FA83">
            <w:pPr>
              <w:widowControl/>
              <w:spacing w:line="240" w:lineRule="exact"/>
              <w:jc w:val="left"/>
              <w:rPr>
                <w:rFonts w:ascii="宋体" w:hAnsi="宋体" w:cs="宋体"/>
                <w:color w:val="auto"/>
                <w:kern w:val="0"/>
                <w:sz w:val="18"/>
                <w:szCs w:val="18"/>
                <w:highlight w:val="none"/>
              </w:rPr>
            </w:pPr>
            <w:r>
              <w:rPr>
                <w:rFonts w:hint="eastAsia" w:ascii="宋体" w:hAnsi="宋体" w:cs="宋体"/>
                <w:color w:val="auto"/>
                <w:kern w:val="0"/>
                <w:sz w:val="18"/>
                <w:szCs w:val="18"/>
                <w:highlight w:val="none"/>
              </w:rPr>
              <w:t>其他未列明行业 *</w:t>
            </w:r>
          </w:p>
        </w:tc>
        <w:tc>
          <w:tcPr>
            <w:tcW w:w="1369" w:type="dxa"/>
            <w:tcBorders>
              <w:top w:val="nil"/>
              <w:left w:val="nil"/>
              <w:bottom w:val="single" w:color="auto" w:sz="4" w:space="0"/>
              <w:right w:val="single" w:color="auto" w:sz="4" w:space="0"/>
            </w:tcBorders>
            <w:noWrap w:val="0"/>
            <w:vAlign w:val="center"/>
          </w:tcPr>
          <w:p w14:paraId="750D650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tcBorders>
              <w:top w:val="nil"/>
              <w:left w:val="nil"/>
              <w:bottom w:val="single" w:color="auto" w:sz="4" w:space="0"/>
              <w:right w:val="single" w:color="auto" w:sz="4" w:space="0"/>
            </w:tcBorders>
            <w:noWrap w:val="0"/>
            <w:vAlign w:val="center"/>
          </w:tcPr>
          <w:p w14:paraId="1F4A33F0">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tcBorders>
              <w:top w:val="nil"/>
              <w:left w:val="nil"/>
              <w:bottom w:val="single" w:color="auto" w:sz="4" w:space="0"/>
              <w:right w:val="single" w:color="auto" w:sz="4" w:space="0"/>
            </w:tcBorders>
            <w:noWrap w:val="0"/>
            <w:vAlign w:val="center"/>
          </w:tcPr>
          <w:p w14:paraId="4D84BCC9">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tcBorders>
              <w:top w:val="nil"/>
              <w:left w:val="nil"/>
              <w:bottom w:val="single" w:color="auto" w:sz="4" w:space="0"/>
              <w:right w:val="single" w:color="auto" w:sz="4" w:space="0"/>
            </w:tcBorders>
            <w:noWrap w:val="0"/>
            <w:vAlign w:val="center"/>
          </w:tcPr>
          <w:p w14:paraId="61C8CFE7">
            <w:pPr>
              <w:widowControl/>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tcBorders>
              <w:top w:val="nil"/>
              <w:left w:val="nil"/>
              <w:bottom w:val="single" w:color="auto" w:sz="4" w:space="0"/>
              <w:right w:val="single" w:color="auto" w:sz="4" w:space="0"/>
            </w:tcBorders>
            <w:noWrap w:val="0"/>
            <w:vAlign w:val="center"/>
          </w:tcPr>
          <w:p w14:paraId="61B17735">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 10≤X＜100</w:t>
            </w:r>
          </w:p>
        </w:tc>
        <w:tc>
          <w:tcPr>
            <w:tcW w:w="992" w:type="dxa"/>
            <w:tcBorders>
              <w:top w:val="nil"/>
              <w:left w:val="nil"/>
              <w:bottom w:val="single" w:color="auto" w:sz="4" w:space="0"/>
              <w:right w:val="nil"/>
            </w:tcBorders>
            <w:noWrap w:val="0"/>
            <w:vAlign w:val="center"/>
          </w:tcPr>
          <w:p w14:paraId="06C89CC4">
            <w:pPr>
              <w:widowControl/>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253AB420">
      <w:pPr>
        <w:spacing w:line="360" w:lineRule="auto"/>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说明：</w:t>
      </w:r>
    </w:p>
    <w:p w14:paraId="3C7ADFC0">
      <w:pPr>
        <w:spacing w:line="360" w:lineRule="auto"/>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　　1.大型、中型和小型企业须同时满足所列指标的下限，否则下划一档；微型企业只须满足所列指标中的一项即可。</w:t>
      </w:r>
    </w:p>
    <w:p w14:paraId="5DD36745">
      <w:pPr>
        <w:spacing w:line="360" w:lineRule="auto"/>
        <w:rPr>
          <w:rFonts w:hint="eastAsia" w:ascii="宋体" w:hAnsi="宋体" w:eastAsia="宋体" w:cs="宋体"/>
          <w:color w:val="auto"/>
          <w:spacing w:val="8"/>
          <w:kern w:val="0"/>
          <w:sz w:val="21"/>
          <w:szCs w:val="21"/>
          <w:highlight w:val="none"/>
        </w:rPr>
      </w:pPr>
      <w:r>
        <w:rPr>
          <w:rFonts w:hint="eastAsia" w:ascii="宋体" w:hAnsi="宋体" w:eastAsia="宋体" w:cs="宋体"/>
          <w:color w:val="auto"/>
          <w:spacing w:val="8"/>
          <w:kern w:val="0"/>
          <w:sz w:val="21"/>
          <w:szCs w:val="21"/>
          <w:highlight w:val="none"/>
        </w:rPr>
        <w:t>　　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568D7F10">
      <w:pPr>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pacing w:val="8"/>
          <w:kern w:val="0"/>
          <w:sz w:val="21"/>
          <w:szCs w:val="21"/>
          <w:highlight w:val="none"/>
        </w:rPr>
        <w:t>　　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03DA9B88">
      <w:pPr>
        <w:rPr>
          <w:rFonts w:hint="eastAsia" w:ascii="宋体" w:hAnsi="宋体" w:eastAsia="宋体" w:cs="宋体"/>
          <w:color w:val="auto"/>
          <w:sz w:val="21"/>
          <w:szCs w:val="21"/>
          <w:highlight w:val="none"/>
        </w:rPr>
      </w:pPr>
    </w:p>
    <w:p w14:paraId="126E4F8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3071429B">
      <w:pPr>
        <w:spacing w:line="360" w:lineRule="auto"/>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《统计上大中小微型企业划分办法（2017）》修订说明</w:t>
      </w:r>
    </w:p>
    <w:p w14:paraId="0FD159A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一、修订背景</w:t>
      </w:r>
    </w:p>
    <w:p w14:paraId="05D6EE63">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64640C2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4B558395">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二、修订主要内容</w:t>
      </w:r>
    </w:p>
    <w:p w14:paraId="0A542D2B">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67133877">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将交通运输业中包括的“装卸搬运和运输代理业”修改为“多式联运和运输代理业、装卸搬运”。</w:t>
      </w:r>
    </w:p>
    <w:p w14:paraId="7AC9636A">
      <w:pPr>
        <w:spacing w:line="360" w:lineRule="auto"/>
        <w:ind w:firstLine="452"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8"/>
          <w:kern w:val="0"/>
          <w:sz w:val="21"/>
          <w:szCs w:val="21"/>
          <w:highlight w:val="none"/>
        </w:rPr>
        <w:t>仓储业所包括的行业中类，根据《国民经济行业分类》</w:t>
      </w:r>
      <w:r>
        <w:rPr>
          <w:rFonts w:hint="eastAsia" w:ascii="宋体" w:hAnsi="宋体" w:eastAsia="宋体" w:cs="宋体"/>
          <w:color w:val="auto"/>
          <w:sz w:val="21"/>
          <w:szCs w:val="21"/>
          <w:highlight w:val="none"/>
        </w:rPr>
        <w:t>（GB/T 4754—2017）</w:t>
      </w:r>
      <w:r>
        <w:rPr>
          <w:rFonts w:hint="eastAsia" w:ascii="宋体" w:hAnsi="宋体" w:eastAsia="宋体" w:cs="宋体"/>
          <w:color w:val="auto"/>
          <w:spacing w:val="8"/>
          <w:kern w:val="0"/>
          <w:sz w:val="21"/>
          <w:szCs w:val="21"/>
          <w:highlight w:val="none"/>
        </w:rPr>
        <w:t>调整为“通用仓储，低温仓储，危险品仓储，谷物、棉花等农产品仓储，中药材仓储和其他仓储业”。</w:t>
      </w:r>
    </w:p>
    <w:p w14:paraId="1132D070">
      <w:pPr>
        <w:spacing w:line="360" w:lineRule="auto"/>
        <w:jc w:val="center"/>
        <w:rPr>
          <w:rFonts w:hint="eastAsia" w:ascii="宋体" w:hAnsi="宋体" w:eastAsia="宋体" w:cs="宋体"/>
          <w:b/>
          <w:color w:val="auto"/>
          <w:sz w:val="23"/>
          <w:szCs w:val="21"/>
          <w:highlight w:val="none"/>
        </w:rPr>
      </w:pPr>
      <w:r>
        <w:rPr>
          <w:rFonts w:hint="eastAsia" w:ascii="宋体" w:hAnsi="宋体" w:eastAsia="宋体" w:cs="宋体"/>
          <w:b/>
          <w:color w:val="auto"/>
          <w:sz w:val="23"/>
          <w:szCs w:val="21"/>
          <w:highlight w:val="none"/>
        </w:rPr>
        <w:br w:type="page"/>
      </w:r>
      <w:r>
        <w:rPr>
          <w:rFonts w:hint="eastAsia" w:ascii="宋体" w:hAnsi="宋体" w:eastAsia="宋体" w:cs="宋体"/>
          <w:b/>
          <w:color w:val="auto"/>
          <w:sz w:val="23"/>
          <w:szCs w:val="21"/>
          <w:highlight w:val="none"/>
        </w:rPr>
        <w:t>关于促进残疾人就业政府采购政策的通知</w:t>
      </w:r>
    </w:p>
    <w:p w14:paraId="47CE7270">
      <w:pPr>
        <w:spacing w:line="360" w:lineRule="auto"/>
        <w:jc w:val="center"/>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财库〔2017〕141号</w:t>
      </w:r>
    </w:p>
    <w:p w14:paraId="6E81FD09">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cs="宋体"/>
          <w:color w:val="auto"/>
          <w:sz w:val="21"/>
          <w:szCs w:val="21"/>
          <w:highlight w:val="none"/>
        </w:rPr>
      </w:pPr>
      <w:bookmarkStart w:id="173" w:name="toDeptId"/>
      <w:r>
        <w:rPr>
          <w:rFonts w:hint="eastAsia" w:cs="宋体"/>
          <w:color w:val="auto"/>
          <w:sz w:val="21"/>
          <w:szCs w:val="21"/>
          <w:highlight w:val="none"/>
          <w:shd w:val="clear" w:color="auto" w:fill="FFFFFF"/>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173"/>
      <w:r>
        <w:rPr>
          <w:rFonts w:hint="eastAsia" w:cs="宋体"/>
          <w:color w:val="auto"/>
          <w:sz w:val="21"/>
          <w:szCs w:val="21"/>
          <w:highlight w:val="none"/>
          <w:shd w:val="clear" w:color="auto" w:fill="FFFFFF"/>
        </w:rPr>
        <w:t>：</w:t>
      </w:r>
    </w:p>
    <w:p w14:paraId="523C2B5C">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为了发挥政府采购促进残疾人就业的作用，进一步保障残疾人权益，依照《政府采购法》、《残疾人保障法》等法律法规及相关规定，现就促进残疾人就业政府采购政策通知如下：</w:t>
      </w:r>
    </w:p>
    <w:p w14:paraId="2883A433">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一、享受政府采购支持政策的残疾人福利性单位应当同时满足以下条件：</w:t>
      </w:r>
    </w:p>
    <w:p w14:paraId="59D6E5CD">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（一）安置的残疾人占本单位在职职工人数的比例不低于25%（含25%），并且安置的残疾人人数不少于10人（含10人）；</w:t>
      </w:r>
    </w:p>
    <w:p w14:paraId="374DFCF1">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（二）依法与安置的每位残疾人签订了一年以上（含一年）的劳动合同或服务协议；</w:t>
      </w:r>
    </w:p>
    <w:p w14:paraId="678FFA80">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（三）为安置的每位残疾人按月足额缴纳了基本养老保险、基本医疗保险、失业保险、工伤保险和生育保险等社会保险费；</w:t>
      </w:r>
    </w:p>
    <w:p w14:paraId="171684BF">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（四）通过银行等金融机构向安置的每位残疾人，按月支付了不低于单位所在区县适用的经省级人民政府批准的月最低工资标准的工资；</w:t>
      </w:r>
    </w:p>
    <w:p w14:paraId="0C0C8C9F">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（五）提供本单位制造的货物、承担的工程或者服务（以下简称产品），或者提供其他残疾人福利性单位制造的货物（不包括使用非残疾人福利性单位注册商标的货物）。</w:t>
      </w:r>
    </w:p>
    <w:p w14:paraId="5AC3C1E2">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068D816">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61B205F8">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中标、成交投标人为残疾人福利性单位的，采购人或者其委托的采购代理机构应当随中标、成交结果同时公告其《残疾人福利性单位声明函》，接受社会监督。</w:t>
      </w:r>
    </w:p>
    <w:p w14:paraId="67BB4C7B">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投标人提供的《残疾人福利性单位声明函》与事实不符的，依照《政府采购法》第七十七条第一款的规定追究法律责任。</w:t>
      </w:r>
    </w:p>
    <w:p w14:paraId="7053C9CE">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26F91DBC">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四、采购人采购公开招标数额标准以上的货物或者服务，因落实促进残疾人就业政策的需要，依法履行有关报批程序后，可采用公开招标以外的采购方式。</w:t>
      </w:r>
    </w:p>
    <w:p w14:paraId="1838860A">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565DD5BD">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4C1CA9B2">
      <w:pPr>
        <w:pStyle w:val="22"/>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cs="宋体"/>
          <w:color w:val="auto"/>
          <w:sz w:val="21"/>
          <w:szCs w:val="21"/>
          <w:highlight w:val="none"/>
        </w:rPr>
      </w:pPr>
      <w:r>
        <w:rPr>
          <w:rFonts w:hint="eastAsia" w:cs="宋体"/>
          <w:color w:val="auto"/>
          <w:sz w:val="21"/>
          <w:szCs w:val="21"/>
          <w:highlight w:val="none"/>
          <w:shd w:val="clear" w:color="auto" w:fill="FFFFFF"/>
        </w:rPr>
        <w:t>七、本通知自2017年10月1日起执行。</w:t>
      </w:r>
    </w:p>
    <w:p w14:paraId="3B630F35">
      <w:pPr>
        <w:pStyle w:val="9"/>
        <w:keepNext w:val="0"/>
        <w:keepLines w:val="0"/>
        <w:pageBreakBefore w:val="0"/>
        <w:widowControl/>
        <w:kinsoku/>
        <w:wordWrap/>
        <w:overflowPunct/>
        <w:topLinePunct w:val="0"/>
        <w:autoSpaceDE/>
        <w:autoSpaceDN/>
        <w:bidi w:val="0"/>
        <w:adjustRightInd/>
        <w:snapToGrid/>
        <w:spacing w:line="500" w:lineRule="exact"/>
        <w:jc w:val="right"/>
        <w:textAlignment w:val="auto"/>
        <w:rPr>
          <w:rFonts w:hint="eastAsia" w:cs="宋体"/>
          <w:color w:val="auto"/>
          <w:sz w:val="21"/>
          <w:szCs w:val="21"/>
          <w:highlight w:val="none"/>
          <w:shd w:val="clear" w:color="auto" w:fill="FFFFFF"/>
        </w:rPr>
      </w:pPr>
      <w:r>
        <w:rPr>
          <w:rFonts w:hint="eastAsia" w:cs="宋体"/>
          <w:color w:val="auto"/>
          <w:sz w:val="21"/>
          <w:szCs w:val="21"/>
          <w:highlight w:val="none"/>
          <w:shd w:val="clear" w:color="auto" w:fill="FFFFFF"/>
        </w:rPr>
        <w:t>财政部民政部中国残疾人联合会</w:t>
      </w:r>
    </w:p>
    <w:p w14:paraId="2DFB9349">
      <w:pPr>
        <w:jc w:val="center"/>
        <w:rPr>
          <w:rFonts w:hint="eastAsia" w:ascii="宋体" w:hAnsi="宋体" w:eastAsia="宋体" w:cs="宋体"/>
          <w:b/>
          <w:color w:val="auto"/>
          <w:sz w:val="23"/>
          <w:szCs w:val="21"/>
          <w:highlight w:val="none"/>
        </w:rPr>
      </w:pPr>
      <w:r>
        <w:rPr>
          <w:rFonts w:hint="eastAsia" w:cs="宋体"/>
          <w:color w:val="auto"/>
          <w:sz w:val="21"/>
          <w:szCs w:val="21"/>
          <w:highlight w:val="none"/>
          <w:shd w:val="clear" w:color="auto" w:fill="FFFFFF"/>
        </w:rPr>
        <w:br w:type="page"/>
      </w:r>
      <w:r>
        <w:rPr>
          <w:rFonts w:hint="eastAsia" w:ascii="宋体" w:hAnsi="宋体" w:eastAsia="宋体" w:cs="宋体"/>
          <w:b/>
          <w:color w:val="auto"/>
          <w:sz w:val="23"/>
          <w:szCs w:val="21"/>
          <w:highlight w:val="none"/>
        </w:rPr>
        <w:t>财政部司法部关于政府采购支持监狱企业发展有关问题的通知</w:t>
      </w:r>
    </w:p>
    <w:p w14:paraId="2D671E86">
      <w:pPr>
        <w:spacing w:line="360" w:lineRule="auto"/>
        <w:jc w:val="center"/>
        <w:rPr>
          <w:rFonts w:hint="eastAsia" w:ascii="宋体" w:hAnsi="宋体" w:eastAsia="宋体" w:cs="宋体"/>
          <w:b w:val="0"/>
          <w:bCs/>
          <w:color w:val="auto"/>
          <w:sz w:val="23"/>
          <w:szCs w:val="21"/>
          <w:highlight w:val="none"/>
        </w:rPr>
      </w:pPr>
      <w:r>
        <w:rPr>
          <w:rFonts w:hint="eastAsia" w:ascii="宋体" w:hAnsi="宋体" w:eastAsia="宋体" w:cs="宋体"/>
          <w:b w:val="0"/>
          <w:bCs/>
          <w:color w:val="auto"/>
          <w:sz w:val="23"/>
          <w:szCs w:val="21"/>
          <w:highlight w:val="none"/>
        </w:rPr>
        <w:t>财库〔2014〕68号</w:t>
      </w:r>
    </w:p>
    <w:p w14:paraId="750F8F8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党中央有关部门，国务院各部委、各直属机构，全国人大常委会办公厅，全国政协办公厅，高法院，高检院，有关人民团体，中央国家机关政府采购中心，中共中央直属机关采购中心，全国人大机关采购中心，各省、自治区、直辖市、计划单列市财政厅（局）、司法厅（局），新疆生产建设兵团财务局、司法局、监狱管理局：</w:t>
      </w:r>
    </w:p>
    <w:p w14:paraId="33AC6B5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支持监狱和戒毒企业（以下简称监狱企业）发展对稳定监狱企业生产，提高财政资金使用效益，为罪犯和戒毒人员提供长期可靠的劳动岗位，提高罪犯和戒毒人员的教育改造质量，减少重新违法犯罪，确保监狱、戒毒场所安全稳定，促进社会和谐稳定具有十分重要的意义。为进一步贯彻落实国务院《关于解决监狱企业困难的实施方案的通知》（国发[2003]7号）文件精神，发挥政府采购支持监狱企业发展的作用，现就有关事项通知如下：</w:t>
      </w:r>
    </w:p>
    <w:p w14:paraId="72B2FBF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14:paraId="78AB094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二、在政府采购活动中，监狱企业视同小型、微型企业，享受预留份额、评审中价格扣除等政府采购促进中小企业发展的政府采购政策。向监狱企业采购的金额，计入面向中小企业采购的统计数据。</w:t>
      </w:r>
    </w:p>
    <w:p w14:paraId="6E89DAE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各地区、各部门要积极通过预留采购份额支持监狱企业。有制服采购项目的部门，应加强对政府采购预算和计划编制工作的统筹，预留本部门制服采购项目预算总额的30%以上，专门面向监狱企业采购。省级以上政府部门组织的公务员考试、招生考试、等级考试、资格考试的试卷印刷项目原则上应当在符合有关资质的监狱企业范围内采购。各地在免费教科书政府采购工作中，应当根据符合教科书印制资质的监狱企业情况，提出由监狱企业印刷的比例要求。</w:t>
      </w:r>
    </w:p>
    <w:p w14:paraId="7C9CE6A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四、各地区可以结合本地区实际，对监狱企业生产的办公用品、家具用具、车辆维修和提供的保养服务、消防设备等，提出预留份额等政府采购支持措施，加大对监狱企业产品的采购力度。</w:t>
      </w:r>
    </w:p>
    <w:p w14:paraId="0441B06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各地区、各部门要高度重视，加强组织管理和监督，做好政府采购支持监狱企业发展的相关工作。有关部门要加强监管，确保面向监狱企业采购的工作依法依规进行。各监狱企业要不断提高监狱企业产品的质量和服务水平，为做好监狱企业产品政府采购工作提供有力保障。</w:t>
      </w:r>
    </w:p>
    <w:p w14:paraId="39268964">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中华人民共和国财政部</w:t>
      </w:r>
    </w:p>
    <w:p w14:paraId="4157B150">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中华人民共和国司法部</w:t>
      </w:r>
    </w:p>
    <w:p w14:paraId="5C944B92">
      <w:pPr>
        <w:keepNext w:val="0"/>
        <w:keepLines w:val="0"/>
        <w:pageBreakBefore w:val="0"/>
        <w:widowControl w:val="0"/>
        <w:kinsoku/>
        <w:wordWrap/>
        <w:overflowPunct/>
        <w:topLinePunct w:val="0"/>
        <w:autoSpaceDE/>
        <w:autoSpaceDN/>
        <w:bidi w:val="0"/>
        <w:adjustRightInd/>
        <w:snapToGrid/>
        <w:spacing w:line="312" w:lineRule="auto"/>
        <w:ind w:firstLine="420" w:firstLineChars="200"/>
        <w:jc w:val="right"/>
        <w:textAlignment w:val="auto"/>
        <w:rPr>
          <w:rFonts w:hint="eastAsia"/>
          <w:color w:val="auto"/>
          <w:highlight w:val="none"/>
        </w:rPr>
      </w:pPr>
      <w:r>
        <w:rPr>
          <w:rFonts w:hint="eastAsia" w:ascii="宋体" w:hAnsi="宋体" w:eastAsia="宋体" w:cs="宋体"/>
          <w:color w:val="auto"/>
          <w:sz w:val="21"/>
          <w:szCs w:val="21"/>
          <w:highlight w:val="none"/>
        </w:rPr>
        <w:br w:type="page"/>
      </w:r>
      <w:bookmarkEnd w:id="171"/>
    </w:p>
    <w:p w14:paraId="155F88EC">
      <w:pPr>
        <w:keepNext w:val="0"/>
        <w:keepLines w:val="0"/>
        <w:pageBreakBefore w:val="0"/>
        <w:widowControl w:val="0"/>
        <w:kinsoku/>
        <w:wordWrap/>
        <w:overflowPunct/>
        <w:topLinePunct w:val="0"/>
        <w:autoSpaceDE/>
        <w:autoSpaceDN/>
        <w:bidi w:val="0"/>
        <w:adjustRightInd/>
        <w:snapToGrid/>
        <w:spacing w:line="312" w:lineRule="auto"/>
        <w:jc w:val="center"/>
        <w:textAlignment w:val="auto"/>
        <w:rPr>
          <w:rFonts w:hint="eastAsia" w:ascii="宋体" w:hAnsi="宋体" w:eastAsia="宋体" w:cs="宋体"/>
          <w:b/>
          <w:color w:val="auto"/>
          <w:sz w:val="24"/>
          <w:szCs w:val="24"/>
          <w:highlight w:val="none"/>
          <w:lang w:val="en-US" w:eastAsia="zh-CN"/>
        </w:rPr>
      </w:pPr>
      <w:bookmarkStart w:id="174" w:name="_Toc105486701"/>
      <w:bookmarkStart w:id="175" w:name="_Toc105486448"/>
      <w:bookmarkStart w:id="176" w:name="_Toc105486559"/>
      <w:bookmarkStart w:id="177" w:name="_Toc152045609"/>
      <w:bookmarkStart w:id="178" w:name="_Toc247085767"/>
      <w:bookmarkStart w:id="179" w:name="_Toc179632627"/>
      <w:bookmarkStart w:id="180" w:name="_Toc144974577"/>
      <w:bookmarkStart w:id="181" w:name="_Toc246996995"/>
      <w:bookmarkStart w:id="182" w:name="_Toc246996252"/>
      <w:bookmarkStart w:id="183" w:name="_Toc152042387"/>
      <w:r>
        <w:rPr>
          <w:rFonts w:hint="eastAsia" w:ascii="宋体" w:hAnsi="宋体" w:eastAsia="宋体" w:cs="宋体"/>
          <w:b/>
          <w:color w:val="auto"/>
          <w:sz w:val="24"/>
          <w:szCs w:val="24"/>
          <w:highlight w:val="none"/>
          <w:lang w:val="en-US" w:eastAsia="zh-CN"/>
        </w:rPr>
        <w:t>关于推动解决政府采购异常低价问题的通知</w:t>
      </w:r>
    </w:p>
    <w:p w14:paraId="74F7FEC2">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center"/>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财库〔2026〕2号</w:t>
      </w:r>
    </w:p>
    <w:p w14:paraId="793C5E67">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各中央预算单位，各省、自治区、直辖市、计划单列市财政厅（局），新疆生产建设兵团财政局：　</w:t>
      </w:r>
    </w:p>
    <w:p w14:paraId="77D8F6A2">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为整治政府采购领域“内卷式”竞争，形成优质优价、良性竞争的市场秩序，现就推动解决政府采购异常低价问题有关事项通知如下：　</w:t>
      </w:r>
    </w:p>
    <w:p w14:paraId="523C25D3">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一、加强政府采购需求管理　</w:t>
      </w:r>
    </w:p>
    <w:p w14:paraId="7DD815DF">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采购人应当根据实际工作需要，综合考虑同类项目中标（成交）信息，以及市场供给和产业发展状况，材料、人工等市场价格，行业费用标准等市场调查情况，形成科学、完整、清晰的采购需求，合理设定最高限价，为供应商竞争报价提供基础。未设定最高限价的采购项目，以采购项目预算金额作为最高限价。　</w:t>
      </w:r>
    </w:p>
    <w:p w14:paraId="476FFDAF">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采购人要综合考虑技术、成本效益、促进竞争等因素，按照专业类型和专业领域，合理设置采购包。采购人可以引入全生命周期成本理念，在采购文件中要求供应商对约定期限内的运营、维护、升级，专用耗材，处置报废等费用进行报价，作为评审因素，并在采购合同中明确，供应商应当在约定期限内以不高于其报价的价格向采购人提供专用耗材或者相关服务。采购项目采用综合评分法的，应当按照相关规定科学合理确定价格、技术、商务等因素的分值和权重。　</w:t>
      </w:r>
    </w:p>
    <w:p w14:paraId="4C075B67">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采购人应当重点加强对信息化建设项目和耗材使用量大的复印、打印、实验、医疗等仪器设备采购项目的管理。对于信息化建设项目，采购人应当要求供应商严格落实相关开放性、兼容性标准和规范要求，按合同约定提供服务；在系统运行过程中，供应商不得在国家规定和合同约定之外以任何名义向相关服务对象收取费用。　</w:t>
      </w:r>
    </w:p>
    <w:p w14:paraId="56FC7DB4">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二、强化政府采购异常低价审查　</w:t>
      </w:r>
    </w:p>
    <w:p w14:paraId="5E29D2A6">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（一）采购人应当在采购文件中明确，政府采购评审中出现下列情形之一的，评审委员会应当启动异常低价投标（响应）审查程序：　</w:t>
      </w:r>
    </w:p>
    <w:p w14:paraId="7B3A873C">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1．投标（响应）报价低于全部通过符合性审查供应商投标（响应）报价平均值50％的，即投标（响应）报价＜全部通过符合性审查供应商投标（响应）报价平均值×50％；　</w:t>
      </w:r>
    </w:p>
    <w:p w14:paraId="7B1EB7DF">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2．投标（响应）报价低于通过符合性审查的次低报价供应商投标（响应）报价50％的，即投标（响应）报价＜通过符合性审查的次低报价供应商投标（响应）报价×50％；　</w:t>
      </w:r>
    </w:p>
    <w:p w14:paraId="249DB52D">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3．投标（响应）报价低于采购项目最高限价45％的，即投标（响应）报价＜采购项目最高限价×45％；　</w:t>
      </w:r>
    </w:p>
    <w:p w14:paraId="179A6812">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4．评审委员会基于专业判断，认为供应商报价过低，有可能影响产品质量或者不能诚信履约的其他情形。　</w:t>
      </w:r>
    </w:p>
    <w:p w14:paraId="2220311A">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采购人可以结合具体项目实际情况，提高上述第1项至第3项中启动异常低价投标（响应）审查的数值标准，但是最高不得超过65％。　</w:t>
      </w:r>
    </w:p>
    <w:p w14:paraId="7CCE2BB6">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相关法律法规对供应商报价有规定的，从其规定。　</w:t>
      </w:r>
    </w:p>
    <w:p w14:paraId="10BF89E2">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　</w:t>
      </w:r>
    </w:p>
    <w:p w14:paraId="37FD4516">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　</w:t>
      </w:r>
    </w:p>
    <w:p w14:paraId="281214BE">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　</w:t>
      </w:r>
    </w:p>
    <w:p w14:paraId="20DE7747">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异常低价投标（响应）审查的启动原因、审查意见和审查结果应当在评审报告中记录，并随供应商提供的相关书面说明及证明材料，以及评审委员会有关互联网浏览、查询历史一并归档。　</w:t>
      </w:r>
    </w:p>
    <w:p w14:paraId="7467EE5C">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三）各级财政部门应当加强对评审专家的指导和监管，进一步压实评审专家的责任。财政部门在投诉处理、监督检查中发现评审委员会未按规定对异常低价开展审查的，依法予以纠正并追究评审专家的法律责任。　</w:t>
      </w:r>
    </w:p>
    <w:p w14:paraId="548C2372">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三、加强政府采购履约验收管理　</w:t>
      </w:r>
    </w:p>
    <w:p w14:paraId="32160EDC">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采购人应当落实履约验收责任，依法组织履约验收工作，验收内容要包括每一项技术和商务要求的履约情况。对报价触发异常低价投标（响应）审查程序后仍中标（成交）的供应商，采购人要重点关注其履约承诺、实际履约情况等。对可以分期实施的采购项目，实行分期考核、分期验收、分期支付，及时掌握供应商履约进展。如供应商中标（成交）后无正当理由拒不签订政府采购合同的，依法予以处理；如供应商不履行合同或者未按合同约定履行合同导致验收不合格的，采购人应当依法追究其违约责任。　</w:t>
      </w:r>
    </w:p>
    <w:p w14:paraId="388A5351">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各部门、各地区要充分认识解决政府采购异常低价问题的重要意义，加强组织领导，周密安排部署，强化监督指导，结合工作实际，通过完善采购文件标准文本、增设交易系统功能、加强履约担保、加大违约责任追究力度等措施，进一步细化工作举措，确保各项要求落实到位。　</w:t>
      </w:r>
    </w:p>
    <w:p w14:paraId="28BEDE11">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本通知自2026年2月1日起施行。　</w:t>
      </w:r>
    </w:p>
    <w:p w14:paraId="3A75241D">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righ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财政部</w:t>
      </w:r>
    </w:p>
    <w:p w14:paraId="4AC3B689">
      <w:pPr>
        <w:pStyle w:val="2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righ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2026年1月14日</w:t>
      </w:r>
    </w:p>
    <w:p w14:paraId="3818F900">
      <w:pPr>
        <w:keepNext w:val="0"/>
        <w:keepLines w:val="0"/>
        <w:pageBreakBefore w:val="0"/>
        <w:widowControl w:val="0"/>
        <w:kinsoku/>
        <w:wordWrap/>
        <w:overflowPunct/>
        <w:topLinePunct w:val="0"/>
        <w:autoSpaceDE/>
        <w:autoSpaceDN/>
        <w:bidi w:val="0"/>
        <w:adjustRightInd/>
        <w:snapToGrid/>
        <w:spacing w:line="336" w:lineRule="auto"/>
        <w:jc w:val="center"/>
        <w:textAlignment w:val="auto"/>
        <w:rPr>
          <w:rFonts w:hint="eastAsia" w:ascii="宋体" w:hAnsi="宋体" w:eastAsia="宋体" w:cs="宋体"/>
          <w:color w:val="auto"/>
          <w:szCs w:val="21"/>
          <w:highlight w:val="none"/>
        </w:rPr>
      </w:pPr>
      <w:r>
        <w:rPr>
          <w:rFonts w:hint="eastAsia" w:ascii="宋体" w:hAnsi="宋体" w:cs="黑体"/>
          <w:b/>
          <w:bCs/>
          <w:sz w:val="32"/>
          <w:szCs w:val="32"/>
          <w:highlight w:val="none"/>
        </w:rPr>
        <w:br w:type="page"/>
      </w:r>
      <w:bookmarkEnd w:id="174"/>
      <w:bookmarkEnd w:id="175"/>
      <w:bookmarkEnd w:id="176"/>
    </w:p>
    <w:p w14:paraId="18C72C2F">
      <w:pPr>
        <w:rPr>
          <w:rFonts w:hint="eastAsia" w:ascii="宋体" w:hAnsi="宋体" w:cs="宋体"/>
          <w:color w:val="auto"/>
          <w:highlight w:val="none"/>
        </w:rPr>
      </w:pPr>
    </w:p>
    <w:p w14:paraId="26C60F22">
      <w:pPr>
        <w:pStyle w:val="2"/>
        <w:jc w:val="center"/>
        <w:rPr>
          <w:rFonts w:hint="eastAsia" w:ascii="宋体" w:hAnsi="宋体" w:cs="宋体"/>
          <w:color w:val="auto"/>
          <w:highlight w:val="none"/>
        </w:rPr>
      </w:pPr>
      <w:bookmarkStart w:id="184" w:name="_Toc9680"/>
      <w:r>
        <w:rPr>
          <w:rFonts w:hint="eastAsia" w:ascii="宋体" w:hAnsi="宋体" w:cs="宋体"/>
          <w:color w:val="auto"/>
          <w:highlight w:val="none"/>
        </w:rPr>
        <w:t>第四章 合同条款及格式</w:t>
      </w:r>
      <w:bookmarkEnd w:id="177"/>
      <w:bookmarkEnd w:id="178"/>
      <w:bookmarkEnd w:id="179"/>
      <w:bookmarkEnd w:id="180"/>
      <w:bookmarkEnd w:id="181"/>
      <w:bookmarkEnd w:id="182"/>
      <w:bookmarkEnd w:id="183"/>
      <w:bookmarkEnd w:id="184"/>
    </w:p>
    <w:p w14:paraId="7EA3ED27">
      <w:pPr>
        <w:autoSpaceDE w:val="0"/>
        <w:autoSpaceDN w:val="0"/>
        <w:adjustRightInd w:val="0"/>
        <w:spacing w:line="360" w:lineRule="auto"/>
        <w:ind w:firstLine="420" w:firstLineChars="200"/>
        <w:jc w:val="center"/>
        <w:rPr>
          <w:rFonts w:hint="eastAsia" w:ascii="宋体" w:hAnsi="宋体" w:eastAsia="宋体" w:cs="宋体"/>
          <w:b w:val="0"/>
          <w:bCs w:val="0"/>
          <w:sz w:val="21"/>
          <w:szCs w:val="21"/>
        </w:rPr>
      </w:pPr>
      <w:bookmarkStart w:id="185" w:name="_Toc144974834"/>
      <w:bookmarkStart w:id="186" w:name="_Toc179632789"/>
      <w:bookmarkStart w:id="187" w:name="_Toc247085855"/>
      <w:bookmarkStart w:id="188" w:name="_Toc246997083"/>
      <w:bookmarkStart w:id="189" w:name="_Toc152042554"/>
      <w:bookmarkStart w:id="190" w:name="_Toc152045772"/>
      <w:bookmarkStart w:id="191" w:name="_Toc246996340"/>
      <w:r>
        <w:rPr>
          <w:rFonts w:hint="eastAsia" w:ascii="宋体" w:hAnsi="宋体" w:eastAsia="宋体" w:cs="宋体"/>
          <w:b w:val="0"/>
          <w:bCs w:val="0"/>
          <w:sz w:val="21"/>
          <w:szCs w:val="21"/>
        </w:rPr>
        <w:t>（</w:t>
      </w:r>
      <w:r>
        <w:rPr>
          <w:rFonts w:hint="eastAsia" w:ascii="宋体" w:hAnsi="宋体" w:eastAsia="宋体" w:cs="宋体"/>
          <w:b w:val="0"/>
          <w:bCs w:val="0"/>
          <w:color w:val="auto"/>
          <w:sz w:val="21"/>
          <w:szCs w:val="21"/>
          <w:highlight w:val="none"/>
          <w:lang w:val="zh-CN"/>
        </w:rPr>
        <w:t>注：本合同仅为合同的参考文本，合同签订双方可根据项目的具体要求进行修订。</w:t>
      </w:r>
      <w:r>
        <w:rPr>
          <w:rFonts w:hint="eastAsia" w:ascii="宋体" w:hAnsi="宋体" w:eastAsia="宋体" w:cs="宋体"/>
          <w:b w:val="0"/>
          <w:bCs w:val="0"/>
          <w:sz w:val="21"/>
          <w:szCs w:val="21"/>
        </w:rPr>
        <w:t>）</w:t>
      </w:r>
    </w:p>
    <w:p w14:paraId="3B05811D">
      <w:pPr>
        <w:spacing w:after="0" w:line="240" w:lineRule="auto"/>
        <w:ind w:right="0"/>
        <w:jc w:val="center"/>
        <w:rPr>
          <w:rFonts w:hint="eastAsia" w:ascii="宋体" w:hAnsi="宋体" w:eastAsia="宋体" w:cs="宋体"/>
          <w:sz w:val="21"/>
          <w:szCs w:val="21"/>
        </w:rPr>
      </w:pPr>
      <w:r>
        <w:rPr>
          <w:rFonts w:hint="eastAsia" w:ascii="宋体" w:hAnsi="宋体" w:eastAsia="宋体" w:cs="宋体"/>
          <w:sz w:val="21"/>
          <w:szCs w:val="21"/>
        </w:rPr>
        <w:br w:type="page"/>
      </w:r>
      <w:r>
        <w:rPr>
          <w:rFonts w:hint="eastAsia" w:ascii="宋体" w:hAnsi="宋体" w:eastAsia="宋体" w:cs="宋体"/>
          <w:b/>
          <w:bCs/>
          <w:sz w:val="21"/>
          <w:szCs w:val="21"/>
        </w:rPr>
        <w:t>政府采购合同参考范本</w:t>
      </w:r>
    </w:p>
    <w:p w14:paraId="720CE126">
      <w:pPr>
        <w:spacing w:after="0" w:line="305" w:lineRule="exact"/>
        <w:rPr>
          <w:rFonts w:hint="eastAsia" w:ascii="宋体" w:hAnsi="宋体" w:eastAsia="宋体" w:cs="宋体"/>
          <w:sz w:val="21"/>
          <w:szCs w:val="21"/>
        </w:rPr>
      </w:pPr>
    </w:p>
    <w:p w14:paraId="5A044671">
      <w:pPr>
        <w:spacing w:after="0" w:line="320" w:lineRule="exact"/>
        <w:ind w:right="6"/>
        <w:jc w:val="center"/>
        <w:rPr>
          <w:rFonts w:hint="eastAsia" w:ascii="宋体" w:hAnsi="宋体" w:eastAsia="宋体" w:cs="宋体"/>
          <w:sz w:val="21"/>
          <w:szCs w:val="21"/>
        </w:rPr>
      </w:pPr>
      <w:r>
        <w:rPr>
          <w:rFonts w:hint="eastAsia" w:ascii="宋体" w:hAnsi="宋体" w:eastAsia="宋体" w:cs="宋体"/>
          <w:b/>
          <w:bCs/>
          <w:sz w:val="21"/>
          <w:szCs w:val="21"/>
        </w:rPr>
        <w:t>（服务类）</w:t>
      </w:r>
    </w:p>
    <w:p w14:paraId="049CBB6C">
      <w:pPr>
        <w:spacing w:after="0" w:line="200" w:lineRule="exact"/>
        <w:rPr>
          <w:rFonts w:hint="eastAsia" w:ascii="宋体" w:hAnsi="宋体" w:eastAsia="宋体" w:cs="宋体"/>
          <w:sz w:val="21"/>
          <w:szCs w:val="21"/>
        </w:rPr>
      </w:pPr>
    </w:p>
    <w:p w14:paraId="3D2FF625">
      <w:pPr>
        <w:spacing w:after="0" w:line="200" w:lineRule="exact"/>
        <w:rPr>
          <w:rFonts w:hint="eastAsia" w:ascii="宋体" w:hAnsi="宋体" w:eastAsia="宋体" w:cs="宋体"/>
          <w:sz w:val="21"/>
          <w:szCs w:val="21"/>
        </w:rPr>
      </w:pPr>
    </w:p>
    <w:p w14:paraId="77585373">
      <w:pPr>
        <w:spacing w:after="0" w:line="200" w:lineRule="exact"/>
        <w:rPr>
          <w:rFonts w:hint="eastAsia" w:ascii="宋体" w:hAnsi="宋体" w:eastAsia="宋体" w:cs="宋体"/>
          <w:sz w:val="21"/>
          <w:szCs w:val="21"/>
        </w:rPr>
      </w:pPr>
    </w:p>
    <w:p w14:paraId="505FD08A">
      <w:pPr>
        <w:spacing w:after="0" w:line="200" w:lineRule="exact"/>
        <w:rPr>
          <w:rFonts w:hint="eastAsia" w:ascii="宋体" w:hAnsi="宋体" w:eastAsia="宋体" w:cs="宋体"/>
          <w:sz w:val="21"/>
          <w:szCs w:val="21"/>
        </w:rPr>
      </w:pPr>
    </w:p>
    <w:p w14:paraId="553C430C">
      <w:pPr>
        <w:spacing w:after="0" w:line="200" w:lineRule="exact"/>
        <w:rPr>
          <w:rFonts w:hint="eastAsia" w:ascii="宋体" w:hAnsi="宋体" w:eastAsia="宋体" w:cs="宋体"/>
          <w:sz w:val="21"/>
          <w:szCs w:val="21"/>
        </w:rPr>
      </w:pPr>
    </w:p>
    <w:p w14:paraId="52246AAE">
      <w:pPr>
        <w:spacing w:after="0" w:line="200" w:lineRule="exact"/>
        <w:rPr>
          <w:rFonts w:hint="eastAsia" w:ascii="宋体" w:hAnsi="宋体" w:eastAsia="宋体" w:cs="宋体"/>
          <w:sz w:val="21"/>
          <w:szCs w:val="21"/>
        </w:rPr>
      </w:pPr>
    </w:p>
    <w:p w14:paraId="3F1E19A8">
      <w:pPr>
        <w:spacing w:after="0" w:line="200" w:lineRule="exact"/>
        <w:rPr>
          <w:rFonts w:hint="eastAsia" w:ascii="宋体" w:hAnsi="宋体" w:eastAsia="宋体" w:cs="宋体"/>
          <w:sz w:val="21"/>
          <w:szCs w:val="21"/>
        </w:rPr>
      </w:pPr>
    </w:p>
    <w:p w14:paraId="00AB4179">
      <w:pPr>
        <w:spacing w:after="0" w:line="200" w:lineRule="exact"/>
        <w:rPr>
          <w:rFonts w:hint="eastAsia" w:ascii="宋体" w:hAnsi="宋体" w:eastAsia="宋体" w:cs="宋体"/>
          <w:sz w:val="21"/>
          <w:szCs w:val="21"/>
        </w:rPr>
      </w:pPr>
    </w:p>
    <w:p w14:paraId="7D889F83">
      <w:pPr>
        <w:spacing w:after="0" w:line="200" w:lineRule="exact"/>
        <w:rPr>
          <w:rFonts w:hint="eastAsia" w:ascii="宋体" w:hAnsi="宋体" w:eastAsia="宋体" w:cs="宋体"/>
          <w:sz w:val="21"/>
          <w:szCs w:val="21"/>
        </w:rPr>
      </w:pPr>
    </w:p>
    <w:p w14:paraId="24E3E9B6">
      <w:pPr>
        <w:spacing w:after="0" w:line="323" w:lineRule="exact"/>
        <w:rPr>
          <w:rFonts w:hint="eastAsia" w:ascii="宋体" w:hAnsi="宋体" w:eastAsia="宋体" w:cs="宋体"/>
          <w:sz w:val="21"/>
          <w:szCs w:val="21"/>
        </w:rPr>
      </w:pPr>
    </w:p>
    <w:p w14:paraId="4F77E9C8">
      <w:pPr>
        <w:spacing w:after="0" w:line="274" w:lineRule="exact"/>
        <w:ind w:right="6"/>
        <w:jc w:val="center"/>
        <w:rPr>
          <w:rFonts w:hint="eastAsia" w:ascii="宋体" w:hAnsi="宋体" w:eastAsia="宋体" w:cs="宋体"/>
          <w:sz w:val="21"/>
          <w:szCs w:val="21"/>
        </w:rPr>
      </w:pPr>
      <w:r>
        <w:rPr>
          <w:rFonts w:hint="eastAsia" w:ascii="宋体" w:hAnsi="宋体" w:eastAsia="宋体" w:cs="宋体"/>
          <w:b/>
          <w:bCs/>
          <w:sz w:val="21"/>
          <w:szCs w:val="21"/>
        </w:rPr>
        <w:t>第一部分 合同书</w:t>
      </w:r>
    </w:p>
    <w:p w14:paraId="013DDA8D">
      <w:pPr>
        <w:spacing w:after="0" w:line="200" w:lineRule="exact"/>
        <w:rPr>
          <w:rFonts w:hint="eastAsia" w:ascii="宋体" w:hAnsi="宋体" w:eastAsia="宋体" w:cs="宋体"/>
          <w:sz w:val="21"/>
          <w:szCs w:val="21"/>
        </w:rPr>
      </w:pPr>
    </w:p>
    <w:p w14:paraId="25F78E29">
      <w:pPr>
        <w:spacing w:after="0" w:line="200" w:lineRule="exact"/>
        <w:rPr>
          <w:rFonts w:hint="eastAsia" w:ascii="宋体" w:hAnsi="宋体" w:eastAsia="宋体" w:cs="宋体"/>
          <w:sz w:val="21"/>
          <w:szCs w:val="21"/>
        </w:rPr>
      </w:pPr>
    </w:p>
    <w:p w14:paraId="5F980BDE">
      <w:pPr>
        <w:spacing w:after="0" w:line="200" w:lineRule="exact"/>
        <w:rPr>
          <w:rFonts w:hint="eastAsia" w:ascii="宋体" w:hAnsi="宋体" w:eastAsia="宋体" w:cs="宋体"/>
          <w:sz w:val="21"/>
          <w:szCs w:val="21"/>
        </w:rPr>
      </w:pPr>
    </w:p>
    <w:p w14:paraId="39F3F4CE">
      <w:pPr>
        <w:spacing w:after="0" w:line="200" w:lineRule="exact"/>
        <w:rPr>
          <w:rFonts w:hint="eastAsia" w:ascii="宋体" w:hAnsi="宋体" w:eastAsia="宋体" w:cs="宋体"/>
          <w:sz w:val="21"/>
          <w:szCs w:val="21"/>
        </w:rPr>
      </w:pPr>
    </w:p>
    <w:p w14:paraId="580A00D4">
      <w:pPr>
        <w:spacing w:after="0" w:line="200" w:lineRule="exact"/>
        <w:rPr>
          <w:rFonts w:hint="eastAsia" w:ascii="宋体" w:hAnsi="宋体" w:eastAsia="宋体" w:cs="宋体"/>
          <w:sz w:val="21"/>
          <w:szCs w:val="21"/>
        </w:rPr>
      </w:pPr>
    </w:p>
    <w:p w14:paraId="41ED74C7">
      <w:pPr>
        <w:spacing w:after="0" w:line="200" w:lineRule="exact"/>
        <w:rPr>
          <w:rFonts w:hint="eastAsia" w:ascii="宋体" w:hAnsi="宋体" w:eastAsia="宋体" w:cs="宋体"/>
          <w:sz w:val="21"/>
          <w:szCs w:val="21"/>
        </w:rPr>
      </w:pPr>
    </w:p>
    <w:p w14:paraId="507D0250">
      <w:pPr>
        <w:spacing w:after="0" w:line="200" w:lineRule="exact"/>
        <w:rPr>
          <w:rFonts w:hint="eastAsia" w:ascii="宋体" w:hAnsi="宋体" w:eastAsia="宋体" w:cs="宋体"/>
          <w:sz w:val="21"/>
          <w:szCs w:val="21"/>
        </w:rPr>
      </w:pPr>
    </w:p>
    <w:p w14:paraId="358C744E">
      <w:pPr>
        <w:spacing w:after="0" w:line="200" w:lineRule="exact"/>
        <w:rPr>
          <w:rFonts w:hint="eastAsia" w:ascii="宋体" w:hAnsi="宋体" w:eastAsia="宋体" w:cs="宋体"/>
          <w:sz w:val="21"/>
          <w:szCs w:val="21"/>
        </w:rPr>
      </w:pPr>
    </w:p>
    <w:p w14:paraId="4BE014E0">
      <w:pPr>
        <w:spacing w:after="0" w:line="200" w:lineRule="exact"/>
        <w:rPr>
          <w:rFonts w:hint="eastAsia" w:ascii="宋体" w:hAnsi="宋体" w:eastAsia="宋体" w:cs="宋体"/>
          <w:sz w:val="21"/>
          <w:szCs w:val="21"/>
        </w:rPr>
      </w:pPr>
    </w:p>
    <w:p w14:paraId="5A0B50EE">
      <w:pPr>
        <w:spacing w:after="0" w:line="200" w:lineRule="exact"/>
        <w:rPr>
          <w:rFonts w:hint="eastAsia" w:ascii="宋体" w:hAnsi="宋体" w:eastAsia="宋体" w:cs="宋体"/>
          <w:sz w:val="21"/>
          <w:szCs w:val="21"/>
        </w:rPr>
      </w:pPr>
    </w:p>
    <w:p w14:paraId="296C4EAE">
      <w:pPr>
        <w:spacing w:after="0" w:line="277" w:lineRule="exact"/>
        <w:rPr>
          <w:rFonts w:hint="eastAsia" w:ascii="宋体" w:hAnsi="宋体" w:eastAsia="宋体" w:cs="宋体"/>
          <w:sz w:val="21"/>
          <w:szCs w:val="21"/>
        </w:rPr>
      </w:pPr>
    </w:p>
    <w:p w14:paraId="0EED21BF">
      <w:pPr>
        <w:tabs>
          <w:tab w:val="left" w:pos="3820"/>
        </w:tabs>
        <w:spacing w:after="0" w:line="263" w:lineRule="exact"/>
        <w:ind w:left="1320"/>
        <w:rPr>
          <w:rFonts w:hint="eastAsia" w:ascii="宋体" w:hAnsi="宋体" w:eastAsia="宋体" w:cs="宋体"/>
          <w:sz w:val="21"/>
          <w:szCs w:val="21"/>
        </w:rPr>
      </w:pPr>
      <w:r>
        <w:rPr>
          <w:rFonts w:hint="eastAsia" w:ascii="宋体" w:hAnsi="宋体" w:eastAsia="宋体" w:cs="宋体"/>
          <w:sz w:val="21"/>
          <w:szCs w:val="21"/>
        </w:rPr>
        <w:t>项目名称：</w:t>
      </w:r>
      <w:r>
        <w:rPr>
          <w:rFonts w:hint="eastAsia" w:ascii="宋体" w:hAnsi="宋体" w:eastAsia="宋体" w:cs="宋体"/>
          <w:sz w:val="21"/>
          <w:szCs w:val="21"/>
          <w:lang w:val="en-US" w:eastAsia="zh-CN"/>
        </w:rPr>
        <w:t xml:space="preserve">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（分包项目须填写完整的分包号及分包名称）</w:t>
      </w:r>
    </w:p>
    <w:p w14:paraId="68557D1A">
      <w:pPr>
        <w:spacing w:after="0" w:line="20" w:lineRule="exact"/>
        <w:rPr>
          <w:rFonts w:hint="eastAsia" w:ascii="宋体" w:hAnsi="宋体" w:eastAsia="宋体" w:cs="宋体"/>
          <w:sz w:val="21"/>
          <w:szCs w:val="21"/>
        </w:rPr>
      </w:pPr>
    </w:p>
    <w:p w14:paraId="48959728">
      <w:pPr>
        <w:spacing w:after="0" w:line="200" w:lineRule="exact"/>
        <w:rPr>
          <w:rFonts w:hint="eastAsia" w:ascii="宋体" w:hAnsi="宋体" w:eastAsia="宋体" w:cs="宋体"/>
          <w:sz w:val="21"/>
          <w:szCs w:val="21"/>
        </w:rPr>
      </w:pPr>
    </w:p>
    <w:p w14:paraId="66D7C55F">
      <w:pPr>
        <w:spacing w:after="0" w:line="250" w:lineRule="exact"/>
        <w:rPr>
          <w:rFonts w:hint="eastAsia" w:ascii="宋体" w:hAnsi="宋体" w:eastAsia="宋体" w:cs="宋体"/>
          <w:sz w:val="21"/>
          <w:szCs w:val="21"/>
        </w:rPr>
      </w:pPr>
    </w:p>
    <w:p w14:paraId="6803D64A">
      <w:pPr>
        <w:spacing w:after="0" w:line="274" w:lineRule="exact"/>
        <w:ind w:left="1320"/>
        <w:rPr>
          <w:rFonts w:hint="eastAsia" w:ascii="宋体" w:hAnsi="宋体" w:eastAsia="宋体" w:cs="宋体"/>
          <w:sz w:val="21"/>
          <w:szCs w:val="21"/>
        </w:rPr>
      </w:pPr>
      <w:r>
        <w:rPr>
          <w:rFonts w:hint="eastAsia" w:ascii="宋体" w:hAnsi="宋体" w:eastAsia="宋体" w:cs="宋体"/>
          <w:sz w:val="21"/>
          <w:szCs w:val="21"/>
        </w:rPr>
        <w:t>项目编号：</w:t>
      </w:r>
      <w:r>
        <w:rPr>
          <w:rFonts w:hint="eastAsia" w:ascii="宋体" w:hAnsi="宋体" w:eastAsia="宋体" w:cs="宋体"/>
          <w:sz w:val="21"/>
          <w:szCs w:val="21"/>
          <w:u w:val="single"/>
          <w:lang w:val="en-US" w:eastAsia="zh-CN"/>
        </w:rPr>
        <w:t xml:space="preserve">                  </w:t>
      </w:r>
    </w:p>
    <w:p w14:paraId="3127E57F">
      <w:pPr>
        <w:spacing w:after="0" w:line="200" w:lineRule="exact"/>
        <w:rPr>
          <w:rFonts w:hint="eastAsia" w:ascii="宋体" w:hAnsi="宋体" w:eastAsia="宋体" w:cs="宋体"/>
          <w:sz w:val="21"/>
          <w:szCs w:val="21"/>
        </w:rPr>
      </w:pPr>
    </w:p>
    <w:p w14:paraId="73FE6145">
      <w:pPr>
        <w:spacing w:after="0" w:line="250" w:lineRule="exact"/>
        <w:rPr>
          <w:rFonts w:hint="eastAsia" w:ascii="宋体" w:hAnsi="宋体" w:eastAsia="宋体" w:cs="宋体"/>
          <w:sz w:val="21"/>
          <w:szCs w:val="21"/>
        </w:rPr>
      </w:pPr>
    </w:p>
    <w:p w14:paraId="68540116">
      <w:pPr>
        <w:spacing w:after="0" w:line="274" w:lineRule="exact"/>
        <w:ind w:left="1320"/>
        <w:rPr>
          <w:rFonts w:hint="eastAsia" w:ascii="宋体" w:hAnsi="宋体" w:eastAsia="宋体" w:cs="宋体"/>
          <w:sz w:val="21"/>
          <w:szCs w:val="21"/>
        </w:rPr>
      </w:pPr>
      <w:r>
        <w:rPr>
          <w:rFonts w:hint="eastAsia" w:ascii="宋体" w:hAnsi="宋体" w:eastAsia="宋体" w:cs="宋体"/>
          <w:sz w:val="21"/>
          <w:szCs w:val="21"/>
        </w:rPr>
        <w:t>甲方（采购人）：</w:t>
      </w:r>
      <w:r>
        <w:rPr>
          <w:rFonts w:hint="eastAsia" w:ascii="宋体" w:hAnsi="宋体" w:eastAsia="宋体" w:cs="宋体"/>
          <w:sz w:val="21"/>
          <w:szCs w:val="21"/>
          <w:u w:val="single"/>
          <w:lang w:val="en-US" w:eastAsia="zh-CN"/>
        </w:rPr>
        <w:t xml:space="preserve">                  </w:t>
      </w:r>
    </w:p>
    <w:p w14:paraId="64C65686">
      <w:pPr>
        <w:spacing w:after="0" w:line="20" w:lineRule="exact"/>
        <w:rPr>
          <w:rFonts w:hint="eastAsia" w:ascii="宋体" w:hAnsi="宋体" w:eastAsia="宋体" w:cs="宋体"/>
          <w:sz w:val="21"/>
          <w:szCs w:val="21"/>
        </w:rPr>
      </w:pPr>
    </w:p>
    <w:p w14:paraId="2B202A22">
      <w:pPr>
        <w:spacing w:after="0" w:line="200" w:lineRule="exact"/>
        <w:rPr>
          <w:rFonts w:hint="eastAsia" w:ascii="宋体" w:hAnsi="宋体" w:eastAsia="宋体" w:cs="宋体"/>
          <w:sz w:val="21"/>
          <w:szCs w:val="21"/>
        </w:rPr>
      </w:pPr>
    </w:p>
    <w:p w14:paraId="7F1373BA">
      <w:pPr>
        <w:spacing w:after="0" w:line="250" w:lineRule="exact"/>
        <w:rPr>
          <w:rFonts w:hint="eastAsia" w:ascii="宋体" w:hAnsi="宋体" w:eastAsia="宋体" w:cs="宋体"/>
          <w:sz w:val="21"/>
          <w:szCs w:val="21"/>
        </w:rPr>
      </w:pPr>
    </w:p>
    <w:p w14:paraId="39BC4DFF">
      <w:pPr>
        <w:spacing w:after="0" w:line="274" w:lineRule="exact"/>
        <w:ind w:left="1320"/>
        <w:rPr>
          <w:rFonts w:hint="eastAsia" w:ascii="宋体" w:hAnsi="宋体" w:eastAsia="宋体" w:cs="宋体"/>
          <w:sz w:val="21"/>
          <w:szCs w:val="21"/>
        </w:rPr>
      </w:pPr>
      <w:r>
        <w:rPr>
          <w:rFonts w:hint="eastAsia" w:ascii="宋体" w:hAnsi="宋体" w:eastAsia="宋体" w:cs="宋体"/>
          <w:sz w:val="21"/>
          <w:szCs w:val="21"/>
        </w:rPr>
        <w:t>乙方（</w:t>
      </w:r>
      <w:r>
        <w:rPr>
          <w:rFonts w:hint="eastAsia" w:ascii="宋体" w:hAnsi="宋体" w:eastAsia="宋体" w:cs="宋体"/>
          <w:sz w:val="21"/>
          <w:szCs w:val="21"/>
          <w:lang w:eastAsia="zh-CN"/>
        </w:rPr>
        <w:t>中标人</w:t>
      </w: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p>
    <w:p w14:paraId="634D3431">
      <w:pPr>
        <w:spacing w:after="0" w:line="20" w:lineRule="exact"/>
        <w:rPr>
          <w:rFonts w:hint="eastAsia" w:ascii="宋体" w:hAnsi="宋体" w:eastAsia="宋体" w:cs="宋体"/>
          <w:sz w:val="21"/>
          <w:szCs w:val="21"/>
        </w:rPr>
      </w:pPr>
    </w:p>
    <w:p w14:paraId="79665437">
      <w:pPr>
        <w:spacing w:after="0" w:line="200" w:lineRule="exact"/>
        <w:rPr>
          <w:rFonts w:hint="eastAsia" w:ascii="宋体" w:hAnsi="宋体" w:eastAsia="宋体" w:cs="宋体"/>
          <w:sz w:val="21"/>
          <w:szCs w:val="21"/>
        </w:rPr>
      </w:pPr>
    </w:p>
    <w:p w14:paraId="68C70C77">
      <w:pPr>
        <w:spacing w:after="0" w:line="250" w:lineRule="exact"/>
        <w:rPr>
          <w:rFonts w:hint="eastAsia" w:ascii="宋体" w:hAnsi="宋体" w:eastAsia="宋体" w:cs="宋体"/>
          <w:sz w:val="21"/>
          <w:szCs w:val="21"/>
        </w:rPr>
      </w:pPr>
    </w:p>
    <w:p w14:paraId="05370515">
      <w:pPr>
        <w:spacing w:after="0" w:line="274" w:lineRule="exact"/>
        <w:ind w:left="1320"/>
        <w:rPr>
          <w:rFonts w:hint="eastAsia" w:ascii="宋体" w:hAnsi="宋体" w:eastAsia="宋体" w:cs="宋体"/>
          <w:sz w:val="21"/>
          <w:szCs w:val="21"/>
        </w:rPr>
      </w:pPr>
      <w:r>
        <w:rPr>
          <w:rFonts w:hint="eastAsia" w:ascii="宋体" w:hAnsi="宋体" w:eastAsia="宋体" w:cs="宋体"/>
          <w:sz w:val="21"/>
          <w:szCs w:val="21"/>
        </w:rPr>
        <w:t>签订地：</w:t>
      </w:r>
      <w:r>
        <w:rPr>
          <w:rFonts w:hint="eastAsia" w:ascii="宋体" w:hAnsi="宋体" w:eastAsia="宋体" w:cs="宋体"/>
          <w:sz w:val="21"/>
          <w:szCs w:val="21"/>
          <w:u w:val="single"/>
          <w:lang w:val="en-US" w:eastAsia="zh-CN"/>
        </w:rPr>
        <w:t xml:space="preserve">                  </w:t>
      </w:r>
    </w:p>
    <w:p w14:paraId="47CDD203">
      <w:pPr>
        <w:spacing w:after="0" w:line="20" w:lineRule="exact"/>
        <w:rPr>
          <w:rFonts w:hint="eastAsia" w:ascii="宋体" w:hAnsi="宋体" w:eastAsia="宋体" w:cs="宋体"/>
          <w:sz w:val="21"/>
          <w:szCs w:val="21"/>
        </w:rPr>
      </w:pPr>
    </w:p>
    <w:p w14:paraId="51726A09">
      <w:pPr>
        <w:spacing w:after="0" w:line="200" w:lineRule="exact"/>
        <w:rPr>
          <w:rFonts w:hint="eastAsia" w:ascii="宋体" w:hAnsi="宋体" w:eastAsia="宋体" w:cs="宋体"/>
          <w:sz w:val="21"/>
          <w:szCs w:val="21"/>
        </w:rPr>
      </w:pPr>
    </w:p>
    <w:p w14:paraId="113F2955">
      <w:pPr>
        <w:spacing w:after="0" w:line="250" w:lineRule="exact"/>
        <w:rPr>
          <w:rFonts w:hint="eastAsia" w:ascii="宋体" w:hAnsi="宋体" w:eastAsia="宋体" w:cs="宋体"/>
          <w:sz w:val="21"/>
          <w:szCs w:val="21"/>
        </w:rPr>
      </w:pPr>
    </w:p>
    <w:p w14:paraId="7F975401">
      <w:pPr>
        <w:tabs>
          <w:tab w:val="left" w:pos="4300"/>
          <w:tab w:val="left" w:pos="5380"/>
          <w:tab w:val="left" w:pos="6460"/>
        </w:tabs>
        <w:spacing w:after="0" w:line="274" w:lineRule="exact"/>
        <w:ind w:left="1320"/>
        <w:rPr>
          <w:rFonts w:hint="eastAsia" w:ascii="宋体" w:hAnsi="宋体" w:eastAsia="宋体" w:cs="宋体"/>
          <w:sz w:val="21"/>
          <w:szCs w:val="21"/>
        </w:rPr>
      </w:pPr>
      <w:r>
        <w:rPr>
          <w:rFonts w:hint="eastAsia" w:ascii="宋体" w:hAnsi="宋体" w:eastAsia="宋体" w:cs="宋体"/>
          <w:sz w:val="21"/>
          <w:szCs w:val="21"/>
        </w:rPr>
        <w:t>签订日期：</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日</w:t>
      </w:r>
    </w:p>
    <w:p w14:paraId="272AD922">
      <w:pPr>
        <w:spacing w:after="0" w:line="20" w:lineRule="exact"/>
        <w:rPr>
          <w:rFonts w:hint="eastAsia" w:ascii="宋体" w:hAnsi="宋体" w:eastAsia="宋体" w:cs="宋体"/>
          <w:sz w:val="21"/>
          <w:szCs w:val="21"/>
        </w:rPr>
      </w:pPr>
    </w:p>
    <w:p w14:paraId="40228E18">
      <w:pPr>
        <w:rPr>
          <w:rFonts w:hint="eastAsia" w:ascii="宋体" w:hAnsi="宋体" w:eastAsia="宋体" w:cs="宋体"/>
          <w:sz w:val="21"/>
          <w:szCs w:val="21"/>
        </w:rPr>
        <w:sectPr>
          <w:footerReference r:id="rId9" w:type="default"/>
          <w:pgSz w:w="11900" w:h="16838"/>
          <w:pgMar w:top="1440" w:right="1080" w:bottom="1440" w:left="1080" w:header="0" w:footer="567" w:gutter="0"/>
          <w:pgNumType w:fmt="decimal" w:start="1"/>
          <w:cols w:equalWidth="0" w:num="1">
            <w:col w:w="9026"/>
          </w:cols>
        </w:sectPr>
      </w:pPr>
    </w:p>
    <w:p w14:paraId="72EDB6D1">
      <w:pPr>
        <w:spacing w:after="0" w:line="200" w:lineRule="exact"/>
        <w:rPr>
          <w:rFonts w:hint="eastAsia" w:ascii="宋体" w:hAnsi="宋体" w:eastAsia="宋体" w:cs="宋体"/>
          <w:sz w:val="21"/>
          <w:szCs w:val="21"/>
        </w:rPr>
      </w:pPr>
    </w:p>
    <w:p w14:paraId="3C6D851A">
      <w:pPr>
        <w:spacing w:after="0" w:line="200" w:lineRule="exact"/>
        <w:rPr>
          <w:rFonts w:hint="eastAsia" w:ascii="宋体" w:hAnsi="宋体" w:eastAsia="宋体" w:cs="宋体"/>
          <w:sz w:val="21"/>
          <w:szCs w:val="21"/>
        </w:rPr>
      </w:pPr>
    </w:p>
    <w:p w14:paraId="21B6744D">
      <w:pPr>
        <w:spacing w:after="0" w:line="200" w:lineRule="exact"/>
        <w:rPr>
          <w:rFonts w:hint="eastAsia" w:ascii="宋体" w:hAnsi="宋体" w:eastAsia="宋体" w:cs="宋体"/>
          <w:sz w:val="21"/>
          <w:szCs w:val="21"/>
        </w:rPr>
      </w:pPr>
    </w:p>
    <w:p w14:paraId="67F9380C">
      <w:pPr>
        <w:spacing w:after="0" w:line="364" w:lineRule="exact"/>
        <w:rPr>
          <w:rFonts w:hint="eastAsia" w:ascii="宋体" w:hAnsi="宋体" w:eastAsia="宋体" w:cs="宋体"/>
          <w:sz w:val="21"/>
          <w:szCs w:val="21"/>
        </w:rPr>
      </w:pPr>
    </w:p>
    <w:p w14:paraId="2268E208">
      <w:pPr>
        <w:rPr>
          <w:rFonts w:hint="eastAsia" w:ascii="宋体" w:hAnsi="宋体" w:eastAsia="宋体" w:cs="宋体"/>
          <w:sz w:val="21"/>
          <w:szCs w:val="21"/>
        </w:rPr>
      </w:pPr>
    </w:p>
    <w:p w14:paraId="71981729">
      <w:pPr>
        <w:rPr>
          <w:rFonts w:hint="eastAsia" w:ascii="宋体" w:hAnsi="宋体" w:eastAsia="宋体" w:cs="宋体"/>
          <w:kern w:val="2"/>
          <w:sz w:val="21"/>
          <w:szCs w:val="21"/>
          <w:lang w:val="en-US" w:eastAsia="zh-CN" w:bidi="ar-SA"/>
        </w:rPr>
      </w:pPr>
    </w:p>
    <w:p w14:paraId="7F086525">
      <w:pPr>
        <w:rPr>
          <w:rFonts w:hint="eastAsia" w:ascii="宋体" w:hAnsi="宋体" w:eastAsia="宋体" w:cs="宋体"/>
          <w:sz w:val="21"/>
          <w:szCs w:val="21"/>
          <w:lang w:val="en-US" w:eastAsia="zh-CN"/>
        </w:rPr>
      </w:pPr>
    </w:p>
    <w:p w14:paraId="6C9FEC3A">
      <w:pPr>
        <w:rPr>
          <w:rFonts w:hint="eastAsia" w:ascii="宋体" w:hAnsi="宋体" w:eastAsia="宋体" w:cs="宋体"/>
          <w:sz w:val="21"/>
          <w:szCs w:val="21"/>
          <w:lang w:val="en-US" w:eastAsia="zh-CN"/>
        </w:rPr>
      </w:pPr>
    </w:p>
    <w:p w14:paraId="0D2F6D6A">
      <w:pPr>
        <w:rPr>
          <w:rFonts w:hint="eastAsia" w:ascii="宋体" w:hAnsi="宋体" w:eastAsia="宋体" w:cs="宋体"/>
          <w:sz w:val="21"/>
          <w:szCs w:val="21"/>
          <w:lang w:val="en-US" w:eastAsia="zh-CN"/>
        </w:rPr>
      </w:pPr>
    </w:p>
    <w:p w14:paraId="267BD370">
      <w:pPr>
        <w:tabs>
          <w:tab w:val="left" w:pos="2722"/>
        </w:tabs>
        <w:jc w:val="left"/>
        <w:rPr>
          <w:rFonts w:hint="eastAsia" w:ascii="宋体" w:hAnsi="宋体" w:eastAsia="宋体" w:cs="宋体"/>
          <w:sz w:val="21"/>
          <w:szCs w:val="21"/>
          <w:lang w:val="en-US" w:eastAsia="zh-CN"/>
        </w:rPr>
        <w:sectPr>
          <w:type w:val="continuous"/>
          <w:pgSz w:w="11900" w:h="16838"/>
          <w:pgMar w:top="1440" w:right="1800" w:bottom="1440" w:left="1800" w:header="0" w:footer="0" w:gutter="0"/>
          <w:pgNumType w:fmt="decimal"/>
          <w:cols w:equalWidth="0" w:num="1">
            <w:col w:w="9026"/>
          </w:cols>
        </w:sectPr>
      </w:pPr>
      <w:r>
        <w:rPr>
          <w:rFonts w:hint="eastAsia" w:ascii="宋体" w:hAnsi="宋体" w:eastAsia="宋体" w:cs="宋体"/>
          <w:sz w:val="21"/>
          <w:szCs w:val="21"/>
          <w:lang w:val="en-US" w:eastAsia="zh-CN"/>
        </w:rPr>
        <w:tab/>
      </w:r>
    </w:p>
    <w:p w14:paraId="6B13FFE0">
      <w:pPr>
        <w:tabs>
          <w:tab w:val="left" w:pos="6000"/>
        </w:tabs>
        <w:spacing w:after="0" w:line="360" w:lineRule="auto"/>
        <w:ind w:firstLine="630" w:firstLineChars="300"/>
        <w:rPr>
          <w:rFonts w:hint="eastAsia" w:ascii="宋体" w:hAnsi="宋体" w:eastAsia="宋体" w:cs="宋体"/>
          <w:sz w:val="21"/>
          <w:szCs w:val="21"/>
          <w:lang w:val="en-US" w:eastAsia="zh-CN"/>
        </w:rPr>
      </w:pPr>
      <w:bookmarkStart w:id="192" w:name="page2"/>
      <w:bookmarkEnd w:id="192"/>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（以下简称：甲方）通过</w:t>
      </w:r>
      <w:r>
        <w:rPr>
          <w:rFonts w:hint="eastAsia" w:ascii="宋体" w:hAnsi="宋体" w:eastAsia="宋体" w:cs="宋体"/>
          <w:sz w:val="21"/>
          <w:szCs w:val="21"/>
          <w:u w:val="single"/>
        </w:rPr>
        <w:tab/>
      </w:r>
      <w:r>
        <w:rPr>
          <w:rFonts w:hint="eastAsia" w:ascii="宋体" w:hAnsi="宋体" w:eastAsia="宋体" w:cs="宋体"/>
          <w:sz w:val="21"/>
          <w:szCs w:val="21"/>
        </w:rPr>
        <w:t>组织的</w:t>
      </w:r>
      <w:r>
        <w:rPr>
          <w:rFonts w:hint="eastAsia" w:ascii="宋体" w:hAnsi="宋体" w:eastAsia="宋体" w:cs="宋体"/>
          <w:sz w:val="21"/>
          <w:szCs w:val="21"/>
          <w:u w:val="single"/>
          <w:lang w:val="en-US" w:eastAsia="zh-CN"/>
        </w:rPr>
        <w:t>公开招标</w:t>
      </w:r>
      <w:r>
        <w:rPr>
          <w:rFonts w:hint="eastAsia" w:ascii="宋体" w:hAnsi="宋体" w:eastAsia="宋体" w:cs="宋体"/>
          <w:sz w:val="21"/>
          <w:szCs w:val="21"/>
        </w:rPr>
        <w:t>方式采购活动，经</w:t>
      </w:r>
      <w:r>
        <w:rPr>
          <w:rFonts w:hint="eastAsia" w:ascii="宋体" w:hAnsi="宋体" w:eastAsia="宋体" w:cs="宋体"/>
          <w:sz w:val="21"/>
          <w:szCs w:val="21"/>
          <w:u w:val="single"/>
          <w:lang w:val="en-US" w:eastAsia="zh-CN"/>
        </w:rPr>
        <w:t>评标委员会</w:t>
      </w:r>
      <w:r>
        <w:rPr>
          <w:rFonts w:hint="eastAsia" w:ascii="宋体" w:hAnsi="宋体" w:eastAsia="宋体" w:cs="宋体"/>
          <w:sz w:val="21"/>
          <w:szCs w:val="21"/>
        </w:rPr>
        <w:t>评定，</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（以下简称：乙方）为本项目</w:t>
      </w:r>
      <w:r>
        <w:rPr>
          <w:rFonts w:hint="eastAsia" w:ascii="宋体" w:hAnsi="宋体" w:eastAsia="宋体" w:cs="宋体"/>
          <w:sz w:val="21"/>
          <w:szCs w:val="21"/>
          <w:lang w:val="en-US" w:eastAsia="zh-CN"/>
        </w:rPr>
        <w:t>中标人</w:t>
      </w:r>
      <w:r>
        <w:rPr>
          <w:rFonts w:hint="eastAsia" w:ascii="宋体" w:hAnsi="宋体" w:eastAsia="宋体" w:cs="宋体"/>
          <w:sz w:val="21"/>
          <w:szCs w:val="21"/>
        </w:rPr>
        <w:t>，现按照</w:t>
      </w:r>
      <w:r>
        <w:rPr>
          <w:rFonts w:hint="eastAsia" w:ascii="宋体" w:hAnsi="宋体" w:eastAsia="宋体" w:cs="宋体"/>
          <w:sz w:val="21"/>
          <w:szCs w:val="21"/>
          <w:lang w:val="en-US" w:eastAsia="zh-CN"/>
        </w:rPr>
        <w:t>招标</w:t>
      </w:r>
      <w:r>
        <w:rPr>
          <w:rFonts w:hint="eastAsia" w:ascii="宋体" w:hAnsi="宋体" w:eastAsia="宋体" w:cs="宋体"/>
          <w:sz w:val="21"/>
          <w:szCs w:val="21"/>
        </w:rPr>
        <w:t>文件确定的事项签订本合同。</w:t>
      </w:r>
      <w:r>
        <w:rPr>
          <w:rFonts w:hint="eastAsia" w:ascii="宋体" w:hAnsi="宋体" w:eastAsia="宋体" w:cs="宋体"/>
          <w:sz w:val="21"/>
          <w:szCs w:val="21"/>
          <w:lang w:val="en-US" w:eastAsia="zh-CN"/>
        </w:rPr>
        <w:t xml:space="preserve"> </w:t>
      </w:r>
    </w:p>
    <w:p w14:paraId="022BDD14">
      <w:pPr>
        <w:spacing w:after="0" w:line="206" w:lineRule="exact"/>
        <w:rPr>
          <w:rFonts w:hint="eastAsia" w:ascii="宋体" w:hAnsi="宋体" w:eastAsia="宋体" w:cs="宋体"/>
          <w:sz w:val="21"/>
          <w:szCs w:val="21"/>
        </w:rPr>
      </w:pPr>
    </w:p>
    <w:p w14:paraId="11AE153A">
      <w:pPr>
        <w:spacing w:after="0" w:line="263" w:lineRule="exact"/>
        <w:ind w:left="800"/>
        <w:rPr>
          <w:rFonts w:hint="eastAsia" w:ascii="宋体" w:hAnsi="宋体" w:eastAsia="宋体" w:cs="宋体"/>
          <w:sz w:val="21"/>
          <w:szCs w:val="21"/>
        </w:rPr>
      </w:pPr>
      <w:r>
        <w:rPr>
          <w:rFonts w:hint="eastAsia" w:ascii="宋体" w:hAnsi="宋体" w:eastAsia="宋体" w:cs="宋体"/>
          <w:sz w:val="21"/>
          <w:szCs w:val="21"/>
        </w:rPr>
        <w:t>根据《中华人民共和国民法典》、《中华人民共和国政府采购法》等相关法</w:t>
      </w:r>
    </w:p>
    <w:p w14:paraId="398B3EE3">
      <w:pPr>
        <w:spacing w:after="0" w:line="206" w:lineRule="exact"/>
        <w:rPr>
          <w:rFonts w:hint="eastAsia" w:ascii="宋体" w:hAnsi="宋体" w:eastAsia="宋体" w:cs="宋体"/>
          <w:sz w:val="21"/>
          <w:szCs w:val="21"/>
        </w:rPr>
      </w:pPr>
    </w:p>
    <w:p w14:paraId="1FE739E0">
      <w:pPr>
        <w:spacing w:after="0" w:line="263" w:lineRule="exact"/>
        <w:ind w:left="360"/>
        <w:rPr>
          <w:rFonts w:hint="eastAsia" w:ascii="宋体" w:hAnsi="宋体" w:eastAsia="宋体" w:cs="宋体"/>
          <w:sz w:val="21"/>
          <w:szCs w:val="21"/>
        </w:rPr>
      </w:pPr>
      <w:r>
        <w:rPr>
          <w:rFonts w:hint="eastAsia" w:ascii="宋体" w:hAnsi="宋体" w:eastAsia="宋体" w:cs="宋体"/>
          <w:sz w:val="21"/>
          <w:szCs w:val="21"/>
        </w:rPr>
        <w:t>律法规之规定，按照平等、自愿、公平和诚实信用的原则，经甲方和乙方协商一</w:t>
      </w:r>
    </w:p>
    <w:p w14:paraId="0CFFFF38">
      <w:pPr>
        <w:spacing w:after="0" w:line="194" w:lineRule="exact"/>
        <w:rPr>
          <w:rFonts w:hint="eastAsia" w:ascii="宋体" w:hAnsi="宋体" w:eastAsia="宋体" w:cs="宋体"/>
          <w:sz w:val="21"/>
          <w:szCs w:val="21"/>
        </w:rPr>
      </w:pPr>
    </w:p>
    <w:p w14:paraId="4A36DC39">
      <w:pPr>
        <w:spacing w:after="0" w:line="274" w:lineRule="exact"/>
        <w:ind w:left="360"/>
        <w:rPr>
          <w:rFonts w:hint="eastAsia" w:ascii="宋体" w:hAnsi="宋体" w:eastAsia="宋体" w:cs="宋体"/>
          <w:sz w:val="21"/>
          <w:szCs w:val="21"/>
        </w:rPr>
      </w:pPr>
      <w:r>
        <w:rPr>
          <w:rFonts w:hint="eastAsia" w:ascii="宋体" w:hAnsi="宋体" w:eastAsia="宋体" w:cs="宋体"/>
          <w:sz w:val="21"/>
          <w:szCs w:val="21"/>
        </w:rPr>
        <w:t>致，约定以下合同条款，以兹共同遵守、全面履行。</w:t>
      </w:r>
    </w:p>
    <w:p w14:paraId="065BF527">
      <w:pPr>
        <w:spacing w:after="0" w:line="194" w:lineRule="exact"/>
        <w:rPr>
          <w:rFonts w:hint="eastAsia" w:ascii="宋体" w:hAnsi="宋体" w:eastAsia="宋体" w:cs="宋体"/>
          <w:sz w:val="21"/>
          <w:szCs w:val="21"/>
        </w:rPr>
      </w:pPr>
    </w:p>
    <w:p w14:paraId="2E2D14BB">
      <w:pPr>
        <w:spacing w:after="0" w:line="274" w:lineRule="exact"/>
        <w:ind w:left="800"/>
        <w:rPr>
          <w:rFonts w:hint="eastAsia" w:ascii="宋体" w:hAnsi="宋体" w:eastAsia="宋体" w:cs="宋体"/>
          <w:sz w:val="21"/>
          <w:szCs w:val="21"/>
        </w:rPr>
      </w:pPr>
      <w:r>
        <w:rPr>
          <w:rFonts w:hint="eastAsia" w:ascii="宋体" w:hAnsi="宋体" w:eastAsia="宋体" w:cs="宋体"/>
          <w:b/>
          <w:bCs/>
          <w:sz w:val="21"/>
          <w:szCs w:val="21"/>
        </w:rPr>
        <w:t>1.1 合同组成部分</w:t>
      </w:r>
    </w:p>
    <w:p w14:paraId="5F861838">
      <w:pPr>
        <w:spacing w:after="0" w:line="230" w:lineRule="exact"/>
        <w:rPr>
          <w:rFonts w:hint="eastAsia" w:ascii="宋体" w:hAnsi="宋体" w:eastAsia="宋体" w:cs="宋体"/>
          <w:sz w:val="21"/>
          <w:szCs w:val="21"/>
        </w:rPr>
      </w:pPr>
    </w:p>
    <w:p w14:paraId="7940D05B">
      <w:pPr>
        <w:spacing w:after="0" w:line="392" w:lineRule="exact"/>
        <w:ind w:left="360" w:right="306" w:firstLine="434"/>
        <w:jc w:val="both"/>
        <w:rPr>
          <w:rFonts w:hint="eastAsia" w:ascii="宋体" w:hAnsi="宋体" w:eastAsia="宋体" w:cs="宋体"/>
          <w:sz w:val="21"/>
          <w:szCs w:val="21"/>
        </w:rPr>
      </w:pPr>
      <w:r>
        <w:rPr>
          <w:rFonts w:hint="eastAsia" w:ascii="宋体" w:hAnsi="宋体" w:eastAsia="宋体" w:cs="宋体"/>
          <w:sz w:val="21"/>
          <w:szCs w:val="21"/>
        </w:rPr>
        <w:t>下列文件为本合同的组成部分，并构成一个整体，需综合解释、相互补充。如果下列文件内容出现不一致的情形，那么在保证按照采购文件确定的事项前提下，组成本合同的多个文件的优先适用顺序如下：</w:t>
      </w:r>
    </w:p>
    <w:p w14:paraId="45C87A40">
      <w:pPr>
        <w:spacing w:after="0" w:line="360" w:lineRule="auto"/>
        <w:rPr>
          <w:rFonts w:hint="eastAsia" w:ascii="宋体" w:hAnsi="宋体" w:eastAsia="宋体" w:cs="宋体"/>
          <w:sz w:val="21"/>
          <w:szCs w:val="21"/>
        </w:rPr>
      </w:pPr>
    </w:p>
    <w:p w14:paraId="7CD0DCED">
      <w:pPr>
        <w:spacing w:after="0" w:line="360" w:lineRule="auto"/>
        <w:ind w:left="800"/>
        <w:rPr>
          <w:rFonts w:hint="eastAsia" w:ascii="宋体" w:hAnsi="宋体" w:eastAsia="宋体" w:cs="宋体"/>
          <w:sz w:val="21"/>
          <w:szCs w:val="21"/>
        </w:rPr>
      </w:pPr>
      <w:r>
        <w:rPr>
          <w:rFonts w:hint="eastAsia" w:ascii="宋体" w:hAnsi="宋体" w:eastAsia="宋体" w:cs="宋体"/>
          <w:sz w:val="21"/>
          <w:szCs w:val="21"/>
        </w:rPr>
        <w:t>1.1.1 本合同及其补充合同、变更协议；</w:t>
      </w:r>
    </w:p>
    <w:p w14:paraId="206DC88E">
      <w:pPr>
        <w:spacing w:after="0" w:line="360" w:lineRule="auto"/>
        <w:ind w:left="800"/>
        <w:rPr>
          <w:rFonts w:hint="eastAsia" w:ascii="宋体" w:hAnsi="宋体" w:eastAsia="宋体" w:cs="宋体"/>
          <w:sz w:val="21"/>
          <w:szCs w:val="21"/>
        </w:rPr>
      </w:pPr>
      <w:r>
        <w:rPr>
          <w:rFonts w:hint="eastAsia" w:ascii="宋体" w:hAnsi="宋体" w:eastAsia="宋体" w:cs="宋体"/>
          <w:sz w:val="21"/>
          <w:szCs w:val="21"/>
        </w:rPr>
        <w:t xml:space="preserve">1.1.2 </w:t>
      </w:r>
      <w:r>
        <w:rPr>
          <w:rFonts w:hint="eastAsia" w:ascii="宋体" w:hAnsi="宋体" w:eastAsia="宋体" w:cs="宋体"/>
          <w:sz w:val="21"/>
          <w:szCs w:val="21"/>
          <w:lang w:val="en-US" w:eastAsia="zh-CN"/>
        </w:rPr>
        <w:t>中标</w:t>
      </w:r>
      <w:r>
        <w:rPr>
          <w:rFonts w:hint="eastAsia" w:ascii="宋体" w:hAnsi="宋体" w:eastAsia="宋体" w:cs="宋体"/>
          <w:sz w:val="21"/>
          <w:szCs w:val="21"/>
        </w:rPr>
        <w:t>通知书；</w:t>
      </w:r>
    </w:p>
    <w:p w14:paraId="28BE3CD8">
      <w:pPr>
        <w:spacing w:after="0" w:line="360" w:lineRule="auto"/>
        <w:ind w:left="800"/>
        <w:rPr>
          <w:rFonts w:hint="eastAsia" w:ascii="宋体" w:hAnsi="宋体" w:eastAsia="宋体" w:cs="宋体"/>
          <w:sz w:val="21"/>
          <w:szCs w:val="21"/>
        </w:rPr>
      </w:pPr>
      <w:r>
        <w:rPr>
          <w:rFonts w:hint="eastAsia" w:ascii="宋体" w:hAnsi="宋体" w:eastAsia="宋体" w:cs="宋体"/>
          <w:sz w:val="21"/>
          <w:szCs w:val="21"/>
        </w:rPr>
        <w:t xml:space="preserve">1.1.3 </w:t>
      </w:r>
      <w:r>
        <w:rPr>
          <w:rFonts w:hint="eastAsia" w:ascii="宋体" w:hAnsi="宋体" w:eastAsia="宋体" w:cs="宋体"/>
          <w:sz w:val="21"/>
          <w:szCs w:val="21"/>
          <w:lang w:val="en-US" w:eastAsia="zh-CN"/>
        </w:rPr>
        <w:t>投标</w:t>
      </w:r>
      <w:r>
        <w:rPr>
          <w:rFonts w:hint="eastAsia" w:ascii="宋体" w:hAnsi="宋体" w:eastAsia="宋体" w:cs="宋体"/>
          <w:sz w:val="21"/>
          <w:szCs w:val="21"/>
        </w:rPr>
        <w:t>文件（含澄清或者说明文件）；</w:t>
      </w:r>
    </w:p>
    <w:p w14:paraId="6583ABF0">
      <w:pPr>
        <w:spacing w:after="0" w:line="360" w:lineRule="auto"/>
        <w:ind w:left="800"/>
        <w:rPr>
          <w:rFonts w:hint="eastAsia" w:ascii="宋体" w:hAnsi="宋体" w:eastAsia="宋体" w:cs="宋体"/>
          <w:sz w:val="21"/>
          <w:szCs w:val="21"/>
        </w:rPr>
      </w:pPr>
      <w:r>
        <w:rPr>
          <w:rFonts w:hint="eastAsia" w:ascii="宋体" w:hAnsi="宋体" w:eastAsia="宋体" w:cs="宋体"/>
          <w:sz w:val="21"/>
          <w:szCs w:val="21"/>
        </w:rPr>
        <w:t xml:space="preserve">1.1.4 </w:t>
      </w:r>
      <w:r>
        <w:rPr>
          <w:rFonts w:hint="eastAsia" w:ascii="宋体" w:hAnsi="宋体" w:eastAsia="宋体" w:cs="宋体"/>
          <w:sz w:val="21"/>
          <w:szCs w:val="21"/>
          <w:lang w:val="en-US" w:eastAsia="zh-CN"/>
        </w:rPr>
        <w:t>招标</w:t>
      </w:r>
      <w:r>
        <w:rPr>
          <w:rFonts w:hint="eastAsia" w:ascii="宋体" w:hAnsi="宋体" w:eastAsia="宋体" w:cs="宋体"/>
          <w:sz w:val="21"/>
          <w:szCs w:val="21"/>
        </w:rPr>
        <w:t>文件（含澄清或者修改文件）；</w:t>
      </w:r>
    </w:p>
    <w:p w14:paraId="5C4E29B2">
      <w:pPr>
        <w:spacing w:after="0" w:line="360" w:lineRule="auto"/>
        <w:ind w:left="800"/>
        <w:rPr>
          <w:rFonts w:hint="eastAsia" w:ascii="宋体" w:hAnsi="宋体" w:eastAsia="宋体" w:cs="宋体"/>
          <w:sz w:val="21"/>
          <w:szCs w:val="21"/>
        </w:rPr>
      </w:pPr>
      <w:r>
        <w:rPr>
          <w:rFonts w:hint="eastAsia" w:ascii="宋体" w:hAnsi="宋体" w:eastAsia="宋体" w:cs="宋体"/>
          <w:sz w:val="21"/>
          <w:szCs w:val="21"/>
        </w:rPr>
        <w:t>1.1.5 其他相关采购文件。</w:t>
      </w:r>
    </w:p>
    <w:p w14:paraId="3658D0E6">
      <w:pPr>
        <w:spacing w:after="0" w:line="360" w:lineRule="auto"/>
        <w:ind w:left="800"/>
        <w:rPr>
          <w:rFonts w:hint="eastAsia" w:ascii="宋体" w:hAnsi="宋体" w:eastAsia="宋体" w:cs="宋体"/>
          <w:sz w:val="21"/>
          <w:szCs w:val="21"/>
        </w:rPr>
      </w:pPr>
      <w:r>
        <w:rPr>
          <w:rFonts w:hint="eastAsia" w:ascii="宋体" w:hAnsi="宋体" w:eastAsia="宋体" w:cs="宋体"/>
          <w:b/>
          <w:bCs/>
          <w:sz w:val="21"/>
          <w:szCs w:val="21"/>
        </w:rPr>
        <w:t>1.2 服务</w:t>
      </w:r>
    </w:p>
    <w:p w14:paraId="73E258E6">
      <w:pPr>
        <w:spacing w:after="0" w:line="360" w:lineRule="auto"/>
        <w:ind w:left="800"/>
        <w:rPr>
          <w:rFonts w:hint="eastAsia" w:ascii="宋体" w:hAnsi="宋体" w:eastAsia="宋体" w:cs="宋体"/>
          <w:sz w:val="21"/>
          <w:szCs w:val="21"/>
          <w:lang w:val="en-US" w:eastAsia="zh-CN"/>
        </w:rPr>
      </w:pPr>
      <w:r>
        <w:rPr>
          <w:rFonts w:hint="eastAsia" w:ascii="宋体" w:hAnsi="宋体" w:eastAsia="宋体" w:cs="宋体"/>
          <w:sz w:val="21"/>
          <w:szCs w:val="21"/>
        </w:rPr>
        <w:t>1.2.1 服务名称：</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w:t>
      </w:r>
    </w:p>
    <w:p w14:paraId="78888D9C">
      <w:pPr>
        <w:spacing w:after="0" w:line="360" w:lineRule="auto"/>
        <w:ind w:left="800"/>
        <w:rPr>
          <w:rFonts w:hint="eastAsia" w:ascii="宋体" w:hAnsi="宋体" w:eastAsia="宋体" w:cs="宋体"/>
          <w:sz w:val="21"/>
          <w:szCs w:val="21"/>
        </w:rPr>
      </w:pPr>
      <w:r>
        <w:rPr>
          <w:rFonts w:hint="eastAsia" w:ascii="宋体" w:hAnsi="宋体" w:eastAsia="宋体" w:cs="宋体"/>
          <w:sz w:val="21"/>
          <w:szCs w:val="21"/>
        </w:rPr>
        <w:t>1.2.2 服务内容：</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w:t>
      </w:r>
    </w:p>
    <w:p w14:paraId="2CB74178">
      <w:pPr>
        <w:spacing w:after="0" w:line="360" w:lineRule="auto"/>
        <w:ind w:left="800"/>
        <w:rPr>
          <w:rFonts w:hint="eastAsia" w:ascii="宋体" w:hAnsi="宋体" w:eastAsia="宋体" w:cs="宋体"/>
          <w:sz w:val="21"/>
          <w:szCs w:val="21"/>
        </w:rPr>
      </w:pPr>
      <w:r>
        <w:rPr>
          <w:rFonts w:hint="eastAsia" w:ascii="宋体" w:hAnsi="宋体" w:eastAsia="宋体" w:cs="宋体"/>
          <w:sz w:val="21"/>
          <w:szCs w:val="21"/>
        </w:rPr>
        <w:t>1.2.3 服务</w:t>
      </w:r>
      <w:r>
        <w:rPr>
          <w:rFonts w:hint="eastAsia" w:ascii="宋体" w:hAnsi="宋体" w:eastAsia="宋体" w:cs="宋体"/>
          <w:sz w:val="21"/>
          <w:szCs w:val="21"/>
          <w:lang w:val="en-US" w:eastAsia="zh-CN"/>
        </w:rPr>
        <w:t>标准</w:t>
      </w:r>
      <w:r>
        <w:rPr>
          <w:rFonts w:hint="eastAsia" w:ascii="宋体" w:hAnsi="宋体" w:eastAsia="宋体" w:cs="宋体"/>
          <w:sz w:val="21"/>
          <w:szCs w:val="21"/>
        </w:rPr>
        <w:t>：</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w:t>
      </w:r>
    </w:p>
    <w:p w14:paraId="762CD8CE">
      <w:pPr>
        <w:keepNext w:val="0"/>
        <w:keepLines w:val="0"/>
        <w:pageBreakBefore w:val="0"/>
        <w:widowControl/>
        <w:kinsoku/>
        <w:wordWrap/>
        <w:overflowPunct/>
        <w:topLinePunct w:val="0"/>
        <w:autoSpaceDE/>
        <w:autoSpaceDN/>
        <w:bidi w:val="0"/>
        <w:adjustRightInd/>
        <w:snapToGrid/>
        <w:spacing w:after="0" w:line="360" w:lineRule="auto"/>
        <w:ind w:left="800" w:firstLine="0" w:firstLineChars="0"/>
        <w:textAlignment w:val="auto"/>
        <w:rPr>
          <w:rFonts w:hint="eastAsia" w:ascii="宋体" w:hAnsi="宋体" w:eastAsia="宋体" w:cs="宋体"/>
          <w:b/>
          <w:bCs/>
          <w:sz w:val="21"/>
          <w:szCs w:val="21"/>
        </w:rPr>
      </w:pPr>
      <w:r>
        <w:rPr>
          <w:rFonts w:hint="eastAsia" w:ascii="宋体" w:hAnsi="宋体" w:eastAsia="宋体" w:cs="宋体"/>
          <w:b/>
          <w:bCs/>
          <w:sz w:val="21"/>
          <w:szCs w:val="21"/>
        </w:rPr>
        <w:t>1.3 价款</w:t>
      </w:r>
    </w:p>
    <w:p w14:paraId="15101EEC">
      <w:pPr>
        <w:keepNext w:val="0"/>
        <w:keepLines w:val="0"/>
        <w:pageBreakBefore w:val="0"/>
        <w:widowControl/>
        <w:kinsoku/>
        <w:wordWrap/>
        <w:overflowPunct/>
        <w:topLinePunct w:val="0"/>
        <w:autoSpaceDE/>
        <w:autoSpaceDN/>
        <w:bidi w:val="0"/>
        <w:adjustRightInd/>
        <w:snapToGrid/>
        <w:spacing w:after="0" w:line="360" w:lineRule="auto"/>
        <w:ind w:left="800" w:firstLine="0" w:firstLineChars="0"/>
        <w:textAlignment w:val="auto"/>
        <w:rPr>
          <w:rFonts w:hint="eastAsia" w:ascii="宋体" w:hAnsi="宋体" w:eastAsia="宋体" w:cs="宋体"/>
          <w:w w:val="100"/>
          <w:sz w:val="21"/>
          <w:szCs w:val="21"/>
          <w:lang w:val="en-US" w:eastAsia="zh-CN"/>
        </w:rPr>
      </w:pPr>
      <w:r>
        <w:rPr>
          <w:rFonts w:hint="eastAsia" w:ascii="宋体" w:hAnsi="宋体" w:eastAsia="宋体" w:cs="宋体"/>
          <w:w w:val="100"/>
          <w:sz w:val="21"/>
          <w:szCs w:val="21"/>
        </w:rPr>
        <w:t>本合同总价为：￥</w:t>
      </w:r>
      <w:r>
        <w:rPr>
          <w:rFonts w:hint="eastAsia" w:ascii="宋体" w:hAnsi="宋体" w:eastAsia="宋体" w:cs="宋体"/>
          <w:w w:val="100"/>
          <w:sz w:val="21"/>
          <w:szCs w:val="21"/>
          <w:u w:val="single"/>
          <w:lang w:val="en-US" w:eastAsia="zh-CN"/>
        </w:rPr>
        <w:t xml:space="preserve">         </w:t>
      </w:r>
      <w:r>
        <w:rPr>
          <w:rFonts w:hint="eastAsia" w:ascii="宋体" w:hAnsi="宋体" w:eastAsia="宋体" w:cs="宋体"/>
          <w:w w:val="100"/>
          <w:sz w:val="21"/>
          <w:szCs w:val="21"/>
          <w:lang w:val="en-US" w:eastAsia="zh-CN"/>
        </w:rPr>
        <w:t>元（大写：人民币</w:t>
      </w:r>
      <w:r>
        <w:rPr>
          <w:rFonts w:hint="eastAsia" w:ascii="宋体" w:hAnsi="宋体" w:eastAsia="宋体" w:cs="宋体"/>
          <w:w w:val="100"/>
          <w:sz w:val="21"/>
          <w:szCs w:val="21"/>
          <w:u w:val="single"/>
          <w:lang w:val="en-US" w:eastAsia="zh-CN"/>
        </w:rPr>
        <w:t xml:space="preserve">         </w:t>
      </w:r>
      <w:r>
        <w:rPr>
          <w:rFonts w:hint="eastAsia" w:ascii="宋体" w:hAnsi="宋体" w:eastAsia="宋体" w:cs="宋体"/>
          <w:w w:val="100"/>
          <w:sz w:val="21"/>
          <w:szCs w:val="21"/>
          <w:u w:val="none"/>
          <w:lang w:val="en-US" w:eastAsia="zh-CN"/>
        </w:rPr>
        <w:t>元</w:t>
      </w:r>
      <w:r>
        <w:rPr>
          <w:rFonts w:hint="eastAsia" w:ascii="宋体" w:hAnsi="宋体" w:eastAsia="宋体" w:cs="宋体"/>
          <w:w w:val="100"/>
          <w:sz w:val="21"/>
          <w:szCs w:val="21"/>
          <w:lang w:val="en-US" w:eastAsia="zh-CN"/>
        </w:rPr>
        <w:t>）。</w:t>
      </w:r>
    </w:p>
    <w:p w14:paraId="17BB18C0">
      <w:pPr>
        <w:keepNext w:val="0"/>
        <w:keepLines w:val="0"/>
        <w:pageBreakBefore w:val="0"/>
        <w:widowControl/>
        <w:kinsoku/>
        <w:wordWrap/>
        <w:overflowPunct/>
        <w:topLinePunct w:val="0"/>
        <w:autoSpaceDE/>
        <w:autoSpaceDN/>
        <w:bidi w:val="0"/>
        <w:adjustRightInd/>
        <w:snapToGrid/>
        <w:spacing w:after="0" w:line="360" w:lineRule="auto"/>
        <w:ind w:left="80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分项价格：</w:t>
      </w:r>
    </w:p>
    <w:tbl>
      <w:tblPr>
        <w:tblStyle w:val="26"/>
        <w:tblW w:w="0" w:type="auto"/>
        <w:tblInd w:w="3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9"/>
        <w:gridCol w:w="4833"/>
        <w:gridCol w:w="3079"/>
      </w:tblGrid>
      <w:tr w14:paraId="7AA71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979" w:type="dxa"/>
            <w:vAlign w:val="center"/>
          </w:tcPr>
          <w:p w14:paraId="55B5C358">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4833" w:type="dxa"/>
            <w:vAlign w:val="center"/>
          </w:tcPr>
          <w:p w14:paraId="6999CED6">
            <w:pPr>
              <w:jc w:val="center"/>
              <w:rPr>
                <w:rFonts w:hint="eastAsia" w:ascii="宋体" w:hAnsi="宋体" w:eastAsia="宋体" w:cs="宋体"/>
                <w:sz w:val="21"/>
                <w:szCs w:val="21"/>
                <w:lang w:val="en-US" w:eastAsia="zh-CN"/>
              </w:rPr>
            </w:pPr>
            <w:r>
              <w:rPr>
                <w:rFonts w:hint="eastAsia" w:ascii="宋体" w:hAnsi="宋体" w:eastAsia="宋体" w:cs="宋体"/>
                <w:sz w:val="21"/>
                <w:szCs w:val="21"/>
              </w:rPr>
              <w:t>分项名称</w:t>
            </w:r>
          </w:p>
        </w:tc>
        <w:tc>
          <w:tcPr>
            <w:tcW w:w="3079" w:type="dxa"/>
            <w:vAlign w:val="center"/>
          </w:tcPr>
          <w:p w14:paraId="41ED04FD">
            <w:pPr>
              <w:jc w:val="center"/>
              <w:rPr>
                <w:rFonts w:hint="eastAsia" w:ascii="宋体" w:hAnsi="宋体" w:eastAsia="宋体" w:cs="宋体"/>
                <w:sz w:val="21"/>
                <w:szCs w:val="21"/>
                <w:lang w:val="en-US" w:eastAsia="zh-CN"/>
              </w:rPr>
            </w:pPr>
            <w:r>
              <w:rPr>
                <w:rFonts w:hint="eastAsia" w:ascii="宋体" w:hAnsi="宋体" w:eastAsia="宋体" w:cs="宋体"/>
                <w:sz w:val="21"/>
                <w:szCs w:val="21"/>
              </w:rPr>
              <w:t>分项价格</w:t>
            </w:r>
          </w:p>
        </w:tc>
      </w:tr>
      <w:tr w14:paraId="4B398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39B1EDAF">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4833" w:type="dxa"/>
            <w:vAlign w:val="center"/>
          </w:tcPr>
          <w:p w14:paraId="71734FAD">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1"/>
                <w:szCs w:val="21"/>
                <w:vertAlign w:val="baseline"/>
                <w:lang w:val="en-US" w:eastAsia="zh-CN"/>
              </w:rPr>
            </w:pPr>
          </w:p>
        </w:tc>
        <w:tc>
          <w:tcPr>
            <w:tcW w:w="3079" w:type="dxa"/>
            <w:vAlign w:val="center"/>
          </w:tcPr>
          <w:p w14:paraId="010583D7">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1"/>
                <w:szCs w:val="21"/>
                <w:vertAlign w:val="baseline"/>
                <w:lang w:val="en-US" w:eastAsia="zh-CN"/>
              </w:rPr>
            </w:pPr>
          </w:p>
        </w:tc>
      </w:tr>
      <w:tr w14:paraId="359A8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54F5A41E">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4833" w:type="dxa"/>
            <w:vAlign w:val="center"/>
          </w:tcPr>
          <w:p w14:paraId="71A6F149">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1"/>
                <w:szCs w:val="21"/>
                <w:vertAlign w:val="baseline"/>
                <w:lang w:val="en-US" w:eastAsia="zh-CN"/>
              </w:rPr>
            </w:pPr>
          </w:p>
        </w:tc>
        <w:tc>
          <w:tcPr>
            <w:tcW w:w="3079" w:type="dxa"/>
            <w:vAlign w:val="center"/>
          </w:tcPr>
          <w:p w14:paraId="04E7ABB1">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1"/>
                <w:szCs w:val="21"/>
                <w:vertAlign w:val="baseline"/>
                <w:lang w:val="en-US" w:eastAsia="zh-CN"/>
              </w:rPr>
            </w:pPr>
          </w:p>
        </w:tc>
      </w:tr>
      <w:tr w14:paraId="483D3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0DE0DA58">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4833" w:type="dxa"/>
            <w:vAlign w:val="center"/>
          </w:tcPr>
          <w:p w14:paraId="765EA7FB">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1"/>
                <w:szCs w:val="21"/>
                <w:vertAlign w:val="baseline"/>
                <w:lang w:val="en-US" w:eastAsia="zh-CN"/>
              </w:rPr>
            </w:pPr>
          </w:p>
        </w:tc>
        <w:tc>
          <w:tcPr>
            <w:tcW w:w="3079" w:type="dxa"/>
            <w:vAlign w:val="center"/>
          </w:tcPr>
          <w:p w14:paraId="0A0535F4">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1"/>
                <w:szCs w:val="21"/>
                <w:vertAlign w:val="baseline"/>
                <w:lang w:val="en-US" w:eastAsia="zh-CN"/>
              </w:rPr>
            </w:pPr>
          </w:p>
        </w:tc>
      </w:tr>
      <w:tr w14:paraId="4DF16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9" w:type="dxa"/>
            <w:vAlign w:val="center"/>
          </w:tcPr>
          <w:p w14:paraId="7FD82CB4">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w:t>
            </w:r>
          </w:p>
        </w:tc>
        <w:tc>
          <w:tcPr>
            <w:tcW w:w="4833" w:type="dxa"/>
            <w:vAlign w:val="center"/>
          </w:tcPr>
          <w:p w14:paraId="51398913">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1"/>
                <w:szCs w:val="21"/>
                <w:vertAlign w:val="baseline"/>
                <w:lang w:val="en-US" w:eastAsia="zh-CN"/>
              </w:rPr>
            </w:pPr>
          </w:p>
        </w:tc>
        <w:tc>
          <w:tcPr>
            <w:tcW w:w="3079" w:type="dxa"/>
            <w:vAlign w:val="center"/>
          </w:tcPr>
          <w:p w14:paraId="75407FD3">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1"/>
                <w:szCs w:val="21"/>
                <w:vertAlign w:val="baseline"/>
                <w:lang w:val="en-US" w:eastAsia="zh-CN"/>
              </w:rPr>
            </w:pPr>
          </w:p>
        </w:tc>
      </w:tr>
      <w:tr w14:paraId="16962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812" w:type="dxa"/>
            <w:gridSpan w:val="2"/>
            <w:vAlign w:val="center"/>
          </w:tcPr>
          <w:p w14:paraId="23D4663F">
            <w:pPr>
              <w:spacing w:after="0" w:line="274" w:lineRule="exact"/>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总价</w:t>
            </w:r>
          </w:p>
        </w:tc>
        <w:tc>
          <w:tcPr>
            <w:tcW w:w="3079" w:type="dxa"/>
            <w:vAlign w:val="center"/>
          </w:tcPr>
          <w:p w14:paraId="32444D07">
            <w:pPr>
              <w:keepNext w:val="0"/>
              <w:keepLines w:val="0"/>
              <w:pageBreakBefore w:val="0"/>
              <w:widowControl/>
              <w:kinsoku/>
              <w:wordWrap/>
              <w:overflowPunct/>
              <w:topLinePunct w:val="0"/>
              <w:autoSpaceDE/>
              <w:autoSpaceDN/>
              <w:bidi w:val="0"/>
              <w:adjustRightInd/>
              <w:snapToGrid/>
              <w:spacing w:after="0" w:line="360" w:lineRule="auto"/>
              <w:jc w:val="center"/>
              <w:textAlignment w:val="auto"/>
              <w:rPr>
                <w:rFonts w:hint="eastAsia" w:ascii="宋体" w:hAnsi="宋体" w:eastAsia="宋体" w:cs="宋体"/>
                <w:sz w:val="21"/>
                <w:szCs w:val="21"/>
                <w:vertAlign w:val="baseline"/>
                <w:lang w:val="en-US" w:eastAsia="zh-CN"/>
              </w:rPr>
            </w:pPr>
          </w:p>
        </w:tc>
      </w:tr>
    </w:tbl>
    <w:p w14:paraId="1B605A15">
      <w:pPr>
        <w:rPr>
          <w:rFonts w:hint="eastAsia" w:ascii="宋体" w:hAnsi="宋体" w:eastAsia="宋体" w:cs="宋体"/>
          <w:sz w:val="21"/>
          <w:szCs w:val="21"/>
        </w:rPr>
        <w:sectPr>
          <w:pgSz w:w="11900" w:h="16838"/>
          <w:pgMar w:top="851" w:right="1440" w:bottom="655" w:left="1440" w:header="0" w:footer="567" w:gutter="0"/>
          <w:pgNumType w:fmt="decimal"/>
          <w:cols w:equalWidth="0" w:num="1">
            <w:col w:w="9026"/>
          </w:cols>
        </w:sectPr>
      </w:pPr>
    </w:p>
    <w:p w14:paraId="686636F0">
      <w:pPr>
        <w:rPr>
          <w:rFonts w:hint="eastAsia" w:ascii="宋体" w:hAnsi="宋体" w:eastAsia="宋体" w:cs="宋体"/>
          <w:sz w:val="21"/>
          <w:szCs w:val="21"/>
        </w:rPr>
        <w:sectPr>
          <w:type w:val="continuous"/>
          <w:pgSz w:w="11900" w:h="16838"/>
          <w:pgMar w:top="851" w:right="1440" w:bottom="655" w:left="1440" w:header="0" w:footer="0" w:gutter="0"/>
          <w:pgNumType w:fmt="decimal"/>
          <w:cols w:equalWidth="0" w:num="2">
            <w:col w:w="2040" w:space="720"/>
            <w:col w:w="6266"/>
          </w:cols>
        </w:sectPr>
      </w:pPr>
    </w:p>
    <w:p w14:paraId="6D570D39">
      <w:pPr>
        <w:spacing w:after="0" w:line="360" w:lineRule="auto"/>
        <w:ind w:firstLine="632" w:firstLineChars="300"/>
        <w:rPr>
          <w:rFonts w:hint="eastAsia" w:ascii="宋体" w:hAnsi="宋体" w:eastAsia="宋体" w:cs="宋体"/>
          <w:sz w:val="21"/>
          <w:szCs w:val="21"/>
        </w:rPr>
      </w:pPr>
      <w:r>
        <w:rPr>
          <w:rFonts w:hint="eastAsia" w:ascii="宋体" w:hAnsi="宋体" w:eastAsia="宋体" w:cs="宋体"/>
          <w:b/>
          <w:bCs/>
          <w:sz w:val="21"/>
          <w:szCs w:val="21"/>
        </w:rPr>
        <w:t>1.4 付款方式和发票开具方式</w:t>
      </w:r>
    </w:p>
    <w:p w14:paraId="0AF2260F">
      <w:pPr>
        <w:tabs>
          <w:tab w:val="left" w:pos="8400"/>
        </w:tabs>
        <w:spacing w:after="0" w:line="360" w:lineRule="auto"/>
        <w:ind w:firstLine="630" w:firstLineChars="300"/>
        <w:rPr>
          <w:rFonts w:hint="eastAsia" w:ascii="宋体" w:hAnsi="宋体" w:eastAsia="宋体" w:cs="宋体"/>
          <w:sz w:val="21"/>
          <w:szCs w:val="21"/>
          <w:u w:val="single"/>
          <w:lang w:val="en-US" w:eastAsia="zh-CN"/>
        </w:rPr>
      </w:pPr>
      <w:r>
        <w:rPr>
          <w:rFonts w:hint="eastAsia" w:ascii="宋体" w:hAnsi="宋体" w:eastAsia="宋体" w:cs="宋体"/>
          <w:w w:val="100"/>
          <w:sz w:val="21"/>
          <w:szCs w:val="21"/>
        </w:rPr>
        <w:t>1.4.1 付款方式：</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none"/>
          <w:lang w:val="en-US" w:eastAsia="zh-CN"/>
        </w:rPr>
        <w:t>；</w:t>
      </w:r>
    </w:p>
    <w:p w14:paraId="049DFAAF">
      <w:pPr>
        <w:spacing w:after="0" w:line="360" w:lineRule="auto"/>
        <w:rPr>
          <w:rFonts w:hint="eastAsia" w:ascii="宋体" w:hAnsi="宋体" w:eastAsia="宋体" w:cs="宋体"/>
          <w:sz w:val="21"/>
          <w:szCs w:val="21"/>
        </w:rPr>
      </w:pPr>
    </w:p>
    <w:p w14:paraId="7B95A140">
      <w:pPr>
        <w:spacing w:line="360" w:lineRule="auto"/>
        <w:rPr>
          <w:rFonts w:hint="eastAsia" w:ascii="宋体" w:hAnsi="宋体" w:eastAsia="宋体" w:cs="宋体"/>
          <w:sz w:val="21"/>
          <w:szCs w:val="21"/>
        </w:rPr>
        <w:sectPr>
          <w:type w:val="continuous"/>
          <w:pgSz w:w="11900" w:h="16838"/>
          <w:pgMar w:top="851" w:right="1440" w:bottom="655" w:left="1440" w:header="0" w:footer="0" w:gutter="0"/>
          <w:pgNumType w:fmt="decimal"/>
          <w:cols w:equalWidth="0" w:num="1">
            <w:col w:w="9026"/>
          </w:cols>
        </w:sectPr>
      </w:pPr>
    </w:p>
    <w:p w14:paraId="3FCB3974">
      <w:pPr>
        <w:spacing w:after="0" w:line="360" w:lineRule="auto"/>
        <w:rPr>
          <w:rFonts w:hint="eastAsia" w:ascii="宋体" w:hAnsi="宋体" w:eastAsia="宋体" w:cs="宋体"/>
          <w:sz w:val="21"/>
          <w:szCs w:val="21"/>
        </w:rPr>
      </w:pPr>
    </w:p>
    <w:p w14:paraId="0B1BB032">
      <w:pPr>
        <w:spacing w:after="0" w:line="360" w:lineRule="auto"/>
        <w:rPr>
          <w:rFonts w:hint="eastAsia" w:ascii="宋体" w:hAnsi="宋体" w:eastAsia="宋体" w:cs="宋体"/>
          <w:sz w:val="21"/>
          <w:szCs w:val="21"/>
        </w:rPr>
      </w:pPr>
      <w:bookmarkStart w:id="193" w:name="page1_0"/>
      <w:bookmarkEnd w:id="193"/>
    </w:p>
    <w:p w14:paraId="2548C7C4">
      <w:pPr>
        <w:spacing w:after="0" w:line="360" w:lineRule="auto"/>
        <w:ind w:firstLine="420" w:firstLineChars="200"/>
        <w:rPr>
          <w:rFonts w:hint="eastAsia" w:ascii="宋体" w:hAnsi="宋体" w:eastAsia="宋体" w:cs="宋体"/>
          <w:w w:val="99"/>
          <w:sz w:val="21"/>
          <w:szCs w:val="21"/>
        </w:rPr>
      </w:pPr>
      <w:r>
        <w:rPr>
          <w:rFonts w:hint="eastAsia" w:ascii="宋体" w:hAnsi="宋体" w:eastAsia="宋体" w:cs="宋体"/>
          <w:w w:val="100"/>
          <w:sz w:val="21"/>
          <w:szCs w:val="21"/>
        </w:rPr>
        <w:t>1.4.2发票开具方式：</w:t>
      </w:r>
      <w:r>
        <w:rPr>
          <w:rFonts w:hint="eastAsia" w:ascii="宋体" w:hAnsi="宋体" w:eastAsia="宋体" w:cs="宋体"/>
          <w:w w:val="98"/>
          <w:sz w:val="21"/>
          <w:szCs w:val="21"/>
          <w:u w:val="single"/>
          <w:lang w:val="en-US" w:eastAsia="zh-CN"/>
        </w:rPr>
        <w:t xml:space="preserve">                                     </w:t>
      </w:r>
      <w:r>
        <w:rPr>
          <w:rFonts w:hint="eastAsia" w:ascii="宋体" w:hAnsi="宋体" w:eastAsia="宋体" w:cs="宋体"/>
          <w:w w:val="98"/>
          <w:sz w:val="21"/>
          <w:szCs w:val="21"/>
          <w:lang w:val="en-US" w:eastAsia="zh-CN"/>
        </w:rPr>
        <w:t xml:space="preserve">。                                 </w:t>
      </w:r>
    </w:p>
    <w:p w14:paraId="2DB4DEBE">
      <w:pPr>
        <w:keepNext w:val="0"/>
        <w:keepLines w:val="0"/>
        <w:pageBreakBefore w:val="0"/>
        <w:widowControl/>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1.5 服务期限</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服务期限</w:t>
      </w:r>
      <w:r>
        <w:rPr>
          <w:rFonts w:hint="eastAsia" w:ascii="宋体" w:hAnsi="宋体" w:eastAsia="宋体" w:cs="宋体"/>
          <w:b/>
          <w:bCs/>
          <w:sz w:val="21"/>
          <w:szCs w:val="21"/>
          <w:lang w:eastAsia="zh-CN"/>
        </w:rPr>
        <w:t>）</w:t>
      </w:r>
      <w:r>
        <w:rPr>
          <w:rFonts w:hint="eastAsia" w:ascii="宋体" w:hAnsi="宋体" w:eastAsia="宋体" w:cs="宋体"/>
          <w:b/>
          <w:bCs/>
          <w:sz w:val="21"/>
          <w:szCs w:val="21"/>
        </w:rPr>
        <w:t>、地点和方式</w:t>
      </w:r>
    </w:p>
    <w:p w14:paraId="73DA15D6">
      <w:pPr>
        <w:keepNext w:val="0"/>
        <w:keepLines w:val="0"/>
        <w:pageBreakBefore w:val="0"/>
        <w:widowControl/>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w w:val="100"/>
          <w:sz w:val="21"/>
          <w:szCs w:val="21"/>
        </w:rPr>
        <w:t>1.5.1合同履行期限</w:t>
      </w:r>
      <w:r>
        <w:rPr>
          <w:rFonts w:hint="eastAsia" w:ascii="宋体" w:hAnsi="宋体" w:eastAsia="宋体" w:cs="宋体"/>
          <w:w w:val="100"/>
          <w:sz w:val="21"/>
          <w:szCs w:val="21"/>
          <w:lang w:eastAsia="zh-CN"/>
        </w:rPr>
        <w:t>（</w:t>
      </w:r>
      <w:r>
        <w:rPr>
          <w:rFonts w:hint="eastAsia" w:ascii="宋体" w:hAnsi="宋体" w:eastAsia="宋体" w:cs="宋体"/>
          <w:w w:val="100"/>
          <w:sz w:val="21"/>
          <w:szCs w:val="21"/>
          <w:lang w:val="en-US" w:eastAsia="zh-CN"/>
        </w:rPr>
        <w:t>服务期限</w:t>
      </w:r>
      <w:r>
        <w:rPr>
          <w:rFonts w:hint="eastAsia" w:ascii="宋体" w:hAnsi="宋体" w:eastAsia="宋体" w:cs="宋体"/>
          <w:w w:val="100"/>
          <w:sz w:val="21"/>
          <w:szCs w:val="21"/>
          <w:lang w:eastAsia="zh-CN"/>
        </w:rPr>
        <w:t>）</w:t>
      </w:r>
      <w:r>
        <w:rPr>
          <w:rFonts w:hint="eastAsia" w:ascii="宋体" w:hAnsi="宋体" w:eastAsia="宋体" w:cs="宋体"/>
          <w:w w:val="100"/>
          <w:sz w:val="21"/>
          <w:szCs w:val="21"/>
        </w:rPr>
        <w:t>：</w:t>
      </w:r>
      <w:r>
        <w:rPr>
          <w:rFonts w:hint="eastAsia" w:ascii="宋体" w:hAnsi="宋体" w:eastAsia="宋体" w:cs="宋体"/>
          <w:w w:val="98"/>
          <w:sz w:val="21"/>
          <w:szCs w:val="21"/>
          <w:u w:val="single"/>
          <w:lang w:val="en-US" w:eastAsia="zh-CN"/>
        </w:rPr>
        <w:t xml:space="preserve">                            </w:t>
      </w:r>
      <w:r>
        <w:rPr>
          <w:rFonts w:hint="eastAsia" w:ascii="宋体" w:hAnsi="宋体" w:eastAsia="宋体" w:cs="宋体"/>
          <w:w w:val="91"/>
          <w:sz w:val="21"/>
          <w:szCs w:val="21"/>
        </w:rPr>
        <w:t>；</w:t>
      </w:r>
    </w:p>
    <w:p w14:paraId="554060FB">
      <w:pPr>
        <w:keepNext w:val="0"/>
        <w:keepLines w:val="0"/>
        <w:pageBreakBefore w:val="0"/>
        <w:widowControl/>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w w:val="99"/>
          <w:sz w:val="21"/>
          <w:szCs w:val="21"/>
        </w:rPr>
      </w:pPr>
      <w:r>
        <w:rPr>
          <w:rFonts w:hint="eastAsia" w:ascii="宋体" w:hAnsi="宋体" w:eastAsia="宋体" w:cs="宋体"/>
          <w:w w:val="100"/>
          <w:sz w:val="21"/>
          <w:szCs w:val="21"/>
        </w:rPr>
        <w:t>1.5.2服务地点：</w:t>
      </w:r>
      <w:r>
        <w:rPr>
          <w:rFonts w:hint="eastAsia" w:ascii="宋体" w:hAnsi="宋体" w:eastAsia="宋体" w:cs="宋体"/>
          <w:w w:val="98"/>
          <w:sz w:val="21"/>
          <w:szCs w:val="21"/>
          <w:u w:val="single"/>
          <w:lang w:val="en-US" w:eastAsia="zh-CN"/>
        </w:rPr>
        <w:t xml:space="preserve">                                           </w:t>
      </w:r>
      <w:r>
        <w:rPr>
          <w:rFonts w:hint="eastAsia" w:ascii="宋体" w:hAnsi="宋体" w:eastAsia="宋体" w:cs="宋体"/>
          <w:w w:val="98"/>
          <w:sz w:val="21"/>
          <w:szCs w:val="21"/>
          <w:u w:val="none"/>
          <w:lang w:val="en-US" w:eastAsia="zh-CN"/>
        </w:rPr>
        <w:t xml:space="preserve"> ；</w:t>
      </w:r>
    </w:p>
    <w:p w14:paraId="3771798E">
      <w:pPr>
        <w:keepNext w:val="0"/>
        <w:keepLines w:val="0"/>
        <w:pageBreakBefore w:val="0"/>
        <w:widowControl/>
        <w:kinsoku/>
        <w:wordWrap/>
        <w:overflowPunct/>
        <w:topLinePunct w:val="0"/>
        <w:autoSpaceDE/>
        <w:autoSpaceDN/>
        <w:bidi w:val="0"/>
        <w:adjustRightInd/>
        <w:snapToGrid/>
        <w:spacing w:after="0" w:line="360" w:lineRule="auto"/>
        <w:ind w:firstLine="420" w:firstLineChars="200"/>
        <w:textAlignment w:val="auto"/>
        <w:rPr>
          <w:rFonts w:hint="eastAsia" w:ascii="宋体" w:hAnsi="宋体" w:eastAsia="宋体" w:cs="宋体"/>
          <w:w w:val="91"/>
          <w:sz w:val="21"/>
          <w:szCs w:val="21"/>
        </w:rPr>
      </w:pPr>
      <w:r>
        <w:rPr>
          <w:rFonts w:hint="eastAsia" w:ascii="宋体" w:hAnsi="宋体" w:eastAsia="宋体" w:cs="宋体"/>
          <w:w w:val="100"/>
          <w:sz w:val="21"/>
          <w:szCs w:val="21"/>
        </w:rPr>
        <w:t>1.5.</w:t>
      </w:r>
      <w:r>
        <w:rPr>
          <w:rFonts w:hint="eastAsia" w:ascii="宋体" w:hAnsi="宋体" w:eastAsia="宋体" w:cs="宋体"/>
          <w:w w:val="100"/>
          <w:sz w:val="21"/>
          <w:szCs w:val="21"/>
          <w:lang w:val="en-US" w:eastAsia="zh-CN"/>
        </w:rPr>
        <w:t>3</w:t>
      </w:r>
      <w:r>
        <w:rPr>
          <w:rFonts w:hint="eastAsia" w:ascii="宋体" w:hAnsi="宋体" w:eastAsia="宋体" w:cs="宋体"/>
          <w:w w:val="100"/>
          <w:sz w:val="21"/>
          <w:szCs w:val="21"/>
        </w:rPr>
        <w:t>服务</w:t>
      </w:r>
      <w:r>
        <w:rPr>
          <w:rFonts w:hint="eastAsia" w:ascii="宋体" w:hAnsi="宋体" w:eastAsia="宋体" w:cs="宋体"/>
          <w:w w:val="100"/>
          <w:sz w:val="21"/>
          <w:szCs w:val="21"/>
          <w:lang w:val="en-US" w:eastAsia="zh-CN"/>
        </w:rPr>
        <w:t>方式</w:t>
      </w:r>
      <w:r>
        <w:rPr>
          <w:rFonts w:hint="eastAsia" w:ascii="宋体" w:hAnsi="宋体" w:eastAsia="宋体" w:cs="宋体"/>
          <w:w w:val="100"/>
          <w:sz w:val="21"/>
          <w:szCs w:val="21"/>
        </w:rPr>
        <w:t>：</w:t>
      </w:r>
      <w:r>
        <w:rPr>
          <w:rFonts w:hint="eastAsia" w:ascii="宋体" w:hAnsi="宋体" w:eastAsia="宋体" w:cs="宋体"/>
          <w:w w:val="98"/>
          <w:sz w:val="21"/>
          <w:szCs w:val="21"/>
          <w:u w:val="single"/>
          <w:lang w:val="en-US" w:eastAsia="zh-CN"/>
        </w:rPr>
        <w:t xml:space="preserve">                                            </w:t>
      </w:r>
      <w:r>
        <w:rPr>
          <w:rFonts w:hint="eastAsia" w:ascii="宋体" w:hAnsi="宋体" w:eastAsia="宋体" w:cs="宋体"/>
          <w:w w:val="91"/>
          <w:sz w:val="21"/>
          <w:szCs w:val="21"/>
          <w:lang w:eastAsia="zh-CN"/>
        </w:rPr>
        <w:t>。</w:t>
      </w:r>
    </w:p>
    <w:p w14:paraId="370BEE13">
      <w:pPr>
        <w:keepNext w:val="0"/>
        <w:keepLines w:val="0"/>
        <w:pageBreakBefore w:val="0"/>
        <w:widowControl/>
        <w:kinsoku/>
        <w:wordWrap/>
        <w:overflowPunct/>
        <w:topLinePunct w:val="0"/>
        <w:autoSpaceDE/>
        <w:autoSpaceDN/>
        <w:bidi w:val="0"/>
        <w:adjustRightInd/>
        <w:snapToGrid/>
        <w:spacing w:after="0" w:line="360" w:lineRule="auto"/>
        <w:ind w:firstLine="422" w:firstLineChars="200"/>
        <w:textAlignment w:val="auto"/>
        <w:rPr>
          <w:rFonts w:hint="eastAsia" w:ascii="宋体" w:hAnsi="宋体" w:eastAsia="宋体" w:cs="宋体"/>
          <w:sz w:val="21"/>
          <w:szCs w:val="21"/>
        </w:rPr>
      </w:pPr>
      <w:r>
        <w:rPr>
          <w:rFonts w:hint="eastAsia" w:ascii="宋体" w:hAnsi="宋体" w:eastAsia="宋体" w:cs="宋体"/>
          <w:b/>
          <w:bCs/>
          <w:sz w:val="21"/>
          <w:szCs w:val="21"/>
        </w:rPr>
        <w:t>1.6 违约责任</w:t>
      </w:r>
    </w:p>
    <w:p w14:paraId="1E7B76DA">
      <w:pPr>
        <w:spacing w:after="0" w:line="20" w:lineRule="exact"/>
        <w:rPr>
          <w:rFonts w:hint="eastAsia" w:ascii="宋体" w:hAnsi="宋体" w:eastAsia="宋体" w:cs="宋体"/>
          <w:sz w:val="21"/>
          <w:szCs w:val="21"/>
        </w:rPr>
      </w:pPr>
    </w:p>
    <w:p w14:paraId="6476DD17">
      <w:pPr>
        <w:spacing w:after="0" w:line="360" w:lineRule="auto"/>
        <w:ind w:left="360" w:right="366" w:firstLine="434"/>
        <w:jc w:val="both"/>
        <w:rPr>
          <w:rFonts w:hint="eastAsia" w:ascii="宋体" w:hAnsi="宋体" w:eastAsia="宋体" w:cs="宋体"/>
          <w:sz w:val="21"/>
          <w:szCs w:val="21"/>
        </w:rPr>
      </w:pPr>
      <w:r>
        <w:rPr>
          <w:rFonts w:hint="eastAsia" w:ascii="宋体" w:hAnsi="宋体" w:eastAsia="宋体" w:cs="宋体"/>
          <w:sz w:val="21"/>
          <w:szCs w:val="21"/>
          <w:lang w:val="en-US" w:eastAsia="zh-CN"/>
        </w:rPr>
        <w:t>1.6.1</w:t>
      </w:r>
      <w:r>
        <w:rPr>
          <w:rFonts w:hint="eastAsia" w:ascii="宋体" w:hAnsi="宋体" w:eastAsia="宋体" w:cs="宋体"/>
          <w:sz w:val="21"/>
          <w:szCs w:val="21"/>
        </w:rPr>
        <w:t xml:space="preserve"> 除不可抗力外，如果乙方没有按照合同约定的期限、地点和方式履行，那么甲方可要求乙方支付违约金，违约金按每迟延履行一日的应提供而未提供服务价格的</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%计算，</w:t>
      </w:r>
      <w:r>
        <w:rPr>
          <w:rFonts w:hint="eastAsia" w:ascii="宋体" w:hAnsi="宋体" w:eastAsia="宋体" w:cs="宋体"/>
          <w:sz w:val="21"/>
          <w:szCs w:val="21"/>
        </w:rPr>
        <w:t xml:space="preserve">最高限额为本合同总价的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%；迟延履行的违约金计算数额达到前述最高限额之日起，甲方有权在要求乙方支付违约金的同时，书面通知乙方解除本合同；</w:t>
      </w:r>
    </w:p>
    <w:p w14:paraId="157CCAC5">
      <w:pPr>
        <w:spacing w:after="0" w:line="430" w:lineRule="exact"/>
        <w:ind w:left="360" w:right="266" w:firstLine="434"/>
        <w:jc w:val="both"/>
        <w:rPr>
          <w:rFonts w:hint="eastAsia" w:ascii="宋体" w:hAnsi="宋体" w:eastAsia="宋体" w:cs="宋体"/>
          <w:sz w:val="21"/>
          <w:szCs w:val="21"/>
        </w:rPr>
      </w:pPr>
      <w:r>
        <w:rPr>
          <w:rFonts w:hint="eastAsia" w:ascii="宋体" w:hAnsi="宋体" w:eastAsia="宋体" w:cs="宋体"/>
          <w:sz w:val="21"/>
          <w:szCs w:val="21"/>
        </w:rPr>
        <w:t>1.6.2 除不可抗力外，如果甲方没有按照本合同约定的付款方式付款，那么乙方可要求甲方支付违约金，违约金按每迟延付款一日的应付而未付款的</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%计算，最高限额为本合同总价的</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%；迟延付款的违约金计算数额达到前述最高限额之日起，乙方有权在要求甲方支付违约金的同时，书面通知甲方解除本合同；</w:t>
      </w:r>
    </w:p>
    <w:p w14:paraId="1FDFE8A9">
      <w:pPr>
        <w:spacing w:after="0" w:line="20" w:lineRule="exact"/>
        <w:rPr>
          <w:rFonts w:hint="eastAsia" w:ascii="宋体" w:hAnsi="宋体" w:eastAsia="宋体" w:cs="宋体"/>
          <w:sz w:val="21"/>
          <w:szCs w:val="21"/>
        </w:rPr>
      </w:pPr>
    </w:p>
    <w:p w14:paraId="54BF0911">
      <w:pPr>
        <w:spacing w:after="0" w:line="210" w:lineRule="exact"/>
        <w:rPr>
          <w:rFonts w:hint="eastAsia" w:ascii="宋体" w:hAnsi="宋体" w:eastAsia="宋体" w:cs="宋体"/>
          <w:sz w:val="21"/>
          <w:szCs w:val="21"/>
        </w:rPr>
      </w:pPr>
    </w:p>
    <w:p w14:paraId="05359DC4">
      <w:pPr>
        <w:spacing w:after="0" w:line="430" w:lineRule="exact"/>
        <w:ind w:left="360" w:right="266" w:firstLine="434"/>
        <w:jc w:val="both"/>
        <w:rPr>
          <w:rFonts w:hint="eastAsia" w:ascii="宋体" w:hAnsi="宋体" w:eastAsia="宋体" w:cs="宋体"/>
          <w:sz w:val="21"/>
          <w:szCs w:val="21"/>
        </w:rPr>
      </w:pPr>
      <w:r>
        <w:rPr>
          <w:rFonts w:hint="eastAsia" w:ascii="宋体" w:hAnsi="宋体" w:eastAsia="宋体" w:cs="宋体"/>
          <w:sz w:val="21"/>
          <w:szCs w:val="21"/>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6C568DD7">
      <w:pPr>
        <w:spacing w:after="0" w:line="230" w:lineRule="exact"/>
        <w:rPr>
          <w:rFonts w:hint="eastAsia" w:ascii="宋体" w:hAnsi="宋体" w:eastAsia="宋体" w:cs="宋体"/>
          <w:sz w:val="21"/>
          <w:szCs w:val="21"/>
        </w:rPr>
      </w:pPr>
    </w:p>
    <w:p w14:paraId="261D7D60">
      <w:pPr>
        <w:spacing w:after="0" w:line="423" w:lineRule="exact"/>
        <w:ind w:left="360" w:right="366" w:firstLine="434"/>
        <w:jc w:val="both"/>
        <w:rPr>
          <w:rFonts w:hint="eastAsia" w:ascii="宋体" w:hAnsi="宋体" w:eastAsia="宋体" w:cs="宋体"/>
          <w:sz w:val="21"/>
          <w:szCs w:val="21"/>
        </w:rPr>
      </w:pPr>
      <w:r>
        <w:rPr>
          <w:rFonts w:hint="eastAsia" w:ascii="宋体" w:hAnsi="宋体" w:eastAsia="宋体" w:cs="宋体"/>
          <w:sz w:val="21"/>
          <w:szCs w:val="21"/>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2620A85E">
      <w:pPr>
        <w:spacing w:after="0" w:line="230" w:lineRule="exact"/>
        <w:rPr>
          <w:rFonts w:hint="eastAsia" w:ascii="宋体" w:hAnsi="宋体" w:eastAsia="宋体" w:cs="宋体"/>
          <w:sz w:val="21"/>
          <w:szCs w:val="21"/>
        </w:rPr>
      </w:pPr>
    </w:p>
    <w:p w14:paraId="66630944">
      <w:pPr>
        <w:spacing w:after="0" w:line="354" w:lineRule="exact"/>
        <w:ind w:left="360" w:right="246" w:firstLine="434"/>
        <w:rPr>
          <w:rFonts w:hint="eastAsia" w:ascii="宋体" w:hAnsi="宋体" w:eastAsia="宋体" w:cs="宋体"/>
          <w:sz w:val="21"/>
          <w:szCs w:val="21"/>
        </w:rPr>
      </w:pPr>
      <w:r>
        <w:rPr>
          <w:rFonts w:hint="eastAsia" w:ascii="宋体" w:hAnsi="宋体" w:eastAsia="宋体" w:cs="宋体"/>
          <w:sz w:val="21"/>
          <w:szCs w:val="21"/>
        </w:rPr>
        <w:t>1.6.5 除前述约定外，除不可抗力外，任何一方未能履行本合同约定的义务，对方当事人均有权要求继续履行、采取补救措施或者赔偿损失等，且对方当事人</w:t>
      </w:r>
      <w:bookmarkStart w:id="194" w:name="page2_0"/>
      <w:bookmarkEnd w:id="194"/>
      <w:r>
        <w:rPr>
          <w:rFonts w:hint="eastAsia" w:ascii="宋体" w:hAnsi="宋体" w:eastAsia="宋体" w:cs="宋体"/>
          <w:sz w:val="21"/>
          <w:szCs w:val="21"/>
        </w:rPr>
        <w:t>行使的任何权利救济方式均不视为其放弃了其他法定或者约定的权利救济方式；</w:t>
      </w:r>
    </w:p>
    <w:p w14:paraId="7E1BB586">
      <w:pPr>
        <w:spacing w:after="0" w:line="194" w:lineRule="exact"/>
        <w:rPr>
          <w:rFonts w:hint="eastAsia" w:ascii="宋体" w:hAnsi="宋体" w:eastAsia="宋体" w:cs="宋体"/>
          <w:sz w:val="21"/>
          <w:szCs w:val="21"/>
        </w:rPr>
      </w:pPr>
    </w:p>
    <w:p w14:paraId="2E982B2F">
      <w:pPr>
        <w:spacing w:after="0" w:line="423" w:lineRule="exact"/>
        <w:ind w:left="360" w:right="366" w:firstLine="434"/>
        <w:jc w:val="both"/>
        <w:rPr>
          <w:rFonts w:hint="eastAsia" w:ascii="宋体" w:hAnsi="宋体" w:eastAsia="宋体" w:cs="宋体"/>
          <w:sz w:val="21"/>
          <w:szCs w:val="21"/>
        </w:rPr>
      </w:pPr>
      <w:r>
        <w:rPr>
          <w:rFonts w:hint="eastAsia" w:ascii="宋体" w:hAnsi="宋体" w:eastAsia="宋体" w:cs="宋体"/>
          <w:sz w:val="21"/>
          <w:szCs w:val="21"/>
        </w:rPr>
        <w:t>1.6.6 如果出现政府采购监督管理部门在处理投诉事项期间，书面通知甲方暂停采购活动的情形，或者询问或质疑事项可能影响成交结果的，导致甲方中止履行合同的情形，均不视为甲方违约。</w:t>
      </w:r>
    </w:p>
    <w:p w14:paraId="40C57A03">
      <w:pPr>
        <w:spacing w:after="0" w:line="194" w:lineRule="exact"/>
        <w:rPr>
          <w:rFonts w:hint="eastAsia" w:ascii="宋体" w:hAnsi="宋体" w:eastAsia="宋体" w:cs="宋体"/>
          <w:sz w:val="21"/>
          <w:szCs w:val="21"/>
        </w:rPr>
      </w:pPr>
    </w:p>
    <w:p w14:paraId="42AEA5DB">
      <w:pPr>
        <w:spacing w:after="0" w:line="274" w:lineRule="exact"/>
        <w:ind w:left="800"/>
        <w:rPr>
          <w:rFonts w:hint="eastAsia" w:ascii="宋体" w:hAnsi="宋体" w:eastAsia="宋体" w:cs="宋体"/>
          <w:sz w:val="21"/>
          <w:szCs w:val="21"/>
        </w:rPr>
      </w:pPr>
      <w:r>
        <w:rPr>
          <w:rFonts w:hint="eastAsia" w:ascii="宋体" w:hAnsi="宋体" w:eastAsia="宋体" w:cs="宋体"/>
          <w:sz w:val="21"/>
          <w:szCs w:val="21"/>
        </w:rPr>
        <w:t>1.6.7 因甲方未按合同约定支付价款、未按合同约定受领标的物、擅自解除</w:t>
      </w:r>
    </w:p>
    <w:p w14:paraId="098031E7">
      <w:pPr>
        <w:spacing w:after="0" w:line="206" w:lineRule="exact"/>
        <w:rPr>
          <w:rFonts w:hint="eastAsia" w:ascii="宋体" w:hAnsi="宋体" w:eastAsia="宋体" w:cs="宋体"/>
          <w:sz w:val="21"/>
          <w:szCs w:val="21"/>
        </w:rPr>
      </w:pPr>
    </w:p>
    <w:p w14:paraId="616F3A69">
      <w:pPr>
        <w:spacing w:after="0" w:line="263" w:lineRule="exact"/>
        <w:ind w:left="360"/>
        <w:rPr>
          <w:rFonts w:hint="eastAsia" w:ascii="宋体" w:hAnsi="宋体" w:eastAsia="宋体" w:cs="宋体"/>
          <w:sz w:val="21"/>
          <w:szCs w:val="21"/>
        </w:rPr>
      </w:pPr>
      <w:r>
        <w:rPr>
          <w:rFonts w:hint="eastAsia" w:ascii="宋体" w:hAnsi="宋体" w:eastAsia="宋体" w:cs="宋体"/>
          <w:sz w:val="21"/>
          <w:szCs w:val="21"/>
        </w:rPr>
        <w:t>合同、逾期退还履约保证金导致乙方遭受的直接损失，乙方可向甲方申请赔偿，</w:t>
      </w:r>
    </w:p>
    <w:p w14:paraId="02D390E5">
      <w:pPr>
        <w:spacing w:after="0" w:line="206" w:lineRule="exact"/>
        <w:rPr>
          <w:rFonts w:hint="eastAsia" w:ascii="宋体" w:hAnsi="宋体" w:eastAsia="宋体" w:cs="宋体"/>
          <w:sz w:val="21"/>
          <w:szCs w:val="21"/>
        </w:rPr>
      </w:pPr>
    </w:p>
    <w:p w14:paraId="5ADA2E5D">
      <w:pPr>
        <w:spacing w:after="0" w:line="263" w:lineRule="exact"/>
        <w:ind w:left="360"/>
        <w:rPr>
          <w:rFonts w:hint="eastAsia" w:ascii="宋体" w:hAnsi="宋体" w:eastAsia="宋体" w:cs="宋体"/>
          <w:sz w:val="21"/>
          <w:szCs w:val="21"/>
        </w:rPr>
      </w:pPr>
      <w:r>
        <w:rPr>
          <w:rFonts w:hint="eastAsia" w:ascii="宋体" w:hAnsi="宋体" w:eastAsia="宋体" w:cs="宋体"/>
          <w:sz w:val="21"/>
          <w:szCs w:val="21"/>
        </w:rPr>
        <w:t>赔偿金额由双方协商一致；针对因政策变化等原因不能签订合同或解除合同时，</w:t>
      </w:r>
    </w:p>
    <w:p w14:paraId="3B8E49A9">
      <w:pPr>
        <w:spacing w:after="0" w:line="206" w:lineRule="exact"/>
        <w:rPr>
          <w:rFonts w:hint="eastAsia" w:ascii="宋体" w:hAnsi="宋体" w:eastAsia="宋体" w:cs="宋体"/>
          <w:sz w:val="21"/>
          <w:szCs w:val="21"/>
        </w:rPr>
      </w:pPr>
    </w:p>
    <w:p w14:paraId="22DFCA92">
      <w:pPr>
        <w:spacing w:after="0" w:line="263" w:lineRule="exact"/>
        <w:ind w:left="360"/>
        <w:rPr>
          <w:rFonts w:hint="eastAsia" w:ascii="宋体" w:hAnsi="宋体" w:eastAsia="宋体" w:cs="宋体"/>
          <w:sz w:val="21"/>
          <w:szCs w:val="21"/>
        </w:rPr>
      </w:pPr>
      <w:r>
        <w:rPr>
          <w:rFonts w:hint="eastAsia" w:ascii="宋体" w:hAnsi="宋体" w:eastAsia="宋体" w:cs="宋体"/>
          <w:sz w:val="21"/>
          <w:szCs w:val="21"/>
        </w:rPr>
        <w:t>造成乙方合法利益受损的情形，可以给予乙方合理补偿，补偿金额不得超过乙方</w:t>
      </w:r>
    </w:p>
    <w:p w14:paraId="317BC58E">
      <w:pPr>
        <w:spacing w:after="0" w:line="194" w:lineRule="exact"/>
        <w:rPr>
          <w:rFonts w:hint="eastAsia" w:ascii="宋体" w:hAnsi="宋体" w:eastAsia="宋体" w:cs="宋体"/>
          <w:sz w:val="21"/>
          <w:szCs w:val="21"/>
        </w:rPr>
      </w:pPr>
    </w:p>
    <w:p w14:paraId="37A102C6">
      <w:pPr>
        <w:spacing w:after="0" w:line="274" w:lineRule="exact"/>
        <w:ind w:left="360"/>
        <w:rPr>
          <w:rFonts w:hint="eastAsia" w:ascii="宋体" w:hAnsi="宋体" w:eastAsia="宋体" w:cs="宋体"/>
          <w:sz w:val="21"/>
          <w:szCs w:val="21"/>
        </w:rPr>
      </w:pPr>
      <w:r>
        <w:rPr>
          <w:rFonts w:hint="eastAsia" w:ascii="宋体" w:hAnsi="宋体" w:eastAsia="宋体" w:cs="宋体"/>
          <w:sz w:val="21"/>
          <w:szCs w:val="21"/>
        </w:rPr>
        <w:t>的直接损失。</w:t>
      </w:r>
    </w:p>
    <w:p w14:paraId="281DA187">
      <w:pPr>
        <w:spacing w:after="0" w:line="194" w:lineRule="exact"/>
        <w:rPr>
          <w:rFonts w:hint="eastAsia" w:ascii="宋体" w:hAnsi="宋体" w:eastAsia="宋体" w:cs="宋体"/>
          <w:sz w:val="21"/>
          <w:szCs w:val="21"/>
        </w:rPr>
      </w:pPr>
    </w:p>
    <w:p w14:paraId="180A54DA">
      <w:pPr>
        <w:spacing w:after="0" w:line="274" w:lineRule="exact"/>
        <w:ind w:left="800"/>
        <w:rPr>
          <w:rFonts w:hint="eastAsia" w:ascii="宋体" w:hAnsi="宋体" w:eastAsia="宋体" w:cs="宋体"/>
          <w:sz w:val="21"/>
          <w:szCs w:val="21"/>
        </w:rPr>
      </w:pPr>
      <w:r>
        <w:rPr>
          <w:rFonts w:hint="eastAsia" w:ascii="宋体" w:hAnsi="宋体" w:eastAsia="宋体" w:cs="宋体"/>
          <w:b/>
          <w:bCs/>
          <w:sz w:val="21"/>
          <w:szCs w:val="21"/>
        </w:rPr>
        <w:t>1.7 合同争议的解决</w:t>
      </w:r>
    </w:p>
    <w:p w14:paraId="50675DB8">
      <w:pPr>
        <w:spacing w:after="0" w:line="194" w:lineRule="exact"/>
        <w:rPr>
          <w:rFonts w:hint="eastAsia" w:ascii="宋体" w:hAnsi="宋体" w:eastAsia="宋体" w:cs="宋体"/>
          <w:sz w:val="21"/>
          <w:szCs w:val="21"/>
        </w:rPr>
      </w:pPr>
    </w:p>
    <w:p w14:paraId="2D4B2D34">
      <w:pPr>
        <w:keepNext w:val="0"/>
        <w:keepLines w:val="0"/>
        <w:pageBreakBefore w:val="0"/>
        <w:widowControl/>
        <w:kinsoku/>
        <w:wordWrap/>
        <w:overflowPunct/>
        <w:topLinePunct w:val="0"/>
        <w:autoSpaceDE/>
        <w:autoSpaceDN/>
        <w:bidi w:val="0"/>
        <w:adjustRightInd/>
        <w:snapToGrid/>
        <w:spacing w:after="0" w:line="360" w:lineRule="auto"/>
        <w:ind w:left="363"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本合同履行过程中发生的任何争议，双方当事人均可通过和解或者调解解决；不愿和解、调解或者和解、调解不成的，可以选择下列第</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种方式解决</w:t>
      </w:r>
      <w:r>
        <w:rPr>
          <w:rFonts w:hint="eastAsia" w:ascii="宋体" w:hAnsi="宋体" w:eastAsia="宋体" w:cs="宋体"/>
          <w:sz w:val="21"/>
          <w:szCs w:val="21"/>
          <w:lang w:eastAsia="zh-CN"/>
        </w:rPr>
        <w:t>；</w:t>
      </w:r>
    </w:p>
    <w:p w14:paraId="78171D7E">
      <w:pPr>
        <w:keepNext w:val="0"/>
        <w:keepLines w:val="0"/>
        <w:pageBreakBefore w:val="0"/>
        <w:widowControl/>
        <w:kinsoku/>
        <w:wordWrap/>
        <w:overflowPunct/>
        <w:topLinePunct w:val="0"/>
        <w:autoSpaceDE/>
        <w:autoSpaceDN/>
        <w:bidi w:val="0"/>
        <w:adjustRightInd/>
        <w:snapToGrid/>
        <w:spacing w:after="0" w:line="360" w:lineRule="auto"/>
        <w:ind w:left="363"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1.7.1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将争议提交</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仲裁委员会依申请仲裁时其现行有效的仲裁规则裁决；</w:t>
      </w:r>
    </w:p>
    <w:p w14:paraId="1AAB74BD">
      <w:pPr>
        <w:keepNext w:val="0"/>
        <w:keepLines w:val="0"/>
        <w:pageBreakBefore w:val="0"/>
        <w:widowControl/>
        <w:kinsoku/>
        <w:wordWrap/>
        <w:overflowPunct/>
        <w:topLinePunct w:val="0"/>
        <w:autoSpaceDE/>
        <w:autoSpaceDN/>
        <w:bidi w:val="0"/>
        <w:adjustRightInd/>
        <w:snapToGrid/>
        <w:spacing w:after="0" w:line="360" w:lineRule="auto"/>
        <w:ind w:left="363"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1.7.2向</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人民法院起诉。</w:t>
      </w:r>
    </w:p>
    <w:p w14:paraId="40A48107">
      <w:pPr>
        <w:spacing w:after="0" w:line="360" w:lineRule="auto"/>
        <w:ind w:left="800"/>
        <w:rPr>
          <w:rFonts w:hint="eastAsia" w:ascii="宋体" w:hAnsi="宋体" w:eastAsia="宋体" w:cs="宋体"/>
          <w:b/>
          <w:bCs/>
          <w:sz w:val="21"/>
          <w:szCs w:val="21"/>
        </w:rPr>
      </w:pPr>
      <w:r>
        <w:rPr>
          <w:rFonts w:hint="eastAsia" w:ascii="宋体" w:hAnsi="宋体" w:eastAsia="宋体" w:cs="宋体"/>
          <w:b/>
          <w:bCs/>
          <w:sz w:val="21"/>
          <w:szCs w:val="21"/>
        </w:rPr>
        <w:t>1.8 合同生效</w:t>
      </w:r>
    </w:p>
    <w:p w14:paraId="1C98E3DE">
      <w:pPr>
        <w:spacing w:after="0" w:line="360" w:lineRule="auto"/>
        <w:ind w:left="800"/>
        <w:rPr>
          <w:rFonts w:hint="eastAsia" w:ascii="宋体" w:hAnsi="宋体" w:eastAsia="宋体" w:cs="宋体"/>
          <w:sz w:val="21"/>
          <w:szCs w:val="21"/>
        </w:rPr>
      </w:pPr>
      <w:r>
        <w:rPr>
          <w:rFonts w:hint="eastAsia" w:ascii="宋体" w:hAnsi="宋体" w:eastAsia="宋体" w:cs="宋体"/>
          <w:sz w:val="21"/>
          <w:szCs w:val="21"/>
        </w:rPr>
        <w:t>本合同自双方当事人盖章时生效。</w:t>
      </w:r>
    </w:p>
    <w:p w14:paraId="72271EC1">
      <w:pPr>
        <w:spacing w:after="0" w:line="274" w:lineRule="exact"/>
        <w:ind w:left="800"/>
        <w:rPr>
          <w:rFonts w:hint="eastAsia" w:ascii="宋体" w:hAnsi="宋体" w:eastAsia="宋体" w:cs="宋体"/>
          <w:b/>
          <w:bCs/>
          <w:sz w:val="21"/>
          <w:szCs w:val="21"/>
        </w:rPr>
      </w:pPr>
    </w:p>
    <w:p w14:paraId="6323C498">
      <w:pPr>
        <w:spacing w:after="0" w:line="274" w:lineRule="exact"/>
        <w:ind w:left="800"/>
        <w:rPr>
          <w:rFonts w:hint="eastAsia" w:ascii="宋体" w:hAnsi="宋体" w:eastAsia="宋体" w:cs="宋体"/>
          <w:b/>
          <w:bCs/>
          <w:sz w:val="21"/>
          <w:szCs w:val="21"/>
          <w:lang w:val="en-US" w:eastAsia="zh-CN"/>
        </w:rPr>
      </w:pPr>
    </w:p>
    <w:p w14:paraId="288EA1FD">
      <w:pPr>
        <w:spacing w:after="0" w:line="360" w:lineRule="auto"/>
        <w:rPr>
          <w:rFonts w:hint="eastAsia" w:ascii="宋体" w:hAnsi="宋体" w:eastAsia="宋体" w:cs="宋体"/>
          <w:sz w:val="21"/>
          <w:szCs w:val="21"/>
        </w:rPr>
      </w:pPr>
    </w:p>
    <w:p w14:paraId="573E8504">
      <w:pPr>
        <w:spacing w:after="0" w:line="360" w:lineRule="auto"/>
        <w:ind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甲方：</w:t>
      </w:r>
      <w:r>
        <w:rPr>
          <w:rFonts w:hint="eastAsia" w:ascii="宋体" w:hAnsi="宋体" w:eastAsia="宋体" w:cs="宋体"/>
          <w:sz w:val="21"/>
          <w:szCs w:val="21"/>
          <w:u w:val="single"/>
          <w:lang w:val="en-US" w:eastAsia="zh-CN"/>
        </w:rPr>
        <w:t xml:space="preserve">      (盖单位章）          </w:t>
      </w:r>
      <w:r>
        <w:rPr>
          <w:rFonts w:hint="eastAsia" w:ascii="宋体" w:hAnsi="宋体" w:eastAsia="宋体" w:cs="宋体"/>
          <w:sz w:val="21"/>
          <w:szCs w:val="21"/>
          <w:lang w:val="en-US" w:eastAsia="zh-CN"/>
        </w:rPr>
        <w:t xml:space="preserve">             乙方：</w:t>
      </w:r>
      <w:r>
        <w:rPr>
          <w:rFonts w:hint="eastAsia" w:ascii="宋体" w:hAnsi="宋体" w:eastAsia="宋体" w:cs="宋体"/>
          <w:sz w:val="21"/>
          <w:szCs w:val="21"/>
          <w:u w:val="single"/>
          <w:lang w:val="en-US" w:eastAsia="zh-CN"/>
        </w:rPr>
        <w:t xml:space="preserve">      (盖单位章）              </w:t>
      </w:r>
    </w:p>
    <w:p w14:paraId="6B22A39F">
      <w:pPr>
        <w:spacing w:after="0" w:line="360" w:lineRule="auto"/>
        <w:ind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法定代表人或授权代表（签字）：                  法定代表人或授权代表（签字）：</w:t>
      </w:r>
    </w:p>
    <w:p w14:paraId="204A0269">
      <w:pPr>
        <w:spacing w:after="0" w:line="360" w:lineRule="auto"/>
        <w:ind w:firstLine="210" w:firstLineChars="10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时间: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 xml:space="preserve">日                    时间: </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年</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月</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lang w:val="en-US" w:eastAsia="zh-CN"/>
        </w:rPr>
        <w:t>日</w:t>
      </w:r>
    </w:p>
    <w:p w14:paraId="3CBE4712">
      <w:pPr>
        <w:spacing w:after="0" w:line="360" w:lineRule="auto"/>
        <w:rPr>
          <w:rFonts w:hint="eastAsia" w:ascii="宋体" w:hAnsi="宋体" w:eastAsia="宋体" w:cs="宋体"/>
          <w:sz w:val="21"/>
          <w:szCs w:val="21"/>
          <w:lang w:val="en-US" w:eastAsia="zh-CN"/>
        </w:rPr>
      </w:pPr>
    </w:p>
    <w:p w14:paraId="44E6B956">
      <w:pPr>
        <w:pStyle w:val="9"/>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w:t>
      </w:r>
    </w:p>
    <w:p w14:paraId="550D2EE2">
      <w:pPr>
        <w:spacing w:after="0" w:line="200" w:lineRule="exact"/>
        <w:rPr>
          <w:rFonts w:hint="eastAsia" w:ascii="宋体" w:hAnsi="宋体" w:eastAsia="宋体" w:cs="宋体"/>
          <w:sz w:val="21"/>
          <w:szCs w:val="21"/>
        </w:rPr>
      </w:pPr>
    </w:p>
    <w:p w14:paraId="45D210C4">
      <w:pPr>
        <w:spacing w:after="0" w:line="200" w:lineRule="exact"/>
        <w:rPr>
          <w:rFonts w:hint="eastAsia" w:ascii="宋体" w:hAnsi="宋体" w:eastAsia="宋体" w:cs="宋体"/>
          <w:sz w:val="21"/>
          <w:szCs w:val="21"/>
        </w:rPr>
      </w:pPr>
    </w:p>
    <w:p w14:paraId="2BF5F9C5">
      <w:pPr>
        <w:spacing w:after="0" w:line="200" w:lineRule="exact"/>
        <w:rPr>
          <w:rFonts w:hint="eastAsia" w:ascii="宋体" w:hAnsi="宋体" w:eastAsia="宋体" w:cs="宋体"/>
          <w:sz w:val="21"/>
          <w:szCs w:val="21"/>
        </w:rPr>
      </w:pPr>
    </w:p>
    <w:p w14:paraId="61A0AD66">
      <w:pPr>
        <w:spacing w:after="0" w:line="200" w:lineRule="exact"/>
        <w:rPr>
          <w:rFonts w:hint="eastAsia" w:ascii="宋体" w:hAnsi="宋体" w:eastAsia="宋体" w:cs="宋体"/>
          <w:sz w:val="21"/>
          <w:szCs w:val="21"/>
        </w:rPr>
      </w:pPr>
    </w:p>
    <w:p w14:paraId="3F26463C">
      <w:pPr>
        <w:spacing w:after="0" w:line="200" w:lineRule="exact"/>
        <w:rPr>
          <w:rFonts w:hint="eastAsia" w:ascii="宋体" w:hAnsi="宋体" w:eastAsia="宋体" w:cs="宋体"/>
          <w:sz w:val="21"/>
          <w:szCs w:val="21"/>
        </w:rPr>
      </w:pPr>
    </w:p>
    <w:p w14:paraId="23CD69E4">
      <w:pPr>
        <w:spacing w:after="0" w:line="232" w:lineRule="exact"/>
        <w:rPr>
          <w:rFonts w:hint="eastAsia" w:ascii="宋体" w:hAnsi="宋体" w:eastAsia="宋体" w:cs="宋体"/>
          <w:sz w:val="21"/>
          <w:szCs w:val="21"/>
        </w:rPr>
      </w:pPr>
    </w:p>
    <w:p w14:paraId="18A18944">
      <w:pPr>
        <w:spacing w:after="0" w:line="285" w:lineRule="exact"/>
        <w:rPr>
          <w:rFonts w:hint="eastAsia" w:ascii="宋体" w:hAnsi="宋体" w:eastAsia="宋体" w:cs="宋体"/>
          <w:sz w:val="21"/>
          <w:szCs w:val="21"/>
        </w:rPr>
      </w:pPr>
    </w:p>
    <w:p w14:paraId="6FC44F10">
      <w:pPr>
        <w:spacing w:after="0" w:line="241" w:lineRule="exact"/>
        <w:rPr>
          <w:rFonts w:hint="eastAsia" w:ascii="宋体" w:hAnsi="宋体" w:eastAsia="宋体" w:cs="宋体"/>
          <w:sz w:val="21"/>
          <w:szCs w:val="21"/>
        </w:rPr>
      </w:pPr>
      <w:bookmarkStart w:id="195" w:name="page1_1"/>
      <w:bookmarkEnd w:id="195"/>
    </w:p>
    <w:p w14:paraId="2BC7EC9E">
      <w:pPr>
        <w:rPr>
          <w:rFonts w:hint="eastAsia" w:ascii="宋体" w:hAnsi="宋体" w:eastAsia="宋体" w:cs="宋体"/>
          <w:b/>
          <w:bCs/>
          <w:sz w:val="21"/>
          <w:szCs w:val="21"/>
        </w:rPr>
      </w:pPr>
      <w:r>
        <w:rPr>
          <w:rFonts w:hint="eastAsia" w:ascii="宋体" w:hAnsi="宋体" w:eastAsia="宋体" w:cs="宋体"/>
          <w:b/>
          <w:bCs/>
          <w:sz w:val="21"/>
          <w:szCs w:val="21"/>
        </w:rPr>
        <w:br w:type="page"/>
      </w:r>
    </w:p>
    <w:p w14:paraId="2DD87EEC">
      <w:pPr>
        <w:spacing w:after="0" w:line="274" w:lineRule="exact"/>
        <w:ind w:right="6"/>
        <w:jc w:val="center"/>
        <w:rPr>
          <w:rFonts w:hint="eastAsia" w:ascii="宋体" w:hAnsi="宋体" w:eastAsia="宋体" w:cs="宋体"/>
          <w:sz w:val="21"/>
          <w:szCs w:val="21"/>
        </w:rPr>
      </w:pPr>
      <w:r>
        <w:rPr>
          <w:rFonts w:hint="eastAsia" w:ascii="宋体" w:hAnsi="宋体" w:eastAsia="宋体" w:cs="宋体"/>
          <w:b/>
          <w:bCs/>
          <w:sz w:val="21"/>
          <w:szCs w:val="21"/>
        </w:rPr>
        <w:t>第二部分 合同一般条款</w:t>
      </w:r>
    </w:p>
    <w:p w14:paraId="0BA95062">
      <w:pPr>
        <w:spacing w:after="0" w:line="194" w:lineRule="exact"/>
        <w:rPr>
          <w:rFonts w:hint="eastAsia" w:ascii="宋体" w:hAnsi="宋体" w:eastAsia="宋体" w:cs="宋体"/>
          <w:sz w:val="21"/>
          <w:szCs w:val="21"/>
        </w:rPr>
      </w:pPr>
    </w:p>
    <w:p w14:paraId="168F0055">
      <w:pPr>
        <w:spacing w:after="0" w:line="274" w:lineRule="exact"/>
        <w:ind w:left="800"/>
        <w:rPr>
          <w:rFonts w:hint="eastAsia" w:ascii="宋体" w:hAnsi="宋体" w:eastAsia="宋体" w:cs="宋体"/>
          <w:sz w:val="21"/>
          <w:szCs w:val="21"/>
        </w:rPr>
      </w:pPr>
      <w:r>
        <w:rPr>
          <w:rFonts w:hint="eastAsia" w:ascii="宋体" w:hAnsi="宋体" w:eastAsia="宋体" w:cs="宋体"/>
          <w:b/>
          <w:bCs/>
          <w:sz w:val="21"/>
          <w:szCs w:val="21"/>
        </w:rPr>
        <w:t>2.1 定义</w:t>
      </w:r>
    </w:p>
    <w:p w14:paraId="35E21F02">
      <w:pPr>
        <w:spacing w:after="0" w:line="194" w:lineRule="exact"/>
        <w:rPr>
          <w:rFonts w:hint="eastAsia" w:ascii="宋体" w:hAnsi="宋体" w:eastAsia="宋体" w:cs="宋体"/>
          <w:sz w:val="21"/>
          <w:szCs w:val="21"/>
        </w:rPr>
      </w:pPr>
    </w:p>
    <w:p w14:paraId="12C998AF">
      <w:pPr>
        <w:spacing w:after="0" w:line="274" w:lineRule="exact"/>
        <w:ind w:left="800"/>
        <w:rPr>
          <w:rFonts w:hint="eastAsia" w:ascii="宋体" w:hAnsi="宋体" w:eastAsia="宋体" w:cs="宋体"/>
          <w:sz w:val="21"/>
          <w:szCs w:val="21"/>
        </w:rPr>
      </w:pPr>
      <w:r>
        <w:rPr>
          <w:rFonts w:hint="eastAsia" w:ascii="宋体" w:hAnsi="宋体" w:eastAsia="宋体" w:cs="宋体"/>
          <w:sz w:val="21"/>
          <w:szCs w:val="21"/>
        </w:rPr>
        <w:t>本合同中的下列词语应按以下内容进行解释：</w:t>
      </w:r>
    </w:p>
    <w:p w14:paraId="3B86C5BA">
      <w:pPr>
        <w:spacing w:after="0" w:line="230" w:lineRule="exact"/>
        <w:rPr>
          <w:rFonts w:hint="eastAsia" w:ascii="宋体" w:hAnsi="宋体" w:eastAsia="宋体" w:cs="宋体"/>
          <w:sz w:val="21"/>
          <w:szCs w:val="21"/>
        </w:rPr>
      </w:pPr>
    </w:p>
    <w:p w14:paraId="505EE614">
      <w:pPr>
        <w:spacing w:after="0" w:line="353" w:lineRule="exact"/>
        <w:ind w:left="360" w:right="366" w:firstLine="434"/>
        <w:jc w:val="both"/>
        <w:rPr>
          <w:rFonts w:hint="eastAsia" w:ascii="宋体" w:hAnsi="宋体" w:eastAsia="宋体" w:cs="宋体"/>
          <w:sz w:val="21"/>
          <w:szCs w:val="21"/>
        </w:rPr>
      </w:pPr>
      <w:r>
        <w:rPr>
          <w:rFonts w:hint="eastAsia" w:ascii="宋体" w:hAnsi="宋体" w:eastAsia="宋体" w:cs="宋体"/>
          <w:sz w:val="21"/>
          <w:szCs w:val="21"/>
        </w:rPr>
        <w:t>2.1.1“合同”系指采购人和</w:t>
      </w:r>
      <w:r>
        <w:rPr>
          <w:rFonts w:hint="eastAsia" w:ascii="宋体" w:hAnsi="宋体" w:eastAsia="宋体" w:cs="宋体"/>
          <w:sz w:val="21"/>
          <w:szCs w:val="21"/>
          <w:lang w:eastAsia="zh-CN"/>
        </w:rPr>
        <w:t>中标人</w:t>
      </w:r>
      <w:r>
        <w:rPr>
          <w:rFonts w:hint="eastAsia" w:ascii="宋体" w:hAnsi="宋体" w:eastAsia="宋体" w:cs="宋体"/>
          <w:sz w:val="21"/>
          <w:szCs w:val="21"/>
        </w:rPr>
        <w:t>签订的载明双方当事人所达成的协议，并包括所有的附件、附录和构成合同的其他文件。</w:t>
      </w:r>
    </w:p>
    <w:p w14:paraId="0BE78A7C">
      <w:pPr>
        <w:spacing w:after="0" w:line="231" w:lineRule="exact"/>
        <w:rPr>
          <w:rFonts w:hint="eastAsia" w:ascii="宋体" w:hAnsi="宋体" w:eastAsia="宋体" w:cs="宋体"/>
          <w:sz w:val="21"/>
          <w:szCs w:val="21"/>
        </w:rPr>
      </w:pPr>
    </w:p>
    <w:p w14:paraId="07AD6843">
      <w:pPr>
        <w:spacing w:after="0" w:line="353" w:lineRule="exact"/>
        <w:ind w:left="360" w:right="366" w:firstLine="434"/>
        <w:jc w:val="both"/>
        <w:rPr>
          <w:rFonts w:hint="eastAsia" w:ascii="宋体" w:hAnsi="宋体" w:eastAsia="宋体" w:cs="宋体"/>
          <w:sz w:val="21"/>
          <w:szCs w:val="21"/>
        </w:rPr>
      </w:pPr>
      <w:r>
        <w:rPr>
          <w:rFonts w:hint="eastAsia" w:ascii="宋体" w:hAnsi="宋体" w:eastAsia="宋体" w:cs="宋体"/>
          <w:sz w:val="21"/>
          <w:szCs w:val="21"/>
        </w:rPr>
        <w:t>2.1.2“合同价”系指根据合同约定，</w:t>
      </w:r>
      <w:r>
        <w:rPr>
          <w:rFonts w:hint="eastAsia" w:ascii="宋体" w:hAnsi="宋体" w:eastAsia="宋体" w:cs="宋体"/>
          <w:sz w:val="21"/>
          <w:szCs w:val="21"/>
          <w:lang w:eastAsia="zh-CN"/>
        </w:rPr>
        <w:t>中标人</w:t>
      </w:r>
      <w:r>
        <w:rPr>
          <w:rFonts w:hint="eastAsia" w:ascii="宋体" w:hAnsi="宋体" w:eastAsia="宋体" w:cs="宋体"/>
          <w:sz w:val="21"/>
          <w:szCs w:val="21"/>
        </w:rPr>
        <w:t>在完全履行合同义务后，采购人应支付给</w:t>
      </w:r>
      <w:r>
        <w:rPr>
          <w:rFonts w:hint="eastAsia" w:ascii="宋体" w:hAnsi="宋体" w:eastAsia="宋体" w:cs="宋体"/>
          <w:sz w:val="21"/>
          <w:szCs w:val="21"/>
          <w:lang w:eastAsia="zh-CN"/>
        </w:rPr>
        <w:t>中标人</w:t>
      </w:r>
      <w:r>
        <w:rPr>
          <w:rFonts w:hint="eastAsia" w:ascii="宋体" w:hAnsi="宋体" w:eastAsia="宋体" w:cs="宋体"/>
          <w:sz w:val="21"/>
          <w:szCs w:val="21"/>
        </w:rPr>
        <w:t>的价格。</w:t>
      </w:r>
    </w:p>
    <w:p w14:paraId="77B7837C">
      <w:pPr>
        <w:spacing w:after="0" w:line="231" w:lineRule="exact"/>
        <w:rPr>
          <w:rFonts w:hint="eastAsia" w:ascii="宋体" w:hAnsi="宋体" w:eastAsia="宋体" w:cs="宋体"/>
          <w:sz w:val="21"/>
          <w:szCs w:val="21"/>
        </w:rPr>
      </w:pPr>
    </w:p>
    <w:p w14:paraId="7EA20F98">
      <w:pPr>
        <w:spacing w:after="0" w:line="392" w:lineRule="exact"/>
        <w:ind w:left="360" w:right="366" w:firstLine="434"/>
        <w:jc w:val="both"/>
        <w:rPr>
          <w:rFonts w:hint="eastAsia" w:ascii="宋体" w:hAnsi="宋体" w:eastAsia="宋体" w:cs="宋体"/>
          <w:sz w:val="21"/>
          <w:szCs w:val="21"/>
        </w:rPr>
      </w:pPr>
      <w:r>
        <w:rPr>
          <w:rFonts w:hint="eastAsia" w:ascii="宋体" w:hAnsi="宋体" w:eastAsia="宋体" w:cs="宋体"/>
          <w:sz w:val="21"/>
          <w:szCs w:val="21"/>
        </w:rPr>
        <w:t>2.1.3“服务”系指</w:t>
      </w:r>
      <w:r>
        <w:rPr>
          <w:rFonts w:hint="eastAsia" w:ascii="宋体" w:hAnsi="宋体" w:eastAsia="宋体" w:cs="宋体"/>
          <w:sz w:val="21"/>
          <w:szCs w:val="21"/>
          <w:lang w:eastAsia="zh-CN"/>
        </w:rPr>
        <w:t>中标人</w:t>
      </w:r>
      <w:r>
        <w:rPr>
          <w:rFonts w:hint="eastAsia" w:ascii="宋体" w:hAnsi="宋体" w:eastAsia="宋体" w:cs="宋体"/>
          <w:sz w:val="21"/>
          <w:szCs w:val="21"/>
        </w:rPr>
        <w:t>根据合同约定应向采购人履行的除货物和工程以外的其他政府采购对象，包括采购人自身需要的服务和向社会公众提供的公共服务。</w:t>
      </w:r>
    </w:p>
    <w:p w14:paraId="02C8C80A">
      <w:pPr>
        <w:spacing w:after="0" w:line="230" w:lineRule="exact"/>
        <w:rPr>
          <w:rFonts w:hint="eastAsia" w:ascii="宋体" w:hAnsi="宋体" w:eastAsia="宋体" w:cs="宋体"/>
          <w:sz w:val="21"/>
          <w:szCs w:val="21"/>
        </w:rPr>
      </w:pPr>
    </w:p>
    <w:p w14:paraId="10771EA7">
      <w:pPr>
        <w:spacing w:after="0" w:line="353" w:lineRule="exact"/>
        <w:ind w:left="360" w:right="366" w:firstLine="434"/>
        <w:jc w:val="both"/>
        <w:rPr>
          <w:rFonts w:hint="eastAsia" w:ascii="宋体" w:hAnsi="宋体" w:eastAsia="宋体" w:cs="宋体"/>
          <w:sz w:val="21"/>
          <w:szCs w:val="21"/>
        </w:rPr>
      </w:pPr>
      <w:r>
        <w:rPr>
          <w:rFonts w:hint="eastAsia" w:ascii="宋体" w:hAnsi="宋体" w:eastAsia="宋体" w:cs="宋体"/>
          <w:sz w:val="21"/>
          <w:szCs w:val="21"/>
        </w:rPr>
        <w:t>2.1.4“甲方”系指与</w:t>
      </w:r>
      <w:r>
        <w:rPr>
          <w:rFonts w:hint="eastAsia" w:ascii="宋体" w:hAnsi="宋体" w:eastAsia="宋体" w:cs="宋体"/>
          <w:sz w:val="21"/>
          <w:szCs w:val="21"/>
          <w:lang w:eastAsia="zh-CN"/>
        </w:rPr>
        <w:t>中标人</w:t>
      </w:r>
      <w:r>
        <w:rPr>
          <w:rFonts w:hint="eastAsia" w:ascii="宋体" w:hAnsi="宋体" w:eastAsia="宋体" w:cs="宋体"/>
          <w:sz w:val="21"/>
          <w:szCs w:val="21"/>
        </w:rPr>
        <w:t>签署合同的采购人；采购人委托</w:t>
      </w:r>
      <w:r>
        <w:rPr>
          <w:rFonts w:hint="eastAsia" w:ascii="宋体" w:hAnsi="宋体" w:eastAsia="宋体" w:cs="宋体"/>
          <w:sz w:val="21"/>
          <w:szCs w:val="21"/>
          <w:lang w:eastAsia="zh-CN"/>
        </w:rPr>
        <w:t>采购代理机构</w:t>
      </w:r>
      <w:r>
        <w:rPr>
          <w:rFonts w:hint="eastAsia" w:ascii="宋体" w:hAnsi="宋体" w:eastAsia="宋体" w:cs="宋体"/>
          <w:sz w:val="21"/>
          <w:szCs w:val="21"/>
        </w:rPr>
        <w:t>代表其与乙方签订合同的，采购人的授权委托书作为合同附件。</w:t>
      </w:r>
    </w:p>
    <w:p w14:paraId="4A4ABC9D">
      <w:pPr>
        <w:spacing w:after="0" w:line="231" w:lineRule="exact"/>
        <w:rPr>
          <w:rFonts w:hint="eastAsia" w:ascii="宋体" w:hAnsi="宋体" w:eastAsia="宋体" w:cs="宋体"/>
          <w:sz w:val="21"/>
          <w:szCs w:val="21"/>
        </w:rPr>
      </w:pPr>
    </w:p>
    <w:p w14:paraId="1F5EA3DB">
      <w:pPr>
        <w:spacing w:after="0" w:line="410" w:lineRule="exact"/>
        <w:ind w:left="360" w:right="366" w:firstLine="434"/>
        <w:jc w:val="both"/>
        <w:rPr>
          <w:rFonts w:hint="eastAsia" w:ascii="宋体" w:hAnsi="宋体" w:eastAsia="宋体" w:cs="宋体"/>
          <w:sz w:val="21"/>
          <w:szCs w:val="21"/>
        </w:rPr>
      </w:pPr>
      <w:r>
        <w:rPr>
          <w:rFonts w:hint="eastAsia" w:ascii="宋体" w:hAnsi="宋体" w:eastAsia="宋体" w:cs="宋体"/>
          <w:sz w:val="21"/>
          <w:szCs w:val="21"/>
        </w:rPr>
        <w:t>2.1.5“乙方”系指根据合同约定提供服务的</w:t>
      </w:r>
      <w:r>
        <w:rPr>
          <w:rFonts w:hint="eastAsia" w:ascii="宋体" w:hAnsi="宋体" w:eastAsia="宋体" w:cs="宋体"/>
          <w:sz w:val="21"/>
          <w:szCs w:val="21"/>
          <w:lang w:eastAsia="zh-CN"/>
        </w:rPr>
        <w:t>中标人</w:t>
      </w:r>
      <w:r>
        <w:rPr>
          <w:rFonts w:hint="eastAsia" w:ascii="宋体" w:hAnsi="宋体" w:eastAsia="宋体" w:cs="宋体"/>
          <w:sz w:val="21"/>
          <w:szCs w:val="21"/>
        </w:rPr>
        <w:t>；两个以上的自然人、法人或者其他组织组成一个联合体，以一个</w:t>
      </w:r>
      <w:r>
        <w:rPr>
          <w:rFonts w:hint="eastAsia" w:ascii="宋体" w:hAnsi="宋体" w:eastAsia="宋体" w:cs="宋体"/>
          <w:sz w:val="21"/>
          <w:szCs w:val="21"/>
          <w:lang w:val="en-US" w:eastAsia="zh-CN"/>
        </w:rPr>
        <w:t>投标人</w:t>
      </w:r>
      <w:r>
        <w:rPr>
          <w:rFonts w:hint="eastAsia" w:ascii="宋体" w:hAnsi="宋体" w:eastAsia="宋体" w:cs="宋体"/>
          <w:sz w:val="21"/>
          <w:szCs w:val="21"/>
        </w:rPr>
        <w:t>的身份共同参加政府采购的，联合体各方均应为乙方或者与乙方相同地位的合同当事人，并就合同约定的事项对甲方承担连带责任。</w:t>
      </w:r>
    </w:p>
    <w:p w14:paraId="2118B6F3">
      <w:pPr>
        <w:spacing w:after="0" w:line="198" w:lineRule="exact"/>
        <w:rPr>
          <w:rFonts w:hint="eastAsia" w:ascii="宋体" w:hAnsi="宋体" w:eastAsia="宋体" w:cs="宋体"/>
          <w:sz w:val="21"/>
          <w:szCs w:val="21"/>
        </w:rPr>
      </w:pPr>
    </w:p>
    <w:p w14:paraId="6CD695D8">
      <w:pPr>
        <w:spacing w:after="0" w:line="274" w:lineRule="exact"/>
        <w:ind w:left="800"/>
        <w:rPr>
          <w:rFonts w:hint="eastAsia" w:ascii="宋体" w:hAnsi="宋体" w:eastAsia="宋体" w:cs="宋体"/>
          <w:sz w:val="21"/>
          <w:szCs w:val="21"/>
        </w:rPr>
      </w:pPr>
      <w:r>
        <w:rPr>
          <w:rFonts w:hint="eastAsia" w:ascii="宋体" w:hAnsi="宋体" w:eastAsia="宋体" w:cs="宋体"/>
          <w:sz w:val="21"/>
          <w:szCs w:val="21"/>
        </w:rPr>
        <w:t>2.1.6“现场”系指合同约定提供服务的地点。</w:t>
      </w:r>
    </w:p>
    <w:p w14:paraId="676FF22D">
      <w:pPr>
        <w:spacing w:after="0" w:line="194" w:lineRule="exact"/>
        <w:rPr>
          <w:rFonts w:hint="eastAsia" w:ascii="宋体" w:hAnsi="宋体" w:eastAsia="宋体" w:cs="宋体"/>
          <w:sz w:val="21"/>
          <w:szCs w:val="21"/>
        </w:rPr>
      </w:pPr>
    </w:p>
    <w:p w14:paraId="1B906107">
      <w:pPr>
        <w:spacing w:after="0" w:line="274" w:lineRule="exact"/>
        <w:ind w:left="800"/>
        <w:rPr>
          <w:rFonts w:hint="eastAsia" w:ascii="宋体" w:hAnsi="宋体" w:eastAsia="宋体" w:cs="宋体"/>
          <w:sz w:val="21"/>
          <w:szCs w:val="21"/>
        </w:rPr>
      </w:pPr>
      <w:r>
        <w:rPr>
          <w:rFonts w:hint="eastAsia" w:ascii="宋体" w:hAnsi="宋体" w:eastAsia="宋体" w:cs="宋体"/>
          <w:b/>
          <w:bCs/>
          <w:sz w:val="21"/>
          <w:szCs w:val="21"/>
        </w:rPr>
        <w:t>2.2 技术规范</w:t>
      </w:r>
    </w:p>
    <w:p w14:paraId="1BC74FB1">
      <w:pPr>
        <w:spacing w:after="0" w:line="194" w:lineRule="exact"/>
        <w:rPr>
          <w:rFonts w:hint="eastAsia" w:ascii="宋体" w:hAnsi="宋体" w:eastAsia="宋体" w:cs="宋体"/>
          <w:sz w:val="21"/>
          <w:szCs w:val="21"/>
        </w:rPr>
      </w:pPr>
    </w:p>
    <w:p w14:paraId="6E688679">
      <w:pPr>
        <w:spacing w:after="0" w:line="274" w:lineRule="exact"/>
        <w:ind w:left="800"/>
        <w:rPr>
          <w:rFonts w:hint="eastAsia" w:ascii="宋体" w:hAnsi="宋体" w:eastAsia="宋体" w:cs="宋体"/>
          <w:sz w:val="21"/>
          <w:szCs w:val="21"/>
        </w:rPr>
      </w:pPr>
      <w:r>
        <w:rPr>
          <w:rFonts w:hint="eastAsia" w:ascii="宋体" w:hAnsi="宋体" w:eastAsia="宋体" w:cs="宋体"/>
          <w:sz w:val="21"/>
          <w:szCs w:val="21"/>
        </w:rPr>
        <w:t>货物所应遵守的技术规范应与采购文件规定的技术规范和技术规范附件(如</w:t>
      </w:r>
    </w:p>
    <w:p w14:paraId="4CD4A264">
      <w:pPr>
        <w:spacing w:after="0" w:line="194" w:lineRule="exact"/>
        <w:rPr>
          <w:rFonts w:hint="eastAsia" w:ascii="宋体" w:hAnsi="宋体" w:eastAsia="宋体" w:cs="宋体"/>
          <w:sz w:val="21"/>
          <w:szCs w:val="21"/>
        </w:rPr>
      </w:pPr>
    </w:p>
    <w:p w14:paraId="5212610F">
      <w:pPr>
        <w:spacing w:after="0" w:line="274" w:lineRule="exact"/>
        <w:ind w:left="360"/>
        <w:rPr>
          <w:rFonts w:hint="eastAsia" w:ascii="宋体" w:hAnsi="宋体" w:eastAsia="宋体" w:cs="宋体"/>
          <w:sz w:val="21"/>
          <w:szCs w:val="21"/>
        </w:rPr>
      </w:pPr>
      <w:r>
        <w:rPr>
          <w:rFonts w:hint="eastAsia" w:ascii="宋体" w:hAnsi="宋体" w:eastAsia="宋体" w:cs="宋体"/>
          <w:sz w:val="21"/>
          <w:szCs w:val="21"/>
        </w:rPr>
        <w:t>果有的话)及其技术规范偏差表(如果被甲方接受的话)相一致；如果采购文件中</w:t>
      </w:r>
    </w:p>
    <w:p w14:paraId="6A4627B6">
      <w:pPr>
        <w:spacing w:after="0" w:line="206" w:lineRule="exact"/>
        <w:rPr>
          <w:rFonts w:hint="eastAsia" w:ascii="宋体" w:hAnsi="宋体" w:eastAsia="宋体" w:cs="宋体"/>
          <w:sz w:val="21"/>
          <w:szCs w:val="21"/>
        </w:rPr>
      </w:pPr>
    </w:p>
    <w:p w14:paraId="6E5EA166">
      <w:pPr>
        <w:spacing w:after="0" w:line="263" w:lineRule="exact"/>
        <w:ind w:left="360"/>
        <w:rPr>
          <w:rFonts w:hint="eastAsia" w:ascii="宋体" w:hAnsi="宋体" w:eastAsia="宋体" w:cs="宋体"/>
          <w:sz w:val="21"/>
          <w:szCs w:val="21"/>
        </w:rPr>
      </w:pPr>
      <w:r>
        <w:rPr>
          <w:rFonts w:hint="eastAsia" w:ascii="宋体" w:hAnsi="宋体" w:eastAsia="宋体" w:cs="宋体"/>
          <w:sz w:val="21"/>
          <w:szCs w:val="21"/>
        </w:rPr>
        <w:t>没有技术规范的相应说明，那么应以国家有关部门最新颁布的相应标准和规范为</w:t>
      </w:r>
    </w:p>
    <w:p w14:paraId="58A6BBFF">
      <w:pPr>
        <w:spacing w:after="0" w:line="194" w:lineRule="exact"/>
        <w:rPr>
          <w:rFonts w:hint="eastAsia" w:ascii="宋体" w:hAnsi="宋体" w:eastAsia="宋体" w:cs="宋体"/>
          <w:sz w:val="21"/>
          <w:szCs w:val="21"/>
        </w:rPr>
      </w:pPr>
    </w:p>
    <w:p w14:paraId="62ED07CC">
      <w:pPr>
        <w:spacing w:after="0" w:line="274" w:lineRule="exact"/>
        <w:ind w:left="360"/>
        <w:rPr>
          <w:rFonts w:hint="eastAsia" w:ascii="宋体" w:hAnsi="宋体" w:eastAsia="宋体" w:cs="宋体"/>
          <w:sz w:val="21"/>
          <w:szCs w:val="21"/>
        </w:rPr>
      </w:pPr>
      <w:r>
        <w:rPr>
          <w:rFonts w:hint="eastAsia" w:ascii="宋体" w:hAnsi="宋体" w:eastAsia="宋体" w:cs="宋体"/>
          <w:sz w:val="21"/>
          <w:szCs w:val="21"/>
        </w:rPr>
        <w:t>准。</w:t>
      </w:r>
    </w:p>
    <w:p w14:paraId="4BB7F58F">
      <w:pPr>
        <w:spacing w:after="0" w:line="194" w:lineRule="exact"/>
        <w:rPr>
          <w:rFonts w:hint="eastAsia" w:ascii="宋体" w:hAnsi="宋体" w:eastAsia="宋体" w:cs="宋体"/>
          <w:sz w:val="21"/>
          <w:szCs w:val="21"/>
        </w:rPr>
      </w:pPr>
    </w:p>
    <w:p w14:paraId="2B6D8E8C">
      <w:pPr>
        <w:spacing w:after="0" w:line="274" w:lineRule="exact"/>
        <w:ind w:left="800"/>
        <w:rPr>
          <w:rFonts w:hint="eastAsia" w:ascii="宋体" w:hAnsi="宋体" w:eastAsia="宋体" w:cs="宋体"/>
          <w:sz w:val="21"/>
          <w:szCs w:val="21"/>
        </w:rPr>
      </w:pPr>
      <w:r>
        <w:rPr>
          <w:rFonts w:hint="eastAsia" w:ascii="宋体" w:hAnsi="宋体" w:eastAsia="宋体" w:cs="宋体"/>
          <w:b/>
          <w:bCs/>
          <w:sz w:val="21"/>
          <w:szCs w:val="21"/>
        </w:rPr>
        <w:t>2.3 知识产权</w:t>
      </w:r>
    </w:p>
    <w:p w14:paraId="6046268F">
      <w:pPr>
        <w:spacing w:after="0" w:line="206" w:lineRule="exact"/>
        <w:rPr>
          <w:rFonts w:hint="eastAsia" w:ascii="宋体" w:hAnsi="宋体" w:eastAsia="宋体" w:cs="宋体"/>
          <w:sz w:val="21"/>
          <w:szCs w:val="21"/>
        </w:rPr>
      </w:pPr>
    </w:p>
    <w:p w14:paraId="60972288">
      <w:pPr>
        <w:spacing w:after="0" w:line="263" w:lineRule="exact"/>
        <w:ind w:left="800"/>
        <w:rPr>
          <w:rFonts w:hint="eastAsia" w:ascii="宋体" w:hAnsi="宋体" w:eastAsia="宋体" w:cs="宋体"/>
          <w:sz w:val="21"/>
          <w:szCs w:val="21"/>
        </w:rPr>
      </w:pPr>
      <w:r>
        <w:rPr>
          <w:rFonts w:hint="eastAsia" w:ascii="宋体" w:hAnsi="宋体" w:eastAsia="宋体" w:cs="宋体"/>
          <w:sz w:val="21"/>
          <w:szCs w:val="21"/>
        </w:rPr>
        <w:t>2.3.1 乙方应保证其提供的服务不受任何第三方提出的侵犯其著作权、商标</w:t>
      </w:r>
    </w:p>
    <w:p w14:paraId="23EB2487">
      <w:pPr>
        <w:spacing w:after="0" w:line="206" w:lineRule="exact"/>
        <w:rPr>
          <w:rFonts w:hint="eastAsia" w:ascii="宋体" w:hAnsi="宋体" w:eastAsia="宋体" w:cs="宋体"/>
          <w:sz w:val="21"/>
          <w:szCs w:val="21"/>
        </w:rPr>
      </w:pPr>
    </w:p>
    <w:p w14:paraId="30EB311A">
      <w:pPr>
        <w:spacing w:after="0" w:line="263" w:lineRule="exact"/>
        <w:ind w:left="360"/>
        <w:rPr>
          <w:rFonts w:hint="eastAsia" w:ascii="宋体" w:hAnsi="宋体" w:eastAsia="宋体" w:cs="宋体"/>
          <w:sz w:val="21"/>
          <w:szCs w:val="21"/>
        </w:rPr>
      </w:pPr>
      <w:r>
        <w:rPr>
          <w:rFonts w:hint="eastAsia" w:ascii="宋体" w:hAnsi="宋体" w:eastAsia="宋体" w:cs="宋体"/>
          <w:sz w:val="21"/>
          <w:szCs w:val="21"/>
        </w:rPr>
        <w:t>权、专利权等知识产权方面的起诉；如果任何第三方提出侵权指控，那么乙方须</w:t>
      </w:r>
    </w:p>
    <w:p w14:paraId="42B055A2">
      <w:pPr>
        <w:spacing w:after="0" w:line="194" w:lineRule="exact"/>
        <w:rPr>
          <w:rFonts w:hint="eastAsia" w:ascii="宋体" w:hAnsi="宋体" w:eastAsia="宋体" w:cs="宋体"/>
          <w:sz w:val="21"/>
          <w:szCs w:val="21"/>
        </w:rPr>
      </w:pPr>
    </w:p>
    <w:p w14:paraId="66D3A7F0">
      <w:pPr>
        <w:spacing w:after="0" w:line="274" w:lineRule="exact"/>
        <w:ind w:left="360"/>
        <w:rPr>
          <w:rFonts w:hint="eastAsia" w:ascii="宋体" w:hAnsi="宋体" w:eastAsia="宋体" w:cs="宋体"/>
          <w:sz w:val="21"/>
          <w:szCs w:val="21"/>
        </w:rPr>
      </w:pPr>
      <w:r>
        <w:rPr>
          <w:rFonts w:hint="eastAsia" w:ascii="宋体" w:hAnsi="宋体" w:eastAsia="宋体" w:cs="宋体"/>
          <w:sz w:val="21"/>
          <w:szCs w:val="21"/>
        </w:rPr>
        <w:t>与该第三方交涉并承担由此发生的一切责任、费用和赔偿；</w:t>
      </w:r>
    </w:p>
    <w:p w14:paraId="2916EBA0">
      <w:pPr>
        <w:spacing w:after="0" w:line="206" w:lineRule="exact"/>
        <w:rPr>
          <w:rFonts w:hint="eastAsia" w:ascii="宋体" w:hAnsi="宋体" w:eastAsia="宋体" w:cs="宋体"/>
          <w:sz w:val="21"/>
          <w:szCs w:val="21"/>
        </w:rPr>
      </w:pPr>
    </w:p>
    <w:p w14:paraId="068BF811">
      <w:pPr>
        <w:spacing w:after="0" w:line="263" w:lineRule="exact"/>
        <w:ind w:left="800"/>
        <w:rPr>
          <w:rFonts w:hint="eastAsia" w:ascii="宋体" w:hAnsi="宋体" w:eastAsia="宋体" w:cs="宋体"/>
          <w:sz w:val="21"/>
          <w:szCs w:val="21"/>
        </w:rPr>
      </w:pPr>
      <w:r>
        <w:rPr>
          <w:rFonts w:hint="eastAsia" w:ascii="宋体" w:hAnsi="宋体" w:eastAsia="宋体" w:cs="宋体"/>
          <w:sz w:val="21"/>
          <w:szCs w:val="21"/>
        </w:rPr>
        <w:t>2.3.2 具有知识产权的计算机软件等货物的知识产权归属，详见</w:t>
      </w:r>
      <w:r>
        <w:rPr>
          <w:rFonts w:hint="eastAsia" w:ascii="宋体" w:hAnsi="宋体" w:eastAsia="宋体" w:cs="宋体"/>
          <w:b/>
          <w:bCs/>
          <w:sz w:val="21"/>
          <w:szCs w:val="21"/>
          <w:u w:val="single"/>
        </w:rPr>
        <w:t>合同专用条</w:t>
      </w:r>
    </w:p>
    <w:p w14:paraId="32E03503">
      <w:pPr>
        <w:spacing w:after="0" w:line="194" w:lineRule="exact"/>
        <w:rPr>
          <w:rFonts w:hint="eastAsia" w:ascii="宋体" w:hAnsi="宋体" w:eastAsia="宋体" w:cs="宋体"/>
          <w:sz w:val="21"/>
          <w:szCs w:val="21"/>
        </w:rPr>
      </w:pPr>
    </w:p>
    <w:p w14:paraId="265AAAD5">
      <w:pPr>
        <w:spacing w:after="0" w:line="274" w:lineRule="exact"/>
        <w:ind w:left="360"/>
        <w:rPr>
          <w:rFonts w:hint="eastAsia" w:ascii="宋体" w:hAnsi="宋体" w:eastAsia="宋体" w:cs="宋体"/>
          <w:sz w:val="21"/>
          <w:szCs w:val="21"/>
        </w:rPr>
      </w:pPr>
      <w:r>
        <w:rPr>
          <w:rFonts w:hint="eastAsia" w:ascii="宋体" w:hAnsi="宋体" w:eastAsia="宋体" w:cs="宋体"/>
          <w:b/>
          <w:bCs/>
          <w:sz w:val="21"/>
          <w:szCs w:val="21"/>
          <w:u w:val="single"/>
        </w:rPr>
        <w:t>款</w:t>
      </w:r>
      <w:r>
        <w:rPr>
          <w:rFonts w:hint="eastAsia" w:ascii="宋体" w:hAnsi="宋体" w:eastAsia="宋体" w:cs="宋体"/>
          <w:sz w:val="21"/>
          <w:szCs w:val="21"/>
        </w:rPr>
        <w:t>。</w:t>
      </w:r>
    </w:p>
    <w:p w14:paraId="47CD5483">
      <w:pPr>
        <w:spacing w:after="0" w:line="194" w:lineRule="exact"/>
        <w:rPr>
          <w:rFonts w:hint="eastAsia" w:ascii="宋体" w:hAnsi="宋体" w:eastAsia="宋体" w:cs="宋体"/>
          <w:sz w:val="21"/>
          <w:szCs w:val="21"/>
        </w:rPr>
      </w:pPr>
    </w:p>
    <w:p w14:paraId="5799306D">
      <w:pPr>
        <w:spacing w:after="0" w:line="274" w:lineRule="exact"/>
        <w:ind w:left="800"/>
        <w:rPr>
          <w:rFonts w:hint="eastAsia" w:ascii="宋体" w:hAnsi="宋体" w:eastAsia="宋体" w:cs="宋体"/>
          <w:sz w:val="21"/>
          <w:szCs w:val="21"/>
        </w:rPr>
      </w:pPr>
      <w:r>
        <w:rPr>
          <w:rFonts w:hint="eastAsia" w:ascii="宋体" w:hAnsi="宋体" w:eastAsia="宋体" w:cs="宋体"/>
          <w:b/>
          <w:bCs/>
          <w:sz w:val="21"/>
          <w:szCs w:val="21"/>
        </w:rPr>
        <w:t>2.4 履约检查和问题反馈</w:t>
      </w:r>
    </w:p>
    <w:p w14:paraId="48B78733">
      <w:pPr>
        <w:rPr>
          <w:rFonts w:hint="eastAsia" w:ascii="宋体" w:hAnsi="宋体" w:eastAsia="宋体" w:cs="宋体"/>
          <w:sz w:val="21"/>
          <w:szCs w:val="21"/>
        </w:rPr>
        <w:sectPr>
          <w:pgSz w:w="11900" w:h="16838"/>
          <w:pgMar w:top="851" w:right="1440" w:bottom="655" w:left="1440" w:header="0" w:footer="567" w:gutter="0"/>
          <w:pgNumType w:fmt="decimal"/>
          <w:cols w:equalWidth="0" w:num="1">
            <w:col w:w="9026"/>
          </w:cols>
        </w:sectPr>
      </w:pPr>
    </w:p>
    <w:p w14:paraId="2D2CC6BD">
      <w:pPr>
        <w:tabs>
          <w:tab w:val="left" w:pos="3396"/>
        </w:tabs>
        <w:spacing w:after="0" w:line="200" w:lineRule="exact"/>
        <w:rPr>
          <w:rFonts w:hint="eastAsia" w:ascii="宋体" w:hAnsi="宋体" w:eastAsia="宋体" w:cs="宋体"/>
          <w:sz w:val="21"/>
          <w:szCs w:val="21"/>
          <w:lang w:eastAsia="zh-CN"/>
        </w:rPr>
      </w:pPr>
      <w:bookmarkStart w:id="196" w:name="page2_1"/>
      <w:bookmarkEnd w:id="196"/>
    </w:p>
    <w:p w14:paraId="59D667E4">
      <w:pPr>
        <w:spacing w:after="0" w:line="241" w:lineRule="exact"/>
        <w:rPr>
          <w:rFonts w:hint="eastAsia" w:ascii="宋体" w:hAnsi="宋体" w:eastAsia="宋体" w:cs="宋体"/>
          <w:sz w:val="21"/>
          <w:szCs w:val="21"/>
        </w:rPr>
      </w:pPr>
    </w:p>
    <w:p w14:paraId="36F81653">
      <w:pPr>
        <w:spacing w:after="0" w:line="274" w:lineRule="exact"/>
        <w:ind w:left="800"/>
        <w:rPr>
          <w:rFonts w:hint="eastAsia" w:ascii="宋体" w:hAnsi="宋体" w:eastAsia="宋体" w:cs="宋体"/>
          <w:sz w:val="21"/>
          <w:szCs w:val="21"/>
        </w:rPr>
      </w:pPr>
      <w:r>
        <w:rPr>
          <w:rFonts w:hint="eastAsia" w:ascii="宋体" w:hAnsi="宋体" w:eastAsia="宋体" w:cs="宋体"/>
          <w:sz w:val="21"/>
          <w:szCs w:val="21"/>
        </w:rPr>
        <w:t>2.4.1 甲方有权在其认为必要时，对乙方是否能够按照合同约定提供服务进</w:t>
      </w:r>
    </w:p>
    <w:p w14:paraId="7BE42725">
      <w:pPr>
        <w:spacing w:after="0" w:line="194" w:lineRule="exact"/>
        <w:rPr>
          <w:rFonts w:hint="eastAsia" w:ascii="宋体" w:hAnsi="宋体" w:eastAsia="宋体" w:cs="宋体"/>
          <w:sz w:val="21"/>
          <w:szCs w:val="21"/>
        </w:rPr>
      </w:pPr>
    </w:p>
    <w:p w14:paraId="10539952">
      <w:pPr>
        <w:spacing w:after="0" w:line="274" w:lineRule="exact"/>
        <w:ind w:left="360"/>
        <w:rPr>
          <w:rFonts w:hint="eastAsia" w:ascii="宋体" w:hAnsi="宋体" w:eastAsia="宋体" w:cs="宋体"/>
          <w:sz w:val="21"/>
          <w:szCs w:val="21"/>
        </w:rPr>
      </w:pPr>
      <w:r>
        <w:rPr>
          <w:rFonts w:hint="eastAsia" w:ascii="宋体" w:hAnsi="宋体" w:eastAsia="宋体" w:cs="宋体"/>
          <w:sz w:val="21"/>
          <w:szCs w:val="21"/>
        </w:rPr>
        <w:t>行履约检查，以确保乙方所提供的服务能够依约满足甲方项目需求，但不得因履</w:t>
      </w:r>
    </w:p>
    <w:p w14:paraId="7416F118">
      <w:pPr>
        <w:spacing w:after="0" w:line="194" w:lineRule="exact"/>
        <w:rPr>
          <w:rFonts w:hint="eastAsia" w:ascii="宋体" w:hAnsi="宋体" w:eastAsia="宋体" w:cs="宋体"/>
          <w:sz w:val="21"/>
          <w:szCs w:val="21"/>
        </w:rPr>
      </w:pPr>
    </w:p>
    <w:p w14:paraId="126F8ED0">
      <w:pPr>
        <w:spacing w:after="0" w:line="274" w:lineRule="exact"/>
        <w:ind w:left="360"/>
        <w:rPr>
          <w:rFonts w:hint="eastAsia" w:ascii="宋体" w:hAnsi="宋体" w:eastAsia="宋体" w:cs="宋体"/>
          <w:sz w:val="21"/>
          <w:szCs w:val="21"/>
        </w:rPr>
      </w:pPr>
      <w:r>
        <w:rPr>
          <w:rFonts w:hint="eastAsia" w:ascii="宋体" w:hAnsi="宋体" w:eastAsia="宋体" w:cs="宋体"/>
          <w:sz w:val="21"/>
          <w:szCs w:val="21"/>
        </w:rPr>
        <w:t>约检查妨碍乙方的正常工作，乙方应予积极配合；</w:t>
      </w:r>
    </w:p>
    <w:p w14:paraId="44C30ACB">
      <w:pPr>
        <w:spacing w:after="0" w:line="194" w:lineRule="exact"/>
        <w:rPr>
          <w:rFonts w:hint="eastAsia" w:ascii="宋体" w:hAnsi="宋体" w:eastAsia="宋体" w:cs="宋体"/>
          <w:sz w:val="21"/>
          <w:szCs w:val="21"/>
        </w:rPr>
      </w:pPr>
    </w:p>
    <w:p w14:paraId="628FAF34">
      <w:pPr>
        <w:spacing w:after="0" w:line="274" w:lineRule="exact"/>
        <w:ind w:left="800"/>
        <w:rPr>
          <w:rFonts w:hint="eastAsia" w:ascii="宋体" w:hAnsi="宋体" w:eastAsia="宋体" w:cs="宋体"/>
          <w:sz w:val="21"/>
          <w:szCs w:val="21"/>
        </w:rPr>
      </w:pPr>
      <w:r>
        <w:rPr>
          <w:rFonts w:hint="eastAsia" w:ascii="宋体" w:hAnsi="宋体" w:eastAsia="宋体" w:cs="宋体"/>
          <w:sz w:val="21"/>
          <w:szCs w:val="21"/>
        </w:rPr>
        <w:t>2.4.2 合同履行期间，甲方有权将履行过程中出现的问题反馈给乙方，双方</w:t>
      </w:r>
    </w:p>
    <w:p w14:paraId="0AB578D0">
      <w:pPr>
        <w:spacing w:after="0" w:line="194" w:lineRule="exact"/>
        <w:rPr>
          <w:rFonts w:hint="eastAsia" w:ascii="宋体" w:hAnsi="宋体" w:eastAsia="宋体" w:cs="宋体"/>
          <w:sz w:val="21"/>
          <w:szCs w:val="21"/>
        </w:rPr>
      </w:pPr>
    </w:p>
    <w:p w14:paraId="25C15DA4">
      <w:pPr>
        <w:spacing w:after="0" w:line="274" w:lineRule="exact"/>
        <w:ind w:left="360"/>
        <w:rPr>
          <w:rFonts w:hint="eastAsia" w:ascii="宋体" w:hAnsi="宋体" w:eastAsia="宋体" w:cs="宋体"/>
          <w:sz w:val="21"/>
          <w:szCs w:val="21"/>
        </w:rPr>
      </w:pPr>
      <w:r>
        <w:rPr>
          <w:rFonts w:hint="eastAsia" w:ascii="宋体" w:hAnsi="宋体" w:eastAsia="宋体" w:cs="宋体"/>
          <w:sz w:val="21"/>
          <w:szCs w:val="21"/>
        </w:rPr>
        <w:t>当事人应以书面形式约定需要完善和改进的内容。</w:t>
      </w:r>
    </w:p>
    <w:p w14:paraId="11FFACC0">
      <w:pPr>
        <w:spacing w:after="0" w:line="194" w:lineRule="exact"/>
        <w:rPr>
          <w:rFonts w:hint="eastAsia" w:ascii="宋体" w:hAnsi="宋体" w:eastAsia="宋体" w:cs="宋体"/>
          <w:sz w:val="21"/>
          <w:szCs w:val="21"/>
        </w:rPr>
      </w:pPr>
    </w:p>
    <w:p w14:paraId="11E31056">
      <w:pPr>
        <w:spacing w:after="0" w:line="274" w:lineRule="exact"/>
        <w:ind w:left="800"/>
        <w:rPr>
          <w:rFonts w:hint="eastAsia" w:ascii="宋体" w:hAnsi="宋体" w:eastAsia="宋体" w:cs="宋体"/>
          <w:sz w:val="21"/>
          <w:szCs w:val="21"/>
        </w:rPr>
      </w:pPr>
      <w:r>
        <w:rPr>
          <w:rFonts w:hint="eastAsia" w:ascii="宋体" w:hAnsi="宋体" w:eastAsia="宋体" w:cs="宋体"/>
          <w:b/>
          <w:bCs/>
          <w:sz w:val="21"/>
          <w:szCs w:val="21"/>
        </w:rPr>
        <w:t>2.5 结算方式和付款条件</w:t>
      </w:r>
    </w:p>
    <w:p w14:paraId="089C9D34">
      <w:pPr>
        <w:spacing w:after="0" w:line="194" w:lineRule="exact"/>
        <w:rPr>
          <w:rFonts w:hint="eastAsia" w:ascii="宋体" w:hAnsi="宋体" w:eastAsia="宋体" w:cs="宋体"/>
          <w:sz w:val="21"/>
          <w:szCs w:val="21"/>
        </w:rPr>
      </w:pPr>
    </w:p>
    <w:p w14:paraId="3AFBE373">
      <w:pPr>
        <w:spacing w:after="0" w:line="274" w:lineRule="exact"/>
        <w:ind w:left="800"/>
        <w:rPr>
          <w:rFonts w:hint="eastAsia" w:ascii="宋体" w:hAnsi="宋体" w:eastAsia="宋体" w:cs="宋体"/>
          <w:sz w:val="21"/>
          <w:szCs w:val="21"/>
        </w:rPr>
      </w:pPr>
      <w:r>
        <w:rPr>
          <w:rFonts w:hint="eastAsia" w:ascii="宋体" w:hAnsi="宋体" w:eastAsia="宋体" w:cs="宋体"/>
          <w:sz w:val="21"/>
          <w:szCs w:val="21"/>
        </w:rPr>
        <w:t>详见</w:t>
      </w:r>
      <w:r>
        <w:rPr>
          <w:rFonts w:hint="eastAsia" w:ascii="宋体" w:hAnsi="宋体" w:eastAsia="宋体" w:cs="宋体"/>
          <w:b/>
          <w:bCs/>
          <w:sz w:val="21"/>
          <w:szCs w:val="21"/>
          <w:u w:val="single"/>
        </w:rPr>
        <w:t>合同专用条款</w:t>
      </w:r>
      <w:r>
        <w:rPr>
          <w:rFonts w:hint="eastAsia" w:ascii="宋体" w:hAnsi="宋体" w:eastAsia="宋体" w:cs="宋体"/>
          <w:sz w:val="21"/>
          <w:szCs w:val="21"/>
        </w:rPr>
        <w:t>。</w:t>
      </w:r>
    </w:p>
    <w:p w14:paraId="6123D906">
      <w:pPr>
        <w:spacing w:after="0" w:line="194" w:lineRule="exact"/>
        <w:rPr>
          <w:rFonts w:hint="eastAsia" w:ascii="宋体" w:hAnsi="宋体" w:eastAsia="宋体" w:cs="宋体"/>
          <w:sz w:val="21"/>
          <w:szCs w:val="21"/>
        </w:rPr>
      </w:pPr>
    </w:p>
    <w:p w14:paraId="5DE92F7D">
      <w:pPr>
        <w:spacing w:after="0" w:line="274" w:lineRule="exact"/>
        <w:ind w:left="800"/>
        <w:rPr>
          <w:rFonts w:hint="eastAsia" w:ascii="宋体" w:hAnsi="宋体" w:eastAsia="宋体" w:cs="宋体"/>
          <w:sz w:val="21"/>
          <w:szCs w:val="21"/>
        </w:rPr>
      </w:pPr>
      <w:r>
        <w:rPr>
          <w:rFonts w:hint="eastAsia" w:ascii="宋体" w:hAnsi="宋体" w:eastAsia="宋体" w:cs="宋体"/>
          <w:b/>
          <w:bCs/>
          <w:sz w:val="21"/>
          <w:szCs w:val="21"/>
        </w:rPr>
        <w:t>2.6 技术资料和保密义务</w:t>
      </w:r>
    </w:p>
    <w:p w14:paraId="2D2B5238">
      <w:pPr>
        <w:spacing w:after="0" w:line="194" w:lineRule="exact"/>
        <w:rPr>
          <w:rFonts w:hint="eastAsia" w:ascii="宋体" w:hAnsi="宋体" w:eastAsia="宋体" w:cs="宋体"/>
          <w:sz w:val="21"/>
          <w:szCs w:val="21"/>
        </w:rPr>
      </w:pPr>
    </w:p>
    <w:p w14:paraId="46E4719E">
      <w:pPr>
        <w:spacing w:after="0" w:line="274" w:lineRule="exact"/>
        <w:ind w:left="800"/>
        <w:rPr>
          <w:rFonts w:hint="eastAsia" w:ascii="宋体" w:hAnsi="宋体" w:eastAsia="宋体" w:cs="宋体"/>
          <w:sz w:val="21"/>
          <w:szCs w:val="21"/>
        </w:rPr>
      </w:pPr>
      <w:r>
        <w:rPr>
          <w:rFonts w:hint="eastAsia" w:ascii="宋体" w:hAnsi="宋体" w:eastAsia="宋体" w:cs="宋体"/>
          <w:sz w:val="21"/>
          <w:szCs w:val="21"/>
        </w:rPr>
        <w:t>2.6.1 乙方有权依据合同约定和项目需要，向甲方了解有关情况，调阅有关</w:t>
      </w:r>
    </w:p>
    <w:p w14:paraId="64CD6458">
      <w:pPr>
        <w:spacing w:after="0" w:line="194" w:lineRule="exact"/>
        <w:rPr>
          <w:rFonts w:hint="eastAsia" w:ascii="宋体" w:hAnsi="宋体" w:eastAsia="宋体" w:cs="宋体"/>
          <w:sz w:val="21"/>
          <w:szCs w:val="21"/>
        </w:rPr>
      </w:pPr>
    </w:p>
    <w:p w14:paraId="5E202032">
      <w:pPr>
        <w:spacing w:after="0" w:line="274" w:lineRule="exact"/>
        <w:ind w:left="360"/>
        <w:rPr>
          <w:rFonts w:hint="eastAsia" w:ascii="宋体" w:hAnsi="宋体" w:eastAsia="宋体" w:cs="宋体"/>
          <w:sz w:val="21"/>
          <w:szCs w:val="21"/>
        </w:rPr>
      </w:pPr>
      <w:r>
        <w:rPr>
          <w:rFonts w:hint="eastAsia" w:ascii="宋体" w:hAnsi="宋体" w:eastAsia="宋体" w:cs="宋体"/>
          <w:sz w:val="21"/>
          <w:szCs w:val="21"/>
        </w:rPr>
        <w:t>资料等，甲方应予积极配合；</w:t>
      </w:r>
    </w:p>
    <w:p w14:paraId="56F3AC6F">
      <w:pPr>
        <w:spacing w:after="0" w:line="194" w:lineRule="exact"/>
        <w:rPr>
          <w:rFonts w:hint="eastAsia" w:ascii="宋体" w:hAnsi="宋体" w:eastAsia="宋体" w:cs="宋体"/>
          <w:sz w:val="21"/>
          <w:szCs w:val="21"/>
        </w:rPr>
      </w:pPr>
    </w:p>
    <w:p w14:paraId="64EFD054">
      <w:pPr>
        <w:spacing w:after="0" w:line="274" w:lineRule="exact"/>
        <w:ind w:left="800"/>
        <w:rPr>
          <w:rFonts w:hint="eastAsia" w:ascii="宋体" w:hAnsi="宋体" w:eastAsia="宋体" w:cs="宋体"/>
          <w:sz w:val="21"/>
          <w:szCs w:val="21"/>
        </w:rPr>
      </w:pPr>
      <w:r>
        <w:rPr>
          <w:rFonts w:hint="eastAsia" w:ascii="宋体" w:hAnsi="宋体" w:eastAsia="宋体" w:cs="宋体"/>
          <w:sz w:val="21"/>
          <w:szCs w:val="21"/>
        </w:rPr>
        <w:t>2.6.2 乙方有义务妥善保管和保护由甲方提供的前款信息和资料等；</w:t>
      </w:r>
    </w:p>
    <w:p w14:paraId="05A23B16">
      <w:pPr>
        <w:spacing w:after="0" w:line="194" w:lineRule="exact"/>
        <w:rPr>
          <w:rFonts w:hint="eastAsia" w:ascii="宋体" w:hAnsi="宋体" w:eastAsia="宋体" w:cs="宋体"/>
          <w:sz w:val="21"/>
          <w:szCs w:val="21"/>
        </w:rPr>
      </w:pPr>
    </w:p>
    <w:p w14:paraId="12D4BCF5">
      <w:pPr>
        <w:spacing w:after="0" w:line="360" w:lineRule="auto"/>
        <w:ind w:left="800"/>
        <w:rPr>
          <w:rFonts w:hint="eastAsia" w:ascii="宋体" w:hAnsi="宋体" w:eastAsia="宋体" w:cs="宋体"/>
          <w:sz w:val="21"/>
          <w:szCs w:val="21"/>
        </w:rPr>
      </w:pPr>
      <w:r>
        <w:rPr>
          <w:rFonts w:hint="eastAsia" w:ascii="宋体" w:hAnsi="宋体" w:eastAsia="宋体" w:cs="宋体"/>
          <w:sz w:val="21"/>
          <w:szCs w:val="21"/>
        </w:rPr>
        <w:t>2.6.3 除非依照法律规定或者对方当事人的书面同意，任何一方均应保证不向</w:t>
      </w:r>
    </w:p>
    <w:p w14:paraId="7B53A17B">
      <w:pPr>
        <w:spacing w:after="0" w:line="360" w:lineRule="auto"/>
        <w:ind w:left="420" w:leftChars="200" w:firstLine="0" w:firstLineChars="0"/>
        <w:rPr>
          <w:rFonts w:hint="eastAsia" w:ascii="宋体" w:hAnsi="宋体" w:eastAsia="宋体" w:cs="宋体"/>
          <w:sz w:val="21"/>
          <w:szCs w:val="21"/>
        </w:rPr>
      </w:pPr>
      <w:r>
        <w:rPr>
          <w:rFonts w:hint="eastAsia" w:ascii="宋体" w:hAnsi="宋体" w:eastAsia="宋体" w:cs="宋体"/>
          <w:sz w:val="21"/>
          <w:szCs w:val="21"/>
        </w:rPr>
        <w:t>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67B82807">
      <w:pPr>
        <w:spacing w:after="0" w:line="194" w:lineRule="exact"/>
        <w:rPr>
          <w:rFonts w:hint="eastAsia" w:ascii="宋体" w:hAnsi="宋体" w:eastAsia="宋体" w:cs="宋体"/>
          <w:sz w:val="21"/>
          <w:szCs w:val="21"/>
        </w:rPr>
      </w:pPr>
    </w:p>
    <w:p w14:paraId="05787D99">
      <w:pPr>
        <w:spacing w:after="0" w:line="274" w:lineRule="exact"/>
        <w:ind w:left="800"/>
        <w:rPr>
          <w:rFonts w:hint="eastAsia" w:ascii="宋体" w:hAnsi="宋体" w:eastAsia="宋体" w:cs="宋体"/>
          <w:sz w:val="21"/>
          <w:szCs w:val="21"/>
        </w:rPr>
      </w:pPr>
      <w:r>
        <w:rPr>
          <w:rFonts w:hint="eastAsia" w:ascii="宋体" w:hAnsi="宋体" w:eastAsia="宋体" w:cs="宋体"/>
          <w:b/>
          <w:bCs/>
          <w:sz w:val="21"/>
          <w:szCs w:val="21"/>
        </w:rPr>
        <w:t>2.7 质量保证</w:t>
      </w:r>
    </w:p>
    <w:p w14:paraId="6C5A6C6B">
      <w:pPr>
        <w:spacing w:after="0" w:line="194" w:lineRule="exact"/>
        <w:rPr>
          <w:rFonts w:hint="eastAsia" w:ascii="宋体" w:hAnsi="宋体" w:eastAsia="宋体" w:cs="宋体"/>
          <w:sz w:val="21"/>
          <w:szCs w:val="21"/>
        </w:rPr>
      </w:pPr>
    </w:p>
    <w:p w14:paraId="39762916">
      <w:pPr>
        <w:spacing w:after="0" w:line="274" w:lineRule="exact"/>
        <w:ind w:left="800"/>
        <w:rPr>
          <w:rFonts w:hint="eastAsia" w:ascii="宋体" w:hAnsi="宋体" w:eastAsia="宋体" w:cs="宋体"/>
          <w:sz w:val="21"/>
          <w:szCs w:val="21"/>
        </w:rPr>
      </w:pPr>
      <w:r>
        <w:rPr>
          <w:rFonts w:hint="eastAsia" w:ascii="宋体" w:hAnsi="宋体" w:eastAsia="宋体" w:cs="宋体"/>
          <w:sz w:val="21"/>
          <w:szCs w:val="21"/>
        </w:rPr>
        <w:t>2.7.1 乙方应建立和完善履行合同的内部质量保证体系，并提供相关内部规</w:t>
      </w:r>
    </w:p>
    <w:p w14:paraId="1E3BBCB8">
      <w:pPr>
        <w:spacing w:after="0" w:line="194" w:lineRule="exact"/>
        <w:rPr>
          <w:rFonts w:hint="eastAsia" w:ascii="宋体" w:hAnsi="宋体" w:eastAsia="宋体" w:cs="宋体"/>
          <w:sz w:val="21"/>
          <w:szCs w:val="21"/>
        </w:rPr>
      </w:pPr>
    </w:p>
    <w:p w14:paraId="417338AA">
      <w:pPr>
        <w:spacing w:after="0" w:line="274" w:lineRule="exact"/>
        <w:ind w:left="360"/>
        <w:rPr>
          <w:rFonts w:hint="eastAsia" w:ascii="宋体" w:hAnsi="宋体" w:eastAsia="宋体" w:cs="宋体"/>
          <w:sz w:val="21"/>
          <w:szCs w:val="21"/>
        </w:rPr>
      </w:pPr>
      <w:r>
        <w:rPr>
          <w:rFonts w:hint="eastAsia" w:ascii="宋体" w:hAnsi="宋体" w:eastAsia="宋体" w:cs="宋体"/>
          <w:sz w:val="21"/>
          <w:szCs w:val="21"/>
        </w:rPr>
        <w:t>章制度给甲方，以便甲方进行监督检查；</w:t>
      </w:r>
    </w:p>
    <w:p w14:paraId="52CBD2E7">
      <w:pPr>
        <w:spacing w:after="0" w:line="194" w:lineRule="exact"/>
        <w:rPr>
          <w:rFonts w:hint="eastAsia" w:ascii="宋体" w:hAnsi="宋体" w:eastAsia="宋体" w:cs="宋体"/>
          <w:sz w:val="21"/>
          <w:szCs w:val="21"/>
        </w:rPr>
      </w:pPr>
    </w:p>
    <w:p w14:paraId="3FA2CFD9">
      <w:pPr>
        <w:spacing w:after="0" w:line="274" w:lineRule="exact"/>
        <w:ind w:left="800"/>
        <w:rPr>
          <w:rFonts w:hint="eastAsia" w:ascii="宋体" w:hAnsi="宋体" w:eastAsia="宋体" w:cs="宋体"/>
          <w:sz w:val="21"/>
          <w:szCs w:val="21"/>
        </w:rPr>
      </w:pPr>
      <w:r>
        <w:rPr>
          <w:rFonts w:hint="eastAsia" w:ascii="宋体" w:hAnsi="宋体" w:eastAsia="宋体" w:cs="宋体"/>
          <w:sz w:val="21"/>
          <w:szCs w:val="21"/>
        </w:rPr>
        <w:t>2.7.2 乙方应保证履行合同的人员数量和素质、软件和硬件设备的配置、场</w:t>
      </w:r>
    </w:p>
    <w:p w14:paraId="3620A351">
      <w:pPr>
        <w:spacing w:after="0" w:line="194" w:lineRule="exact"/>
        <w:rPr>
          <w:rFonts w:hint="eastAsia" w:ascii="宋体" w:hAnsi="宋体" w:eastAsia="宋体" w:cs="宋体"/>
          <w:sz w:val="21"/>
          <w:szCs w:val="21"/>
        </w:rPr>
      </w:pPr>
    </w:p>
    <w:p w14:paraId="349ECD90">
      <w:pPr>
        <w:spacing w:after="0" w:line="274" w:lineRule="exact"/>
        <w:ind w:left="360"/>
        <w:rPr>
          <w:rFonts w:hint="eastAsia" w:ascii="宋体" w:hAnsi="宋体" w:eastAsia="宋体" w:cs="宋体"/>
          <w:sz w:val="21"/>
          <w:szCs w:val="21"/>
        </w:rPr>
      </w:pPr>
      <w:r>
        <w:rPr>
          <w:rFonts w:hint="eastAsia" w:ascii="宋体" w:hAnsi="宋体" w:eastAsia="宋体" w:cs="宋体"/>
          <w:sz w:val="21"/>
          <w:szCs w:val="21"/>
        </w:rPr>
        <w:t>地、环境和设施等满足全面履行合同的要求，并应接受甲方的监督检查。</w:t>
      </w:r>
    </w:p>
    <w:p w14:paraId="327C04D0">
      <w:pPr>
        <w:spacing w:after="0" w:line="194" w:lineRule="exact"/>
        <w:rPr>
          <w:rFonts w:hint="eastAsia" w:ascii="宋体" w:hAnsi="宋体" w:eastAsia="宋体" w:cs="宋体"/>
          <w:sz w:val="21"/>
          <w:szCs w:val="21"/>
        </w:rPr>
      </w:pPr>
    </w:p>
    <w:p w14:paraId="49FDAE6D">
      <w:pPr>
        <w:spacing w:after="0" w:line="274" w:lineRule="exact"/>
        <w:ind w:left="800"/>
        <w:rPr>
          <w:rFonts w:hint="eastAsia" w:ascii="宋体" w:hAnsi="宋体" w:eastAsia="宋体" w:cs="宋体"/>
          <w:sz w:val="21"/>
          <w:szCs w:val="21"/>
        </w:rPr>
      </w:pPr>
      <w:r>
        <w:rPr>
          <w:rFonts w:hint="eastAsia" w:ascii="宋体" w:hAnsi="宋体" w:eastAsia="宋体" w:cs="宋体"/>
          <w:b/>
          <w:bCs/>
          <w:sz w:val="21"/>
          <w:szCs w:val="21"/>
        </w:rPr>
        <w:t>2.8 延迟履行</w:t>
      </w:r>
    </w:p>
    <w:p w14:paraId="1BC6875E">
      <w:pPr>
        <w:spacing w:after="0" w:line="194" w:lineRule="exact"/>
        <w:rPr>
          <w:rFonts w:hint="eastAsia" w:ascii="宋体" w:hAnsi="宋体" w:eastAsia="宋体" w:cs="宋体"/>
          <w:sz w:val="21"/>
          <w:szCs w:val="21"/>
        </w:rPr>
      </w:pPr>
    </w:p>
    <w:p w14:paraId="2EFAD7E7">
      <w:pPr>
        <w:spacing w:after="0" w:line="360" w:lineRule="auto"/>
        <w:ind w:left="800"/>
        <w:rPr>
          <w:rFonts w:hint="eastAsia" w:ascii="宋体" w:hAnsi="宋体" w:eastAsia="宋体" w:cs="宋体"/>
          <w:sz w:val="21"/>
          <w:szCs w:val="21"/>
        </w:rPr>
      </w:pPr>
      <w:r>
        <w:rPr>
          <w:rFonts w:hint="eastAsia" w:ascii="宋体" w:hAnsi="宋体" w:eastAsia="宋体" w:cs="宋体"/>
          <w:sz w:val="21"/>
          <w:szCs w:val="21"/>
        </w:rPr>
        <w:t>在合同履行过程中，如果乙方遇到不能按时提供服务的情况，应及时以书面形</w:t>
      </w:r>
    </w:p>
    <w:p w14:paraId="31C619F3">
      <w:pPr>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式将不能按时提供服务的理由、预期延误时间通知甲方；甲方收到乙方通知后，认</w:t>
      </w:r>
    </w:p>
    <w:p w14:paraId="436B0D74">
      <w:pPr>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为其理由正当的，可以书面形式酌情同意乙方可以延长履行的具体时间。</w:t>
      </w:r>
    </w:p>
    <w:p w14:paraId="305186C9">
      <w:pPr>
        <w:spacing w:after="0" w:line="194" w:lineRule="exact"/>
        <w:rPr>
          <w:rFonts w:hint="eastAsia" w:ascii="宋体" w:hAnsi="宋体" w:eastAsia="宋体" w:cs="宋体"/>
          <w:sz w:val="21"/>
          <w:szCs w:val="21"/>
        </w:rPr>
      </w:pPr>
    </w:p>
    <w:p w14:paraId="596AF719">
      <w:pPr>
        <w:spacing w:after="0" w:line="274" w:lineRule="exact"/>
        <w:ind w:left="800"/>
        <w:rPr>
          <w:rFonts w:hint="eastAsia" w:ascii="宋体" w:hAnsi="宋体" w:eastAsia="宋体" w:cs="宋体"/>
          <w:sz w:val="21"/>
          <w:szCs w:val="21"/>
        </w:rPr>
      </w:pPr>
      <w:r>
        <w:rPr>
          <w:rFonts w:hint="eastAsia" w:ascii="宋体" w:hAnsi="宋体" w:eastAsia="宋体" w:cs="宋体"/>
          <w:b/>
          <w:bCs/>
          <w:sz w:val="21"/>
          <w:szCs w:val="21"/>
        </w:rPr>
        <w:t>2.9 合同变更</w:t>
      </w:r>
    </w:p>
    <w:p w14:paraId="055146F0">
      <w:pPr>
        <w:spacing w:after="0" w:line="194" w:lineRule="exact"/>
        <w:rPr>
          <w:rFonts w:hint="eastAsia" w:ascii="宋体" w:hAnsi="宋体" w:eastAsia="宋体" w:cs="宋体"/>
          <w:sz w:val="21"/>
          <w:szCs w:val="21"/>
        </w:rPr>
      </w:pPr>
    </w:p>
    <w:p w14:paraId="15E21A15">
      <w:pPr>
        <w:spacing w:after="0" w:line="274" w:lineRule="exact"/>
        <w:ind w:left="800"/>
        <w:rPr>
          <w:rFonts w:hint="eastAsia" w:ascii="宋体" w:hAnsi="宋体" w:eastAsia="宋体" w:cs="宋体"/>
          <w:sz w:val="21"/>
          <w:szCs w:val="21"/>
        </w:rPr>
      </w:pPr>
      <w:r>
        <w:rPr>
          <w:rFonts w:hint="eastAsia" w:ascii="宋体" w:hAnsi="宋体" w:eastAsia="宋体" w:cs="宋体"/>
          <w:sz w:val="21"/>
          <w:szCs w:val="21"/>
        </w:rPr>
        <w:t>2.9.1 双方当事人协商一致，可以签订书面补充合同的形式变更合同，但不</w:t>
      </w:r>
    </w:p>
    <w:p w14:paraId="2B8D0F33">
      <w:pPr>
        <w:spacing w:after="0" w:line="194" w:lineRule="exact"/>
        <w:rPr>
          <w:rFonts w:hint="eastAsia" w:ascii="宋体" w:hAnsi="宋体" w:eastAsia="宋体" w:cs="宋体"/>
          <w:sz w:val="21"/>
          <w:szCs w:val="21"/>
        </w:rPr>
      </w:pPr>
    </w:p>
    <w:p w14:paraId="45B093B0">
      <w:pPr>
        <w:spacing w:after="0" w:line="274" w:lineRule="exact"/>
        <w:ind w:left="360"/>
        <w:rPr>
          <w:rFonts w:hint="eastAsia" w:ascii="宋体" w:hAnsi="宋体" w:eastAsia="宋体" w:cs="宋体"/>
          <w:sz w:val="21"/>
          <w:szCs w:val="21"/>
        </w:rPr>
      </w:pPr>
      <w:r>
        <w:rPr>
          <w:rFonts w:hint="eastAsia" w:ascii="宋体" w:hAnsi="宋体" w:eastAsia="宋体" w:cs="宋体"/>
          <w:sz w:val="21"/>
          <w:szCs w:val="21"/>
        </w:rPr>
        <w:t>得违背采购文件确定的事项；</w:t>
      </w:r>
    </w:p>
    <w:p w14:paraId="205976A3">
      <w:pPr>
        <w:spacing w:after="0" w:line="194" w:lineRule="exact"/>
        <w:rPr>
          <w:rFonts w:hint="eastAsia" w:ascii="宋体" w:hAnsi="宋体" w:eastAsia="宋体" w:cs="宋体"/>
          <w:sz w:val="21"/>
          <w:szCs w:val="21"/>
        </w:rPr>
      </w:pPr>
    </w:p>
    <w:p w14:paraId="735FB57B">
      <w:pPr>
        <w:spacing w:after="0" w:line="274" w:lineRule="exact"/>
        <w:ind w:left="800"/>
        <w:rPr>
          <w:rFonts w:hint="eastAsia" w:ascii="宋体" w:hAnsi="宋体" w:eastAsia="宋体" w:cs="宋体"/>
          <w:sz w:val="21"/>
          <w:szCs w:val="21"/>
        </w:rPr>
      </w:pPr>
      <w:r>
        <w:rPr>
          <w:rFonts w:hint="eastAsia" w:ascii="宋体" w:hAnsi="宋体" w:eastAsia="宋体" w:cs="宋体"/>
          <w:sz w:val="21"/>
          <w:szCs w:val="21"/>
        </w:rPr>
        <w:t>2.9.2 合同继续履行将损害国家利益和社会公共利益的，双方当事人应当以</w:t>
      </w:r>
    </w:p>
    <w:p w14:paraId="78813678">
      <w:pPr>
        <w:rPr>
          <w:rFonts w:hint="eastAsia" w:ascii="宋体" w:hAnsi="宋体" w:eastAsia="宋体" w:cs="宋体"/>
          <w:sz w:val="21"/>
          <w:szCs w:val="21"/>
        </w:rPr>
        <w:sectPr>
          <w:pgSz w:w="11900" w:h="16838"/>
          <w:pgMar w:top="851" w:right="1440" w:bottom="655" w:left="1440" w:header="0" w:footer="567" w:gutter="0"/>
          <w:pgNumType w:fmt="decimal"/>
          <w:cols w:equalWidth="0" w:num="1">
            <w:col w:w="9026"/>
          </w:cols>
        </w:sectPr>
      </w:pPr>
    </w:p>
    <w:p w14:paraId="3CBE9370">
      <w:pPr>
        <w:spacing w:after="0" w:line="200" w:lineRule="exact"/>
        <w:rPr>
          <w:rFonts w:hint="eastAsia" w:ascii="宋体" w:hAnsi="宋体" w:eastAsia="宋体" w:cs="宋体"/>
          <w:sz w:val="21"/>
          <w:szCs w:val="21"/>
        </w:rPr>
      </w:pPr>
    </w:p>
    <w:p w14:paraId="156025F0">
      <w:pPr>
        <w:spacing w:after="0" w:line="263" w:lineRule="exact"/>
        <w:ind w:left="0" w:firstLine="420" w:firstLineChars="200"/>
        <w:rPr>
          <w:rFonts w:hint="eastAsia" w:ascii="宋体" w:hAnsi="宋体" w:eastAsia="宋体" w:cs="宋体"/>
          <w:sz w:val="21"/>
          <w:szCs w:val="21"/>
        </w:rPr>
      </w:pPr>
      <w:bookmarkStart w:id="197" w:name="page1_2"/>
      <w:bookmarkEnd w:id="197"/>
      <w:r>
        <w:rPr>
          <w:rFonts w:hint="eastAsia" w:ascii="宋体" w:hAnsi="宋体" w:eastAsia="宋体" w:cs="宋体"/>
          <w:sz w:val="21"/>
          <w:szCs w:val="21"/>
        </w:rPr>
        <w:t>书面形式变更合同。有过错的一方应当承担赔偿责任，双方当事人都有过错的，</w:t>
      </w:r>
    </w:p>
    <w:p w14:paraId="18A502FC">
      <w:pPr>
        <w:spacing w:after="0" w:line="194" w:lineRule="exact"/>
        <w:rPr>
          <w:rFonts w:hint="eastAsia" w:ascii="宋体" w:hAnsi="宋体" w:eastAsia="宋体" w:cs="宋体"/>
          <w:sz w:val="21"/>
          <w:szCs w:val="21"/>
        </w:rPr>
      </w:pPr>
    </w:p>
    <w:p w14:paraId="22436364">
      <w:pPr>
        <w:spacing w:after="0" w:line="274" w:lineRule="exact"/>
        <w:ind w:left="360"/>
        <w:rPr>
          <w:rFonts w:hint="eastAsia" w:ascii="宋体" w:hAnsi="宋体" w:eastAsia="宋体" w:cs="宋体"/>
          <w:sz w:val="21"/>
          <w:szCs w:val="21"/>
        </w:rPr>
      </w:pPr>
      <w:r>
        <w:rPr>
          <w:rFonts w:hint="eastAsia" w:ascii="宋体" w:hAnsi="宋体" w:eastAsia="宋体" w:cs="宋体"/>
          <w:sz w:val="21"/>
          <w:szCs w:val="21"/>
        </w:rPr>
        <w:t>各自承担相应的责任。</w:t>
      </w:r>
    </w:p>
    <w:p w14:paraId="6371C8E8">
      <w:pPr>
        <w:spacing w:after="0" w:line="194" w:lineRule="exact"/>
        <w:rPr>
          <w:rFonts w:hint="eastAsia" w:ascii="宋体" w:hAnsi="宋体" w:eastAsia="宋体" w:cs="宋体"/>
          <w:sz w:val="21"/>
          <w:szCs w:val="21"/>
        </w:rPr>
      </w:pPr>
    </w:p>
    <w:p w14:paraId="33D8EDC6">
      <w:pPr>
        <w:spacing w:after="0" w:line="274" w:lineRule="exact"/>
        <w:ind w:left="800"/>
        <w:rPr>
          <w:rFonts w:hint="eastAsia" w:ascii="宋体" w:hAnsi="宋体" w:eastAsia="宋体" w:cs="宋体"/>
          <w:sz w:val="21"/>
          <w:szCs w:val="21"/>
        </w:rPr>
      </w:pPr>
      <w:r>
        <w:rPr>
          <w:rFonts w:hint="eastAsia" w:ascii="宋体" w:hAnsi="宋体" w:eastAsia="宋体" w:cs="宋体"/>
          <w:b/>
          <w:bCs/>
          <w:sz w:val="21"/>
          <w:szCs w:val="21"/>
        </w:rPr>
        <w:t>2.10 合同转让和分包</w:t>
      </w:r>
    </w:p>
    <w:p w14:paraId="36172DF9">
      <w:pPr>
        <w:spacing w:after="0" w:line="194" w:lineRule="exact"/>
        <w:rPr>
          <w:rFonts w:hint="eastAsia" w:ascii="宋体" w:hAnsi="宋体" w:eastAsia="宋体" w:cs="宋体"/>
          <w:sz w:val="21"/>
          <w:szCs w:val="21"/>
        </w:rPr>
      </w:pPr>
    </w:p>
    <w:p w14:paraId="4D46B1ED">
      <w:pPr>
        <w:spacing w:after="0" w:line="274" w:lineRule="exact"/>
        <w:ind w:left="800"/>
        <w:rPr>
          <w:rFonts w:hint="eastAsia" w:ascii="宋体" w:hAnsi="宋体" w:eastAsia="宋体" w:cs="宋体"/>
          <w:sz w:val="21"/>
          <w:szCs w:val="21"/>
        </w:rPr>
      </w:pPr>
      <w:r>
        <w:rPr>
          <w:rFonts w:hint="eastAsia" w:ascii="宋体" w:hAnsi="宋体" w:eastAsia="宋体" w:cs="宋体"/>
          <w:sz w:val="21"/>
          <w:szCs w:val="21"/>
        </w:rPr>
        <w:t>合同的权利义务依法不得转让，但经甲方同意，乙方可以依法采取分包方式</w:t>
      </w:r>
    </w:p>
    <w:p w14:paraId="17C5F1DF">
      <w:pPr>
        <w:spacing w:after="0" w:line="206" w:lineRule="exact"/>
        <w:rPr>
          <w:rFonts w:hint="eastAsia" w:ascii="宋体" w:hAnsi="宋体" w:eastAsia="宋体" w:cs="宋体"/>
          <w:sz w:val="21"/>
          <w:szCs w:val="21"/>
        </w:rPr>
      </w:pPr>
    </w:p>
    <w:p w14:paraId="5871AADB">
      <w:pPr>
        <w:spacing w:after="0" w:line="263" w:lineRule="exact"/>
        <w:ind w:left="360"/>
        <w:rPr>
          <w:rFonts w:hint="eastAsia" w:ascii="宋体" w:hAnsi="宋体" w:eastAsia="宋体" w:cs="宋体"/>
          <w:sz w:val="21"/>
          <w:szCs w:val="21"/>
        </w:rPr>
      </w:pPr>
      <w:r>
        <w:rPr>
          <w:rFonts w:hint="eastAsia" w:ascii="宋体" w:hAnsi="宋体" w:eastAsia="宋体" w:cs="宋体"/>
          <w:sz w:val="21"/>
          <w:szCs w:val="21"/>
        </w:rPr>
        <w:t>履行合同，即：依法可以将合同项下的部分非主体、非关键性工作分包给他人完</w:t>
      </w:r>
    </w:p>
    <w:p w14:paraId="25DEB970">
      <w:pPr>
        <w:spacing w:after="0" w:line="206" w:lineRule="exact"/>
        <w:rPr>
          <w:rFonts w:hint="eastAsia" w:ascii="宋体" w:hAnsi="宋体" w:eastAsia="宋体" w:cs="宋体"/>
          <w:sz w:val="21"/>
          <w:szCs w:val="21"/>
        </w:rPr>
      </w:pPr>
    </w:p>
    <w:p w14:paraId="34109724">
      <w:pPr>
        <w:spacing w:after="0" w:line="263" w:lineRule="exact"/>
        <w:ind w:left="360"/>
        <w:rPr>
          <w:rFonts w:hint="eastAsia" w:ascii="宋体" w:hAnsi="宋体" w:eastAsia="宋体" w:cs="宋体"/>
          <w:sz w:val="21"/>
          <w:szCs w:val="21"/>
        </w:rPr>
      </w:pPr>
      <w:r>
        <w:rPr>
          <w:rFonts w:hint="eastAsia" w:ascii="宋体" w:hAnsi="宋体" w:eastAsia="宋体" w:cs="宋体"/>
          <w:sz w:val="21"/>
          <w:szCs w:val="21"/>
        </w:rPr>
        <w:t>成，接受分包的人应当具备相应的资格条件，并不得再次分包，且乙方应就分包</w:t>
      </w:r>
    </w:p>
    <w:p w14:paraId="2DD289CF">
      <w:pPr>
        <w:spacing w:after="0" w:line="194" w:lineRule="exact"/>
        <w:rPr>
          <w:rFonts w:hint="eastAsia" w:ascii="宋体" w:hAnsi="宋体" w:eastAsia="宋体" w:cs="宋体"/>
          <w:sz w:val="21"/>
          <w:szCs w:val="21"/>
        </w:rPr>
      </w:pPr>
    </w:p>
    <w:p w14:paraId="4039E815">
      <w:pPr>
        <w:spacing w:after="0" w:line="274" w:lineRule="exact"/>
        <w:ind w:left="360"/>
        <w:rPr>
          <w:rFonts w:hint="eastAsia" w:ascii="宋体" w:hAnsi="宋体" w:eastAsia="宋体" w:cs="宋体"/>
          <w:sz w:val="21"/>
          <w:szCs w:val="21"/>
        </w:rPr>
      </w:pPr>
      <w:r>
        <w:rPr>
          <w:rFonts w:hint="eastAsia" w:ascii="宋体" w:hAnsi="宋体" w:eastAsia="宋体" w:cs="宋体"/>
          <w:sz w:val="21"/>
          <w:szCs w:val="21"/>
        </w:rPr>
        <w:t>项目向甲方负责，并与分包供应商就分包项目向甲方承担连带责任。</w:t>
      </w:r>
    </w:p>
    <w:p w14:paraId="4158E0D3">
      <w:pPr>
        <w:spacing w:after="0" w:line="194" w:lineRule="exact"/>
        <w:rPr>
          <w:rFonts w:hint="eastAsia" w:ascii="宋体" w:hAnsi="宋体" w:eastAsia="宋体" w:cs="宋体"/>
          <w:sz w:val="21"/>
          <w:szCs w:val="21"/>
        </w:rPr>
      </w:pPr>
    </w:p>
    <w:p w14:paraId="27D83D0D">
      <w:pPr>
        <w:spacing w:after="0" w:line="274" w:lineRule="exact"/>
        <w:ind w:left="800"/>
        <w:rPr>
          <w:rFonts w:hint="eastAsia" w:ascii="宋体" w:hAnsi="宋体" w:eastAsia="宋体" w:cs="宋体"/>
          <w:sz w:val="21"/>
          <w:szCs w:val="21"/>
        </w:rPr>
      </w:pPr>
      <w:r>
        <w:rPr>
          <w:rFonts w:hint="eastAsia" w:ascii="宋体" w:hAnsi="宋体" w:eastAsia="宋体" w:cs="宋体"/>
          <w:b/>
          <w:bCs/>
          <w:sz w:val="21"/>
          <w:szCs w:val="21"/>
        </w:rPr>
        <w:t>2.11 不可抗力</w:t>
      </w:r>
    </w:p>
    <w:p w14:paraId="44027951">
      <w:pPr>
        <w:spacing w:after="0" w:line="206" w:lineRule="exact"/>
        <w:rPr>
          <w:rFonts w:hint="eastAsia" w:ascii="宋体" w:hAnsi="宋体" w:eastAsia="宋体" w:cs="宋体"/>
          <w:sz w:val="21"/>
          <w:szCs w:val="21"/>
        </w:rPr>
      </w:pPr>
    </w:p>
    <w:p w14:paraId="68065D3E">
      <w:pPr>
        <w:spacing w:after="0" w:line="263" w:lineRule="exact"/>
        <w:ind w:left="800"/>
        <w:rPr>
          <w:rFonts w:hint="eastAsia" w:ascii="宋体" w:hAnsi="宋体" w:eastAsia="宋体" w:cs="宋体"/>
          <w:sz w:val="21"/>
          <w:szCs w:val="21"/>
        </w:rPr>
      </w:pPr>
      <w:r>
        <w:rPr>
          <w:rFonts w:hint="eastAsia" w:ascii="宋体" w:hAnsi="宋体" w:eastAsia="宋体" w:cs="宋体"/>
          <w:sz w:val="21"/>
          <w:szCs w:val="21"/>
        </w:rPr>
        <w:t>2.11.1 如果任何一方遭遇法律规定的不可抗力，致使合同履行受阻时，履行</w:t>
      </w:r>
    </w:p>
    <w:p w14:paraId="4B13EF7A">
      <w:pPr>
        <w:spacing w:after="0" w:line="194" w:lineRule="exact"/>
        <w:rPr>
          <w:rFonts w:hint="eastAsia" w:ascii="宋体" w:hAnsi="宋体" w:eastAsia="宋体" w:cs="宋体"/>
          <w:sz w:val="21"/>
          <w:szCs w:val="21"/>
        </w:rPr>
      </w:pPr>
    </w:p>
    <w:p w14:paraId="5E9DB130">
      <w:pPr>
        <w:spacing w:after="0" w:line="274" w:lineRule="exact"/>
        <w:ind w:left="360"/>
        <w:rPr>
          <w:rFonts w:hint="eastAsia" w:ascii="宋体" w:hAnsi="宋体" w:eastAsia="宋体" w:cs="宋体"/>
          <w:sz w:val="21"/>
          <w:szCs w:val="21"/>
        </w:rPr>
      </w:pPr>
      <w:r>
        <w:rPr>
          <w:rFonts w:hint="eastAsia" w:ascii="宋体" w:hAnsi="宋体" w:eastAsia="宋体" w:cs="宋体"/>
          <w:sz w:val="21"/>
          <w:szCs w:val="21"/>
        </w:rPr>
        <w:t>合同的期限应予延长，延长的期限应相当于不可抗力所影响的时间；</w:t>
      </w:r>
    </w:p>
    <w:p w14:paraId="025D20F2">
      <w:pPr>
        <w:spacing w:after="0" w:line="194" w:lineRule="exact"/>
        <w:rPr>
          <w:rFonts w:hint="eastAsia" w:ascii="宋体" w:hAnsi="宋体" w:eastAsia="宋体" w:cs="宋体"/>
          <w:sz w:val="21"/>
          <w:szCs w:val="21"/>
        </w:rPr>
      </w:pPr>
    </w:p>
    <w:p w14:paraId="543F77C3">
      <w:pPr>
        <w:spacing w:after="0" w:line="274" w:lineRule="exact"/>
        <w:ind w:left="800"/>
        <w:rPr>
          <w:rFonts w:hint="eastAsia" w:ascii="宋体" w:hAnsi="宋体" w:eastAsia="宋体" w:cs="宋体"/>
          <w:sz w:val="21"/>
          <w:szCs w:val="21"/>
        </w:rPr>
      </w:pPr>
      <w:r>
        <w:rPr>
          <w:rFonts w:hint="eastAsia" w:ascii="宋体" w:hAnsi="宋体" w:eastAsia="宋体" w:cs="宋体"/>
          <w:sz w:val="21"/>
          <w:szCs w:val="21"/>
        </w:rPr>
        <w:t>2.11.2 因不可抗力致使不能实现合同目的的，当事人可以解除合同；</w:t>
      </w:r>
    </w:p>
    <w:p w14:paraId="119BF69F">
      <w:pPr>
        <w:spacing w:after="0" w:line="206" w:lineRule="exact"/>
        <w:rPr>
          <w:rFonts w:hint="eastAsia" w:ascii="宋体" w:hAnsi="宋体" w:eastAsia="宋体" w:cs="宋体"/>
          <w:sz w:val="21"/>
          <w:szCs w:val="21"/>
        </w:rPr>
      </w:pPr>
    </w:p>
    <w:p w14:paraId="4E613639">
      <w:pPr>
        <w:spacing w:after="0" w:line="263" w:lineRule="exact"/>
        <w:ind w:left="800"/>
        <w:rPr>
          <w:rFonts w:hint="eastAsia" w:ascii="宋体" w:hAnsi="宋体" w:eastAsia="宋体" w:cs="宋体"/>
          <w:sz w:val="21"/>
          <w:szCs w:val="21"/>
        </w:rPr>
      </w:pPr>
      <w:r>
        <w:rPr>
          <w:rFonts w:hint="eastAsia" w:ascii="宋体" w:hAnsi="宋体" w:eastAsia="宋体" w:cs="宋体"/>
          <w:sz w:val="21"/>
          <w:szCs w:val="21"/>
        </w:rPr>
        <w:t>2.11.3 因不可抗力致使合同有变更必要的，双方当事人应在</w:t>
      </w:r>
      <w:r>
        <w:rPr>
          <w:rFonts w:hint="eastAsia" w:ascii="宋体" w:hAnsi="宋体" w:eastAsia="宋体" w:cs="宋体"/>
          <w:b/>
          <w:bCs/>
          <w:sz w:val="21"/>
          <w:szCs w:val="21"/>
          <w:u w:val="single"/>
        </w:rPr>
        <w:t>合同专用条款</w:t>
      </w:r>
      <w:r>
        <w:rPr>
          <w:rFonts w:hint="eastAsia" w:ascii="宋体" w:hAnsi="宋体" w:eastAsia="宋体" w:cs="宋体"/>
          <w:sz w:val="21"/>
          <w:szCs w:val="21"/>
        </w:rPr>
        <w:t>约</w:t>
      </w:r>
    </w:p>
    <w:p w14:paraId="4D6CEB72">
      <w:pPr>
        <w:spacing w:after="0" w:line="194" w:lineRule="exact"/>
        <w:rPr>
          <w:rFonts w:hint="eastAsia" w:ascii="宋体" w:hAnsi="宋体" w:eastAsia="宋体" w:cs="宋体"/>
          <w:sz w:val="21"/>
          <w:szCs w:val="21"/>
        </w:rPr>
      </w:pPr>
    </w:p>
    <w:p w14:paraId="6F235571">
      <w:pPr>
        <w:spacing w:after="0" w:line="274" w:lineRule="exact"/>
        <w:ind w:left="360"/>
        <w:rPr>
          <w:rFonts w:hint="eastAsia" w:ascii="宋体" w:hAnsi="宋体" w:eastAsia="宋体" w:cs="宋体"/>
          <w:sz w:val="21"/>
          <w:szCs w:val="21"/>
        </w:rPr>
      </w:pPr>
      <w:r>
        <w:rPr>
          <w:rFonts w:hint="eastAsia" w:ascii="宋体" w:hAnsi="宋体" w:eastAsia="宋体" w:cs="宋体"/>
          <w:sz w:val="21"/>
          <w:szCs w:val="21"/>
        </w:rPr>
        <w:t>定时间内以书面形式变更合同；</w:t>
      </w:r>
    </w:p>
    <w:p w14:paraId="25EA8841">
      <w:pPr>
        <w:spacing w:after="0" w:line="206" w:lineRule="exact"/>
        <w:rPr>
          <w:rFonts w:hint="eastAsia" w:ascii="宋体" w:hAnsi="宋体" w:eastAsia="宋体" w:cs="宋体"/>
          <w:sz w:val="21"/>
          <w:szCs w:val="21"/>
        </w:rPr>
      </w:pPr>
    </w:p>
    <w:p w14:paraId="07BD50F6">
      <w:pPr>
        <w:spacing w:after="0" w:line="263" w:lineRule="exact"/>
        <w:ind w:left="800"/>
        <w:rPr>
          <w:rFonts w:hint="eastAsia" w:ascii="宋体" w:hAnsi="宋体" w:eastAsia="宋体" w:cs="宋体"/>
          <w:sz w:val="21"/>
          <w:szCs w:val="21"/>
        </w:rPr>
      </w:pPr>
      <w:r>
        <w:rPr>
          <w:rFonts w:hint="eastAsia" w:ascii="宋体" w:hAnsi="宋体" w:eastAsia="宋体" w:cs="宋体"/>
          <w:sz w:val="21"/>
          <w:szCs w:val="21"/>
        </w:rPr>
        <w:t>2.11.4 受不可抗力影响的一方在不可抗力发生后，应在</w:t>
      </w:r>
      <w:r>
        <w:rPr>
          <w:rFonts w:hint="eastAsia" w:ascii="宋体" w:hAnsi="宋体" w:eastAsia="宋体" w:cs="宋体"/>
          <w:b/>
          <w:bCs/>
          <w:sz w:val="21"/>
          <w:szCs w:val="21"/>
          <w:u w:val="single"/>
        </w:rPr>
        <w:t>合同专用条款</w:t>
      </w:r>
      <w:r>
        <w:rPr>
          <w:rFonts w:hint="eastAsia" w:ascii="宋体" w:hAnsi="宋体" w:eastAsia="宋体" w:cs="宋体"/>
          <w:sz w:val="21"/>
          <w:szCs w:val="21"/>
        </w:rPr>
        <w:t>约定时</w:t>
      </w:r>
    </w:p>
    <w:p w14:paraId="74454DA5">
      <w:pPr>
        <w:spacing w:after="0" w:line="206" w:lineRule="exact"/>
        <w:rPr>
          <w:rFonts w:hint="eastAsia" w:ascii="宋体" w:hAnsi="宋体" w:eastAsia="宋体" w:cs="宋体"/>
          <w:sz w:val="21"/>
          <w:szCs w:val="21"/>
        </w:rPr>
      </w:pPr>
    </w:p>
    <w:p w14:paraId="4D1C0142">
      <w:pPr>
        <w:spacing w:after="0" w:line="263" w:lineRule="exact"/>
        <w:ind w:left="360"/>
        <w:rPr>
          <w:rFonts w:hint="eastAsia" w:ascii="宋体" w:hAnsi="宋体" w:eastAsia="宋体" w:cs="宋体"/>
          <w:sz w:val="21"/>
          <w:szCs w:val="21"/>
        </w:rPr>
      </w:pPr>
      <w:r>
        <w:rPr>
          <w:rFonts w:hint="eastAsia" w:ascii="宋体" w:hAnsi="宋体" w:eastAsia="宋体" w:cs="宋体"/>
          <w:sz w:val="21"/>
          <w:szCs w:val="21"/>
        </w:rPr>
        <w:t>间内以书面形式通知对方当事人，并在</w:t>
      </w:r>
      <w:r>
        <w:rPr>
          <w:rFonts w:hint="eastAsia" w:ascii="宋体" w:hAnsi="宋体" w:eastAsia="宋体" w:cs="宋体"/>
          <w:b/>
          <w:bCs/>
          <w:sz w:val="21"/>
          <w:szCs w:val="21"/>
          <w:u w:val="single"/>
        </w:rPr>
        <w:t>合同专用条款</w:t>
      </w:r>
      <w:r>
        <w:rPr>
          <w:rFonts w:hint="eastAsia" w:ascii="宋体" w:hAnsi="宋体" w:eastAsia="宋体" w:cs="宋体"/>
          <w:sz w:val="21"/>
          <w:szCs w:val="21"/>
        </w:rPr>
        <w:t>约定时间内，将有关部门出</w:t>
      </w:r>
    </w:p>
    <w:p w14:paraId="3552176F">
      <w:pPr>
        <w:spacing w:after="0" w:line="194" w:lineRule="exact"/>
        <w:rPr>
          <w:rFonts w:hint="eastAsia" w:ascii="宋体" w:hAnsi="宋体" w:eastAsia="宋体" w:cs="宋体"/>
          <w:sz w:val="21"/>
          <w:szCs w:val="21"/>
        </w:rPr>
      </w:pPr>
    </w:p>
    <w:p w14:paraId="7BFD4DA4">
      <w:pPr>
        <w:spacing w:after="0" w:line="274" w:lineRule="exact"/>
        <w:ind w:left="360"/>
        <w:rPr>
          <w:rFonts w:hint="eastAsia" w:ascii="宋体" w:hAnsi="宋体" w:eastAsia="宋体" w:cs="宋体"/>
          <w:sz w:val="21"/>
          <w:szCs w:val="21"/>
        </w:rPr>
      </w:pPr>
      <w:r>
        <w:rPr>
          <w:rFonts w:hint="eastAsia" w:ascii="宋体" w:hAnsi="宋体" w:eastAsia="宋体" w:cs="宋体"/>
          <w:sz w:val="21"/>
          <w:szCs w:val="21"/>
        </w:rPr>
        <w:t>具的证明文件送达对方当事人。</w:t>
      </w:r>
    </w:p>
    <w:p w14:paraId="2AC562C4">
      <w:pPr>
        <w:spacing w:after="0" w:line="194" w:lineRule="exact"/>
        <w:rPr>
          <w:rFonts w:hint="eastAsia" w:ascii="宋体" w:hAnsi="宋体" w:eastAsia="宋体" w:cs="宋体"/>
          <w:sz w:val="21"/>
          <w:szCs w:val="21"/>
        </w:rPr>
      </w:pPr>
    </w:p>
    <w:p w14:paraId="53655346">
      <w:pPr>
        <w:spacing w:after="0" w:line="274" w:lineRule="exact"/>
        <w:ind w:left="800"/>
        <w:rPr>
          <w:rFonts w:hint="eastAsia" w:ascii="宋体" w:hAnsi="宋体" w:eastAsia="宋体" w:cs="宋体"/>
          <w:sz w:val="21"/>
          <w:szCs w:val="21"/>
        </w:rPr>
      </w:pPr>
      <w:r>
        <w:rPr>
          <w:rFonts w:hint="eastAsia" w:ascii="宋体" w:hAnsi="宋体" w:eastAsia="宋体" w:cs="宋体"/>
          <w:b/>
          <w:bCs/>
          <w:sz w:val="21"/>
          <w:szCs w:val="21"/>
        </w:rPr>
        <w:t>2.12 税费</w:t>
      </w:r>
    </w:p>
    <w:p w14:paraId="36BA07A8">
      <w:pPr>
        <w:spacing w:after="0" w:line="194" w:lineRule="exact"/>
        <w:rPr>
          <w:rFonts w:hint="eastAsia" w:ascii="宋体" w:hAnsi="宋体" w:eastAsia="宋体" w:cs="宋体"/>
          <w:sz w:val="21"/>
          <w:szCs w:val="21"/>
        </w:rPr>
      </w:pPr>
    </w:p>
    <w:p w14:paraId="06E712D3">
      <w:pPr>
        <w:spacing w:after="0" w:line="274" w:lineRule="exact"/>
        <w:ind w:left="800"/>
        <w:rPr>
          <w:rFonts w:hint="eastAsia" w:ascii="宋体" w:hAnsi="宋体" w:eastAsia="宋体" w:cs="宋体"/>
          <w:sz w:val="21"/>
          <w:szCs w:val="21"/>
        </w:rPr>
      </w:pPr>
      <w:r>
        <w:rPr>
          <w:rFonts w:hint="eastAsia" w:ascii="宋体" w:hAnsi="宋体" w:eastAsia="宋体" w:cs="宋体"/>
          <w:sz w:val="21"/>
          <w:szCs w:val="21"/>
        </w:rPr>
        <w:t>与合同有关的一切税费，均按照中华人民共和国法律的相关规定缴纳。</w:t>
      </w:r>
    </w:p>
    <w:p w14:paraId="14B521CE">
      <w:pPr>
        <w:spacing w:after="0" w:line="194" w:lineRule="exact"/>
        <w:rPr>
          <w:rFonts w:hint="eastAsia" w:ascii="宋体" w:hAnsi="宋体" w:eastAsia="宋体" w:cs="宋体"/>
          <w:sz w:val="21"/>
          <w:szCs w:val="21"/>
        </w:rPr>
      </w:pPr>
    </w:p>
    <w:p w14:paraId="24EA984E">
      <w:pPr>
        <w:spacing w:after="0" w:line="274" w:lineRule="exact"/>
        <w:ind w:left="800"/>
        <w:rPr>
          <w:rFonts w:hint="eastAsia" w:ascii="宋体" w:hAnsi="宋体" w:eastAsia="宋体" w:cs="宋体"/>
          <w:sz w:val="21"/>
          <w:szCs w:val="21"/>
        </w:rPr>
      </w:pPr>
      <w:r>
        <w:rPr>
          <w:rFonts w:hint="eastAsia" w:ascii="宋体" w:hAnsi="宋体" w:eastAsia="宋体" w:cs="宋体"/>
          <w:b/>
          <w:bCs/>
          <w:sz w:val="21"/>
          <w:szCs w:val="21"/>
        </w:rPr>
        <w:t>2.13 乙方破产</w:t>
      </w:r>
    </w:p>
    <w:p w14:paraId="36D312C3">
      <w:pPr>
        <w:spacing w:after="0" w:line="194" w:lineRule="exact"/>
        <w:rPr>
          <w:rFonts w:hint="eastAsia" w:ascii="宋体" w:hAnsi="宋体" w:eastAsia="宋体" w:cs="宋体"/>
          <w:sz w:val="21"/>
          <w:szCs w:val="21"/>
        </w:rPr>
      </w:pPr>
    </w:p>
    <w:p w14:paraId="77F99C95">
      <w:pPr>
        <w:spacing w:after="0" w:line="274" w:lineRule="exact"/>
        <w:ind w:left="800"/>
        <w:rPr>
          <w:rFonts w:hint="eastAsia" w:ascii="宋体" w:hAnsi="宋体" w:eastAsia="宋体" w:cs="宋体"/>
          <w:sz w:val="21"/>
          <w:szCs w:val="21"/>
        </w:rPr>
      </w:pPr>
      <w:r>
        <w:rPr>
          <w:rFonts w:hint="eastAsia" w:ascii="宋体" w:hAnsi="宋体" w:eastAsia="宋体" w:cs="宋体"/>
          <w:sz w:val="21"/>
          <w:szCs w:val="21"/>
        </w:rPr>
        <w:t>如果乙方破产导致合同无法履行时，甲方可以书面形式通知乙方终止合同且</w:t>
      </w:r>
    </w:p>
    <w:p w14:paraId="02243410">
      <w:pPr>
        <w:spacing w:after="0" w:line="206" w:lineRule="exact"/>
        <w:rPr>
          <w:rFonts w:hint="eastAsia" w:ascii="宋体" w:hAnsi="宋体" w:eastAsia="宋体" w:cs="宋体"/>
          <w:sz w:val="21"/>
          <w:szCs w:val="21"/>
        </w:rPr>
      </w:pPr>
    </w:p>
    <w:p w14:paraId="605D59BC">
      <w:pPr>
        <w:spacing w:after="0" w:line="263" w:lineRule="exact"/>
        <w:ind w:left="360"/>
        <w:rPr>
          <w:rFonts w:hint="eastAsia" w:ascii="宋体" w:hAnsi="宋体" w:eastAsia="宋体" w:cs="宋体"/>
          <w:sz w:val="21"/>
          <w:szCs w:val="21"/>
        </w:rPr>
      </w:pPr>
      <w:r>
        <w:rPr>
          <w:rFonts w:hint="eastAsia" w:ascii="宋体" w:hAnsi="宋体" w:eastAsia="宋体" w:cs="宋体"/>
          <w:sz w:val="21"/>
          <w:szCs w:val="21"/>
        </w:rPr>
        <w:t>不给予乙方任何补偿和赔偿，但合同的终止不损害或不影响甲方已经采取或将要</w:t>
      </w:r>
    </w:p>
    <w:p w14:paraId="74D7FF41">
      <w:pPr>
        <w:spacing w:after="0" w:line="194" w:lineRule="exact"/>
        <w:rPr>
          <w:rFonts w:hint="eastAsia" w:ascii="宋体" w:hAnsi="宋体" w:eastAsia="宋体" w:cs="宋体"/>
          <w:sz w:val="21"/>
          <w:szCs w:val="21"/>
        </w:rPr>
      </w:pPr>
    </w:p>
    <w:p w14:paraId="68FFD9CA">
      <w:pPr>
        <w:spacing w:after="0" w:line="274" w:lineRule="exact"/>
        <w:ind w:left="360"/>
        <w:rPr>
          <w:rFonts w:hint="eastAsia" w:ascii="宋体" w:hAnsi="宋体" w:eastAsia="宋体" w:cs="宋体"/>
          <w:sz w:val="21"/>
          <w:szCs w:val="21"/>
        </w:rPr>
      </w:pPr>
      <w:r>
        <w:rPr>
          <w:rFonts w:hint="eastAsia" w:ascii="宋体" w:hAnsi="宋体" w:eastAsia="宋体" w:cs="宋体"/>
          <w:sz w:val="21"/>
          <w:szCs w:val="21"/>
        </w:rPr>
        <w:t>采取的任何要求乙方支付违约金、赔偿损失等的行动或补救措施的权利。</w:t>
      </w:r>
    </w:p>
    <w:p w14:paraId="161FE34F">
      <w:pPr>
        <w:spacing w:after="0" w:line="194" w:lineRule="exact"/>
        <w:rPr>
          <w:rFonts w:hint="eastAsia" w:ascii="宋体" w:hAnsi="宋体" w:eastAsia="宋体" w:cs="宋体"/>
          <w:sz w:val="21"/>
          <w:szCs w:val="21"/>
        </w:rPr>
      </w:pPr>
    </w:p>
    <w:p w14:paraId="5C68F0EF">
      <w:pPr>
        <w:spacing w:after="0" w:line="274" w:lineRule="exact"/>
        <w:ind w:left="800"/>
        <w:rPr>
          <w:rFonts w:hint="eastAsia" w:ascii="宋体" w:hAnsi="宋体" w:eastAsia="宋体" w:cs="宋体"/>
          <w:sz w:val="21"/>
          <w:szCs w:val="21"/>
        </w:rPr>
      </w:pPr>
      <w:r>
        <w:rPr>
          <w:rFonts w:hint="eastAsia" w:ascii="宋体" w:hAnsi="宋体" w:eastAsia="宋体" w:cs="宋体"/>
          <w:b/>
          <w:bCs/>
          <w:sz w:val="21"/>
          <w:szCs w:val="21"/>
        </w:rPr>
        <w:t>2.14 合同中止、终止</w:t>
      </w:r>
    </w:p>
    <w:p w14:paraId="3634F55B">
      <w:pPr>
        <w:spacing w:after="0" w:line="194" w:lineRule="exact"/>
        <w:rPr>
          <w:rFonts w:hint="eastAsia" w:ascii="宋体" w:hAnsi="宋体" w:eastAsia="宋体" w:cs="宋体"/>
          <w:sz w:val="21"/>
          <w:szCs w:val="21"/>
        </w:rPr>
      </w:pPr>
    </w:p>
    <w:p w14:paraId="61BAD1A0">
      <w:pPr>
        <w:spacing w:after="0" w:line="274" w:lineRule="exact"/>
        <w:ind w:left="800"/>
        <w:rPr>
          <w:rFonts w:hint="eastAsia" w:ascii="宋体" w:hAnsi="宋体" w:eastAsia="宋体" w:cs="宋体"/>
          <w:sz w:val="21"/>
          <w:szCs w:val="21"/>
        </w:rPr>
      </w:pPr>
      <w:r>
        <w:rPr>
          <w:rFonts w:hint="eastAsia" w:ascii="宋体" w:hAnsi="宋体" w:eastAsia="宋体" w:cs="宋体"/>
          <w:sz w:val="21"/>
          <w:szCs w:val="21"/>
        </w:rPr>
        <w:t>2.14.1 双方当事人不得擅自中止或者终止合同；</w:t>
      </w:r>
    </w:p>
    <w:p w14:paraId="5E5A38B4">
      <w:pPr>
        <w:spacing w:after="0" w:line="206" w:lineRule="exact"/>
        <w:rPr>
          <w:rFonts w:hint="eastAsia" w:ascii="宋体" w:hAnsi="宋体" w:eastAsia="宋体" w:cs="宋体"/>
          <w:sz w:val="21"/>
          <w:szCs w:val="21"/>
        </w:rPr>
      </w:pPr>
    </w:p>
    <w:p w14:paraId="327BA1F2">
      <w:pPr>
        <w:spacing w:after="0" w:line="263" w:lineRule="exact"/>
        <w:ind w:left="800"/>
        <w:rPr>
          <w:rFonts w:hint="eastAsia" w:ascii="宋体" w:hAnsi="宋体" w:eastAsia="宋体" w:cs="宋体"/>
          <w:sz w:val="21"/>
          <w:szCs w:val="21"/>
        </w:rPr>
      </w:pPr>
      <w:r>
        <w:rPr>
          <w:rFonts w:hint="eastAsia" w:ascii="宋体" w:hAnsi="宋体" w:eastAsia="宋体" w:cs="宋体"/>
          <w:sz w:val="21"/>
          <w:szCs w:val="21"/>
        </w:rPr>
        <w:t>2.14.2 合同继续履行将损害国家利益和社会公共利益的，双方当事人应当中</w:t>
      </w:r>
    </w:p>
    <w:p w14:paraId="26AE3667">
      <w:pPr>
        <w:spacing w:after="0" w:line="206" w:lineRule="exact"/>
        <w:rPr>
          <w:rFonts w:hint="eastAsia" w:ascii="宋体" w:hAnsi="宋体" w:eastAsia="宋体" w:cs="宋体"/>
          <w:sz w:val="21"/>
          <w:szCs w:val="21"/>
        </w:rPr>
      </w:pPr>
    </w:p>
    <w:p w14:paraId="73DBF1DE">
      <w:pPr>
        <w:spacing w:after="0" w:line="263" w:lineRule="exact"/>
        <w:ind w:left="360"/>
        <w:rPr>
          <w:rFonts w:hint="eastAsia" w:ascii="宋体" w:hAnsi="宋体" w:eastAsia="宋体" w:cs="宋体"/>
          <w:sz w:val="21"/>
          <w:szCs w:val="21"/>
        </w:rPr>
      </w:pPr>
      <w:r>
        <w:rPr>
          <w:rFonts w:hint="eastAsia" w:ascii="宋体" w:hAnsi="宋体" w:eastAsia="宋体" w:cs="宋体"/>
          <w:sz w:val="21"/>
          <w:szCs w:val="21"/>
        </w:rPr>
        <w:t>止或者终止合同。有过错的一方应当承担赔偿责任，双方当事人都有过错的，各</w:t>
      </w:r>
    </w:p>
    <w:p w14:paraId="7E8AFDD0">
      <w:pPr>
        <w:spacing w:after="0" w:line="194" w:lineRule="exact"/>
        <w:rPr>
          <w:rFonts w:hint="eastAsia" w:ascii="宋体" w:hAnsi="宋体" w:eastAsia="宋体" w:cs="宋体"/>
          <w:sz w:val="21"/>
          <w:szCs w:val="21"/>
        </w:rPr>
      </w:pPr>
    </w:p>
    <w:p w14:paraId="15F0532E">
      <w:pPr>
        <w:spacing w:after="0" w:line="274" w:lineRule="exact"/>
        <w:ind w:left="360"/>
        <w:rPr>
          <w:rFonts w:hint="eastAsia" w:ascii="宋体" w:hAnsi="宋体" w:eastAsia="宋体" w:cs="宋体"/>
          <w:sz w:val="21"/>
          <w:szCs w:val="21"/>
        </w:rPr>
      </w:pPr>
      <w:r>
        <w:rPr>
          <w:rFonts w:hint="eastAsia" w:ascii="宋体" w:hAnsi="宋体" w:eastAsia="宋体" w:cs="宋体"/>
          <w:sz w:val="21"/>
          <w:szCs w:val="21"/>
        </w:rPr>
        <w:t>自承担相应的责任。</w:t>
      </w:r>
    </w:p>
    <w:p w14:paraId="0F3538DD">
      <w:pPr>
        <w:spacing w:after="0" w:line="194" w:lineRule="exact"/>
        <w:rPr>
          <w:rFonts w:hint="eastAsia" w:ascii="宋体" w:hAnsi="宋体" w:eastAsia="宋体" w:cs="宋体"/>
          <w:sz w:val="21"/>
          <w:szCs w:val="21"/>
        </w:rPr>
      </w:pPr>
    </w:p>
    <w:p w14:paraId="0FB93CEA">
      <w:pPr>
        <w:spacing w:after="0" w:line="274" w:lineRule="exact"/>
        <w:ind w:left="800"/>
        <w:rPr>
          <w:rFonts w:hint="eastAsia" w:ascii="宋体" w:hAnsi="宋体" w:eastAsia="宋体" w:cs="宋体"/>
          <w:sz w:val="21"/>
          <w:szCs w:val="21"/>
        </w:rPr>
      </w:pPr>
      <w:r>
        <w:rPr>
          <w:rFonts w:hint="eastAsia" w:ascii="宋体" w:hAnsi="宋体" w:eastAsia="宋体" w:cs="宋体"/>
          <w:b/>
          <w:bCs/>
          <w:sz w:val="21"/>
          <w:szCs w:val="21"/>
        </w:rPr>
        <w:t>2.15 检验和验收</w:t>
      </w:r>
    </w:p>
    <w:p w14:paraId="2FDB3080">
      <w:pPr>
        <w:spacing w:after="0" w:line="206" w:lineRule="exact"/>
        <w:rPr>
          <w:rFonts w:hint="eastAsia" w:ascii="宋体" w:hAnsi="宋体" w:eastAsia="宋体" w:cs="宋体"/>
          <w:sz w:val="21"/>
          <w:szCs w:val="21"/>
        </w:rPr>
      </w:pPr>
    </w:p>
    <w:p w14:paraId="00EA2979">
      <w:pPr>
        <w:spacing w:line="263" w:lineRule="exact"/>
        <w:ind w:left="800"/>
        <w:rPr>
          <w:rFonts w:hint="eastAsia" w:ascii="宋体" w:hAnsi="宋体" w:eastAsia="宋体" w:cs="宋体"/>
          <w:b/>
          <w:bCs/>
          <w:sz w:val="21"/>
          <w:szCs w:val="21"/>
          <w:u w:val="single"/>
        </w:rPr>
      </w:pPr>
      <w:r>
        <w:rPr>
          <w:rFonts w:hint="eastAsia" w:ascii="宋体" w:hAnsi="宋体" w:eastAsia="宋体" w:cs="宋体"/>
          <w:sz w:val="21"/>
          <w:szCs w:val="21"/>
        </w:rPr>
        <w:t>2.15.1 乙方按照</w:t>
      </w:r>
      <w:r>
        <w:rPr>
          <w:rFonts w:hint="eastAsia" w:ascii="宋体" w:hAnsi="宋体" w:eastAsia="宋体" w:cs="宋体"/>
          <w:b/>
          <w:bCs/>
          <w:sz w:val="21"/>
          <w:szCs w:val="21"/>
          <w:u w:val="single"/>
        </w:rPr>
        <w:t>合同专用条款</w:t>
      </w:r>
      <w:r>
        <w:rPr>
          <w:rFonts w:hint="eastAsia" w:ascii="宋体" w:hAnsi="宋体" w:eastAsia="宋体" w:cs="宋体"/>
          <w:sz w:val="21"/>
          <w:szCs w:val="21"/>
        </w:rPr>
        <w:t>的约定，定期提交服务报告，甲方按照</w:t>
      </w:r>
      <w:r>
        <w:rPr>
          <w:rFonts w:hint="eastAsia" w:ascii="宋体" w:hAnsi="宋体" w:eastAsia="宋体" w:cs="宋体"/>
          <w:b/>
          <w:bCs/>
          <w:sz w:val="21"/>
          <w:szCs w:val="21"/>
          <w:u w:val="single"/>
        </w:rPr>
        <w:t>合同专</w:t>
      </w:r>
    </w:p>
    <w:p w14:paraId="60B4DBDE">
      <w:pPr>
        <w:spacing w:line="263" w:lineRule="exact"/>
        <w:ind w:left="800"/>
        <w:rPr>
          <w:rFonts w:hint="eastAsia" w:ascii="宋体" w:hAnsi="宋体" w:eastAsia="宋体" w:cs="宋体"/>
          <w:b/>
          <w:bCs/>
          <w:sz w:val="21"/>
          <w:szCs w:val="21"/>
          <w:u w:val="single"/>
        </w:rPr>
        <w:sectPr>
          <w:pgSz w:w="11900" w:h="16838"/>
          <w:pgMar w:top="851" w:right="1440" w:bottom="655" w:left="1440" w:header="0" w:footer="567" w:gutter="0"/>
          <w:pgNumType w:fmt="decimal"/>
          <w:cols w:equalWidth="0" w:num="1">
            <w:col w:w="9026"/>
          </w:cols>
        </w:sectPr>
      </w:pPr>
    </w:p>
    <w:p w14:paraId="26C9EF41">
      <w:pPr>
        <w:spacing w:after="0" w:line="274" w:lineRule="exact"/>
        <w:ind w:left="0"/>
        <w:rPr>
          <w:rFonts w:hint="eastAsia" w:ascii="宋体" w:hAnsi="宋体" w:eastAsia="宋体" w:cs="宋体"/>
          <w:sz w:val="21"/>
          <w:szCs w:val="21"/>
        </w:rPr>
      </w:pPr>
      <w:bookmarkStart w:id="198" w:name="page2_2"/>
      <w:bookmarkEnd w:id="198"/>
      <w:r>
        <w:rPr>
          <w:rFonts w:hint="eastAsia" w:ascii="宋体" w:hAnsi="宋体" w:eastAsia="宋体" w:cs="宋体"/>
          <w:b/>
          <w:bCs/>
          <w:sz w:val="21"/>
          <w:szCs w:val="21"/>
          <w:u w:val="single"/>
        </w:rPr>
        <w:t>用条款</w:t>
      </w:r>
      <w:r>
        <w:rPr>
          <w:rFonts w:hint="eastAsia" w:ascii="宋体" w:hAnsi="宋体" w:eastAsia="宋体" w:cs="宋体"/>
          <w:sz w:val="21"/>
          <w:szCs w:val="21"/>
        </w:rPr>
        <w:t>的约定进行定期验收；</w:t>
      </w:r>
    </w:p>
    <w:p w14:paraId="455E524A">
      <w:pPr>
        <w:spacing w:after="0" w:line="206" w:lineRule="exact"/>
        <w:rPr>
          <w:rFonts w:hint="eastAsia" w:ascii="宋体" w:hAnsi="宋体" w:eastAsia="宋体" w:cs="宋体"/>
          <w:sz w:val="21"/>
          <w:szCs w:val="21"/>
        </w:rPr>
      </w:pPr>
    </w:p>
    <w:p w14:paraId="45CB0932">
      <w:pPr>
        <w:spacing w:after="0" w:line="263" w:lineRule="exact"/>
        <w:ind w:left="800"/>
        <w:rPr>
          <w:rFonts w:hint="eastAsia" w:ascii="宋体" w:hAnsi="宋体" w:eastAsia="宋体" w:cs="宋体"/>
          <w:sz w:val="21"/>
          <w:szCs w:val="21"/>
        </w:rPr>
      </w:pPr>
      <w:r>
        <w:rPr>
          <w:rFonts w:hint="eastAsia" w:ascii="宋体" w:hAnsi="宋体" w:eastAsia="宋体" w:cs="宋体"/>
          <w:sz w:val="21"/>
          <w:szCs w:val="21"/>
        </w:rPr>
        <w:t>2.15.2 合同期满或者履行完毕后，甲方有权组织（包括依法邀请国家认可的</w:t>
      </w:r>
    </w:p>
    <w:p w14:paraId="026083CA">
      <w:pPr>
        <w:spacing w:after="0" w:line="206" w:lineRule="exact"/>
        <w:rPr>
          <w:rFonts w:hint="eastAsia" w:ascii="宋体" w:hAnsi="宋体" w:eastAsia="宋体" w:cs="宋体"/>
          <w:sz w:val="21"/>
          <w:szCs w:val="21"/>
        </w:rPr>
      </w:pPr>
    </w:p>
    <w:p w14:paraId="70118128">
      <w:pPr>
        <w:spacing w:after="0" w:line="263" w:lineRule="exact"/>
        <w:ind w:left="360"/>
        <w:rPr>
          <w:rFonts w:hint="eastAsia" w:ascii="宋体" w:hAnsi="宋体" w:eastAsia="宋体" w:cs="宋体"/>
          <w:sz w:val="21"/>
          <w:szCs w:val="21"/>
        </w:rPr>
      </w:pPr>
      <w:r>
        <w:rPr>
          <w:rFonts w:hint="eastAsia" w:ascii="宋体" w:hAnsi="宋体" w:eastAsia="宋体" w:cs="宋体"/>
          <w:sz w:val="21"/>
          <w:szCs w:val="21"/>
        </w:rPr>
        <w:t>质量检测机构参加）对乙方履约的验收，即：按照合同约定的标准，组织对乙方</w:t>
      </w:r>
    </w:p>
    <w:p w14:paraId="7CB1F736">
      <w:pPr>
        <w:spacing w:after="0" w:line="206" w:lineRule="exact"/>
        <w:rPr>
          <w:rFonts w:hint="eastAsia" w:ascii="宋体" w:hAnsi="宋体" w:eastAsia="宋体" w:cs="宋体"/>
          <w:sz w:val="21"/>
          <w:szCs w:val="21"/>
        </w:rPr>
      </w:pPr>
    </w:p>
    <w:p w14:paraId="49D8AB8E">
      <w:pPr>
        <w:spacing w:after="0" w:line="263" w:lineRule="exact"/>
        <w:ind w:left="360"/>
        <w:rPr>
          <w:rFonts w:hint="eastAsia" w:ascii="宋体" w:hAnsi="宋体" w:eastAsia="宋体" w:cs="宋体"/>
          <w:sz w:val="21"/>
          <w:szCs w:val="21"/>
        </w:rPr>
      </w:pPr>
      <w:r>
        <w:rPr>
          <w:rFonts w:hint="eastAsia" w:ascii="宋体" w:hAnsi="宋体" w:eastAsia="宋体" w:cs="宋体"/>
          <w:sz w:val="21"/>
          <w:szCs w:val="21"/>
        </w:rPr>
        <w:t>履约情况的验收，并出具验收书；向社会公众提供的公共服务项目，验收时应当</w:t>
      </w:r>
    </w:p>
    <w:p w14:paraId="6B26CF29">
      <w:pPr>
        <w:spacing w:after="0" w:line="194" w:lineRule="exact"/>
        <w:rPr>
          <w:rFonts w:hint="eastAsia" w:ascii="宋体" w:hAnsi="宋体" w:eastAsia="宋体" w:cs="宋体"/>
          <w:sz w:val="21"/>
          <w:szCs w:val="21"/>
        </w:rPr>
      </w:pPr>
    </w:p>
    <w:p w14:paraId="733B3A70">
      <w:pPr>
        <w:spacing w:after="0" w:line="274" w:lineRule="exact"/>
        <w:ind w:left="360"/>
        <w:rPr>
          <w:rFonts w:hint="eastAsia" w:ascii="宋体" w:hAnsi="宋体" w:eastAsia="宋体" w:cs="宋体"/>
          <w:sz w:val="21"/>
          <w:szCs w:val="21"/>
        </w:rPr>
      </w:pPr>
      <w:r>
        <w:rPr>
          <w:rFonts w:hint="eastAsia" w:ascii="宋体" w:hAnsi="宋体" w:eastAsia="宋体" w:cs="宋体"/>
          <w:sz w:val="21"/>
          <w:szCs w:val="21"/>
        </w:rPr>
        <w:t>邀请服务对象参与并出具意见，验收结果应当向社会公告；</w:t>
      </w:r>
    </w:p>
    <w:p w14:paraId="552B165A">
      <w:pPr>
        <w:spacing w:after="0" w:line="206" w:lineRule="exact"/>
        <w:rPr>
          <w:rFonts w:hint="eastAsia" w:ascii="宋体" w:hAnsi="宋体" w:eastAsia="宋体" w:cs="宋体"/>
          <w:sz w:val="21"/>
          <w:szCs w:val="21"/>
        </w:rPr>
      </w:pPr>
    </w:p>
    <w:p w14:paraId="4E7C8353">
      <w:pPr>
        <w:spacing w:after="0" w:line="263" w:lineRule="exact"/>
        <w:ind w:left="800"/>
        <w:rPr>
          <w:rFonts w:hint="eastAsia" w:ascii="宋体" w:hAnsi="宋体" w:eastAsia="宋体" w:cs="宋体"/>
          <w:sz w:val="21"/>
          <w:szCs w:val="21"/>
        </w:rPr>
      </w:pPr>
      <w:r>
        <w:rPr>
          <w:rFonts w:hint="eastAsia" w:ascii="宋体" w:hAnsi="宋体" w:eastAsia="宋体" w:cs="宋体"/>
          <w:sz w:val="21"/>
          <w:szCs w:val="21"/>
        </w:rPr>
        <w:t>2.15.3 检验和验收标准、程序等具体内容以及前述验收书的效力详见</w:t>
      </w:r>
      <w:r>
        <w:rPr>
          <w:rFonts w:hint="eastAsia" w:ascii="宋体" w:hAnsi="宋体" w:eastAsia="宋体" w:cs="宋体"/>
          <w:b/>
          <w:bCs/>
          <w:sz w:val="21"/>
          <w:szCs w:val="21"/>
          <w:u w:val="single"/>
        </w:rPr>
        <w:t>合同专</w:t>
      </w:r>
    </w:p>
    <w:p w14:paraId="3123A6A9">
      <w:pPr>
        <w:spacing w:after="0" w:line="194" w:lineRule="exact"/>
        <w:rPr>
          <w:rFonts w:hint="eastAsia" w:ascii="宋体" w:hAnsi="宋体" w:eastAsia="宋体" w:cs="宋体"/>
          <w:sz w:val="21"/>
          <w:szCs w:val="21"/>
        </w:rPr>
      </w:pPr>
    </w:p>
    <w:p w14:paraId="49140226">
      <w:pPr>
        <w:spacing w:after="0" w:line="274" w:lineRule="exact"/>
        <w:ind w:left="360"/>
        <w:rPr>
          <w:rFonts w:hint="eastAsia" w:ascii="宋体" w:hAnsi="宋体" w:eastAsia="宋体" w:cs="宋体"/>
          <w:sz w:val="21"/>
          <w:szCs w:val="21"/>
        </w:rPr>
      </w:pPr>
      <w:r>
        <w:rPr>
          <w:rFonts w:hint="eastAsia" w:ascii="宋体" w:hAnsi="宋体" w:eastAsia="宋体" w:cs="宋体"/>
          <w:b/>
          <w:bCs/>
          <w:sz w:val="21"/>
          <w:szCs w:val="21"/>
          <w:u w:val="single"/>
        </w:rPr>
        <w:t>用条款</w:t>
      </w:r>
      <w:r>
        <w:rPr>
          <w:rFonts w:hint="eastAsia" w:ascii="宋体" w:hAnsi="宋体" w:eastAsia="宋体" w:cs="宋体"/>
          <w:sz w:val="21"/>
          <w:szCs w:val="21"/>
        </w:rPr>
        <w:t>。</w:t>
      </w:r>
    </w:p>
    <w:p w14:paraId="6C35CA4F">
      <w:pPr>
        <w:spacing w:after="0" w:line="194" w:lineRule="exact"/>
        <w:rPr>
          <w:rFonts w:hint="eastAsia" w:ascii="宋体" w:hAnsi="宋体" w:eastAsia="宋体" w:cs="宋体"/>
          <w:sz w:val="21"/>
          <w:szCs w:val="21"/>
        </w:rPr>
      </w:pPr>
    </w:p>
    <w:p w14:paraId="4D630870">
      <w:pPr>
        <w:spacing w:after="0" w:line="274" w:lineRule="exact"/>
        <w:ind w:left="800"/>
        <w:rPr>
          <w:rFonts w:hint="eastAsia" w:ascii="宋体" w:hAnsi="宋体" w:eastAsia="宋体" w:cs="宋体"/>
          <w:sz w:val="21"/>
          <w:szCs w:val="21"/>
        </w:rPr>
      </w:pPr>
      <w:r>
        <w:rPr>
          <w:rFonts w:hint="eastAsia" w:ascii="宋体" w:hAnsi="宋体" w:eastAsia="宋体" w:cs="宋体"/>
          <w:b/>
          <w:bCs/>
          <w:sz w:val="21"/>
          <w:szCs w:val="21"/>
        </w:rPr>
        <w:t>2.16 合同使用的文字和适用的法律</w:t>
      </w:r>
    </w:p>
    <w:p w14:paraId="2328FB7C">
      <w:pPr>
        <w:spacing w:after="0" w:line="194" w:lineRule="exact"/>
        <w:rPr>
          <w:rFonts w:hint="eastAsia" w:ascii="宋体" w:hAnsi="宋体" w:eastAsia="宋体" w:cs="宋体"/>
          <w:sz w:val="21"/>
          <w:szCs w:val="21"/>
        </w:rPr>
      </w:pPr>
    </w:p>
    <w:p w14:paraId="35F952A7">
      <w:pPr>
        <w:spacing w:after="0" w:line="274" w:lineRule="exact"/>
        <w:ind w:left="800"/>
        <w:rPr>
          <w:rFonts w:hint="eastAsia" w:ascii="宋体" w:hAnsi="宋体" w:eastAsia="宋体" w:cs="宋体"/>
          <w:sz w:val="21"/>
          <w:szCs w:val="21"/>
        </w:rPr>
      </w:pPr>
      <w:r>
        <w:rPr>
          <w:rFonts w:hint="eastAsia" w:ascii="宋体" w:hAnsi="宋体" w:eastAsia="宋体" w:cs="宋体"/>
          <w:sz w:val="21"/>
          <w:szCs w:val="21"/>
        </w:rPr>
        <w:t>2.16.1 合同使用汉语书就、变更和解释；</w:t>
      </w:r>
    </w:p>
    <w:p w14:paraId="386A25AA">
      <w:pPr>
        <w:spacing w:after="0" w:line="194" w:lineRule="exact"/>
        <w:rPr>
          <w:rFonts w:hint="eastAsia" w:ascii="宋体" w:hAnsi="宋体" w:eastAsia="宋体" w:cs="宋体"/>
          <w:sz w:val="21"/>
          <w:szCs w:val="21"/>
        </w:rPr>
      </w:pPr>
    </w:p>
    <w:p w14:paraId="29C1D74F">
      <w:pPr>
        <w:spacing w:after="0" w:line="274" w:lineRule="exact"/>
        <w:ind w:left="800"/>
        <w:rPr>
          <w:rFonts w:hint="eastAsia" w:ascii="宋体" w:hAnsi="宋体" w:eastAsia="宋体" w:cs="宋体"/>
          <w:sz w:val="21"/>
          <w:szCs w:val="21"/>
        </w:rPr>
      </w:pPr>
      <w:r>
        <w:rPr>
          <w:rFonts w:hint="eastAsia" w:ascii="宋体" w:hAnsi="宋体" w:eastAsia="宋体" w:cs="宋体"/>
          <w:sz w:val="21"/>
          <w:szCs w:val="21"/>
        </w:rPr>
        <w:t>2.16.2 合同适用中华人民共和国法律。</w:t>
      </w:r>
    </w:p>
    <w:p w14:paraId="3D90CE2A">
      <w:pPr>
        <w:spacing w:after="0" w:line="194" w:lineRule="exact"/>
        <w:rPr>
          <w:rFonts w:hint="eastAsia" w:ascii="宋体" w:hAnsi="宋体" w:eastAsia="宋体" w:cs="宋体"/>
          <w:sz w:val="21"/>
          <w:szCs w:val="21"/>
        </w:rPr>
      </w:pPr>
    </w:p>
    <w:p w14:paraId="5EF42607">
      <w:pPr>
        <w:spacing w:after="0" w:line="274" w:lineRule="exact"/>
        <w:ind w:left="800"/>
        <w:rPr>
          <w:rFonts w:hint="eastAsia" w:ascii="宋体" w:hAnsi="宋体" w:eastAsia="宋体" w:cs="宋体"/>
          <w:sz w:val="21"/>
          <w:szCs w:val="21"/>
        </w:rPr>
      </w:pPr>
      <w:r>
        <w:rPr>
          <w:rFonts w:hint="eastAsia" w:ascii="宋体" w:hAnsi="宋体" w:eastAsia="宋体" w:cs="宋体"/>
          <w:b/>
          <w:bCs/>
          <w:sz w:val="21"/>
          <w:szCs w:val="21"/>
        </w:rPr>
        <w:t>2.17 履约保证金</w:t>
      </w:r>
    </w:p>
    <w:p w14:paraId="67E7CE22">
      <w:pPr>
        <w:spacing w:after="0" w:line="206" w:lineRule="exact"/>
        <w:rPr>
          <w:rFonts w:hint="eastAsia" w:ascii="宋体" w:hAnsi="宋体" w:eastAsia="宋体" w:cs="宋体"/>
          <w:sz w:val="21"/>
          <w:szCs w:val="21"/>
        </w:rPr>
      </w:pPr>
    </w:p>
    <w:p w14:paraId="7FC8935F">
      <w:pPr>
        <w:spacing w:after="0" w:line="263" w:lineRule="exact"/>
        <w:ind w:left="800"/>
        <w:rPr>
          <w:rFonts w:hint="eastAsia" w:ascii="宋体" w:hAnsi="宋体" w:eastAsia="宋体" w:cs="宋体"/>
          <w:sz w:val="21"/>
          <w:szCs w:val="21"/>
        </w:rPr>
      </w:pPr>
      <w:r>
        <w:rPr>
          <w:rFonts w:hint="eastAsia" w:ascii="宋体" w:hAnsi="宋体" w:eastAsia="宋体" w:cs="宋体"/>
          <w:sz w:val="21"/>
          <w:szCs w:val="21"/>
        </w:rPr>
        <w:t>2.17.1 采购文件要求乙方提交履约保证金的，乙方应按</w:t>
      </w:r>
      <w:r>
        <w:rPr>
          <w:rFonts w:hint="eastAsia" w:ascii="宋体" w:hAnsi="宋体" w:eastAsia="宋体" w:cs="宋体"/>
          <w:b/>
          <w:bCs/>
          <w:sz w:val="21"/>
          <w:szCs w:val="21"/>
          <w:u w:val="single"/>
        </w:rPr>
        <w:t>合同专用条款</w:t>
      </w:r>
      <w:r>
        <w:rPr>
          <w:rFonts w:hint="eastAsia" w:ascii="宋体" w:hAnsi="宋体" w:eastAsia="宋体" w:cs="宋体"/>
          <w:sz w:val="21"/>
          <w:szCs w:val="21"/>
        </w:rPr>
        <w:t>约定的</w:t>
      </w:r>
    </w:p>
    <w:p w14:paraId="2AB160FC">
      <w:pPr>
        <w:spacing w:after="0" w:line="206" w:lineRule="exact"/>
        <w:rPr>
          <w:rFonts w:hint="eastAsia" w:ascii="宋体" w:hAnsi="宋体" w:eastAsia="宋体" w:cs="宋体"/>
          <w:sz w:val="21"/>
          <w:szCs w:val="21"/>
        </w:rPr>
      </w:pPr>
    </w:p>
    <w:p w14:paraId="09C99BDC">
      <w:pPr>
        <w:spacing w:after="0" w:line="263" w:lineRule="exact"/>
        <w:ind w:left="360"/>
        <w:rPr>
          <w:rFonts w:hint="eastAsia" w:ascii="宋体" w:hAnsi="宋体" w:eastAsia="宋体" w:cs="宋体"/>
          <w:sz w:val="21"/>
          <w:szCs w:val="21"/>
        </w:rPr>
      </w:pPr>
      <w:r>
        <w:rPr>
          <w:rFonts w:hint="eastAsia" w:ascii="宋体" w:hAnsi="宋体" w:eastAsia="宋体" w:cs="宋体"/>
          <w:sz w:val="21"/>
          <w:szCs w:val="21"/>
        </w:rPr>
        <w:t>方式，以支票、汇票、本票或者金融机构、担保机构出具的保函等非现金形式提</w:t>
      </w:r>
    </w:p>
    <w:p w14:paraId="6F0E2B9B">
      <w:pPr>
        <w:spacing w:after="0" w:line="194" w:lineRule="exact"/>
        <w:rPr>
          <w:rFonts w:hint="eastAsia" w:ascii="宋体" w:hAnsi="宋体" w:eastAsia="宋体" w:cs="宋体"/>
          <w:sz w:val="21"/>
          <w:szCs w:val="21"/>
        </w:rPr>
      </w:pPr>
    </w:p>
    <w:p w14:paraId="2EC85DB0">
      <w:pPr>
        <w:spacing w:after="0" w:line="274" w:lineRule="exact"/>
        <w:ind w:left="360"/>
        <w:rPr>
          <w:rFonts w:hint="eastAsia" w:ascii="宋体" w:hAnsi="宋体" w:eastAsia="宋体" w:cs="宋体"/>
          <w:sz w:val="21"/>
          <w:szCs w:val="21"/>
        </w:rPr>
      </w:pPr>
      <w:r>
        <w:rPr>
          <w:rFonts w:hint="eastAsia" w:ascii="宋体" w:hAnsi="宋体" w:eastAsia="宋体" w:cs="宋体"/>
          <w:sz w:val="21"/>
          <w:szCs w:val="21"/>
        </w:rPr>
        <w:t>交；</w:t>
      </w:r>
    </w:p>
    <w:p w14:paraId="2D1D9EA4">
      <w:pPr>
        <w:spacing w:after="0" w:line="206" w:lineRule="exact"/>
        <w:rPr>
          <w:rFonts w:hint="eastAsia" w:ascii="宋体" w:hAnsi="宋体" w:eastAsia="宋体" w:cs="宋体"/>
          <w:sz w:val="21"/>
          <w:szCs w:val="21"/>
        </w:rPr>
      </w:pPr>
    </w:p>
    <w:p w14:paraId="61E20583">
      <w:pPr>
        <w:spacing w:after="0" w:line="263" w:lineRule="exact"/>
        <w:ind w:left="800"/>
        <w:rPr>
          <w:rFonts w:hint="eastAsia" w:ascii="宋体" w:hAnsi="宋体" w:eastAsia="宋体" w:cs="宋体"/>
          <w:sz w:val="21"/>
          <w:szCs w:val="21"/>
        </w:rPr>
      </w:pPr>
      <w:r>
        <w:rPr>
          <w:rFonts w:hint="eastAsia" w:ascii="宋体" w:hAnsi="宋体" w:eastAsia="宋体" w:cs="宋体"/>
          <w:sz w:val="21"/>
          <w:szCs w:val="21"/>
        </w:rPr>
        <w:t>2.17.2 履约保证金在</w:t>
      </w:r>
      <w:r>
        <w:rPr>
          <w:rFonts w:hint="eastAsia" w:ascii="宋体" w:hAnsi="宋体" w:eastAsia="宋体" w:cs="宋体"/>
          <w:b/>
          <w:bCs/>
          <w:sz w:val="21"/>
          <w:szCs w:val="21"/>
          <w:u w:val="single"/>
        </w:rPr>
        <w:t>合同专用条款</w:t>
      </w:r>
      <w:r>
        <w:rPr>
          <w:rFonts w:hint="eastAsia" w:ascii="宋体" w:hAnsi="宋体" w:eastAsia="宋体" w:cs="宋体"/>
          <w:sz w:val="21"/>
          <w:szCs w:val="21"/>
        </w:rPr>
        <w:t>约定期间内不予退还或者应完全有效，前</w:t>
      </w:r>
    </w:p>
    <w:p w14:paraId="63035EF2">
      <w:pPr>
        <w:spacing w:after="0" w:line="194" w:lineRule="exact"/>
        <w:rPr>
          <w:rFonts w:hint="eastAsia" w:ascii="宋体" w:hAnsi="宋体" w:eastAsia="宋体" w:cs="宋体"/>
          <w:sz w:val="21"/>
          <w:szCs w:val="21"/>
        </w:rPr>
      </w:pPr>
    </w:p>
    <w:p w14:paraId="7F7F444A">
      <w:pPr>
        <w:tabs>
          <w:tab w:val="left" w:pos="3100"/>
        </w:tabs>
        <w:spacing w:after="0" w:line="274" w:lineRule="exact"/>
        <w:ind w:left="360"/>
        <w:rPr>
          <w:rFonts w:hint="eastAsia" w:ascii="宋体" w:hAnsi="宋体" w:eastAsia="宋体" w:cs="宋体"/>
          <w:sz w:val="21"/>
          <w:szCs w:val="21"/>
        </w:rPr>
      </w:pPr>
      <w:r>
        <w:rPr>
          <w:rFonts w:hint="eastAsia" w:ascii="宋体" w:hAnsi="宋体" w:eastAsia="宋体" w:cs="宋体"/>
          <w:sz w:val="21"/>
          <w:szCs w:val="21"/>
        </w:rPr>
        <w:t>述约定期间届满之日起</w:t>
      </w: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rPr>
        <w:t>个工作日内，甲方应将履约保证金退还乙方，甲方逾</w:t>
      </w:r>
    </w:p>
    <w:p w14:paraId="4741E8E8">
      <w:pPr>
        <w:spacing w:after="0" w:line="20" w:lineRule="exact"/>
        <w:rPr>
          <w:rFonts w:hint="eastAsia" w:ascii="宋体" w:hAnsi="宋体" w:eastAsia="宋体" w:cs="宋体"/>
          <w:sz w:val="21"/>
          <w:szCs w:val="21"/>
        </w:rPr>
      </w:pPr>
    </w:p>
    <w:p w14:paraId="729CFF02">
      <w:pPr>
        <w:spacing w:after="0" w:line="174" w:lineRule="exact"/>
        <w:rPr>
          <w:rFonts w:hint="eastAsia" w:ascii="宋体" w:hAnsi="宋体" w:eastAsia="宋体" w:cs="宋体"/>
          <w:sz w:val="21"/>
          <w:szCs w:val="21"/>
        </w:rPr>
      </w:pPr>
    </w:p>
    <w:p w14:paraId="7ADF2E8A">
      <w:pPr>
        <w:spacing w:after="0" w:line="274" w:lineRule="exact"/>
        <w:ind w:left="360"/>
        <w:rPr>
          <w:rFonts w:hint="eastAsia" w:ascii="宋体" w:hAnsi="宋体" w:eastAsia="宋体" w:cs="宋体"/>
          <w:sz w:val="21"/>
          <w:szCs w:val="21"/>
        </w:rPr>
      </w:pPr>
      <w:r>
        <w:rPr>
          <w:rFonts w:hint="eastAsia" w:ascii="宋体" w:hAnsi="宋体" w:eastAsia="宋体" w:cs="宋体"/>
          <w:sz w:val="21"/>
          <w:szCs w:val="21"/>
        </w:rPr>
        <w:t>期退还履约保证金应承担违约责任。</w:t>
      </w:r>
    </w:p>
    <w:p w14:paraId="54647618">
      <w:pPr>
        <w:spacing w:after="0" w:line="206" w:lineRule="exact"/>
        <w:rPr>
          <w:rFonts w:hint="eastAsia" w:ascii="宋体" w:hAnsi="宋体" w:eastAsia="宋体" w:cs="宋体"/>
          <w:sz w:val="21"/>
          <w:szCs w:val="21"/>
        </w:rPr>
      </w:pPr>
    </w:p>
    <w:p w14:paraId="01B85F6B">
      <w:pPr>
        <w:spacing w:after="0" w:line="263" w:lineRule="exact"/>
        <w:ind w:left="800"/>
        <w:rPr>
          <w:rFonts w:hint="eastAsia" w:ascii="宋体" w:hAnsi="宋体" w:eastAsia="宋体" w:cs="宋体"/>
          <w:sz w:val="21"/>
          <w:szCs w:val="21"/>
        </w:rPr>
      </w:pPr>
      <w:r>
        <w:rPr>
          <w:rFonts w:hint="eastAsia" w:ascii="宋体" w:hAnsi="宋体" w:eastAsia="宋体" w:cs="宋体"/>
          <w:sz w:val="21"/>
          <w:szCs w:val="21"/>
        </w:rPr>
        <w:t>2.17.3 如果乙方不履行合同，履约保证金不予退还；如果乙方未能按合同约</w:t>
      </w:r>
    </w:p>
    <w:p w14:paraId="6CF7C1D7">
      <w:pPr>
        <w:spacing w:after="0" w:line="206" w:lineRule="exact"/>
        <w:rPr>
          <w:rFonts w:hint="eastAsia" w:ascii="宋体" w:hAnsi="宋体" w:eastAsia="宋体" w:cs="宋体"/>
          <w:sz w:val="21"/>
          <w:szCs w:val="21"/>
        </w:rPr>
      </w:pPr>
    </w:p>
    <w:p w14:paraId="3CA001D3">
      <w:pPr>
        <w:spacing w:after="0" w:line="263" w:lineRule="exact"/>
        <w:ind w:left="360"/>
        <w:rPr>
          <w:rFonts w:hint="eastAsia" w:ascii="宋体" w:hAnsi="宋体" w:eastAsia="宋体" w:cs="宋体"/>
          <w:sz w:val="21"/>
          <w:szCs w:val="21"/>
        </w:rPr>
      </w:pPr>
      <w:r>
        <w:rPr>
          <w:rFonts w:hint="eastAsia" w:ascii="宋体" w:hAnsi="宋体" w:eastAsia="宋体" w:cs="宋体"/>
          <w:sz w:val="21"/>
          <w:szCs w:val="21"/>
        </w:rPr>
        <w:t>定全面履行义务，那么甲方有权从履约保证金中取得补偿或赔偿，同时不影响甲</w:t>
      </w:r>
    </w:p>
    <w:p w14:paraId="214AE9F3">
      <w:pPr>
        <w:spacing w:after="0" w:line="194" w:lineRule="exact"/>
        <w:rPr>
          <w:rFonts w:hint="eastAsia" w:ascii="宋体" w:hAnsi="宋体" w:eastAsia="宋体" w:cs="宋体"/>
          <w:sz w:val="21"/>
          <w:szCs w:val="21"/>
        </w:rPr>
      </w:pPr>
    </w:p>
    <w:p w14:paraId="55DC7A67">
      <w:pPr>
        <w:spacing w:after="0" w:line="274" w:lineRule="exact"/>
        <w:ind w:left="360"/>
        <w:rPr>
          <w:rFonts w:hint="eastAsia" w:ascii="宋体" w:hAnsi="宋体" w:eastAsia="宋体" w:cs="宋体"/>
          <w:sz w:val="21"/>
          <w:szCs w:val="21"/>
        </w:rPr>
      </w:pPr>
      <w:r>
        <w:rPr>
          <w:rFonts w:hint="eastAsia" w:ascii="宋体" w:hAnsi="宋体" w:eastAsia="宋体" w:cs="宋体"/>
          <w:sz w:val="21"/>
          <w:szCs w:val="21"/>
        </w:rPr>
        <w:t>方要求乙方承担合同约定的超过履约保证金的违约责任的权利。</w:t>
      </w:r>
    </w:p>
    <w:p w14:paraId="30199DA1">
      <w:pPr>
        <w:spacing w:after="0" w:line="194" w:lineRule="exact"/>
        <w:rPr>
          <w:rFonts w:hint="eastAsia" w:ascii="宋体" w:hAnsi="宋体" w:eastAsia="宋体" w:cs="宋体"/>
          <w:sz w:val="21"/>
          <w:szCs w:val="21"/>
        </w:rPr>
      </w:pPr>
    </w:p>
    <w:p w14:paraId="2365656B">
      <w:pPr>
        <w:spacing w:after="0" w:line="274" w:lineRule="exact"/>
        <w:ind w:left="800"/>
        <w:rPr>
          <w:rFonts w:hint="eastAsia" w:ascii="宋体" w:hAnsi="宋体" w:eastAsia="宋体" w:cs="宋体"/>
          <w:sz w:val="21"/>
          <w:szCs w:val="21"/>
        </w:rPr>
      </w:pPr>
      <w:r>
        <w:rPr>
          <w:rFonts w:hint="eastAsia" w:ascii="宋体" w:hAnsi="宋体" w:eastAsia="宋体" w:cs="宋体"/>
          <w:b/>
          <w:bCs/>
          <w:sz w:val="21"/>
          <w:szCs w:val="21"/>
        </w:rPr>
        <w:t>2.18 合同份数</w:t>
      </w:r>
    </w:p>
    <w:p w14:paraId="183424D7">
      <w:pPr>
        <w:spacing w:after="0" w:line="194" w:lineRule="exact"/>
        <w:rPr>
          <w:rFonts w:hint="eastAsia" w:ascii="宋体" w:hAnsi="宋体" w:eastAsia="宋体" w:cs="宋体"/>
          <w:sz w:val="21"/>
          <w:szCs w:val="21"/>
        </w:rPr>
      </w:pPr>
    </w:p>
    <w:p w14:paraId="65878E2B">
      <w:pPr>
        <w:spacing w:line="274" w:lineRule="exact"/>
        <w:ind w:left="800"/>
        <w:rPr>
          <w:rFonts w:hint="eastAsia" w:ascii="宋体" w:hAnsi="宋体" w:eastAsia="宋体" w:cs="宋体"/>
          <w:sz w:val="21"/>
          <w:szCs w:val="21"/>
        </w:rPr>
        <w:sectPr>
          <w:pgSz w:w="11900" w:h="16838"/>
          <w:pgMar w:top="851" w:right="1440" w:bottom="655" w:left="1440" w:header="0" w:footer="567" w:gutter="0"/>
          <w:pgNumType w:fmt="decimal"/>
          <w:cols w:equalWidth="0" w:num="1">
            <w:col w:w="9026"/>
          </w:cols>
        </w:sectPr>
      </w:pPr>
      <w:r>
        <w:rPr>
          <w:rFonts w:hint="eastAsia" w:ascii="宋体" w:hAnsi="宋体" w:eastAsia="宋体" w:cs="宋体"/>
          <w:sz w:val="21"/>
          <w:szCs w:val="21"/>
        </w:rPr>
        <w:t>合同份数按</w:t>
      </w:r>
      <w:r>
        <w:rPr>
          <w:rFonts w:hint="eastAsia" w:ascii="宋体" w:hAnsi="宋体" w:eastAsia="宋体" w:cs="宋体"/>
          <w:b/>
          <w:bCs/>
          <w:sz w:val="21"/>
          <w:szCs w:val="21"/>
          <w:u w:val="single"/>
        </w:rPr>
        <w:t>合同专用条款</w:t>
      </w:r>
      <w:r>
        <w:rPr>
          <w:rFonts w:hint="eastAsia" w:ascii="宋体" w:hAnsi="宋体" w:eastAsia="宋体" w:cs="宋体"/>
          <w:sz w:val="21"/>
          <w:szCs w:val="21"/>
        </w:rPr>
        <w:t>规定，每份均具有同等法律效</w:t>
      </w:r>
    </w:p>
    <w:p w14:paraId="787A8E38">
      <w:pPr>
        <w:spacing w:after="0" w:line="241" w:lineRule="exact"/>
        <w:rPr>
          <w:rFonts w:hint="eastAsia" w:ascii="宋体" w:hAnsi="宋体" w:eastAsia="宋体" w:cs="宋体"/>
          <w:sz w:val="21"/>
          <w:szCs w:val="21"/>
        </w:rPr>
      </w:pPr>
      <w:bookmarkStart w:id="199" w:name="page1_3"/>
      <w:bookmarkEnd w:id="199"/>
    </w:p>
    <w:p w14:paraId="7E30A17A">
      <w:pPr>
        <w:spacing w:after="0" w:line="274" w:lineRule="exact"/>
        <w:ind w:left="3240"/>
        <w:rPr>
          <w:rFonts w:hint="eastAsia" w:ascii="宋体" w:hAnsi="宋体" w:eastAsia="宋体" w:cs="宋体"/>
          <w:sz w:val="21"/>
          <w:szCs w:val="21"/>
        </w:rPr>
      </w:pPr>
      <w:r>
        <w:rPr>
          <w:rFonts w:hint="eastAsia" w:ascii="宋体" w:hAnsi="宋体" w:eastAsia="宋体" w:cs="宋体"/>
          <w:b/>
          <w:bCs/>
          <w:sz w:val="21"/>
          <w:szCs w:val="21"/>
        </w:rPr>
        <w:t>第三部分 合同专用条款</w:t>
      </w:r>
    </w:p>
    <w:p w14:paraId="318C64F3">
      <w:pPr>
        <w:spacing w:after="0" w:line="206" w:lineRule="exact"/>
        <w:rPr>
          <w:rFonts w:hint="eastAsia" w:ascii="宋体" w:hAnsi="宋体" w:eastAsia="宋体" w:cs="宋体"/>
          <w:sz w:val="21"/>
          <w:szCs w:val="21"/>
        </w:rPr>
      </w:pPr>
    </w:p>
    <w:p w14:paraId="02CDACEF">
      <w:pPr>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本部分是对前两部分的补充和修改，如果前两部分和本部分的约定不一致，应以本部分的约定为准。本部分的条款号应与前两部分的条款号保持对应；与前两部分无对应关系的内容可另行编制条款号。</w:t>
      </w:r>
    </w:p>
    <w:p w14:paraId="78083547">
      <w:pPr>
        <w:spacing w:after="0" w:line="274" w:lineRule="exact"/>
        <w:ind w:left="360"/>
        <w:rPr>
          <w:rFonts w:hint="eastAsia" w:ascii="宋体" w:hAnsi="宋体" w:eastAsia="宋体" w:cs="宋体"/>
          <w:sz w:val="21"/>
          <w:szCs w:val="21"/>
        </w:rPr>
      </w:pPr>
    </w:p>
    <w:tbl>
      <w:tblPr>
        <w:tblStyle w:val="26"/>
        <w:tblW w:w="0" w:type="auto"/>
        <w:tblInd w:w="4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gridCol w:w="7642"/>
      </w:tblGrid>
      <w:tr w14:paraId="67322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151" w:type="dxa"/>
            <w:vAlign w:val="center"/>
          </w:tcPr>
          <w:p w14:paraId="67B7ED24">
            <w:pPr>
              <w:spacing w:after="0" w:line="274" w:lineRule="exact"/>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条款号</w:t>
            </w:r>
          </w:p>
        </w:tc>
        <w:tc>
          <w:tcPr>
            <w:tcW w:w="7642" w:type="dxa"/>
            <w:vAlign w:val="center"/>
          </w:tcPr>
          <w:p w14:paraId="53F61D07">
            <w:pPr>
              <w:spacing w:after="0" w:line="274" w:lineRule="exact"/>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约定内容</w:t>
            </w:r>
          </w:p>
        </w:tc>
      </w:tr>
      <w:tr w14:paraId="33D62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151" w:type="dxa"/>
          </w:tcPr>
          <w:p w14:paraId="42031EFA">
            <w:pPr>
              <w:spacing w:after="0" w:line="274" w:lineRule="exact"/>
              <w:rPr>
                <w:rFonts w:hint="eastAsia" w:ascii="宋体" w:hAnsi="宋体" w:eastAsia="宋体" w:cs="宋体"/>
                <w:sz w:val="21"/>
                <w:szCs w:val="21"/>
                <w:vertAlign w:val="baseline"/>
              </w:rPr>
            </w:pPr>
          </w:p>
        </w:tc>
        <w:tc>
          <w:tcPr>
            <w:tcW w:w="7642" w:type="dxa"/>
          </w:tcPr>
          <w:p w14:paraId="70B241CC">
            <w:pPr>
              <w:spacing w:after="0" w:line="274" w:lineRule="exact"/>
              <w:rPr>
                <w:rFonts w:hint="eastAsia" w:ascii="宋体" w:hAnsi="宋体" w:eastAsia="宋体" w:cs="宋体"/>
                <w:sz w:val="21"/>
                <w:szCs w:val="21"/>
                <w:vertAlign w:val="baseline"/>
              </w:rPr>
            </w:pPr>
          </w:p>
        </w:tc>
      </w:tr>
      <w:tr w14:paraId="0D689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151" w:type="dxa"/>
          </w:tcPr>
          <w:p w14:paraId="3668DC02">
            <w:pPr>
              <w:spacing w:after="0" w:line="274" w:lineRule="exact"/>
              <w:rPr>
                <w:rFonts w:hint="eastAsia" w:ascii="宋体" w:hAnsi="宋体" w:eastAsia="宋体" w:cs="宋体"/>
                <w:sz w:val="21"/>
                <w:szCs w:val="21"/>
                <w:vertAlign w:val="baseline"/>
              </w:rPr>
            </w:pPr>
          </w:p>
        </w:tc>
        <w:tc>
          <w:tcPr>
            <w:tcW w:w="7642" w:type="dxa"/>
          </w:tcPr>
          <w:p w14:paraId="263245AB">
            <w:pPr>
              <w:spacing w:after="0" w:line="274" w:lineRule="exact"/>
              <w:rPr>
                <w:rFonts w:hint="eastAsia" w:ascii="宋体" w:hAnsi="宋体" w:eastAsia="宋体" w:cs="宋体"/>
                <w:sz w:val="21"/>
                <w:szCs w:val="21"/>
                <w:vertAlign w:val="baseline"/>
              </w:rPr>
            </w:pPr>
          </w:p>
        </w:tc>
      </w:tr>
      <w:tr w14:paraId="08002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151" w:type="dxa"/>
          </w:tcPr>
          <w:p w14:paraId="3B98E1E5">
            <w:pPr>
              <w:spacing w:after="0" w:line="274" w:lineRule="exact"/>
              <w:rPr>
                <w:rFonts w:hint="eastAsia" w:ascii="宋体" w:hAnsi="宋体" w:eastAsia="宋体" w:cs="宋体"/>
                <w:sz w:val="21"/>
                <w:szCs w:val="21"/>
                <w:vertAlign w:val="baseline"/>
              </w:rPr>
            </w:pPr>
          </w:p>
        </w:tc>
        <w:tc>
          <w:tcPr>
            <w:tcW w:w="7642" w:type="dxa"/>
          </w:tcPr>
          <w:p w14:paraId="1246AE70">
            <w:pPr>
              <w:spacing w:after="0" w:line="274" w:lineRule="exact"/>
              <w:rPr>
                <w:rFonts w:hint="eastAsia" w:ascii="宋体" w:hAnsi="宋体" w:eastAsia="宋体" w:cs="宋体"/>
                <w:sz w:val="21"/>
                <w:szCs w:val="21"/>
                <w:vertAlign w:val="baseline"/>
              </w:rPr>
            </w:pPr>
          </w:p>
        </w:tc>
      </w:tr>
      <w:tr w14:paraId="2B1F4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151" w:type="dxa"/>
          </w:tcPr>
          <w:p w14:paraId="7CD1CC79">
            <w:pPr>
              <w:spacing w:after="0" w:line="274" w:lineRule="exact"/>
              <w:rPr>
                <w:rFonts w:hint="eastAsia" w:ascii="宋体" w:hAnsi="宋体" w:eastAsia="宋体" w:cs="宋体"/>
                <w:sz w:val="21"/>
                <w:szCs w:val="21"/>
                <w:vertAlign w:val="baseline"/>
              </w:rPr>
            </w:pPr>
          </w:p>
        </w:tc>
        <w:tc>
          <w:tcPr>
            <w:tcW w:w="7642" w:type="dxa"/>
          </w:tcPr>
          <w:p w14:paraId="54EE9C07">
            <w:pPr>
              <w:spacing w:after="0" w:line="274" w:lineRule="exact"/>
              <w:rPr>
                <w:rFonts w:hint="eastAsia" w:ascii="宋体" w:hAnsi="宋体" w:eastAsia="宋体" w:cs="宋体"/>
                <w:sz w:val="21"/>
                <w:szCs w:val="21"/>
                <w:vertAlign w:val="baseline"/>
              </w:rPr>
            </w:pPr>
          </w:p>
        </w:tc>
      </w:tr>
    </w:tbl>
    <w:p w14:paraId="6E025F43">
      <w:pPr>
        <w:spacing w:line="360" w:lineRule="auto"/>
        <w:jc w:val="center"/>
        <w:rPr>
          <w:rFonts w:hint="eastAsia" w:ascii="宋体" w:hAnsi="宋体" w:eastAsia="宋体" w:cs="宋体"/>
          <w:sz w:val="21"/>
          <w:szCs w:val="21"/>
        </w:rPr>
        <w:sectPr>
          <w:footerReference r:id="rId11" w:type="first"/>
          <w:footerReference r:id="rId10" w:type="default"/>
          <w:pgSz w:w="11906" w:h="16838"/>
          <w:pgMar w:top="1361" w:right="1361" w:bottom="1361" w:left="1361" w:header="624" w:footer="1020" w:gutter="113"/>
          <w:pgNumType w:fmt="decimal"/>
          <w:cols w:space="720" w:num="1"/>
          <w:titlePg/>
          <w:docGrid w:type="lines" w:linePitch="316" w:charSpace="0"/>
        </w:sectPr>
      </w:pPr>
    </w:p>
    <w:p w14:paraId="46051DBD">
      <w:pPr>
        <w:numPr>
          <w:ilvl w:val="0"/>
          <w:numId w:val="2"/>
        </w:numPr>
        <w:spacing w:line="360" w:lineRule="auto"/>
        <w:jc w:val="center"/>
        <w:outlineLvl w:val="0"/>
        <w:rPr>
          <w:rFonts w:hint="eastAsia" w:ascii="宋体" w:hAnsi="宋体" w:cs="宋体"/>
          <w:b/>
          <w:bCs/>
          <w:color w:val="auto"/>
          <w:sz w:val="24"/>
          <w:highlight w:val="none"/>
        </w:rPr>
      </w:pPr>
      <w:r>
        <w:rPr>
          <w:rFonts w:hint="eastAsia" w:ascii="宋体" w:hAnsi="宋体" w:cs="宋体"/>
          <w:b/>
          <w:bCs/>
          <w:color w:val="auto"/>
          <w:kern w:val="44"/>
          <w:sz w:val="44"/>
          <w:szCs w:val="44"/>
          <w:highlight w:val="none"/>
        </w:rPr>
        <w:t xml:space="preserve"> </w:t>
      </w:r>
      <w:bookmarkStart w:id="200" w:name="_Toc25138"/>
      <w:r>
        <w:rPr>
          <w:rFonts w:hint="eastAsia" w:ascii="宋体" w:hAnsi="宋体" w:cs="宋体"/>
          <w:b/>
          <w:bCs/>
          <w:color w:val="auto"/>
          <w:kern w:val="44"/>
          <w:sz w:val="44"/>
          <w:szCs w:val="44"/>
          <w:highlight w:val="none"/>
          <w:lang w:val="en-US" w:eastAsia="zh-CN"/>
        </w:rPr>
        <w:t>采购</w:t>
      </w:r>
      <w:r>
        <w:rPr>
          <w:rFonts w:hint="eastAsia" w:ascii="宋体" w:hAnsi="宋体" w:cs="宋体"/>
          <w:b/>
          <w:bCs/>
          <w:color w:val="auto"/>
          <w:kern w:val="44"/>
          <w:sz w:val="44"/>
          <w:szCs w:val="44"/>
          <w:highlight w:val="none"/>
        </w:rPr>
        <w:t>需求</w:t>
      </w:r>
      <w:bookmarkEnd w:id="200"/>
    </w:p>
    <w:bookmarkEnd w:id="185"/>
    <w:bookmarkEnd w:id="186"/>
    <w:bookmarkEnd w:id="187"/>
    <w:bookmarkEnd w:id="188"/>
    <w:bookmarkEnd w:id="189"/>
    <w:bookmarkEnd w:id="190"/>
    <w:bookmarkEnd w:id="191"/>
    <w:p w14:paraId="76725589">
      <w:pPr>
        <w:rPr>
          <w:rFonts w:hint="eastAsia"/>
        </w:rPr>
      </w:pPr>
      <w:bookmarkStart w:id="201" w:name="_Toc152042575"/>
      <w:bookmarkStart w:id="202" w:name="_Toc247085872"/>
      <w:bookmarkStart w:id="203" w:name="_Toc246997097"/>
      <w:bookmarkStart w:id="204" w:name="_Toc179632806"/>
      <w:bookmarkStart w:id="205" w:name="_Toc246996354"/>
      <w:bookmarkStart w:id="206" w:name="_Toc152045786"/>
      <w:bookmarkStart w:id="207" w:name="_Toc144974855"/>
    </w:p>
    <w:bookmarkEnd w:id="201"/>
    <w:bookmarkEnd w:id="202"/>
    <w:bookmarkEnd w:id="203"/>
    <w:bookmarkEnd w:id="204"/>
    <w:bookmarkEnd w:id="205"/>
    <w:bookmarkEnd w:id="206"/>
    <w:bookmarkEnd w:id="207"/>
    <w:tbl>
      <w:tblPr>
        <w:tblStyle w:val="25"/>
        <w:tblpPr w:leftFromText="180" w:rightFromText="180" w:vertAnchor="text" w:horzAnchor="page" w:tblpXSpec="center" w:tblpY="66"/>
        <w:tblOverlap w:val="never"/>
        <w:tblW w:w="8053"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545"/>
        <w:gridCol w:w="1665"/>
        <w:gridCol w:w="1650"/>
        <w:gridCol w:w="1493"/>
        <w:gridCol w:w="1700"/>
      </w:tblGrid>
      <w:tr w14:paraId="5F03123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26" w:hRule="atLeast"/>
          <w:jc w:val="center"/>
        </w:trPr>
        <w:tc>
          <w:tcPr>
            <w:tcW w:w="1545" w:type="dxa"/>
            <w:tcBorders>
              <w:tl2br w:val="nil"/>
              <w:tr2bl w:val="nil"/>
            </w:tcBorders>
            <w:noWrap w:val="0"/>
            <w:vAlign w:val="center"/>
          </w:tcPr>
          <w:p w14:paraId="073B7D4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设备名称</w:t>
            </w:r>
          </w:p>
        </w:tc>
        <w:tc>
          <w:tcPr>
            <w:tcW w:w="1665" w:type="dxa"/>
            <w:tcBorders>
              <w:tl2br w:val="nil"/>
              <w:tr2bl w:val="nil"/>
            </w:tcBorders>
            <w:noWrap w:val="0"/>
            <w:vAlign w:val="center"/>
          </w:tcPr>
          <w:p w14:paraId="5B1F547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品牌</w:t>
            </w:r>
          </w:p>
        </w:tc>
        <w:tc>
          <w:tcPr>
            <w:tcW w:w="1650" w:type="dxa"/>
            <w:tcBorders>
              <w:tl2br w:val="nil"/>
              <w:tr2bl w:val="nil"/>
            </w:tcBorders>
            <w:noWrap w:val="0"/>
            <w:vAlign w:val="center"/>
          </w:tcPr>
          <w:p w14:paraId="76E7341D">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规格型号</w:t>
            </w:r>
          </w:p>
        </w:tc>
        <w:tc>
          <w:tcPr>
            <w:tcW w:w="1493" w:type="dxa"/>
            <w:tcBorders>
              <w:tl2br w:val="nil"/>
              <w:tr2bl w:val="nil"/>
            </w:tcBorders>
            <w:noWrap w:val="0"/>
            <w:vAlign w:val="center"/>
          </w:tcPr>
          <w:p w14:paraId="35B7F1B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数量（台）</w:t>
            </w:r>
          </w:p>
        </w:tc>
        <w:tc>
          <w:tcPr>
            <w:tcW w:w="1700" w:type="dxa"/>
            <w:tcBorders>
              <w:tl2br w:val="nil"/>
              <w:tr2bl w:val="nil"/>
            </w:tcBorders>
            <w:noWrap w:val="0"/>
            <w:vAlign w:val="center"/>
          </w:tcPr>
          <w:p w14:paraId="552417F1">
            <w:pPr>
              <w:pStyle w:val="7"/>
              <w:spacing w:line="360" w:lineRule="auto"/>
              <w:jc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spacing w:val="-7"/>
                <w:sz w:val="21"/>
                <w:szCs w:val="21"/>
                <w:highlight w:val="none"/>
                <w:lang w:val="en-US" w:eastAsia="zh-CN"/>
              </w:rPr>
              <w:t>服务期限（年）</w:t>
            </w:r>
          </w:p>
        </w:tc>
      </w:tr>
      <w:tr w14:paraId="35CA49A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793" w:hRule="atLeast"/>
          <w:jc w:val="center"/>
        </w:trPr>
        <w:tc>
          <w:tcPr>
            <w:tcW w:w="1545" w:type="dxa"/>
            <w:tcBorders>
              <w:tl2br w:val="nil"/>
              <w:tr2bl w:val="nil"/>
            </w:tcBorders>
            <w:noWrap w:val="0"/>
            <w:vAlign w:val="center"/>
          </w:tcPr>
          <w:p w14:paraId="375382F8">
            <w:pPr>
              <w:keepNext w:val="0"/>
              <w:keepLines w:val="0"/>
              <w:widowControl/>
              <w:suppressLineNumbers w:val="0"/>
              <w:jc w:val="center"/>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DR</w:t>
            </w:r>
          </w:p>
        </w:tc>
        <w:tc>
          <w:tcPr>
            <w:tcW w:w="1665" w:type="dxa"/>
            <w:tcBorders>
              <w:tl2br w:val="nil"/>
              <w:tr2bl w:val="nil"/>
            </w:tcBorders>
            <w:noWrap w:val="0"/>
            <w:vAlign w:val="center"/>
          </w:tcPr>
          <w:p w14:paraId="45FE396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普利德</w:t>
            </w:r>
          </w:p>
        </w:tc>
        <w:tc>
          <w:tcPr>
            <w:tcW w:w="1650" w:type="dxa"/>
            <w:tcBorders>
              <w:tl2br w:val="nil"/>
              <w:tr2bl w:val="nil"/>
            </w:tcBorders>
            <w:noWrap w:val="0"/>
            <w:vAlign w:val="center"/>
          </w:tcPr>
          <w:p w14:paraId="7E9C567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val="0"/>
                <w:bCs w:val="0"/>
                <w:color w:val="auto"/>
                <w:sz w:val="21"/>
                <w:szCs w:val="21"/>
                <w:highlight w:val="none"/>
                <w:lang w:val="en-US" w:eastAsia="zh-CN"/>
              </w:rPr>
              <w:t>PLD7800D</w:t>
            </w:r>
          </w:p>
        </w:tc>
        <w:tc>
          <w:tcPr>
            <w:tcW w:w="1493" w:type="dxa"/>
            <w:tcBorders>
              <w:tl2br w:val="nil"/>
              <w:tr2bl w:val="nil"/>
            </w:tcBorders>
            <w:noWrap w:val="0"/>
            <w:vAlign w:val="center"/>
          </w:tcPr>
          <w:p w14:paraId="3EA31D3B">
            <w:pPr>
              <w:keepNext w:val="0"/>
              <w:keepLines w:val="0"/>
              <w:widowControl/>
              <w:suppressLineNumbers w:val="0"/>
              <w:jc w:val="center"/>
              <w:textAlignment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cs="宋体"/>
                <w:b w:val="0"/>
                <w:bCs w:val="0"/>
                <w:color w:val="auto"/>
                <w:kern w:val="2"/>
                <w:sz w:val="21"/>
                <w:szCs w:val="21"/>
                <w:highlight w:val="none"/>
                <w:lang w:val="en-US" w:eastAsia="zh-CN" w:bidi="ar-SA"/>
              </w:rPr>
              <w:t>1</w:t>
            </w:r>
          </w:p>
        </w:tc>
        <w:tc>
          <w:tcPr>
            <w:tcW w:w="1700" w:type="dxa"/>
            <w:tcBorders>
              <w:tl2br w:val="nil"/>
              <w:tr2bl w:val="nil"/>
            </w:tcBorders>
            <w:noWrap w:val="0"/>
            <w:vAlign w:val="center"/>
          </w:tcPr>
          <w:p w14:paraId="27F834C5">
            <w:pPr>
              <w:keepNext w:val="0"/>
              <w:keepLines w:val="0"/>
              <w:widowControl/>
              <w:suppressLineNumbers w:val="0"/>
              <w:jc w:val="center"/>
              <w:textAlignment w:val="center"/>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r>
    </w:tbl>
    <w:p w14:paraId="308B4114">
      <w:pPr>
        <w:spacing w:after="0" w:line="360" w:lineRule="auto"/>
        <w:ind w:firstLine="420" w:firstLineChars="200"/>
        <w:rPr>
          <w:rFonts w:hint="eastAsia" w:ascii="宋体" w:hAnsi="宋体" w:eastAsia="宋体" w:cs="宋体"/>
          <w:sz w:val="21"/>
          <w:szCs w:val="21"/>
          <w:lang w:val="en-US" w:eastAsia="zh-CN"/>
        </w:rPr>
      </w:pPr>
    </w:p>
    <w:p w14:paraId="14DB4C6D">
      <w:pPr>
        <w:spacing w:after="0" w:line="360" w:lineRule="auto"/>
        <w:ind w:firstLine="420" w:firstLineChars="200"/>
        <w:rPr>
          <w:rFonts w:hint="eastAsia" w:ascii="宋体" w:hAnsi="宋体" w:eastAsia="宋体" w:cs="宋体"/>
          <w:sz w:val="21"/>
          <w:szCs w:val="21"/>
          <w:lang w:val="en-US" w:eastAsia="zh-CN"/>
        </w:rPr>
      </w:pPr>
    </w:p>
    <w:p w14:paraId="6C9286B8">
      <w:pPr>
        <w:spacing w:after="0" w:line="360" w:lineRule="auto"/>
        <w:ind w:firstLine="420" w:firstLineChars="200"/>
        <w:rPr>
          <w:rFonts w:hint="eastAsia" w:ascii="宋体" w:hAnsi="宋体" w:eastAsia="宋体" w:cs="宋体"/>
          <w:sz w:val="21"/>
          <w:szCs w:val="21"/>
          <w:lang w:val="en-US" w:eastAsia="zh-CN"/>
        </w:rPr>
      </w:pPr>
    </w:p>
    <w:p w14:paraId="7C7B6264">
      <w:pPr>
        <w:spacing w:after="0" w:line="360" w:lineRule="auto"/>
        <w:ind w:firstLine="420" w:firstLineChars="200"/>
        <w:rPr>
          <w:rFonts w:hint="eastAsia" w:ascii="宋体" w:hAnsi="宋体" w:eastAsia="宋体" w:cs="宋体"/>
          <w:sz w:val="21"/>
          <w:szCs w:val="21"/>
          <w:lang w:val="en-US" w:eastAsia="zh-CN"/>
        </w:rPr>
      </w:pPr>
    </w:p>
    <w:p w14:paraId="0791BCB6">
      <w:pPr>
        <w:spacing w:after="0" w:line="360" w:lineRule="auto"/>
        <w:ind w:firstLine="420" w:firstLineChars="200"/>
        <w:rPr>
          <w:rFonts w:hint="eastAsia" w:ascii="宋体" w:hAnsi="宋体" w:eastAsia="宋体" w:cs="宋体"/>
          <w:sz w:val="21"/>
          <w:szCs w:val="21"/>
          <w:highlight w:val="none"/>
        </w:rPr>
      </w:pPr>
      <w:r>
        <w:rPr>
          <w:rFonts w:hint="eastAsia" w:ascii="宋体" w:hAnsi="宋体" w:eastAsia="宋体" w:cs="宋体"/>
          <w:sz w:val="21"/>
          <w:szCs w:val="21"/>
          <w:lang w:val="en-US" w:eastAsia="zh-CN"/>
        </w:rPr>
        <w:t>1</w:t>
      </w:r>
      <w:r>
        <w:rPr>
          <w:rFonts w:hint="eastAsia" w:ascii="宋体" w:hAnsi="宋体" w:eastAsia="宋体" w:cs="宋体"/>
          <w:sz w:val="21"/>
          <w:szCs w:val="21"/>
        </w:rPr>
        <w:t>、每年免费上门维保6次以上</w:t>
      </w:r>
      <w:r>
        <w:rPr>
          <w:rFonts w:hint="eastAsia" w:ascii="宋体" w:hAnsi="宋体" w:eastAsia="宋体" w:cs="宋体"/>
          <w:sz w:val="21"/>
          <w:szCs w:val="21"/>
          <w:highlight w:val="none"/>
          <w:lang w:eastAsia="zh-CN"/>
        </w:rPr>
        <w:t>，</w:t>
      </w:r>
      <w:r>
        <w:rPr>
          <w:rFonts w:hint="eastAsia" w:ascii="宋体" w:hAnsi="宋体" w:cs="宋体"/>
          <w:sz w:val="21"/>
          <w:szCs w:val="21"/>
          <w:highlight w:val="none"/>
          <w:lang w:val="en-US" w:eastAsia="zh-CN"/>
        </w:rPr>
        <w:t>整机</w:t>
      </w:r>
      <w:r>
        <w:rPr>
          <w:rFonts w:hint="eastAsia" w:ascii="宋体" w:hAnsi="宋体" w:eastAsia="宋体" w:cs="宋体"/>
          <w:sz w:val="21"/>
          <w:szCs w:val="21"/>
          <w:highlight w:val="none"/>
        </w:rPr>
        <w:t>全保。</w:t>
      </w:r>
    </w:p>
    <w:p w14:paraId="2D8F23CE">
      <w:pPr>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、维修后达到设备正常状态，不得改变设备操作方式。</w:t>
      </w:r>
    </w:p>
    <w:p w14:paraId="007AD4DC">
      <w:pPr>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、设备维修后，技术人员需观察24小时待设备运行稳定方可离开。</w:t>
      </w:r>
    </w:p>
    <w:p w14:paraId="2D411003">
      <w:pPr>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、在我院报修后不得以任何理由拒不到现场。</w:t>
      </w:r>
    </w:p>
    <w:p w14:paraId="452E4BAB">
      <w:pPr>
        <w:spacing w:after="0"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5</w:t>
      </w:r>
      <w:r>
        <w:rPr>
          <w:rFonts w:hint="eastAsia" w:ascii="宋体" w:hAnsi="宋体" w:eastAsia="宋体" w:cs="宋体"/>
          <w:sz w:val="21"/>
          <w:szCs w:val="21"/>
        </w:rPr>
        <w:t>、保证全年开机率达95%以上。</w:t>
      </w:r>
    </w:p>
    <w:p w14:paraId="6A30C5E5">
      <w:pPr>
        <w:spacing w:after="0" w:line="360" w:lineRule="auto"/>
        <w:ind w:firstLine="420" w:firstLineChars="200"/>
        <w:rPr>
          <w:rFonts w:hint="default" w:ascii="宋体" w:hAnsi="宋体" w:eastAsia="宋体" w:cs="宋体"/>
          <w:sz w:val="21"/>
          <w:szCs w:val="21"/>
          <w:lang w:val="en-US" w:eastAsia="zh-CN"/>
        </w:rPr>
        <w:sectPr>
          <w:pgSz w:w="11906" w:h="16838"/>
          <w:pgMar w:top="1361" w:right="1361" w:bottom="1361" w:left="1361" w:header="624" w:footer="1020" w:gutter="113"/>
          <w:pgNumType w:fmt="decimal"/>
          <w:cols w:space="720" w:num="1"/>
          <w:titlePg/>
          <w:docGrid w:type="lines" w:linePitch="316" w:charSpace="0"/>
        </w:sectPr>
      </w:pPr>
      <w:r>
        <w:rPr>
          <w:rFonts w:hint="eastAsia" w:ascii="宋体" w:hAnsi="宋体" w:cs="宋体"/>
          <w:sz w:val="21"/>
          <w:szCs w:val="21"/>
          <w:lang w:val="en-US" w:eastAsia="zh-CN"/>
        </w:rPr>
        <w:t>6、到达现场≤2小时，维修完成≤12小时。</w:t>
      </w:r>
    </w:p>
    <w:p w14:paraId="35D63299">
      <w:pPr>
        <w:pStyle w:val="2"/>
        <w:jc w:val="center"/>
        <w:rPr>
          <w:rFonts w:hint="eastAsia" w:ascii="宋体" w:hAnsi="宋体" w:cs="宋体"/>
          <w:color w:val="auto"/>
          <w:highlight w:val="none"/>
        </w:rPr>
      </w:pPr>
      <w:bookmarkStart w:id="208" w:name="_Toc21399"/>
      <w:r>
        <w:rPr>
          <w:rStyle w:val="36"/>
          <w:rFonts w:hint="eastAsia" w:ascii="宋体" w:hAnsi="宋体" w:cs="宋体"/>
          <w:b/>
          <w:bCs/>
          <w:color w:val="auto"/>
          <w:highlight w:val="none"/>
        </w:rPr>
        <w:t>第六章</w:t>
      </w:r>
      <w:r>
        <w:rPr>
          <w:rFonts w:hint="eastAsia" w:ascii="宋体" w:hAnsi="宋体" w:cs="宋体"/>
          <w:color w:val="auto"/>
          <w:highlight w:val="none"/>
        </w:rPr>
        <w:t xml:space="preserve">  响应文件格式</w:t>
      </w:r>
      <w:bookmarkEnd w:id="208"/>
    </w:p>
    <w:p w14:paraId="419FEE74">
      <w:pPr>
        <w:spacing w:line="440" w:lineRule="exact"/>
        <w:rPr>
          <w:rFonts w:hint="eastAsia" w:ascii="宋体" w:hAnsi="宋体" w:cs="宋体"/>
          <w:color w:val="auto"/>
          <w:sz w:val="20"/>
          <w:szCs w:val="20"/>
          <w:highlight w:val="none"/>
        </w:rPr>
        <w:sectPr>
          <w:pgSz w:w="11906" w:h="16838"/>
          <w:pgMar w:top="1361" w:right="1361" w:bottom="1361" w:left="1361" w:header="624" w:footer="1020" w:gutter="113"/>
          <w:pgNumType w:fmt="decimal"/>
          <w:cols w:space="720" w:num="1"/>
          <w:titlePg/>
          <w:docGrid w:type="lines" w:linePitch="316" w:charSpace="0"/>
        </w:sectPr>
      </w:pPr>
    </w:p>
    <w:p w14:paraId="211FA470">
      <w:pPr>
        <w:spacing w:line="440" w:lineRule="exact"/>
        <w:rPr>
          <w:rFonts w:hint="eastAsia" w:ascii="宋体" w:hAnsi="宋体" w:cs="宋体"/>
          <w:color w:val="auto"/>
          <w:sz w:val="20"/>
          <w:szCs w:val="20"/>
          <w:highlight w:val="none"/>
        </w:rPr>
      </w:pPr>
    </w:p>
    <w:p w14:paraId="284840A4">
      <w:pPr>
        <w:spacing w:line="440" w:lineRule="exact"/>
        <w:rPr>
          <w:rFonts w:hint="eastAsia" w:ascii="宋体" w:hAnsi="宋体" w:cs="宋体"/>
          <w:color w:val="auto"/>
          <w:sz w:val="20"/>
          <w:szCs w:val="20"/>
          <w:highlight w:val="none"/>
        </w:rPr>
      </w:pPr>
    </w:p>
    <w:p w14:paraId="0C7A2B70">
      <w:pPr>
        <w:jc w:val="center"/>
        <w:rPr>
          <w:rFonts w:hint="eastAsia" w:ascii="宋体" w:hAnsi="宋体" w:cs="宋体"/>
          <w:color w:val="auto"/>
          <w:sz w:val="20"/>
          <w:szCs w:val="20"/>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（项目名称）</w:t>
      </w:r>
    </w:p>
    <w:p w14:paraId="6899685C">
      <w:pPr>
        <w:jc w:val="center"/>
        <w:rPr>
          <w:rFonts w:hint="eastAsia" w:ascii="宋体" w:hAnsi="宋体" w:cs="宋体"/>
          <w:color w:val="auto"/>
          <w:sz w:val="20"/>
          <w:szCs w:val="20"/>
          <w:highlight w:val="none"/>
        </w:rPr>
      </w:pPr>
    </w:p>
    <w:p w14:paraId="3596655C">
      <w:pPr>
        <w:rPr>
          <w:rFonts w:hint="eastAsia" w:ascii="宋体" w:hAnsi="宋体" w:cs="宋体"/>
          <w:color w:val="auto"/>
          <w:sz w:val="20"/>
          <w:szCs w:val="20"/>
          <w:highlight w:val="none"/>
        </w:rPr>
      </w:pPr>
    </w:p>
    <w:p w14:paraId="593F865F">
      <w:pPr>
        <w:jc w:val="center"/>
        <w:rPr>
          <w:rFonts w:hint="eastAsia" w:ascii="宋体" w:hAnsi="宋体" w:cs="宋体"/>
          <w:color w:val="auto"/>
          <w:sz w:val="44"/>
          <w:szCs w:val="44"/>
          <w:highlight w:val="none"/>
        </w:rPr>
      </w:pPr>
    </w:p>
    <w:p w14:paraId="52BFD68A">
      <w:pPr>
        <w:jc w:val="center"/>
        <w:rPr>
          <w:rFonts w:hint="eastAsia" w:ascii="宋体" w:hAnsi="宋体" w:cs="宋体"/>
          <w:color w:val="auto"/>
          <w:sz w:val="44"/>
          <w:szCs w:val="44"/>
          <w:highlight w:val="none"/>
        </w:rPr>
      </w:pPr>
    </w:p>
    <w:p w14:paraId="64CCD9CB">
      <w:pPr>
        <w:jc w:val="center"/>
        <w:rPr>
          <w:rFonts w:hint="eastAsia" w:ascii="宋体" w:hAnsi="宋体" w:cs="宋体"/>
          <w:color w:val="auto"/>
          <w:sz w:val="44"/>
          <w:szCs w:val="44"/>
          <w:highlight w:val="none"/>
        </w:rPr>
      </w:pPr>
    </w:p>
    <w:p w14:paraId="6C8FE9E4">
      <w:pPr>
        <w:jc w:val="center"/>
        <w:rPr>
          <w:rFonts w:hint="eastAsia" w:ascii="宋体" w:hAnsi="宋体" w:cs="宋体"/>
          <w:color w:val="auto"/>
          <w:sz w:val="44"/>
          <w:szCs w:val="44"/>
          <w:highlight w:val="none"/>
        </w:rPr>
      </w:pPr>
    </w:p>
    <w:p w14:paraId="2CE8BB8D">
      <w:pPr>
        <w:jc w:val="center"/>
        <w:rPr>
          <w:rFonts w:hint="eastAsia" w:ascii="宋体" w:hAnsi="宋体" w:cs="宋体"/>
          <w:color w:val="auto"/>
          <w:sz w:val="44"/>
          <w:szCs w:val="44"/>
          <w:highlight w:val="none"/>
        </w:rPr>
      </w:pPr>
      <w:r>
        <w:rPr>
          <w:rFonts w:hint="eastAsia" w:ascii="宋体" w:hAnsi="宋体" w:cs="宋体"/>
          <w:color w:val="auto"/>
          <w:sz w:val="44"/>
          <w:szCs w:val="44"/>
          <w:highlight w:val="none"/>
        </w:rPr>
        <w:t>响  应  文  件</w:t>
      </w:r>
    </w:p>
    <w:p w14:paraId="49F79859">
      <w:pPr>
        <w:rPr>
          <w:rFonts w:hint="eastAsia" w:ascii="宋体" w:hAnsi="宋体" w:cs="宋体"/>
          <w:color w:val="auto"/>
          <w:sz w:val="28"/>
          <w:szCs w:val="28"/>
          <w:highlight w:val="none"/>
        </w:rPr>
      </w:pPr>
    </w:p>
    <w:p w14:paraId="06EF14F8">
      <w:pPr>
        <w:rPr>
          <w:rFonts w:hint="eastAsia" w:ascii="宋体" w:hAnsi="宋体" w:cs="宋体"/>
          <w:color w:val="auto"/>
          <w:sz w:val="28"/>
          <w:szCs w:val="28"/>
          <w:highlight w:val="none"/>
        </w:rPr>
      </w:pPr>
    </w:p>
    <w:p w14:paraId="4D23F248">
      <w:pPr>
        <w:rPr>
          <w:rFonts w:hint="eastAsia" w:ascii="宋体" w:hAnsi="宋体" w:cs="宋体"/>
          <w:color w:val="auto"/>
          <w:sz w:val="28"/>
          <w:szCs w:val="28"/>
          <w:highlight w:val="none"/>
        </w:rPr>
      </w:pPr>
    </w:p>
    <w:p w14:paraId="6EED6A4A">
      <w:pPr>
        <w:rPr>
          <w:rFonts w:hint="eastAsia" w:ascii="宋体" w:hAnsi="宋体" w:cs="宋体"/>
          <w:color w:val="auto"/>
          <w:sz w:val="28"/>
          <w:szCs w:val="28"/>
          <w:highlight w:val="none"/>
        </w:rPr>
      </w:pPr>
    </w:p>
    <w:p w14:paraId="43BD9066">
      <w:pPr>
        <w:rPr>
          <w:rFonts w:hint="eastAsia" w:ascii="宋体" w:hAnsi="宋体" w:cs="宋体"/>
          <w:color w:val="auto"/>
          <w:sz w:val="28"/>
          <w:szCs w:val="28"/>
          <w:highlight w:val="none"/>
        </w:rPr>
      </w:pPr>
    </w:p>
    <w:p w14:paraId="64CDF892">
      <w:pPr>
        <w:rPr>
          <w:rFonts w:hint="eastAsia" w:ascii="宋体" w:hAnsi="宋体" w:cs="宋体"/>
          <w:color w:val="auto"/>
          <w:sz w:val="28"/>
          <w:szCs w:val="28"/>
          <w:highlight w:val="none"/>
        </w:rPr>
      </w:pPr>
    </w:p>
    <w:p w14:paraId="0DECCC26">
      <w:pPr>
        <w:rPr>
          <w:rFonts w:hint="eastAsia" w:ascii="宋体" w:hAnsi="宋体" w:cs="宋体"/>
          <w:color w:val="auto"/>
          <w:sz w:val="28"/>
          <w:szCs w:val="28"/>
          <w:highlight w:val="none"/>
        </w:rPr>
      </w:pPr>
    </w:p>
    <w:p w14:paraId="44921101">
      <w:pPr>
        <w:jc w:val="center"/>
        <w:rPr>
          <w:rFonts w:hint="eastAsia" w:ascii="宋体" w:hAnsi="宋体" w:cs="宋体"/>
          <w:color w:val="auto"/>
          <w:sz w:val="28"/>
          <w:szCs w:val="28"/>
          <w:highlight w:val="none"/>
          <w:u w:val="single"/>
        </w:rPr>
      </w:pPr>
      <w:r>
        <w:rPr>
          <w:rFonts w:hint="eastAsia" w:ascii="宋体" w:hAnsi="宋体" w:cs="宋体"/>
          <w:color w:val="auto"/>
          <w:sz w:val="28"/>
          <w:szCs w:val="28"/>
          <w:highlight w:val="none"/>
        </w:rPr>
        <w:t>供应商：</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（盖单位章）</w:t>
      </w:r>
    </w:p>
    <w:p w14:paraId="4EEF073E">
      <w:pPr>
        <w:jc w:val="center"/>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法定代表人或其委托代理人：</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（签字）</w:t>
      </w:r>
    </w:p>
    <w:p w14:paraId="7B333D79">
      <w:pPr>
        <w:jc w:val="center"/>
        <w:rPr>
          <w:rFonts w:hint="eastAsia" w:ascii="宋体" w:hAnsi="宋体" w:cs="宋体"/>
          <w:color w:val="auto"/>
          <w:highlight w:val="none"/>
        </w:rPr>
      </w:pP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年</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月</w:t>
      </w:r>
      <w:r>
        <w:rPr>
          <w:rFonts w:hint="eastAsia" w:ascii="宋体" w:hAnsi="宋体" w:cs="宋体"/>
          <w:color w:val="auto"/>
          <w:sz w:val="28"/>
          <w:szCs w:val="28"/>
          <w:highlight w:val="none"/>
          <w:u w:val="single"/>
        </w:rPr>
        <w:t xml:space="preserve">        </w:t>
      </w:r>
      <w:r>
        <w:rPr>
          <w:rFonts w:hint="eastAsia" w:ascii="宋体" w:hAnsi="宋体" w:cs="宋体"/>
          <w:color w:val="auto"/>
          <w:sz w:val="28"/>
          <w:szCs w:val="28"/>
          <w:highlight w:val="none"/>
        </w:rPr>
        <w:t>日</w:t>
      </w:r>
      <w:r>
        <w:rPr>
          <w:rFonts w:hint="eastAsia" w:ascii="宋体" w:hAnsi="宋体" w:cs="宋体"/>
          <w:color w:val="auto"/>
          <w:sz w:val="20"/>
          <w:szCs w:val="20"/>
          <w:highlight w:val="none"/>
        </w:rPr>
        <w:br w:type="page"/>
      </w:r>
    </w:p>
    <w:p w14:paraId="50DBAAAF">
      <w:pPr>
        <w:jc w:val="center"/>
        <w:rPr>
          <w:rFonts w:hint="eastAsia" w:ascii="宋体" w:hAnsi="宋体" w:cs="宋体"/>
          <w:b/>
          <w:color w:val="auto"/>
          <w:sz w:val="28"/>
          <w:szCs w:val="28"/>
          <w:highlight w:val="none"/>
        </w:rPr>
      </w:pPr>
      <w:bookmarkStart w:id="209" w:name="_Toc179632807"/>
      <w:bookmarkStart w:id="210" w:name="_Toc152042576"/>
      <w:bookmarkStart w:id="211" w:name="_Toc246997098"/>
      <w:bookmarkStart w:id="212" w:name="_Toc246996355"/>
      <w:bookmarkStart w:id="213" w:name="_Toc144974856"/>
      <w:bookmarkStart w:id="214" w:name="_Toc152045787"/>
      <w:bookmarkStart w:id="215" w:name="_Toc247085873"/>
      <w:r>
        <w:rPr>
          <w:rFonts w:hint="eastAsia" w:ascii="宋体" w:hAnsi="宋体" w:cs="宋体"/>
          <w:b/>
          <w:color w:val="auto"/>
          <w:sz w:val="28"/>
          <w:szCs w:val="28"/>
          <w:highlight w:val="none"/>
        </w:rPr>
        <w:t>目    录</w:t>
      </w:r>
      <w:bookmarkEnd w:id="209"/>
      <w:bookmarkEnd w:id="210"/>
      <w:bookmarkEnd w:id="211"/>
      <w:bookmarkEnd w:id="212"/>
      <w:bookmarkEnd w:id="213"/>
      <w:bookmarkEnd w:id="214"/>
      <w:bookmarkEnd w:id="215"/>
    </w:p>
    <w:p w14:paraId="041B9D9B">
      <w:pPr>
        <w:spacing w:line="540" w:lineRule="exact"/>
        <w:rPr>
          <w:rFonts w:hint="eastAsia" w:ascii="宋体" w:hAnsi="宋体" w:cs="宋体"/>
          <w:color w:val="auto"/>
          <w:highlight w:val="none"/>
        </w:rPr>
      </w:pPr>
    </w:p>
    <w:p w14:paraId="5B6878D2">
      <w:pPr>
        <w:spacing w:line="540" w:lineRule="exact"/>
        <w:jc w:val="center"/>
        <w:rPr>
          <w:rFonts w:hint="eastAsia" w:ascii="宋体" w:hAnsi="宋体" w:cs="宋体"/>
          <w:color w:val="auto"/>
          <w:sz w:val="20"/>
          <w:szCs w:val="20"/>
          <w:highlight w:val="none"/>
        </w:rPr>
      </w:pPr>
      <w:r>
        <w:rPr>
          <w:rFonts w:hint="eastAsia" w:ascii="宋体" w:hAnsi="宋体" w:cs="宋体"/>
          <w:color w:val="auto"/>
          <w:sz w:val="20"/>
          <w:szCs w:val="20"/>
          <w:highlight w:val="none"/>
        </w:rPr>
        <w:t>格式自拟</w:t>
      </w:r>
    </w:p>
    <w:p w14:paraId="5AE0D711">
      <w:pPr>
        <w:spacing w:line="360" w:lineRule="auto"/>
        <w:rPr>
          <w:rFonts w:hint="eastAsia" w:ascii="宋体" w:hAnsi="宋体" w:cs="宋体"/>
          <w:color w:val="auto"/>
          <w:szCs w:val="21"/>
          <w:highlight w:val="none"/>
        </w:rPr>
      </w:pPr>
    </w:p>
    <w:p w14:paraId="0FDD236F">
      <w:pPr>
        <w:spacing w:line="360" w:lineRule="auto"/>
        <w:rPr>
          <w:rFonts w:hint="eastAsia" w:ascii="宋体" w:hAnsi="宋体" w:cs="宋体"/>
          <w:color w:val="auto"/>
          <w:szCs w:val="21"/>
          <w:highlight w:val="none"/>
        </w:rPr>
      </w:pPr>
    </w:p>
    <w:p w14:paraId="1FD10BDB">
      <w:pPr>
        <w:spacing w:line="360" w:lineRule="auto"/>
        <w:rPr>
          <w:rFonts w:hint="eastAsia" w:ascii="宋体" w:hAnsi="宋体" w:cs="宋体"/>
          <w:color w:val="auto"/>
          <w:szCs w:val="21"/>
          <w:highlight w:val="none"/>
        </w:rPr>
      </w:pPr>
    </w:p>
    <w:p w14:paraId="40B2F914">
      <w:pPr>
        <w:spacing w:line="360" w:lineRule="auto"/>
        <w:rPr>
          <w:rFonts w:hint="eastAsia" w:ascii="宋体" w:hAnsi="宋体" w:cs="宋体"/>
          <w:color w:val="auto"/>
          <w:szCs w:val="21"/>
          <w:highlight w:val="none"/>
        </w:rPr>
      </w:pPr>
    </w:p>
    <w:p w14:paraId="2F8DFF11">
      <w:pPr>
        <w:spacing w:line="360" w:lineRule="auto"/>
        <w:rPr>
          <w:rFonts w:hint="eastAsia" w:ascii="宋体" w:hAnsi="宋体" w:cs="宋体"/>
          <w:color w:val="auto"/>
          <w:szCs w:val="21"/>
          <w:highlight w:val="none"/>
        </w:rPr>
      </w:pPr>
    </w:p>
    <w:p w14:paraId="01716F9A">
      <w:pPr>
        <w:spacing w:line="360" w:lineRule="auto"/>
        <w:rPr>
          <w:rFonts w:hint="eastAsia" w:ascii="宋体" w:hAnsi="宋体" w:cs="宋体"/>
          <w:color w:val="auto"/>
          <w:szCs w:val="21"/>
          <w:highlight w:val="none"/>
        </w:rPr>
      </w:pPr>
    </w:p>
    <w:p w14:paraId="5BA17015">
      <w:pPr>
        <w:spacing w:line="360" w:lineRule="auto"/>
        <w:rPr>
          <w:rFonts w:hint="eastAsia" w:ascii="宋体" w:hAnsi="宋体" w:cs="宋体"/>
          <w:color w:val="auto"/>
          <w:szCs w:val="21"/>
          <w:highlight w:val="none"/>
        </w:rPr>
      </w:pPr>
    </w:p>
    <w:p w14:paraId="21C625BE">
      <w:pPr>
        <w:spacing w:line="360" w:lineRule="auto"/>
        <w:rPr>
          <w:rFonts w:hint="eastAsia" w:ascii="宋体" w:hAnsi="宋体" w:cs="宋体"/>
          <w:color w:val="auto"/>
          <w:szCs w:val="21"/>
          <w:highlight w:val="none"/>
        </w:rPr>
      </w:pPr>
    </w:p>
    <w:p w14:paraId="3443D15D">
      <w:pPr>
        <w:spacing w:line="540" w:lineRule="exact"/>
        <w:rPr>
          <w:rFonts w:hint="eastAsia" w:ascii="宋体" w:hAnsi="宋体" w:cs="宋体"/>
          <w:color w:val="auto"/>
          <w:sz w:val="20"/>
          <w:szCs w:val="20"/>
          <w:highlight w:val="none"/>
        </w:rPr>
      </w:pPr>
    </w:p>
    <w:p w14:paraId="18D1C074">
      <w:pPr>
        <w:spacing w:line="540" w:lineRule="exact"/>
        <w:rPr>
          <w:rFonts w:hint="eastAsia" w:ascii="宋体" w:hAnsi="宋体" w:cs="宋体"/>
          <w:color w:val="auto"/>
          <w:sz w:val="20"/>
          <w:szCs w:val="20"/>
          <w:highlight w:val="none"/>
        </w:rPr>
      </w:pPr>
    </w:p>
    <w:p w14:paraId="335E409A">
      <w:pPr>
        <w:spacing w:line="540" w:lineRule="exact"/>
        <w:rPr>
          <w:rFonts w:hint="eastAsia" w:ascii="宋体" w:hAnsi="宋体" w:cs="宋体"/>
          <w:color w:val="auto"/>
          <w:sz w:val="20"/>
          <w:szCs w:val="20"/>
          <w:highlight w:val="none"/>
        </w:rPr>
      </w:pPr>
    </w:p>
    <w:p w14:paraId="31C0BEB0">
      <w:pPr>
        <w:spacing w:line="540" w:lineRule="exact"/>
        <w:rPr>
          <w:rFonts w:hint="eastAsia" w:ascii="宋体" w:hAnsi="宋体" w:cs="宋体"/>
          <w:color w:val="auto"/>
          <w:sz w:val="20"/>
          <w:szCs w:val="20"/>
          <w:highlight w:val="none"/>
        </w:rPr>
      </w:pPr>
    </w:p>
    <w:p w14:paraId="02F3A08A">
      <w:pPr>
        <w:spacing w:line="540" w:lineRule="exact"/>
        <w:rPr>
          <w:rFonts w:hint="eastAsia" w:ascii="宋体" w:hAnsi="宋体" w:cs="宋体"/>
          <w:color w:val="auto"/>
          <w:sz w:val="20"/>
          <w:szCs w:val="20"/>
          <w:highlight w:val="none"/>
        </w:rPr>
      </w:pPr>
    </w:p>
    <w:p w14:paraId="772D3BC9">
      <w:pPr>
        <w:spacing w:line="540" w:lineRule="exact"/>
        <w:rPr>
          <w:rFonts w:hint="eastAsia" w:ascii="宋体" w:hAnsi="宋体" w:cs="宋体"/>
          <w:color w:val="auto"/>
          <w:sz w:val="20"/>
          <w:szCs w:val="20"/>
          <w:highlight w:val="none"/>
        </w:rPr>
      </w:pPr>
    </w:p>
    <w:p w14:paraId="06B599EA">
      <w:pPr>
        <w:spacing w:line="540" w:lineRule="exact"/>
        <w:rPr>
          <w:rFonts w:hint="eastAsia" w:ascii="宋体" w:hAnsi="宋体" w:cs="宋体"/>
          <w:color w:val="auto"/>
          <w:sz w:val="20"/>
          <w:szCs w:val="20"/>
          <w:highlight w:val="none"/>
        </w:rPr>
      </w:pPr>
    </w:p>
    <w:p w14:paraId="07A8F5E0">
      <w:pPr>
        <w:spacing w:line="540" w:lineRule="exact"/>
        <w:rPr>
          <w:rFonts w:hint="eastAsia" w:ascii="宋体" w:hAnsi="宋体" w:cs="宋体"/>
          <w:color w:val="auto"/>
          <w:sz w:val="20"/>
          <w:szCs w:val="20"/>
          <w:highlight w:val="none"/>
        </w:rPr>
      </w:pPr>
    </w:p>
    <w:p w14:paraId="34F2B9BE">
      <w:pPr>
        <w:jc w:val="center"/>
        <w:rPr>
          <w:rFonts w:hint="eastAsia" w:ascii="宋体" w:hAnsi="宋体" w:cs="宋体"/>
          <w:b/>
          <w:color w:val="auto"/>
          <w:sz w:val="28"/>
          <w:szCs w:val="28"/>
          <w:highlight w:val="none"/>
        </w:rPr>
      </w:pPr>
      <w:bookmarkStart w:id="216" w:name="_Toc152042577"/>
      <w:bookmarkStart w:id="217" w:name="_Toc246997099"/>
      <w:bookmarkStart w:id="218" w:name="_Toc152045788"/>
      <w:bookmarkStart w:id="219" w:name="_Toc144974857"/>
      <w:bookmarkStart w:id="220" w:name="_Toc179632808"/>
      <w:bookmarkStart w:id="221" w:name="_Toc247085874"/>
      <w:bookmarkStart w:id="222" w:name="_Toc246996356"/>
      <w:r>
        <w:rPr>
          <w:rFonts w:hint="eastAsia" w:ascii="宋体" w:hAnsi="宋体" w:cs="宋体"/>
          <w:color w:val="auto"/>
          <w:highlight w:val="none"/>
        </w:rPr>
        <w:br w:type="page"/>
      </w:r>
      <w:r>
        <w:rPr>
          <w:rFonts w:hint="eastAsia" w:ascii="宋体" w:hAnsi="宋体" w:cs="宋体"/>
          <w:b/>
          <w:color w:val="auto"/>
          <w:sz w:val="28"/>
          <w:szCs w:val="28"/>
          <w:highlight w:val="none"/>
        </w:rPr>
        <w:t>一、</w:t>
      </w:r>
      <w:r>
        <w:rPr>
          <w:rFonts w:hint="eastAsia" w:ascii="宋体" w:hAnsi="宋体" w:cs="宋体"/>
          <w:b/>
          <w:color w:val="auto"/>
          <w:sz w:val="28"/>
          <w:szCs w:val="28"/>
          <w:highlight w:val="none"/>
          <w:lang w:val="en-US" w:eastAsia="zh-CN"/>
        </w:rPr>
        <w:t>磋商</w:t>
      </w:r>
      <w:r>
        <w:rPr>
          <w:rFonts w:hint="eastAsia" w:ascii="宋体" w:hAnsi="宋体" w:cs="宋体"/>
          <w:b/>
          <w:color w:val="auto"/>
          <w:sz w:val="28"/>
          <w:szCs w:val="28"/>
          <w:highlight w:val="none"/>
        </w:rPr>
        <w:t>函及</w:t>
      </w:r>
      <w:r>
        <w:rPr>
          <w:rFonts w:hint="eastAsia" w:ascii="宋体" w:hAnsi="宋体" w:cs="宋体"/>
          <w:b/>
          <w:color w:val="auto"/>
          <w:sz w:val="28"/>
          <w:szCs w:val="28"/>
          <w:highlight w:val="none"/>
          <w:lang w:val="en-US" w:eastAsia="zh-CN"/>
        </w:rPr>
        <w:t>磋商</w:t>
      </w:r>
      <w:r>
        <w:rPr>
          <w:rFonts w:hint="eastAsia" w:ascii="宋体" w:hAnsi="宋体" w:cs="宋体"/>
          <w:b/>
          <w:color w:val="auto"/>
          <w:sz w:val="28"/>
          <w:szCs w:val="28"/>
          <w:highlight w:val="none"/>
        </w:rPr>
        <w:t>函附录</w:t>
      </w:r>
      <w:bookmarkEnd w:id="216"/>
      <w:bookmarkEnd w:id="217"/>
      <w:bookmarkEnd w:id="218"/>
      <w:bookmarkEnd w:id="219"/>
      <w:bookmarkEnd w:id="220"/>
      <w:bookmarkEnd w:id="221"/>
      <w:bookmarkEnd w:id="222"/>
    </w:p>
    <w:p w14:paraId="32E61D8A">
      <w:pPr>
        <w:jc w:val="center"/>
        <w:rPr>
          <w:rFonts w:hint="eastAsia" w:ascii="宋体" w:hAnsi="宋体" w:cs="宋体"/>
          <w:b/>
          <w:color w:val="auto"/>
          <w:sz w:val="28"/>
          <w:szCs w:val="28"/>
          <w:highlight w:val="none"/>
        </w:rPr>
      </w:pPr>
      <w:bookmarkStart w:id="223" w:name="_Toc246997100"/>
      <w:bookmarkStart w:id="224" w:name="_Toc246996357"/>
      <w:bookmarkStart w:id="225" w:name="_Toc152045789"/>
      <w:bookmarkStart w:id="226" w:name="_Toc247085875"/>
      <w:bookmarkStart w:id="227" w:name="_Toc144974858"/>
      <w:bookmarkStart w:id="228" w:name="_Toc152042578"/>
      <w:bookmarkStart w:id="229" w:name="_Toc179632809"/>
      <w:r>
        <w:rPr>
          <w:rFonts w:hint="eastAsia" w:ascii="宋体" w:hAnsi="宋体" w:cs="宋体"/>
          <w:b/>
          <w:color w:val="auto"/>
          <w:sz w:val="28"/>
          <w:szCs w:val="28"/>
          <w:highlight w:val="none"/>
        </w:rPr>
        <w:t>（一）</w:t>
      </w:r>
      <w:r>
        <w:rPr>
          <w:rFonts w:hint="eastAsia" w:ascii="宋体" w:hAnsi="宋体" w:cs="宋体"/>
          <w:b/>
          <w:color w:val="auto"/>
          <w:sz w:val="28"/>
          <w:szCs w:val="28"/>
          <w:highlight w:val="none"/>
          <w:lang w:val="en-US" w:eastAsia="zh-CN"/>
        </w:rPr>
        <w:t>磋商</w:t>
      </w:r>
      <w:r>
        <w:rPr>
          <w:rFonts w:hint="eastAsia" w:ascii="宋体" w:hAnsi="宋体" w:cs="宋体"/>
          <w:b/>
          <w:color w:val="auto"/>
          <w:sz w:val="28"/>
          <w:szCs w:val="28"/>
          <w:highlight w:val="none"/>
        </w:rPr>
        <w:t>函</w:t>
      </w:r>
      <w:bookmarkEnd w:id="223"/>
      <w:bookmarkEnd w:id="224"/>
      <w:bookmarkEnd w:id="225"/>
      <w:bookmarkEnd w:id="226"/>
      <w:bookmarkEnd w:id="227"/>
      <w:bookmarkEnd w:id="228"/>
      <w:bookmarkEnd w:id="229"/>
    </w:p>
    <w:p w14:paraId="3C835D37">
      <w:pPr>
        <w:spacing w:line="440" w:lineRule="exac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（采购人名称）：</w:t>
      </w:r>
    </w:p>
    <w:p w14:paraId="67FF09F3">
      <w:pPr>
        <w:spacing w:line="440" w:lineRule="exact"/>
        <w:rPr>
          <w:rFonts w:hint="eastAsia" w:ascii="宋体" w:hAnsi="宋体" w:cs="宋体"/>
          <w:color w:val="auto"/>
          <w:szCs w:val="21"/>
          <w:highlight w:val="none"/>
        </w:rPr>
      </w:pPr>
    </w:p>
    <w:p w14:paraId="78120BC4">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1．我方已仔细研究了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（项目名称）竞争性磋商文件的全部内容，愿意以</w:t>
      </w:r>
      <w:r>
        <w:rPr>
          <w:rFonts w:hint="eastAsia" w:ascii="宋体" w:hAnsi="宋体" w:cs="宋体"/>
          <w:color w:val="auto"/>
          <w:kern w:val="0"/>
          <w:szCs w:val="21"/>
          <w:highlight w:val="none"/>
        </w:rPr>
        <w:t>人民币</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大写（</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），小写（¥</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Cs w:val="21"/>
          <w:highlight w:val="none"/>
        </w:rPr>
        <w:t>元）的</w:t>
      </w:r>
      <w:r>
        <w:rPr>
          <w:rFonts w:hint="eastAsia" w:ascii="宋体" w:hAnsi="宋体" w:cs="宋体"/>
          <w:color w:val="auto"/>
          <w:kern w:val="0"/>
          <w:szCs w:val="21"/>
          <w:highlight w:val="none"/>
          <w:lang w:val="en-US" w:eastAsia="zh-CN"/>
        </w:rPr>
        <w:t>磋商</w:t>
      </w:r>
      <w:r>
        <w:rPr>
          <w:rFonts w:hint="eastAsia" w:ascii="宋体" w:hAnsi="宋体" w:cs="宋体"/>
          <w:color w:val="auto"/>
          <w:kern w:val="0"/>
          <w:szCs w:val="21"/>
          <w:highlight w:val="none"/>
        </w:rPr>
        <w:t>报</w:t>
      </w:r>
      <w:r>
        <w:rPr>
          <w:rFonts w:hint="eastAsia" w:ascii="宋体" w:hAnsi="宋体" w:cs="宋体"/>
          <w:color w:val="auto"/>
          <w:kern w:val="0"/>
          <w:szCs w:val="21"/>
          <w:highlight w:val="none"/>
          <w:u w:val="none"/>
        </w:rPr>
        <w:t>价，</w:t>
      </w:r>
      <w:r>
        <w:rPr>
          <w:rFonts w:hint="eastAsia" w:ascii="宋体" w:hAnsi="宋体" w:cs="宋体-18030"/>
          <w:color w:val="auto"/>
          <w:kern w:val="0"/>
          <w:szCs w:val="21"/>
          <w:highlight w:val="none"/>
          <w:u w:val="none"/>
          <w:lang w:eastAsia="zh-CN"/>
        </w:rPr>
        <w:t>合同履行期限（服务期限）</w:t>
      </w:r>
      <w:r>
        <w:rPr>
          <w:rFonts w:hint="eastAsia" w:ascii="宋体" w:hAnsi="宋体" w:cs="宋体-18030"/>
          <w:color w:val="auto"/>
          <w:kern w:val="0"/>
          <w:szCs w:val="21"/>
          <w:highlight w:val="none"/>
          <w:u w:val="none"/>
        </w:rPr>
        <w:t>：</w:t>
      </w:r>
      <w:r>
        <w:rPr>
          <w:rFonts w:hint="eastAsia" w:ascii="宋体" w:hAnsi="宋体" w:cs="宋体"/>
          <w:bCs/>
          <w:color w:val="auto"/>
          <w:szCs w:val="21"/>
          <w:highlight w:val="none"/>
          <w:u w:val="single"/>
          <w:lang w:val="zh-CN"/>
        </w:rPr>
        <w:t xml:space="preserve">            </w:t>
      </w:r>
      <w:r>
        <w:rPr>
          <w:rFonts w:hint="eastAsia" w:ascii="宋体" w:hAnsi="宋体" w:cs="宋体-18030"/>
          <w:color w:val="auto"/>
          <w:kern w:val="0"/>
          <w:szCs w:val="21"/>
          <w:highlight w:val="none"/>
        </w:rPr>
        <w:t>，并按合同约定实施和完成承包上述</w:t>
      </w:r>
      <w:r>
        <w:rPr>
          <w:rFonts w:hint="eastAsia" w:ascii="宋体" w:hAnsi="宋体" w:cs="宋体-18030"/>
          <w:color w:val="auto"/>
          <w:kern w:val="0"/>
          <w:szCs w:val="21"/>
          <w:highlight w:val="none"/>
          <w:lang w:val="en-US" w:eastAsia="zh-CN"/>
        </w:rPr>
        <w:t>采购</w:t>
      </w:r>
      <w:r>
        <w:rPr>
          <w:rFonts w:hint="eastAsia" w:ascii="宋体" w:hAnsi="宋体" w:cs="宋体-18030"/>
          <w:color w:val="auto"/>
          <w:kern w:val="0"/>
          <w:szCs w:val="21"/>
          <w:highlight w:val="none"/>
        </w:rPr>
        <w:t>项目</w:t>
      </w:r>
      <w:r>
        <w:rPr>
          <w:rFonts w:hint="eastAsia" w:ascii="宋体" w:hAnsi="宋体" w:cs="宋体-18030"/>
          <w:color w:val="auto"/>
          <w:kern w:val="0"/>
          <w:szCs w:val="21"/>
          <w:highlight w:val="none"/>
          <w:lang w:eastAsia="zh-CN"/>
        </w:rPr>
        <w:t>。</w:t>
      </w:r>
    </w:p>
    <w:p w14:paraId="0F354B37">
      <w:pPr>
        <w:spacing w:line="360" w:lineRule="auto"/>
        <w:ind w:left="491"/>
        <w:outlineLvl w:val="9"/>
        <w:rPr>
          <w:rFonts w:hint="eastAsia" w:ascii="宋体" w:hAnsi="宋体" w:eastAsia="宋体" w:cs="宋体"/>
          <w:color w:val="auto"/>
          <w:sz w:val="21"/>
          <w:szCs w:val="21"/>
          <w:highlight w:val="none"/>
        </w:rPr>
      </w:pPr>
      <w:bookmarkStart w:id="230" w:name="_Toc16017"/>
      <w:bookmarkStart w:id="231" w:name="_Toc32381"/>
      <w:bookmarkStart w:id="232" w:name="_Toc12648"/>
      <w:bookmarkStart w:id="233" w:name="_Toc29242"/>
      <w:r>
        <w:rPr>
          <w:rFonts w:hint="eastAsia" w:ascii="宋体" w:hAnsi="宋体" w:eastAsia="宋体" w:cs="宋体"/>
          <w:color w:val="auto"/>
          <w:spacing w:val="9"/>
          <w:position w:val="1"/>
          <w:sz w:val="21"/>
          <w:szCs w:val="21"/>
          <w:highlight w:val="none"/>
        </w:rPr>
        <w:t>2．我方承诺在</w:t>
      </w:r>
      <w:r>
        <w:rPr>
          <w:rFonts w:hint="eastAsia" w:ascii="宋体" w:hAnsi="宋体" w:eastAsia="宋体" w:cs="宋体"/>
          <w:color w:val="auto"/>
          <w:spacing w:val="9"/>
          <w:position w:val="1"/>
          <w:sz w:val="21"/>
          <w:szCs w:val="21"/>
          <w:highlight w:val="none"/>
          <w:lang w:val="en-US" w:eastAsia="zh-CN"/>
        </w:rPr>
        <w:t>响应</w:t>
      </w:r>
      <w:r>
        <w:rPr>
          <w:rFonts w:hint="eastAsia" w:ascii="宋体" w:hAnsi="宋体" w:eastAsia="宋体" w:cs="宋体"/>
          <w:color w:val="auto"/>
          <w:spacing w:val="9"/>
          <w:position w:val="1"/>
          <w:sz w:val="21"/>
          <w:szCs w:val="21"/>
          <w:highlight w:val="none"/>
        </w:rPr>
        <w:t>有效期内不修改、撤销响应文件</w:t>
      </w:r>
      <w:r>
        <w:rPr>
          <w:rFonts w:hint="eastAsia" w:ascii="宋体" w:hAnsi="宋体" w:eastAsia="宋体" w:cs="宋体"/>
          <w:color w:val="auto"/>
          <w:spacing w:val="5"/>
          <w:position w:val="1"/>
          <w:sz w:val="21"/>
          <w:szCs w:val="21"/>
          <w:highlight w:val="none"/>
        </w:rPr>
        <w:t>。</w:t>
      </w:r>
      <w:bookmarkEnd w:id="230"/>
      <w:bookmarkEnd w:id="231"/>
      <w:bookmarkEnd w:id="232"/>
      <w:bookmarkEnd w:id="233"/>
    </w:p>
    <w:p w14:paraId="1EEF6D16">
      <w:pPr>
        <w:spacing w:before="162" w:line="360" w:lineRule="auto"/>
        <w:ind w:left="487"/>
        <w:outlineLvl w:val="9"/>
        <w:rPr>
          <w:rFonts w:hint="eastAsia" w:ascii="宋体" w:hAnsi="宋体" w:eastAsia="宋体" w:cs="宋体"/>
          <w:color w:val="auto"/>
          <w:sz w:val="21"/>
          <w:szCs w:val="21"/>
          <w:highlight w:val="none"/>
        </w:rPr>
      </w:pPr>
      <w:bookmarkStart w:id="234" w:name="_Toc27242"/>
      <w:bookmarkStart w:id="235" w:name="_Toc30393"/>
      <w:bookmarkStart w:id="236" w:name="_Toc8460"/>
      <w:bookmarkStart w:id="237" w:name="_Toc10568"/>
      <w:r>
        <w:rPr>
          <w:rFonts w:hint="eastAsia" w:ascii="宋体" w:hAnsi="宋体" w:cs="宋体"/>
          <w:color w:val="auto"/>
          <w:spacing w:val="7"/>
          <w:position w:val="1"/>
          <w:sz w:val="21"/>
          <w:szCs w:val="21"/>
          <w:highlight w:val="none"/>
          <w:lang w:val="en-US" w:eastAsia="zh-CN"/>
        </w:rPr>
        <w:t>3</w:t>
      </w:r>
      <w:r>
        <w:rPr>
          <w:rFonts w:hint="eastAsia" w:ascii="宋体" w:hAnsi="宋体" w:eastAsia="宋体" w:cs="宋体"/>
          <w:color w:val="auto"/>
          <w:spacing w:val="7"/>
          <w:position w:val="1"/>
          <w:sz w:val="21"/>
          <w:szCs w:val="21"/>
          <w:highlight w:val="none"/>
        </w:rPr>
        <w:t>．如我方</w:t>
      </w:r>
      <w:r>
        <w:rPr>
          <w:rFonts w:hint="eastAsia" w:ascii="宋体" w:hAnsi="宋体" w:cs="宋体"/>
          <w:color w:val="auto"/>
          <w:spacing w:val="7"/>
          <w:position w:val="1"/>
          <w:sz w:val="21"/>
          <w:szCs w:val="21"/>
          <w:highlight w:val="none"/>
          <w:lang w:val="en-US" w:eastAsia="zh-CN"/>
        </w:rPr>
        <w:t>成交</w:t>
      </w:r>
      <w:r>
        <w:rPr>
          <w:rFonts w:hint="eastAsia" w:ascii="宋体" w:hAnsi="宋体" w:eastAsia="宋体" w:cs="宋体"/>
          <w:color w:val="auto"/>
          <w:spacing w:val="7"/>
          <w:position w:val="1"/>
          <w:sz w:val="21"/>
          <w:szCs w:val="21"/>
          <w:highlight w:val="none"/>
        </w:rPr>
        <w:t>：</w:t>
      </w:r>
      <w:bookmarkEnd w:id="234"/>
      <w:bookmarkEnd w:id="235"/>
      <w:bookmarkEnd w:id="236"/>
      <w:bookmarkEnd w:id="237"/>
    </w:p>
    <w:p w14:paraId="3079008C">
      <w:pPr>
        <w:spacing w:before="137" w:line="360" w:lineRule="auto"/>
        <w:ind w:left="498"/>
        <w:rPr>
          <w:rFonts w:hint="eastAsia" w:ascii="宋体" w:hAnsi="宋体" w:eastAsia="宋体" w:cs="宋体"/>
          <w:color w:val="auto"/>
          <w:sz w:val="21"/>
          <w:szCs w:val="21"/>
          <w:highlight w:val="none"/>
        </w:rPr>
      </w:pPr>
      <w:r>
        <w:rPr>
          <w:rFonts w:hint="eastAsia" w:ascii="宋体" w:hAnsi="宋体" w:eastAsia="宋体" w:cs="宋体"/>
          <w:color w:val="auto"/>
          <w:spacing w:val="22"/>
          <w:sz w:val="21"/>
          <w:szCs w:val="21"/>
          <w:highlight w:val="none"/>
        </w:rPr>
        <w:t>(</w:t>
      </w:r>
      <w:r>
        <w:rPr>
          <w:rFonts w:hint="eastAsia" w:ascii="宋体" w:hAnsi="宋体" w:eastAsia="宋体" w:cs="宋体"/>
          <w:color w:val="auto"/>
          <w:spacing w:val="15"/>
          <w:sz w:val="21"/>
          <w:szCs w:val="21"/>
          <w:highlight w:val="none"/>
        </w:rPr>
        <w:t>1</w:t>
      </w:r>
      <w:r>
        <w:rPr>
          <w:rFonts w:hint="eastAsia" w:ascii="宋体" w:hAnsi="宋体" w:eastAsia="宋体" w:cs="宋体"/>
          <w:color w:val="auto"/>
          <w:spacing w:val="11"/>
          <w:sz w:val="21"/>
          <w:szCs w:val="21"/>
          <w:highlight w:val="none"/>
        </w:rPr>
        <w:t>) 我方承诺在收到</w:t>
      </w:r>
      <w:r>
        <w:rPr>
          <w:rFonts w:hint="eastAsia" w:ascii="宋体" w:hAnsi="宋体" w:eastAsia="宋体" w:cs="宋体"/>
          <w:color w:val="auto"/>
          <w:spacing w:val="11"/>
          <w:sz w:val="21"/>
          <w:szCs w:val="21"/>
          <w:highlight w:val="none"/>
          <w:lang w:val="en-US" w:eastAsia="zh-CN"/>
        </w:rPr>
        <w:t>成交</w:t>
      </w:r>
      <w:r>
        <w:rPr>
          <w:rFonts w:hint="eastAsia" w:ascii="宋体" w:hAnsi="宋体" w:eastAsia="宋体" w:cs="宋体"/>
          <w:color w:val="auto"/>
          <w:spacing w:val="11"/>
          <w:sz w:val="21"/>
          <w:szCs w:val="21"/>
          <w:highlight w:val="none"/>
        </w:rPr>
        <w:t>通知书后，在</w:t>
      </w:r>
      <w:r>
        <w:rPr>
          <w:rFonts w:hint="eastAsia" w:ascii="宋体" w:hAnsi="宋体" w:eastAsia="宋体" w:cs="宋体"/>
          <w:color w:val="auto"/>
          <w:spacing w:val="11"/>
          <w:sz w:val="21"/>
          <w:szCs w:val="21"/>
          <w:highlight w:val="none"/>
          <w:lang w:val="en-US" w:eastAsia="zh-CN"/>
        </w:rPr>
        <w:t>成交</w:t>
      </w:r>
      <w:r>
        <w:rPr>
          <w:rFonts w:hint="eastAsia" w:ascii="宋体" w:hAnsi="宋体" w:eastAsia="宋体" w:cs="宋体"/>
          <w:color w:val="auto"/>
          <w:spacing w:val="11"/>
          <w:sz w:val="21"/>
          <w:szCs w:val="21"/>
          <w:highlight w:val="none"/>
        </w:rPr>
        <w:t>通知书规定的期限内与你方签订合同。</w:t>
      </w:r>
    </w:p>
    <w:p w14:paraId="79AB53BB">
      <w:pPr>
        <w:spacing w:before="162" w:line="360" w:lineRule="auto"/>
        <w:ind w:left="498"/>
        <w:rPr>
          <w:rFonts w:hint="eastAsia" w:ascii="宋体" w:hAnsi="宋体" w:eastAsia="宋体" w:cs="宋体"/>
          <w:color w:val="auto"/>
          <w:sz w:val="21"/>
          <w:szCs w:val="21"/>
          <w:highlight w:val="none"/>
        </w:rPr>
      </w:pPr>
      <w:r>
        <w:rPr>
          <w:rFonts w:hint="eastAsia" w:ascii="宋体" w:hAnsi="宋体" w:eastAsia="宋体" w:cs="宋体"/>
          <w:color w:val="auto"/>
          <w:spacing w:val="22"/>
          <w:sz w:val="21"/>
          <w:szCs w:val="21"/>
          <w:highlight w:val="none"/>
        </w:rPr>
        <w:t>(2</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11"/>
          <w:sz w:val="21"/>
          <w:szCs w:val="21"/>
          <w:highlight w:val="none"/>
        </w:rPr>
        <w:t xml:space="preserve"> 随同本</w:t>
      </w:r>
      <w:r>
        <w:rPr>
          <w:rFonts w:hint="eastAsia" w:ascii="宋体" w:hAnsi="宋体" w:eastAsia="宋体" w:cs="宋体"/>
          <w:color w:val="auto"/>
          <w:spacing w:val="7"/>
          <w:sz w:val="21"/>
          <w:szCs w:val="21"/>
          <w:highlight w:val="none"/>
          <w:lang w:val="en-US" w:eastAsia="zh-CN"/>
        </w:rPr>
        <w:t>磋商</w:t>
      </w:r>
      <w:r>
        <w:rPr>
          <w:rFonts w:hint="eastAsia" w:ascii="宋体" w:hAnsi="宋体" w:eastAsia="宋体" w:cs="宋体"/>
          <w:color w:val="auto"/>
          <w:spacing w:val="11"/>
          <w:sz w:val="21"/>
          <w:szCs w:val="21"/>
          <w:highlight w:val="none"/>
        </w:rPr>
        <w:t>函递交的</w:t>
      </w:r>
      <w:r>
        <w:rPr>
          <w:rFonts w:hint="eastAsia" w:ascii="宋体" w:hAnsi="宋体" w:eastAsia="宋体" w:cs="宋体"/>
          <w:color w:val="auto"/>
          <w:spacing w:val="7"/>
          <w:sz w:val="21"/>
          <w:szCs w:val="21"/>
          <w:highlight w:val="none"/>
          <w:lang w:val="en-US" w:eastAsia="zh-CN"/>
        </w:rPr>
        <w:t>磋商</w:t>
      </w:r>
      <w:r>
        <w:rPr>
          <w:rFonts w:hint="eastAsia" w:ascii="宋体" w:hAnsi="宋体" w:eastAsia="宋体" w:cs="宋体"/>
          <w:color w:val="auto"/>
          <w:spacing w:val="11"/>
          <w:sz w:val="21"/>
          <w:szCs w:val="21"/>
          <w:highlight w:val="none"/>
        </w:rPr>
        <w:t>函附录属于合同文件的组成部分。</w:t>
      </w:r>
    </w:p>
    <w:p w14:paraId="0526B553">
      <w:pPr>
        <w:spacing w:before="164" w:line="360" w:lineRule="auto"/>
        <w:ind w:left="498"/>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(3) 我方承诺在合同约定的期限内完成并移交全部合同</w:t>
      </w:r>
      <w:r>
        <w:rPr>
          <w:rFonts w:hint="eastAsia" w:ascii="宋体" w:hAnsi="宋体" w:eastAsia="宋体" w:cs="宋体"/>
          <w:color w:val="auto"/>
          <w:spacing w:val="12"/>
          <w:sz w:val="21"/>
          <w:szCs w:val="21"/>
          <w:highlight w:val="none"/>
          <w:lang w:val="en-US" w:eastAsia="zh-CN"/>
        </w:rPr>
        <w:t>内容</w:t>
      </w:r>
      <w:r>
        <w:rPr>
          <w:rFonts w:hint="eastAsia" w:ascii="宋体" w:hAnsi="宋体" w:eastAsia="宋体" w:cs="宋体"/>
          <w:color w:val="auto"/>
          <w:spacing w:val="8"/>
          <w:sz w:val="21"/>
          <w:szCs w:val="21"/>
          <w:highlight w:val="none"/>
        </w:rPr>
        <w:t>。</w:t>
      </w:r>
    </w:p>
    <w:p w14:paraId="5F179DA5">
      <w:pPr>
        <w:spacing w:before="162" w:line="360" w:lineRule="auto"/>
        <w:ind w:left="492"/>
        <w:rPr>
          <w:rFonts w:hint="eastAsia" w:ascii="宋体" w:hAnsi="宋体" w:eastAsia="宋体" w:cs="宋体"/>
          <w:color w:val="auto"/>
          <w:sz w:val="21"/>
          <w:szCs w:val="21"/>
          <w:highlight w:val="none"/>
        </w:rPr>
      </w:pPr>
      <w:r>
        <w:rPr>
          <w:rFonts w:hint="eastAsia" w:ascii="宋体" w:hAnsi="宋体" w:cs="宋体"/>
          <w:color w:val="auto"/>
          <w:spacing w:val="14"/>
          <w:position w:val="1"/>
          <w:sz w:val="21"/>
          <w:szCs w:val="21"/>
          <w:highlight w:val="none"/>
          <w:lang w:val="en-US" w:eastAsia="zh-CN"/>
        </w:rPr>
        <w:t>4</w:t>
      </w:r>
      <w:r>
        <w:rPr>
          <w:rFonts w:hint="eastAsia" w:ascii="宋体" w:hAnsi="宋体" w:eastAsia="宋体" w:cs="宋体"/>
          <w:color w:val="auto"/>
          <w:spacing w:val="9"/>
          <w:position w:val="1"/>
          <w:sz w:val="21"/>
          <w:szCs w:val="21"/>
          <w:highlight w:val="none"/>
        </w:rPr>
        <w:t>．我方在此声明，所递交的响应文件及有关资料内容完整、真实和准确。</w:t>
      </w:r>
    </w:p>
    <w:p w14:paraId="4CD7C5B1">
      <w:pPr>
        <w:spacing w:before="139" w:line="360" w:lineRule="auto"/>
        <w:ind w:left="490"/>
        <w:rPr>
          <w:rFonts w:hint="eastAsia" w:ascii="宋体" w:hAnsi="宋体" w:eastAsia="宋体" w:cs="宋体"/>
          <w:color w:val="auto"/>
          <w:sz w:val="21"/>
          <w:szCs w:val="21"/>
          <w:highlight w:val="none"/>
        </w:rPr>
      </w:pPr>
      <w:r>
        <w:rPr>
          <w:rFonts w:hint="eastAsia" w:ascii="宋体" w:hAnsi="宋体" w:cs="宋体"/>
          <w:color w:val="auto"/>
          <w:spacing w:val="-2"/>
          <w:sz w:val="21"/>
          <w:szCs w:val="21"/>
          <w:highlight w:val="none"/>
          <w:lang w:val="en-US" w:eastAsia="zh-CN"/>
        </w:rPr>
        <w:t>5</w:t>
      </w:r>
      <w:r>
        <w:rPr>
          <w:rFonts w:hint="eastAsia" w:ascii="宋体" w:hAnsi="宋体" w:eastAsia="宋体" w:cs="宋体"/>
          <w:color w:val="auto"/>
          <w:spacing w:val="-2"/>
          <w:sz w:val="21"/>
          <w:szCs w:val="21"/>
          <w:highlight w:val="none"/>
        </w:rPr>
        <w:t>．</w:t>
      </w:r>
      <w:r>
        <w:rPr>
          <w:rFonts w:hint="eastAsia" w:ascii="宋体" w:hAnsi="宋体" w:eastAsia="宋体" w:cs="宋体"/>
          <w:color w:val="auto"/>
          <w:spacing w:val="-2"/>
          <w:sz w:val="21"/>
          <w:szCs w:val="21"/>
          <w:highlight w:val="none"/>
          <w:u w:val="none"/>
        </w:rPr>
        <w:t xml:space="preserve"> </w:t>
      </w:r>
      <w:r>
        <w:rPr>
          <w:rFonts w:hint="eastAsia" w:ascii="宋体" w:hAnsi="宋体" w:eastAsia="宋体" w:cs="宋体"/>
          <w:color w:val="auto"/>
          <w:spacing w:val="-2"/>
          <w:sz w:val="21"/>
          <w:szCs w:val="21"/>
          <w:highlight w:val="none"/>
          <w:u w:val="single"/>
        </w:rPr>
        <w:t xml:space="preserve">                             </w:t>
      </w:r>
      <w:r>
        <w:rPr>
          <w:rFonts w:hint="eastAsia" w:ascii="宋体" w:hAnsi="宋体" w:eastAsia="宋体" w:cs="宋体"/>
          <w:color w:val="auto"/>
          <w:spacing w:val="-2"/>
          <w:sz w:val="21"/>
          <w:szCs w:val="21"/>
          <w:highlight w:val="none"/>
          <w:u w:val="none"/>
        </w:rPr>
        <w:t xml:space="preserve"> </w:t>
      </w:r>
      <w:r>
        <w:rPr>
          <w:rFonts w:hint="eastAsia" w:ascii="宋体" w:hAnsi="宋体" w:eastAsia="宋体" w:cs="宋体"/>
          <w:color w:val="auto"/>
          <w:spacing w:val="-2"/>
          <w:sz w:val="21"/>
          <w:szCs w:val="21"/>
          <w:highlight w:val="none"/>
        </w:rPr>
        <w:t>(其他补充说明</w:t>
      </w:r>
      <w:r>
        <w:rPr>
          <w:rFonts w:hint="eastAsia" w:ascii="宋体" w:hAnsi="宋体" w:eastAsia="宋体" w:cs="宋体"/>
          <w:color w:val="auto"/>
          <w:sz w:val="21"/>
          <w:szCs w:val="21"/>
          <w:highlight w:val="none"/>
        </w:rPr>
        <w:t>) 。</w:t>
      </w:r>
    </w:p>
    <w:p w14:paraId="1E7BF29D">
      <w:pPr>
        <w:spacing w:line="302" w:lineRule="auto"/>
        <w:rPr>
          <w:rFonts w:hint="eastAsia" w:ascii="宋体" w:hAnsi="宋体" w:eastAsia="宋体" w:cs="宋体"/>
          <w:color w:val="auto"/>
          <w:sz w:val="21"/>
          <w:szCs w:val="21"/>
          <w:highlight w:val="none"/>
        </w:rPr>
      </w:pPr>
    </w:p>
    <w:p w14:paraId="6319CA52">
      <w:pPr>
        <w:spacing w:line="302" w:lineRule="auto"/>
        <w:rPr>
          <w:rFonts w:hint="eastAsia" w:ascii="宋体" w:hAnsi="宋体" w:eastAsia="宋体" w:cs="宋体"/>
          <w:color w:val="auto"/>
          <w:sz w:val="21"/>
          <w:szCs w:val="21"/>
          <w:highlight w:val="none"/>
        </w:rPr>
      </w:pPr>
    </w:p>
    <w:p w14:paraId="0EB4C713">
      <w:pPr>
        <w:spacing w:line="303" w:lineRule="auto"/>
        <w:rPr>
          <w:rFonts w:hint="eastAsia" w:ascii="宋体" w:hAnsi="宋体" w:eastAsia="宋体" w:cs="宋体"/>
          <w:color w:val="auto"/>
          <w:sz w:val="21"/>
          <w:szCs w:val="21"/>
          <w:highlight w:val="none"/>
        </w:rPr>
      </w:pPr>
    </w:p>
    <w:p w14:paraId="554CA3FC">
      <w:pPr>
        <w:spacing w:before="66" w:line="378" w:lineRule="auto"/>
        <w:ind w:right="989" w:firstLine="3952" w:firstLineChars="190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供应商</w:t>
      </w:r>
      <w:r>
        <w:rPr>
          <w:rFonts w:hint="eastAsia" w:ascii="宋体" w:hAnsi="宋体" w:eastAsia="宋体" w:cs="宋体"/>
          <w:color w:val="auto"/>
          <w:spacing w:val="-1"/>
          <w:sz w:val="21"/>
          <w:szCs w:val="21"/>
          <w:highlight w:val="none"/>
        </w:rPr>
        <w:t>名称：</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(盖单位公章</w:t>
      </w:r>
      <w:r>
        <w:rPr>
          <w:rFonts w:hint="eastAsia" w:ascii="宋体" w:hAnsi="宋体" w:eastAsia="宋体" w:cs="宋体"/>
          <w:color w:val="auto"/>
          <w:sz w:val="21"/>
          <w:szCs w:val="21"/>
          <w:highlight w:val="none"/>
        </w:rPr>
        <w:t xml:space="preserve">)   </w:t>
      </w:r>
    </w:p>
    <w:p w14:paraId="12F01573">
      <w:pPr>
        <w:spacing w:before="0" w:line="240" w:lineRule="auto"/>
        <w:ind w:right="0"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w:t>
      </w:r>
      <w:r>
        <w:rPr>
          <w:rFonts w:hint="eastAsia" w:ascii="宋体" w:hAnsi="宋体" w:eastAsia="宋体" w:cs="宋体"/>
          <w:color w:val="auto"/>
          <w:spacing w:val="1"/>
          <w:sz w:val="21"/>
          <w:szCs w:val="21"/>
          <w:highlight w:val="none"/>
        </w:rPr>
        <w:t>法</w:t>
      </w:r>
      <w:r>
        <w:rPr>
          <w:rFonts w:hint="eastAsia" w:ascii="宋体" w:hAnsi="宋体" w:eastAsia="宋体" w:cs="宋体"/>
          <w:color w:val="auto"/>
          <w:sz w:val="21"/>
          <w:szCs w:val="21"/>
          <w:highlight w:val="none"/>
        </w:rPr>
        <w:t>定代表人或其委托代理人：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(签字)</w:t>
      </w:r>
    </w:p>
    <w:p w14:paraId="4380426E">
      <w:pPr>
        <w:spacing w:line="377" w:lineRule="auto"/>
        <w:ind w:right="1319" w:firstLine="4032" w:firstLineChars="210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地</w:t>
      </w:r>
      <w:r>
        <w:rPr>
          <w:rFonts w:hint="eastAsia" w:ascii="宋体" w:hAnsi="宋体" w:eastAsia="宋体" w:cs="宋体"/>
          <w:color w:val="auto"/>
          <w:spacing w:val="-5"/>
          <w:sz w:val="21"/>
          <w:szCs w:val="21"/>
          <w:highlight w:val="none"/>
        </w:rPr>
        <w:t xml:space="preserve">    址 ：</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z w:val="21"/>
          <w:szCs w:val="21"/>
          <w:highlight w:val="none"/>
        </w:rPr>
        <w:t xml:space="preserve"> </w:t>
      </w:r>
    </w:p>
    <w:p w14:paraId="2925EB9F">
      <w:pPr>
        <w:spacing w:line="377" w:lineRule="auto"/>
        <w:ind w:right="1319" w:firstLine="4074" w:firstLineChars="210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网</w:t>
      </w:r>
      <w:r>
        <w:rPr>
          <w:rFonts w:hint="eastAsia" w:ascii="宋体" w:hAnsi="宋体" w:eastAsia="宋体" w:cs="宋体"/>
          <w:color w:val="auto"/>
          <w:spacing w:val="-5"/>
          <w:sz w:val="21"/>
          <w:szCs w:val="21"/>
          <w:highlight w:val="none"/>
        </w:rPr>
        <w:t xml:space="preserve">    址 ：</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z w:val="21"/>
          <w:szCs w:val="21"/>
          <w:highlight w:val="none"/>
        </w:rPr>
        <w:t xml:space="preserve"> </w:t>
      </w:r>
    </w:p>
    <w:p w14:paraId="5731A0A2">
      <w:pPr>
        <w:spacing w:line="377" w:lineRule="auto"/>
        <w:ind w:right="1319" w:firstLine="4074" w:firstLineChars="210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电</w:t>
      </w:r>
      <w:r>
        <w:rPr>
          <w:rFonts w:hint="eastAsia" w:ascii="宋体" w:hAnsi="宋体" w:eastAsia="宋体" w:cs="宋体"/>
          <w:color w:val="auto"/>
          <w:spacing w:val="-5"/>
          <w:sz w:val="21"/>
          <w:szCs w:val="21"/>
          <w:highlight w:val="none"/>
        </w:rPr>
        <w:t xml:space="preserve">    话 ：</w:t>
      </w:r>
      <w:r>
        <w:rPr>
          <w:rFonts w:hint="eastAsia" w:ascii="宋体" w:hAnsi="宋体" w:eastAsia="宋体" w:cs="宋体"/>
          <w:color w:val="auto"/>
          <w:spacing w:val="-5"/>
          <w:sz w:val="21"/>
          <w:szCs w:val="21"/>
          <w:highlight w:val="none"/>
          <w:u w:val="single"/>
        </w:rPr>
        <w:t xml:space="preserve">                                   </w:t>
      </w:r>
      <w:r>
        <w:rPr>
          <w:rFonts w:hint="eastAsia" w:ascii="宋体" w:hAnsi="宋体" w:eastAsia="宋体" w:cs="宋体"/>
          <w:color w:val="auto"/>
          <w:sz w:val="21"/>
          <w:szCs w:val="21"/>
          <w:highlight w:val="none"/>
        </w:rPr>
        <w:t xml:space="preserve"> </w:t>
      </w:r>
    </w:p>
    <w:p w14:paraId="13DE4C97">
      <w:pPr>
        <w:spacing w:line="377" w:lineRule="auto"/>
        <w:ind w:right="1319" w:firstLine="4074" w:firstLineChars="2100"/>
        <w:rPr>
          <w:rFonts w:hint="eastAsia" w:ascii="宋体" w:hAnsi="宋体" w:eastAsia="宋体" w:cs="宋体"/>
          <w:color w:val="auto"/>
          <w:spacing w:val="-5"/>
          <w:sz w:val="21"/>
          <w:szCs w:val="21"/>
          <w:highlight w:val="none"/>
          <w:u w:val="single"/>
        </w:rPr>
      </w:pPr>
      <w:r>
        <w:rPr>
          <w:rFonts w:hint="eastAsia" w:ascii="宋体" w:hAnsi="宋体" w:eastAsia="宋体" w:cs="宋体"/>
          <w:color w:val="auto"/>
          <w:spacing w:val="-8"/>
          <w:sz w:val="21"/>
          <w:szCs w:val="21"/>
          <w:highlight w:val="none"/>
        </w:rPr>
        <w:t>传</w:t>
      </w:r>
      <w:r>
        <w:rPr>
          <w:rFonts w:hint="eastAsia" w:ascii="宋体" w:hAnsi="宋体" w:eastAsia="宋体" w:cs="宋体"/>
          <w:color w:val="auto"/>
          <w:spacing w:val="-5"/>
          <w:sz w:val="21"/>
          <w:szCs w:val="21"/>
          <w:highlight w:val="none"/>
        </w:rPr>
        <w:t xml:space="preserve">    真 ：</w:t>
      </w:r>
      <w:r>
        <w:rPr>
          <w:rFonts w:hint="eastAsia" w:ascii="宋体" w:hAnsi="宋体" w:eastAsia="宋体" w:cs="宋体"/>
          <w:color w:val="auto"/>
          <w:spacing w:val="-5"/>
          <w:sz w:val="21"/>
          <w:szCs w:val="21"/>
          <w:highlight w:val="none"/>
          <w:u w:val="single"/>
        </w:rPr>
        <w:t xml:space="preserve">                                   </w:t>
      </w:r>
    </w:p>
    <w:p w14:paraId="3D33A3EC">
      <w:pPr>
        <w:spacing w:line="377" w:lineRule="auto"/>
        <w:ind w:right="1319" w:firstLine="4074" w:firstLineChars="210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邮政编码：</w:t>
      </w:r>
      <w:r>
        <w:rPr>
          <w:rFonts w:hint="eastAsia" w:ascii="宋体" w:hAnsi="宋体" w:eastAsia="宋体" w:cs="宋体"/>
          <w:color w:val="auto"/>
          <w:sz w:val="21"/>
          <w:szCs w:val="21"/>
          <w:highlight w:val="none"/>
          <w:u w:val="single"/>
        </w:rPr>
        <w:t xml:space="preserve">                                 </w:t>
      </w:r>
    </w:p>
    <w:p w14:paraId="723A2C58">
      <w:pPr>
        <w:spacing w:line="440" w:lineRule="exact"/>
        <w:ind w:firstLine="4158" w:firstLineChars="2100"/>
        <w:rPr>
          <w:rFonts w:hint="eastAsia" w:ascii="宋体" w:hAnsi="宋体" w:cs="宋体"/>
          <w:color w:val="auto"/>
          <w:szCs w:val="21"/>
          <w:highlight w:val="none"/>
        </w:rPr>
      </w:pPr>
      <w:r>
        <w:rPr>
          <w:rFonts w:hint="eastAsia" w:ascii="宋体" w:hAnsi="宋体" w:eastAsia="宋体" w:cs="宋体"/>
          <w:color w:val="auto"/>
          <w:spacing w:val="-6"/>
          <w:sz w:val="21"/>
          <w:szCs w:val="21"/>
          <w:highlight w:val="none"/>
        </w:rPr>
        <w:t xml:space="preserve">日 </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 xml:space="preserve"> 期：</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年</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月</w:t>
      </w:r>
      <w:r>
        <w:rPr>
          <w:rFonts w:hint="eastAsia" w:ascii="宋体" w:hAnsi="宋体" w:eastAsia="宋体" w:cs="宋体"/>
          <w:color w:val="auto"/>
          <w:spacing w:val="-3"/>
          <w:sz w:val="21"/>
          <w:szCs w:val="21"/>
          <w:highlight w:val="none"/>
          <w:u w:val="single"/>
        </w:rPr>
        <w:t xml:space="preserve">        </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3"/>
          <w:sz w:val="20"/>
          <w:szCs w:val="20"/>
          <w:highlight w:val="none"/>
        </w:rPr>
        <w:t>日</w:t>
      </w:r>
    </w:p>
    <w:p w14:paraId="6C578193">
      <w:pPr>
        <w:spacing w:line="440" w:lineRule="exact"/>
        <w:rPr>
          <w:rFonts w:hint="eastAsia" w:ascii="宋体" w:hAnsi="宋体" w:cs="宋体"/>
          <w:color w:val="auto"/>
          <w:szCs w:val="21"/>
          <w:highlight w:val="none"/>
        </w:rPr>
      </w:pPr>
    </w:p>
    <w:p w14:paraId="385224B1">
      <w:pPr>
        <w:spacing w:line="440" w:lineRule="exact"/>
        <w:rPr>
          <w:rFonts w:hint="eastAsia" w:ascii="宋体" w:hAnsi="宋体" w:cs="宋体"/>
          <w:color w:val="auto"/>
          <w:sz w:val="20"/>
          <w:szCs w:val="20"/>
          <w:highlight w:val="none"/>
        </w:rPr>
      </w:pPr>
    </w:p>
    <w:p w14:paraId="5C2030F3">
      <w:pPr>
        <w:spacing w:before="0" w:line="240" w:lineRule="auto"/>
        <w:ind w:left="0"/>
        <w:jc w:val="center"/>
        <w:outlineLvl w:val="9"/>
        <w:rPr>
          <w:rFonts w:hint="eastAsia" w:ascii="宋体" w:hAnsi="宋体" w:eastAsia="宋体" w:cs="宋体"/>
          <w:b/>
          <w:color w:val="auto"/>
          <w:sz w:val="28"/>
          <w:szCs w:val="28"/>
          <w:highlight w:val="none"/>
        </w:rPr>
      </w:pPr>
      <w:bookmarkStart w:id="238" w:name="_Toc246996358"/>
      <w:bookmarkStart w:id="239" w:name="_Toc179632810"/>
      <w:bookmarkStart w:id="240" w:name="_Toc152042579"/>
      <w:bookmarkStart w:id="241" w:name="_Toc247085876"/>
      <w:bookmarkStart w:id="242" w:name="_Toc246997101"/>
      <w:bookmarkStart w:id="243" w:name="_Toc152045790"/>
      <w:bookmarkStart w:id="244" w:name="_Toc144974859"/>
      <w:r>
        <w:rPr>
          <w:rFonts w:hint="eastAsia" w:ascii="宋体" w:hAnsi="宋体" w:cs="宋体"/>
          <w:color w:val="auto"/>
          <w:highlight w:val="none"/>
        </w:rPr>
        <w:br w:type="page"/>
      </w:r>
      <w:bookmarkEnd w:id="238"/>
      <w:bookmarkEnd w:id="239"/>
      <w:bookmarkEnd w:id="240"/>
      <w:bookmarkEnd w:id="241"/>
      <w:bookmarkEnd w:id="242"/>
      <w:bookmarkEnd w:id="243"/>
      <w:bookmarkEnd w:id="244"/>
      <w:bookmarkStart w:id="245" w:name="_Toc26837"/>
      <w:bookmarkStart w:id="246" w:name="_Toc23894"/>
      <w:bookmarkStart w:id="247" w:name="_Toc2723"/>
      <w:bookmarkStart w:id="248" w:name="_Toc12882"/>
      <w:r>
        <w:rPr>
          <w:rFonts w:hint="eastAsia" w:ascii="宋体" w:hAnsi="宋体" w:eastAsia="宋体" w:cs="宋体"/>
          <w:b/>
          <w:color w:val="auto"/>
          <w:spacing w:val="0"/>
          <w:sz w:val="28"/>
          <w:szCs w:val="28"/>
          <w:highlight w:val="none"/>
        </w:rPr>
        <w:t xml:space="preserve">(二) </w:t>
      </w:r>
      <w:r>
        <w:rPr>
          <w:rFonts w:hint="eastAsia" w:ascii="宋体" w:hAnsi="宋体" w:eastAsia="宋体" w:cs="宋体"/>
          <w:b/>
          <w:color w:val="auto"/>
          <w:spacing w:val="0"/>
          <w:sz w:val="28"/>
          <w:szCs w:val="28"/>
          <w:highlight w:val="none"/>
          <w:lang w:val="en-US" w:eastAsia="zh-CN"/>
        </w:rPr>
        <w:t>磋商</w:t>
      </w:r>
      <w:r>
        <w:rPr>
          <w:rFonts w:hint="eastAsia" w:ascii="宋体" w:hAnsi="宋体" w:eastAsia="宋体" w:cs="宋体"/>
          <w:b/>
          <w:color w:val="auto"/>
          <w:spacing w:val="0"/>
          <w:sz w:val="28"/>
          <w:szCs w:val="28"/>
          <w:highlight w:val="none"/>
        </w:rPr>
        <w:t>函附录</w:t>
      </w:r>
      <w:bookmarkEnd w:id="245"/>
      <w:bookmarkEnd w:id="246"/>
      <w:bookmarkEnd w:id="247"/>
      <w:bookmarkEnd w:id="248"/>
    </w:p>
    <w:p w14:paraId="0505DBEB">
      <w:pPr>
        <w:rPr>
          <w:rFonts w:hint="eastAsia" w:ascii="宋体" w:hAnsi="宋体" w:eastAsia="宋体" w:cs="宋体"/>
          <w:color w:val="auto"/>
          <w:highlight w:val="none"/>
        </w:rPr>
      </w:pPr>
    </w:p>
    <w:p w14:paraId="0B07830E">
      <w:pPr>
        <w:spacing w:line="17" w:lineRule="exact"/>
        <w:rPr>
          <w:rFonts w:hint="eastAsia" w:ascii="宋体" w:hAnsi="宋体" w:eastAsia="宋体" w:cs="宋体"/>
          <w:color w:val="auto"/>
          <w:highlight w:val="none"/>
        </w:rPr>
      </w:pPr>
    </w:p>
    <w:tbl>
      <w:tblPr>
        <w:tblStyle w:val="25"/>
        <w:tblW w:w="936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0"/>
        <w:gridCol w:w="1961"/>
        <w:gridCol w:w="4210"/>
        <w:gridCol w:w="2343"/>
      </w:tblGrid>
      <w:tr w14:paraId="715DC4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850" w:type="dxa"/>
            <w:noWrap w:val="0"/>
            <w:vAlign w:val="center"/>
          </w:tcPr>
          <w:p w14:paraId="351C84C0">
            <w:pPr>
              <w:spacing w:before="65" w:line="230" w:lineRule="auto"/>
              <w:ind w:left="221"/>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pacing w:val="5"/>
                <w:sz w:val="21"/>
                <w:szCs w:val="21"/>
                <w:highlight w:val="none"/>
              </w:rPr>
              <w:t>序号</w:t>
            </w:r>
          </w:p>
        </w:tc>
        <w:tc>
          <w:tcPr>
            <w:tcW w:w="1961" w:type="dxa"/>
            <w:noWrap w:val="0"/>
            <w:vAlign w:val="center"/>
          </w:tcPr>
          <w:p w14:paraId="4D762CFC">
            <w:pPr>
              <w:spacing w:before="65" w:line="228" w:lineRule="auto"/>
              <w:ind w:left="566"/>
              <w:jc w:val="both"/>
              <w:rPr>
                <w:rFonts w:hint="eastAsia" w:ascii="宋体" w:hAnsi="宋体" w:eastAsia="宋体" w:cs="宋体"/>
                <w:b/>
                <w:bCs/>
                <w:color w:val="auto"/>
                <w:sz w:val="21"/>
                <w:szCs w:val="21"/>
                <w:highlight w:val="none"/>
              </w:rPr>
            </w:pPr>
            <w:r>
              <w:rPr>
                <w:rFonts w:hint="eastAsia" w:ascii="宋体" w:hAnsi="宋体" w:eastAsia="宋体" w:cs="宋体"/>
                <w:b/>
                <w:bCs/>
                <w:color w:val="auto"/>
                <w:spacing w:val="7"/>
                <w:sz w:val="21"/>
                <w:szCs w:val="21"/>
                <w:highlight w:val="none"/>
              </w:rPr>
              <w:t>条款名</w:t>
            </w:r>
            <w:r>
              <w:rPr>
                <w:rFonts w:hint="eastAsia" w:ascii="宋体" w:hAnsi="宋体" w:eastAsia="宋体" w:cs="宋体"/>
                <w:b/>
                <w:bCs/>
                <w:color w:val="auto"/>
                <w:spacing w:val="6"/>
                <w:sz w:val="21"/>
                <w:szCs w:val="21"/>
                <w:highlight w:val="none"/>
              </w:rPr>
              <w:t>称</w:t>
            </w:r>
          </w:p>
        </w:tc>
        <w:tc>
          <w:tcPr>
            <w:tcW w:w="4210" w:type="dxa"/>
            <w:noWrap w:val="0"/>
            <w:vAlign w:val="center"/>
          </w:tcPr>
          <w:p w14:paraId="095C4905">
            <w:pPr>
              <w:spacing w:before="65" w:line="228" w:lineRule="auto"/>
              <w:ind w:left="1695"/>
              <w:jc w:val="both"/>
              <w:rPr>
                <w:rFonts w:hint="eastAsia" w:ascii="宋体" w:hAnsi="宋体" w:eastAsia="宋体" w:cs="宋体"/>
                <w:b/>
                <w:bCs/>
                <w:color w:val="auto"/>
                <w:sz w:val="21"/>
                <w:szCs w:val="21"/>
                <w:highlight w:val="none"/>
              </w:rPr>
            </w:pPr>
            <w:r>
              <w:rPr>
                <w:rFonts w:hint="eastAsia" w:ascii="宋体" w:hAnsi="宋体" w:eastAsia="宋体" w:cs="宋体"/>
                <w:b/>
                <w:bCs/>
                <w:color w:val="auto"/>
                <w:spacing w:val="6"/>
                <w:sz w:val="21"/>
                <w:szCs w:val="21"/>
                <w:highlight w:val="none"/>
              </w:rPr>
              <w:t>约定内容</w:t>
            </w:r>
          </w:p>
        </w:tc>
        <w:tc>
          <w:tcPr>
            <w:tcW w:w="2343" w:type="dxa"/>
            <w:noWrap w:val="0"/>
            <w:vAlign w:val="center"/>
          </w:tcPr>
          <w:p w14:paraId="298A0CA0">
            <w:pPr>
              <w:spacing w:before="65" w:line="229" w:lineRule="auto"/>
              <w:ind w:left="759"/>
              <w:jc w:val="both"/>
              <w:rPr>
                <w:rFonts w:hint="eastAsia" w:ascii="宋体" w:hAnsi="宋体" w:eastAsia="宋体" w:cs="宋体"/>
                <w:b/>
                <w:bCs/>
                <w:color w:val="auto"/>
                <w:sz w:val="21"/>
                <w:szCs w:val="21"/>
                <w:highlight w:val="none"/>
              </w:rPr>
            </w:pPr>
            <w:r>
              <w:rPr>
                <w:rFonts w:hint="eastAsia" w:ascii="宋体" w:hAnsi="宋体" w:eastAsia="宋体" w:cs="宋体"/>
                <w:b/>
                <w:bCs/>
                <w:color w:val="auto"/>
                <w:spacing w:val="8"/>
                <w:sz w:val="21"/>
                <w:szCs w:val="21"/>
                <w:highlight w:val="none"/>
              </w:rPr>
              <w:t>是</w:t>
            </w:r>
            <w:r>
              <w:rPr>
                <w:rFonts w:hint="eastAsia" w:ascii="宋体" w:hAnsi="宋体" w:eastAsia="宋体" w:cs="宋体"/>
                <w:b/>
                <w:bCs/>
                <w:color w:val="auto"/>
                <w:spacing w:val="6"/>
                <w:sz w:val="21"/>
                <w:szCs w:val="21"/>
                <w:highlight w:val="none"/>
              </w:rPr>
              <w:t>否响应</w:t>
            </w:r>
          </w:p>
        </w:tc>
      </w:tr>
      <w:tr w14:paraId="14754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850" w:type="dxa"/>
            <w:noWrap w:val="0"/>
            <w:vAlign w:val="center"/>
          </w:tcPr>
          <w:p w14:paraId="31C58323">
            <w:pPr>
              <w:spacing w:before="65" w:line="190" w:lineRule="auto"/>
              <w:ind w:left="382"/>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p>
        </w:tc>
        <w:tc>
          <w:tcPr>
            <w:tcW w:w="1961" w:type="dxa"/>
            <w:noWrap w:val="0"/>
            <w:vAlign w:val="center"/>
          </w:tcPr>
          <w:p w14:paraId="78100C06">
            <w:pPr>
              <w:spacing w:before="65" w:line="229" w:lineRule="auto"/>
              <w:ind w:left="461"/>
              <w:jc w:val="both"/>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合同履行期限</w:t>
            </w:r>
          </w:p>
          <w:p w14:paraId="0E801A6B">
            <w:pPr>
              <w:spacing w:before="65" w:line="229" w:lineRule="auto"/>
              <w:ind w:left="461"/>
              <w:jc w:val="both"/>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（服务期限）</w:t>
            </w:r>
          </w:p>
        </w:tc>
        <w:tc>
          <w:tcPr>
            <w:tcW w:w="4210" w:type="dxa"/>
            <w:noWrap w:val="0"/>
            <w:vAlign w:val="center"/>
          </w:tcPr>
          <w:p w14:paraId="13B706D1">
            <w:pPr>
              <w:jc w:val="center"/>
              <w:rPr>
                <w:rFonts w:hint="eastAsia" w:ascii="宋体" w:hAnsi="宋体" w:eastAsia="宋体" w:cs="宋体"/>
                <w:color w:val="auto"/>
                <w:sz w:val="21"/>
                <w:szCs w:val="21"/>
                <w:highlight w:val="none"/>
              </w:rPr>
            </w:pPr>
          </w:p>
        </w:tc>
        <w:tc>
          <w:tcPr>
            <w:tcW w:w="2343" w:type="dxa"/>
            <w:noWrap w:val="0"/>
            <w:vAlign w:val="center"/>
          </w:tcPr>
          <w:p w14:paraId="759F10F2">
            <w:pPr>
              <w:jc w:val="center"/>
              <w:rPr>
                <w:rFonts w:hint="eastAsia" w:ascii="宋体" w:hAnsi="宋体" w:eastAsia="宋体" w:cs="宋体"/>
                <w:color w:val="auto"/>
                <w:sz w:val="21"/>
                <w:szCs w:val="21"/>
                <w:highlight w:val="none"/>
              </w:rPr>
            </w:pPr>
          </w:p>
        </w:tc>
      </w:tr>
      <w:tr w14:paraId="41374D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850" w:type="dxa"/>
            <w:noWrap w:val="0"/>
            <w:vAlign w:val="center"/>
          </w:tcPr>
          <w:p w14:paraId="44C70C9E">
            <w:pPr>
              <w:spacing w:before="65" w:line="189" w:lineRule="auto"/>
              <w:ind w:left="382"/>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p>
        </w:tc>
        <w:tc>
          <w:tcPr>
            <w:tcW w:w="1961" w:type="dxa"/>
            <w:noWrap w:val="0"/>
            <w:vAlign w:val="center"/>
          </w:tcPr>
          <w:p w14:paraId="46017640">
            <w:pPr>
              <w:spacing w:before="65" w:line="229" w:lineRule="auto"/>
              <w:ind w:left="461"/>
              <w:jc w:val="both"/>
              <w:rPr>
                <w:rFonts w:hint="eastAsia"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响应有效期</w:t>
            </w:r>
          </w:p>
        </w:tc>
        <w:tc>
          <w:tcPr>
            <w:tcW w:w="4210" w:type="dxa"/>
            <w:noWrap w:val="0"/>
            <w:vAlign w:val="center"/>
          </w:tcPr>
          <w:p w14:paraId="20F54DA9">
            <w:pPr>
              <w:spacing w:before="188" w:line="290" w:lineRule="auto"/>
              <w:ind w:left="112" w:right="106" w:firstLine="3"/>
              <w:jc w:val="center"/>
              <w:rPr>
                <w:rFonts w:hint="eastAsia" w:ascii="宋体" w:hAnsi="宋体" w:eastAsia="宋体" w:cs="宋体"/>
                <w:color w:val="auto"/>
                <w:sz w:val="21"/>
                <w:szCs w:val="21"/>
                <w:highlight w:val="none"/>
              </w:rPr>
            </w:pPr>
          </w:p>
        </w:tc>
        <w:tc>
          <w:tcPr>
            <w:tcW w:w="2343" w:type="dxa"/>
            <w:noWrap w:val="0"/>
            <w:vAlign w:val="center"/>
          </w:tcPr>
          <w:p w14:paraId="7A5391E0">
            <w:pPr>
              <w:jc w:val="center"/>
              <w:rPr>
                <w:rFonts w:hint="eastAsia" w:ascii="宋体" w:hAnsi="宋体" w:eastAsia="宋体" w:cs="宋体"/>
                <w:color w:val="auto"/>
                <w:sz w:val="21"/>
                <w:szCs w:val="21"/>
                <w:highlight w:val="none"/>
              </w:rPr>
            </w:pPr>
          </w:p>
        </w:tc>
      </w:tr>
      <w:tr w14:paraId="3612FD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850" w:type="dxa"/>
            <w:noWrap w:val="0"/>
            <w:vAlign w:val="center"/>
          </w:tcPr>
          <w:p w14:paraId="758078F4">
            <w:pPr>
              <w:spacing w:before="65" w:line="190" w:lineRule="auto"/>
              <w:ind w:left="379"/>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3</w:t>
            </w:r>
          </w:p>
        </w:tc>
        <w:tc>
          <w:tcPr>
            <w:tcW w:w="1961" w:type="dxa"/>
            <w:noWrap w:val="0"/>
            <w:vAlign w:val="center"/>
          </w:tcPr>
          <w:p w14:paraId="512F292E">
            <w:pPr>
              <w:spacing w:before="65" w:line="229" w:lineRule="auto"/>
              <w:ind w:left="461"/>
              <w:jc w:val="both"/>
              <w:rPr>
                <w:rFonts w:hint="default" w:ascii="宋体" w:hAnsi="宋体" w:eastAsia="宋体" w:cs="宋体"/>
                <w:color w:val="auto"/>
                <w:spacing w:val="7"/>
                <w:sz w:val="21"/>
                <w:szCs w:val="21"/>
                <w:highlight w:val="none"/>
                <w:lang w:val="en-US" w:eastAsia="zh-CN"/>
              </w:rPr>
            </w:pPr>
            <w:r>
              <w:rPr>
                <w:rFonts w:hint="eastAsia" w:ascii="宋体" w:hAnsi="宋体" w:eastAsia="宋体" w:cs="宋体"/>
                <w:color w:val="auto"/>
                <w:spacing w:val="7"/>
                <w:sz w:val="21"/>
                <w:szCs w:val="21"/>
                <w:highlight w:val="none"/>
                <w:lang w:val="en-US" w:eastAsia="zh-CN"/>
              </w:rPr>
              <w:t>服务标准</w:t>
            </w:r>
          </w:p>
        </w:tc>
        <w:tc>
          <w:tcPr>
            <w:tcW w:w="4210" w:type="dxa"/>
            <w:noWrap w:val="0"/>
            <w:vAlign w:val="center"/>
          </w:tcPr>
          <w:p w14:paraId="77C7E406">
            <w:pPr>
              <w:spacing w:line="427" w:lineRule="auto"/>
              <w:jc w:val="center"/>
              <w:rPr>
                <w:rFonts w:hint="eastAsia" w:ascii="宋体" w:hAnsi="宋体" w:eastAsia="宋体" w:cs="宋体"/>
                <w:color w:val="auto"/>
                <w:sz w:val="21"/>
                <w:szCs w:val="21"/>
                <w:highlight w:val="none"/>
              </w:rPr>
            </w:pPr>
          </w:p>
          <w:p w14:paraId="6B7B729E">
            <w:pPr>
              <w:spacing w:line="240" w:lineRule="auto"/>
              <w:ind w:left="0"/>
              <w:jc w:val="center"/>
              <w:rPr>
                <w:rFonts w:hint="eastAsia" w:ascii="宋体" w:hAnsi="宋体" w:eastAsia="宋体" w:cs="宋体"/>
                <w:color w:val="auto"/>
                <w:sz w:val="21"/>
                <w:szCs w:val="21"/>
                <w:highlight w:val="none"/>
              </w:rPr>
            </w:pPr>
          </w:p>
        </w:tc>
        <w:tc>
          <w:tcPr>
            <w:tcW w:w="2343" w:type="dxa"/>
            <w:noWrap w:val="0"/>
            <w:vAlign w:val="center"/>
          </w:tcPr>
          <w:p w14:paraId="655B4F2D">
            <w:pPr>
              <w:jc w:val="center"/>
              <w:rPr>
                <w:rFonts w:hint="eastAsia" w:ascii="宋体" w:hAnsi="宋体" w:eastAsia="宋体" w:cs="宋体"/>
                <w:color w:val="auto"/>
                <w:sz w:val="21"/>
                <w:szCs w:val="21"/>
                <w:highlight w:val="none"/>
              </w:rPr>
            </w:pPr>
          </w:p>
        </w:tc>
      </w:tr>
      <w:tr w14:paraId="5BDA20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850" w:type="dxa"/>
            <w:noWrap w:val="0"/>
            <w:vAlign w:val="center"/>
          </w:tcPr>
          <w:p w14:paraId="7881B7C4">
            <w:pPr>
              <w:spacing w:before="65" w:line="190" w:lineRule="auto"/>
              <w:ind w:left="379"/>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4</w:t>
            </w:r>
          </w:p>
        </w:tc>
        <w:tc>
          <w:tcPr>
            <w:tcW w:w="1961" w:type="dxa"/>
            <w:noWrap w:val="0"/>
            <w:vAlign w:val="center"/>
          </w:tcPr>
          <w:p w14:paraId="65441322">
            <w:pPr>
              <w:spacing w:line="427" w:lineRule="auto"/>
              <w:jc w:val="center"/>
              <w:rPr>
                <w:rFonts w:hint="eastAsia" w:ascii="宋体" w:hAnsi="宋体" w:eastAsia="宋体" w:cs="宋体"/>
                <w:color w:val="auto"/>
                <w:sz w:val="21"/>
                <w:szCs w:val="21"/>
                <w:highlight w:val="none"/>
              </w:rPr>
            </w:pPr>
          </w:p>
          <w:p w14:paraId="633558B8">
            <w:pPr>
              <w:spacing w:before="65" w:line="84" w:lineRule="exact"/>
              <w:ind w:left="675"/>
              <w:jc w:val="center"/>
              <w:rPr>
                <w:rFonts w:hint="eastAsia" w:ascii="宋体" w:hAnsi="宋体" w:eastAsia="宋体" w:cs="宋体"/>
                <w:color w:val="auto"/>
                <w:sz w:val="21"/>
                <w:szCs w:val="21"/>
                <w:highlight w:val="none"/>
              </w:rPr>
            </w:pPr>
            <w:r>
              <w:rPr>
                <w:rFonts w:hint="eastAsia" w:ascii="宋体" w:hAnsi="宋体" w:eastAsia="宋体" w:cs="宋体"/>
                <w:color w:val="auto"/>
                <w:spacing w:val="5"/>
                <w:position w:val="1"/>
                <w:sz w:val="21"/>
                <w:szCs w:val="21"/>
                <w:highlight w:val="none"/>
              </w:rPr>
              <w:t>.</w:t>
            </w:r>
            <w:r>
              <w:rPr>
                <w:rFonts w:hint="eastAsia" w:ascii="宋体" w:hAnsi="宋体" w:eastAsia="宋体" w:cs="宋体"/>
                <w:color w:val="auto"/>
                <w:spacing w:val="4"/>
                <w:position w:val="1"/>
                <w:sz w:val="21"/>
                <w:szCs w:val="21"/>
                <w:highlight w:val="none"/>
              </w:rPr>
              <w:t>.....</w:t>
            </w:r>
          </w:p>
        </w:tc>
        <w:tc>
          <w:tcPr>
            <w:tcW w:w="4210" w:type="dxa"/>
            <w:noWrap w:val="0"/>
            <w:vAlign w:val="center"/>
          </w:tcPr>
          <w:p w14:paraId="3DF15171">
            <w:pPr>
              <w:spacing w:line="427" w:lineRule="auto"/>
              <w:jc w:val="center"/>
              <w:rPr>
                <w:rFonts w:hint="eastAsia" w:ascii="宋体" w:hAnsi="宋体" w:eastAsia="宋体" w:cs="宋体"/>
                <w:color w:val="auto"/>
                <w:sz w:val="21"/>
                <w:szCs w:val="21"/>
                <w:highlight w:val="none"/>
              </w:rPr>
            </w:pPr>
          </w:p>
          <w:p w14:paraId="5101CAD4">
            <w:pPr>
              <w:spacing w:before="65" w:line="84" w:lineRule="exact"/>
              <w:ind w:left="118"/>
              <w:jc w:val="center"/>
              <w:rPr>
                <w:rFonts w:hint="eastAsia" w:ascii="宋体" w:hAnsi="宋体" w:eastAsia="宋体" w:cs="宋体"/>
                <w:color w:val="auto"/>
                <w:sz w:val="21"/>
                <w:szCs w:val="21"/>
                <w:highlight w:val="none"/>
              </w:rPr>
            </w:pPr>
            <w:r>
              <w:rPr>
                <w:rFonts w:hint="eastAsia" w:ascii="宋体" w:hAnsi="宋体" w:eastAsia="宋体" w:cs="宋体"/>
                <w:color w:val="auto"/>
                <w:spacing w:val="5"/>
                <w:position w:val="1"/>
                <w:sz w:val="21"/>
                <w:szCs w:val="21"/>
                <w:highlight w:val="none"/>
              </w:rPr>
              <w:t>.</w:t>
            </w:r>
            <w:r>
              <w:rPr>
                <w:rFonts w:hint="eastAsia" w:ascii="宋体" w:hAnsi="宋体" w:eastAsia="宋体" w:cs="宋体"/>
                <w:color w:val="auto"/>
                <w:spacing w:val="4"/>
                <w:position w:val="1"/>
                <w:sz w:val="21"/>
                <w:szCs w:val="21"/>
                <w:highlight w:val="none"/>
              </w:rPr>
              <w:t>.....</w:t>
            </w:r>
          </w:p>
        </w:tc>
        <w:tc>
          <w:tcPr>
            <w:tcW w:w="2343" w:type="dxa"/>
            <w:noWrap w:val="0"/>
            <w:vAlign w:val="center"/>
          </w:tcPr>
          <w:p w14:paraId="70B7016F">
            <w:pPr>
              <w:jc w:val="center"/>
              <w:rPr>
                <w:rFonts w:hint="eastAsia" w:ascii="宋体" w:hAnsi="宋体" w:eastAsia="宋体" w:cs="宋体"/>
                <w:color w:val="auto"/>
                <w:sz w:val="21"/>
                <w:szCs w:val="21"/>
                <w:highlight w:val="none"/>
              </w:rPr>
            </w:pPr>
          </w:p>
        </w:tc>
      </w:tr>
    </w:tbl>
    <w:p w14:paraId="51FE0AF8">
      <w:pPr>
        <w:spacing w:line="240" w:lineRule="auto"/>
        <w:ind w:firstLine="0" w:firstLineChars="0"/>
        <w:jc w:val="left"/>
        <w:rPr>
          <w:rFonts w:hint="eastAsia" w:ascii="宋体" w:hAnsi="宋体" w:cs="宋体"/>
          <w:color w:val="auto"/>
          <w:szCs w:val="21"/>
          <w:highlight w:val="none"/>
        </w:rPr>
      </w:pPr>
    </w:p>
    <w:p w14:paraId="3A81F010">
      <w:pPr>
        <w:spacing w:line="240" w:lineRule="auto"/>
        <w:ind w:firstLine="0" w:firstLineChars="0"/>
        <w:jc w:val="left"/>
        <w:rPr>
          <w:rFonts w:hint="eastAsia" w:ascii="宋体" w:hAnsi="宋体" w:cs="宋体"/>
          <w:color w:val="auto"/>
          <w:szCs w:val="21"/>
          <w:highlight w:val="none"/>
        </w:rPr>
      </w:pPr>
      <w:r>
        <w:rPr>
          <w:rFonts w:hint="eastAsia" w:ascii="宋体" w:hAnsi="宋体" w:cs="宋体"/>
          <w:color w:val="auto"/>
          <w:szCs w:val="21"/>
          <w:highlight w:val="none"/>
        </w:rPr>
        <w:br w:type="page"/>
      </w:r>
    </w:p>
    <w:p w14:paraId="5F61EFA5">
      <w:pPr>
        <w:numPr>
          <w:ilvl w:val="0"/>
          <w:numId w:val="3"/>
        </w:numPr>
        <w:jc w:val="center"/>
        <w:rPr>
          <w:rFonts w:hint="eastAsia" w:ascii="宋体" w:hAnsi="宋体" w:eastAsia="宋体" w:cs="宋体"/>
          <w:b/>
          <w:color w:val="auto"/>
          <w:sz w:val="28"/>
          <w:szCs w:val="28"/>
          <w:highlight w:val="none"/>
        </w:rPr>
      </w:pPr>
      <w:bookmarkStart w:id="249" w:name="_Toc3978"/>
      <w:bookmarkStart w:id="250" w:name="_Toc4123"/>
      <w:bookmarkStart w:id="251" w:name="_Toc1908"/>
      <w:bookmarkStart w:id="252" w:name="_Toc152045791"/>
      <w:bookmarkStart w:id="253" w:name="_Toc144974860"/>
      <w:bookmarkStart w:id="254" w:name="_Toc152042580"/>
      <w:bookmarkStart w:id="255" w:name="_Toc247085877"/>
      <w:bookmarkStart w:id="256" w:name="_Toc179632811"/>
      <w:bookmarkStart w:id="257" w:name="_Toc246996359"/>
      <w:bookmarkStart w:id="258" w:name="_Toc246997102"/>
      <w:r>
        <w:rPr>
          <w:rFonts w:hint="eastAsia" w:ascii="宋体" w:hAnsi="宋体" w:eastAsia="宋体" w:cs="宋体"/>
          <w:b/>
          <w:color w:val="auto"/>
          <w:sz w:val="28"/>
          <w:szCs w:val="28"/>
          <w:highlight w:val="none"/>
        </w:rPr>
        <w:t>法定代表人身份证明</w:t>
      </w:r>
      <w:bookmarkEnd w:id="249"/>
      <w:r>
        <w:rPr>
          <w:rFonts w:hint="eastAsia" w:ascii="宋体" w:hAnsi="宋体" w:eastAsia="宋体" w:cs="宋体"/>
          <w:b/>
          <w:color w:val="auto"/>
          <w:sz w:val="28"/>
          <w:szCs w:val="28"/>
          <w:highlight w:val="none"/>
        </w:rPr>
        <w:t>及法定代表人授权委托书</w:t>
      </w:r>
      <w:bookmarkEnd w:id="250"/>
      <w:bookmarkEnd w:id="251"/>
    </w:p>
    <w:p w14:paraId="699FA927">
      <w:pPr>
        <w:numPr>
          <w:ilvl w:val="0"/>
          <w:numId w:val="0"/>
        </w:numPr>
        <w:jc w:val="center"/>
        <w:rPr>
          <w:rFonts w:hint="eastAsia" w:ascii="宋体" w:hAnsi="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一</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法定代表人身</w:t>
      </w:r>
      <w:r>
        <w:rPr>
          <w:rFonts w:hint="eastAsia" w:ascii="宋体" w:hAnsi="宋体" w:cs="宋体"/>
          <w:b/>
          <w:color w:val="auto"/>
          <w:sz w:val="28"/>
          <w:szCs w:val="28"/>
          <w:highlight w:val="none"/>
        </w:rPr>
        <w:t>份证明</w:t>
      </w:r>
      <w:bookmarkEnd w:id="252"/>
      <w:bookmarkEnd w:id="253"/>
      <w:bookmarkEnd w:id="254"/>
      <w:bookmarkEnd w:id="255"/>
      <w:bookmarkEnd w:id="256"/>
      <w:bookmarkEnd w:id="257"/>
      <w:bookmarkEnd w:id="258"/>
    </w:p>
    <w:p w14:paraId="535E6967">
      <w:pPr>
        <w:spacing w:line="440" w:lineRule="exact"/>
        <w:rPr>
          <w:rFonts w:hint="eastAsia" w:ascii="宋体" w:hAnsi="宋体" w:cs="宋体"/>
          <w:color w:val="auto"/>
          <w:sz w:val="20"/>
          <w:szCs w:val="20"/>
          <w:highlight w:val="none"/>
        </w:rPr>
      </w:pPr>
    </w:p>
    <w:p w14:paraId="0F40A2B6">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供应商名称：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C108562">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2A877EA3">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14:paraId="20C64B7E">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7FB9811A">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经营期限：</w:t>
      </w:r>
      <w:r>
        <w:rPr>
          <w:rFonts w:hint="eastAsia" w:ascii="宋体" w:hAnsi="宋体" w:cs="宋体"/>
          <w:color w:val="auto"/>
          <w:szCs w:val="21"/>
          <w:highlight w:val="none"/>
          <w:u w:val="single"/>
        </w:rPr>
        <w:t xml:space="preserve">                               </w:t>
      </w:r>
    </w:p>
    <w:p w14:paraId="520FB08F">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姓名：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性别：</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职务：</w:t>
      </w:r>
      <w:r>
        <w:rPr>
          <w:rFonts w:hint="eastAsia" w:ascii="宋体" w:hAnsi="宋体" w:cs="宋体"/>
          <w:color w:val="auto"/>
          <w:szCs w:val="21"/>
          <w:highlight w:val="none"/>
          <w:u w:val="single"/>
        </w:rPr>
        <w:t xml:space="preserve">        </w:t>
      </w:r>
    </w:p>
    <w:p w14:paraId="570F427A">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（供应商名称）的法定代表人。</w:t>
      </w:r>
    </w:p>
    <w:p w14:paraId="5E634B0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特此证明。</w:t>
      </w:r>
    </w:p>
    <w:p w14:paraId="7727B7B5">
      <w:pPr>
        <w:spacing w:line="440" w:lineRule="exact"/>
        <w:rPr>
          <w:rFonts w:hint="eastAsia" w:ascii="宋体" w:hAnsi="宋体" w:cs="宋体"/>
          <w:color w:val="auto"/>
          <w:szCs w:val="21"/>
          <w:highlight w:val="none"/>
        </w:rPr>
      </w:pPr>
    </w:p>
    <w:p w14:paraId="1F02D9E0">
      <w:pPr>
        <w:spacing w:line="440" w:lineRule="exact"/>
        <w:rPr>
          <w:rFonts w:hint="eastAsia" w:ascii="宋体" w:hAnsi="宋体" w:cs="宋体"/>
          <w:color w:val="auto"/>
          <w:szCs w:val="21"/>
          <w:highlight w:val="none"/>
        </w:rPr>
      </w:pPr>
    </w:p>
    <w:p w14:paraId="3E5FD3B6">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供应商：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1D7CC488">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日           </w:t>
      </w:r>
    </w:p>
    <w:p w14:paraId="65725BFC">
      <w:pPr>
        <w:spacing w:line="440" w:lineRule="exact"/>
        <w:jc w:val="center"/>
        <w:rPr>
          <w:rFonts w:hint="eastAsia" w:ascii="宋体" w:hAnsi="宋体" w:cs="宋体"/>
          <w:color w:val="auto"/>
          <w:sz w:val="20"/>
          <w:szCs w:val="20"/>
          <w:highlight w:val="none"/>
        </w:rPr>
      </w:pPr>
    </w:p>
    <w:p w14:paraId="40FD8DDD">
      <w:pPr>
        <w:numPr>
          <w:ilvl w:val="0"/>
          <w:numId w:val="0"/>
        </w:numPr>
        <w:jc w:val="center"/>
        <w:rPr>
          <w:rFonts w:hint="eastAsia" w:ascii="宋体" w:hAnsi="宋体" w:cs="宋体"/>
          <w:b/>
          <w:color w:val="auto"/>
          <w:sz w:val="28"/>
          <w:szCs w:val="28"/>
          <w:highlight w:val="none"/>
        </w:rPr>
      </w:pPr>
      <w:bookmarkStart w:id="259" w:name="_Toc152045792"/>
      <w:bookmarkStart w:id="260" w:name="_Toc246996360"/>
      <w:bookmarkStart w:id="261" w:name="_Toc179632812"/>
      <w:bookmarkStart w:id="262" w:name="_Toc144974861"/>
      <w:bookmarkStart w:id="263" w:name="_Toc152042581"/>
      <w:bookmarkStart w:id="264" w:name="_Toc247085878"/>
      <w:bookmarkStart w:id="265" w:name="_Toc246997103"/>
      <w:r>
        <w:rPr>
          <w:rFonts w:hint="eastAsia" w:ascii="宋体" w:hAnsi="宋体" w:cs="宋体"/>
          <w:color w:val="auto"/>
          <w:highlight w:val="none"/>
        </w:rPr>
        <w:br w:type="page"/>
      </w:r>
      <w:bookmarkStart w:id="266" w:name="_Toc403061845"/>
      <w:bookmarkStart w:id="267" w:name="_Toc14016"/>
      <w:bookmarkStart w:id="268" w:name="_Toc8169"/>
      <w:bookmarkStart w:id="269" w:name="_Toc21424515"/>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lang w:eastAsia="zh-CN"/>
        </w:rPr>
        <w:t>）</w:t>
      </w:r>
      <w:bookmarkEnd w:id="266"/>
      <w:bookmarkEnd w:id="267"/>
      <w:bookmarkEnd w:id="268"/>
      <w:bookmarkEnd w:id="269"/>
      <w:r>
        <w:rPr>
          <w:rFonts w:hint="eastAsia" w:ascii="宋体" w:hAnsi="宋体" w:eastAsia="宋体" w:cs="宋体"/>
          <w:b/>
          <w:color w:val="auto"/>
          <w:sz w:val="28"/>
          <w:szCs w:val="28"/>
          <w:highlight w:val="none"/>
          <w:lang w:val="en-US" w:eastAsia="zh-CN"/>
        </w:rPr>
        <w:t>法人</w:t>
      </w:r>
      <w:r>
        <w:rPr>
          <w:rFonts w:hint="eastAsia" w:ascii="宋体" w:hAnsi="宋体" w:eastAsia="宋体" w:cs="宋体"/>
          <w:b/>
          <w:color w:val="auto"/>
          <w:sz w:val="28"/>
          <w:szCs w:val="28"/>
          <w:highlight w:val="none"/>
          <w:lang w:eastAsia="zh-CN"/>
        </w:rPr>
        <w:t>授权委托书</w:t>
      </w:r>
      <w:bookmarkEnd w:id="259"/>
      <w:bookmarkEnd w:id="260"/>
      <w:bookmarkEnd w:id="261"/>
      <w:bookmarkEnd w:id="262"/>
      <w:bookmarkEnd w:id="263"/>
      <w:bookmarkEnd w:id="264"/>
      <w:bookmarkEnd w:id="265"/>
    </w:p>
    <w:p w14:paraId="3DD4459D">
      <w:pPr>
        <w:spacing w:line="440" w:lineRule="exact"/>
        <w:rPr>
          <w:rFonts w:hint="eastAsia" w:ascii="宋体" w:hAnsi="宋体" w:cs="宋体"/>
          <w:color w:val="auto"/>
          <w:szCs w:val="21"/>
          <w:highlight w:val="none"/>
        </w:rPr>
      </w:pPr>
    </w:p>
    <w:p w14:paraId="1C66D342">
      <w:pPr>
        <w:topLinePunct/>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（供应商名称）的法定代表人，现委托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（姓名）为我方代理人。代理人根据授权，以我方名义签署、澄清、说明、补正、递交、撤回、修改</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（项目名称）响应文件、签订合同和处理有关事宜，其法律后果由我方承担。</w:t>
      </w:r>
    </w:p>
    <w:p w14:paraId="5CFB187B">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 xml:space="preserve">    委托期限：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32D8EE8">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代理人无转委托权。</w:t>
      </w:r>
    </w:p>
    <w:p w14:paraId="10FBB4DE">
      <w:pPr>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附：法定代表人及被授权人身份证复印件</w:t>
      </w:r>
    </w:p>
    <w:p w14:paraId="5681CE90">
      <w:pPr>
        <w:spacing w:line="440" w:lineRule="exact"/>
        <w:ind w:firstLine="420" w:firstLineChars="200"/>
        <w:rPr>
          <w:rFonts w:hint="eastAsia" w:ascii="宋体" w:hAnsi="宋体" w:cs="宋体"/>
          <w:color w:val="auto"/>
          <w:szCs w:val="21"/>
          <w:highlight w:val="none"/>
        </w:rPr>
      </w:pPr>
    </w:p>
    <w:tbl>
      <w:tblPr>
        <w:tblStyle w:val="25"/>
        <w:tblW w:w="0" w:type="auto"/>
        <w:tblInd w:w="3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80"/>
        <w:gridCol w:w="425"/>
        <w:gridCol w:w="4360"/>
      </w:tblGrid>
      <w:tr w14:paraId="10B12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0" w:hRule="atLeast"/>
        </w:trPr>
        <w:tc>
          <w:tcPr>
            <w:tcW w:w="4195" w:type="dxa"/>
            <w:noWrap w:val="0"/>
            <w:vAlign w:val="center"/>
          </w:tcPr>
          <w:p w14:paraId="58737234">
            <w:pPr>
              <w:spacing w:line="440" w:lineRule="exact"/>
              <w:ind w:firstLine="420" w:firstLineChars="200"/>
              <w:jc w:val="center"/>
              <w:rPr>
                <w:rFonts w:hint="eastAsia" w:ascii="宋体" w:hAnsi="宋体" w:cs="宋体"/>
                <w:color w:val="auto"/>
                <w:szCs w:val="21"/>
                <w:highlight w:val="none"/>
              </w:rPr>
            </w:pPr>
          </w:p>
          <w:p w14:paraId="4794C33C">
            <w:pPr>
              <w:spacing w:line="440" w:lineRule="exact"/>
              <w:ind w:firstLine="420" w:firstLineChars="200"/>
              <w:jc w:val="center"/>
              <w:rPr>
                <w:rFonts w:hint="eastAsia" w:ascii="宋体" w:hAnsi="宋体" w:cs="宋体"/>
                <w:color w:val="auto"/>
                <w:szCs w:val="21"/>
                <w:highlight w:val="none"/>
              </w:rPr>
            </w:pPr>
          </w:p>
          <w:p w14:paraId="7CF73687">
            <w:pPr>
              <w:spacing w:line="440" w:lineRule="exact"/>
              <w:ind w:firstLine="1155" w:firstLineChars="550"/>
              <w:rPr>
                <w:rFonts w:hint="eastAsia" w:ascii="宋体" w:hAnsi="宋体" w:cs="宋体"/>
                <w:color w:val="auto"/>
                <w:szCs w:val="21"/>
                <w:highlight w:val="none"/>
              </w:rPr>
            </w:pPr>
            <w:r>
              <w:rPr>
                <w:rFonts w:hint="eastAsia" w:ascii="宋体" w:hAnsi="宋体" w:cs="宋体"/>
                <w:color w:val="auto"/>
                <w:szCs w:val="21"/>
                <w:highlight w:val="none"/>
              </w:rPr>
              <w:t>法人身份证复印件</w:t>
            </w:r>
          </w:p>
          <w:p w14:paraId="65A1AD16">
            <w:pPr>
              <w:spacing w:line="440" w:lineRule="exact"/>
              <w:jc w:val="center"/>
              <w:rPr>
                <w:rFonts w:hint="eastAsia" w:ascii="宋体" w:hAnsi="宋体" w:cs="宋体"/>
                <w:color w:val="auto"/>
                <w:szCs w:val="21"/>
                <w:highlight w:val="none"/>
              </w:rPr>
            </w:pPr>
          </w:p>
          <w:p w14:paraId="088DE7CA">
            <w:pPr>
              <w:spacing w:line="440" w:lineRule="exact"/>
              <w:jc w:val="center"/>
              <w:rPr>
                <w:rFonts w:hint="eastAsia" w:ascii="宋体" w:hAnsi="宋体" w:cs="宋体"/>
                <w:color w:val="auto"/>
                <w:szCs w:val="21"/>
                <w:highlight w:val="none"/>
              </w:rPr>
            </w:pPr>
          </w:p>
        </w:tc>
        <w:tc>
          <w:tcPr>
            <w:tcW w:w="426" w:type="dxa"/>
            <w:tcBorders>
              <w:top w:val="nil"/>
              <w:bottom w:val="nil"/>
            </w:tcBorders>
            <w:noWrap w:val="0"/>
            <w:vAlign w:val="top"/>
          </w:tcPr>
          <w:p w14:paraId="4C7E6F89">
            <w:pPr>
              <w:widowControl/>
              <w:jc w:val="left"/>
              <w:rPr>
                <w:rFonts w:hint="eastAsia" w:ascii="宋体" w:hAnsi="宋体" w:cs="宋体"/>
                <w:color w:val="auto"/>
                <w:szCs w:val="21"/>
                <w:highlight w:val="none"/>
              </w:rPr>
            </w:pPr>
          </w:p>
        </w:tc>
        <w:tc>
          <w:tcPr>
            <w:tcW w:w="4383" w:type="dxa"/>
            <w:noWrap w:val="0"/>
            <w:vAlign w:val="center"/>
          </w:tcPr>
          <w:p w14:paraId="061DC79B">
            <w:pPr>
              <w:widowControl/>
              <w:jc w:val="center"/>
              <w:rPr>
                <w:rFonts w:hint="eastAsia" w:ascii="宋体" w:hAnsi="宋体" w:cs="宋体"/>
                <w:color w:val="auto"/>
                <w:szCs w:val="21"/>
                <w:highlight w:val="none"/>
              </w:rPr>
            </w:pPr>
            <w:r>
              <w:rPr>
                <w:rFonts w:hint="eastAsia" w:ascii="宋体" w:hAnsi="宋体" w:cs="宋体"/>
                <w:color w:val="auto"/>
                <w:szCs w:val="21"/>
                <w:highlight w:val="none"/>
              </w:rPr>
              <w:t>被授权人身份证复印件</w:t>
            </w:r>
          </w:p>
        </w:tc>
      </w:tr>
    </w:tbl>
    <w:p w14:paraId="743DD7BC">
      <w:pPr>
        <w:spacing w:line="440" w:lineRule="exact"/>
        <w:rPr>
          <w:rFonts w:hint="eastAsia" w:ascii="宋体" w:hAnsi="宋体" w:cs="宋体"/>
          <w:color w:val="auto"/>
          <w:szCs w:val="21"/>
          <w:highlight w:val="none"/>
        </w:rPr>
      </w:pPr>
    </w:p>
    <w:p w14:paraId="0B4F2691">
      <w:pPr>
        <w:spacing w:line="440" w:lineRule="exact"/>
        <w:rPr>
          <w:rFonts w:hint="eastAsia" w:ascii="宋体" w:hAnsi="宋体" w:cs="宋体"/>
          <w:color w:val="auto"/>
          <w:szCs w:val="21"/>
          <w:highlight w:val="none"/>
        </w:rPr>
      </w:pPr>
    </w:p>
    <w:p w14:paraId="30D22369">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供应商：</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6C13F76A">
      <w:pPr>
        <w:spacing w:line="440" w:lineRule="exact"/>
        <w:rPr>
          <w:rFonts w:hint="eastAsia" w:ascii="宋体" w:hAnsi="宋体" w:cs="宋体"/>
          <w:color w:val="auto"/>
          <w:szCs w:val="21"/>
          <w:highlight w:val="none"/>
        </w:rPr>
      </w:pPr>
    </w:p>
    <w:p w14:paraId="48479083">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w:t>
      </w:r>
    </w:p>
    <w:p w14:paraId="3ABAB366">
      <w:pPr>
        <w:spacing w:line="440" w:lineRule="exact"/>
        <w:rPr>
          <w:rFonts w:hint="eastAsia" w:ascii="宋体" w:hAnsi="宋体" w:cs="宋体"/>
          <w:color w:val="auto"/>
          <w:szCs w:val="21"/>
          <w:highlight w:val="none"/>
        </w:rPr>
      </w:pPr>
    </w:p>
    <w:p w14:paraId="39884DD5">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394D0822">
      <w:pPr>
        <w:spacing w:line="440" w:lineRule="exact"/>
        <w:rPr>
          <w:rFonts w:hint="eastAsia" w:ascii="宋体" w:hAnsi="宋体" w:cs="宋体"/>
          <w:color w:val="auto"/>
          <w:szCs w:val="21"/>
          <w:highlight w:val="none"/>
        </w:rPr>
      </w:pPr>
    </w:p>
    <w:p w14:paraId="0A81AD55">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（签字） </w:t>
      </w:r>
    </w:p>
    <w:p w14:paraId="7FF8FBE8">
      <w:pPr>
        <w:spacing w:line="440" w:lineRule="exact"/>
        <w:rPr>
          <w:rFonts w:hint="eastAsia" w:ascii="宋体" w:hAnsi="宋体" w:cs="宋体"/>
          <w:color w:val="auto"/>
          <w:szCs w:val="21"/>
          <w:highlight w:val="none"/>
        </w:rPr>
      </w:pPr>
    </w:p>
    <w:p w14:paraId="46272373">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身份证号码：</w:t>
      </w:r>
      <w:r>
        <w:rPr>
          <w:rFonts w:hint="eastAsia" w:ascii="宋体" w:hAnsi="宋体" w:cs="宋体"/>
          <w:color w:val="auto"/>
          <w:szCs w:val="21"/>
          <w:highlight w:val="none"/>
          <w:u w:val="single"/>
        </w:rPr>
        <w:t xml:space="preserve">                                      </w:t>
      </w:r>
    </w:p>
    <w:p w14:paraId="4D301B6D">
      <w:pPr>
        <w:spacing w:line="440" w:lineRule="exact"/>
        <w:rPr>
          <w:rFonts w:hint="eastAsia" w:ascii="宋体" w:hAnsi="宋体" w:cs="宋体"/>
          <w:color w:val="auto"/>
          <w:szCs w:val="21"/>
          <w:highlight w:val="none"/>
        </w:rPr>
      </w:pPr>
    </w:p>
    <w:p w14:paraId="5A3FDB8F">
      <w:pPr>
        <w:spacing w:line="440" w:lineRule="exact"/>
        <w:rPr>
          <w:rFonts w:hint="eastAsia" w:ascii="宋体" w:hAnsi="宋体" w:cs="宋体"/>
          <w:color w:val="auto"/>
          <w:szCs w:val="21"/>
          <w:highlight w:val="none"/>
        </w:rPr>
      </w:pPr>
    </w:p>
    <w:p w14:paraId="1CF503B0">
      <w:pPr>
        <w:spacing w:line="440" w:lineRule="exact"/>
        <w:ind w:firstLine="2310" w:firstLineChars="1100"/>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14:paraId="38955D5A">
      <w:pPr>
        <w:spacing w:line="400" w:lineRule="exact"/>
        <w:rPr>
          <w:rFonts w:hint="eastAsia" w:ascii="宋体" w:hAnsi="宋体" w:cs="宋体"/>
          <w:color w:val="auto"/>
          <w:highlight w:val="none"/>
        </w:rPr>
      </w:pPr>
    </w:p>
    <w:p w14:paraId="0887272A">
      <w:pPr>
        <w:jc w:val="center"/>
        <w:rPr>
          <w:rFonts w:hint="eastAsia" w:ascii="宋体" w:hAnsi="宋体" w:cs="宋体"/>
          <w:b/>
          <w:color w:val="auto"/>
          <w:sz w:val="28"/>
          <w:szCs w:val="28"/>
          <w:highlight w:val="none"/>
        </w:rPr>
      </w:pPr>
      <w:bookmarkStart w:id="270" w:name="_Toc152042583"/>
      <w:bookmarkStart w:id="271" w:name="_Toc179632814"/>
      <w:bookmarkStart w:id="272" w:name="_Toc144974862"/>
      <w:bookmarkStart w:id="273" w:name="_Toc246996362"/>
      <w:bookmarkStart w:id="274" w:name="_Toc152045794"/>
      <w:bookmarkStart w:id="275" w:name="_Toc246997105"/>
      <w:bookmarkStart w:id="276" w:name="_Toc247085880"/>
      <w:r>
        <w:rPr>
          <w:rFonts w:hint="eastAsia" w:ascii="宋体" w:hAnsi="宋体" w:cs="宋体"/>
          <w:b/>
          <w:color w:val="auto"/>
          <w:sz w:val="28"/>
          <w:szCs w:val="28"/>
          <w:highlight w:val="none"/>
        </w:rPr>
        <w:br w:type="page"/>
      </w:r>
      <w:bookmarkEnd w:id="270"/>
      <w:bookmarkEnd w:id="271"/>
      <w:bookmarkEnd w:id="272"/>
      <w:bookmarkEnd w:id="273"/>
      <w:bookmarkEnd w:id="274"/>
      <w:bookmarkEnd w:id="275"/>
      <w:bookmarkEnd w:id="276"/>
      <w:bookmarkStart w:id="277" w:name="_Toc179632816"/>
      <w:bookmarkStart w:id="278" w:name="_Toc247085882"/>
      <w:bookmarkStart w:id="279" w:name="_Toc246997107"/>
      <w:bookmarkStart w:id="280" w:name="_Toc246996364"/>
      <w:bookmarkStart w:id="281" w:name="_Toc152045796"/>
      <w:bookmarkStart w:id="282" w:name="_Toc152042585"/>
      <w:bookmarkStart w:id="283" w:name="_Toc144974864"/>
      <w:r>
        <w:rPr>
          <w:rFonts w:hint="eastAsia" w:ascii="宋体" w:hAnsi="宋体" w:cs="宋体"/>
          <w:b/>
          <w:color w:val="auto"/>
          <w:sz w:val="28"/>
          <w:szCs w:val="28"/>
          <w:highlight w:val="none"/>
          <w:lang w:val="en-US" w:eastAsia="zh-CN"/>
        </w:rPr>
        <w:t>三、</w:t>
      </w:r>
      <w:r>
        <w:rPr>
          <w:rFonts w:hint="eastAsia" w:ascii="宋体" w:hAnsi="宋体" w:cs="宋体"/>
          <w:b/>
          <w:color w:val="auto"/>
          <w:sz w:val="28"/>
          <w:szCs w:val="28"/>
          <w:highlight w:val="none"/>
        </w:rPr>
        <w:t>首次报价一览表</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以政采云平台报价格式为准</w:t>
      </w:r>
      <w:r>
        <w:rPr>
          <w:rFonts w:hint="eastAsia" w:ascii="宋体" w:hAnsi="宋体" w:eastAsia="宋体" w:cs="宋体"/>
          <w:b/>
          <w:color w:val="auto"/>
          <w:sz w:val="28"/>
          <w:szCs w:val="28"/>
          <w:highlight w:val="none"/>
          <w:lang w:eastAsia="zh-CN"/>
        </w:rPr>
        <w:t>）</w:t>
      </w:r>
    </w:p>
    <w:p w14:paraId="6D6D7C9F">
      <w:pPr>
        <w:spacing w:line="360" w:lineRule="auto"/>
        <w:ind w:firstLine="105" w:firstLineChars="50"/>
        <w:rPr>
          <w:rFonts w:hint="eastAsia" w:ascii="宋体" w:hAnsi="宋体" w:cs="宋体"/>
          <w:color w:val="auto"/>
          <w:highlight w:val="none"/>
        </w:rPr>
      </w:pPr>
      <w:r>
        <w:rPr>
          <w:rFonts w:hint="eastAsia" w:ascii="宋体" w:hAnsi="宋体" w:cs="宋体"/>
          <w:color w:val="auto"/>
          <w:highlight w:val="none"/>
        </w:rPr>
        <w:t>项目名称：</w:t>
      </w:r>
    </w:p>
    <w:p w14:paraId="33FFC08F">
      <w:pPr>
        <w:spacing w:line="360" w:lineRule="auto"/>
        <w:ind w:firstLine="105" w:firstLineChars="50"/>
        <w:rPr>
          <w:rFonts w:hint="eastAsia" w:ascii="宋体" w:hAnsi="宋体" w:cs="宋体"/>
          <w:color w:val="auto"/>
          <w:highlight w:val="none"/>
        </w:rPr>
      </w:pPr>
      <w:r>
        <w:rPr>
          <w:rFonts w:hint="eastAsia" w:ascii="宋体" w:hAnsi="宋体" w:cs="宋体"/>
          <w:color w:val="auto"/>
          <w:highlight w:val="none"/>
        </w:rPr>
        <w:t>项目编号：</w:t>
      </w:r>
    </w:p>
    <w:tbl>
      <w:tblPr>
        <w:tblStyle w:val="25"/>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757"/>
        <w:gridCol w:w="6530"/>
      </w:tblGrid>
      <w:tr w14:paraId="60FF43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trPr>
        <w:tc>
          <w:tcPr>
            <w:tcW w:w="1484" w:type="pct"/>
            <w:tcBorders>
              <w:top w:val="single" w:color="auto" w:sz="4" w:space="0"/>
              <w:left w:val="single" w:color="auto" w:sz="4" w:space="0"/>
              <w:right w:val="single" w:color="auto" w:sz="4" w:space="0"/>
            </w:tcBorders>
            <w:noWrap w:val="0"/>
            <w:vAlign w:val="center"/>
          </w:tcPr>
          <w:p w14:paraId="1A101A0C">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总</w:t>
            </w:r>
            <w:r>
              <w:rPr>
                <w:rFonts w:hint="eastAsia" w:ascii="宋体" w:hAnsi="宋体" w:cs="宋体"/>
                <w:color w:val="auto"/>
                <w:szCs w:val="21"/>
                <w:highlight w:val="none"/>
              </w:rPr>
              <w:t>报价</w:t>
            </w:r>
          </w:p>
        </w:tc>
        <w:tc>
          <w:tcPr>
            <w:tcW w:w="3515" w:type="pct"/>
            <w:tcBorders>
              <w:top w:val="single" w:color="auto" w:sz="4" w:space="0"/>
              <w:left w:val="single" w:color="auto" w:sz="4" w:space="0"/>
              <w:right w:val="single" w:color="auto" w:sz="4" w:space="0"/>
            </w:tcBorders>
            <w:noWrap w:val="0"/>
            <w:vAlign w:val="center"/>
          </w:tcPr>
          <w:p w14:paraId="10B71E2F">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w:t>
            </w:r>
          </w:p>
        </w:tc>
      </w:tr>
      <w:tr w14:paraId="4F117C3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trPr>
        <w:tc>
          <w:tcPr>
            <w:tcW w:w="1484" w:type="pct"/>
            <w:tcBorders>
              <w:top w:val="single" w:color="auto" w:sz="4" w:space="0"/>
              <w:left w:val="single" w:color="auto" w:sz="4" w:space="0"/>
              <w:bottom w:val="single" w:color="auto" w:sz="4" w:space="0"/>
              <w:right w:val="single" w:color="auto" w:sz="4" w:space="0"/>
            </w:tcBorders>
            <w:noWrap w:val="0"/>
            <w:vAlign w:val="center"/>
          </w:tcPr>
          <w:p w14:paraId="2CAA0325">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合同履行期限（服务期限）</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2E549E50">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w:t>
            </w:r>
          </w:p>
        </w:tc>
      </w:tr>
      <w:tr w14:paraId="28580E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trPr>
        <w:tc>
          <w:tcPr>
            <w:tcW w:w="1484" w:type="pct"/>
            <w:tcBorders>
              <w:top w:val="single" w:color="auto" w:sz="4" w:space="0"/>
              <w:left w:val="single" w:color="auto" w:sz="4" w:space="0"/>
              <w:bottom w:val="single" w:color="auto" w:sz="4" w:space="0"/>
              <w:right w:val="single" w:color="auto" w:sz="4" w:space="0"/>
            </w:tcBorders>
            <w:noWrap w:val="0"/>
            <w:vAlign w:val="center"/>
          </w:tcPr>
          <w:p w14:paraId="2B96A9F9">
            <w:pPr>
              <w:spacing w:line="360" w:lineRule="auto"/>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服务标准</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6D4C68AA">
            <w:pPr>
              <w:spacing w:line="360" w:lineRule="auto"/>
              <w:jc w:val="center"/>
              <w:rPr>
                <w:rFonts w:hint="eastAsia" w:ascii="宋体" w:hAnsi="宋体" w:cs="宋体"/>
                <w:color w:val="auto"/>
                <w:szCs w:val="21"/>
                <w:highlight w:val="none"/>
              </w:rPr>
            </w:pPr>
          </w:p>
        </w:tc>
      </w:tr>
      <w:tr w14:paraId="33342E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50" w:hRule="atLeast"/>
        </w:trPr>
        <w:tc>
          <w:tcPr>
            <w:tcW w:w="1484" w:type="pct"/>
            <w:tcBorders>
              <w:top w:val="single" w:color="auto" w:sz="4" w:space="0"/>
              <w:left w:val="single" w:color="auto" w:sz="4" w:space="0"/>
              <w:bottom w:val="single" w:color="auto" w:sz="4" w:space="0"/>
              <w:right w:val="single" w:color="auto" w:sz="4" w:space="0"/>
            </w:tcBorders>
            <w:noWrap w:val="0"/>
            <w:vAlign w:val="center"/>
          </w:tcPr>
          <w:p w14:paraId="4405C63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优惠条件</w:t>
            </w:r>
          </w:p>
        </w:tc>
        <w:tc>
          <w:tcPr>
            <w:tcW w:w="3515" w:type="pct"/>
            <w:tcBorders>
              <w:top w:val="single" w:color="auto" w:sz="4" w:space="0"/>
              <w:left w:val="single" w:color="auto" w:sz="4" w:space="0"/>
              <w:bottom w:val="single" w:color="auto" w:sz="4" w:space="0"/>
              <w:right w:val="single" w:color="auto" w:sz="4" w:space="0"/>
            </w:tcBorders>
            <w:noWrap w:val="0"/>
            <w:vAlign w:val="center"/>
          </w:tcPr>
          <w:p w14:paraId="71E192D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rPr>
              <w:t>（有/无）</w:t>
            </w:r>
          </w:p>
        </w:tc>
      </w:tr>
    </w:tbl>
    <w:p w14:paraId="345AAB2E">
      <w:pPr>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注：填报的内容必须和响应文件及</w:t>
      </w:r>
      <w:r>
        <w:rPr>
          <w:rFonts w:hint="eastAsia" w:ascii="宋体" w:hAnsi="宋体" w:cs="宋体"/>
          <w:color w:val="auto"/>
          <w:szCs w:val="21"/>
          <w:highlight w:val="none"/>
          <w:lang w:val="en-US" w:eastAsia="zh-CN"/>
        </w:rPr>
        <w:t>磋商</w:t>
      </w:r>
      <w:r>
        <w:rPr>
          <w:rFonts w:hint="eastAsia" w:ascii="宋体" w:hAnsi="宋体" w:cs="宋体"/>
          <w:color w:val="auto"/>
          <w:szCs w:val="21"/>
          <w:highlight w:val="none"/>
        </w:rPr>
        <w:t>函中的内容一致。</w:t>
      </w:r>
    </w:p>
    <w:p w14:paraId="3EDBAD8A">
      <w:pPr>
        <w:spacing w:line="360" w:lineRule="auto"/>
        <w:rPr>
          <w:rFonts w:hint="eastAsia" w:ascii="宋体" w:hAnsi="宋体" w:cs="宋体"/>
          <w:color w:val="auto"/>
          <w:highlight w:val="none"/>
        </w:rPr>
      </w:pPr>
    </w:p>
    <w:p w14:paraId="1E579A64">
      <w:pPr>
        <w:spacing w:line="360" w:lineRule="auto"/>
        <w:rPr>
          <w:rFonts w:hint="eastAsia" w:ascii="宋体" w:hAnsi="宋体" w:cs="宋体"/>
          <w:color w:val="auto"/>
          <w:highlight w:val="none"/>
        </w:rPr>
      </w:pPr>
    </w:p>
    <w:p w14:paraId="08304592">
      <w:pPr>
        <w:spacing w:line="360" w:lineRule="auto"/>
        <w:rPr>
          <w:rFonts w:hint="eastAsia" w:ascii="宋体" w:hAnsi="宋体" w:cs="宋体"/>
          <w:color w:val="auto"/>
          <w:highlight w:val="none"/>
        </w:rPr>
      </w:pPr>
    </w:p>
    <w:p w14:paraId="36F5F14C">
      <w:pPr>
        <w:spacing w:line="360" w:lineRule="auto"/>
        <w:ind w:firstLine="4410" w:firstLineChars="2100"/>
        <w:rPr>
          <w:rFonts w:hint="eastAsia" w:ascii="宋体" w:hAnsi="宋体" w:cs="宋体"/>
          <w:color w:val="auto"/>
          <w:highlight w:val="none"/>
        </w:rPr>
      </w:pPr>
      <w:r>
        <w:rPr>
          <w:rFonts w:hint="eastAsia" w:ascii="宋体" w:hAnsi="宋体"/>
          <w:color w:val="auto"/>
          <w:highlight w:val="none"/>
        </w:rPr>
        <w:t>供应商：</w:t>
      </w:r>
      <w:r>
        <w:rPr>
          <w:rFonts w:ascii="宋体" w:hAnsi="宋体"/>
          <w:color w:val="auto"/>
          <w:highlight w:val="none"/>
          <w:u w:val="single"/>
        </w:rPr>
        <w:t xml:space="preserve">           </w:t>
      </w:r>
      <w:r>
        <w:rPr>
          <w:rFonts w:hint="eastAsia" w:ascii="宋体" w:hAnsi="宋体" w:eastAsia="宋体" w:cs="宋体"/>
          <w:color w:val="auto"/>
          <w:szCs w:val="21"/>
          <w:highlight w:val="none"/>
        </w:rPr>
        <w:t>（盖单位章）</w:t>
      </w:r>
      <w:r>
        <w:rPr>
          <w:rFonts w:hint="eastAsia" w:ascii="宋体" w:hAnsi="宋体" w:cs="宋体"/>
          <w:color w:val="auto"/>
          <w:szCs w:val="21"/>
          <w:highlight w:val="none"/>
          <w:lang w:val="en-US" w:eastAsia="zh-CN"/>
        </w:rPr>
        <w:t xml:space="preserve"> </w:t>
      </w:r>
    </w:p>
    <w:p w14:paraId="5592E45F">
      <w:pPr>
        <w:spacing w:line="360" w:lineRule="auto"/>
        <w:ind w:firstLine="4410" w:firstLineChars="2100"/>
        <w:rPr>
          <w:rFonts w:hint="eastAsia" w:ascii="宋体" w:hAnsi="宋体" w:cs="宋体"/>
          <w:color w:val="auto"/>
          <w:highlight w:val="none"/>
        </w:rPr>
      </w:pPr>
      <w:r>
        <w:rPr>
          <w:rFonts w:hint="eastAsia" w:ascii="宋体" w:hAnsi="宋体"/>
          <w:b w:val="0"/>
          <w:bCs/>
          <w:color w:val="auto"/>
          <w:szCs w:val="21"/>
          <w:highlight w:val="none"/>
        </w:rPr>
        <w:t>法人代表或</w:t>
      </w:r>
      <w:r>
        <w:rPr>
          <w:rFonts w:hint="eastAsia" w:ascii="宋体" w:hAnsi="宋体"/>
          <w:b w:val="0"/>
          <w:bCs/>
          <w:color w:val="auto"/>
          <w:szCs w:val="21"/>
          <w:highlight w:val="none"/>
          <w:lang w:val="en-US" w:eastAsia="zh-CN"/>
        </w:rPr>
        <w:t>其</w:t>
      </w:r>
      <w:r>
        <w:rPr>
          <w:rFonts w:hint="eastAsia" w:ascii="宋体" w:hAnsi="宋体"/>
          <w:b w:val="0"/>
          <w:bCs/>
          <w:color w:val="auto"/>
          <w:szCs w:val="21"/>
          <w:highlight w:val="none"/>
        </w:rPr>
        <w:t>委托代理人</w:t>
      </w:r>
      <w:r>
        <w:rPr>
          <w:rFonts w:hint="eastAsia" w:ascii="宋体" w:hAnsi="宋体"/>
          <w:b w:val="0"/>
          <w:bCs/>
          <w:color w:val="auto"/>
          <w:szCs w:val="21"/>
          <w:highlight w:val="none"/>
          <w:lang w:val="en-US" w:eastAsia="zh-CN"/>
        </w:rPr>
        <w:t>：</w:t>
      </w:r>
      <w:r>
        <w:rPr>
          <w:rFonts w:hint="eastAsia" w:ascii="宋体" w:hAnsi="宋体"/>
          <w:b w:val="0"/>
          <w:bCs/>
          <w:color w:val="auto"/>
          <w:szCs w:val="21"/>
          <w:highlight w:val="none"/>
          <w:u w:val="single"/>
          <w:lang w:val="en-US" w:eastAsia="zh-CN"/>
        </w:rPr>
        <w:t xml:space="preserve">       </w:t>
      </w:r>
      <w:r>
        <w:rPr>
          <w:rFonts w:hint="eastAsia" w:ascii="宋体" w:hAnsi="宋体"/>
          <w:b w:val="0"/>
          <w:bCs/>
          <w:color w:val="auto"/>
          <w:szCs w:val="21"/>
          <w:highlight w:val="none"/>
        </w:rPr>
        <w:t>（签字）</w:t>
      </w:r>
    </w:p>
    <w:p w14:paraId="395E55C9">
      <w:pP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br w:type="page"/>
      </w:r>
    </w:p>
    <w:p w14:paraId="504E2E70">
      <w:pPr>
        <w:pStyle w:val="13"/>
        <w:tabs>
          <w:tab w:val="left" w:pos="5580"/>
        </w:tabs>
        <w:spacing w:line="360" w:lineRule="auto"/>
        <w:jc w:val="center"/>
        <w:rPr>
          <w:rFonts w:hint="eastAsia" w:ascii="宋体" w:hAnsi="宋体" w:cs="宋体"/>
          <w:b/>
          <w:sz w:val="30"/>
          <w:szCs w:val="30"/>
          <w:u w:val="single"/>
        </w:rPr>
      </w:pPr>
      <w:r>
        <w:rPr>
          <w:rFonts w:hint="eastAsia" w:ascii="宋体" w:hAnsi="宋体" w:cs="宋体"/>
          <w:b/>
          <w:sz w:val="30"/>
          <w:szCs w:val="30"/>
        </w:rPr>
        <w:t>四、分项报价表</w:t>
      </w:r>
    </w:p>
    <w:p w14:paraId="14A480E5">
      <w:pPr>
        <w:pStyle w:val="13"/>
        <w:tabs>
          <w:tab w:val="left" w:pos="5580"/>
        </w:tabs>
        <w:spacing w:line="360" w:lineRule="auto"/>
        <w:rPr>
          <w:rFonts w:hint="eastAsia" w:ascii="宋体" w:hAnsi="宋体" w:cs="宋体"/>
          <w:szCs w:val="21"/>
        </w:rPr>
      </w:pPr>
    </w:p>
    <w:p w14:paraId="0BCADBB5">
      <w:pPr>
        <w:pStyle w:val="6"/>
        <w:spacing w:line="360" w:lineRule="auto"/>
        <w:ind w:firstLine="0" w:firstLineChars="0"/>
        <w:rPr>
          <w:rFonts w:hint="eastAsia" w:ascii="宋体" w:hAnsi="宋体" w:cs="宋体"/>
          <w:szCs w:val="21"/>
        </w:rPr>
      </w:pPr>
      <w:r>
        <w:rPr>
          <w:rFonts w:hint="eastAsia" w:ascii="宋体" w:hAnsi="宋体" w:cs="宋体"/>
          <w:szCs w:val="21"/>
        </w:rPr>
        <w:t xml:space="preserve">项目名称：                                                  </w:t>
      </w:r>
    </w:p>
    <w:p w14:paraId="2219100A">
      <w:pPr>
        <w:pStyle w:val="6"/>
        <w:spacing w:line="360" w:lineRule="auto"/>
        <w:ind w:firstLine="0" w:firstLineChars="0"/>
        <w:rPr>
          <w:rFonts w:hint="eastAsia" w:ascii="宋体" w:hAnsi="宋体" w:cs="宋体"/>
          <w:szCs w:val="21"/>
        </w:rPr>
      </w:pPr>
      <w:r>
        <w:rPr>
          <w:rFonts w:hint="eastAsia" w:ascii="宋体" w:hAnsi="宋体" w:cs="宋体"/>
          <w:szCs w:val="21"/>
        </w:rPr>
        <w:t>项目编号：</w:t>
      </w:r>
    </w:p>
    <w:tbl>
      <w:tblPr>
        <w:tblStyle w:val="25"/>
        <w:tblW w:w="91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9"/>
        <w:gridCol w:w="3072"/>
        <w:gridCol w:w="1466"/>
        <w:gridCol w:w="1425"/>
        <w:gridCol w:w="1090"/>
        <w:gridCol w:w="1075"/>
      </w:tblGrid>
      <w:tr w14:paraId="1A44C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89" w:type="dxa"/>
            <w:noWrap w:val="0"/>
            <w:vAlign w:val="center"/>
          </w:tcPr>
          <w:p w14:paraId="691521FC">
            <w:pPr>
              <w:pStyle w:val="13"/>
              <w:jc w:val="center"/>
              <w:rPr>
                <w:rFonts w:hint="eastAsia" w:ascii="宋体" w:hAnsi="宋体" w:cs="宋体"/>
                <w:szCs w:val="21"/>
              </w:rPr>
            </w:pPr>
            <w:r>
              <w:rPr>
                <w:rFonts w:hint="eastAsia" w:ascii="宋体" w:hAnsi="宋体" w:cs="宋体"/>
                <w:bCs/>
                <w:szCs w:val="21"/>
              </w:rPr>
              <w:t>序号</w:t>
            </w:r>
          </w:p>
        </w:tc>
        <w:tc>
          <w:tcPr>
            <w:tcW w:w="3072" w:type="dxa"/>
            <w:noWrap w:val="0"/>
            <w:vAlign w:val="center"/>
          </w:tcPr>
          <w:p w14:paraId="1A426806">
            <w:pPr>
              <w:pStyle w:val="13"/>
              <w:jc w:val="center"/>
              <w:rPr>
                <w:rFonts w:hint="eastAsia" w:ascii="宋体" w:hAnsi="宋体" w:cs="宋体"/>
                <w:szCs w:val="21"/>
              </w:rPr>
            </w:pPr>
            <w:r>
              <w:rPr>
                <w:rFonts w:hint="eastAsia" w:ascii="宋体" w:hAnsi="宋体" w:cs="宋体"/>
                <w:bCs/>
                <w:szCs w:val="21"/>
              </w:rPr>
              <w:t>服务内容</w:t>
            </w:r>
          </w:p>
        </w:tc>
        <w:tc>
          <w:tcPr>
            <w:tcW w:w="1466" w:type="dxa"/>
            <w:noWrap w:val="0"/>
            <w:vAlign w:val="center"/>
          </w:tcPr>
          <w:p w14:paraId="77208C61">
            <w:pPr>
              <w:pStyle w:val="13"/>
              <w:jc w:val="center"/>
              <w:rPr>
                <w:rFonts w:hint="eastAsia" w:ascii="宋体" w:hAnsi="宋体" w:eastAsia="宋体" w:cs="宋体"/>
                <w:szCs w:val="21"/>
                <w:lang w:eastAsia="zh-CN"/>
              </w:rPr>
            </w:pPr>
            <w:r>
              <w:rPr>
                <w:rFonts w:hint="eastAsia" w:ascii="宋体" w:hAnsi="宋体" w:cs="宋体"/>
                <w:bCs/>
                <w:szCs w:val="21"/>
              </w:rPr>
              <w:t>数量</w:t>
            </w:r>
            <w:r>
              <w:rPr>
                <w:rFonts w:hint="eastAsia" w:hAnsi="宋体" w:cs="宋体"/>
                <w:bCs/>
                <w:szCs w:val="21"/>
                <w:lang w:eastAsia="zh-CN"/>
              </w:rPr>
              <w:t>（</w:t>
            </w:r>
            <w:r>
              <w:rPr>
                <w:rFonts w:hint="eastAsia" w:hAnsi="宋体" w:cs="宋体"/>
                <w:bCs/>
                <w:szCs w:val="21"/>
                <w:lang w:val="en-US" w:eastAsia="zh-CN"/>
              </w:rPr>
              <w:t>年</w:t>
            </w:r>
            <w:r>
              <w:rPr>
                <w:rFonts w:hint="eastAsia" w:hAnsi="宋体" w:cs="宋体"/>
                <w:bCs/>
                <w:szCs w:val="21"/>
                <w:lang w:eastAsia="zh-CN"/>
              </w:rPr>
              <w:t>）</w:t>
            </w:r>
          </w:p>
        </w:tc>
        <w:tc>
          <w:tcPr>
            <w:tcW w:w="1425" w:type="dxa"/>
            <w:noWrap w:val="0"/>
            <w:vAlign w:val="center"/>
          </w:tcPr>
          <w:p w14:paraId="255883B9">
            <w:pPr>
              <w:pStyle w:val="13"/>
              <w:jc w:val="center"/>
              <w:rPr>
                <w:rFonts w:hint="eastAsia" w:ascii="宋体" w:hAnsi="宋体" w:eastAsia="宋体" w:cs="宋体"/>
                <w:szCs w:val="21"/>
                <w:lang w:eastAsia="zh-CN"/>
              </w:rPr>
            </w:pPr>
            <w:r>
              <w:rPr>
                <w:rFonts w:hint="eastAsia" w:ascii="宋体" w:hAnsi="宋体" w:cs="宋体"/>
                <w:szCs w:val="21"/>
              </w:rPr>
              <w:t>单价</w:t>
            </w:r>
            <w:r>
              <w:rPr>
                <w:rFonts w:hint="eastAsia" w:hAnsi="宋体" w:cs="宋体"/>
                <w:szCs w:val="21"/>
                <w:lang w:eastAsia="zh-CN"/>
              </w:rPr>
              <w:t>（</w:t>
            </w:r>
            <w:r>
              <w:rPr>
                <w:rFonts w:hint="eastAsia" w:hAnsi="宋体" w:cs="宋体"/>
                <w:szCs w:val="21"/>
                <w:lang w:val="en-US" w:eastAsia="zh-CN"/>
              </w:rPr>
              <w:t>元/年</w:t>
            </w:r>
            <w:r>
              <w:rPr>
                <w:rFonts w:hint="eastAsia" w:hAnsi="宋体" w:cs="宋体"/>
                <w:szCs w:val="21"/>
                <w:lang w:eastAsia="zh-CN"/>
              </w:rPr>
              <w:t>）</w:t>
            </w:r>
          </w:p>
        </w:tc>
        <w:tc>
          <w:tcPr>
            <w:tcW w:w="1090" w:type="dxa"/>
            <w:noWrap w:val="0"/>
            <w:vAlign w:val="center"/>
          </w:tcPr>
          <w:p w14:paraId="3DCD0370">
            <w:pPr>
              <w:pStyle w:val="13"/>
              <w:jc w:val="center"/>
              <w:rPr>
                <w:rFonts w:hint="eastAsia" w:ascii="宋体" w:hAnsi="宋体" w:cs="宋体"/>
                <w:szCs w:val="21"/>
              </w:rPr>
            </w:pPr>
            <w:r>
              <w:rPr>
                <w:rFonts w:hint="eastAsia" w:ascii="宋体" w:hAnsi="宋体" w:cs="宋体"/>
                <w:szCs w:val="21"/>
              </w:rPr>
              <w:t>小计</w:t>
            </w:r>
          </w:p>
        </w:tc>
        <w:tc>
          <w:tcPr>
            <w:tcW w:w="1075" w:type="dxa"/>
            <w:noWrap w:val="0"/>
            <w:vAlign w:val="center"/>
          </w:tcPr>
          <w:p w14:paraId="0267FDED">
            <w:pPr>
              <w:pStyle w:val="13"/>
              <w:jc w:val="center"/>
              <w:rPr>
                <w:rFonts w:hint="eastAsia" w:ascii="宋体" w:hAnsi="宋体" w:cs="宋体"/>
                <w:szCs w:val="21"/>
              </w:rPr>
            </w:pPr>
            <w:r>
              <w:rPr>
                <w:rFonts w:hint="eastAsia" w:ascii="宋体" w:hAnsi="宋体" w:cs="宋体"/>
                <w:bCs/>
                <w:szCs w:val="21"/>
              </w:rPr>
              <w:t>备注</w:t>
            </w:r>
          </w:p>
        </w:tc>
      </w:tr>
      <w:tr w14:paraId="71D29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89" w:type="dxa"/>
            <w:noWrap w:val="0"/>
            <w:vAlign w:val="center"/>
          </w:tcPr>
          <w:p w14:paraId="329A5D07">
            <w:pPr>
              <w:pStyle w:val="13"/>
              <w:jc w:val="center"/>
              <w:rPr>
                <w:rFonts w:hint="eastAsia" w:ascii="宋体" w:hAnsi="宋体" w:cs="宋体"/>
                <w:szCs w:val="21"/>
              </w:rPr>
            </w:pPr>
            <w:r>
              <w:rPr>
                <w:rFonts w:hint="eastAsia" w:ascii="宋体" w:hAnsi="宋体" w:cs="宋体"/>
                <w:szCs w:val="21"/>
              </w:rPr>
              <w:t>1</w:t>
            </w:r>
          </w:p>
        </w:tc>
        <w:tc>
          <w:tcPr>
            <w:tcW w:w="3072" w:type="dxa"/>
            <w:noWrap w:val="0"/>
            <w:vAlign w:val="center"/>
          </w:tcPr>
          <w:p w14:paraId="53E3B450">
            <w:pPr>
              <w:pStyle w:val="13"/>
              <w:rPr>
                <w:rFonts w:hint="eastAsia" w:ascii="宋体" w:hAnsi="宋体" w:cs="宋体"/>
                <w:szCs w:val="21"/>
              </w:rPr>
            </w:pPr>
          </w:p>
        </w:tc>
        <w:tc>
          <w:tcPr>
            <w:tcW w:w="1466" w:type="dxa"/>
            <w:noWrap w:val="0"/>
            <w:vAlign w:val="center"/>
          </w:tcPr>
          <w:p w14:paraId="65818DC8">
            <w:pPr>
              <w:pStyle w:val="13"/>
              <w:rPr>
                <w:rFonts w:hint="eastAsia" w:ascii="宋体" w:hAnsi="宋体" w:cs="宋体"/>
                <w:szCs w:val="21"/>
              </w:rPr>
            </w:pPr>
          </w:p>
        </w:tc>
        <w:tc>
          <w:tcPr>
            <w:tcW w:w="1425" w:type="dxa"/>
            <w:noWrap w:val="0"/>
            <w:vAlign w:val="center"/>
          </w:tcPr>
          <w:p w14:paraId="572B4A44">
            <w:pPr>
              <w:pStyle w:val="13"/>
              <w:rPr>
                <w:rFonts w:hint="eastAsia" w:ascii="宋体" w:hAnsi="宋体" w:cs="宋体"/>
                <w:szCs w:val="21"/>
              </w:rPr>
            </w:pPr>
          </w:p>
        </w:tc>
        <w:tc>
          <w:tcPr>
            <w:tcW w:w="1090" w:type="dxa"/>
            <w:noWrap w:val="0"/>
            <w:vAlign w:val="center"/>
          </w:tcPr>
          <w:p w14:paraId="31DFFCAD">
            <w:pPr>
              <w:pStyle w:val="13"/>
              <w:rPr>
                <w:rFonts w:hint="eastAsia" w:ascii="宋体" w:hAnsi="宋体" w:cs="宋体"/>
                <w:szCs w:val="21"/>
              </w:rPr>
            </w:pPr>
          </w:p>
        </w:tc>
        <w:tc>
          <w:tcPr>
            <w:tcW w:w="1075" w:type="dxa"/>
            <w:noWrap w:val="0"/>
            <w:vAlign w:val="center"/>
          </w:tcPr>
          <w:p w14:paraId="505E9FC6">
            <w:pPr>
              <w:pStyle w:val="13"/>
              <w:rPr>
                <w:rFonts w:hint="eastAsia" w:ascii="宋体" w:hAnsi="宋体" w:cs="宋体"/>
                <w:szCs w:val="21"/>
              </w:rPr>
            </w:pPr>
          </w:p>
        </w:tc>
      </w:tr>
      <w:tr w14:paraId="13F2E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989" w:type="dxa"/>
            <w:noWrap w:val="0"/>
            <w:vAlign w:val="center"/>
          </w:tcPr>
          <w:p w14:paraId="6643A124">
            <w:pPr>
              <w:pStyle w:val="13"/>
              <w:jc w:val="center"/>
              <w:rPr>
                <w:rFonts w:hint="default" w:ascii="宋体" w:hAnsi="宋体" w:eastAsia="宋体" w:cs="宋体"/>
                <w:szCs w:val="21"/>
                <w:lang w:val="en-US" w:eastAsia="zh-CN"/>
              </w:rPr>
            </w:pPr>
            <w:r>
              <w:rPr>
                <w:rFonts w:hint="eastAsia" w:hAnsi="宋体" w:cs="宋体"/>
                <w:szCs w:val="21"/>
                <w:lang w:val="en-US" w:eastAsia="zh-CN"/>
              </w:rPr>
              <w:t>……</w:t>
            </w:r>
          </w:p>
        </w:tc>
        <w:tc>
          <w:tcPr>
            <w:tcW w:w="3072" w:type="dxa"/>
            <w:noWrap w:val="0"/>
            <w:vAlign w:val="center"/>
          </w:tcPr>
          <w:p w14:paraId="5AF3B341">
            <w:pPr>
              <w:pStyle w:val="13"/>
              <w:rPr>
                <w:rFonts w:hint="eastAsia" w:ascii="宋体" w:hAnsi="宋体" w:cs="宋体"/>
                <w:szCs w:val="21"/>
              </w:rPr>
            </w:pPr>
          </w:p>
        </w:tc>
        <w:tc>
          <w:tcPr>
            <w:tcW w:w="1466" w:type="dxa"/>
            <w:noWrap w:val="0"/>
            <w:vAlign w:val="center"/>
          </w:tcPr>
          <w:p w14:paraId="634E52DC">
            <w:pPr>
              <w:pStyle w:val="13"/>
              <w:rPr>
                <w:rFonts w:hint="eastAsia" w:ascii="宋体" w:hAnsi="宋体" w:cs="宋体"/>
                <w:szCs w:val="21"/>
              </w:rPr>
            </w:pPr>
          </w:p>
        </w:tc>
        <w:tc>
          <w:tcPr>
            <w:tcW w:w="1425" w:type="dxa"/>
            <w:noWrap w:val="0"/>
            <w:vAlign w:val="center"/>
          </w:tcPr>
          <w:p w14:paraId="48207245">
            <w:pPr>
              <w:pStyle w:val="13"/>
              <w:rPr>
                <w:rFonts w:hint="eastAsia" w:ascii="宋体" w:hAnsi="宋体" w:cs="宋体"/>
                <w:szCs w:val="21"/>
              </w:rPr>
            </w:pPr>
          </w:p>
        </w:tc>
        <w:tc>
          <w:tcPr>
            <w:tcW w:w="1090" w:type="dxa"/>
            <w:noWrap w:val="0"/>
            <w:vAlign w:val="center"/>
          </w:tcPr>
          <w:p w14:paraId="6DC793F3">
            <w:pPr>
              <w:pStyle w:val="13"/>
              <w:rPr>
                <w:rFonts w:hint="eastAsia" w:ascii="宋体" w:hAnsi="宋体" w:cs="宋体"/>
                <w:szCs w:val="21"/>
              </w:rPr>
            </w:pPr>
          </w:p>
        </w:tc>
        <w:tc>
          <w:tcPr>
            <w:tcW w:w="1075" w:type="dxa"/>
            <w:noWrap w:val="0"/>
            <w:vAlign w:val="center"/>
          </w:tcPr>
          <w:p w14:paraId="621FCCA8">
            <w:pPr>
              <w:pStyle w:val="13"/>
              <w:rPr>
                <w:rFonts w:hint="eastAsia" w:ascii="宋体" w:hAnsi="宋体" w:cs="宋体"/>
                <w:szCs w:val="21"/>
              </w:rPr>
            </w:pPr>
          </w:p>
        </w:tc>
      </w:tr>
      <w:tr w14:paraId="33A16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952" w:type="dxa"/>
            <w:gridSpan w:val="4"/>
            <w:noWrap w:val="0"/>
            <w:vAlign w:val="center"/>
          </w:tcPr>
          <w:p w14:paraId="03B93C61">
            <w:pPr>
              <w:pStyle w:val="13"/>
              <w:jc w:val="center"/>
              <w:rPr>
                <w:rFonts w:hint="eastAsia" w:ascii="宋体" w:hAnsi="宋体" w:cs="宋体"/>
                <w:szCs w:val="21"/>
              </w:rPr>
            </w:pPr>
            <w:r>
              <w:rPr>
                <w:rFonts w:hint="eastAsia" w:ascii="宋体" w:hAnsi="宋体" w:cs="宋体"/>
                <w:szCs w:val="21"/>
              </w:rPr>
              <w:t>总价</w:t>
            </w:r>
          </w:p>
        </w:tc>
        <w:tc>
          <w:tcPr>
            <w:tcW w:w="1090" w:type="dxa"/>
            <w:noWrap w:val="0"/>
            <w:vAlign w:val="center"/>
          </w:tcPr>
          <w:p w14:paraId="19598709">
            <w:pPr>
              <w:pStyle w:val="13"/>
              <w:rPr>
                <w:rFonts w:hint="eastAsia" w:ascii="宋体" w:hAnsi="宋体" w:cs="宋体"/>
                <w:szCs w:val="21"/>
              </w:rPr>
            </w:pPr>
          </w:p>
        </w:tc>
        <w:tc>
          <w:tcPr>
            <w:tcW w:w="1075" w:type="dxa"/>
            <w:noWrap w:val="0"/>
            <w:vAlign w:val="center"/>
          </w:tcPr>
          <w:p w14:paraId="53CD7CAB">
            <w:pPr>
              <w:pStyle w:val="13"/>
              <w:rPr>
                <w:rFonts w:hint="eastAsia" w:ascii="宋体" w:hAnsi="宋体" w:cs="宋体"/>
                <w:szCs w:val="21"/>
              </w:rPr>
            </w:pPr>
          </w:p>
        </w:tc>
      </w:tr>
    </w:tbl>
    <w:p w14:paraId="01BD3B8E">
      <w:pPr>
        <w:pStyle w:val="13"/>
        <w:spacing w:line="360" w:lineRule="auto"/>
        <w:ind w:firstLine="240" w:firstLineChars="100"/>
        <w:rPr>
          <w:rFonts w:hint="eastAsia" w:ascii="宋体" w:hAnsi="宋体" w:cs="宋体"/>
          <w:sz w:val="24"/>
        </w:rPr>
      </w:pPr>
    </w:p>
    <w:p w14:paraId="3564B908">
      <w:pPr>
        <w:spacing w:line="360" w:lineRule="auto"/>
        <w:ind w:firstLine="3780" w:firstLineChars="1800"/>
        <w:jc w:val="left"/>
        <w:rPr>
          <w:rFonts w:hint="eastAsia" w:ascii="宋体" w:hAnsi="宋体" w:cs="宋体"/>
          <w:szCs w:val="21"/>
        </w:rPr>
      </w:pPr>
      <w:r>
        <w:rPr>
          <w:rFonts w:hint="eastAsia" w:ascii="宋体" w:hAnsi="宋体"/>
          <w:color w:val="auto"/>
          <w:highlight w:val="none"/>
        </w:rPr>
        <w:t>供应商</w:t>
      </w:r>
      <w:r>
        <w:rPr>
          <w:rFonts w:hint="eastAsia" w:ascii="宋体" w:hAnsi="宋体" w:cs="宋体"/>
          <w:szCs w:val="21"/>
        </w:rPr>
        <w:t>：</w:t>
      </w:r>
      <w:r>
        <w:rPr>
          <w:rFonts w:hint="eastAsia" w:ascii="宋体" w:hAnsi="宋体" w:cs="宋体"/>
          <w:szCs w:val="21"/>
          <w:u w:val="single"/>
        </w:rPr>
        <w:t xml:space="preserve">                            </w:t>
      </w:r>
      <w:r>
        <w:rPr>
          <w:rFonts w:hint="eastAsia" w:ascii="宋体" w:hAnsi="宋体" w:cs="宋体"/>
          <w:szCs w:val="21"/>
        </w:rPr>
        <w:t>（盖章）</w:t>
      </w:r>
    </w:p>
    <w:p w14:paraId="2052279D">
      <w:pPr>
        <w:spacing w:line="360" w:lineRule="auto"/>
        <w:ind w:firstLine="3780" w:firstLineChars="1800"/>
        <w:jc w:val="left"/>
        <w:rPr>
          <w:rFonts w:hint="eastAsia" w:ascii="宋体" w:hAnsi="宋体" w:cs="宋体"/>
          <w:szCs w:val="21"/>
        </w:rPr>
      </w:pPr>
      <w:r>
        <w:rPr>
          <w:rFonts w:hint="eastAsia" w:ascii="宋体" w:hAnsi="宋体" w:cs="宋体"/>
          <w:szCs w:val="21"/>
        </w:rPr>
        <w:t>法定代表人或其委托代理人：</w:t>
      </w:r>
      <w:r>
        <w:rPr>
          <w:rFonts w:hint="eastAsia" w:ascii="宋体" w:hAnsi="宋体" w:cs="宋体"/>
          <w:szCs w:val="21"/>
          <w:u w:val="single"/>
        </w:rPr>
        <w:t xml:space="preserve">           </w:t>
      </w:r>
      <w:r>
        <w:rPr>
          <w:rFonts w:hint="eastAsia" w:ascii="宋体" w:hAnsi="宋体" w:cs="宋体"/>
          <w:szCs w:val="21"/>
        </w:rPr>
        <w:t>（签字）</w:t>
      </w:r>
    </w:p>
    <w:p w14:paraId="186E2659">
      <w:pPr>
        <w:wordWrap w:val="0"/>
        <w:ind w:right="420" w:firstLine="420" w:firstLineChars="200"/>
        <w:jc w:val="right"/>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106B3415">
      <w:pPr>
        <w:rPr>
          <w:rFonts w:hint="eastAsia" w:ascii="宋体" w:hAnsi="宋体" w:cs="宋体"/>
          <w:szCs w:val="21"/>
        </w:rPr>
      </w:pPr>
      <w:r>
        <w:rPr>
          <w:rFonts w:hint="eastAsia" w:ascii="宋体" w:hAnsi="宋体" w:cs="宋体"/>
          <w:szCs w:val="21"/>
        </w:rPr>
        <w:br w:type="page"/>
      </w:r>
    </w:p>
    <w:p w14:paraId="2B74C3F8">
      <w:pPr>
        <w:pStyle w:val="13"/>
        <w:tabs>
          <w:tab w:val="left" w:pos="7740"/>
          <w:tab w:val="left" w:pos="9180"/>
        </w:tabs>
        <w:spacing w:line="480" w:lineRule="auto"/>
        <w:ind w:firstLine="301" w:firstLineChars="100"/>
        <w:jc w:val="center"/>
        <w:rPr>
          <w:rFonts w:hint="eastAsia" w:ascii="宋体" w:hAnsi="宋体" w:cs="宋体"/>
          <w:b/>
          <w:sz w:val="30"/>
          <w:szCs w:val="30"/>
        </w:rPr>
      </w:pPr>
      <w:bookmarkStart w:id="284" w:name="_Toc21424519"/>
      <w:r>
        <w:rPr>
          <w:rFonts w:hint="eastAsia" w:ascii="宋体" w:hAnsi="宋体" w:cs="宋体"/>
          <w:b/>
          <w:color w:val="auto"/>
          <w:sz w:val="30"/>
          <w:szCs w:val="30"/>
        </w:rPr>
        <w:t>五、商务</w:t>
      </w:r>
      <w:r>
        <w:rPr>
          <w:rFonts w:hint="eastAsia" w:ascii="宋体" w:hAnsi="宋体" w:cs="宋体"/>
          <w:b/>
          <w:color w:val="auto"/>
          <w:sz w:val="30"/>
          <w:szCs w:val="30"/>
          <w:lang w:val="en-US" w:eastAsia="zh-CN"/>
        </w:rPr>
        <w:t>偏离</w:t>
      </w:r>
      <w:r>
        <w:rPr>
          <w:rFonts w:hint="eastAsia" w:ascii="宋体" w:hAnsi="宋体" w:cs="宋体"/>
          <w:b/>
          <w:color w:val="auto"/>
          <w:sz w:val="30"/>
          <w:szCs w:val="30"/>
        </w:rPr>
        <w:t>表</w:t>
      </w:r>
      <w:bookmarkEnd w:id="284"/>
    </w:p>
    <w:tbl>
      <w:tblPr>
        <w:tblStyle w:val="25"/>
        <w:tblW w:w="93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2052"/>
        <w:gridCol w:w="2158"/>
        <w:gridCol w:w="2102"/>
        <w:gridCol w:w="2102"/>
      </w:tblGrid>
      <w:tr w14:paraId="74E0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trPr>
        <w:tc>
          <w:tcPr>
            <w:tcW w:w="903" w:type="dxa"/>
            <w:noWrap w:val="0"/>
            <w:vAlign w:val="center"/>
          </w:tcPr>
          <w:p w14:paraId="1ABB03FE">
            <w:pPr>
              <w:spacing w:line="360" w:lineRule="auto"/>
              <w:jc w:val="center"/>
              <w:rPr>
                <w:rFonts w:hint="eastAsia" w:ascii="宋体" w:hAnsi="宋体" w:cs="宋体"/>
                <w:szCs w:val="21"/>
              </w:rPr>
            </w:pPr>
            <w:r>
              <w:rPr>
                <w:rFonts w:hint="eastAsia" w:ascii="宋体" w:hAnsi="宋体" w:cs="宋体"/>
                <w:szCs w:val="21"/>
              </w:rPr>
              <w:t>序号</w:t>
            </w:r>
          </w:p>
        </w:tc>
        <w:tc>
          <w:tcPr>
            <w:tcW w:w="2052" w:type="dxa"/>
            <w:noWrap w:val="0"/>
            <w:vAlign w:val="center"/>
          </w:tcPr>
          <w:p w14:paraId="522663E4">
            <w:pPr>
              <w:spacing w:line="360" w:lineRule="auto"/>
              <w:jc w:val="center"/>
              <w:rPr>
                <w:rFonts w:hint="eastAsia" w:ascii="宋体" w:hAnsi="宋体" w:cs="宋体"/>
                <w:szCs w:val="21"/>
              </w:rPr>
            </w:pPr>
            <w:r>
              <w:rPr>
                <w:rFonts w:hint="eastAsia" w:ascii="宋体" w:hAnsi="宋体" w:cs="宋体"/>
                <w:szCs w:val="21"/>
                <w:lang w:val="en-US" w:eastAsia="zh-CN"/>
              </w:rPr>
              <w:t>磋商</w:t>
            </w:r>
            <w:r>
              <w:rPr>
                <w:rFonts w:hint="eastAsia" w:ascii="宋体" w:hAnsi="宋体" w:cs="宋体"/>
                <w:szCs w:val="21"/>
              </w:rPr>
              <w:t>文件内容要求</w:t>
            </w:r>
          </w:p>
        </w:tc>
        <w:tc>
          <w:tcPr>
            <w:tcW w:w="2158" w:type="dxa"/>
            <w:noWrap w:val="0"/>
            <w:vAlign w:val="center"/>
          </w:tcPr>
          <w:p w14:paraId="5C8F5027">
            <w:pPr>
              <w:spacing w:line="360" w:lineRule="auto"/>
              <w:jc w:val="center"/>
              <w:rPr>
                <w:rFonts w:hint="eastAsia" w:ascii="宋体" w:hAnsi="宋体" w:cs="宋体"/>
                <w:szCs w:val="21"/>
              </w:rPr>
            </w:pPr>
            <w:r>
              <w:rPr>
                <w:rFonts w:hint="eastAsia" w:ascii="宋体" w:hAnsi="宋体" w:cs="宋体"/>
                <w:szCs w:val="21"/>
              </w:rPr>
              <w:t>响应内容</w:t>
            </w:r>
          </w:p>
        </w:tc>
        <w:tc>
          <w:tcPr>
            <w:tcW w:w="2102" w:type="dxa"/>
            <w:noWrap w:val="0"/>
            <w:vAlign w:val="center"/>
          </w:tcPr>
          <w:p w14:paraId="741A73FA">
            <w:pPr>
              <w:spacing w:line="360" w:lineRule="auto"/>
              <w:jc w:val="center"/>
              <w:rPr>
                <w:rFonts w:hint="eastAsia" w:ascii="宋体" w:hAnsi="宋体" w:cs="宋体"/>
                <w:szCs w:val="21"/>
              </w:rPr>
            </w:pPr>
            <w:r>
              <w:rPr>
                <w:rFonts w:hint="eastAsia" w:ascii="宋体" w:hAnsi="宋体" w:cs="宋体"/>
                <w:szCs w:val="21"/>
              </w:rPr>
              <w:t>偏离情况</w:t>
            </w:r>
          </w:p>
        </w:tc>
        <w:tc>
          <w:tcPr>
            <w:tcW w:w="2102" w:type="dxa"/>
            <w:noWrap w:val="0"/>
            <w:vAlign w:val="center"/>
          </w:tcPr>
          <w:p w14:paraId="3C526675">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说明</w:t>
            </w:r>
          </w:p>
        </w:tc>
      </w:tr>
      <w:tr w14:paraId="603C2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03" w:type="dxa"/>
            <w:noWrap w:val="0"/>
            <w:vAlign w:val="center"/>
          </w:tcPr>
          <w:p w14:paraId="54A1F649">
            <w:pPr>
              <w:spacing w:line="360" w:lineRule="auto"/>
              <w:rPr>
                <w:rFonts w:hint="eastAsia" w:ascii="宋体" w:hAnsi="宋体" w:cs="宋体"/>
                <w:szCs w:val="21"/>
              </w:rPr>
            </w:pPr>
          </w:p>
        </w:tc>
        <w:tc>
          <w:tcPr>
            <w:tcW w:w="2052" w:type="dxa"/>
            <w:noWrap w:val="0"/>
            <w:vAlign w:val="center"/>
          </w:tcPr>
          <w:p w14:paraId="56FAA421">
            <w:pPr>
              <w:spacing w:line="360" w:lineRule="auto"/>
              <w:rPr>
                <w:rFonts w:hint="eastAsia" w:ascii="宋体" w:hAnsi="宋体" w:cs="宋体"/>
                <w:szCs w:val="21"/>
              </w:rPr>
            </w:pPr>
          </w:p>
        </w:tc>
        <w:tc>
          <w:tcPr>
            <w:tcW w:w="2158" w:type="dxa"/>
            <w:noWrap w:val="0"/>
            <w:vAlign w:val="center"/>
          </w:tcPr>
          <w:p w14:paraId="3B8431FD">
            <w:pPr>
              <w:spacing w:line="360" w:lineRule="auto"/>
              <w:rPr>
                <w:rFonts w:hint="eastAsia" w:ascii="宋体" w:hAnsi="宋体" w:cs="宋体"/>
                <w:szCs w:val="21"/>
              </w:rPr>
            </w:pPr>
          </w:p>
        </w:tc>
        <w:tc>
          <w:tcPr>
            <w:tcW w:w="2102" w:type="dxa"/>
            <w:noWrap w:val="0"/>
            <w:vAlign w:val="center"/>
          </w:tcPr>
          <w:p w14:paraId="180C2383">
            <w:pPr>
              <w:spacing w:line="360" w:lineRule="auto"/>
              <w:rPr>
                <w:rFonts w:hint="eastAsia" w:ascii="宋体" w:hAnsi="宋体" w:cs="宋体"/>
                <w:szCs w:val="21"/>
              </w:rPr>
            </w:pPr>
          </w:p>
        </w:tc>
        <w:tc>
          <w:tcPr>
            <w:tcW w:w="2102" w:type="dxa"/>
            <w:noWrap w:val="0"/>
            <w:vAlign w:val="center"/>
          </w:tcPr>
          <w:p w14:paraId="200B58A7">
            <w:pPr>
              <w:spacing w:line="360" w:lineRule="auto"/>
              <w:rPr>
                <w:rFonts w:hint="eastAsia" w:ascii="宋体" w:hAnsi="宋体" w:cs="宋体"/>
                <w:szCs w:val="21"/>
              </w:rPr>
            </w:pPr>
          </w:p>
        </w:tc>
      </w:tr>
      <w:tr w14:paraId="79B98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03" w:type="dxa"/>
            <w:noWrap w:val="0"/>
            <w:vAlign w:val="center"/>
          </w:tcPr>
          <w:p w14:paraId="5E528492">
            <w:pPr>
              <w:spacing w:line="360" w:lineRule="auto"/>
              <w:rPr>
                <w:rFonts w:hint="eastAsia" w:ascii="宋体" w:hAnsi="宋体" w:cs="宋体"/>
                <w:szCs w:val="21"/>
              </w:rPr>
            </w:pPr>
          </w:p>
        </w:tc>
        <w:tc>
          <w:tcPr>
            <w:tcW w:w="2052" w:type="dxa"/>
            <w:noWrap w:val="0"/>
            <w:vAlign w:val="center"/>
          </w:tcPr>
          <w:p w14:paraId="1B86134B">
            <w:pPr>
              <w:spacing w:line="360" w:lineRule="auto"/>
              <w:rPr>
                <w:rFonts w:hint="eastAsia" w:ascii="宋体" w:hAnsi="宋体" w:cs="宋体"/>
                <w:szCs w:val="21"/>
              </w:rPr>
            </w:pPr>
          </w:p>
        </w:tc>
        <w:tc>
          <w:tcPr>
            <w:tcW w:w="2158" w:type="dxa"/>
            <w:noWrap w:val="0"/>
            <w:vAlign w:val="center"/>
          </w:tcPr>
          <w:p w14:paraId="2D7B1F09">
            <w:pPr>
              <w:spacing w:line="360" w:lineRule="auto"/>
              <w:rPr>
                <w:rFonts w:hint="eastAsia" w:ascii="宋体" w:hAnsi="宋体" w:cs="宋体"/>
                <w:szCs w:val="21"/>
              </w:rPr>
            </w:pPr>
          </w:p>
        </w:tc>
        <w:tc>
          <w:tcPr>
            <w:tcW w:w="2102" w:type="dxa"/>
            <w:noWrap w:val="0"/>
            <w:vAlign w:val="center"/>
          </w:tcPr>
          <w:p w14:paraId="596CB2E5">
            <w:pPr>
              <w:spacing w:line="360" w:lineRule="auto"/>
              <w:rPr>
                <w:rFonts w:hint="eastAsia" w:ascii="宋体" w:hAnsi="宋体" w:cs="宋体"/>
                <w:szCs w:val="21"/>
              </w:rPr>
            </w:pPr>
          </w:p>
        </w:tc>
        <w:tc>
          <w:tcPr>
            <w:tcW w:w="2102" w:type="dxa"/>
            <w:noWrap w:val="0"/>
            <w:vAlign w:val="center"/>
          </w:tcPr>
          <w:p w14:paraId="0710BC82">
            <w:pPr>
              <w:spacing w:line="360" w:lineRule="auto"/>
              <w:rPr>
                <w:rFonts w:hint="eastAsia" w:ascii="宋体" w:hAnsi="宋体" w:cs="宋体"/>
                <w:szCs w:val="21"/>
              </w:rPr>
            </w:pPr>
          </w:p>
        </w:tc>
      </w:tr>
      <w:tr w14:paraId="309D4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03" w:type="dxa"/>
            <w:noWrap w:val="0"/>
            <w:vAlign w:val="center"/>
          </w:tcPr>
          <w:p w14:paraId="5467DE53">
            <w:pPr>
              <w:spacing w:line="360" w:lineRule="auto"/>
              <w:rPr>
                <w:rFonts w:hint="eastAsia" w:ascii="宋体" w:hAnsi="宋体" w:cs="宋体"/>
                <w:szCs w:val="21"/>
              </w:rPr>
            </w:pPr>
          </w:p>
        </w:tc>
        <w:tc>
          <w:tcPr>
            <w:tcW w:w="2052" w:type="dxa"/>
            <w:noWrap w:val="0"/>
            <w:vAlign w:val="center"/>
          </w:tcPr>
          <w:p w14:paraId="49B1D85F">
            <w:pPr>
              <w:spacing w:line="360" w:lineRule="auto"/>
              <w:rPr>
                <w:rFonts w:hint="eastAsia" w:ascii="宋体" w:hAnsi="宋体" w:cs="宋体"/>
                <w:szCs w:val="21"/>
              </w:rPr>
            </w:pPr>
          </w:p>
        </w:tc>
        <w:tc>
          <w:tcPr>
            <w:tcW w:w="2158" w:type="dxa"/>
            <w:noWrap w:val="0"/>
            <w:vAlign w:val="center"/>
          </w:tcPr>
          <w:p w14:paraId="29801170">
            <w:pPr>
              <w:spacing w:line="360" w:lineRule="auto"/>
              <w:rPr>
                <w:rFonts w:hint="eastAsia" w:ascii="宋体" w:hAnsi="宋体" w:cs="宋体"/>
                <w:szCs w:val="21"/>
              </w:rPr>
            </w:pPr>
          </w:p>
        </w:tc>
        <w:tc>
          <w:tcPr>
            <w:tcW w:w="2102" w:type="dxa"/>
            <w:noWrap w:val="0"/>
            <w:vAlign w:val="center"/>
          </w:tcPr>
          <w:p w14:paraId="1797193E">
            <w:pPr>
              <w:spacing w:line="360" w:lineRule="auto"/>
              <w:rPr>
                <w:rFonts w:hint="eastAsia" w:ascii="宋体" w:hAnsi="宋体" w:cs="宋体"/>
                <w:szCs w:val="21"/>
              </w:rPr>
            </w:pPr>
          </w:p>
        </w:tc>
        <w:tc>
          <w:tcPr>
            <w:tcW w:w="2102" w:type="dxa"/>
            <w:noWrap w:val="0"/>
            <w:vAlign w:val="center"/>
          </w:tcPr>
          <w:p w14:paraId="510192DA">
            <w:pPr>
              <w:spacing w:line="360" w:lineRule="auto"/>
              <w:rPr>
                <w:rFonts w:hint="eastAsia" w:ascii="宋体" w:hAnsi="宋体" w:cs="宋体"/>
                <w:szCs w:val="21"/>
              </w:rPr>
            </w:pPr>
          </w:p>
        </w:tc>
      </w:tr>
      <w:tr w14:paraId="07E93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03" w:type="dxa"/>
            <w:noWrap w:val="0"/>
            <w:vAlign w:val="center"/>
          </w:tcPr>
          <w:p w14:paraId="33D90DD1">
            <w:pPr>
              <w:spacing w:line="360" w:lineRule="auto"/>
              <w:rPr>
                <w:rFonts w:hint="eastAsia" w:ascii="宋体" w:hAnsi="宋体" w:cs="宋体"/>
                <w:szCs w:val="21"/>
              </w:rPr>
            </w:pPr>
          </w:p>
        </w:tc>
        <w:tc>
          <w:tcPr>
            <w:tcW w:w="2052" w:type="dxa"/>
            <w:noWrap w:val="0"/>
            <w:vAlign w:val="center"/>
          </w:tcPr>
          <w:p w14:paraId="27027F8A">
            <w:pPr>
              <w:spacing w:line="360" w:lineRule="auto"/>
              <w:rPr>
                <w:rFonts w:hint="eastAsia" w:ascii="宋体" w:hAnsi="宋体" w:cs="宋体"/>
                <w:szCs w:val="21"/>
              </w:rPr>
            </w:pPr>
          </w:p>
        </w:tc>
        <w:tc>
          <w:tcPr>
            <w:tcW w:w="2158" w:type="dxa"/>
            <w:noWrap w:val="0"/>
            <w:vAlign w:val="center"/>
          </w:tcPr>
          <w:p w14:paraId="18C4B276">
            <w:pPr>
              <w:spacing w:line="360" w:lineRule="auto"/>
              <w:rPr>
                <w:rFonts w:hint="eastAsia" w:ascii="宋体" w:hAnsi="宋体" w:cs="宋体"/>
                <w:szCs w:val="21"/>
              </w:rPr>
            </w:pPr>
          </w:p>
        </w:tc>
        <w:tc>
          <w:tcPr>
            <w:tcW w:w="2102" w:type="dxa"/>
            <w:noWrap w:val="0"/>
            <w:vAlign w:val="center"/>
          </w:tcPr>
          <w:p w14:paraId="395A9B07">
            <w:pPr>
              <w:spacing w:line="360" w:lineRule="auto"/>
              <w:rPr>
                <w:rFonts w:hint="eastAsia" w:ascii="宋体" w:hAnsi="宋体" w:cs="宋体"/>
                <w:szCs w:val="21"/>
              </w:rPr>
            </w:pPr>
          </w:p>
        </w:tc>
        <w:tc>
          <w:tcPr>
            <w:tcW w:w="2102" w:type="dxa"/>
            <w:noWrap w:val="0"/>
            <w:vAlign w:val="center"/>
          </w:tcPr>
          <w:p w14:paraId="0641D636">
            <w:pPr>
              <w:spacing w:line="360" w:lineRule="auto"/>
              <w:rPr>
                <w:rFonts w:hint="eastAsia" w:ascii="宋体" w:hAnsi="宋体" w:cs="宋体"/>
                <w:szCs w:val="21"/>
              </w:rPr>
            </w:pPr>
          </w:p>
        </w:tc>
      </w:tr>
      <w:tr w14:paraId="37373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903" w:type="dxa"/>
            <w:noWrap w:val="0"/>
            <w:vAlign w:val="center"/>
          </w:tcPr>
          <w:p w14:paraId="29122740">
            <w:pPr>
              <w:spacing w:line="360" w:lineRule="auto"/>
              <w:rPr>
                <w:rFonts w:hint="eastAsia" w:ascii="宋体" w:hAnsi="宋体" w:cs="宋体"/>
                <w:szCs w:val="21"/>
              </w:rPr>
            </w:pPr>
          </w:p>
        </w:tc>
        <w:tc>
          <w:tcPr>
            <w:tcW w:w="2052" w:type="dxa"/>
            <w:noWrap w:val="0"/>
            <w:vAlign w:val="center"/>
          </w:tcPr>
          <w:p w14:paraId="1CC26D88">
            <w:pPr>
              <w:spacing w:line="360" w:lineRule="auto"/>
              <w:rPr>
                <w:rFonts w:hint="eastAsia" w:ascii="宋体" w:hAnsi="宋体" w:cs="宋体"/>
                <w:szCs w:val="21"/>
              </w:rPr>
            </w:pPr>
          </w:p>
        </w:tc>
        <w:tc>
          <w:tcPr>
            <w:tcW w:w="2158" w:type="dxa"/>
            <w:noWrap w:val="0"/>
            <w:vAlign w:val="center"/>
          </w:tcPr>
          <w:p w14:paraId="3908B502">
            <w:pPr>
              <w:spacing w:line="360" w:lineRule="auto"/>
              <w:rPr>
                <w:rFonts w:hint="eastAsia" w:ascii="宋体" w:hAnsi="宋体" w:cs="宋体"/>
                <w:szCs w:val="21"/>
              </w:rPr>
            </w:pPr>
          </w:p>
        </w:tc>
        <w:tc>
          <w:tcPr>
            <w:tcW w:w="2102" w:type="dxa"/>
            <w:noWrap w:val="0"/>
            <w:vAlign w:val="center"/>
          </w:tcPr>
          <w:p w14:paraId="72BF1AF7">
            <w:pPr>
              <w:spacing w:line="360" w:lineRule="auto"/>
              <w:rPr>
                <w:rFonts w:hint="eastAsia" w:ascii="宋体" w:hAnsi="宋体" w:cs="宋体"/>
                <w:szCs w:val="21"/>
              </w:rPr>
            </w:pPr>
          </w:p>
        </w:tc>
        <w:tc>
          <w:tcPr>
            <w:tcW w:w="2102" w:type="dxa"/>
            <w:noWrap w:val="0"/>
            <w:vAlign w:val="center"/>
          </w:tcPr>
          <w:p w14:paraId="1D0C5EC3">
            <w:pPr>
              <w:spacing w:line="360" w:lineRule="auto"/>
              <w:rPr>
                <w:rFonts w:hint="eastAsia" w:ascii="宋体" w:hAnsi="宋体" w:cs="宋体"/>
                <w:szCs w:val="21"/>
              </w:rPr>
            </w:pPr>
          </w:p>
        </w:tc>
      </w:tr>
      <w:tr w14:paraId="266E8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903" w:type="dxa"/>
            <w:noWrap w:val="0"/>
            <w:vAlign w:val="center"/>
          </w:tcPr>
          <w:p w14:paraId="13A91176">
            <w:pPr>
              <w:spacing w:line="360" w:lineRule="auto"/>
              <w:rPr>
                <w:rFonts w:hint="eastAsia" w:ascii="宋体" w:hAnsi="宋体" w:cs="宋体"/>
                <w:szCs w:val="21"/>
              </w:rPr>
            </w:pPr>
          </w:p>
        </w:tc>
        <w:tc>
          <w:tcPr>
            <w:tcW w:w="2052" w:type="dxa"/>
            <w:noWrap w:val="0"/>
            <w:vAlign w:val="center"/>
          </w:tcPr>
          <w:p w14:paraId="271CF5BC">
            <w:pPr>
              <w:spacing w:line="360" w:lineRule="auto"/>
              <w:rPr>
                <w:rFonts w:hint="eastAsia" w:ascii="宋体" w:hAnsi="宋体" w:cs="宋体"/>
                <w:szCs w:val="21"/>
              </w:rPr>
            </w:pPr>
          </w:p>
        </w:tc>
        <w:tc>
          <w:tcPr>
            <w:tcW w:w="2158" w:type="dxa"/>
            <w:noWrap w:val="0"/>
            <w:vAlign w:val="center"/>
          </w:tcPr>
          <w:p w14:paraId="6B599001">
            <w:pPr>
              <w:spacing w:line="360" w:lineRule="auto"/>
              <w:rPr>
                <w:rFonts w:hint="eastAsia" w:ascii="宋体" w:hAnsi="宋体" w:cs="宋体"/>
                <w:szCs w:val="21"/>
              </w:rPr>
            </w:pPr>
          </w:p>
        </w:tc>
        <w:tc>
          <w:tcPr>
            <w:tcW w:w="2102" w:type="dxa"/>
            <w:noWrap w:val="0"/>
            <w:vAlign w:val="center"/>
          </w:tcPr>
          <w:p w14:paraId="2A63FC47">
            <w:pPr>
              <w:spacing w:line="360" w:lineRule="auto"/>
              <w:rPr>
                <w:rFonts w:hint="eastAsia" w:ascii="宋体" w:hAnsi="宋体" w:cs="宋体"/>
                <w:szCs w:val="21"/>
              </w:rPr>
            </w:pPr>
          </w:p>
        </w:tc>
        <w:tc>
          <w:tcPr>
            <w:tcW w:w="2102" w:type="dxa"/>
            <w:noWrap w:val="0"/>
            <w:vAlign w:val="center"/>
          </w:tcPr>
          <w:p w14:paraId="6EF88FE0">
            <w:pPr>
              <w:spacing w:line="360" w:lineRule="auto"/>
              <w:rPr>
                <w:rFonts w:hint="eastAsia" w:ascii="宋体" w:hAnsi="宋体" w:cs="宋体"/>
                <w:szCs w:val="21"/>
              </w:rPr>
            </w:pPr>
          </w:p>
        </w:tc>
      </w:tr>
    </w:tbl>
    <w:p w14:paraId="04D62B30">
      <w:pPr>
        <w:spacing w:beforeLines="50" w:line="360" w:lineRule="auto"/>
        <w:rPr>
          <w:rFonts w:hint="eastAsia" w:ascii="宋体" w:hAnsi="宋体" w:eastAsia="宋体" w:cs="宋体"/>
          <w:sz w:val="21"/>
          <w:szCs w:val="21"/>
          <w:highlight w:val="none"/>
        </w:rPr>
      </w:pPr>
      <w:r>
        <w:rPr>
          <w:rFonts w:hint="eastAsia" w:ascii="宋体" w:hAnsi="宋体" w:eastAsia="宋体" w:cs="宋体"/>
          <w:sz w:val="21"/>
          <w:szCs w:val="21"/>
          <w:highlight w:val="none"/>
        </w:rPr>
        <w:t>注：</w:t>
      </w:r>
    </w:p>
    <w:p w14:paraId="1B11F5C1">
      <w:pPr>
        <w:pStyle w:val="39"/>
        <w:numPr>
          <w:ilvl w:val="0"/>
          <w:numId w:val="0"/>
        </w:numPr>
        <w:spacing w:line="360" w:lineRule="auto"/>
        <w:ind w:leftChars="0"/>
        <w:rPr>
          <w:rFonts w:hint="eastAsia" w:ascii="宋体" w:hAnsi="宋体" w:eastAsia="宋体" w:cs="宋体"/>
          <w:szCs w:val="21"/>
          <w:highlight w:val="none"/>
        </w:rPr>
      </w:pPr>
      <w:r>
        <w:rPr>
          <w:rFonts w:hint="eastAsia" w:ascii="宋体" w:hAnsi="宋体" w:eastAsia="宋体" w:cs="宋体"/>
          <w:bCs/>
          <w:szCs w:val="21"/>
          <w:highlight w:val="none"/>
          <w:lang w:val="en-US" w:eastAsia="zh-CN"/>
        </w:rPr>
        <w:t>1.</w:t>
      </w:r>
      <w:r>
        <w:rPr>
          <w:rFonts w:hint="eastAsia" w:ascii="宋体" w:hAnsi="宋体" w:eastAsia="宋体" w:cs="宋体"/>
          <w:bCs/>
          <w:szCs w:val="21"/>
          <w:highlight w:val="none"/>
        </w:rPr>
        <w:t>偏离情况项填写“正”、“负”或“无”，说明项中填写原因。</w:t>
      </w:r>
    </w:p>
    <w:p w14:paraId="4364A547">
      <w:pPr>
        <w:pStyle w:val="39"/>
        <w:numPr>
          <w:ilvl w:val="0"/>
          <w:numId w:val="0"/>
        </w:numPr>
        <w:spacing w:line="360" w:lineRule="auto"/>
        <w:ind w:leftChars="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2.供应商</w:t>
      </w:r>
      <w:r>
        <w:rPr>
          <w:rFonts w:hint="eastAsia" w:ascii="宋体" w:hAnsi="宋体" w:eastAsia="宋体" w:cs="宋体"/>
          <w:bCs/>
          <w:szCs w:val="21"/>
          <w:highlight w:val="none"/>
        </w:rPr>
        <w:t>应按照</w:t>
      </w:r>
      <w:r>
        <w:rPr>
          <w:rFonts w:hint="eastAsia" w:ascii="宋体" w:hAnsi="宋体" w:eastAsia="宋体" w:cs="宋体"/>
          <w:bCs/>
          <w:szCs w:val="21"/>
          <w:highlight w:val="none"/>
          <w:lang w:val="en-US" w:eastAsia="zh-CN"/>
        </w:rPr>
        <w:t>磋商</w:t>
      </w:r>
      <w:r>
        <w:rPr>
          <w:rFonts w:hint="eastAsia" w:ascii="宋体" w:hAnsi="宋体" w:eastAsia="宋体" w:cs="宋体"/>
          <w:bCs/>
          <w:szCs w:val="21"/>
          <w:highlight w:val="none"/>
        </w:rPr>
        <w:t>文件要求，对响应有偏离的，则说明偏离的内容，若有要求提供相关证明资料的，须按要求提供，否则视为负偏离。</w:t>
      </w:r>
    </w:p>
    <w:p w14:paraId="0CA87C02">
      <w:pPr>
        <w:spacing w:line="360" w:lineRule="auto"/>
        <w:ind w:firstLine="420" w:firstLineChars="200"/>
        <w:rPr>
          <w:rFonts w:hint="eastAsia" w:ascii="宋体" w:hAnsi="宋体" w:cs="宋体"/>
          <w:szCs w:val="21"/>
        </w:rPr>
      </w:pPr>
    </w:p>
    <w:p w14:paraId="03583704">
      <w:pPr>
        <w:pStyle w:val="13"/>
        <w:tabs>
          <w:tab w:val="left" w:pos="7740"/>
          <w:tab w:val="left" w:pos="9180"/>
        </w:tabs>
        <w:spacing w:line="480" w:lineRule="auto"/>
        <w:ind w:firstLine="210" w:firstLineChars="100"/>
        <w:jc w:val="center"/>
        <w:rPr>
          <w:rFonts w:hint="eastAsia" w:ascii="宋体" w:hAnsi="宋体" w:cs="宋体"/>
          <w:b/>
          <w:sz w:val="30"/>
          <w:szCs w:val="30"/>
        </w:rPr>
      </w:pPr>
      <w:r>
        <w:rPr>
          <w:rFonts w:hint="eastAsia" w:ascii="宋体" w:hAnsi="宋体" w:cs="宋体"/>
          <w:szCs w:val="21"/>
        </w:rPr>
        <w:br w:type="page"/>
      </w:r>
      <w:r>
        <w:rPr>
          <w:rFonts w:hint="eastAsia" w:ascii="宋体" w:hAnsi="宋体" w:eastAsia="宋体" w:cs="宋体"/>
          <w:b/>
          <w:color w:val="auto"/>
          <w:sz w:val="30"/>
          <w:szCs w:val="30"/>
          <w:lang w:val="en-US" w:eastAsia="zh-CN"/>
        </w:rPr>
        <w:t>六、服务</w:t>
      </w:r>
      <w:r>
        <w:rPr>
          <w:rFonts w:hint="eastAsia" w:ascii="宋体" w:hAnsi="宋体" w:cs="宋体"/>
          <w:b/>
          <w:color w:val="auto"/>
          <w:sz w:val="30"/>
          <w:szCs w:val="30"/>
          <w:lang w:val="en-US" w:eastAsia="zh-CN"/>
        </w:rPr>
        <w:t>偏离</w:t>
      </w:r>
      <w:r>
        <w:rPr>
          <w:rFonts w:hint="eastAsia" w:ascii="宋体" w:hAnsi="宋体" w:cs="宋体"/>
          <w:b/>
          <w:color w:val="auto"/>
          <w:sz w:val="30"/>
          <w:szCs w:val="30"/>
        </w:rPr>
        <w:t>表</w:t>
      </w:r>
    </w:p>
    <w:tbl>
      <w:tblPr>
        <w:tblStyle w:val="25"/>
        <w:tblW w:w="93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
        <w:gridCol w:w="3008"/>
        <w:gridCol w:w="2678"/>
        <w:gridCol w:w="1548"/>
        <w:gridCol w:w="1242"/>
      </w:tblGrid>
      <w:tr w14:paraId="2C7FC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22" w:type="dxa"/>
            <w:noWrap w:val="0"/>
            <w:vAlign w:val="center"/>
          </w:tcPr>
          <w:p w14:paraId="5947F3D7">
            <w:pPr>
              <w:spacing w:line="360" w:lineRule="auto"/>
              <w:jc w:val="center"/>
              <w:rPr>
                <w:rFonts w:hint="eastAsia" w:ascii="宋体" w:hAnsi="宋体" w:eastAsia="宋体" w:cs="宋体"/>
                <w:szCs w:val="21"/>
              </w:rPr>
            </w:pPr>
            <w:r>
              <w:rPr>
                <w:rFonts w:hint="eastAsia" w:ascii="宋体" w:hAnsi="宋体" w:eastAsia="宋体" w:cs="宋体"/>
                <w:szCs w:val="21"/>
              </w:rPr>
              <w:t>序号</w:t>
            </w:r>
          </w:p>
        </w:tc>
        <w:tc>
          <w:tcPr>
            <w:tcW w:w="3008" w:type="dxa"/>
            <w:noWrap w:val="0"/>
            <w:vAlign w:val="center"/>
          </w:tcPr>
          <w:p w14:paraId="6691F7D8">
            <w:pPr>
              <w:spacing w:line="360" w:lineRule="auto"/>
              <w:jc w:val="center"/>
              <w:rPr>
                <w:rFonts w:hint="eastAsia" w:ascii="宋体" w:hAnsi="宋体" w:eastAsia="宋体" w:cs="宋体"/>
                <w:szCs w:val="21"/>
                <w:lang w:val="en-US" w:eastAsia="zh-CN"/>
              </w:rPr>
            </w:pPr>
            <w:r>
              <w:rPr>
                <w:rFonts w:hint="eastAsia" w:ascii="宋体" w:hAnsi="宋体" w:cs="宋体"/>
                <w:szCs w:val="21"/>
                <w:lang w:val="en-US" w:eastAsia="zh-CN"/>
              </w:rPr>
              <w:t>磋商</w:t>
            </w:r>
            <w:r>
              <w:rPr>
                <w:rFonts w:hint="eastAsia" w:ascii="宋体" w:hAnsi="宋体" w:cs="宋体"/>
                <w:szCs w:val="21"/>
              </w:rPr>
              <w:t>文件</w:t>
            </w:r>
            <w:r>
              <w:rPr>
                <w:rFonts w:hint="eastAsia" w:ascii="宋体" w:hAnsi="宋体" w:cs="宋体"/>
                <w:szCs w:val="21"/>
                <w:lang w:val="en-US" w:eastAsia="zh-CN"/>
              </w:rPr>
              <w:t>服务</w:t>
            </w:r>
            <w:r>
              <w:rPr>
                <w:rFonts w:hint="eastAsia" w:ascii="宋体" w:hAnsi="宋体" w:eastAsia="宋体" w:cs="宋体"/>
                <w:szCs w:val="21"/>
                <w:lang w:val="en-US" w:eastAsia="zh-CN"/>
              </w:rPr>
              <w:t>内容</w:t>
            </w:r>
          </w:p>
        </w:tc>
        <w:tc>
          <w:tcPr>
            <w:tcW w:w="2678" w:type="dxa"/>
            <w:noWrap w:val="0"/>
            <w:vAlign w:val="center"/>
          </w:tcPr>
          <w:p w14:paraId="1FD9A5D1">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供应商的</w:t>
            </w:r>
            <w:r>
              <w:rPr>
                <w:rFonts w:hint="eastAsia" w:ascii="宋体" w:hAnsi="宋体" w:cs="宋体"/>
                <w:szCs w:val="21"/>
                <w:lang w:val="en-US" w:eastAsia="zh-CN"/>
              </w:rPr>
              <w:t>服务</w:t>
            </w:r>
            <w:r>
              <w:rPr>
                <w:rFonts w:hint="eastAsia" w:ascii="宋体" w:hAnsi="宋体" w:eastAsia="宋体" w:cs="宋体"/>
                <w:szCs w:val="21"/>
                <w:lang w:val="en-US" w:eastAsia="zh-CN"/>
              </w:rPr>
              <w:t>响应内容</w:t>
            </w:r>
          </w:p>
        </w:tc>
        <w:tc>
          <w:tcPr>
            <w:tcW w:w="1548" w:type="dxa"/>
            <w:noWrap w:val="0"/>
            <w:vAlign w:val="center"/>
          </w:tcPr>
          <w:p w14:paraId="766AF77B">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偏离情况</w:t>
            </w:r>
          </w:p>
        </w:tc>
        <w:tc>
          <w:tcPr>
            <w:tcW w:w="1242" w:type="dxa"/>
            <w:noWrap w:val="0"/>
            <w:vAlign w:val="center"/>
          </w:tcPr>
          <w:p w14:paraId="7B310E08">
            <w:pPr>
              <w:spacing w:line="360" w:lineRule="auto"/>
              <w:jc w:val="center"/>
              <w:rPr>
                <w:rFonts w:hint="eastAsia" w:ascii="宋体" w:hAnsi="宋体" w:eastAsia="宋体" w:cs="宋体"/>
                <w:szCs w:val="21"/>
                <w:lang w:val="en-US" w:eastAsia="zh-CN"/>
              </w:rPr>
            </w:pPr>
            <w:r>
              <w:rPr>
                <w:rFonts w:hint="eastAsia" w:ascii="宋体" w:hAnsi="宋体" w:eastAsia="宋体" w:cs="宋体"/>
                <w:szCs w:val="21"/>
                <w:lang w:val="en-US" w:eastAsia="zh-CN"/>
              </w:rPr>
              <w:t>说明</w:t>
            </w:r>
          </w:p>
        </w:tc>
      </w:tr>
      <w:tr w14:paraId="2C4BA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22" w:type="dxa"/>
            <w:noWrap w:val="0"/>
            <w:vAlign w:val="center"/>
          </w:tcPr>
          <w:p w14:paraId="47F73DC3">
            <w:pPr>
              <w:jc w:val="center"/>
              <w:rPr>
                <w:rFonts w:hint="eastAsia" w:ascii="宋体" w:hAnsi="宋体" w:eastAsia="宋体" w:cs="宋体"/>
                <w:b/>
                <w:sz w:val="21"/>
                <w:szCs w:val="21"/>
                <w:highlight w:val="none"/>
              </w:rPr>
            </w:pPr>
          </w:p>
        </w:tc>
        <w:tc>
          <w:tcPr>
            <w:tcW w:w="3008" w:type="dxa"/>
            <w:noWrap w:val="0"/>
            <w:vAlign w:val="center"/>
          </w:tcPr>
          <w:p w14:paraId="73BE111A">
            <w:pPr>
              <w:pStyle w:val="9"/>
              <w:snapToGrid w:val="0"/>
              <w:spacing w:beforeAutospacing="0" w:after="0" w:afterAutospacing="0" w:line="240" w:lineRule="auto"/>
              <w:jc w:val="center"/>
              <w:rPr>
                <w:rFonts w:hint="eastAsia" w:ascii="宋体" w:hAnsi="宋体" w:eastAsia="宋体" w:cs="宋体"/>
                <w:b/>
                <w:sz w:val="21"/>
                <w:szCs w:val="21"/>
                <w:highlight w:val="none"/>
                <w:lang w:val="en-US" w:eastAsia="zh-CN" w:bidi="ar-SA"/>
              </w:rPr>
            </w:pPr>
          </w:p>
        </w:tc>
        <w:tc>
          <w:tcPr>
            <w:tcW w:w="2678" w:type="dxa"/>
            <w:noWrap w:val="0"/>
            <w:vAlign w:val="center"/>
          </w:tcPr>
          <w:p w14:paraId="4A35DD7F">
            <w:pPr>
              <w:pStyle w:val="9"/>
              <w:snapToGrid w:val="0"/>
              <w:spacing w:beforeAutospacing="0" w:after="0" w:afterAutospacing="0" w:line="240" w:lineRule="auto"/>
              <w:jc w:val="center"/>
              <w:rPr>
                <w:rFonts w:hint="eastAsia" w:ascii="宋体" w:hAnsi="宋体" w:eastAsia="宋体" w:cs="宋体"/>
                <w:b/>
                <w:sz w:val="21"/>
                <w:szCs w:val="21"/>
                <w:highlight w:val="none"/>
                <w:lang w:val="en-US" w:eastAsia="zh-CN" w:bidi="ar-SA"/>
              </w:rPr>
            </w:pPr>
          </w:p>
        </w:tc>
        <w:tc>
          <w:tcPr>
            <w:tcW w:w="1548" w:type="dxa"/>
            <w:noWrap w:val="0"/>
            <w:vAlign w:val="center"/>
          </w:tcPr>
          <w:p w14:paraId="5BFA3F12">
            <w:pPr>
              <w:pStyle w:val="9"/>
              <w:snapToGrid w:val="0"/>
              <w:spacing w:beforeAutospacing="0" w:after="0" w:afterAutospacing="0" w:line="240" w:lineRule="auto"/>
              <w:jc w:val="center"/>
              <w:rPr>
                <w:rFonts w:hint="eastAsia" w:ascii="宋体" w:hAnsi="宋体" w:eastAsia="宋体" w:cs="宋体"/>
                <w:b/>
                <w:sz w:val="21"/>
                <w:szCs w:val="21"/>
                <w:highlight w:val="none"/>
                <w:lang w:val="en-US" w:eastAsia="zh-CN" w:bidi="ar-SA"/>
              </w:rPr>
            </w:pPr>
          </w:p>
        </w:tc>
        <w:tc>
          <w:tcPr>
            <w:tcW w:w="1242" w:type="dxa"/>
            <w:noWrap w:val="0"/>
            <w:vAlign w:val="center"/>
          </w:tcPr>
          <w:p w14:paraId="16376565">
            <w:pPr>
              <w:pStyle w:val="9"/>
              <w:snapToGrid w:val="0"/>
              <w:spacing w:beforeAutospacing="0" w:after="0" w:afterAutospacing="0" w:line="240" w:lineRule="auto"/>
              <w:jc w:val="center"/>
              <w:rPr>
                <w:rFonts w:hint="eastAsia" w:ascii="宋体" w:hAnsi="宋体" w:eastAsia="宋体" w:cs="宋体"/>
                <w:b/>
                <w:sz w:val="21"/>
                <w:szCs w:val="21"/>
                <w:highlight w:val="none"/>
                <w:lang w:val="en-US" w:eastAsia="zh-CN" w:bidi="ar-SA"/>
              </w:rPr>
            </w:pPr>
          </w:p>
        </w:tc>
      </w:tr>
      <w:tr w14:paraId="074E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22" w:type="dxa"/>
            <w:noWrap w:val="0"/>
            <w:vAlign w:val="center"/>
          </w:tcPr>
          <w:p w14:paraId="25DEB695">
            <w:pPr>
              <w:jc w:val="center"/>
              <w:rPr>
                <w:rFonts w:hint="eastAsia" w:ascii="宋体" w:hAnsi="宋体" w:eastAsia="宋体" w:cs="宋体"/>
                <w:b/>
                <w:sz w:val="21"/>
                <w:szCs w:val="21"/>
                <w:highlight w:val="none"/>
              </w:rPr>
            </w:pPr>
          </w:p>
        </w:tc>
        <w:tc>
          <w:tcPr>
            <w:tcW w:w="3008" w:type="dxa"/>
            <w:noWrap w:val="0"/>
            <w:vAlign w:val="center"/>
          </w:tcPr>
          <w:p w14:paraId="779B4848">
            <w:pPr>
              <w:pStyle w:val="9"/>
              <w:snapToGrid w:val="0"/>
              <w:spacing w:beforeAutospacing="0" w:after="0" w:afterAutospacing="0" w:line="240" w:lineRule="auto"/>
              <w:jc w:val="center"/>
              <w:rPr>
                <w:rFonts w:hint="eastAsia" w:ascii="宋体" w:hAnsi="宋体" w:eastAsia="宋体" w:cs="宋体"/>
                <w:b/>
                <w:sz w:val="21"/>
                <w:szCs w:val="21"/>
                <w:highlight w:val="none"/>
                <w:lang w:val="en-US" w:eastAsia="zh-CN" w:bidi="ar-SA"/>
              </w:rPr>
            </w:pPr>
          </w:p>
        </w:tc>
        <w:tc>
          <w:tcPr>
            <w:tcW w:w="2678" w:type="dxa"/>
            <w:noWrap w:val="0"/>
            <w:vAlign w:val="center"/>
          </w:tcPr>
          <w:p w14:paraId="3D6FEB32">
            <w:pPr>
              <w:pStyle w:val="9"/>
              <w:snapToGrid w:val="0"/>
              <w:spacing w:beforeAutospacing="0" w:after="0" w:afterAutospacing="0" w:line="240" w:lineRule="auto"/>
              <w:jc w:val="center"/>
              <w:rPr>
                <w:rFonts w:hint="eastAsia" w:ascii="宋体" w:hAnsi="宋体" w:eastAsia="宋体" w:cs="宋体"/>
                <w:b/>
                <w:sz w:val="21"/>
                <w:szCs w:val="21"/>
                <w:highlight w:val="none"/>
                <w:lang w:val="en-US" w:eastAsia="zh-CN" w:bidi="ar-SA"/>
              </w:rPr>
            </w:pPr>
          </w:p>
        </w:tc>
        <w:tc>
          <w:tcPr>
            <w:tcW w:w="1548" w:type="dxa"/>
            <w:noWrap w:val="0"/>
            <w:vAlign w:val="center"/>
          </w:tcPr>
          <w:p w14:paraId="0EA33E4A">
            <w:pPr>
              <w:pStyle w:val="9"/>
              <w:snapToGrid w:val="0"/>
              <w:spacing w:beforeAutospacing="0" w:after="0" w:afterAutospacing="0" w:line="240" w:lineRule="auto"/>
              <w:jc w:val="center"/>
              <w:rPr>
                <w:rFonts w:hint="eastAsia" w:ascii="宋体" w:hAnsi="宋体" w:eastAsia="宋体" w:cs="宋体"/>
                <w:b/>
                <w:sz w:val="21"/>
                <w:szCs w:val="21"/>
                <w:highlight w:val="none"/>
                <w:lang w:val="en-US" w:eastAsia="zh-CN" w:bidi="ar-SA"/>
              </w:rPr>
            </w:pPr>
          </w:p>
        </w:tc>
        <w:tc>
          <w:tcPr>
            <w:tcW w:w="1242" w:type="dxa"/>
            <w:noWrap w:val="0"/>
            <w:vAlign w:val="center"/>
          </w:tcPr>
          <w:p w14:paraId="64979840">
            <w:pPr>
              <w:pStyle w:val="9"/>
              <w:snapToGrid w:val="0"/>
              <w:spacing w:beforeAutospacing="0" w:after="0" w:afterAutospacing="0" w:line="240" w:lineRule="auto"/>
              <w:jc w:val="center"/>
              <w:rPr>
                <w:rFonts w:hint="eastAsia" w:ascii="宋体" w:hAnsi="宋体" w:eastAsia="宋体" w:cs="宋体"/>
                <w:b/>
                <w:sz w:val="21"/>
                <w:szCs w:val="21"/>
                <w:highlight w:val="none"/>
                <w:lang w:val="en-US" w:eastAsia="zh-CN" w:bidi="ar-SA"/>
              </w:rPr>
            </w:pPr>
          </w:p>
        </w:tc>
      </w:tr>
      <w:tr w14:paraId="33F9C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22" w:type="dxa"/>
            <w:noWrap w:val="0"/>
            <w:vAlign w:val="center"/>
          </w:tcPr>
          <w:p w14:paraId="13C7DE8B">
            <w:pPr>
              <w:jc w:val="center"/>
              <w:rPr>
                <w:rFonts w:hint="eastAsia" w:ascii="宋体" w:hAnsi="宋体" w:eastAsia="宋体" w:cs="宋体"/>
                <w:b/>
                <w:sz w:val="21"/>
                <w:szCs w:val="21"/>
                <w:highlight w:val="none"/>
              </w:rPr>
            </w:pPr>
          </w:p>
        </w:tc>
        <w:tc>
          <w:tcPr>
            <w:tcW w:w="3008" w:type="dxa"/>
            <w:noWrap w:val="0"/>
            <w:vAlign w:val="center"/>
          </w:tcPr>
          <w:p w14:paraId="3A2C2D2B">
            <w:pPr>
              <w:pStyle w:val="9"/>
              <w:snapToGrid w:val="0"/>
              <w:spacing w:beforeAutospacing="0" w:after="0" w:afterAutospacing="0" w:line="240" w:lineRule="auto"/>
              <w:jc w:val="center"/>
              <w:rPr>
                <w:rFonts w:hint="eastAsia" w:ascii="宋体" w:hAnsi="宋体" w:eastAsia="宋体" w:cs="宋体"/>
                <w:b/>
                <w:sz w:val="21"/>
                <w:szCs w:val="21"/>
                <w:highlight w:val="none"/>
                <w:lang w:val="en-US" w:eastAsia="zh-CN" w:bidi="ar-SA"/>
              </w:rPr>
            </w:pPr>
          </w:p>
        </w:tc>
        <w:tc>
          <w:tcPr>
            <w:tcW w:w="2678" w:type="dxa"/>
            <w:noWrap w:val="0"/>
            <w:vAlign w:val="center"/>
          </w:tcPr>
          <w:p w14:paraId="2678568F">
            <w:pPr>
              <w:pStyle w:val="9"/>
              <w:snapToGrid w:val="0"/>
              <w:spacing w:beforeAutospacing="0" w:after="0" w:afterAutospacing="0" w:line="240" w:lineRule="auto"/>
              <w:jc w:val="center"/>
              <w:rPr>
                <w:rFonts w:hint="eastAsia" w:ascii="宋体" w:hAnsi="宋体" w:eastAsia="宋体" w:cs="宋体"/>
                <w:b/>
                <w:sz w:val="21"/>
                <w:szCs w:val="21"/>
                <w:highlight w:val="none"/>
                <w:lang w:val="en-US" w:eastAsia="zh-CN" w:bidi="ar-SA"/>
              </w:rPr>
            </w:pPr>
          </w:p>
        </w:tc>
        <w:tc>
          <w:tcPr>
            <w:tcW w:w="1548" w:type="dxa"/>
            <w:noWrap w:val="0"/>
            <w:vAlign w:val="center"/>
          </w:tcPr>
          <w:p w14:paraId="6129839E">
            <w:pPr>
              <w:pStyle w:val="9"/>
              <w:snapToGrid w:val="0"/>
              <w:spacing w:beforeAutospacing="0" w:after="0" w:afterAutospacing="0" w:line="240" w:lineRule="auto"/>
              <w:jc w:val="center"/>
              <w:rPr>
                <w:rFonts w:hint="eastAsia" w:ascii="宋体" w:hAnsi="宋体" w:eastAsia="宋体" w:cs="宋体"/>
                <w:b/>
                <w:sz w:val="21"/>
                <w:szCs w:val="21"/>
                <w:highlight w:val="none"/>
                <w:lang w:val="en-US" w:eastAsia="zh-CN" w:bidi="ar-SA"/>
              </w:rPr>
            </w:pPr>
          </w:p>
        </w:tc>
        <w:tc>
          <w:tcPr>
            <w:tcW w:w="1242" w:type="dxa"/>
            <w:noWrap w:val="0"/>
            <w:vAlign w:val="center"/>
          </w:tcPr>
          <w:p w14:paraId="6C037C59">
            <w:pPr>
              <w:pStyle w:val="9"/>
              <w:snapToGrid w:val="0"/>
              <w:spacing w:beforeAutospacing="0" w:after="0" w:afterAutospacing="0" w:line="240" w:lineRule="auto"/>
              <w:jc w:val="center"/>
              <w:rPr>
                <w:rFonts w:hint="eastAsia" w:ascii="宋体" w:hAnsi="宋体" w:eastAsia="宋体" w:cs="宋体"/>
                <w:b/>
                <w:sz w:val="21"/>
                <w:szCs w:val="21"/>
                <w:highlight w:val="none"/>
                <w:lang w:val="en-US" w:eastAsia="zh-CN" w:bidi="ar-SA"/>
              </w:rPr>
            </w:pPr>
          </w:p>
        </w:tc>
      </w:tr>
      <w:tr w14:paraId="0017C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22" w:type="dxa"/>
            <w:noWrap w:val="0"/>
            <w:vAlign w:val="center"/>
          </w:tcPr>
          <w:p w14:paraId="5B7161BA">
            <w:pPr>
              <w:jc w:val="center"/>
              <w:rPr>
                <w:rFonts w:hint="eastAsia" w:ascii="宋体" w:hAnsi="宋体" w:eastAsia="宋体" w:cs="宋体"/>
                <w:b/>
                <w:sz w:val="21"/>
                <w:szCs w:val="21"/>
                <w:highlight w:val="none"/>
              </w:rPr>
            </w:pPr>
          </w:p>
        </w:tc>
        <w:tc>
          <w:tcPr>
            <w:tcW w:w="3008" w:type="dxa"/>
            <w:noWrap w:val="0"/>
            <w:vAlign w:val="center"/>
          </w:tcPr>
          <w:p w14:paraId="421D927F">
            <w:pPr>
              <w:pStyle w:val="9"/>
              <w:snapToGrid w:val="0"/>
              <w:spacing w:beforeAutospacing="0" w:after="0" w:afterAutospacing="0" w:line="240" w:lineRule="auto"/>
              <w:jc w:val="center"/>
              <w:rPr>
                <w:rFonts w:hint="eastAsia" w:ascii="宋体" w:hAnsi="宋体" w:eastAsia="宋体" w:cs="宋体"/>
                <w:b/>
                <w:sz w:val="21"/>
                <w:szCs w:val="21"/>
                <w:highlight w:val="none"/>
                <w:lang w:val="en-US" w:eastAsia="zh-CN" w:bidi="ar-SA"/>
              </w:rPr>
            </w:pPr>
          </w:p>
        </w:tc>
        <w:tc>
          <w:tcPr>
            <w:tcW w:w="2678" w:type="dxa"/>
            <w:noWrap w:val="0"/>
            <w:vAlign w:val="center"/>
          </w:tcPr>
          <w:p w14:paraId="2E058B07">
            <w:pPr>
              <w:pStyle w:val="9"/>
              <w:snapToGrid w:val="0"/>
              <w:spacing w:beforeAutospacing="0" w:after="0" w:afterAutospacing="0" w:line="240" w:lineRule="auto"/>
              <w:jc w:val="center"/>
              <w:rPr>
                <w:rFonts w:hint="eastAsia" w:ascii="宋体" w:hAnsi="宋体" w:eastAsia="宋体" w:cs="宋体"/>
                <w:b/>
                <w:sz w:val="21"/>
                <w:szCs w:val="21"/>
                <w:highlight w:val="none"/>
                <w:lang w:val="en-US" w:eastAsia="zh-CN" w:bidi="ar-SA"/>
              </w:rPr>
            </w:pPr>
          </w:p>
        </w:tc>
        <w:tc>
          <w:tcPr>
            <w:tcW w:w="1548" w:type="dxa"/>
            <w:noWrap w:val="0"/>
            <w:vAlign w:val="center"/>
          </w:tcPr>
          <w:p w14:paraId="783E1F8B">
            <w:pPr>
              <w:pStyle w:val="9"/>
              <w:snapToGrid w:val="0"/>
              <w:spacing w:beforeAutospacing="0" w:after="0" w:afterAutospacing="0" w:line="240" w:lineRule="auto"/>
              <w:jc w:val="center"/>
              <w:rPr>
                <w:rFonts w:hint="eastAsia" w:ascii="宋体" w:hAnsi="宋体" w:eastAsia="宋体" w:cs="宋体"/>
                <w:b/>
                <w:sz w:val="21"/>
                <w:szCs w:val="21"/>
                <w:highlight w:val="none"/>
                <w:lang w:val="en-US" w:eastAsia="zh-CN" w:bidi="ar-SA"/>
              </w:rPr>
            </w:pPr>
          </w:p>
        </w:tc>
        <w:tc>
          <w:tcPr>
            <w:tcW w:w="1242" w:type="dxa"/>
            <w:noWrap w:val="0"/>
            <w:vAlign w:val="center"/>
          </w:tcPr>
          <w:p w14:paraId="35B597CF">
            <w:pPr>
              <w:pStyle w:val="9"/>
              <w:snapToGrid w:val="0"/>
              <w:spacing w:beforeAutospacing="0" w:after="0" w:afterAutospacing="0" w:line="240" w:lineRule="auto"/>
              <w:jc w:val="center"/>
              <w:rPr>
                <w:rFonts w:hint="eastAsia" w:ascii="宋体" w:hAnsi="宋体" w:eastAsia="宋体" w:cs="宋体"/>
                <w:b/>
                <w:sz w:val="21"/>
                <w:szCs w:val="21"/>
                <w:highlight w:val="none"/>
                <w:lang w:val="en-US" w:eastAsia="zh-CN" w:bidi="ar-SA"/>
              </w:rPr>
            </w:pPr>
          </w:p>
        </w:tc>
      </w:tr>
      <w:tr w14:paraId="5401F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22" w:type="dxa"/>
            <w:noWrap w:val="0"/>
            <w:vAlign w:val="center"/>
          </w:tcPr>
          <w:p w14:paraId="63F36B92">
            <w:pPr>
              <w:jc w:val="center"/>
              <w:rPr>
                <w:rFonts w:hint="eastAsia" w:ascii="宋体" w:hAnsi="宋体" w:eastAsia="宋体" w:cs="宋体"/>
                <w:b/>
                <w:sz w:val="21"/>
                <w:szCs w:val="21"/>
                <w:highlight w:val="none"/>
              </w:rPr>
            </w:pPr>
          </w:p>
        </w:tc>
        <w:tc>
          <w:tcPr>
            <w:tcW w:w="3008" w:type="dxa"/>
            <w:noWrap w:val="0"/>
            <w:vAlign w:val="center"/>
          </w:tcPr>
          <w:p w14:paraId="6EDE3C49">
            <w:pPr>
              <w:pStyle w:val="9"/>
              <w:snapToGrid w:val="0"/>
              <w:spacing w:beforeAutospacing="0" w:after="0" w:afterAutospacing="0" w:line="240" w:lineRule="auto"/>
              <w:jc w:val="center"/>
              <w:rPr>
                <w:rFonts w:hint="eastAsia" w:ascii="宋体" w:hAnsi="宋体" w:eastAsia="宋体" w:cs="宋体"/>
                <w:b/>
                <w:sz w:val="21"/>
                <w:szCs w:val="21"/>
                <w:highlight w:val="none"/>
                <w:lang w:val="en-US" w:eastAsia="zh-CN" w:bidi="ar-SA"/>
              </w:rPr>
            </w:pPr>
          </w:p>
        </w:tc>
        <w:tc>
          <w:tcPr>
            <w:tcW w:w="2678" w:type="dxa"/>
            <w:noWrap w:val="0"/>
            <w:vAlign w:val="center"/>
          </w:tcPr>
          <w:p w14:paraId="25E65025">
            <w:pPr>
              <w:pStyle w:val="9"/>
              <w:snapToGrid w:val="0"/>
              <w:spacing w:beforeAutospacing="0" w:after="0" w:afterAutospacing="0" w:line="240" w:lineRule="auto"/>
              <w:jc w:val="center"/>
              <w:rPr>
                <w:rFonts w:hint="eastAsia" w:ascii="宋体" w:hAnsi="宋体" w:eastAsia="宋体" w:cs="宋体"/>
                <w:b/>
                <w:sz w:val="21"/>
                <w:szCs w:val="21"/>
                <w:highlight w:val="none"/>
                <w:lang w:val="en-US" w:eastAsia="zh-CN" w:bidi="ar-SA"/>
              </w:rPr>
            </w:pPr>
          </w:p>
        </w:tc>
        <w:tc>
          <w:tcPr>
            <w:tcW w:w="1548" w:type="dxa"/>
            <w:noWrap w:val="0"/>
            <w:vAlign w:val="center"/>
          </w:tcPr>
          <w:p w14:paraId="58AA743F">
            <w:pPr>
              <w:pStyle w:val="9"/>
              <w:snapToGrid w:val="0"/>
              <w:spacing w:beforeAutospacing="0" w:after="0" w:afterAutospacing="0" w:line="240" w:lineRule="auto"/>
              <w:jc w:val="center"/>
              <w:rPr>
                <w:rFonts w:hint="eastAsia" w:ascii="宋体" w:hAnsi="宋体" w:eastAsia="宋体" w:cs="宋体"/>
                <w:b/>
                <w:sz w:val="21"/>
                <w:szCs w:val="21"/>
                <w:highlight w:val="none"/>
                <w:lang w:val="en-US" w:eastAsia="zh-CN" w:bidi="ar-SA"/>
              </w:rPr>
            </w:pPr>
          </w:p>
        </w:tc>
        <w:tc>
          <w:tcPr>
            <w:tcW w:w="1242" w:type="dxa"/>
            <w:noWrap w:val="0"/>
            <w:vAlign w:val="center"/>
          </w:tcPr>
          <w:p w14:paraId="27DED71B">
            <w:pPr>
              <w:pStyle w:val="9"/>
              <w:snapToGrid w:val="0"/>
              <w:spacing w:beforeAutospacing="0" w:after="0" w:afterAutospacing="0" w:line="240" w:lineRule="auto"/>
              <w:jc w:val="center"/>
              <w:rPr>
                <w:rFonts w:hint="eastAsia" w:ascii="宋体" w:hAnsi="宋体" w:eastAsia="宋体" w:cs="宋体"/>
                <w:b/>
                <w:sz w:val="21"/>
                <w:szCs w:val="21"/>
                <w:highlight w:val="none"/>
                <w:lang w:val="en-US" w:eastAsia="zh-CN" w:bidi="ar-SA"/>
              </w:rPr>
            </w:pPr>
          </w:p>
        </w:tc>
      </w:tr>
      <w:tr w14:paraId="3FFB9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922" w:type="dxa"/>
            <w:noWrap w:val="0"/>
            <w:vAlign w:val="center"/>
          </w:tcPr>
          <w:p w14:paraId="6DD713E1">
            <w:pPr>
              <w:jc w:val="center"/>
              <w:rPr>
                <w:rFonts w:hint="eastAsia" w:ascii="宋体" w:hAnsi="宋体" w:eastAsia="宋体" w:cs="宋体"/>
                <w:b/>
                <w:sz w:val="21"/>
                <w:szCs w:val="21"/>
                <w:highlight w:val="none"/>
              </w:rPr>
            </w:pPr>
          </w:p>
        </w:tc>
        <w:tc>
          <w:tcPr>
            <w:tcW w:w="3008" w:type="dxa"/>
            <w:noWrap w:val="0"/>
            <w:vAlign w:val="center"/>
          </w:tcPr>
          <w:p w14:paraId="29C40C33">
            <w:pPr>
              <w:pStyle w:val="9"/>
              <w:snapToGrid w:val="0"/>
              <w:spacing w:beforeAutospacing="0" w:after="0" w:afterAutospacing="0" w:line="240" w:lineRule="auto"/>
              <w:jc w:val="center"/>
              <w:rPr>
                <w:rFonts w:hint="eastAsia" w:ascii="宋体" w:hAnsi="宋体" w:eastAsia="宋体" w:cs="宋体"/>
                <w:b/>
                <w:sz w:val="21"/>
                <w:szCs w:val="21"/>
                <w:highlight w:val="none"/>
                <w:lang w:val="en-US" w:eastAsia="zh-CN" w:bidi="ar-SA"/>
              </w:rPr>
            </w:pPr>
          </w:p>
        </w:tc>
        <w:tc>
          <w:tcPr>
            <w:tcW w:w="2678" w:type="dxa"/>
            <w:noWrap w:val="0"/>
            <w:vAlign w:val="center"/>
          </w:tcPr>
          <w:p w14:paraId="6510E058">
            <w:pPr>
              <w:pStyle w:val="9"/>
              <w:snapToGrid w:val="0"/>
              <w:spacing w:beforeAutospacing="0" w:after="0" w:afterAutospacing="0" w:line="240" w:lineRule="auto"/>
              <w:jc w:val="center"/>
              <w:rPr>
                <w:rFonts w:hint="eastAsia" w:ascii="宋体" w:hAnsi="宋体" w:eastAsia="宋体" w:cs="宋体"/>
                <w:b/>
                <w:sz w:val="21"/>
                <w:szCs w:val="21"/>
                <w:highlight w:val="none"/>
                <w:lang w:val="en-US" w:eastAsia="zh-CN" w:bidi="ar-SA"/>
              </w:rPr>
            </w:pPr>
          </w:p>
        </w:tc>
        <w:tc>
          <w:tcPr>
            <w:tcW w:w="1548" w:type="dxa"/>
            <w:noWrap w:val="0"/>
            <w:vAlign w:val="center"/>
          </w:tcPr>
          <w:p w14:paraId="37372B3A">
            <w:pPr>
              <w:pStyle w:val="9"/>
              <w:snapToGrid w:val="0"/>
              <w:spacing w:beforeAutospacing="0" w:after="0" w:afterAutospacing="0" w:line="240" w:lineRule="auto"/>
              <w:jc w:val="center"/>
              <w:rPr>
                <w:rFonts w:hint="eastAsia" w:ascii="宋体" w:hAnsi="宋体" w:eastAsia="宋体" w:cs="宋体"/>
                <w:b/>
                <w:sz w:val="21"/>
                <w:szCs w:val="21"/>
                <w:highlight w:val="none"/>
                <w:lang w:val="en-US" w:eastAsia="zh-CN" w:bidi="ar-SA"/>
              </w:rPr>
            </w:pPr>
          </w:p>
        </w:tc>
        <w:tc>
          <w:tcPr>
            <w:tcW w:w="1242" w:type="dxa"/>
            <w:noWrap w:val="0"/>
            <w:vAlign w:val="center"/>
          </w:tcPr>
          <w:p w14:paraId="0648519B">
            <w:pPr>
              <w:pStyle w:val="9"/>
              <w:snapToGrid w:val="0"/>
              <w:spacing w:beforeAutospacing="0" w:after="0" w:afterAutospacing="0" w:line="240" w:lineRule="auto"/>
              <w:jc w:val="center"/>
              <w:rPr>
                <w:rFonts w:hint="eastAsia" w:ascii="宋体" w:hAnsi="宋体" w:eastAsia="宋体" w:cs="宋体"/>
                <w:b/>
                <w:sz w:val="21"/>
                <w:szCs w:val="21"/>
                <w:highlight w:val="none"/>
                <w:lang w:val="en-US" w:eastAsia="zh-CN" w:bidi="ar-SA"/>
              </w:rPr>
            </w:pPr>
          </w:p>
        </w:tc>
      </w:tr>
    </w:tbl>
    <w:p w14:paraId="195FEB11">
      <w:pPr>
        <w:pStyle w:val="13"/>
        <w:tabs>
          <w:tab w:val="left" w:pos="7740"/>
          <w:tab w:val="left" w:pos="9180"/>
        </w:tabs>
        <w:spacing w:line="480" w:lineRule="auto"/>
        <w:ind w:firstLine="301" w:firstLineChars="100"/>
        <w:jc w:val="center"/>
        <w:rPr>
          <w:rFonts w:hint="eastAsia" w:ascii="宋体" w:hAnsi="宋体" w:cs="宋体"/>
          <w:b/>
          <w:sz w:val="30"/>
          <w:szCs w:val="30"/>
        </w:rPr>
      </w:pPr>
    </w:p>
    <w:p w14:paraId="6BA3733C">
      <w:pPr>
        <w:pStyle w:val="39"/>
        <w:numPr>
          <w:ilvl w:val="0"/>
          <w:numId w:val="0"/>
        </w:numPr>
        <w:spacing w:line="360" w:lineRule="auto"/>
        <w:ind w:leftChars="0"/>
        <w:rPr>
          <w:rFonts w:hint="eastAsia" w:ascii="宋体" w:hAnsi="宋体" w:eastAsia="宋体" w:cs="宋体"/>
          <w:bCs/>
          <w:szCs w:val="21"/>
          <w:highlight w:val="none"/>
          <w:lang w:eastAsia="zh-CN"/>
        </w:rPr>
      </w:pPr>
      <w:r>
        <w:rPr>
          <w:rFonts w:hint="eastAsia" w:ascii="宋体" w:hAnsi="宋体" w:eastAsia="宋体" w:cs="宋体"/>
          <w:bCs/>
          <w:szCs w:val="21"/>
          <w:highlight w:val="none"/>
        </w:rPr>
        <w:t>注</w:t>
      </w:r>
      <w:r>
        <w:rPr>
          <w:rFonts w:hint="eastAsia" w:ascii="宋体" w:hAnsi="宋体" w:eastAsia="宋体" w:cs="宋体"/>
          <w:bCs/>
          <w:szCs w:val="21"/>
          <w:highlight w:val="none"/>
          <w:lang w:eastAsia="zh-CN"/>
        </w:rPr>
        <w:t>：</w:t>
      </w:r>
    </w:p>
    <w:p w14:paraId="7CA948FA">
      <w:pPr>
        <w:pStyle w:val="39"/>
        <w:numPr>
          <w:ilvl w:val="0"/>
          <w:numId w:val="0"/>
        </w:numPr>
        <w:spacing w:line="360" w:lineRule="auto"/>
        <w:ind w:leftChars="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1.</w:t>
      </w:r>
      <w:r>
        <w:rPr>
          <w:rFonts w:hint="eastAsia" w:ascii="宋体" w:hAnsi="宋体" w:eastAsia="宋体" w:cs="宋体"/>
          <w:bCs/>
          <w:szCs w:val="21"/>
          <w:highlight w:val="none"/>
        </w:rPr>
        <w:t>偏离情况项填写“正”、“负”或“无”，说明项中填写原因。</w:t>
      </w:r>
    </w:p>
    <w:p w14:paraId="3B23E519">
      <w:pPr>
        <w:pStyle w:val="39"/>
        <w:numPr>
          <w:ilvl w:val="0"/>
          <w:numId w:val="0"/>
        </w:numPr>
        <w:spacing w:line="360" w:lineRule="auto"/>
        <w:ind w:leftChars="0"/>
        <w:rPr>
          <w:rFonts w:hint="eastAsia" w:ascii="宋体" w:hAnsi="宋体" w:eastAsia="宋体" w:cs="宋体"/>
          <w:bCs/>
          <w:szCs w:val="21"/>
          <w:highlight w:val="none"/>
        </w:rPr>
      </w:pPr>
      <w:r>
        <w:rPr>
          <w:rFonts w:hint="eastAsia" w:ascii="宋体" w:hAnsi="宋体" w:eastAsia="宋体" w:cs="宋体"/>
          <w:bCs/>
          <w:szCs w:val="21"/>
          <w:highlight w:val="none"/>
          <w:lang w:val="en-US" w:eastAsia="zh-CN"/>
        </w:rPr>
        <w:t>2.</w:t>
      </w:r>
      <w:r>
        <w:rPr>
          <w:rFonts w:hint="eastAsia" w:ascii="宋体" w:hAnsi="宋体" w:eastAsia="宋体" w:cs="宋体"/>
          <w:szCs w:val="21"/>
          <w:lang w:val="en-US" w:eastAsia="zh-CN"/>
        </w:rPr>
        <w:t>供应商</w:t>
      </w:r>
      <w:r>
        <w:rPr>
          <w:rFonts w:hint="eastAsia" w:ascii="宋体" w:hAnsi="宋体" w:eastAsia="宋体" w:cs="宋体"/>
          <w:bCs/>
          <w:szCs w:val="21"/>
          <w:highlight w:val="none"/>
        </w:rPr>
        <w:t>应对</w:t>
      </w:r>
      <w:r>
        <w:rPr>
          <w:rFonts w:hint="eastAsia" w:ascii="宋体" w:hAnsi="宋体" w:eastAsia="宋体" w:cs="宋体"/>
          <w:bCs/>
          <w:szCs w:val="21"/>
          <w:highlight w:val="none"/>
          <w:lang w:val="en-US" w:eastAsia="zh-CN"/>
        </w:rPr>
        <w:t>磋商</w:t>
      </w:r>
      <w:r>
        <w:rPr>
          <w:rFonts w:hint="eastAsia" w:ascii="宋体" w:hAnsi="宋体" w:eastAsia="宋体" w:cs="宋体"/>
          <w:bCs/>
          <w:szCs w:val="21"/>
          <w:highlight w:val="none"/>
        </w:rPr>
        <w:t>文件</w:t>
      </w:r>
      <w:r>
        <w:rPr>
          <w:rFonts w:hint="eastAsia" w:ascii="宋体" w:hAnsi="宋体" w:eastAsia="宋体" w:cs="宋体"/>
          <w:color w:val="auto"/>
          <w:szCs w:val="21"/>
          <w:highlight w:val="none"/>
          <w:lang w:val="en-US" w:eastAsia="zh-CN"/>
        </w:rPr>
        <w:t>第五章“采购需求”中</w:t>
      </w:r>
      <w:r>
        <w:rPr>
          <w:rFonts w:hint="eastAsia" w:ascii="宋体" w:hAnsi="宋体" w:cs="宋体"/>
          <w:color w:val="auto"/>
          <w:szCs w:val="21"/>
          <w:highlight w:val="none"/>
          <w:lang w:val="en-US" w:eastAsia="zh-CN"/>
        </w:rPr>
        <w:t>的</w:t>
      </w:r>
      <w:r>
        <w:rPr>
          <w:rFonts w:hint="eastAsia" w:ascii="宋体" w:hAnsi="宋体" w:eastAsia="宋体" w:cs="宋体"/>
          <w:bCs/>
          <w:szCs w:val="21"/>
          <w:highlight w:val="none"/>
        </w:rPr>
        <w:t>内容给予逐条响应，对响应有偏离的，则说明偏离的内容。若有要求提供相关证明资料的，须按要求提供，否则视为负偏离。</w:t>
      </w:r>
    </w:p>
    <w:p w14:paraId="6BBB8423">
      <w:pPr>
        <w:rPr>
          <w:rFonts w:hint="eastAsia" w:ascii="宋体" w:hAnsi="宋体"/>
          <w:b/>
          <w:color w:val="auto"/>
          <w:sz w:val="28"/>
          <w:szCs w:val="28"/>
          <w:highlight w:val="none"/>
          <w:lang w:val="en-US" w:eastAsia="zh-CN"/>
        </w:rPr>
      </w:pPr>
    </w:p>
    <w:p w14:paraId="46471783">
      <w:pP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br w:type="page"/>
      </w:r>
    </w:p>
    <w:p w14:paraId="6962F377">
      <w:pPr>
        <w:pStyle w:val="2"/>
        <w:spacing w:before="0" w:after="0" w:line="480" w:lineRule="auto"/>
        <w:jc w:val="center"/>
        <w:rPr>
          <w:rFonts w:hint="eastAsia" w:ascii="宋体" w:hAnsi="宋体" w:eastAsia="宋体" w:cs="宋体"/>
          <w:b/>
          <w:sz w:val="28"/>
          <w:szCs w:val="28"/>
        </w:rPr>
      </w:pPr>
      <w:bookmarkStart w:id="285" w:name="_Toc23990"/>
      <w:r>
        <w:rPr>
          <w:rFonts w:hint="eastAsia" w:ascii="宋体" w:hAnsi="宋体" w:eastAsia="宋体" w:cs="宋体"/>
          <w:b/>
          <w:bCs/>
          <w:kern w:val="2"/>
          <w:sz w:val="30"/>
          <w:szCs w:val="30"/>
          <w:lang w:val="en-US" w:eastAsia="zh-CN"/>
        </w:rPr>
        <w:t>七</w:t>
      </w:r>
      <w:r>
        <w:rPr>
          <w:rFonts w:hint="eastAsia" w:ascii="宋体" w:hAnsi="宋体" w:eastAsia="宋体" w:cs="宋体"/>
          <w:b/>
          <w:bCs/>
          <w:kern w:val="2"/>
          <w:sz w:val="30"/>
          <w:szCs w:val="30"/>
        </w:rPr>
        <w:t>、拟投入</w:t>
      </w:r>
      <w:r>
        <w:rPr>
          <w:rFonts w:hint="eastAsia" w:ascii="宋体" w:hAnsi="宋体" w:eastAsia="宋体" w:cs="宋体"/>
          <w:b/>
          <w:bCs/>
          <w:kern w:val="2"/>
          <w:sz w:val="30"/>
          <w:szCs w:val="30"/>
          <w:lang w:val="zh-CN"/>
        </w:rPr>
        <w:t>技术团队</w:t>
      </w:r>
      <w:r>
        <w:rPr>
          <w:rFonts w:hint="eastAsia" w:ascii="宋体" w:hAnsi="宋体" w:eastAsia="宋体" w:cs="宋体"/>
          <w:b/>
          <w:bCs/>
          <w:kern w:val="2"/>
          <w:sz w:val="30"/>
          <w:szCs w:val="30"/>
        </w:rPr>
        <w:t>基本情况表</w:t>
      </w:r>
      <w:bookmarkEnd w:id="285"/>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785"/>
        <w:gridCol w:w="1785"/>
        <w:gridCol w:w="1785"/>
        <w:gridCol w:w="1788"/>
        <w:gridCol w:w="1788"/>
      </w:tblGrid>
      <w:tr w14:paraId="4526D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9" w:hRule="atLeast"/>
          <w:jc w:val="center"/>
        </w:trPr>
        <w:tc>
          <w:tcPr>
            <w:tcW w:w="1785" w:type="dxa"/>
            <w:noWrap w:val="0"/>
            <w:vAlign w:val="center"/>
          </w:tcPr>
          <w:p w14:paraId="6DA88868">
            <w:pPr>
              <w:jc w:val="center"/>
              <w:rPr>
                <w:rFonts w:hint="eastAsia" w:ascii="宋体" w:hAnsi="宋体" w:cs="宋体"/>
                <w:szCs w:val="21"/>
              </w:rPr>
            </w:pPr>
            <w:r>
              <w:rPr>
                <w:rFonts w:hint="eastAsia" w:ascii="宋体" w:hAnsi="宋体" w:cs="宋体"/>
                <w:szCs w:val="21"/>
              </w:rPr>
              <w:t>在本项目中所担任的职务</w:t>
            </w:r>
          </w:p>
        </w:tc>
        <w:tc>
          <w:tcPr>
            <w:tcW w:w="1785" w:type="dxa"/>
            <w:noWrap w:val="0"/>
            <w:vAlign w:val="center"/>
          </w:tcPr>
          <w:p w14:paraId="540208BD">
            <w:pPr>
              <w:jc w:val="center"/>
              <w:rPr>
                <w:rFonts w:hint="eastAsia" w:ascii="宋体" w:hAnsi="宋体" w:cs="宋体"/>
                <w:szCs w:val="21"/>
              </w:rPr>
            </w:pPr>
            <w:r>
              <w:rPr>
                <w:rFonts w:hint="eastAsia" w:ascii="宋体" w:hAnsi="宋体" w:cs="宋体"/>
                <w:szCs w:val="21"/>
              </w:rPr>
              <w:t>姓名</w:t>
            </w:r>
          </w:p>
        </w:tc>
        <w:tc>
          <w:tcPr>
            <w:tcW w:w="1785" w:type="dxa"/>
            <w:noWrap w:val="0"/>
            <w:vAlign w:val="center"/>
          </w:tcPr>
          <w:p w14:paraId="512314C3">
            <w:pPr>
              <w:jc w:val="center"/>
              <w:rPr>
                <w:rFonts w:hint="eastAsia" w:ascii="宋体" w:hAnsi="宋体" w:cs="宋体"/>
                <w:szCs w:val="21"/>
              </w:rPr>
            </w:pPr>
            <w:r>
              <w:rPr>
                <w:rFonts w:hint="eastAsia" w:ascii="宋体" w:hAnsi="宋体" w:cs="宋体"/>
                <w:szCs w:val="21"/>
              </w:rPr>
              <w:t>性别</w:t>
            </w:r>
          </w:p>
        </w:tc>
        <w:tc>
          <w:tcPr>
            <w:tcW w:w="1785" w:type="dxa"/>
            <w:noWrap w:val="0"/>
            <w:vAlign w:val="center"/>
          </w:tcPr>
          <w:p w14:paraId="65414B6C">
            <w:pPr>
              <w:jc w:val="center"/>
              <w:rPr>
                <w:rFonts w:hint="eastAsia" w:ascii="宋体" w:hAnsi="宋体" w:cs="宋体"/>
                <w:szCs w:val="21"/>
              </w:rPr>
            </w:pPr>
            <w:r>
              <w:rPr>
                <w:rFonts w:hint="eastAsia" w:ascii="宋体" w:hAnsi="宋体" w:cs="宋体"/>
                <w:szCs w:val="21"/>
              </w:rPr>
              <w:t>年龄</w:t>
            </w:r>
          </w:p>
        </w:tc>
        <w:tc>
          <w:tcPr>
            <w:tcW w:w="1788" w:type="dxa"/>
            <w:noWrap w:val="0"/>
            <w:vAlign w:val="center"/>
          </w:tcPr>
          <w:p w14:paraId="26BAD6E4">
            <w:pPr>
              <w:jc w:val="center"/>
              <w:rPr>
                <w:rFonts w:hint="eastAsia" w:ascii="宋体" w:hAnsi="宋体" w:cs="宋体"/>
                <w:szCs w:val="21"/>
              </w:rPr>
            </w:pPr>
            <w:r>
              <w:rPr>
                <w:rFonts w:hint="eastAsia" w:ascii="宋体" w:hAnsi="宋体" w:cs="宋体"/>
                <w:szCs w:val="21"/>
              </w:rPr>
              <w:t>身份证号</w:t>
            </w:r>
          </w:p>
        </w:tc>
        <w:tc>
          <w:tcPr>
            <w:tcW w:w="1788" w:type="dxa"/>
            <w:noWrap w:val="0"/>
            <w:vAlign w:val="center"/>
          </w:tcPr>
          <w:p w14:paraId="4478A5B7">
            <w:pPr>
              <w:jc w:val="center"/>
              <w:rPr>
                <w:rFonts w:hint="eastAsia" w:ascii="宋体" w:hAnsi="宋体" w:cs="宋体"/>
                <w:szCs w:val="21"/>
              </w:rPr>
            </w:pPr>
            <w:r>
              <w:rPr>
                <w:rFonts w:hint="eastAsia" w:ascii="宋体" w:hAnsi="宋体" w:cs="宋体"/>
                <w:szCs w:val="21"/>
              </w:rPr>
              <w:t>备注</w:t>
            </w:r>
          </w:p>
        </w:tc>
      </w:tr>
      <w:tr w14:paraId="046E1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785" w:type="dxa"/>
            <w:noWrap w:val="0"/>
            <w:vAlign w:val="center"/>
          </w:tcPr>
          <w:p w14:paraId="30458516">
            <w:pPr>
              <w:rPr>
                <w:rFonts w:hint="eastAsia" w:ascii="宋体" w:hAnsi="宋体" w:cs="宋体"/>
                <w:kern w:val="0"/>
                <w:sz w:val="24"/>
              </w:rPr>
            </w:pPr>
          </w:p>
        </w:tc>
        <w:tc>
          <w:tcPr>
            <w:tcW w:w="1785" w:type="dxa"/>
            <w:noWrap w:val="0"/>
            <w:vAlign w:val="center"/>
          </w:tcPr>
          <w:p w14:paraId="5BE128EA">
            <w:pPr>
              <w:jc w:val="center"/>
              <w:rPr>
                <w:rFonts w:hint="eastAsia" w:ascii="宋体" w:hAnsi="宋体" w:cs="宋体"/>
                <w:sz w:val="24"/>
              </w:rPr>
            </w:pPr>
          </w:p>
        </w:tc>
        <w:tc>
          <w:tcPr>
            <w:tcW w:w="1785" w:type="dxa"/>
            <w:noWrap w:val="0"/>
            <w:vAlign w:val="center"/>
          </w:tcPr>
          <w:p w14:paraId="080C4B08">
            <w:pPr>
              <w:jc w:val="center"/>
              <w:rPr>
                <w:rFonts w:hint="eastAsia" w:ascii="宋体" w:hAnsi="宋体" w:cs="宋体"/>
                <w:sz w:val="24"/>
              </w:rPr>
            </w:pPr>
          </w:p>
        </w:tc>
        <w:tc>
          <w:tcPr>
            <w:tcW w:w="1785" w:type="dxa"/>
            <w:noWrap w:val="0"/>
            <w:vAlign w:val="top"/>
          </w:tcPr>
          <w:p w14:paraId="7AA70052">
            <w:pPr>
              <w:jc w:val="center"/>
              <w:rPr>
                <w:rFonts w:hint="eastAsia" w:ascii="宋体" w:hAnsi="宋体" w:cs="宋体"/>
                <w:sz w:val="24"/>
              </w:rPr>
            </w:pPr>
          </w:p>
        </w:tc>
        <w:tc>
          <w:tcPr>
            <w:tcW w:w="1788" w:type="dxa"/>
            <w:noWrap w:val="0"/>
            <w:vAlign w:val="top"/>
          </w:tcPr>
          <w:p w14:paraId="7DF10E67">
            <w:pPr>
              <w:jc w:val="center"/>
              <w:rPr>
                <w:rFonts w:hint="eastAsia" w:ascii="宋体" w:hAnsi="宋体" w:cs="宋体"/>
                <w:sz w:val="24"/>
              </w:rPr>
            </w:pPr>
          </w:p>
        </w:tc>
        <w:tc>
          <w:tcPr>
            <w:tcW w:w="1788" w:type="dxa"/>
            <w:noWrap w:val="0"/>
            <w:vAlign w:val="center"/>
          </w:tcPr>
          <w:p w14:paraId="3D637E20">
            <w:pPr>
              <w:jc w:val="center"/>
              <w:rPr>
                <w:rFonts w:hint="eastAsia" w:ascii="宋体" w:hAnsi="宋体" w:cs="宋体"/>
                <w:sz w:val="24"/>
              </w:rPr>
            </w:pPr>
          </w:p>
        </w:tc>
      </w:tr>
      <w:tr w14:paraId="78714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785" w:type="dxa"/>
            <w:noWrap w:val="0"/>
            <w:vAlign w:val="center"/>
          </w:tcPr>
          <w:p w14:paraId="7CF73628">
            <w:pPr>
              <w:jc w:val="center"/>
              <w:rPr>
                <w:rFonts w:hint="eastAsia" w:ascii="宋体" w:hAnsi="宋体" w:cs="宋体"/>
                <w:kern w:val="0"/>
                <w:sz w:val="24"/>
              </w:rPr>
            </w:pPr>
          </w:p>
        </w:tc>
        <w:tc>
          <w:tcPr>
            <w:tcW w:w="1785" w:type="dxa"/>
            <w:noWrap w:val="0"/>
            <w:vAlign w:val="center"/>
          </w:tcPr>
          <w:p w14:paraId="6DB2D323">
            <w:pPr>
              <w:jc w:val="center"/>
              <w:rPr>
                <w:rFonts w:hint="eastAsia" w:ascii="宋体" w:hAnsi="宋体" w:cs="宋体"/>
                <w:sz w:val="24"/>
              </w:rPr>
            </w:pPr>
          </w:p>
        </w:tc>
        <w:tc>
          <w:tcPr>
            <w:tcW w:w="1785" w:type="dxa"/>
            <w:noWrap w:val="0"/>
            <w:vAlign w:val="center"/>
          </w:tcPr>
          <w:p w14:paraId="19981E69">
            <w:pPr>
              <w:jc w:val="center"/>
              <w:rPr>
                <w:rFonts w:hint="eastAsia" w:ascii="宋体" w:hAnsi="宋体" w:cs="宋体"/>
                <w:sz w:val="24"/>
              </w:rPr>
            </w:pPr>
          </w:p>
        </w:tc>
        <w:tc>
          <w:tcPr>
            <w:tcW w:w="1785" w:type="dxa"/>
            <w:noWrap w:val="0"/>
            <w:vAlign w:val="top"/>
          </w:tcPr>
          <w:p w14:paraId="009800E1">
            <w:pPr>
              <w:jc w:val="center"/>
              <w:rPr>
                <w:rFonts w:hint="eastAsia" w:ascii="宋体" w:hAnsi="宋体" w:cs="宋体"/>
                <w:sz w:val="24"/>
              </w:rPr>
            </w:pPr>
          </w:p>
        </w:tc>
        <w:tc>
          <w:tcPr>
            <w:tcW w:w="1788" w:type="dxa"/>
            <w:noWrap w:val="0"/>
            <w:vAlign w:val="top"/>
          </w:tcPr>
          <w:p w14:paraId="74CAEDC2">
            <w:pPr>
              <w:jc w:val="center"/>
              <w:rPr>
                <w:rFonts w:hint="eastAsia" w:ascii="宋体" w:hAnsi="宋体" w:cs="宋体"/>
                <w:sz w:val="24"/>
              </w:rPr>
            </w:pPr>
          </w:p>
        </w:tc>
        <w:tc>
          <w:tcPr>
            <w:tcW w:w="1788" w:type="dxa"/>
            <w:noWrap w:val="0"/>
            <w:vAlign w:val="center"/>
          </w:tcPr>
          <w:p w14:paraId="67EBAE63">
            <w:pPr>
              <w:jc w:val="center"/>
              <w:rPr>
                <w:rFonts w:hint="eastAsia" w:ascii="宋体" w:hAnsi="宋体" w:cs="宋体"/>
                <w:sz w:val="24"/>
              </w:rPr>
            </w:pPr>
          </w:p>
        </w:tc>
      </w:tr>
      <w:tr w14:paraId="5853E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785" w:type="dxa"/>
            <w:noWrap w:val="0"/>
            <w:vAlign w:val="center"/>
          </w:tcPr>
          <w:p w14:paraId="2A448C6E">
            <w:pPr>
              <w:jc w:val="center"/>
              <w:rPr>
                <w:rFonts w:hint="eastAsia" w:ascii="宋体" w:hAnsi="宋体" w:cs="宋体"/>
                <w:kern w:val="0"/>
                <w:sz w:val="24"/>
              </w:rPr>
            </w:pPr>
          </w:p>
        </w:tc>
        <w:tc>
          <w:tcPr>
            <w:tcW w:w="1785" w:type="dxa"/>
            <w:noWrap w:val="0"/>
            <w:vAlign w:val="center"/>
          </w:tcPr>
          <w:p w14:paraId="0E08ACF6">
            <w:pPr>
              <w:jc w:val="center"/>
              <w:rPr>
                <w:rFonts w:hint="eastAsia" w:ascii="宋体" w:hAnsi="宋体" w:cs="宋体"/>
                <w:sz w:val="24"/>
              </w:rPr>
            </w:pPr>
          </w:p>
        </w:tc>
        <w:tc>
          <w:tcPr>
            <w:tcW w:w="1785" w:type="dxa"/>
            <w:noWrap w:val="0"/>
            <w:vAlign w:val="center"/>
          </w:tcPr>
          <w:p w14:paraId="1294DFA3">
            <w:pPr>
              <w:jc w:val="center"/>
              <w:rPr>
                <w:rFonts w:hint="eastAsia" w:ascii="宋体" w:hAnsi="宋体" w:cs="宋体"/>
                <w:sz w:val="24"/>
              </w:rPr>
            </w:pPr>
          </w:p>
        </w:tc>
        <w:tc>
          <w:tcPr>
            <w:tcW w:w="1785" w:type="dxa"/>
            <w:noWrap w:val="0"/>
            <w:vAlign w:val="top"/>
          </w:tcPr>
          <w:p w14:paraId="18AFCAD5">
            <w:pPr>
              <w:jc w:val="center"/>
              <w:rPr>
                <w:rFonts w:hint="eastAsia" w:ascii="宋体" w:hAnsi="宋体" w:cs="宋体"/>
                <w:sz w:val="24"/>
              </w:rPr>
            </w:pPr>
          </w:p>
        </w:tc>
        <w:tc>
          <w:tcPr>
            <w:tcW w:w="1788" w:type="dxa"/>
            <w:noWrap w:val="0"/>
            <w:vAlign w:val="top"/>
          </w:tcPr>
          <w:p w14:paraId="1F540B6A">
            <w:pPr>
              <w:jc w:val="center"/>
              <w:rPr>
                <w:rFonts w:hint="eastAsia" w:ascii="宋体" w:hAnsi="宋体" w:cs="宋体"/>
                <w:sz w:val="24"/>
              </w:rPr>
            </w:pPr>
          </w:p>
        </w:tc>
        <w:tc>
          <w:tcPr>
            <w:tcW w:w="1788" w:type="dxa"/>
            <w:noWrap w:val="0"/>
            <w:vAlign w:val="center"/>
          </w:tcPr>
          <w:p w14:paraId="2F6C821B">
            <w:pPr>
              <w:jc w:val="center"/>
              <w:rPr>
                <w:rFonts w:hint="eastAsia" w:ascii="宋体" w:hAnsi="宋体" w:cs="宋体"/>
                <w:sz w:val="24"/>
              </w:rPr>
            </w:pPr>
          </w:p>
        </w:tc>
      </w:tr>
      <w:tr w14:paraId="27F6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785" w:type="dxa"/>
            <w:noWrap w:val="0"/>
            <w:vAlign w:val="center"/>
          </w:tcPr>
          <w:p w14:paraId="0C8688C6">
            <w:pPr>
              <w:jc w:val="center"/>
              <w:rPr>
                <w:rFonts w:hint="eastAsia" w:ascii="宋体" w:hAnsi="宋体" w:cs="宋体"/>
                <w:kern w:val="0"/>
                <w:sz w:val="24"/>
              </w:rPr>
            </w:pPr>
          </w:p>
        </w:tc>
        <w:tc>
          <w:tcPr>
            <w:tcW w:w="1785" w:type="dxa"/>
            <w:noWrap w:val="0"/>
            <w:vAlign w:val="center"/>
          </w:tcPr>
          <w:p w14:paraId="07606C48">
            <w:pPr>
              <w:jc w:val="center"/>
              <w:rPr>
                <w:rFonts w:hint="eastAsia" w:ascii="宋体" w:hAnsi="宋体" w:cs="宋体"/>
                <w:sz w:val="24"/>
              </w:rPr>
            </w:pPr>
          </w:p>
        </w:tc>
        <w:tc>
          <w:tcPr>
            <w:tcW w:w="1785" w:type="dxa"/>
            <w:noWrap w:val="0"/>
            <w:vAlign w:val="center"/>
          </w:tcPr>
          <w:p w14:paraId="0134353A">
            <w:pPr>
              <w:jc w:val="center"/>
              <w:rPr>
                <w:rFonts w:hint="eastAsia" w:ascii="宋体" w:hAnsi="宋体" w:cs="宋体"/>
                <w:sz w:val="24"/>
              </w:rPr>
            </w:pPr>
          </w:p>
        </w:tc>
        <w:tc>
          <w:tcPr>
            <w:tcW w:w="1785" w:type="dxa"/>
            <w:noWrap w:val="0"/>
            <w:vAlign w:val="top"/>
          </w:tcPr>
          <w:p w14:paraId="35DCA78C">
            <w:pPr>
              <w:jc w:val="center"/>
              <w:rPr>
                <w:rFonts w:hint="eastAsia" w:ascii="宋体" w:hAnsi="宋体" w:cs="宋体"/>
                <w:sz w:val="24"/>
              </w:rPr>
            </w:pPr>
          </w:p>
        </w:tc>
        <w:tc>
          <w:tcPr>
            <w:tcW w:w="1788" w:type="dxa"/>
            <w:noWrap w:val="0"/>
            <w:vAlign w:val="top"/>
          </w:tcPr>
          <w:p w14:paraId="2A418E2A">
            <w:pPr>
              <w:jc w:val="center"/>
              <w:rPr>
                <w:rFonts w:hint="eastAsia" w:ascii="宋体" w:hAnsi="宋体" w:cs="宋体"/>
                <w:sz w:val="24"/>
              </w:rPr>
            </w:pPr>
          </w:p>
        </w:tc>
        <w:tc>
          <w:tcPr>
            <w:tcW w:w="1788" w:type="dxa"/>
            <w:noWrap w:val="0"/>
            <w:vAlign w:val="center"/>
          </w:tcPr>
          <w:p w14:paraId="322F46D5">
            <w:pPr>
              <w:jc w:val="center"/>
              <w:rPr>
                <w:rFonts w:hint="eastAsia" w:ascii="宋体" w:hAnsi="宋体" w:cs="宋体"/>
                <w:sz w:val="24"/>
              </w:rPr>
            </w:pPr>
          </w:p>
        </w:tc>
      </w:tr>
      <w:tr w14:paraId="1848D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785" w:type="dxa"/>
            <w:noWrap w:val="0"/>
            <w:vAlign w:val="center"/>
          </w:tcPr>
          <w:p w14:paraId="4270A3FD">
            <w:pPr>
              <w:jc w:val="center"/>
              <w:rPr>
                <w:rFonts w:hint="eastAsia" w:ascii="宋体" w:hAnsi="宋体" w:cs="宋体"/>
                <w:kern w:val="0"/>
                <w:sz w:val="24"/>
              </w:rPr>
            </w:pPr>
          </w:p>
        </w:tc>
        <w:tc>
          <w:tcPr>
            <w:tcW w:w="1785" w:type="dxa"/>
            <w:noWrap w:val="0"/>
            <w:vAlign w:val="center"/>
          </w:tcPr>
          <w:p w14:paraId="0E8FBDCF">
            <w:pPr>
              <w:jc w:val="center"/>
              <w:rPr>
                <w:rFonts w:hint="eastAsia" w:ascii="宋体" w:hAnsi="宋体" w:cs="宋体"/>
                <w:sz w:val="24"/>
              </w:rPr>
            </w:pPr>
          </w:p>
        </w:tc>
        <w:tc>
          <w:tcPr>
            <w:tcW w:w="1785" w:type="dxa"/>
            <w:noWrap w:val="0"/>
            <w:vAlign w:val="center"/>
          </w:tcPr>
          <w:p w14:paraId="228F3882">
            <w:pPr>
              <w:jc w:val="center"/>
              <w:rPr>
                <w:rFonts w:hint="eastAsia" w:ascii="宋体" w:hAnsi="宋体" w:cs="宋体"/>
                <w:sz w:val="24"/>
              </w:rPr>
            </w:pPr>
          </w:p>
        </w:tc>
        <w:tc>
          <w:tcPr>
            <w:tcW w:w="1785" w:type="dxa"/>
            <w:noWrap w:val="0"/>
            <w:vAlign w:val="top"/>
          </w:tcPr>
          <w:p w14:paraId="63905B83">
            <w:pPr>
              <w:jc w:val="center"/>
              <w:rPr>
                <w:rFonts w:hint="eastAsia" w:ascii="宋体" w:hAnsi="宋体" w:cs="宋体"/>
                <w:sz w:val="24"/>
              </w:rPr>
            </w:pPr>
          </w:p>
        </w:tc>
        <w:tc>
          <w:tcPr>
            <w:tcW w:w="1788" w:type="dxa"/>
            <w:noWrap w:val="0"/>
            <w:vAlign w:val="top"/>
          </w:tcPr>
          <w:p w14:paraId="4841E0DD">
            <w:pPr>
              <w:jc w:val="center"/>
              <w:rPr>
                <w:rFonts w:hint="eastAsia" w:ascii="宋体" w:hAnsi="宋体" w:cs="宋体"/>
                <w:sz w:val="24"/>
              </w:rPr>
            </w:pPr>
          </w:p>
        </w:tc>
        <w:tc>
          <w:tcPr>
            <w:tcW w:w="1788" w:type="dxa"/>
            <w:noWrap w:val="0"/>
            <w:vAlign w:val="center"/>
          </w:tcPr>
          <w:p w14:paraId="173F8240">
            <w:pPr>
              <w:jc w:val="center"/>
              <w:rPr>
                <w:rFonts w:hint="eastAsia" w:ascii="宋体" w:hAnsi="宋体" w:cs="宋体"/>
                <w:sz w:val="24"/>
              </w:rPr>
            </w:pPr>
          </w:p>
        </w:tc>
      </w:tr>
      <w:tr w14:paraId="0AB79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1785" w:type="dxa"/>
            <w:noWrap w:val="0"/>
            <w:vAlign w:val="center"/>
          </w:tcPr>
          <w:p w14:paraId="10C288B4">
            <w:pPr>
              <w:jc w:val="center"/>
              <w:rPr>
                <w:rFonts w:hint="eastAsia" w:ascii="宋体" w:hAnsi="宋体" w:cs="宋体"/>
                <w:kern w:val="0"/>
                <w:sz w:val="24"/>
              </w:rPr>
            </w:pPr>
            <w:r>
              <w:rPr>
                <w:rFonts w:hint="eastAsia" w:ascii="宋体" w:hAnsi="宋体" w:cs="宋体"/>
                <w:kern w:val="0"/>
                <w:sz w:val="24"/>
              </w:rPr>
              <w:t>……</w:t>
            </w:r>
          </w:p>
        </w:tc>
        <w:tc>
          <w:tcPr>
            <w:tcW w:w="1785" w:type="dxa"/>
            <w:noWrap w:val="0"/>
            <w:vAlign w:val="center"/>
          </w:tcPr>
          <w:p w14:paraId="09AF30F2">
            <w:pPr>
              <w:jc w:val="center"/>
              <w:rPr>
                <w:rFonts w:hint="eastAsia" w:ascii="宋体" w:hAnsi="宋体" w:cs="宋体"/>
                <w:sz w:val="24"/>
              </w:rPr>
            </w:pPr>
          </w:p>
        </w:tc>
        <w:tc>
          <w:tcPr>
            <w:tcW w:w="1785" w:type="dxa"/>
            <w:noWrap w:val="0"/>
            <w:vAlign w:val="center"/>
          </w:tcPr>
          <w:p w14:paraId="0E2F09CB">
            <w:pPr>
              <w:jc w:val="center"/>
              <w:rPr>
                <w:rFonts w:hint="eastAsia" w:ascii="宋体" w:hAnsi="宋体" w:cs="宋体"/>
                <w:sz w:val="24"/>
              </w:rPr>
            </w:pPr>
          </w:p>
        </w:tc>
        <w:tc>
          <w:tcPr>
            <w:tcW w:w="1785" w:type="dxa"/>
            <w:noWrap w:val="0"/>
            <w:vAlign w:val="top"/>
          </w:tcPr>
          <w:p w14:paraId="0808A295">
            <w:pPr>
              <w:jc w:val="center"/>
              <w:rPr>
                <w:rFonts w:hint="eastAsia" w:ascii="宋体" w:hAnsi="宋体" w:cs="宋体"/>
                <w:sz w:val="24"/>
              </w:rPr>
            </w:pPr>
          </w:p>
        </w:tc>
        <w:tc>
          <w:tcPr>
            <w:tcW w:w="1788" w:type="dxa"/>
            <w:noWrap w:val="0"/>
            <w:vAlign w:val="top"/>
          </w:tcPr>
          <w:p w14:paraId="553407F8">
            <w:pPr>
              <w:jc w:val="center"/>
              <w:rPr>
                <w:rFonts w:hint="eastAsia" w:ascii="宋体" w:hAnsi="宋体" w:cs="宋体"/>
                <w:sz w:val="24"/>
              </w:rPr>
            </w:pPr>
          </w:p>
        </w:tc>
        <w:tc>
          <w:tcPr>
            <w:tcW w:w="1788" w:type="dxa"/>
            <w:noWrap w:val="0"/>
            <w:vAlign w:val="center"/>
          </w:tcPr>
          <w:p w14:paraId="7F2BDF81">
            <w:pPr>
              <w:jc w:val="center"/>
              <w:rPr>
                <w:rFonts w:hint="eastAsia" w:ascii="宋体" w:hAnsi="宋体" w:cs="宋体"/>
                <w:sz w:val="24"/>
              </w:rPr>
            </w:pPr>
          </w:p>
        </w:tc>
      </w:tr>
    </w:tbl>
    <w:p w14:paraId="0E5C89D0">
      <w:pPr>
        <w:spacing w:before="156" w:beforeLines="50" w:after="156" w:afterLines="50"/>
        <w:rPr>
          <w:rFonts w:hint="eastAsia" w:ascii="宋体" w:hAnsi="宋体" w:eastAsia="宋体" w:cs="宋体"/>
          <w:kern w:val="0"/>
          <w:szCs w:val="21"/>
          <w:highlight w:val="none"/>
        </w:rPr>
      </w:pPr>
      <w:r>
        <w:rPr>
          <w:rFonts w:hint="eastAsia" w:ascii="宋体" w:hAnsi="宋体" w:cs="宋体"/>
          <w:kern w:val="0"/>
          <w:szCs w:val="21"/>
        </w:rPr>
        <w:t>注：</w:t>
      </w:r>
      <w:r>
        <w:rPr>
          <w:rFonts w:hint="eastAsia" w:ascii="宋体" w:hAnsi="宋体" w:cs="宋体"/>
          <w:kern w:val="0"/>
          <w:szCs w:val="21"/>
          <w:lang w:val="en-US" w:eastAsia="zh-CN"/>
        </w:rPr>
        <w:t>供应商</w:t>
      </w:r>
      <w:r>
        <w:rPr>
          <w:rFonts w:hint="eastAsia" w:ascii="宋体" w:hAnsi="宋体" w:cs="宋体"/>
          <w:kern w:val="0"/>
          <w:szCs w:val="21"/>
        </w:rPr>
        <w:t>应根据</w:t>
      </w:r>
      <w:r>
        <w:rPr>
          <w:rFonts w:hint="eastAsia" w:ascii="宋体" w:hAnsi="宋体" w:cs="宋体"/>
          <w:kern w:val="0"/>
          <w:szCs w:val="21"/>
          <w:lang w:val="en-US" w:eastAsia="zh-CN"/>
        </w:rPr>
        <w:t>磋商</w:t>
      </w:r>
      <w:r>
        <w:rPr>
          <w:rFonts w:hint="eastAsia" w:ascii="宋体" w:hAnsi="宋体" w:cs="宋体"/>
          <w:kern w:val="0"/>
          <w:szCs w:val="21"/>
        </w:rPr>
        <w:t>文件要求和项目的实际需要，列出拟配备的人员</w:t>
      </w:r>
      <w:r>
        <w:rPr>
          <w:rFonts w:hint="eastAsia" w:ascii="宋体" w:hAnsi="宋体" w:eastAsia="宋体" w:cs="宋体"/>
          <w:kern w:val="0"/>
          <w:szCs w:val="21"/>
        </w:rPr>
        <w:t>清单</w:t>
      </w:r>
      <w:r>
        <w:rPr>
          <w:rFonts w:hint="eastAsia" w:ascii="宋体" w:hAnsi="宋体" w:eastAsia="宋体" w:cs="宋体"/>
          <w:kern w:val="0"/>
          <w:szCs w:val="21"/>
          <w:highlight w:val="none"/>
          <w:lang w:eastAsia="zh-CN"/>
        </w:rPr>
        <w:t>，</w:t>
      </w:r>
      <w:r>
        <w:rPr>
          <w:rFonts w:hint="eastAsia" w:ascii="宋体" w:hAnsi="宋体" w:eastAsia="宋体" w:cs="宋体"/>
          <w:kern w:val="0"/>
          <w:szCs w:val="21"/>
          <w:highlight w:val="none"/>
          <w:lang w:val="en-US" w:eastAsia="zh-CN"/>
        </w:rPr>
        <w:t>后附</w:t>
      </w:r>
      <w:r>
        <w:rPr>
          <w:rFonts w:hint="eastAsia" w:ascii="宋体" w:hAnsi="宋体" w:eastAsia="宋体" w:cs="宋体"/>
          <w:kern w:val="0"/>
          <w:szCs w:val="21"/>
          <w:highlight w:val="none"/>
          <w:lang w:val="zh-CN"/>
        </w:rPr>
        <w:t>相关人员身份证</w:t>
      </w:r>
      <w:r>
        <w:rPr>
          <w:rFonts w:hint="eastAsia" w:ascii="宋体" w:hAnsi="宋体" w:cs="宋体"/>
          <w:kern w:val="0"/>
          <w:szCs w:val="21"/>
          <w:highlight w:val="none"/>
          <w:lang w:val="zh-CN"/>
        </w:rPr>
        <w:t>、</w:t>
      </w:r>
      <w:r>
        <w:rPr>
          <w:rFonts w:hint="eastAsia" w:ascii="宋体" w:hAnsi="宋体" w:eastAsia="宋体" w:cs="宋体"/>
          <w:color w:val="000000"/>
          <w:kern w:val="0"/>
          <w:sz w:val="21"/>
          <w:szCs w:val="21"/>
          <w:highlight w:val="none"/>
          <w:lang w:val="en-US" w:eastAsia="zh-CN"/>
        </w:rPr>
        <w:t>资格证书</w:t>
      </w:r>
      <w:r>
        <w:rPr>
          <w:rFonts w:hint="eastAsia" w:ascii="宋体" w:hAnsi="宋体" w:cs="宋体"/>
          <w:color w:val="000000"/>
          <w:kern w:val="0"/>
          <w:sz w:val="21"/>
          <w:szCs w:val="21"/>
          <w:highlight w:val="none"/>
          <w:lang w:val="en-US" w:eastAsia="zh-CN"/>
        </w:rPr>
        <w:t>、社保证明</w:t>
      </w:r>
      <w:r>
        <w:rPr>
          <w:rFonts w:hint="eastAsia" w:ascii="宋体" w:hAnsi="宋体" w:cs="宋体"/>
          <w:kern w:val="0"/>
          <w:szCs w:val="21"/>
          <w:highlight w:val="none"/>
          <w:lang w:val="en-US" w:eastAsia="zh-CN"/>
        </w:rPr>
        <w:t>等</w:t>
      </w:r>
      <w:r>
        <w:rPr>
          <w:rFonts w:hint="eastAsia" w:ascii="宋体" w:hAnsi="宋体" w:eastAsia="宋体" w:cs="宋体"/>
          <w:kern w:val="0"/>
          <w:szCs w:val="21"/>
          <w:highlight w:val="none"/>
        </w:rPr>
        <w:t>复印件。</w:t>
      </w:r>
    </w:p>
    <w:p w14:paraId="388449C8">
      <w:pPr>
        <w:rPr>
          <w:rFonts w:hint="eastAsia" w:ascii="宋体" w:hAnsi="宋体"/>
          <w:b/>
          <w:color w:val="auto"/>
          <w:sz w:val="28"/>
          <w:szCs w:val="28"/>
          <w:highlight w:val="none"/>
          <w:lang w:val="en-US" w:eastAsia="zh-CN"/>
        </w:rPr>
      </w:pPr>
    </w:p>
    <w:p w14:paraId="6EB9E5D3">
      <w:pP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br w:type="page"/>
      </w:r>
    </w:p>
    <w:p w14:paraId="7D30FCB9">
      <w:pPr>
        <w:pStyle w:val="2"/>
        <w:spacing w:before="0" w:after="0" w:line="480" w:lineRule="auto"/>
        <w:jc w:val="center"/>
        <w:rPr>
          <w:rFonts w:hint="eastAsia" w:ascii="宋体" w:hAnsi="宋体" w:eastAsia="宋体" w:cs="宋体"/>
          <w:b w:val="0"/>
          <w:highlight w:val="none"/>
          <w:lang w:eastAsia="zh-CN"/>
        </w:rPr>
      </w:pPr>
      <w:bookmarkStart w:id="286" w:name="_Toc28323"/>
      <w:r>
        <w:rPr>
          <w:rFonts w:hint="eastAsia" w:ascii="宋体" w:hAnsi="宋体" w:cs="宋体"/>
          <w:bCs w:val="0"/>
          <w:kern w:val="2"/>
          <w:sz w:val="30"/>
          <w:szCs w:val="30"/>
          <w:highlight w:val="none"/>
          <w:lang w:val="en-US" w:eastAsia="zh-CN"/>
        </w:rPr>
        <w:t>八</w:t>
      </w:r>
      <w:r>
        <w:rPr>
          <w:rFonts w:hint="eastAsia" w:ascii="宋体" w:hAnsi="宋体" w:cs="宋体"/>
          <w:bCs w:val="0"/>
          <w:kern w:val="2"/>
          <w:sz w:val="30"/>
          <w:szCs w:val="30"/>
          <w:highlight w:val="none"/>
        </w:rPr>
        <w:t>、技术部分内容</w:t>
      </w:r>
      <w:r>
        <w:rPr>
          <w:rFonts w:hint="eastAsia" w:ascii="宋体" w:hAnsi="宋体" w:cs="宋体"/>
          <w:bCs w:val="0"/>
          <w:kern w:val="2"/>
          <w:sz w:val="30"/>
          <w:szCs w:val="30"/>
          <w:highlight w:val="none"/>
          <w:lang w:eastAsia="zh-CN"/>
        </w:rPr>
        <w:t>（</w:t>
      </w:r>
      <w:r>
        <w:rPr>
          <w:rFonts w:hint="eastAsia" w:ascii="宋体" w:hAnsi="宋体" w:cs="宋体"/>
          <w:bCs w:val="0"/>
          <w:kern w:val="2"/>
          <w:sz w:val="30"/>
          <w:szCs w:val="30"/>
          <w:highlight w:val="none"/>
          <w:lang w:val="en-US" w:eastAsia="zh-CN"/>
        </w:rPr>
        <w:t>暗标部分</w:t>
      </w:r>
      <w:r>
        <w:rPr>
          <w:rFonts w:hint="eastAsia" w:ascii="宋体" w:hAnsi="宋体" w:cs="宋体"/>
          <w:bCs w:val="0"/>
          <w:kern w:val="2"/>
          <w:sz w:val="30"/>
          <w:szCs w:val="30"/>
          <w:highlight w:val="none"/>
          <w:lang w:eastAsia="zh-CN"/>
        </w:rPr>
        <w:t>）</w:t>
      </w:r>
      <w:bookmarkEnd w:id="286"/>
    </w:p>
    <w:p w14:paraId="3E9F893E">
      <w:pPr>
        <w:spacing w:before="156" w:beforeLines="50" w:after="156" w:afterLines="50"/>
        <w:rPr>
          <w:rFonts w:hint="eastAsia" w:ascii="宋体" w:hAnsi="宋体" w:eastAsia="宋体" w:cs="宋体"/>
          <w:kern w:val="0"/>
          <w:szCs w:val="21"/>
          <w:lang w:eastAsia="zh-CN"/>
        </w:rPr>
      </w:pPr>
      <w:r>
        <w:rPr>
          <w:rFonts w:hint="eastAsia" w:ascii="宋体" w:hAnsi="宋体" w:eastAsia="宋体" w:cs="宋体"/>
          <w:kern w:val="0"/>
          <w:szCs w:val="21"/>
          <w:lang w:val="en-US" w:eastAsia="zh-CN"/>
        </w:rPr>
        <w:t>供应商</w:t>
      </w:r>
      <w:r>
        <w:rPr>
          <w:rFonts w:hint="eastAsia" w:ascii="宋体" w:hAnsi="宋体" w:eastAsia="宋体" w:cs="宋体"/>
          <w:kern w:val="0"/>
          <w:szCs w:val="21"/>
        </w:rPr>
        <w:t>应按照</w:t>
      </w:r>
      <w:r>
        <w:rPr>
          <w:rFonts w:hint="eastAsia" w:ascii="宋体" w:hAnsi="宋体" w:eastAsia="宋体" w:cs="宋体"/>
          <w:kern w:val="0"/>
          <w:szCs w:val="21"/>
          <w:lang w:val="en-US" w:eastAsia="zh-CN"/>
        </w:rPr>
        <w:t>磋商</w:t>
      </w:r>
      <w:r>
        <w:rPr>
          <w:rFonts w:hint="eastAsia" w:ascii="宋体" w:hAnsi="宋体" w:eastAsia="宋体" w:cs="宋体"/>
          <w:kern w:val="0"/>
          <w:szCs w:val="21"/>
        </w:rPr>
        <w:t>文件要求，根据“</w:t>
      </w:r>
      <w:r>
        <w:rPr>
          <w:rFonts w:hint="eastAsia" w:ascii="宋体" w:hAnsi="宋体" w:eastAsia="宋体" w:cs="宋体"/>
          <w:kern w:val="0"/>
          <w:szCs w:val="21"/>
          <w:lang w:val="en-US" w:eastAsia="zh-CN"/>
        </w:rPr>
        <w:t>采购需求</w:t>
      </w:r>
      <w:r>
        <w:rPr>
          <w:rFonts w:hint="eastAsia" w:ascii="宋体" w:hAnsi="宋体" w:eastAsia="宋体" w:cs="宋体"/>
          <w:kern w:val="0"/>
          <w:szCs w:val="21"/>
        </w:rPr>
        <w:t>”内容作出全面响应。编制和提交服务方案，其内容应包括但不限于以下各项：</w:t>
      </w:r>
      <w:r>
        <w:rPr>
          <w:rFonts w:hint="eastAsia" w:ascii="宋体" w:hAnsi="宋体" w:eastAsia="宋体" w:cs="宋体"/>
          <w:kern w:val="0"/>
          <w:szCs w:val="21"/>
          <w:lang w:val="zh-CN"/>
        </w:rPr>
        <w:t>总体服务方案、远程服务方案、重点难点</w:t>
      </w:r>
      <w:r>
        <w:rPr>
          <w:rFonts w:hint="eastAsia" w:ascii="宋体" w:hAnsi="宋体" w:eastAsia="宋体" w:cs="宋体"/>
          <w:kern w:val="0"/>
          <w:szCs w:val="21"/>
          <w:lang w:val="zh-CN" w:eastAsia="zh-CN"/>
        </w:rPr>
        <w:t>（及时响应、维修质量、维修效率）</w:t>
      </w:r>
      <w:r>
        <w:rPr>
          <w:rFonts w:hint="eastAsia" w:ascii="宋体" w:hAnsi="宋体" w:eastAsia="宋体" w:cs="宋体"/>
          <w:kern w:val="0"/>
          <w:szCs w:val="21"/>
          <w:lang w:val="zh-CN"/>
        </w:rPr>
        <w:t>分析、预防性检查方案、</w:t>
      </w:r>
      <w:r>
        <w:rPr>
          <w:rFonts w:hint="eastAsia" w:ascii="宋体" w:hAnsi="宋体" w:eastAsia="宋体" w:cs="宋体"/>
          <w:kern w:val="0"/>
          <w:szCs w:val="21"/>
          <w:lang w:val="en-US" w:eastAsia="zh-CN"/>
        </w:rPr>
        <w:t>培训方案</w:t>
      </w:r>
      <w:r>
        <w:rPr>
          <w:rFonts w:hint="eastAsia" w:ascii="宋体" w:hAnsi="宋体" w:eastAsia="宋体" w:cs="宋体"/>
          <w:kern w:val="0"/>
          <w:szCs w:val="21"/>
        </w:rPr>
        <w:t>等内容</w:t>
      </w:r>
      <w:r>
        <w:rPr>
          <w:rFonts w:hint="eastAsia" w:ascii="宋体" w:hAnsi="宋体" w:eastAsia="宋体" w:cs="宋体"/>
          <w:kern w:val="0"/>
          <w:szCs w:val="21"/>
          <w:lang w:eastAsia="zh-CN"/>
        </w:rPr>
        <w:t>。</w:t>
      </w:r>
    </w:p>
    <w:p w14:paraId="5376BF89">
      <w:pPr>
        <w:rPr>
          <w:rFonts w:hint="eastAsia" w:ascii="宋体" w:hAnsi="宋体"/>
          <w:b/>
          <w:color w:val="auto"/>
          <w:sz w:val="28"/>
          <w:szCs w:val="28"/>
          <w:highlight w:val="none"/>
          <w:lang w:val="en-US" w:eastAsia="zh-CN"/>
        </w:rPr>
      </w:pPr>
      <w:r>
        <w:rPr>
          <w:rFonts w:hint="eastAsia" w:ascii="宋体" w:hAnsi="宋体"/>
          <w:b/>
          <w:color w:val="auto"/>
          <w:sz w:val="28"/>
          <w:szCs w:val="28"/>
          <w:highlight w:val="none"/>
          <w:lang w:val="en-US" w:eastAsia="zh-CN"/>
        </w:rPr>
        <w:br w:type="page"/>
      </w:r>
    </w:p>
    <w:bookmarkEnd w:id="277"/>
    <w:bookmarkEnd w:id="278"/>
    <w:bookmarkEnd w:id="279"/>
    <w:bookmarkEnd w:id="280"/>
    <w:bookmarkEnd w:id="281"/>
    <w:bookmarkEnd w:id="282"/>
    <w:bookmarkEnd w:id="283"/>
    <w:p w14:paraId="52E6472B">
      <w:pPr>
        <w:adjustRightInd w:val="0"/>
        <w:spacing w:line="520" w:lineRule="exact"/>
        <w:jc w:val="center"/>
        <w:rPr>
          <w:rFonts w:hint="eastAsia" w:ascii="宋体" w:hAnsi="宋体" w:cs="宋体"/>
          <w:b/>
          <w:color w:val="auto"/>
          <w:sz w:val="28"/>
          <w:szCs w:val="28"/>
          <w:highlight w:val="none"/>
        </w:rPr>
      </w:pPr>
      <w:bookmarkStart w:id="287" w:name="_Toc152042596"/>
      <w:bookmarkStart w:id="288" w:name="_Toc246996372"/>
      <w:bookmarkStart w:id="289" w:name="_Toc152045807"/>
      <w:bookmarkStart w:id="290" w:name="_Toc144974875"/>
      <w:bookmarkStart w:id="291" w:name="_Toc246997115"/>
      <w:bookmarkStart w:id="292" w:name="_Toc179632827"/>
      <w:bookmarkStart w:id="293" w:name="_Toc247085890"/>
      <w:r>
        <w:rPr>
          <w:rFonts w:hint="eastAsia" w:ascii="宋体" w:hAnsi="宋体" w:cs="宋体"/>
          <w:b/>
          <w:color w:val="auto"/>
          <w:sz w:val="28"/>
          <w:szCs w:val="28"/>
          <w:highlight w:val="none"/>
          <w:lang w:val="en-US" w:eastAsia="zh-CN"/>
        </w:rPr>
        <w:t>九</w:t>
      </w:r>
      <w:r>
        <w:rPr>
          <w:rFonts w:hint="eastAsia" w:ascii="宋体" w:hAnsi="宋体" w:cs="宋体"/>
          <w:b/>
          <w:color w:val="auto"/>
          <w:sz w:val="28"/>
          <w:szCs w:val="28"/>
          <w:highlight w:val="none"/>
        </w:rPr>
        <w:t>、资格审查资料</w:t>
      </w:r>
      <w:bookmarkEnd w:id="287"/>
      <w:bookmarkEnd w:id="288"/>
      <w:bookmarkEnd w:id="289"/>
      <w:bookmarkEnd w:id="290"/>
      <w:bookmarkEnd w:id="291"/>
      <w:bookmarkEnd w:id="292"/>
      <w:bookmarkEnd w:id="293"/>
    </w:p>
    <w:p w14:paraId="30FB6E3D">
      <w:pPr>
        <w:jc w:val="center"/>
        <w:rPr>
          <w:rFonts w:hint="eastAsia" w:ascii="宋体" w:hAnsi="宋体" w:cs="宋体"/>
          <w:b/>
          <w:color w:val="auto"/>
          <w:sz w:val="28"/>
          <w:szCs w:val="28"/>
          <w:highlight w:val="none"/>
        </w:rPr>
      </w:pPr>
      <w:bookmarkStart w:id="294" w:name="_Toc152045808"/>
      <w:bookmarkStart w:id="295" w:name="_Toc246996373"/>
      <w:bookmarkStart w:id="296" w:name="_Toc246997116"/>
      <w:bookmarkStart w:id="297" w:name="_Toc179632828"/>
      <w:bookmarkStart w:id="298" w:name="_Toc247085891"/>
      <w:bookmarkStart w:id="299" w:name="_Toc152042597"/>
      <w:bookmarkStart w:id="300" w:name="_Toc144974876"/>
      <w:r>
        <w:rPr>
          <w:rFonts w:hint="eastAsia" w:ascii="宋体" w:hAnsi="宋体" w:cs="宋体"/>
          <w:b/>
          <w:color w:val="auto"/>
          <w:sz w:val="28"/>
          <w:szCs w:val="28"/>
          <w:highlight w:val="none"/>
        </w:rPr>
        <w:t>（一）供应商基本情况表</w:t>
      </w:r>
      <w:bookmarkEnd w:id="294"/>
      <w:bookmarkEnd w:id="295"/>
      <w:bookmarkEnd w:id="296"/>
      <w:bookmarkEnd w:id="297"/>
      <w:bookmarkEnd w:id="298"/>
      <w:bookmarkEnd w:id="299"/>
      <w:bookmarkEnd w:id="300"/>
    </w:p>
    <w:tbl>
      <w:tblPr>
        <w:tblStyle w:val="25"/>
        <w:tblW w:w="914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58"/>
        <w:gridCol w:w="1730"/>
        <w:gridCol w:w="238"/>
        <w:gridCol w:w="795"/>
        <w:gridCol w:w="318"/>
        <w:gridCol w:w="764"/>
        <w:gridCol w:w="1435"/>
        <w:gridCol w:w="878"/>
        <w:gridCol w:w="692"/>
        <w:gridCol w:w="837"/>
      </w:tblGrid>
      <w:tr w14:paraId="59FE1B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58" w:type="dxa"/>
            <w:noWrap w:val="0"/>
            <w:vAlign w:val="center"/>
          </w:tcPr>
          <w:p w14:paraId="70D1FEFE">
            <w:pPr>
              <w:spacing w:line="360" w:lineRule="auto"/>
              <w:jc w:val="center"/>
              <w:outlineLvl w:val="2"/>
              <w:rPr>
                <w:rFonts w:hint="eastAsia" w:ascii="宋体" w:hAnsi="宋体" w:cs="宋体"/>
                <w:szCs w:val="21"/>
              </w:rPr>
            </w:pPr>
            <w:bookmarkStart w:id="301" w:name="_Toc21424523"/>
            <w:bookmarkStart w:id="302" w:name="_Toc3950"/>
            <w:bookmarkStart w:id="303" w:name="_Toc14286"/>
            <w:bookmarkStart w:id="304" w:name="_Toc403061860"/>
            <w:bookmarkStart w:id="305" w:name="_Toc334541146"/>
            <w:bookmarkStart w:id="306" w:name="_Toc334540931"/>
            <w:bookmarkStart w:id="307" w:name="_Toc349487152"/>
            <w:bookmarkStart w:id="308" w:name="_Toc334534617"/>
            <w:bookmarkStart w:id="309" w:name="_Toc144974881"/>
            <w:bookmarkStart w:id="310" w:name="_Toc152045813"/>
            <w:bookmarkStart w:id="311" w:name="_Toc152042602"/>
            <w:bookmarkStart w:id="312" w:name="_Toc179632833"/>
            <w:r>
              <w:rPr>
                <w:rFonts w:hint="eastAsia" w:ascii="宋体" w:hAnsi="宋体" w:cs="宋体"/>
                <w:szCs w:val="21"/>
              </w:rPr>
              <w:t>单位名称</w:t>
            </w:r>
            <w:bookmarkEnd w:id="301"/>
            <w:bookmarkEnd w:id="302"/>
            <w:bookmarkEnd w:id="303"/>
            <w:bookmarkEnd w:id="304"/>
            <w:bookmarkEnd w:id="305"/>
            <w:bookmarkEnd w:id="306"/>
            <w:bookmarkEnd w:id="307"/>
            <w:bookmarkEnd w:id="308"/>
          </w:p>
        </w:tc>
        <w:tc>
          <w:tcPr>
            <w:tcW w:w="1968" w:type="dxa"/>
            <w:gridSpan w:val="2"/>
            <w:noWrap w:val="0"/>
            <w:vAlign w:val="center"/>
          </w:tcPr>
          <w:p w14:paraId="478DABED">
            <w:pPr>
              <w:spacing w:line="360" w:lineRule="auto"/>
              <w:jc w:val="center"/>
              <w:outlineLvl w:val="2"/>
              <w:rPr>
                <w:rFonts w:hint="eastAsia" w:ascii="宋体" w:hAnsi="宋体" w:cs="宋体"/>
                <w:szCs w:val="21"/>
              </w:rPr>
            </w:pPr>
          </w:p>
        </w:tc>
        <w:tc>
          <w:tcPr>
            <w:tcW w:w="795" w:type="dxa"/>
            <w:noWrap w:val="0"/>
            <w:vAlign w:val="center"/>
          </w:tcPr>
          <w:p w14:paraId="6A436348">
            <w:pPr>
              <w:spacing w:line="360" w:lineRule="auto"/>
              <w:jc w:val="center"/>
              <w:outlineLvl w:val="2"/>
              <w:rPr>
                <w:rFonts w:hint="eastAsia" w:ascii="宋体" w:hAnsi="宋体" w:cs="宋体"/>
                <w:szCs w:val="21"/>
              </w:rPr>
            </w:pPr>
            <w:bookmarkStart w:id="313" w:name="_Toc334534618"/>
            <w:bookmarkStart w:id="314" w:name="_Toc334540932"/>
            <w:bookmarkStart w:id="315" w:name="_Toc19973"/>
            <w:bookmarkStart w:id="316" w:name="_Toc21424524"/>
            <w:bookmarkStart w:id="317" w:name="_Toc403061861"/>
            <w:bookmarkStart w:id="318" w:name="_Toc2622"/>
            <w:bookmarkStart w:id="319" w:name="_Toc349487153"/>
            <w:bookmarkStart w:id="320" w:name="_Toc334541147"/>
            <w:r>
              <w:rPr>
                <w:rFonts w:hint="eastAsia" w:ascii="宋体" w:hAnsi="宋体" w:cs="宋体"/>
                <w:szCs w:val="21"/>
              </w:rPr>
              <w:t>电话</w:t>
            </w:r>
            <w:bookmarkEnd w:id="313"/>
            <w:bookmarkEnd w:id="314"/>
            <w:bookmarkEnd w:id="315"/>
            <w:bookmarkEnd w:id="316"/>
            <w:bookmarkEnd w:id="317"/>
            <w:bookmarkEnd w:id="318"/>
            <w:bookmarkEnd w:id="319"/>
            <w:bookmarkEnd w:id="320"/>
          </w:p>
        </w:tc>
        <w:tc>
          <w:tcPr>
            <w:tcW w:w="1082" w:type="dxa"/>
            <w:gridSpan w:val="2"/>
            <w:noWrap w:val="0"/>
            <w:vAlign w:val="center"/>
          </w:tcPr>
          <w:p w14:paraId="21EEE6F1">
            <w:pPr>
              <w:spacing w:line="360" w:lineRule="auto"/>
              <w:jc w:val="center"/>
              <w:outlineLvl w:val="2"/>
              <w:rPr>
                <w:rFonts w:hint="eastAsia" w:ascii="宋体" w:hAnsi="宋体" w:cs="宋体"/>
                <w:szCs w:val="21"/>
              </w:rPr>
            </w:pPr>
          </w:p>
        </w:tc>
        <w:tc>
          <w:tcPr>
            <w:tcW w:w="1435" w:type="dxa"/>
            <w:noWrap w:val="0"/>
            <w:vAlign w:val="center"/>
          </w:tcPr>
          <w:p w14:paraId="2A481EAA">
            <w:pPr>
              <w:spacing w:line="360" w:lineRule="auto"/>
              <w:jc w:val="center"/>
              <w:outlineLvl w:val="2"/>
              <w:rPr>
                <w:rFonts w:hint="eastAsia" w:ascii="宋体" w:hAnsi="宋体" w:cs="宋体"/>
                <w:szCs w:val="21"/>
              </w:rPr>
            </w:pPr>
            <w:bookmarkStart w:id="321" w:name="_Toc7244"/>
            <w:bookmarkStart w:id="322" w:name="_Toc349487154"/>
            <w:bookmarkStart w:id="323" w:name="_Toc26872"/>
            <w:bookmarkStart w:id="324" w:name="_Toc334540933"/>
            <w:bookmarkStart w:id="325" w:name="_Toc334534619"/>
            <w:bookmarkStart w:id="326" w:name="_Toc403061862"/>
            <w:bookmarkStart w:id="327" w:name="_Toc21424525"/>
            <w:bookmarkStart w:id="328" w:name="_Toc334541148"/>
            <w:r>
              <w:rPr>
                <w:rFonts w:hint="eastAsia" w:ascii="宋体" w:hAnsi="宋体" w:cs="宋体"/>
                <w:szCs w:val="21"/>
              </w:rPr>
              <w:t>企业法定</w:t>
            </w:r>
            <w:bookmarkEnd w:id="321"/>
          </w:p>
          <w:p w14:paraId="3DF488B5">
            <w:pPr>
              <w:spacing w:line="360" w:lineRule="auto"/>
              <w:jc w:val="center"/>
              <w:outlineLvl w:val="2"/>
              <w:rPr>
                <w:rFonts w:hint="eastAsia" w:ascii="宋体" w:hAnsi="宋体" w:cs="宋体"/>
                <w:szCs w:val="21"/>
              </w:rPr>
            </w:pPr>
            <w:bookmarkStart w:id="329" w:name="_Toc3201"/>
            <w:r>
              <w:rPr>
                <w:rFonts w:hint="eastAsia" w:ascii="宋体" w:hAnsi="宋体" w:cs="宋体"/>
                <w:szCs w:val="21"/>
              </w:rPr>
              <w:t>代表人</w:t>
            </w:r>
            <w:bookmarkEnd w:id="322"/>
            <w:bookmarkEnd w:id="323"/>
            <w:bookmarkEnd w:id="324"/>
            <w:bookmarkEnd w:id="325"/>
            <w:bookmarkEnd w:id="326"/>
            <w:bookmarkEnd w:id="327"/>
            <w:bookmarkEnd w:id="328"/>
            <w:bookmarkEnd w:id="329"/>
          </w:p>
        </w:tc>
        <w:tc>
          <w:tcPr>
            <w:tcW w:w="878" w:type="dxa"/>
            <w:noWrap w:val="0"/>
            <w:vAlign w:val="center"/>
          </w:tcPr>
          <w:p w14:paraId="55652239">
            <w:pPr>
              <w:spacing w:line="360" w:lineRule="auto"/>
              <w:jc w:val="center"/>
              <w:outlineLvl w:val="2"/>
              <w:rPr>
                <w:rFonts w:hint="eastAsia" w:ascii="宋体" w:hAnsi="宋体" w:cs="宋体"/>
                <w:szCs w:val="21"/>
              </w:rPr>
            </w:pPr>
          </w:p>
        </w:tc>
        <w:tc>
          <w:tcPr>
            <w:tcW w:w="692" w:type="dxa"/>
            <w:noWrap w:val="0"/>
            <w:vAlign w:val="center"/>
          </w:tcPr>
          <w:p w14:paraId="7C48E6BA">
            <w:pPr>
              <w:spacing w:line="360" w:lineRule="auto"/>
              <w:jc w:val="center"/>
              <w:outlineLvl w:val="2"/>
              <w:rPr>
                <w:rFonts w:hint="eastAsia" w:ascii="宋体" w:hAnsi="宋体" w:cs="宋体"/>
                <w:szCs w:val="21"/>
              </w:rPr>
            </w:pPr>
            <w:bookmarkStart w:id="330" w:name="_Toc21424526"/>
            <w:bookmarkStart w:id="331" w:name="_Toc334534620"/>
            <w:bookmarkStart w:id="332" w:name="_Toc32563"/>
            <w:bookmarkStart w:id="333" w:name="_Toc334540934"/>
            <w:bookmarkStart w:id="334" w:name="_Toc15966"/>
            <w:bookmarkStart w:id="335" w:name="_Toc349487155"/>
            <w:bookmarkStart w:id="336" w:name="_Toc334541149"/>
            <w:bookmarkStart w:id="337" w:name="_Toc403061863"/>
            <w:r>
              <w:rPr>
                <w:rFonts w:hint="eastAsia" w:ascii="宋体" w:hAnsi="宋体" w:cs="宋体"/>
                <w:szCs w:val="21"/>
              </w:rPr>
              <w:t>职务</w:t>
            </w:r>
            <w:bookmarkEnd w:id="330"/>
            <w:bookmarkEnd w:id="331"/>
            <w:bookmarkEnd w:id="332"/>
            <w:bookmarkEnd w:id="333"/>
            <w:bookmarkEnd w:id="334"/>
            <w:bookmarkEnd w:id="335"/>
            <w:bookmarkEnd w:id="336"/>
            <w:bookmarkEnd w:id="337"/>
          </w:p>
        </w:tc>
        <w:tc>
          <w:tcPr>
            <w:tcW w:w="837" w:type="dxa"/>
            <w:noWrap w:val="0"/>
            <w:vAlign w:val="center"/>
          </w:tcPr>
          <w:p w14:paraId="3BCD12E6">
            <w:pPr>
              <w:spacing w:line="360" w:lineRule="auto"/>
              <w:outlineLvl w:val="2"/>
              <w:rPr>
                <w:rFonts w:hint="eastAsia" w:ascii="宋体" w:hAnsi="宋体" w:cs="宋体"/>
                <w:szCs w:val="21"/>
              </w:rPr>
            </w:pPr>
          </w:p>
        </w:tc>
      </w:tr>
      <w:tr w14:paraId="7A3916D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58" w:type="dxa"/>
            <w:noWrap w:val="0"/>
            <w:vAlign w:val="center"/>
          </w:tcPr>
          <w:p w14:paraId="718E8C63">
            <w:pPr>
              <w:spacing w:line="360" w:lineRule="auto"/>
              <w:jc w:val="center"/>
              <w:rPr>
                <w:rFonts w:hint="eastAsia" w:ascii="宋体" w:hAnsi="宋体" w:cs="宋体"/>
                <w:szCs w:val="21"/>
              </w:rPr>
            </w:pPr>
            <w:r>
              <w:rPr>
                <w:rFonts w:hint="eastAsia" w:ascii="宋体" w:hAnsi="宋体" w:cs="宋体"/>
                <w:szCs w:val="21"/>
              </w:rPr>
              <w:t>地址</w:t>
            </w:r>
          </w:p>
        </w:tc>
        <w:tc>
          <w:tcPr>
            <w:tcW w:w="1968" w:type="dxa"/>
            <w:gridSpan w:val="2"/>
            <w:noWrap w:val="0"/>
            <w:vAlign w:val="center"/>
          </w:tcPr>
          <w:p w14:paraId="12523E6E">
            <w:pPr>
              <w:spacing w:line="360" w:lineRule="auto"/>
              <w:jc w:val="center"/>
              <w:rPr>
                <w:rFonts w:hint="eastAsia" w:ascii="宋体" w:hAnsi="宋体" w:cs="宋体"/>
                <w:szCs w:val="21"/>
              </w:rPr>
            </w:pPr>
          </w:p>
        </w:tc>
        <w:tc>
          <w:tcPr>
            <w:tcW w:w="795" w:type="dxa"/>
            <w:noWrap w:val="0"/>
            <w:vAlign w:val="center"/>
          </w:tcPr>
          <w:p w14:paraId="0E0366E0">
            <w:pPr>
              <w:spacing w:line="360" w:lineRule="auto"/>
              <w:jc w:val="center"/>
              <w:rPr>
                <w:rFonts w:hint="eastAsia" w:ascii="宋体" w:hAnsi="宋体" w:cs="宋体"/>
                <w:szCs w:val="21"/>
              </w:rPr>
            </w:pPr>
            <w:r>
              <w:rPr>
                <w:rFonts w:hint="eastAsia" w:ascii="宋体" w:hAnsi="宋体" w:cs="宋体"/>
                <w:szCs w:val="21"/>
              </w:rPr>
              <w:t>传真</w:t>
            </w:r>
          </w:p>
        </w:tc>
        <w:tc>
          <w:tcPr>
            <w:tcW w:w="1082" w:type="dxa"/>
            <w:gridSpan w:val="2"/>
            <w:noWrap w:val="0"/>
            <w:vAlign w:val="center"/>
          </w:tcPr>
          <w:p w14:paraId="34E75221">
            <w:pPr>
              <w:spacing w:line="360" w:lineRule="auto"/>
              <w:jc w:val="center"/>
              <w:rPr>
                <w:rFonts w:hint="eastAsia" w:ascii="宋体" w:hAnsi="宋体" w:cs="宋体"/>
                <w:szCs w:val="21"/>
              </w:rPr>
            </w:pPr>
          </w:p>
        </w:tc>
        <w:tc>
          <w:tcPr>
            <w:tcW w:w="1435" w:type="dxa"/>
            <w:noWrap w:val="0"/>
            <w:vAlign w:val="center"/>
          </w:tcPr>
          <w:p w14:paraId="4ED0A091">
            <w:pPr>
              <w:spacing w:line="360" w:lineRule="auto"/>
              <w:jc w:val="center"/>
              <w:rPr>
                <w:rFonts w:hint="eastAsia" w:ascii="宋体" w:hAnsi="宋体" w:cs="宋体"/>
                <w:szCs w:val="21"/>
              </w:rPr>
            </w:pPr>
            <w:r>
              <w:rPr>
                <w:rFonts w:hint="eastAsia" w:ascii="宋体" w:hAnsi="宋体" w:cs="宋体"/>
                <w:szCs w:val="21"/>
              </w:rPr>
              <w:t>委托代理人</w:t>
            </w:r>
          </w:p>
        </w:tc>
        <w:tc>
          <w:tcPr>
            <w:tcW w:w="878" w:type="dxa"/>
            <w:noWrap w:val="0"/>
            <w:vAlign w:val="center"/>
          </w:tcPr>
          <w:p w14:paraId="6F2F2504">
            <w:pPr>
              <w:spacing w:line="360" w:lineRule="auto"/>
              <w:jc w:val="center"/>
              <w:rPr>
                <w:rFonts w:hint="eastAsia" w:ascii="宋体" w:hAnsi="宋体" w:cs="宋体"/>
                <w:szCs w:val="21"/>
              </w:rPr>
            </w:pPr>
          </w:p>
        </w:tc>
        <w:tc>
          <w:tcPr>
            <w:tcW w:w="692" w:type="dxa"/>
            <w:noWrap w:val="0"/>
            <w:vAlign w:val="center"/>
          </w:tcPr>
          <w:p w14:paraId="20C415EE">
            <w:pPr>
              <w:spacing w:line="360" w:lineRule="auto"/>
              <w:jc w:val="center"/>
              <w:rPr>
                <w:rFonts w:hint="eastAsia" w:ascii="宋体" w:hAnsi="宋体" w:cs="宋体"/>
                <w:szCs w:val="21"/>
              </w:rPr>
            </w:pPr>
            <w:r>
              <w:rPr>
                <w:rFonts w:hint="eastAsia" w:ascii="宋体" w:hAnsi="宋体" w:cs="宋体"/>
                <w:szCs w:val="21"/>
              </w:rPr>
              <w:t>职务</w:t>
            </w:r>
          </w:p>
        </w:tc>
        <w:tc>
          <w:tcPr>
            <w:tcW w:w="837" w:type="dxa"/>
            <w:noWrap w:val="0"/>
            <w:vAlign w:val="center"/>
          </w:tcPr>
          <w:p w14:paraId="0BB2127C">
            <w:pPr>
              <w:spacing w:line="360" w:lineRule="auto"/>
              <w:rPr>
                <w:rFonts w:hint="eastAsia" w:ascii="宋体" w:hAnsi="宋体" w:cs="宋体"/>
                <w:szCs w:val="21"/>
              </w:rPr>
            </w:pPr>
          </w:p>
        </w:tc>
      </w:tr>
      <w:tr w14:paraId="5BCF385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58" w:type="dxa"/>
            <w:noWrap w:val="0"/>
            <w:vAlign w:val="center"/>
          </w:tcPr>
          <w:p w14:paraId="0A817C95">
            <w:pPr>
              <w:spacing w:line="360" w:lineRule="auto"/>
              <w:rPr>
                <w:rFonts w:hint="eastAsia" w:ascii="宋体" w:hAnsi="宋体" w:cs="宋体"/>
                <w:szCs w:val="21"/>
              </w:rPr>
            </w:pPr>
            <w:r>
              <w:rPr>
                <w:rFonts w:hint="eastAsia" w:ascii="宋体" w:hAnsi="宋体" w:cs="宋体"/>
                <w:szCs w:val="21"/>
              </w:rPr>
              <w:t>一、单位简历及隶属关系</w:t>
            </w:r>
          </w:p>
        </w:tc>
        <w:tc>
          <w:tcPr>
            <w:tcW w:w="2763" w:type="dxa"/>
            <w:gridSpan w:val="3"/>
            <w:noWrap w:val="0"/>
            <w:vAlign w:val="center"/>
          </w:tcPr>
          <w:p w14:paraId="3F517FA5">
            <w:pPr>
              <w:spacing w:line="360" w:lineRule="auto"/>
              <w:rPr>
                <w:rFonts w:hint="eastAsia" w:ascii="宋体" w:hAnsi="宋体" w:cs="宋体"/>
                <w:szCs w:val="21"/>
              </w:rPr>
            </w:pPr>
          </w:p>
        </w:tc>
        <w:tc>
          <w:tcPr>
            <w:tcW w:w="1082" w:type="dxa"/>
            <w:gridSpan w:val="2"/>
            <w:noWrap w:val="0"/>
            <w:vAlign w:val="center"/>
          </w:tcPr>
          <w:p w14:paraId="700A0ADE">
            <w:pPr>
              <w:spacing w:line="360" w:lineRule="auto"/>
              <w:rPr>
                <w:rFonts w:hint="eastAsia" w:ascii="宋体" w:hAnsi="宋体" w:cs="宋体"/>
                <w:szCs w:val="21"/>
              </w:rPr>
            </w:pPr>
            <w:r>
              <w:rPr>
                <w:rFonts w:hint="eastAsia" w:ascii="宋体" w:hAnsi="宋体" w:cs="宋体"/>
                <w:szCs w:val="21"/>
              </w:rPr>
              <w:t>单位优势及特长</w:t>
            </w:r>
          </w:p>
        </w:tc>
        <w:tc>
          <w:tcPr>
            <w:tcW w:w="3842" w:type="dxa"/>
            <w:gridSpan w:val="4"/>
            <w:noWrap w:val="0"/>
            <w:vAlign w:val="center"/>
          </w:tcPr>
          <w:p w14:paraId="12CC4DAF">
            <w:pPr>
              <w:spacing w:line="360" w:lineRule="auto"/>
              <w:rPr>
                <w:rFonts w:hint="eastAsia" w:ascii="宋体" w:hAnsi="宋体" w:cs="宋体"/>
                <w:szCs w:val="21"/>
              </w:rPr>
            </w:pPr>
          </w:p>
        </w:tc>
      </w:tr>
      <w:tr w14:paraId="6ADA03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58" w:type="dxa"/>
            <w:vMerge w:val="restart"/>
            <w:noWrap w:val="0"/>
            <w:vAlign w:val="center"/>
          </w:tcPr>
          <w:p w14:paraId="3554C0EA">
            <w:pPr>
              <w:spacing w:line="360" w:lineRule="auto"/>
              <w:rPr>
                <w:rFonts w:hint="eastAsia" w:ascii="宋体" w:hAnsi="宋体" w:cs="宋体"/>
                <w:szCs w:val="21"/>
              </w:rPr>
            </w:pPr>
            <w:r>
              <w:rPr>
                <w:rFonts w:hint="eastAsia" w:ascii="宋体" w:hAnsi="宋体" w:cs="宋体"/>
                <w:szCs w:val="21"/>
              </w:rPr>
              <w:t>二、单位概况</w:t>
            </w:r>
          </w:p>
        </w:tc>
        <w:tc>
          <w:tcPr>
            <w:tcW w:w="1730" w:type="dxa"/>
            <w:noWrap w:val="0"/>
            <w:vAlign w:val="center"/>
          </w:tcPr>
          <w:p w14:paraId="4D6B2A41">
            <w:pPr>
              <w:spacing w:line="360" w:lineRule="auto"/>
              <w:jc w:val="center"/>
              <w:rPr>
                <w:rFonts w:hint="eastAsia" w:ascii="宋体" w:hAnsi="宋体" w:cs="宋体"/>
                <w:szCs w:val="21"/>
              </w:rPr>
            </w:pPr>
            <w:r>
              <w:rPr>
                <w:rFonts w:hint="eastAsia" w:ascii="宋体" w:hAnsi="宋体" w:cs="宋体"/>
                <w:szCs w:val="21"/>
              </w:rPr>
              <w:t>职工总数</w:t>
            </w:r>
          </w:p>
        </w:tc>
        <w:tc>
          <w:tcPr>
            <w:tcW w:w="1351" w:type="dxa"/>
            <w:gridSpan w:val="3"/>
            <w:noWrap w:val="0"/>
            <w:vAlign w:val="center"/>
          </w:tcPr>
          <w:p w14:paraId="7BC907B5">
            <w:pPr>
              <w:spacing w:line="360" w:lineRule="auto"/>
              <w:jc w:val="center"/>
              <w:rPr>
                <w:rFonts w:hint="eastAsia" w:ascii="宋体" w:hAnsi="宋体" w:cs="宋体"/>
                <w:szCs w:val="21"/>
              </w:rPr>
            </w:pPr>
            <w:r>
              <w:rPr>
                <w:rFonts w:hint="eastAsia" w:ascii="宋体" w:hAnsi="宋体" w:cs="宋体"/>
                <w:szCs w:val="21"/>
              </w:rPr>
              <w:t>人</w:t>
            </w:r>
          </w:p>
        </w:tc>
        <w:tc>
          <w:tcPr>
            <w:tcW w:w="4606" w:type="dxa"/>
            <w:gridSpan w:val="5"/>
            <w:noWrap w:val="0"/>
            <w:vAlign w:val="center"/>
          </w:tcPr>
          <w:p w14:paraId="299AD54A">
            <w:pPr>
              <w:spacing w:line="360" w:lineRule="auto"/>
              <w:rPr>
                <w:rFonts w:hint="eastAsia" w:ascii="宋体" w:hAnsi="宋体" w:cs="宋体"/>
                <w:szCs w:val="21"/>
              </w:rPr>
            </w:pPr>
          </w:p>
        </w:tc>
      </w:tr>
      <w:tr w14:paraId="471BF6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58" w:type="dxa"/>
            <w:vMerge w:val="continue"/>
            <w:noWrap w:val="0"/>
            <w:vAlign w:val="center"/>
          </w:tcPr>
          <w:p w14:paraId="4DC7A21D">
            <w:pPr>
              <w:spacing w:line="360" w:lineRule="auto"/>
              <w:rPr>
                <w:rFonts w:hint="eastAsia" w:ascii="宋体" w:hAnsi="宋体" w:cs="宋体"/>
                <w:szCs w:val="21"/>
              </w:rPr>
            </w:pPr>
          </w:p>
        </w:tc>
        <w:tc>
          <w:tcPr>
            <w:tcW w:w="1730" w:type="dxa"/>
            <w:noWrap w:val="0"/>
            <w:vAlign w:val="center"/>
          </w:tcPr>
          <w:p w14:paraId="0747453D">
            <w:pPr>
              <w:spacing w:line="360" w:lineRule="auto"/>
              <w:jc w:val="center"/>
              <w:rPr>
                <w:rFonts w:hint="eastAsia" w:ascii="宋体" w:hAnsi="宋体" w:cs="宋体"/>
                <w:szCs w:val="21"/>
              </w:rPr>
            </w:pPr>
            <w:r>
              <w:rPr>
                <w:rFonts w:hint="eastAsia" w:ascii="宋体" w:hAnsi="宋体" w:cs="宋体"/>
                <w:szCs w:val="21"/>
              </w:rPr>
              <w:t>注册资金</w:t>
            </w:r>
          </w:p>
        </w:tc>
        <w:tc>
          <w:tcPr>
            <w:tcW w:w="1351" w:type="dxa"/>
            <w:gridSpan w:val="3"/>
            <w:noWrap w:val="0"/>
            <w:vAlign w:val="center"/>
          </w:tcPr>
          <w:p w14:paraId="0EF624B3">
            <w:pPr>
              <w:spacing w:line="360" w:lineRule="auto"/>
              <w:jc w:val="center"/>
              <w:rPr>
                <w:rFonts w:hint="eastAsia" w:ascii="宋体" w:hAnsi="宋体" w:cs="宋体"/>
                <w:szCs w:val="21"/>
              </w:rPr>
            </w:pPr>
            <w:r>
              <w:rPr>
                <w:rFonts w:hint="eastAsia" w:ascii="宋体" w:hAnsi="宋体" w:cs="宋体"/>
                <w:szCs w:val="21"/>
              </w:rPr>
              <w:t>万元</w:t>
            </w:r>
          </w:p>
        </w:tc>
        <w:tc>
          <w:tcPr>
            <w:tcW w:w="4606" w:type="dxa"/>
            <w:gridSpan w:val="5"/>
            <w:noWrap w:val="0"/>
            <w:vAlign w:val="center"/>
          </w:tcPr>
          <w:p w14:paraId="58DE1908">
            <w:pPr>
              <w:spacing w:line="360" w:lineRule="auto"/>
              <w:rPr>
                <w:rFonts w:hint="eastAsia" w:ascii="宋体" w:hAnsi="宋体" w:cs="宋体"/>
                <w:szCs w:val="21"/>
              </w:rPr>
            </w:pPr>
          </w:p>
        </w:tc>
      </w:tr>
      <w:tr w14:paraId="43724C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58" w:type="dxa"/>
            <w:vMerge w:val="continue"/>
            <w:noWrap w:val="0"/>
            <w:vAlign w:val="center"/>
          </w:tcPr>
          <w:p w14:paraId="7D7631B8">
            <w:pPr>
              <w:spacing w:line="360" w:lineRule="auto"/>
              <w:rPr>
                <w:rFonts w:hint="eastAsia" w:ascii="宋体" w:hAnsi="宋体" w:cs="宋体"/>
                <w:szCs w:val="21"/>
              </w:rPr>
            </w:pPr>
          </w:p>
        </w:tc>
        <w:tc>
          <w:tcPr>
            <w:tcW w:w="1730" w:type="dxa"/>
            <w:noWrap w:val="0"/>
            <w:vAlign w:val="center"/>
          </w:tcPr>
          <w:p w14:paraId="585521C7">
            <w:pPr>
              <w:spacing w:line="360" w:lineRule="auto"/>
              <w:jc w:val="center"/>
              <w:rPr>
                <w:rFonts w:hint="eastAsia" w:ascii="宋体" w:hAnsi="宋体" w:cs="宋体"/>
                <w:szCs w:val="21"/>
              </w:rPr>
            </w:pPr>
            <w:r>
              <w:rPr>
                <w:rFonts w:hint="eastAsia" w:ascii="宋体" w:hAnsi="宋体" w:cs="宋体"/>
                <w:szCs w:val="21"/>
              </w:rPr>
              <w:t>总资产</w:t>
            </w:r>
          </w:p>
        </w:tc>
        <w:tc>
          <w:tcPr>
            <w:tcW w:w="1351" w:type="dxa"/>
            <w:gridSpan w:val="3"/>
            <w:noWrap w:val="0"/>
            <w:vAlign w:val="center"/>
          </w:tcPr>
          <w:p w14:paraId="4CE93F7A">
            <w:pPr>
              <w:spacing w:line="360" w:lineRule="auto"/>
              <w:jc w:val="center"/>
              <w:rPr>
                <w:rFonts w:hint="eastAsia" w:ascii="宋体" w:hAnsi="宋体" w:cs="宋体"/>
                <w:szCs w:val="21"/>
              </w:rPr>
            </w:pPr>
            <w:r>
              <w:rPr>
                <w:rFonts w:hint="eastAsia" w:ascii="宋体" w:hAnsi="宋体" w:cs="宋体"/>
                <w:szCs w:val="21"/>
              </w:rPr>
              <w:t>万元</w:t>
            </w:r>
          </w:p>
        </w:tc>
        <w:tc>
          <w:tcPr>
            <w:tcW w:w="4606" w:type="dxa"/>
            <w:gridSpan w:val="5"/>
            <w:noWrap w:val="0"/>
            <w:vAlign w:val="center"/>
          </w:tcPr>
          <w:p w14:paraId="1415D909">
            <w:pPr>
              <w:spacing w:line="360" w:lineRule="auto"/>
              <w:rPr>
                <w:rFonts w:hint="eastAsia" w:ascii="宋体" w:hAnsi="宋体" w:cs="宋体"/>
                <w:szCs w:val="21"/>
              </w:rPr>
            </w:pPr>
          </w:p>
        </w:tc>
      </w:tr>
      <w:tr w14:paraId="38B714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27" w:hRule="atLeast"/>
          <w:jc w:val="center"/>
        </w:trPr>
        <w:tc>
          <w:tcPr>
            <w:tcW w:w="1458" w:type="dxa"/>
            <w:vMerge w:val="continue"/>
            <w:noWrap w:val="0"/>
            <w:vAlign w:val="center"/>
          </w:tcPr>
          <w:p w14:paraId="63F2DD03">
            <w:pPr>
              <w:spacing w:line="360" w:lineRule="auto"/>
              <w:rPr>
                <w:rFonts w:hint="eastAsia" w:ascii="宋体" w:hAnsi="宋体" w:cs="宋体"/>
                <w:szCs w:val="21"/>
              </w:rPr>
            </w:pPr>
          </w:p>
        </w:tc>
        <w:tc>
          <w:tcPr>
            <w:tcW w:w="1730" w:type="dxa"/>
            <w:noWrap w:val="0"/>
            <w:vAlign w:val="center"/>
          </w:tcPr>
          <w:p w14:paraId="1507A5D7">
            <w:pPr>
              <w:spacing w:line="360" w:lineRule="auto"/>
              <w:jc w:val="center"/>
              <w:rPr>
                <w:rFonts w:hint="eastAsia" w:ascii="宋体" w:hAnsi="宋体" w:cs="宋体"/>
                <w:szCs w:val="21"/>
              </w:rPr>
            </w:pPr>
            <w:r>
              <w:rPr>
                <w:rFonts w:hint="eastAsia" w:ascii="宋体" w:hAnsi="宋体" w:cs="宋体"/>
                <w:szCs w:val="21"/>
              </w:rPr>
              <w:t>固定资产</w:t>
            </w:r>
          </w:p>
        </w:tc>
        <w:tc>
          <w:tcPr>
            <w:tcW w:w="1351" w:type="dxa"/>
            <w:gridSpan w:val="3"/>
            <w:noWrap w:val="0"/>
            <w:vAlign w:val="center"/>
          </w:tcPr>
          <w:p w14:paraId="5768A6ED">
            <w:pPr>
              <w:spacing w:line="360" w:lineRule="auto"/>
              <w:jc w:val="center"/>
              <w:rPr>
                <w:rFonts w:hint="eastAsia" w:ascii="宋体" w:hAnsi="宋体" w:cs="宋体"/>
                <w:szCs w:val="21"/>
              </w:rPr>
            </w:pPr>
            <w:r>
              <w:rPr>
                <w:rFonts w:hint="eastAsia" w:ascii="宋体" w:hAnsi="宋体" w:cs="宋体"/>
                <w:szCs w:val="21"/>
              </w:rPr>
              <w:t>万元</w:t>
            </w:r>
          </w:p>
        </w:tc>
        <w:tc>
          <w:tcPr>
            <w:tcW w:w="4606" w:type="dxa"/>
            <w:gridSpan w:val="5"/>
            <w:noWrap w:val="0"/>
            <w:vAlign w:val="center"/>
          </w:tcPr>
          <w:p w14:paraId="490B7CF0">
            <w:pPr>
              <w:spacing w:line="360" w:lineRule="auto"/>
              <w:rPr>
                <w:rFonts w:hint="eastAsia" w:ascii="宋体" w:hAnsi="宋体" w:cs="宋体"/>
                <w:szCs w:val="21"/>
              </w:rPr>
            </w:pPr>
          </w:p>
        </w:tc>
      </w:tr>
      <w:tr w14:paraId="75B12C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458" w:type="dxa"/>
            <w:vMerge w:val="continue"/>
            <w:noWrap w:val="0"/>
            <w:vAlign w:val="center"/>
          </w:tcPr>
          <w:p w14:paraId="52F2307B">
            <w:pPr>
              <w:spacing w:line="360" w:lineRule="auto"/>
              <w:rPr>
                <w:rFonts w:hint="eastAsia" w:ascii="宋体" w:hAnsi="宋体" w:cs="宋体"/>
                <w:szCs w:val="21"/>
              </w:rPr>
            </w:pPr>
          </w:p>
        </w:tc>
        <w:tc>
          <w:tcPr>
            <w:tcW w:w="1730" w:type="dxa"/>
            <w:noWrap w:val="0"/>
            <w:vAlign w:val="center"/>
          </w:tcPr>
          <w:p w14:paraId="6209A4EC">
            <w:pPr>
              <w:spacing w:line="360" w:lineRule="auto"/>
              <w:jc w:val="center"/>
              <w:rPr>
                <w:rFonts w:hint="eastAsia" w:ascii="宋体" w:hAnsi="宋体" w:cs="宋体"/>
                <w:szCs w:val="21"/>
              </w:rPr>
            </w:pPr>
            <w:r>
              <w:rPr>
                <w:rFonts w:hint="eastAsia" w:ascii="宋体" w:hAnsi="宋体" w:cs="宋体"/>
                <w:szCs w:val="21"/>
              </w:rPr>
              <w:t>占地面积</w:t>
            </w:r>
          </w:p>
        </w:tc>
        <w:tc>
          <w:tcPr>
            <w:tcW w:w="1351" w:type="dxa"/>
            <w:gridSpan w:val="3"/>
            <w:noWrap w:val="0"/>
            <w:vAlign w:val="center"/>
          </w:tcPr>
          <w:p w14:paraId="441FF79A">
            <w:pPr>
              <w:spacing w:line="360" w:lineRule="auto"/>
              <w:jc w:val="center"/>
              <w:rPr>
                <w:rFonts w:hint="eastAsia" w:ascii="宋体" w:hAnsi="宋体" w:cs="宋体"/>
                <w:szCs w:val="21"/>
              </w:rPr>
            </w:pPr>
            <w:r>
              <w:rPr>
                <w:rFonts w:hint="eastAsia" w:ascii="宋体" w:hAnsi="宋体" w:cs="宋体"/>
                <w:szCs w:val="21"/>
              </w:rPr>
              <w:t>平方米</w:t>
            </w:r>
          </w:p>
        </w:tc>
        <w:tc>
          <w:tcPr>
            <w:tcW w:w="4606" w:type="dxa"/>
            <w:gridSpan w:val="5"/>
            <w:noWrap w:val="0"/>
            <w:vAlign w:val="center"/>
          </w:tcPr>
          <w:p w14:paraId="74FC4D97">
            <w:pPr>
              <w:spacing w:line="360" w:lineRule="auto"/>
              <w:rPr>
                <w:rFonts w:hint="eastAsia" w:ascii="宋体" w:hAnsi="宋体" w:cs="宋体"/>
                <w:szCs w:val="21"/>
              </w:rPr>
            </w:pPr>
          </w:p>
        </w:tc>
      </w:tr>
      <w:tr w14:paraId="373A2A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458" w:type="dxa"/>
            <w:vMerge w:val="restart"/>
            <w:noWrap w:val="0"/>
            <w:vAlign w:val="center"/>
          </w:tcPr>
          <w:p w14:paraId="7D7A7B23">
            <w:pPr>
              <w:spacing w:line="360" w:lineRule="auto"/>
              <w:rPr>
                <w:rFonts w:hint="eastAsia" w:ascii="宋体" w:hAnsi="宋体" w:cs="宋体"/>
                <w:szCs w:val="21"/>
              </w:rPr>
            </w:pPr>
            <w:r>
              <w:rPr>
                <w:rFonts w:hint="eastAsia" w:ascii="宋体" w:hAnsi="宋体" w:cs="宋体"/>
                <w:szCs w:val="21"/>
              </w:rPr>
              <w:t>三、</w:t>
            </w:r>
            <w:r>
              <w:rPr>
                <w:rFonts w:hint="eastAsia" w:ascii="宋体" w:hAnsi="宋体" w:cs="宋体"/>
                <w:bCs/>
                <w:szCs w:val="21"/>
              </w:rPr>
              <w:t>近年财务指标</w:t>
            </w:r>
          </w:p>
        </w:tc>
        <w:tc>
          <w:tcPr>
            <w:tcW w:w="1730" w:type="dxa"/>
            <w:noWrap w:val="0"/>
            <w:vAlign w:val="center"/>
          </w:tcPr>
          <w:p w14:paraId="0D70AB51">
            <w:pPr>
              <w:spacing w:line="360" w:lineRule="auto"/>
              <w:jc w:val="center"/>
              <w:rPr>
                <w:rFonts w:hint="eastAsia" w:ascii="宋体" w:hAnsi="宋体" w:cs="宋体"/>
                <w:bCs/>
                <w:szCs w:val="21"/>
              </w:rPr>
            </w:pPr>
            <w:r>
              <w:rPr>
                <w:rFonts w:hint="eastAsia" w:ascii="宋体" w:hAnsi="宋体" w:cs="宋体"/>
                <w:bCs/>
                <w:szCs w:val="21"/>
              </w:rPr>
              <w:t>年份</w:t>
            </w:r>
          </w:p>
          <w:p w14:paraId="7E5404DB">
            <w:pPr>
              <w:spacing w:line="360" w:lineRule="auto"/>
              <w:jc w:val="center"/>
              <w:rPr>
                <w:rFonts w:hint="eastAsia" w:ascii="宋体" w:hAnsi="宋体" w:cs="宋体"/>
                <w:szCs w:val="21"/>
              </w:rPr>
            </w:pPr>
            <w:r>
              <w:rPr>
                <w:rFonts w:hint="eastAsia" w:ascii="宋体" w:hAnsi="宋体" w:cs="宋体"/>
                <w:bCs/>
                <w:szCs w:val="21"/>
              </w:rPr>
              <w:t>指标</w:t>
            </w:r>
          </w:p>
        </w:tc>
        <w:tc>
          <w:tcPr>
            <w:tcW w:w="5957" w:type="dxa"/>
            <w:gridSpan w:val="8"/>
            <w:noWrap w:val="0"/>
            <w:vAlign w:val="center"/>
          </w:tcPr>
          <w:p w14:paraId="2DCAB0EA">
            <w:pPr>
              <w:spacing w:line="360" w:lineRule="auto"/>
              <w:jc w:val="center"/>
              <w:rPr>
                <w:rFonts w:hint="eastAsia" w:ascii="宋体" w:hAnsi="宋体" w:cs="宋体"/>
                <w:bCs/>
                <w:szCs w:val="21"/>
              </w:rPr>
            </w:pPr>
            <w:r>
              <w:rPr>
                <w:rFonts w:hint="eastAsia" w:ascii="宋体" w:hAnsi="宋体" w:cs="宋体"/>
                <w:bCs/>
                <w:szCs w:val="21"/>
              </w:rPr>
              <w:t>202</w:t>
            </w:r>
            <w:r>
              <w:rPr>
                <w:rFonts w:hint="eastAsia" w:ascii="宋体" w:hAnsi="宋体" w:cs="宋体"/>
                <w:bCs/>
                <w:szCs w:val="21"/>
                <w:lang w:val="en-US" w:eastAsia="zh-CN"/>
              </w:rPr>
              <w:t>4</w:t>
            </w:r>
            <w:r>
              <w:rPr>
                <w:rFonts w:hint="eastAsia" w:ascii="宋体" w:hAnsi="宋体" w:cs="宋体"/>
                <w:bCs/>
                <w:szCs w:val="21"/>
              </w:rPr>
              <w:t>年</w:t>
            </w:r>
          </w:p>
        </w:tc>
      </w:tr>
      <w:tr w14:paraId="1D92A3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63" w:hRule="atLeast"/>
          <w:jc w:val="center"/>
        </w:trPr>
        <w:tc>
          <w:tcPr>
            <w:tcW w:w="1458" w:type="dxa"/>
            <w:vMerge w:val="continue"/>
            <w:noWrap w:val="0"/>
            <w:vAlign w:val="center"/>
          </w:tcPr>
          <w:p w14:paraId="525F64A9">
            <w:pPr>
              <w:spacing w:line="360" w:lineRule="auto"/>
              <w:rPr>
                <w:rFonts w:hint="eastAsia" w:ascii="宋体" w:hAnsi="宋体" w:cs="宋体"/>
                <w:szCs w:val="21"/>
              </w:rPr>
            </w:pPr>
          </w:p>
        </w:tc>
        <w:tc>
          <w:tcPr>
            <w:tcW w:w="1730" w:type="dxa"/>
            <w:noWrap w:val="0"/>
            <w:vAlign w:val="center"/>
          </w:tcPr>
          <w:p w14:paraId="0547283A">
            <w:pPr>
              <w:spacing w:line="360" w:lineRule="auto"/>
              <w:jc w:val="center"/>
              <w:rPr>
                <w:rFonts w:hint="eastAsia" w:ascii="宋体" w:hAnsi="宋体" w:cs="宋体"/>
                <w:bCs/>
                <w:szCs w:val="21"/>
              </w:rPr>
            </w:pPr>
            <w:r>
              <w:rPr>
                <w:rFonts w:hint="eastAsia" w:ascii="宋体" w:hAnsi="宋体" w:cs="宋体"/>
                <w:bCs/>
                <w:szCs w:val="21"/>
              </w:rPr>
              <w:t>营业收入(</w:t>
            </w:r>
            <w:r>
              <w:rPr>
                <w:rFonts w:hint="eastAsia" w:ascii="宋体" w:hAnsi="宋体" w:cs="宋体"/>
                <w:szCs w:val="21"/>
              </w:rPr>
              <w:t>万元)</w:t>
            </w:r>
          </w:p>
        </w:tc>
        <w:tc>
          <w:tcPr>
            <w:tcW w:w="5957" w:type="dxa"/>
            <w:gridSpan w:val="8"/>
            <w:noWrap w:val="0"/>
            <w:vAlign w:val="center"/>
          </w:tcPr>
          <w:p w14:paraId="454D61CE">
            <w:pPr>
              <w:spacing w:line="360" w:lineRule="auto"/>
              <w:jc w:val="center"/>
              <w:rPr>
                <w:rFonts w:hint="eastAsia" w:ascii="宋体" w:hAnsi="宋体" w:cs="宋体"/>
                <w:szCs w:val="21"/>
              </w:rPr>
            </w:pPr>
          </w:p>
        </w:tc>
      </w:tr>
      <w:tr w14:paraId="111FAE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59" w:hRule="atLeast"/>
          <w:jc w:val="center"/>
        </w:trPr>
        <w:tc>
          <w:tcPr>
            <w:tcW w:w="1458" w:type="dxa"/>
            <w:vMerge w:val="continue"/>
            <w:noWrap w:val="0"/>
            <w:vAlign w:val="center"/>
          </w:tcPr>
          <w:p w14:paraId="33DD4C1B">
            <w:pPr>
              <w:spacing w:line="360" w:lineRule="auto"/>
              <w:rPr>
                <w:rFonts w:hint="eastAsia" w:ascii="宋体" w:hAnsi="宋体" w:cs="宋体"/>
                <w:szCs w:val="21"/>
              </w:rPr>
            </w:pPr>
          </w:p>
        </w:tc>
        <w:tc>
          <w:tcPr>
            <w:tcW w:w="1730" w:type="dxa"/>
            <w:noWrap w:val="0"/>
            <w:vAlign w:val="center"/>
          </w:tcPr>
          <w:p w14:paraId="78B42F3F">
            <w:pPr>
              <w:spacing w:line="360" w:lineRule="auto"/>
              <w:jc w:val="center"/>
              <w:rPr>
                <w:rFonts w:hint="eastAsia" w:ascii="宋体" w:hAnsi="宋体" w:cs="宋体"/>
                <w:bCs/>
                <w:szCs w:val="21"/>
              </w:rPr>
            </w:pPr>
            <w:r>
              <w:rPr>
                <w:rFonts w:hint="eastAsia" w:ascii="宋体" w:hAnsi="宋体" w:cs="宋体"/>
                <w:szCs w:val="21"/>
              </w:rPr>
              <w:t>实现利润(万元)</w:t>
            </w:r>
          </w:p>
        </w:tc>
        <w:tc>
          <w:tcPr>
            <w:tcW w:w="5957" w:type="dxa"/>
            <w:gridSpan w:val="8"/>
            <w:noWrap w:val="0"/>
            <w:vAlign w:val="center"/>
          </w:tcPr>
          <w:p w14:paraId="7F724F5B">
            <w:pPr>
              <w:spacing w:line="360" w:lineRule="auto"/>
              <w:jc w:val="center"/>
              <w:rPr>
                <w:rFonts w:hint="eastAsia" w:ascii="宋体" w:hAnsi="宋体" w:cs="宋体"/>
                <w:szCs w:val="21"/>
              </w:rPr>
            </w:pPr>
          </w:p>
        </w:tc>
      </w:tr>
    </w:tbl>
    <w:p w14:paraId="7D8B52D3">
      <w:pPr>
        <w:spacing w:line="360" w:lineRule="auto"/>
        <w:rPr>
          <w:rFonts w:hint="eastAsia" w:ascii="宋体" w:hAnsi="宋体" w:cs="宋体"/>
        </w:rPr>
      </w:pPr>
      <w:r>
        <w:rPr>
          <w:rFonts w:hint="eastAsia" w:ascii="宋体" w:hAnsi="宋体" w:cs="宋体"/>
          <w:szCs w:val="21"/>
        </w:rPr>
        <w:t>注：1.后附营业执照副本、</w:t>
      </w:r>
      <w:r>
        <w:rPr>
          <w:rFonts w:hint="eastAsia" w:ascii="宋体" w:hAnsi="宋体" w:cs="宋体"/>
          <w:szCs w:val="21"/>
          <w:lang w:val="zh-CN"/>
        </w:rPr>
        <w:t>基本户的银行开户许可证</w:t>
      </w:r>
      <w:r>
        <w:rPr>
          <w:rFonts w:hint="eastAsia" w:ascii="宋体" w:hAnsi="宋体" w:cs="宋体"/>
        </w:rPr>
        <w:t>或基本存款账户信息等；</w:t>
      </w:r>
    </w:p>
    <w:p w14:paraId="697BD3CF">
      <w:pPr>
        <w:spacing w:line="360" w:lineRule="auto"/>
        <w:ind w:firstLine="420" w:firstLineChars="200"/>
        <w:rPr>
          <w:rFonts w:hint="eastAsia" w:ascii="宋体" w:hAnsi="宋体" w:cs="宋体"/>
          <w:szCs w:val="21"/>
        </w:rPr>
      </w:pPr>
      <w:r>
        <w:rPr>
          <w:rFonts w:hint="eastAsia" w:ascii="宋体" w:hAnsi="宋体" w:cs="宋体"/>
        </w:rPr>
        <w:t>2.</w:t>
      </w:r>
      <w:r>
        <w:rPr>
          <w:rFonts w:hint="eastAsia" w:ascii="宋体" w:hAnsi="宋体" w:cs="宋体"/>
          <w:szCs w:val="21"/>
        </w:rPr>
        <w:t>如填写不真实，</w:t>
      </w:r>
      <w:r>
        <w:rPr>
          <w:rFonts w:hint="eastAsia" w:ascii="宋体" w:hAnsi="宋体" w:cs="宋体"/>
          <w:szCs w:val="21"/>
          <w:lang w:val="en-US" w:eastAsia="zh-CN"/>
        </w:rPr>
        <w:t>响应文件</w:t>
      </w:r>
      <w:r>
        <w:rPr>
          <w:rFonts w:hint="eastAsia" w:ascii="宋体" w:hAnsi="宋体" w:cs="宋体"/>
          <w:szCs w:val="21"/>
        </w:rPr>
        <w:t>将被否决。</w:t>
      </w:r>
    </w:p>
    <w:p w14:paraId="0E1635F5">
      <w:pPr>
        <w:spacing w:line="440" w:lineRule="exact"/>
        <w:ind w:firstLine="500" w:firstLineChars="250"/>
        <w:jc w:val="center"/>
        <w:rPr>
          <w:rFonts w:hint="eastAsia" w:ascii="宋体" w:hAnsi="宋体" w:cs="宋体"/>
          <w:color w:val="auto"/>
          <w:sz w:val="20"/>
          <w:szCs w:val="20"/>
          <w:highlight w:val="none"/>
        </w:rPr>
      </w:pPr>
    </w:p>
    <w:p w14:paraId="7F680DA7">
      <w:pPr>
        <w:jc w:val="center"/>
        <w:rPr>
          <w:rFonts w:hint="eastAsia" w:ascii="宋体" w:hAnsi="宋体" w:cs="宋体"/>
          <w:color w:val="auto"/>
          <w:highlight w:val="none"/>
        </w:rPr>
      </w:pPr>
      <w:bookmarkStart w:id="338" w:name="_Toc152042598"/>
      <w:bookmarkStart w:id="339" w:name="_Toc247527849"/>
      <w:bookmarkStart w:id="340" w:name="_Toc152045809"/>
      <w:bookmarkStart w:id="341" w:name="_Toc144974877"/>
      <w:bookmarkStart w:id="342" w:name="_Toc247514301"/>
      <w:bookmarkStart w:id="343" w:name="_Toc265953295"/>
    </w:p>
    <w:p w14:paraId="6C24C54B">
      <w:pPr>
        <w:numPr>
          <w:ilvl w:val="0"/>
          <w:numId w:val="4"/>
        </w:numPr>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近年财务状况</w:t>
      </w:r>
      <w:bookmarkEnd w:id="338"/>
      <w:bookmarkEnd w:id="339"/>
      <w:bookmarkEnd w:id="340"/>
      <w:bookmarkEnd w:id="341"/>
      <w:bookmarkEnd w:id="342"/>
      <w:bookmarkEnd w:id="343"/>
    </w:p>
    <w:p w14:paraId="6D1DB56E">
      <w:pPr>
        <w:spacing w:line="360" w:lineRule="auto"/>
        <w:ind w:firstLine="420" w:firstLineChars="200"/>
        <w:rPr>
          <w:rFonts w:hint="eastAsia" w:ascii="宋体" w:hAnsi="宋体" w:cs="宋体"/>
          <w:b/>
          <w:color w:val="auto"/>
          <w:sz w:val="28"/>
          <w:szCs w:val="28"/>
          <w:highlight w:val="none"/>
        </w:rPr>
      </w:pPr>
      <w:bookmarkStart w:id="344" w:name="_Toc247514302"/>
      <w:bookmarkStart w:id="345" w:name="_Toc265953296"/>
      <w:bookmarkStart w:id="346" w:name="_Toc247527850"/>
      <w:bookmarkStart w:id="347" w:name="_Toc144974878"/>
      <w:bookmarkStart w:id="348" w:name="_Toc152042599"/>
      <w:bookmarkStart w:id="349" w:name="_Toc152045810"/>
      <w:r>
        <w:rPr>
          <w:rFonts w:hint="eastAsia" w:ascii="宋体" w:hAnsi="宋体" w:eastAsia="宋体" w:cs="宋体"/>
          <w:b w:val="0"/>
          <w:bCs w:val="0"/>
          <w:color w:val="auto"/>
          <w:sz w:val="21"/>
          <w:szCs w:val="21"/>
          <w:highlight w:val="none"/>
          <w:lang w:val="en-US" w:eastAsia="zh-CN"/>
        </w:rPr>
        <w:t>附提交响应文件截止时间前三个月（2026年4月-2026年6月）内基本开户银行出具的资信证明或</w:t>
      </w:r>
      <w:r>
        <w:rPr>
          <w:rFonts w:hint="eastAsia" w:ascii="宋体" w:hAnsi="宋体" w:cs="宋体"/>
          <w:b w:val="0"/>
          <w:bCs w:val="0"/>
          <w:color w:val="auto"/>
          <w:sz w:val="21"/>
          <w:szCs w:val="21"/>
          <w:highlight w:val="none"/>
          <w:lang w:val="en-US" w:eastAsia="zh-CN"/>
        </w:rPr>
        <w:t>经会计师事务所审计的2025年度财务审计报告或2025年度供应商内部的财务报表</w:t>
      </w:r>
      <w:r>
        <w:rPr>
          <w:rFonts w:hint="eastAsia" w:ascii="宋体" w:hAnsi="宋体" w:eastAsia="宋体" w:cs="宋体"/>
          <w:b w:val="0"/>
          <w:bCs w:val="0"/>
          <w:color w:val="auto"/>
          <w:sz w:val="21"/>
          <w:szCs w:val="21"/>
          <w:highlight w:val="none"/>
          <w:lang w:val="en-US" w:eastAsia="zh-CN"/>
        </w:rPr>
        <w:t>（至少应包含资产负债表、现金流量表、利润表）</w:t>
      </w:r>
      <w:r>
        <w:rPr>
          <w:rFonts w:hint="eastAsia" w:ascii="宋体" w:hAnsi="宋体" w:eastAsia="宋体" w:cs="宋体"/>
          <w:color w:val="auto"/>
          <w:sz w:val="21"/>
          <w:szCs w:val="21"/>
          <w:highlight w:val="none"/>
          <w:lang w:val="en-US" w:eastAsia="zh-CN"/>
        </w:rPr>
        <w:t>复印件。</w:t>
      </w:r>
      <w:r>
        <w:rPr>
          <w:rFonts w:hint="eastAsia" w:ascii="宋体" w:hAnsi="宋体" w:cs="宋体"/>
          <w:b/>
          <w:color w:val="auto"/>
          <w:sz w:val="28"/>
          <w:szCs w:val="28"/>
          <w:highlight w:val="none"/>
        </w:rPr>
        <w:br w:type="page"/>
      </w:r>
    </w:p>
    <w:bookmarkEnd w:id="309"/>
    <w:bookmarkEnd w:id="310"/>
    <w:bookmarkEnd w:id="311"/>
    <w:bookmarkEnd w:id="312"/>
    <w:bookmarkEnd w:id="344"/>
    <w:bookmarkEnd w:id="345"/>
    <w:bookmarkEnd w:id="346"/>
    <w:bookmarkEnd w:id="347"/>
    <w:bookmarkEnd w:id="348"/>
    <w:bookmarkEnd w:id="349"/>
    <w:p w14:paraId="77A11F2E">
      <w:pPr>
        <w:spacing w:line="360" w:lineRule="auto"/>
        <w:jc w:val="center"/>
        <w:rPr>
          <w:rFonts w:hint="eastAsia" w:ascii="宋体" w:hAnsi="宋体" w:eastAsia="宋体" w:cs="宋体"/>
          <w:b/>
          <w:bCs/>
          <w:sz w:val="28"/>
          <w:szCs w:val="28"/>
        </w:rPr>
      </w:pPr>
      <w:r>
        <w:rPr>
          <w:rFonts w:hint="eastAsia" w:ascii="宋体" w:hAnsi="宋体" w:eastAsia="宋体" w:cs="宋体"/>
          <w:b/>
          <w:bCs/>
          <w:sz w:val="28"/>
          <w:szCs w:val="28"/>
          <w:lang w:eastAsia="zh-CN"/>
        </w:rPr>
        <w:t>（</w:t>
      </w:r>
      <w:r>
        <w:rPr>
          <w:rFonts w:hint="eastAsia" w:ascii="宋体" w:hAnsi="宋体" w:eastAsia="宋体" w:cs="宋体"/>
          <w:b/>
          <w:bCs/>
          <w:sz w:val="28"/>
          <w:szCs w:val="28"/>
          <w:lang w:val="en-US" w:eastAsia="zh-CN"/>
        </w:rPr>
        <w:t>三</w:t>
      </w:r>
      <w:r>
        <w:rPr>
          <w:rFonts w:hint="eastAsia" w:ascii="宋体" w:hAnsi="宋体" w:eastAsia="宋体" w:cs="宋体"/>
          <w:b/>
          <w:bCs/>
          <w:sz w:val="28"/>
          <w:szCs w:val="28"/>
          <w:lang w:eastAsia="zh-CN"/>
        </w:rPr>
        <w:t>）</w:t>
      </w:r>
      <w:r>
        <w:rPr>
          <w:rFonts w:hint="eastAsia" w:ascii="宋体" w:hAnsi="宋体" w:eastAsia="宋体" w:cs="宋体"/>
          <w:b/>
          <w:bCs/>
          <w:sz w:val="28"/>
          <w:szCs w:val="28"/>
        </w:rPr>
        <w:t>证明依法纳税证明及依法缴纳社会保险证明</w:t>
      </w:r>
    </w:p>
    <w:p w14:paraId="13D85673">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附近一年</w:t>
      </w:r>
      <w:r>
        <w:rPr>
          <w:rFonts w:hint="eastAsia" w:ascii="宋体" w:hAnsi="宋体" w:eastAsia="宋体" w:cs="宋体"/>
          <w:color w:val="auto"/>
          <w:sz w:val="21"/>
          <w:szCs w:val="21"/>
          <w:highlight w:val="none"/>
          <w:lang w:val="en-US" w:eastAsia="zh-CN"/>
        </w:rPr>
        <w:t>内任意一个月</w:t>
      </w:r>
      <w:r>
        <w:rPr>
          <w:rFonts w:hint="eastAsia" w:ascii="宋体" w:hAnsi="宋体" w:eastAsia="宋体" w:cs="宋体"/>
          <w:color w:val="auto"/>
          <w:sz w:val="21"/>
          <w:szCs w:val="21"/>
          <w:highlight w:val="none"/>
        </w:rPr>
        <w:t>缴税凭证或完税凭证（依法免税的，应提供相应文件证明其依法免税）</w:t>
      </w:r>
      <w:r>
        <w:rPr>
          <w:rFonts w:hint="eastAsia" w:ascii="宋体" w:hAnsi="宋体" w:eastAsia="宋体" w:cs="宋体"/>
          <w:color w:val="auto"/>
          <w:sz w:val="21"/>
          <w:szCs w:val="21"/>
          <w:highlight w:val="none"/>
          <w:lang w:val="en-US" w:eastAsia="zh-CN"/>
        </w:rPr>
        <w:t>复印件。</w:t>
      </w:r>
    </w:p>
    <w:p w14:paraId="6BF4AA8E">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附近一年</w:t>
      </w:r>
      <w:r>
        <w:rPr>
          <w:rFonts w:hint="eastAsia" w:ascii="宋体" w:hAnsi="宋体" w:eastAsia="宋体" w:cs="宋体"/>
          <w:color w:val="auto"/>
          <w:sz w:val="21"/>
          <w:szCs w:val="21"/>
          <w:highlight w:val="none"/>
          <w:lang w:val="en-US" w:eastAsia="zh-CN"/>
        </w:rPr>
        <w:t>内</w:t>
      </w:r>
      <w:r>
        <w:rPr>
          <w:rFonts w:hint="eastAsia" w:ascii="宋体" w:hAnsi="宋体" w:eastAsia="宋体" w:cs="宋体"/>
          <w:color w:val="auto"/>
          <w:sz w:val="21"/>
          <w:szCs w:val="21"/>
          <w:highlight w:val="none"/>
        </w:rPr>
        <w:t>任意一个月用人单位社会保险凭证或参保证明（依法不需要缴纳社会保险的，应提供相应文件证明其依法不需要缴纳社会保险）</w:t>
      </w:r>
      <w:r>
        <w:rPr>
          <w:rFonts w:hint="eastAsia" w:ascii="宋体" w:hAnsi="宋体" w:eastAsia="宋体" w:cs="宋体"/>
          <w:color w:val="auto"/>
          <w:sz w:val="21"/>
          <w:szCs w:val="21"/>
          <w:highlight w:val="none"/>
          <w:lang w:val="en-US" w:eastAsia="zh-CN"/>
        </w:rPr>
        <w:t>复印件。</w:t>
      </w:r>
    </w:p>
    <w:p w14:paraId="5C8269BF">
      <w:pPr>
        <w:pStyle w:val="4"/>
        <w:spacing w:before="0" w:after="0" w:line="300" w:lineRule="auto"/>
        <w:jc w:val="center"/>
        <w:rPr>
          <w:rFonts w:hint="eastAsia" w:ascii="宋体" w:hAnsi="宋体" w:cs="宋体"/>
          <w:b w:val="0"/>
          <w:bCs w:val="0"/>
          <w:sz w:val="21"/>
          <w:szCs w:val="21"/>
        </w:rPr>
      </w:pPr>
    </w:p>
    <w:p w14:paraId="0479224B">
      <w:pPr>
        <w:pStyle w:val="4"/>
        <w:spacing w:before="0" w:after="0" w:line="300" w:lineRule="auto"/>
        <w:jc w:val="center"/>
        <w:rPr>
          <w:rFonts w:hint="eastAsia" w:ascii="宋体" w:hAnsi="宋体" w:cs="宋体"/>
        </w:rPr>
      </w:pPr>
      <w:r>
        <w:rPr>
          <w:rFonts w:hint="eastAsia" w:ascii="宋体" w:hAnsi="宋体" w:cs="宋体"/>
          <w:b w:val="0"/>
          <w:bCs w:val="0"/>
          <w:sz w:val="21"/>
          <w:szCs w:val="21"/>
        </w:rPr>
        <w:br w:type="page"/>
      </w:r>
      <w:bookmarkStart w:id="350" w:name="_Toc8154"/>
      <w:r>
        <w:rPr>
          <w:rFonts w:hint="eastAsia" w:ascii="宋体" w:hAnsi="宋体" w:cs="宋体"/>
          <w:sz w:val="28"/>
          <w:szCs w:val="28"/>
        </w:rPr>
        <w:t>（四）信誉要求</w:t>
      </w:r>
      <w:bookmarkEnd w:id="350"/>
    </w:p>
    <w:p w14:paraId="376E3F8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①供应商不得为“信用中国”网站（www.creditchina.gov.cn）中列入失信被执行人和重大税收违法案件当事人名单的供应商，不得为中国政府采购网（www.ccgp.gov.cn）政府采购严重违法失信行为记录名单中被财政部门禁止参加政府采购活动的供应商；②参加政府采购活动前三年内，在经营活动中没有重大违法记录；③拒绝列入政府取消投标资格记录期间的企业或个人磋商。</w:t>
      </w:r>
    </w:p>
    <w:p w14:paraId="097BDD8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pPr>
      <w:r>
        <w:rPr>
          <w:rFonts w:hint="eastAsia" w:ascii="宋体" w:hAnsi="宋体" w:eastAsia="宋体" w:cs="宋体"/>
          <w:color w:val="auto"/>
          <w:sz w:val="21"/>
          <w:szCs w:val="21"/>
          <w:highlight w:val="none"/>
          <w:lang w:val="en-US" w:eastAsia="zh-CN"/>
        </w:rPr>
        <w:t>①附</w:t>
      </w:r>
      <w:r>
        <w:rPr>
          <w:rFonts w:hint="eastAsia" w:ascii="宋体" w:hAnsi="宋体" w:eastAsia="宋体" w:cs="宋体"/>
          <w:color w:val="auto"/>
          <w:sz w:val="21"/>
          <w:szCs w:val="21"/>
          <w:highlight w:val="none"/>
          <w:lang w:val="zh-CN" w:eastAsia="zh-CN"/>
        </w:rPr>
        <w:t>相关网站查询截图，查询时点为获取</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lang w:val="zh-CN" w:eastAsia="zh-CN"/>
        </w:rPr>
        <w:t>文件开始时间至</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val="zh-CN" w:eastAsia="zh-CN"/>
        </w:rPr>
        <w:t>文件</w:t>
      </w:r>
      <w:r>
        <w:rPr>
          <w:rFonts w:hint="eastAsia" w:ascii="宋体" w:hAnsi="宋体" w:eastAsia="宋体" w:cs="宋体"/>
          <w:color w:val="auto"/>
          <w:sz w:val="21"/>
          <w:szCs w:val="21"/>
          <w:highlight w:val="none"/>
          <w:lang w:val="en-US" w:eastAsia="zh-CN"/>
        </w:rPr>
        <w:t>提交</w:t>
      </w:r>
      <w:r>
        <w:rPr>
          <w:rFonts w:hint="eastAsia" w:ascii="宋体" w:hAnsi="宋体" w:eastAsia="宋体" w:cs="宋体"/>
          <w:color w:val="auto"/>
          <w:sz w:val="21"/>
          <w:szCs w:val="21"/>
          <w:highlight w:val="none"/>
          <w:lang w:val="zh-CN" w:eastAsia="zh-CN"/>
        </w:rPr>
        <w:t>截止时间；</w:t>
      </w:r>
      <w:r>
        <w:rPr>
          <w:rFonts w:hint="eastAsia" w:ascii="宋体" w:hAnsi="宋体" w:eastAsia="宋体" w:cs="宋体"/>
          <w:color w:val="auto"/>
          <w:sz w:val="21"/>
          <w:szCs w:val="21"/>
          <w:highlight w:val="none"/>
          <w:lang w:val="en-US" w:eastAsia="zh-CN"/>
        </w:rPr>
        <w:t>②-③响应</w:t>
      </w:r>
      <w:r>
        <w:rPr>
          <w:rFonts w:hint="eastAsia" w:ascii="宋体" w:hAnsi="宋体" w:eastAsia="宋体" w:cs="宋体"/>
          <w:color w:val="auto"/>
          <w:sz w:val="21"/>
          <w:szCs w:val="21"/>
          <w:highlight w:val="none"/>
          <w:lang w:val="zh-CN" w:eastAsia="zh-CN"/>
        </w:rPr>
        <w:t>文件中附由法定代表人签字并加盖公章的承诺书，格式自拟。</w:t>
      </w:r>
    </w:p>
    <w:p w14:paraId="2563A4E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lang w:val="zh-CN" w:eastAsia="zh-CN"/>
        </w:rPr>
        <w:sectPr>
          <w:pgSz w:w="11906" w:h="16838"/>
          <w:pgMar w:top="1361" w:right="1361" w:bottom="1361" w:left="1361" w:header="624" w:footer="1020" w:gutter="113"/>
          <w:pgNumType w:fmt="decimal"/>
          <w:cols w:space="720" w:num="1"/>
          <w:titlePg/>
          <w:docGrid w:type="lines" w:linePitch="316" w:charSpace="0"/>
        </w:sectPr>
      </w:pPr>
    </w:p>
    <w:p w14:paraId="472E480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cs="宋体"/>
          <w:b w:val="0"/>
          <w:sz w:val="28"/>
          <w:szCs w:val="28"/>
        </w:rPr>
      </w:pPr>
      <w:bookmarkStart w:id="351" w:name="_Toc24727572"/>
      <w:r>
        <w:rPr>
          <w:rFonts w:hint="eastAsia" w:ascii="宋体" w:hAnsi="宋体" w:eastAsia="宋体" w:cs="宋体"/>
          <w:b/>
          <w:bCs/>
          <w:kern w:val="2"/>
          <w:sz w:val="28"/>
          <w:szCs w:val="28"/>
          <w:lang w:val="en-US" w:eastAsia="zh-CN" w:bidi="ar-SA"/>
        </w:rPr>
        <w:t>（五）其他承诺</w:t>
      </w:r>
      <w:bookmarkEnd w:id="351"/>
    </w:p>
    <w:p w14:paraId="0778C82A">
      <w:pPr>
        <w:spacing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单位负责人为同一人或者存在控股、管理关系的不同单位，不得参加同一标段磋商或者未划分标段的同一采购项目磋商。</w:t>
      </w:r>
    </w:p>
    <w:p w14:paraId="51B9E339">
      <w:pPr>
        <w:spacing w:line="360" w:lineRule="auto"/>
        <w:jc w:val="both"/>
        <w:outlineLvl w:val="2"/>
        <w:rPr>
          <w:rFonts w:hint="eastAsia" w:ascii="宋体" w:hAnsi="宋体" w:eastAsia="宋体" w:cs="宋体"/>
          <w:color w:val="auto"/>
          <w:sz w:val="21"/>
          <w:szCs w:val="21"/>
          <w:highlight w:val="none"/>
          <w:lang w:val="en-US" w:eastAsia="zh-CN"/>
        </w:rPr>
      </w:pPr>
      <w:bookmarkStart w:id="352" w:name="_Toc19358"/>
      <w:r>
        <w:rPr>
          <w:rFonts w:hint="eastAsia"/>
          <w:b/>
          <w:bCs/>
          <w:color w:val="auto"/>
          <w:sz w:val="21"/>
          <w:szCs w:val="21"/>
          <w:highlight w:val="none"/>
          <w:lang w:val="en-US" w:eastAsia="zh-CN"/>
        </w:rPr>
        <w:t>附由</w:t>
      </w:r>
      <w:r>
        <w:rPr>
          <w:rFonts w:hint="eastAsia"/>
          <w:b/>
          <w:bCs/>
          <w:color w:val="auto"/>
          <w:sz w:val="21"/>
          <w:szCs w:val="21"/>
          <w:highlight w:val="none"/>
          <w:lang w:val="zh-CN" w:eastAsia="zh-CN"/>
        </w:rPr>
        <w:t>法定代表人或其委托代理人签字并加盖公章的承诺书（</w:t>
      </w:r>
      <w:r>
        <w:rPr>
          <w:rFonts w:hint="eastAsia"/>
          <w:b/>
          <w:bCs/>
          <w:color w:val="auto"/>
          <w:sz w:val="21"/>
          <w:szCs w:val="21"/>
          <w:highlight w:val="none"/>
          <w:lang w:val="en-US" w:eastAsia="zh-CN"/>
        </w:rPr>
        <w:t>格式自拟）。</w:t>
      </w:r>
      <w:bookmarkEnd w:id="352"/>
    </w:p>
    <w:p w14:paraId="0FC33ED8">
      <w:pPr>
        <w:spacing w:line="240" w:lineRule="auto"/>
        <w:jc w:val="left"/>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br w:type="page"/>
      </w:r>
    </w:p>
    <w:p w14:paraId="75E46EF6">
      <w:pPr>
        <w:spacing w:line="360" w:lineRule="auto"/>
        <w:jc w:val="center"/>
        <w:outlineLvl w:val="0"/>
        <w:rPr>
          <w:rFonts w:hint="eastAsia" w:ascii="宋体" w:hAnsi="宋体" w:cs="宋体"/>
          <w:b/>
          <w:sz w:val="28"/>
          <w:szCs w:val="28"/>
        </w:rPr>
      </w:pPr>
      <w:bookmarkStart w:id="353" w:name="_Toc30552"/>
      <w:r>
        <w:rPr>
          <w:rFonts w:hint="eastAsia" w:ascii="宋体" w:hAnsi="宋体" w:cs="宋体"/>
          <w:b/>
          <w:bCs/>
          <w:color w:val="auto"/>
          <w:spacing w:val="-15"/>
          <w:sz w:val="28"/>
          <w:szCs w:val="28"/>
          <w:highlight w:val="none"/>
          <w:lang w:val="en-US" w:eastAsia="zh-CN"/>
        </w:rPr>
        <w:t>十、</w:t>
      </w:r>
      <w:r>
        <w:rPr>
          <w:rFonts w:hint="eastAsia" w:ascii="宋体" w:hAnsi="宋体" w:cs="宋体"/>
          <w:b/>
          <w:sz w:val="28"/>
          <w:szCs w:val="28"/>
        </w:rPr>
        <w:t>其他资料</w:t>
      </w:r>
      <w:bookmarkEnd w:id="353"/>
    </w:p>
    <w:p w14:paraId="7FE7F08C">
      <w:pPr>
        <w:jc w:val="center"/>
        <w:outlineLvl w:val="2"/>
        <w:rPr>
          <w:rFonts w:hint="eastAsia" w:ascii="宋体" w:hAnsi="宋体" w:cs="宋体"/>
          <w:b/>
          <w:sz w:val="28"/>
          <w:szCs w:val="28"/>
        </w:rPr>
      </w:pPr>
      <w:bookmarkStart w:id="354" w:name="_Toc7814"/>
      <w:bookmarkStart w:id="355" w:name="_Toc21424529"/>
      <w:r>
        <w:rPr>
          <w:rFonts w:hint="eastAsia" w:ascii="宋体" w:hAnsi="宋体" w:cs="宋体"/>
          <w:b/>
          <w:sz w:val="28"/>
          <w:szCs w:val="28"/>
        </w:rPr>
        <w:t>（一）中小企业相关证明材料</w:t>
      </w:r>
      <w:bookmarkEnd w:id="354"/>
    </w:p>
    <w:bookmarkEnd w:id="355"/>
    <w:p w14:paraId="081F132C">
      <w:pPr>
        <w:jc w:val="center"/>
        <w:outlineLvl w:val="2"/>
        <w:rPr>
          <w:rFonts w:hint="eastAsia" w:ascii="宋体" w:hAnsi="宋体" w:cs="宋体"/>
          <w:b/>
          <w:color w:val="auto"/>
          <w:sz w:val="28"/>
          <w:szCs w:val="28"/>
          <w:highlight w:val="none"/>
          <w:lang w:val="zh-CN"/>
        </w:rPr>
      </w:pPr>
      <w:bookmarkStart w:id="356" w:name="_Toc17308"/>
      <w:bookmarkStart w:id="357" w:name="_Toc2480"/>
      <w:bookmarkStart w:id="358" w:name="_Toc29164"/>
      <w:bookmarkStart w:id="359" w:name="_Toc21424532"/>
      <w:r>
        <w:rPr>
          <w:rFonts w:hint="eastAsia" w:ascii="宋体" w:hAnsi="宋体" w:cs="宋体"/>
          <w:b/>
          <w:color w:val="auto"/>
          <w:sz w:val="28"/>
          <w:szCs w:val="28"/>
          <w:highlight w:val="none"/>
          <w:lang w:val="en-US" w:eastAsia="zh-CN"/>
        </w:rPr>
        <w:t>1.</w:t>
      </w:r>
      <w:r>
        <w:rPr>
          <w:rFonts w:hint="eastAsia" w:ascii="宋体" w:hAnsi="宋体" w:cs="宋体"/>
          <w:b/>
          <w:color w:val="auto"/>
          <w:sz w:val="28"/>
          <w:szCs w:val="28"/>
          <w:highlight w:val="none"/>
          <w:lang w:val="zh-CN"/>
        </w:rPr>
        <w:t>中小企业声明函</w:t>
      </w:r>
      <w:bookmarkEnd w:id="356"/>
      <w:bookmarkEnd w:id="357"/>
      <w:bookmarkEnd w:id="358"/>
    </w:p>
    <w:p w14:paraId="248FBB11">
      <w:pPr>
        <w:tabs>
          <w:tab w:val="left" w:pos="1573"/>
        </w:tabs>
        <w:autoSpaceDN w:val="0"/>
        <w:spacing w:line="360" w:lineRule="auto"/>
        <w:ind w:left="105" w:leftChars="50" w:firstLine="435"/>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本公司郑重声明，根据《政府采</w:t>
      </w:r>
      <w:r>
        <w:rPr>
          <w:rFonts w:hint="eastAsia" w:ascii="宋体" w:hAnsi="宋体" w:cs="宋体"/>
          <w:color w:val="auto"/>
          <w:szCs w:val="21"/>
          <w:highlight w:val="none"/>
        </w:rPr>
        <w:t>购促进中小企业发展暂行办法》（财库[2020]46号）的规定，本公司</w:t>
      </w:r>
      <w:r>
        <w:rPr>
          <w:rFonts w:hint="eastAsia" w:ascii="宋体" w:hAnsi="宋体" w:cs="宋体"/>
          <w:snapToGrid w:val="0"/>
          <w:color w:val="auto"/>
          <w:szCs w:val="21"/>
          <w:highlight w:val="none"/>
        </w:rPr>
        <w:t>参加</w:t>
      </w:r>
      <w:r>
        <w:rPr>
          <w:rFonts w:hint="eastAsia" w:ascii="宋体" w:hAnsi="宋体" w:cs="宋体"/>
          <w:snapToGrid w:val="0"/>
          <w:color w:val="auto"/>
          <w:szCs w:val="21"/>
          <w:highlight w:val="none"/>
          <w:u w:val="single"/>
        </w:rPr>
        <w:t xml:space="preserve"> （单位名称） </w:t>
      </w:r>
      <w:r>
        <w:rPr>
          <w:rFonts w:hint="eastAsia" w:ascii="宋体" w:hAnsi="宋体" w:cs="宋体"/>
          <w:snapToGrid w:val="0"/>
          <w:color w:val="auto"/>
          <w:szCs w:val="21"/>
          <w:highlight w:val="none"/>
        </w:rPr>
        <w:t>的</w:t>
      </w:r>
      <w:r>
        <w:rPr>
          <w:rFonts w:hint="eastAsia" w:ascii="宋体" w:hAnsi="宋体" w:cs="宋体"/>
          <w:snapToGrid w:val="0"/>
          <w:color w:val="auto"/>
          <w:szCs w:val="21"/>
          <w:highlight w:val="none"/>
          <w:u w:val="single"/>
        </w:rPr>
        <w:t xml:space="preserve"> （项目名称) </w:t>
      </w:r>
      <w:r>
        <w:rPr>
          <w:rFonts w:hint="eastAsia" w:ascii="宋体" w:hAnsi="宋体" w:cs="宋体"/>
          <w:snapToGrid w:val="0"/>
          <w:color w:val="auto"/>
          <w:szCs w:val="21"/>
          <w:highlight w:val="none"/>
        </w:rPr>
        <w:t>采购活动，</w:t>
      </w:r>
      <w:r>
        <w:rPr>
          <w:rFonts w:hint="eastAsia" w:ascii="宋体" w:hAnsi="宋体" w:cs="宋体"/>
          <w:snapToGrid w:val="0"/>
          <w:color w:val="auto"/>
          <w:szCs w:val="21"/>
          <w:highlight w:val="none"/>
          <w:lang w:val="en-US" w:eastAsia="zh-CN"/>
        </w:rPr>
        <w:t>服务</w:t>
      </w:r>
      <w:r>
        <w:rPr>
          <w:rFonts w:hint="eastAsia" w:ascii="宋体" w:hAnsi="宋体" w:cs="宋体"/>
          <w:snapToGrid w:val="0"/>
          <w:color w:val="auto"/>
          <w:szCs w:val="21"/>
          <w:highlight w:val="none"/>
        </w:rPr>
        <w:t>全部由符合政策要求的中小企业</w:t>
      </w:r>
      <w:r>
        <w:rPr>
          <w:rFonts w:hint="eastAsia" w:ascii="宋体" w:hAnsi="宋体" w:cs="宋体"/>
          <w:snapToGrid w:val="0"/>
          <w:color w:val="auto"/>
          <w:szCs w:val="21"/>
          <w:highlight w:val="none"/>
          <w:lang w:val="en-US" w:eastAsia="zh-CN"/>
        </w:rPr>
        <w:t>承接</w:t>
      </w:r>
      <w:r>
        <w:rPr>
          <w:rFonts w:hint="eastAsia" w:ascii="宋体" w:hAnsi="宋体" w:cs="宋体"/>
          <w:snapToGrid w:val="0"/>
          <w:color w:val="auto"/>
          <w:szCs w:val="21"/>
          <w:highlight w:val="none"/>
        </w:rPr>
        <w:t>。相关企业（含联合体中的中小企业、签订分包意向协议的中小企业）的具体情况如下：</w:t>
      </w:r>
    </w:p>
    <w:p w14:paraId="73B9F7BA">
      <w:pPr>
        <w:numPr>
          <w:ilvl w:val="0"/>
          <w:numId w:val="5"/>
        </w:numPr>
        <w:tabs>
          <w:tab w:val="left" w:pos="1573"/>
        </w:tabs>
        <w:autoSpaceDN w:val="0"/>
        <w:spacing w:line="360" w:lineRule="auto"/>
        <w:ind w:left="105" w:leftChars="50" w:firstLine="435"/>
        <w:rPr>
          <w:rFonts w:hint="eastAsia" w:ascii="宋体" w:hAnsi="宋体" w:cs="宋体"/>
          <w:snapToGrid w:val="0"/>
          <w:color w:val="auto"/>
          <w:szCs w:val="21"/>
          <w:highlight w:val="none"/>
        </w:rPr>
      </w:pPr>
      <w:r>
        <w:rPr>
          <w:rFonts w:hint="eastAsia" w:ascii="宋体" w:hAnsi="宋体" w:cs="宋体"/>
          <w:snapToGrid w:val="0"/>
          <w:color w:val="auto"/>
          <w:szCs w:val="21"/>
          <w:highlight w:val="none"/>
          <w:u w:val="single"/>
        </w:rPr>
        <w:t xml:space="preserve"> </w:t>
      </w:r>
      <w:r>
        <w:rPr>
          <w:rFonts w:hint="eastAsia" w:ascii="宋体" w:hAnsi="宋体" w:cs="宋体"/>
          <w:color w:val="auto"/>
          <w:szCs w:val="21"/>
          <w:highlight w:val="none"/>
          <w:u w:val="single"/>
        </w:rPr>
        <w:t xml:space="preserve"> （标的名称）  </w:t>
      </w:r>
      <w:r>
        <w:rPr>
          <w:rFonts w:hint="eastAsia" w:ascii="宋体" w:hAnsi="宋体" w:cs="宋体"/>
          <w:snapToGrid w:val="0"/>
          <w:color w:val="auto"/>
          <w:szCs w:val="21"/>
          <w:highlight w:val="none"/>
        </w:rPr>
        <w:t>，属于</w:t>
      </w: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u w:val="single"/>
          <w:lang w:val="en-US" w:eastAsia="zh-CN"/>
        </w:rPr>
        <w:t xml:space="preserve">  </w:t>
      </w: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rPr>
        <w:t>；</w:t>
      </w:r>
      <w:r>
        <w:rPr>
          <w:rFonts w:hint="eastAsia" w:ascii="宋体" w:hAnsi="宋体" w:cs="宋体"/>
          <w:snapToGrid w:val="0"/>
          <w:color w:val="auto"/>
          <w:szCs w:val="21"/>
          <w:highlight w:val="none"/>
          <w:lang w:val="en-US" w:eastAsia="zh-CN"/>
        </w:rPr>
        <w:t>承接企业</w:t>
      </w:r>
      <w:r>
        <w:rPr>
          <w:rFonts w:hint="eastAsia" w:ascii="宋体" w:hAnsi="宋体" w:cs="宋体"/>
          <w:snapToGrid w:val="0"/>
          <w:color w:val="auto"/>
          <w:szCs w:val="21"/>
          <w:highlight w:val="none"/>
        </w:rPr>
        <w:t>为</w:t>
      </w:r>
      <w:r>
        <w:rPr>
          <w:rFonts w:hint="eastAsia" w:ascii="宋体" w:hAnsi="宋体" w:cs="宋体"/>
          <w:snapToGrid w:val="0"/>
          <w:color w:val="auto"/>
          <w:szCs w:val="21"/>
          <w:highlight w:val="none"/>
          <w:u w:val="single"/>
        </w:rPr>
        <w:t>（企业名称）</w:t>
      </w:r>
      <w:r>
        <w:rPr>
          <w:rFonts w:hint="eastAsia" w:ascii="宋体" w:hAnsi="宋体" w:cs="宋体"/>
          <w:snapToGrid w:val="0"/>
          <w:color w:val="auto"/>
          <w:szCs w:val="21"/>
          <w:highlight w:val="none"/>
        </w:rPr>
        <w:t>，从业人员</w:t>
      </w: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rPr>
        <w:t>人，营业收入为</w:t>
      </w: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rPr>
        <w:t>万元，资产总额为</w:t>
      </w: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rPr>
        <w:t>万元</w:t>
      </w:r>
      <w:r>
        <w:rPr>
          <w:rFonts w:hint="eastAsia" w:ascii="宋体" w:hAnsi="宋体" w:eastAsia="宋体" w:cs="宋体"/>
          <w:b w:val="0"/>
          <w:bCs w:val="0"/>
          <w:snapToGrid w:val="0"/>
          <w:color w:val="auto"/>
          <w:sz w:val="18"/>
          <w:szCs w:val="18"/>
          <w:highlight w:val="none"/>
        </w:rPr>
        <w:t>①</w:t>
      </w:r>
      <w:r>
        <w:rPr>
          <w:rFonts w:hint="eastAsia" w:ascii="宋体" w:hAnsi="宋体" w:cs="宋体"/>
          <w:snapToGrid w:val="0"/>
          <w:color w:val="auto"/>
          <w:szCs w:val="21"/>
          <w:highlight w:val="none"/>
        </w:rPr>
        <w:t>，属于</w:t>
      </w:r>
      <w:r>
        <w:rPr>
          <w:rFonts w:hint="eastAsia" w:ascii="宋体" w:hAnsi="宋体" w:cs="宋体"/>
          <w:snapToGrid w:val="0"/>
          <w:color w:val="auto"/>
          <w:szCs w:val="21"/>
          <w:highlight w:val="none"/>
          <w:u w:val="single"/>
        </w:rPr>
        <w:t>（中型企业、小型企业、微型企业）</w:t>
      </w:r>
      <w:r>
        <w:rPr>
          <w:rFonts w:hint="eastAsia" w:ascii="宋体" w:hAnsi="宋体" w:cs="宋体"/>
          <w:snapToGrid w:val="0"/>
          <w:color w:val="auto"/>
          <w:szCs w:val="21"/>
          <w:highlight w:val="none"/>
        </w:rPr>
        <w:t>；</w:t>
      </w:r>
    </w:p>
    <w:p w14:paraId="7FA3F95B">
      <w:pPr>
        <w:numPr>
          <w:ilvl w:val="0"/>
          <w:numId w:val="5"/>
        </w:numPr>
        <w:tabs>
          <w:tab w:val="left" w:pos="1573"/>
        </w:tabs>
        <w:autoSpaceDN w:val="0"/>
        <w:spacing w:line="360" w:lineRule="auto"/>
        <w:ind w:left="105" w:leftChars="50" w:firstLine="435"/>
        <w:rPr>
          <w:rFonts w:hint="eastAsia" w:ascii="宋体" w:hAnsi="宋体" w:cs="宋体"/>
          <w:snapToGrid w:val="0"/>
          <w:color w:val="auto"/>
          <w:szCs w:val="21"/>
          <w:highlight w:val="none"/>
        </w:rPr>
      </w:pPr>
      <w:r>
        <w:rPr>
          <w:rFonts w:hint="eastAsia" w:ascii="宋体" w:hAnsi="宋体" w:cs="宋体"/>
          <w:snapToGrid w:val="0"/>
          <w:color w:val="auto"/>
          <w:szCs w:val="21"/>
          <w:highlight w:val="none"/>
          <w:u w:val="single"/>
        </w:rPr>
        <w:t xml:space="preserve"> </w:t>
      </w:r>
      <w:r>
        <w:rPr>
          <w:rFonts w:hint="eastAsia" w:ascii="宋体" w:hAnsi="宋体" w:cs="宋体"/>
          <w:color w:val="auto"/>
          <w:szCs w:val="21"/>
          <w:highlight w:val="none"/>
          <w:u w:val="single"/>
        </w:rPr>
        <w:t xml:space="preserve"> （标的名称）  </w:t>
      </w:r>
      <w:r>
        <w:rPr>
          <w:rFonts w:hint="eastAsia" w:ascii="宋体" w:hAnsi="宋体" w:cs="宋体"/>
          <w:snapToGrid w:val="0"/>
          <w:color w:val="auto"/>
          <w:szCs w:val="21"/>
          <w:highlight w:val="none"/>
        </w:rPr>
        <w:t>，属于</w:t>
      </w: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u w:val="single"/>
          <w:lang w:val="en-US" w:eastAsia="zh-CN"/>
        </w:rPr>
        <w:t xml:space="preserve">  </w:t>
      </w: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rPr>
        <w:t>；</w:t>
      </w:r>
      <w:r>
        <w:rPr>
          <w:rFonts w:hint="eastAsia" w:ascii="宋体" w:hAnsi="宋体" w:cs="宋体"/>
          <w:snapToGrid w:val="0"/>
          <w:color w:val="auto"/>
          <w:szCs w:val="21"/>
          <w:highlight w:val="none"/>
          <w:lang w:val="en-US" w:eastAsia="zh-CN"/>
        </w:rPr>
        <w:t>承接企业</w:t>
      </w:r>
      <w:r>
        <w:rPr>
          <w:rFonts w:hint="eastAsia" w:ascii="宋体" w:hAnsi="宋体" w:cs="宋体"/>
          <w:snapToGrid w:val="0"/>
          <w:color w:val="auto"/>
          <w:szCs w:val="21"/>
          <w:highlight w:val="none"/>
        </w:rPr>
        <w:t>为</w:t>
      </w:r>
      <w:r>
        <w:rPr>
          <w:rFonts w:hint="eastAsia" w:ascii="宋体" w:hAnsi="宋体" w:cs="宋体"/>
          <w:snapToGrid w:val="0"/>
          <w:color w:val="auto"/>
          <w:szCs w:val="21"/>
          <w:highlight w:val="none"/>
          <w:u w:val="single"/>
        </w:rPr>
        <w:t>（企业名称）</w:t>
      </w:r>
      <w:r>
        <w:rPr>
          <w:rFonts w:hint="eastAsia" w:ascii="宋体" w:hAnsi="宋体" w:cs="宋体"/>
          <w:snapToGrid w:val="0"/>
          <w:color w:val="auto"/>
          <w:szCs w:val="21"/>
          <w:highlight w:val="none"/>
        </w:rPr>
        <w:t>，从业人员</w:t>
      </w: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rPr>
        <w:t>人，营业收入为</w:t>
      </w: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rPr>
        <w:t>万元，资产总额为</w:t>
      </w: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rPr>
        <w:t>万元</w:t>
      </w:r>
      <w:r>
        <w:rPr>
          <w:rFonts w:hint="eastAsia" w:ascii="宋体" w:hAnsi="宋体" w:eastAsia="宋体" w:cs="宋体"/>
          <w:b w:val="0"/>
          <w:bCs w:val="0"/>
          <w:snapToGrid w:val="0"/>
          <w:color w:val="auto"/>
          <w:sz w:val="18"/>
          <w:szCs w:val="18"/>
          <w:highlight w:val="none"/>
        </w:rPr>
        <w:t>①</w:t>
      </w:r>
      <w:r>
        <w:rPr>
          <w:rFonts w:hint="eastAsia" w:ascii="宋体" w:hAnsi="宋体" w:cs="宋体"/>
          <w:snapToGrid w:val="0"/>
          <w:color w:val="auto"/>
          <w:szCs w:val="21"/>
          <w:highlight w:val="none"/>
        </w:rPr>
        <w:t>，属于</w:t>
      </w:r>
      <w:r>
        <w:rPr>
          <w:rFonts w:hint="eastAsia" w:ascii="宋体" w:hAnsi="宋体" w:cs="宋体"/>
          <w:snapToGrid w:val="0"/>
          <w:color w:val="auto"/>
          <w:szCs w:val="21"/>
          <w:highlight w:val="none"/>
          <w:u w:val="single"/>
        </w:rPr>
        <w:t>（中型企业、小型企业、微型企业）</w:t>
      </w:r>
      <w:r>
        <w:rPr>
          <w:rFonts w:hint="eastAsia" w:ascii="宋体" w:hAnsi="宋体" w:cs="宋体"/>
          <w:snapToGrid w:val="0"/>
          <w:color w:val="auto"/>
          <w:szCs w:val="21"/>
          <w:highlight w:val="none"/>
        </w:rPr>
        <w:t>；</w:t>
      </w:r>
    </w:p>
    <w:p w14:paraId="6376F7B7">
      <w:pPr>
        <w:pStyle w:val="3"/>
        <w:spacing w:line="360" w:lineRule="auto"/>
        <w:ind w:firstLine="630" w:firstLineChars="300"/>
        <w:rPr>
          <w:rFonts w:hint="eastAsia" w:ascii="宋体" w:hAnsi="宋体" w:eastAsia="宋体" w:cs="宋体"/>
          <w:b w:val="0"/>
          <w:bCs w:val="0"/>
          <w:snapToGrid w:val="0"/>
          <w:color w:val="auto"/>
          <w:sz w:val="21"/>
          <w:szCs w:val="21"/>
          <w:highlight w:val="none"/>
        </w:rPr>
      </w:pPr>
      <w:bookmarkStart w:id="360" w:name="_Toc3222"/>
      <w:bookmarkStart w:id="361" w:name="_Toc30569"/>
      <w:r>
        <w:rPr>
          <w:rFonts w:hint="eastAsia" w:ascii="宋体" w:hAnsi="宋体" w:eastAsia="宋体" w:cs="宋体"/>
          <w:b w:val="0"/>
          <w:bCs w:val="0"/>
          <w:snapToGrid w:val="0"/>
          <w:color w:val="auto"/>
          <w:sz w:val="21"/>
          <w:szCs w:val="21"/>
          <w:highlight w:val="none"/>
        </w:rPr>
        <w:t>……</w:t>
      </w:r>
      <w:bookmarkEnd w:id="360"/>
      <w:bookmarkEnd w:id="361"/>
    </w:p>
    <w:p w14:paraId="57D672CF">
      <w:pPr>
        <w:spacing w:line="360" w:lineRule="auto"/>
        <w:rPr>
          <w:rFonts w:hint="eastAsia" w:ascii="宋体" w:hAnsi="宋体" w:cs="宋体"/>
          <w:color w:val="auto"/>
          <w:highlight w:val="none"/>
        </w:rPr>
      </w:pPr>
      <w:r>
        <w:rPr>
          <w:rFonts w:hint="eastAsia" w:ascii="宋体" w:hAnsi="宋体" w:cs="宋体"/>
          <w:snapToGrid w:val="0"/>
          <w:color w:val="auto"/>
          <w:szCs w:val="21"/>
          <w:highlight w:val="none"/>
        </w:rPr>
        <w:t xml:space="preserve">     以上企业，不属于大企业的分支机构，不存在控股股东为大企业的情形，也不存在与大企业的负责人为同一人的情形。</w:t>
      </w:r>
    </w:p>
    <w:p w14:paraId="2E99DCFE">
      <w:pPr>
        <w:tabs>
          <w:tab w:val="left" w:pos="1573"/>
        </w:tabs>
        <w:autoSpaceDN w:val="0"/>
        <w:spacing w:line="360" w:lineRule="auto"/>
        <w:ind w:left="105" w:leftChars="50"/>
        <w:rPr>
          <w:rFonts w:hint="eastAsia" w:ascii="宋体" w:hAnsi="宋体" w:cs="宋体"/>
          <w:color w:val="auto"/>
          <w:szCs w:val="21"/>
          <w:highlight w:val="none"/>
        </w:rPr>
      </w:pPr>
      <w:r>
        <w:rPr>
          <w:rFonts w:hint="eastAsia" w:ascii="宋体" w:hAnsi="宋体" w:cs="宋体"/>
          <w:color w:val="auto"/>
          <w:szCs w:val="21"/>
          <w:highlight w:val="none"/>
        </w:rPr>
        <w:t xml:space="preserve">     本企业对上述声明的真实性负责。如有虚假，将依法承担相应责任。</w:t>
      </w:r>
    </w:p>
    <w:p w14:paraId="5E42DC20">
      <w:pPr>
        <w:widowControl/>
        <w:tabs>
          <w:tab w:val="left" w:pos="1573"/>
        </w:tabs>
        <w:autoSpaceDN w:val="0"/>
        <w:spacing w:line="360" w:lineRule="auto"/>
        <w:ind w:left="105" w:leftChars="50"/>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b/>
          <w:bCs/>
          <w:color w:val="auto"/>
          <w:szCs w:val="21"/>
          <w:highlight w:val="none"/>
        </w:rPr>
        <w:t xml:space="preserve"> </w:t>
      </w:r>
    </w:p>
    <w:p w14:paraId="056DF742">
      <w:pPr>
        <w:spacing w:line="480" w:lineRule="auto"/>
        <w:jc w:val="center"/>
        <w:rPr>
          <w:rFonts w:hint="eastAsia" w:ascii="宋体" w:hAnsi="宋体" w:cs="宋体"/>
          <w:color w:val="auto"/>
          <w:szCs w:val="21"/>
          <w:highlight w:val="none"/>
        </w:rPr>
      </w:pPr>
      <w:r>
        <w:rPr>
          <w:rFonts w:hint="eastAsia" w:ascii="宋体" w:hAnsi="宋体" w:cs="宋体"/>
          <w:color w:val="auto"/>
          <w:szCs w:val="21"/>
          <w:highlight w:val="none"/>
        </w:rPr>
        <w:t xml:space="preserve">    企业名称（盖章）：                       </w:t>
      </w:r>
    </w:p>
    <w:p w14:paraId="23109581">
      <w:pPr>
        <w:spacing w:line="480" w:lineRule="auto"/>
        <w:ind w:firstLine="4218" w:firstLineChars="1900"/>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 xml:space="preserve">日 期：   </w:t>
      </w:r>
    </w:p>
    <w:p w14:paraId="7B52AB51">
      <w:pPr>
        <w:pStyle w:val="3"/>
        <w:pageBreakBefore w:val="0"/>
        <w:widowControl w:val="0"/>
        <w:kinsoku/>
        <w:wordWrap/>
        <w:overflowPunct/>
        <w:topLinePunct w:val="0"/>
        <w:autoSpaceDE/>
        <w:autoSpaceDN/>
        <w:bidi w:val="0"/>
        <w:adjustRightInd/>
        <w:snapToGrid w:val="0"/>
        <w:spacing w:before="0" w:beforeLines="0" w:after="0" w:afterLines="0" w:line="360" w:lineRule="auto"/>
        <w:textAlignment w:val="auto"/>
        <w:rPr>
          <w:rFonts w:hint="eastAsia" w:ascii="宋体" w:hAnsi="宋体" w:eastAsia="宋体" w:cs="宋体"/>
          <w:b w:val="0"/>
          <w:bCs w:val="0"/>
          <w:snapToGrid w:val="0"/>
          <w:color w:val="auto"/>
          <w:sz w:val="18"/>
          <w:szCs w:val="18"/>
          <w:highlight w:val="none"/>
        </w:rPr>
      </w:pPr>
      <w:bookmarkStart w:id="362" w:name="_Toc15823"/>
      <w:bookmarkStart w:id="363" w:name="_Toc14322"/>
    </w:p>
    <w:p w14:paraId="3AC42C8A">
      <w:pPr>
        <w:pStyle w:val="3"/>
        <w:pageBreakBefore w:val="0"/>
        <w:widowControl w:val="0"/>
        <w:kinsoku/>
        <w:wordWrap/>
        <w:overflowPunct/>
        <w:topLinePunct w:val="0"/>
        <w:autoSpaceDE/>
        <w:autoSpaceDN/>
        <w:bidi w:val="0"/>
        <w:adjustRightInd/>
        <w:snapToGrid w:val="0"/>
        <w:spacing w:before="0" w:beforeLines="0" w:after="0" w:afterLines="0" w:line="360" w:lineRule="auto"/>
        <w:textAlignment w:val="auto"/>
        <w:rPr>
          <w:rFonts w:hint="eastAsia" w:ascii="宋体" w:hAnsi="宋体" w:eastAsia="宋体" w:cs="宋体"/>
          <w:b w:val="0"/>
          <w:bCs w:val="0"/>
          <w:snapToGrid w:val="0"/>
          <w:color w:val="auto"/>
          <w:sz w:val="18"/>
          <w:szCs w:val="18"/>
          <w:highlight w:val="none"/>
        </w:rPr>
      </w:pPr>
    </w:p>
    <w:p w14:paraId="105BF85A">
      <w:pPr>
        <w:pStyle w:val="3"/>
        <w:pageBreakBefore w:val="0"/>
        <w:widowControl w:val="0"/>
        <w:kinsoku/>
        <w:wordWrap/>
        <w:overflowPunct/>
        <w:topLinePunct w:val="0"/>
        <w:autoSpaceDE/>
        <w:autoSpaceDN/>
        <w:bidi w:val="0"/>
        <w:adjustRightInd/>
        <w:snapToGrid w:val="0"/>
        <w:spacing w:before="0" w:beforeLines="0" w:after="0" w:afterLines="0" w:line="360" w:lineRule="auto"/>
        <w:textAlignment w:val="auto"/>
        <w:rPr>
          <w:rFonts w:hint="eastAsia" w:ascii="宋体" w:hAnsi="宋体" w:eastAsia="宋体" w:cs="宋体"/>
          <w:b w:val="0"/>
          <w:bCs w:val="0"/>
          <w:snapToGrid w:val="0"/>
          <w:color w:val="auto"/>
          <w:sz w:val="18"/>
          <w:szCs w:val="18"/>
          <w:highlight w:val="none"/>
        </w:rPr>
      </w:pPr>
    </w:p>
    <w:p w14:paraId="615D2F98">
      <w:pPr>
        <w:pStyle w:val="3"/>
        <w:pageBreakBefore w:val="0"/>
        <w:widowControl w:val="0"/>
        <w:kinsoku/>
        <w:wordWrap/>
        <w:overflowPunct/>
        <w:topLinePunct w:val="0"/>
        <w:autoSpaceDE/>
        <w:autoSpaceDN/>
        <w:bidi w:val="0"/>
        <w:adjustRightInd/>
        <w:snapToGrid w:val="0"/>
        <w:spacing w:before="0" w:beforeLines="0" w:after="0" w:afterLines="0" w:line="360" w:lineRule="auto"/>
        <w:textAlignment w:val="auto"/>
        <w:rPr>
          <w:rFonts w:hint="eastAsia" w:ascii="宋体" w:hAnsi="宋体" w:eastAsia="宋体" w:cs="宋体"/>
          <w:b w:val="0"/>
          <w:bCs w:val="0"/>
          <w:snapToGrid w:val="0"/>
          <w:color w:val="auto"/>
          <w:sz w:val="18"/>
          <w:szCs w:val="18"/>
          <w:highlight w:val="none"/>
        </w:rPr>
      </w:pPr>
    </w:p>
    <w:p w14:paraId="152E6EA7">
      <w:pPr>
        <w:pStyle w:val="3"/>
        <w:pageBreakBefore w:val="0"/>
        <w:widowControl w:val="0"/>
        <w:kinsoku/>
        <w:wordWrap/>
        <w:overflowPunct/>
        <w:topLinePunct w:val="0"/>
        <w:autoSpaceDE/>
        <w:autoSpaceDN/>
        <w:bidi w:val="0"/>
        <w:adjustRightInd/>
        <w:snapToGrid w:val="0"/>
        <w:spacing w:before="0" w:beforeLines="0" w:after="0" w:afterLines="0" w:line="360" w:lineRule="auto"/>
        <w:textAlignment w:val="auto"/>
        <w:rPr>
          <w:rFonts w:hint="eastAsia" w:ascii="宋体" w:hAnsi="宋体" w:eastAsia="宋体" w:cs="宋体"/>
          <w:b w:val="0"/>
          <w:bCs w:val="0"/>
          <w:snapToGrid w:val="0"/>
          <w:color w:val="auto"/>
          <w:sz w:val="18"/>
          <w:szCs w:val="18"/>
          <w:highlight w:val="none"/>
        </w:rPr>
      </w:pPr>
      <w:bookmarkStart w:id="364" w:name="_Toc23043"/>
      <w:r>
        <w:rPr>
          <w:rFonts w:hint="eastAsia" w:ascii="宋体" w:hAnsi="宋体" w:eastAsia="宋体" w:cs="宋体"/>
          <w:b w:val="0"/>
          <w:bCs w:val="0"/>
          <w:snapToGrid w:val="0"/>
          <w:color w:val="auto"/>
          <w:sz w:val="18"/>
          <w:szCs w:val="18"/>
          <w:highlight w:val="none"/>
        </w:rPr>
        <w:t>①从业人员、营业收入、资产总额填报上一年度数据，无上一年度数据的新成立企业可不填报。</w:t>
      </w:r>
      <w:bookmarkEnd w:id="362"/>
      <w:bookmarkEnd w:id="363"/>
      <w:bookmarkEnd w:id="364"/>
    </w:p>
    <w:p w14:paraId="06A4C4C0">
      <w:pPr>
        <w:pStyle w:val="9"/>
        <w:numPr>
          <w:ilvl w:val="0"/>
          <w:numId w:val="0"/>
        </w:numPr>
        <w:spacing w:line="364" w:lineRule="auto"/>
        <w:ind w:left="220" w:leftChars="0" w:right="110" w:rightChars="0"/>
        <w:jc w:val="cente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bookmarkStart w:id="365" w:name="_Toc27790"/>
      <w:r>
        <w:rPr>
          <w:rFonts w:hint="eastAsia" w:ascii="宋体" w:hAnsi="宋体" w:cs="宋体"/>
          <w:b/>
          <w:color w:val="auto"/>
          <w:sz w:val="28"/>
          <w:szCs w:val="28"/>
          <w:highlight w:val="none"/>
          <w:lang w:val="en-US" w:eastAsia="zh-CN"/>
        </w:rPr>
        <w:t>2.</w:t>
      </w:r>
      <w:r>
        <w:rPr>
          <w:rFonts w:hint="eastAsia" w:ascii="宋体" w:hAnsi="宋体" w:cs="宋体"/>
          <w:b/>
          <w:color w:val="auto"/>
          <w:sz w:val="28"/>
          <w:szCs w:val="28"/>
          <w:highlight w:val="none"/>
        </w:rPr>
        <w:t>监狱企业提供</w:t>
      </w:r>
    </w:p>
    <w:p w14:paraId="29FF8492">
      <w:pPr>
        <w:pStyle w:val="9"/>
        <w:numPr>
          <w:ilvl w:val="0"/>
          <w:numId w:val="0"/>
        </w:numPr>
        <w:spacing w:line="364" w:lineRule="auto"/>
        <w:ind w:left="220" w:leftChars="0" w:right="110" w:rightChars="0"/>
        <w:jc w:val="center"/>
        <w:rPr>
          <w:rFonts w:hint="eastAsia" w:ascii="宋体" w:hAnsi="宋体" w:cs="宋体"/>
          <w:b w:val="0"/>
          <w:bCs/>
          <w:color w:val="auto"/>
          <w:sz w:val="21"/>
          <w:szCs w:val="21"/>
          <w:highlight w:val="none"/>
          <w:u w:val="none"/>
        </w:rPr>
      </w:pPr>
      <w:r>
        <w:rPr>
          <w:rFonts w:hint="eastAsia" w:ascii="宋体" w:hAnsi="宋体" w:cs="宋体"/>
          <w:b w:val="0"/>
          <w:bCs/>
          <w:color w:val="auto"/>
          <w:sz w:val="21"/>
          <w:szCs w:val="21"/>
          <w:highlight w:val="none"/>
          <w:u w:val="none"/>
        </w:rPr>
        <w:t>（</w:t>
      </w:r>
      <w:r>
        <w:rPr>
          <w:rFonts w:hint="eastAsia" w:ascii="宋体" w:hAnsi="宋体" w:eastAsia="宋体" w:cs="宋体"/>
          <w:b w:val="0"/>
          <w:bCs/>
          <w:color w:val="auto"/>
          <w:sz w:val="21"/>
          <w:szCs w:val="21"/>
          <w:highlight w:val="none"/>
          <w:u w:val="none"/>
        </w:rPr>
        <w:t>不属于监狱企业的无需填写</w:t>
      </w:r>
      <w:r>
        <w:rPr>
          <w:rFonts w:hint="eastAsia" w:ascii="宋体" w:hAnsi="宋体" w:cs="宋体"/>
          <w:b w:val="0"/>
          <w:bCs/>
          <w:color w:val="auto"/>
          <w:sz w:val="21"/>
          <w:szCs w:val="21"/>
          <w:highlight w:val="none"/>
          <w:u w:val="none"/>
        </w:rPr>
        <w:t>）</w:t>
      </w:r>
      <w:bookmarkEnd w:id="365"/>
    </w:p>
    <w:p w14:paraId="4847287F">
      <w:pPr>
        <w:spacing w:line="360" w:lineRule="auto"/>
        <w:ind w:firstLine="420" w:firstLineChars="200"/>
        <w:jc w:val="left"/>
        <w:outlineLvl w:val="0"/>
        <w:rPr>
          <w:rFonts w:hint="eastAsia" w:ascii="宋体" w:hAnsi="宋体" w:cs="宋体"/>
          <w:color w:val="auto"/>
          <w:szCs w:val="21"/>
          <w:highlight w:val="none"/>
        </w:rPr>
      </w:pPr>
      <w:bookmarkStart w:id="366" w:name="_Toc24722"/>
      <w:bookmarkStart w:id="367" w:name="_Toc17060"/>
      <w:bookmarkStart w:id="368" w:name="_Toc19248"/>
      <w:r>
        <w:rPr>
          <w:rFonts w:hint="eastAsia" w:ascii="宋体" w:hAnsi="宋体" w:cs="宋体"/>
          <w:color w:val="auto"/>
          <w:szCs w:val="21"/>
          <w:highlight w:val="none"/>
        </w:rPr>
        <w:t>监狱企业参加政府采购活动时，应当提供由省级以上监狱管理局、戒毒管理局（含新疆生产建设兵团）出具的属于监狱企业的证明文件。</w:t>
      </w:r>
      <w:bookmarkEnd w:id="366"/>
      <w:bookmarkEnd w:id="367"/>
      <w:bookmarkEnd w:id="368"/>
    </w:p>
    <w:p w14:paraId="194966E2">
      <w:pPr>
        <w:pStyle w:val="4"/>
        <w:numPr>
          <w:ilvl w:val="0"/>
          <w:numId w:val="0"/>
        </w:numPr>
        <w:ind w:left="220" w:leftChars="0"/>
        <w:jc w:val="center"/>
        <w:rPr>
          <w:rFonts w:hint="eastAsia" w:ascii="宋体" w:hAnsi="宋体" w:cs="宋体"/>
          <w:color w:val="auto"/>
          <w:sz w:val="28"/>
          <w:szCs w:val="28"/>
          <w:highlight w:val="none"/>
          <w:lang w:val="zh-CN"/>
        </w:rPr>
      </w:pPr>
      <w:r>
        <w:rPr>
          <w:rFonts w:hint="eastAsia" w:ascii="宋体" w:hAnsi="宋体" w:cs="宋体"/>
          <w:color w:val="auto"/>
          <w:szCs w:val="21"/>
          <w:highlight w:val="none"/>
        </w:rPr>
        <w:br w:type="page"/>
      </w:r>
      <w:bookmarkStart w:id="369" w:name="_Toc30753"/>
      <w:bookmarkStart w:id="370" w:name="_Toc26650"/>
      <w:bookmarkStart w:id="371" w:name="_Toc26736"/>
      <w:r>
        <w:rPr>
          <w:rFonts w:hint="eastAsia" w:ascii="宋体" w:hAnsi="宋体" w:cs="宋体"/>
          <w:color w:val="auto"/>
          <w:szCs w:val="21"/>
          <w:highlight w:val="none"/>
          <w:lang w:val="en-US" w:eastAsia="zh-CN"/>
        </w:rPr>
        <w:t>3.</w:t>
      </w:r>
      <w:r>
        <w:rPr>
          <w:rFonts w:hint="eastAsia" w:ascii="宋体" w:hAnsi="宋体" w:eastAsia="宋体" w:cs="宋体"/>
          <w:b/>
          <w:bCs w:val="0"/>
          <w:color w:val="auto"/>
          <w:kern w:val="2"/>
          <w:sz w:val="28"/>
          <w:szCs w:val="28"/>
          <w:highlight w:val="none"/>
          <w:lang w:val="zh-CN" w:eastAsia="zh-CN" w:bidi="ar-SA"/>
        </w:rPr>
        <w:t>残疾人福利性单位声明函</w:t>
      </w:r>
      <w:bookmarkEnd w:id="369"/>
      <w:bookmarkEnd w:id="370"/>
      <w:bookmarkEnd w:id="371"/>
    </w:p>
    <w:p w14:paraId="6068C21F">
      <w:pPr>
        <w:pStyle w:val="9"/>
        <w:numPr>
          <w:ilvl w:val="0"/>
          <w:numId w:val="0"/>
        </w:numPr>
        <w:spacing w:line="364" w:lineRule="auto"/>
        <w:ind w:left="220" w:leftChars="0" w:right="110" w:rightChars="0"/>
        <w:jc w:val="center"/>
        <w:rPr>
          <w:rFonts w:hint="eastAsia" w:ascii="宋体" w:hAnsi="宋体" w:eastAsia="宋体" w:cs="宋体"/>
          <w:b w:val="0"/>
          <w:bCs/>
          <w:color w:val="auto"/>
          <w:sz w:val="21"/>
          <w:szCs w:val="21"/>
          <w:highlight w:val="none"/>
          <w:u w:val="none"/>
          <w:lang w:val="zh-CN"/>
        </w:rPr>
      </w:pPr>
      <w:r>
        <w:rPr>
          <w:rFonts w:hint="eastAsia" w:ascii="宋体" w:hAnsi="宋体" w:eastAsia="宋体" w:cs="宋体"/>
          <w:b w:val="0"/>
          <w:bCs/>
          <w:color w:val="auto"/>
          <w:sz w:val="21"/>
          <w:szCs w:val="21"/>
          <w:highlight w:val="none"/>
          <w:u w:val="none"/>
        </w:rPr>
        <w:t>（不属于</w:t>
      </w:r>
      <w:r>
        <w:rPr>
          <w:rFonts w:hint="eastAsia" w:ascii="宋体" w:hAnsi="宋体" w:eastAsia="宋体" w:cs="宋体"/>
          <w:b w:val="0"/>
          <w:bCs/>
          <w:color w:val="auto"/>
          <w:sz w:val="21"/>
          <w:szCs w:val="21"/>
          <w:highlight w:val="none"/>
          <w:u w:val="none"/>
          <w:lang w:val="en-US" w:eastAsia="zh-CN"/>
        </w:rPr>
        <w:t>残疾人福利性单位</w:t>
      </w:r>
      <w:r>
        <w:rPr>
          <w:rFonts w:hint="eastAsia" w:ascii="宋体" w:hAnsi="宋体" w:eastAsia="宋体" w:cs="宋体"/>
          <w:b w:val="0"/>
          <w:bCs/>
          <w:color w:val="auto"/>
          <w:sz w:val="21"/>
          <w:szCs w:val="21"/>
          <w:highlight w:val="none"/>
          <w:u w:val="none"/>
        </w:rPr>
        <w:t>的无需填写）</w:t>
      </w:r>
    </w:p>
    <w:p w14:paraId="28C6AC2C">
      <w:pPr>
        <w:pStyle w:val="6"/>
        <w:rPr>
          <w:rFonts w:hint="eastAsia" w:ascii="宋体" w:hAnsi="宋体" w:cs="宋体"/>
          <w:color w:val="auto"/>
          <w:highlight w:val="none"/>
        </w:rPr>
      </w:pPr>
    </w:p>
    <w:p w14:paraId="68A6E19D">
      <w:pPr>
        <w:adjustRightInd w:val="0"/>
        <w:snapToGrid w:val="0"/>
        <w:spacing w:line="360" w:lineRule="auto"/>
        <w:ind w:firstLine="420" w:firstLineChars="200"/>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本单位郑重声明，根据《财政部 民政部 中国残疾人联合会关于促进残疾人就业政府采购政策的通知》（财库【2017】141号）的规定，本单位为   (请填写：符合、不符合)条件的残疾人福利性单位， 且本单位参加的</w:t>
      </w: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rPr>
        <w:t>单位的</w:t>
      </w:r>
      <w:r>
        <w:rPr>
          <w:rFonts w:hint="eastAsia" w:ascii="宋体" w:hAnsi="宋体" w:cs="宋体"/>
          <w:snapToGrid w:val="0"/>
          <w:color w:val="auto"/>
          <w:szCs w:val="21"/>
          <w:highlight w:val="none"/>
          <w:u w:val="single"/>
        </w:rPr>
        <w:t xml:space="preserve">                     </w:t>
      </w:r>
      <w:r>
        <w:rPr>
          <w:rFonts w:hint="eastAsia" w:ascii="宋体" w:hAnsi="宋体" w:cs="宋体"/>
          <w:snapToGrid w:val="0"/>
          <w:color w:val="auto"/>
          <w:szCs w:val="21"/>
          <w:highlight w:val="none"/>
        </w:rPr>
        <w:t>项目采购活动提供本单位制造的货物（由本单位承担工程/提供服务），或者提供其他残疾人福利性单位制造的货物（不包含使用非残疾人福利性单位注册商标的货物）。</w:t>
      </w:r>
    </w:p>
    <w:p w14:paraId="4190B5E7">
      <w:pPr>
        <w:adjustRightInd w:val="0"/>
        <w:snapToGrid w:val="0"/>
        <w:spacing w:line="360" w:lineRule="auto"/>
        <w:ind w:firstLine="420" w:firstLineChars="200"/>
        <w:jc w:val="left"/>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本单位对上述声明的真实性负责。如有虚假，将依法承担相应责任。</w:t>
      </w:r>
    </w:p>
    <w:p w14:paraId="0FE7BF4A">
      <w:pPr>
        <w:pStyle w:val="6"/>
        <w:rPr>
          <w:rFonts w:hint="eastAsia" w:ascii="宋体" w:hAnsi="宋体" w:cs="宋体"/>
          <w:snapToGrid w:val="0"/>
          <w:color w:val="auto"/>
          <w:szCs w:val="21"/>
          <w:highlight w:val="none"/>
        </w:rPr>
      </w:pPr>
    </w:p>
    <w:p w14:paraId="75120A07">
      <w:pPr>
        <w:pStyle w:val="6"/>
        <w:rPr>
          <w:rFonts w:hint="eastAsia" w:ascii="宋体" w:hAnsi="宋体" w:cs="宋体"/>
          <w:snapToGrid w:val="0"/>
          <w:color w:val="auto"/>
          <w:szCs w:val="21"/>
          <w:highlight w:val="none"/>
        </w:rPr>
      </w:pPr>
    </w:p>
    <w:p w14:paraId="70CE0338">
      <w:pPr>
        <w:pStyle w:val="6"/>
        <w:rPr>
          <w:rFonts w:hint="eastAsia" w:ascii="宋体" w:hAnsi="宋体" w:cs="宋体"/>
          <w:snapToGrid w:val="0"/>
          <w:color w:val="auto"/>
          <w:szCs w:val="21"/>
          <w:highlight w:val="none"/>
        </w:rPr>
      </w:pPr>
    </w:p>
    <w:p w14:paraId="017EF55C">
      <w:pPr>
        <w:pStyle w:val="6"/>
        <w:rPr>
          <w:rFonts w:hint="eastAsia" w:ascii="宋体" w:hAnsi="宋体" w:cs="宋体"/>
          <w:snapToGrid w:val="0"/>
          <w:color w:val="auto"/>
          <w:szCs w:val="21"/>
          <w:highlight w:val="none"/>
        </w:rPr>
      </w:pPr>
    </w:p>
    <w:p w14:paraId="1B0ED27C">
      <w:pPr>
        <w:pStyle w:val="6"/>
        <w:rPr>
          <w:rFonts w:hint="eastAsia" w:ascii="宋体" w:hAnsi="宋体" w:cs="宋体"/>
          <w:snapToGrid w:val="0"/>
          <w:color w:val="auto"/>
          <w:szCs w:val="21"/>
          <w:highlight w:val="none"/>
        </w:rPr>
      </w:pPr>
    </w:p>
    <w:p w14:paraId="0A8FCF26">
      <w:pPr>
        <w:pStyle w:val="6"/>
        <w:rPr>
          <w:rFonts w:hint="eastAsia" w:ascii="宋体" w:hAnsi="宋体" w:cs="宋体"/>
          <w:snapToGrid w:val="0"/>
          <w:color w:val="auto"/>
          <w:szCs w:val="21"/>
          <w:highlight w:val="none"/>
        </w:rPr>
      </w:pPr>
    </w:p>
    <w:p w14:paraId="1643D22D">
      <w:pPr>
        <w:widowControl/>
        <w:tabs>
          <w:tab w:val="left" w:pos="1573"/>
        </w:tabs>
        <w:autoSpaceDN w:val="0"/>
        <w:spacing w:line="360" w:lineRule="auto"/>
        <w:ind w:left="105" w:leftChars="50"/>
        <w:jc w:val="left"/>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olor w:val="auto"/>
          <w:highlight w:val="none"/>
        </w:rPr>
        <w:t>供应商</w:t>
      </w: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（盖单位章）</w:t>
      </w:r>
    </w:p>
    <w:p w14:paraId="37C36005">
      <w:pPr>
        <w:spacing w:line="480" w:lineRule="auto"/>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法定代表人或其委托代理人（签字）：</w:t>
      </w:r>
    </w:p>
    <w:p w14:paraId="05FF3BD1">
      <w:pPr>
        <w:widowControl/>
        <w:adjustRightInd w:val="0"/>
        <w:snapToGrid w:val="0"/>
        <w:spacing w:line="360" w:lineRule="auto"/>
        <w:ind w:firstLine="666" w:firstLineChars="300"/>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日 期：   年    月    日</w:t>
      </w:r>
    </w:p>
    <w:p w14:paraId="75D3981F">
      <w:pPr>
        <w:spacing w:line="360" w:lineRule="auto"/>
        <w:ind w:firstLine="420" w:firstLineChars="200"/>
        <w:jc w:val="left"/>
        <w:outlineLvl w:val="0"/>
        <w:rPr>
          <w:rFonts w:hint="eastAsia" w:ascii="宋体" w:hAnsi="宋体" w:cs="宋体"/>
          <w:color w:val="auto"/>
          <w:szCs w:val="21"/>
          <w:highlight w:val="none"/>
        </w:rPr>
      </w:pPr>
    </w:p>
    <w:p w14:paraId="072F9A26">
      <w:pPr>
        <w:jc w:val="center"/>
        <w:outlineLvl w:val="2"/>
        <w:rPr>
          <w:rFonts w:hint="eastAsia" w:ascii="宋体" w:hAnsi="宋体" w:cs="宋体"/>
          <w:b/>
          <w:sz w:val="28"/>
          <w:szCs w:val="28"/>
        </w:rPr>
      </w:pPr>
      <w:r>
        <w:rPr>
          <w:rFonts w:hint="eastAsia" w:ascii="宋体" w:hAnsi="宋体" w:cs="宋体"/>
          <w:b/>
          <w:sz w:val="28"/>
          <w:szCs w:val="28"/>
        </w:rPr>
        <w:br w:type="page"/>
      </w:r>
      <w:bookmarkStart w:id="372" w:name="_Toc26493"/>
      <w:r>
        <w:rPr>
          <w:rFonts w:hint="eastAsia" w:ascii="宋体" w:hAnsi="宋体" w:cs="宋体"/>
          <w:b/>
          <w:sz w:val="28"/>
          <w:szCs w:val="28"/>
        </w:rPr>
        <w:t>（二）</w:t>
      </w:r>
      <w:r>
        <w:rPr>
          <w:rFonts w:hint="eastAsia" w:ascii="宋体" w:hAnsi="宋体" w:cs="宋体"/>
          <w:b/>
          <w:sz w:val="28"/>
          <w:szCs w:val="28"/>
          <w:lang w:val="en-US" w:eastAsia="zh-CN"/>
        </w:rPr>
        <w:t>磋商</w:t>
      </w:r>
      <w:r>
        <w:rPr>
          <w:rFonts w:hint="eastAsia" w:ascii="宋体" w:hAnsi="宋体" w:cs="宋体"/>
          <w:b/>
          <w:sz w:val="28"/>
          <w:szCs w:val="28"/>
        </w:rPr>
        <w:t>文件要求的或供应商认为需提供的其他资料</w:t>
      </w:r>
      <w:bookmarkEnd w:id="359"/>
      <w:bookmarkEnd w:id="372"/>
    </w:p>
    <w:p w14:paraId="0F8FF06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附表 </w:t>
      </w:r>
    </w:p>
    <w:p w14:paraId="1C482D59">
      <w:pPr>
        <w:spacing w:line="315" w:lineRule="auto"/>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最后报价表</w:t>
      </w:r>
    </w:p>
    <w:p w14:paraId="703EA69E">
      <w:pPr>
        <w:spacing w:line="315"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以政采云线上报价格式为准</w:t>
      </w:r>
      <w:r>
        <w:rPr>
          <w:rFonts w:hint="eastAsia" w:ascii="宋体" w:hAnsi="宋体" w:eastAsia="宋体" w:cs="宋体"/>
          <w:color w:val="auto"/>
          <w:sz w:val="21"/>
          <w:szCs w:val="21"/>
          <w:highlight w:val="none"/>
          <w:lang w:eastAsia="zh-CN"/>
        </w:rPr>
        <w:t>）</w:t>
      </w:r>
    </w:p>
    <w:p w14:paraId="18FBC638">
      <w:pPr>
        <w:snapToGrid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项目名称：                       </w:t>
      </w:r>
    </w:p>
    <w:p w14:paraId="1B140B82">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项目编号</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 xml:space="preserve">                                         </w:t>
      </w:r>
    </w:p>
    <w:tbl>
      <w:tblPr>
        <w:tblStyle w:val="25"/>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75"/>
        <w:gridCol w:w="4125"/>
        <w:gridCol w:w="1654"/>
      </w:tblGrid>
      <w:tr w14:paraId="495F7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5" w:hRule="exact"/>
          <w:jc w:val="center"/>
        </w:trPr>
        <w:tc>
          <w:tcPr>
            <w:tcW w:w="3975" w:type="dxa"/>
            <w:noWrap w:val="0"/>
            <w:vAlign w:val="center"/>
          </w:tcPr>
          <w:p w14:paraId="56161F6D">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供应商名称</w:t>
            </w:r>
          </w:p>
        </w:tc>
        <w:tc>
          <w:tcPr>
            <w:tcW w:w="4125" w:type="dxa"/>
            <w:tcBorders>
              <w:right w:val="single" w:color="auto" w:sz="4" w:space="0"/>
            </w:tcBorders>
            <w:noWrap w:val="0"/>
            <w:vAlign w:val="center"/>
          </w:tcPr>
          <w:p w14:paraId="42235B5E">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最后报价（元）</w:t>
            </w:r>
          </w:p>
        </w:tc>
        <w:tc>
          <w:tcPr>
            <w:tcW w:w="1654" w:type="dxa"/>
            <w:tcBorders>
              <w:right w:val="single" w:color="auto" w:sz="4" w:space="0"/>
            </w:tcBorders>
            <w:noWrap w:val="0"/>
            <w:vAlign w:val="center"/>
          </w:tcPr>
          <w:p w14:paraId="2F0DEBC3">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tc>
      </w:tr>
      <w:tr w14:paraId="224F6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64" w:hRule="exact"/>
          <w:jc w:val="center"/>
        </w:trPr>
        <w:tc>
          <w:tcPr>
            <w:tcW w:w="3975" w:type="dxa"/>
            <w:noWrap w:val="0"/>
            <w:vAlign w:val="center"/>
          </w:tcPr>
          <w:p w14:paraId="5FF51D98">
            <w:pPr>
              <w:spacing w:line="360" w:lineRule="auto"/>
              <w:rPr>
                <w:rFonts w:hint="eastAsia" w:ascii="宋体" w:hAnsi="宋体" w:eastAsia="宋体" w:cs="宋体"/>
                <w:color w:val="auto"/>
                <w:szCs w:val="21"/>
                <w:highlight w:val="none"/>
              </w:rPr>
            </w:pPr>
          </w:p>
        </w:tc>
        <w:tc>
          <w:tcPr>
            <w:tcW w:w="4125" w:type="dxa"/>
            <w:tcBorders>
              <w:right w:val="single" w:color="auto" w:sz="4" w:space="0"/>
            </w:tcBorders>
            <w:noWrap w:val="0"/>
            <w:vAlign w:val="center"/>
          </w:tcPr>
          <w:p w14:paraId="52899FBB">
            <w:pPr>
              <w:spacing w:line="360" w:lineRule="auto"/>
              <w:jc w:val="left"/>
              <w:rPr>
                <w:rFonts w:hint="default"/>
                <w:highlight w:val="none"/>
                <w:lang w:val="en-US" w:eastAsia="zh-CN"/>
              </w:rPr>
            </w:pPr>
          </w:p>
        </w:tc>
        <w:tc>
          <w:tcPr>
            <w:tcW w:w="1654" w:type="dxa"/>
            <w:tcBorders>
              <w:right w:val="single" w:color="auto" w:sz="4" w:space="0"/>
            </w:tcBorders>
            <w:noWrap w:val="0"/>
            <w:vAlign w:val="center"/>
          </w:tcPr>
          <w:p w14:paraId="7111B3FC">
            <w:pPr>
              <w:spacing w:line="360" w:lineRule="auto"/>
              <w:jc w:val="center"/>
              <w:rPr>
                <w:rFonts w:hint="eastAsia" w:ascii="宋体" w:hAnsi="宋体" w:eastAsia="宋体" w:cs="宋体"/>
                <w:color w:val="auto"/>
                <w:szCs w:val="21"/>
                <w:highlight w:val="none"/>
              </w:rPr>
            </w:pPr>
          </w:p>
        </w:tc>
      </w:tr>
    </w:tbl>
    <w:p w14:paraId="3095513B">
      <w:pPr>
        <w:spacing w:line="360" w:lineRule="auto"/>
        <w:jc w:val="lef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 xml:space="preserve">                                         </w:t>
      </w:r>
    </w:p>
    <w:p w14:paraId="06BBA1A2">
      <w:pPr>
        <w:spacing w:line="360" w:lineRule="auto"/>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备注：1、此表不需填写，不需放入响应文件格式内。</w:t>
      </w:r>
    </w:p>
    <w:p w14:paraId="13E2ABC3">
      <w:pPr>
        <w:spacing w:line="360" w:lineRule="auto"/>
        <w:ind w:firstLine="617" w:firstLineChars="294"/>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2、此表为通过初步审查合格的供应商按照磋商要求，现场填写。</w:t>
      </w:r>
    </w:p>
    <w:p w14:paraId="485FB7A8">
      <w:pPr>
        <w:spacing w:line="315" w:lineRule="auto"/>
        <w:ind w:firstLine="480" w:firstLineChars="200"/>
        <w:rPr>
          <w:rFonts w:hint="eastAsia" w:ascii="宋体" w:hAnsi="宋体" w:eastAsia="宋体" w:cs="宋体"/>
          <w:color w:val="auto"/>
          <w:sz w:val="24"/>
          <w:szCs w:val="24"/>
          <w:highlight w:val="none"/>
        </w:rPr>
      </w:pPr>
    </w:p>
    <w:p w14:paraId="3D992298">
      <w:pPr>
        <w:spacing w:line="48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cs="宋体"/>
          <w:color w:val="auto"/>
          <w:szCs w:val="21"/>
          <w:highlight w:val="none"/>
        </w:rPr>
        <w:t>法定代表人或其委托代理人（签字）</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w:t>
      </w:r>
    </w:p>
    <w:p w14:paraId="6155D600">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Cs w:val="21"/>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7FCEC2E6">
      <w:pPr>
        <w:rPr>
          <w:rFonts w:hint="eastAsia" w:ascii="宋体" w:hAnsi="宋体" w:cs="宋体"/>
          <w:color w:val="auto"/>
          <w:highlight w:val="none"/>
        </w:rPr>
      </w:pPr>
    </w:p>
    <w:p w14:paraId="5EDAE9CF"/>
    <w:sectPr>
      <w:footerReference r:id="rId15" w:type="first"/>
      <w:headerReference r:id="rId12" w:type="default"/>
      <w:footerReference r:id="rId13" w:type="default"/>
      <w:footerReference r:id="rId14" w:type="even"/>
      <w:pgSz w:w="11906" w:h="16838"/>
      <w:pgMar w:top="1134" w:right="1134" w:bottom="1134" w:left="1134" w:header="720" w:footer="720" w:gutter="0"/>
      <w:pgNumType w:fmt="decimal"/>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宋体-18030">
    <w:altName w:val="宋体"/>
    <w:panose1 w:val="00000000000000000000"/>
    <w:charset w:val="86"/>
    <w:family w:val="modern"/>
    <w:pitch w:val="default"/>
    <w:sig w:usb0="00000000" w:usb1="00000000" w:usb2="000A005E"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CC9E9">
    <w:pPr>
      <w:pStyle w:val="17"/>
      <w:framePr w:wrap="around" w:vAnchor="text" w:hAnchor="margin" w:xAlign="center" w:y="1"/>
      <w:rPr>
        <w:rStyle w:val="29"/>
        <w:rFonts w:hint="eastAsia"/>
      </w:rPr>
    </w:pPr>
  </w:p>
  <w:p w14:paraId="36BC5CC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FCBDAB">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BB468">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F1E97">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60DE86">
                          <w:pPr>
                            <w:pStyle w:val="17"/>
                          </w:pPr>
                          <w:r>
                            <w:fldChar w:fldCharType="begin"/>
                          </w:r>
                          <w:r>
                            <w:instrText xml:space="preserve"> PAGE  \* MERGEFORMAT </w:instrText>
                          </w:r>
                          <w:r>
                            <w:fldChar w:fldCharType="separate"/>
                          </w:r>
                          <w:r>
                            <w:t>II</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A60DE86">
                    <w:pPr>
                      <w:pStyle w:val="17"/>
                    </w:pPr>
                    <w:r>
                      <w:fldChar w:fldCharType="begin"/>
                    </w:r>
                    <w:r>
                      <w:instrText xml:space="preserve"> PAGE  \* MERGEFORMAT </w:instrText>
                    </w:r>
                    <w:r>
                      <w:fldChar w:fldCharType="separate"/>
                    </w:r>
                    <w:r>
                      <w:t>II</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6068C">
    <w:pPr>
      <w:spacing w:line="196" w:lineRule="auto"/>
      <w:ind w:left="4080"/>
      <w:rPr>
        <w:rFonts w:eastAsia="Times New Roman"/>
        <w:sz w:val="17"/>
        <w:szCs w:val="17"/>
      </w:rPr>
    </w:pPr>
    <w:r>
      <w:rPr>
        <w:sz w:val="17"/>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18ED88">
                          <w:pPr>
                            <w:pStyle w:val="17"/>
                          </w:pPr>
                          <w:r>
                            <w:fldChar w:fldCharType="begin"/>
                          </w:r>
                          <w:r>
                            <w:instrText xml:space="preserve"> PAGE  \* MERGEFORMAT </w:instrText>
                          </w:r>
                          <w:r>
                            <w:fldChar w:fldCharType="separate"/>
                          </w:r>
                          <w:r>
                            <w:t>LVIII</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S3JIMkBAACb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GpJieMWJ375+ePy68/l93eC&#10;PhSoD1Bj3n3AzDS88wOuzewHdGbeg4o2f5ERwTjKe77KK4dERH60Xq3XFYYExuYL4rOH5yFCei+9&#10;JdloaMT5FVn56SOkMXVOydWcv9PGlBka948DMbOH5d7HHrOVhv0wEdr79ox8ehx9Qx1uOiXmg0Nl&#10;85bMRpyN/WwcQ9SHrqxRrgfh9piwidJbrjDCToVxZoXdtF95KR7fS9bDP7X9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dLckgyQEAAJsDAAAOAAAAAAAAAAEAIAAAAB4BAABkcnMvZTJvRG9j&#10;LnhtbFBLBQYAAAAABgAGAFkBAABZBQAAAAA=&#10;">
              <v:fill on="f" focussize="0,0"/>
              <v:stroke on="f"/>
              <v:imagedata o:title=""/>
              <o:lock v:ext="edit" aspectratio="f"/>
              <v:textbox inset="0mm,0mm,0mm,0mm" style="mso-fit-shape-to-text:t;">
                <w:txbxContent>
                  <w:p w14:paraId="4918ED88">
                    <w:pPr>
                      <w:pStyle w:val="17"/>
                    </w:pPr>
                    <w:r>
                      <w:fldChar w:fldCharType="begin"/>
                    </w:r>
                    <w:r>
                      <w:instrText xml:space="preserve"> PAGE  \* MERGEFORMAT </w:instrText>
                    </w:r>
                    <w:r>
                      <w:fldChar w:fldCharType="separate"/>
                    </w:r>
                    <w:r>
                      <w:t>LVIII</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BC3EA">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90E1BED">
                          <w:pPr>
                            <w:pStyle w:val="17"/>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I</w:t>
                          </w:r>
                          <w:r>
                            <w:rPr>
                              <w:rFonts w:hint="eastAsia" w:ascii="宋体" w:hAnsi="宋体" w:cs="宋体"/>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W9EbyQEAAJsDAAAOAAAAAAAAAAEAIAAAAB4BAABkcnMvZTJvRG9j&#10;LnhtbFBLBQYAAAAABgAGAFkBAABZBQAAAAA=&#10;">
              <v:fill on="f" focussize="0,0"/>
              <v:stroke on="f"/>
              <v:imagedata o:title=""/>
              <o:lock v:ext="edit" aspectratio="f"/>
              <v:textbox inset="0mm,0mm,0mm,0mm" style="mso-fit-shape-to-text:t;">
                <w:txbxContent>
                  <w:p w14:paraId="590E1BED">
                    <w:pPr>
                      <w:pStyle w:val="17"/>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hint="eastAsia" w:ascii="宋体" w:hAnsi="宋体" w:cs="宋体"/>
                        <w:sz w:val="21"/>
                        <w:szCs w:val="21"/>
                      </w:rPr>
                      <w:t>I</w:t>
                    </w:r>
                    <w:r>
                      <w:rPr>
                        <w:rFonts w:hint="eastAsia" w:ascii="宋体" w:hAnsi="宋体" w:cs="宋体"/>
                        <w:sz w:val="21"/>
                        <w:szCs w:val="21"/>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9F0D6">
    <w:pPr>
      <w:pStyle w:val="1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C738282">
                          <w:pPr>
                            <w:pStyle w:val="17"/>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1C738282">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16F2D">
    <w:pPr>
      <w:pStyle w:val="17"/>
      <w:framePr w:wrap="around" w:vAnchor="text" w:hAnchor="margin" w:xAlign="center" w:y="1"/>
      <w:rPr>
        <w:rStyle w:val="29"/>
      </w:rPr>
    </w:pPr>
    <w:r>
      <w:fldChar w:fldCharType="begin"/>
    </w:r>
    <w:r>
      <w:rPr>
        <w:rStyle w:val="29"/>
      </w:rPr>
      <w:instrText xml:space="preserve">PAGE  </w:instrText>
    </w:r>
    <w:r>
      <w:fldChar w:fldCharType="end"/>
    </w:r>
  </w:p>
  <w:p w14:paraId="35F4AF3C">
    <w:pPr>
      <w:pStyle w:val="1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76434">
    <w:pPr>
      <w:pStyle w:val="17"/>
      <w:framePr w:wrap="around" w:vAnchor="text" w:hAnchor="margin" w:xAlign="right" w:y="1"/>
      <w:rPr>
        <w:rStyle w:val="29"/>
      </w:rPr>
    </w:pPr>
    <w:r>
      <w:fldChar w:fldCharType="begin"/>
    </w:r>
    <w:r>
      <w:rPr>
        <w:rStyle w:val="29"/>
      </w:rPr>
      <w:instrText xml:space="preserve">PAGE  </w:instrText>
    </w:r>
    <w:r>
      <w:fldChar w:fldCharType="separate"/>
    </w:r>
    <w:r>
      <w:rPr>
        <w:rStyle w:val="29"/>
      </w:rPr>
      <w:t>122</w:t>
    </w:r>
    <w:r>
      <w:fldChar w:fldCharType="end"/>
    </w:r>
  </w:p>
  <w:p w14:paraId="1367EDF6">
    <w:pPr>
      <w:pStyle w:val="17"/>
      <w:ind w:right="360"/>
      <w:jc w:val="both"/>
      <w:rPr>
        <w:rFonts w:hint="eastAsia"/>
      </w:rPr>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974EF">
    <w:pPr>
      <w:pBdr>
        <w:bottom w:val="none" w:color="auto" w:sz="0" w:space="1"/>
      </w:pBdr>
      <w:tabs>
        <w:tab w:val="center" w:pos="4153"/>
        <w:tab w:val="right" w:pos="8306"/>
      </w:tabs>
      <w:snapToGrid w:val="0"/>
      <w:rPr>
        <w:rFonts w:hint="eastAsia"/>
        <w:sz w:val="18"/>
        <w:szCs w:val="18"/>
      </w:rPr>
    </w:pPr>
    <w:bookmarkStart w:id="373" w:name="_Hlk81315209"/>
    <w:bookmarkStart w:id="374" w:name="_Hlk81315228"/>
    <w:bookmarkStart w:id="375" w:name="_Hlk81315210"/>
    <w:bookmarkStart w:id="376" w:name="_Hlk81315208"/>
    <w:bookmarkStart w:id="377" w:name="_Hlk81315227"/>
    <w:bookmarkStart w:id="378" w:name="_Hlk81315229"/>
    <w:bookmarkStart w:id="379" w:name="_Hlk81315207"/>
    <w:bookmarkStart w:id="380" w:name="_Hlk81315226"/>
    <w:r>
      <w:rPr>
        <w:rFonts w:ascii="黑体" w:hAnsi="黑体" w:eastAsia="黑体"/>
        <w:b/>
        <w:bCs/>
        <w:sz w:val="18"/>
        <w:szCs w:val="18"/>
      </w:rPr>
      <w:t xml:space="preserve">   </w:t>
    </w:r>
    <w:r>
      <w:rPr>
        <w:rFonts w:ascii="黑体" w:hAnsi="黑体" w:eastAsia="黑体"/>
        <w:sz w:val="18"/>
        <w:szCs w:val="18"/>
      </w:rPr>
      <w:t xml:space="preserve">                                                 </w:t>
    </w:r>
    <w:bookmarkEnd w:id="373"/>
    <w:bookmarkEnd w:id="374"/>
    <w:bookmarkEnd w:id="375"/>
    <w:bookmarkEnd w:id="376"/>
    <w:bookmarkEnd w:id="377"/>
    <w:bookmarkEnd w:id="378"/>
    <w:bookmarkEnd w:id="379"/>
    <w:bookmarkEnd w:id="380"/>
  </w:p>
  <w:p w14:paraId="601C334A">
    <w:pPr>
      <w:pStyle w:val="1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CFA16">
    <w:pPr>
      <w:wordWrap w:val="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89F03B">
    <w:pPr>
      <w:pStyle w:val="18"/>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B1B7EC">
    <w:pPr>
      <w:pStyle w:val="18"/>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E3A27"/>
    <w:multiLevelType w:val="singleLevel"/>
    <w:tmpl w:val="821E3A27"/>
    <w:lvl w:ilvl="0" w:tentative="0">
      <w:start w:val="2"/>
      <w:numFmt w:val="chineseCounting"/>
      <w:suff w:val="nothing"/>
      <w:lvlText w:val="%1、"/>
      <w:lvlJc w:val="left"/>
      <w:rPr>
        <w:rFonts w:hint="eastAsia"/>
      </w:rPr>
    </w:lvl>
  </w:abstractNum>
  <w:abstractNum w:abstractNumId="1">
    <w:nsid w:val="C51881F1"/>
    <w:multiLevelType w:val="singleLevel"/>
    <w:tmpl w:val="C51881F1"/>
    <w:lvl w:ilvl="0" w:tentative="0">
      <w:start w:val="1"/>
      <w:numFmt w:val="chineseCounting"/>
      <w:suff w:val="nothing"/>
      <w:lvlText w:val="%1、"/>
      <w:lvlJc w:val="left"/>
      <w:rPr>
        <w:rFonts w:hint="eastAsia"/>
      </w:rPr>
    </w:lvl>
  </w:abstractNum>
  <w:abstractNum w:abstractNumId="2">
    <w:nsid w:val="F9B09291"/>
    <w:multiLevelType w:val="singleLevel"/>
    <w:tmpl w:val="F9B09291"/>
    <w:lvl w:ilvl="0" w:tentative="0">
      <w:start w:val="5"/>
      <w:numFmt w:val="chineseCounting"/>
      <w:suff w:val="space"/>
      <w:lvlText w:val="第%1章"/>
      <w:lvlJc w:val="left"/>
      <w:rPr>
        <w:rFonts w:hint="eastAsia"/>
        <w:sz w:val="44"/>
        <w:szCs w:val="44"/>
      </w:rPr>
    </w:lvl>
  </w:abstractNum>
  <w:abstractNum w:abstractNumId="3">
    <w:nsid w:val="02FD38DB"/>
    <w:multiLevelType w:val="singleLevel"/>
    <w:tmpl w:val="02FD38DB"/>
    <w:lvl w:ilvl="0" w:tentative="0">
      <w:start w:val="1"/>
      <w:numFmt w:val="decimal"/>
      <w:suff w:val="space"/>
      <w:lvlText w:val="%1."/>
      <w:lvlJc w:val="left"/>
    </w:lvl>
  </w:abstractNum>
  <w:abstractNum w:abstractNumId="4">
    <w:nsid w:val="7C64BF2F"/>
    <w:multiLevelType w:val="singleLevel"/>
    <w:tmpl w:val="7C64BF2F"/>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393F1B"/>
    <w:rsid w:val="00512933"/>
    <w:rsid w:val="010A29DC"/>
    <w:rsid w:val="018502B5"/>
    <w:rsid w:val="01A71FD9"/>
    <w:rsid w:val="01D757D8"/>
    <w:rsid w:val="01E4322D"/>
    <w:rsid w:val="01EF3980"/>
    <w:rsid w:val="021013A5"/>
    <w:rsid w:val="02587777"/>
    <w:rsid w:val="02CB6917"/>
    <w:rsid w:val="02DC5645"/>
    <w:rsid w:val="02DF57A3"/>
    <w:rsid w:val="02E5725D"/>
    <w:rsid w:val="031713E0"/>
    <w:rsid w:val="032C4E8C"/>
    <w:rsid w:val="036C0755"/>
    <w:rsid w:val="036D68D5"/>
    <w:rsid w:val="03764359"/>
    <w:rsid w:val="03D60915"/>
    <w:rsid w:val="03E30DBA"/>
    <w:rsid w:val="03E84E6C"/>
    <w:rsid w:val="045F5080"/>
    <w:rsid w:val="04700DA8"/>
    <w:rsid w:val="0490144A"/>
    <w:rsid w:val="04952304"/>
    <w:rsid w:val="050F251D"/>
    <w:rsid w:val="062126E7"/>
    <w:rsid w:val="063F7D28"/>
    <w:rsid w:val="06426774"/>
    <w:rsid w:val="067759C5"/>
    <w:rsid w:val="06A0349B"/>
    <w:rsid w:val="06E12BAE"/>
    <w:rsid w:val="06EE004E"/>
    <w:rsid w:val="0721638A"/>
    <w:rsid w:val="072E0162"/>
    <w:rsid w:val="07397B77"/>
    <w:rsid w:val="078057A6"/>
    <w:rsid w:val="07941EA7"/>
    <w:rsid w:val="07BC2556"/>
    <w:rsid w:val="07EA0D22"/>
    <w:rsid w:val="08123F24"/>
    <w:rsid w:val="082705ED"/>
    <w:rsid w:val="0849203C"/>
    <w:rsid w:val="08F64918"/>
    <w:rsid w:val="08F8136C"/>
    <w:rsid w:val="093B0A17"/>
    <w:rsid w:val="09C42FF6"/>
    <w:rsid w:val="0A072A50"/>
    <w:rsid w:val="0A2F1D9D"/>
    <w:rsid w:val="0A2F3DF3"/>
    <w:rsid w:val="0B2253FC"/>
    <w:rsid w:val="0B723658"/>
    <w:rsid w:val="0B906705"/>
    <w:rsid w:val="0BD7170D"/>
    <w:rsid w:val="0C1110C3"/>
    <w:rsid w:val="0C510045"/>
    <w:rsid w:val="0C525237"/>
    <w:rsid w:val="0C9910B8"/>
    <w:rsid w:val="0CA97D63"/>
    <w:rsid w:val="0CC003F3"/>
    <w:rsid w:val="0D112552"/>
    <w:rsid w:val="0D196DD0"/>
    <w:rsid w:val="0D2043A4"/>
    <w:rsid w:val="0D205C25"/>
    <w:rsid w:val="0D86163D"/>
    <w:rsid w:val="0D8853B5"/>
    <w:rsid w:val="0D98515C"/>
    <w:rsid w:val="0DFC18FF"/>
    <w:rsid w:val="0E285024"/>
    <w:rsid w:val="0E2D7D0A"/>
    <w:rsid w:val="0E2F75DE"/>
    <w:rsid w:val="0E320E7D"/>
    <w:rsid w:val="0E392E5F"/>
    <w:rsid w:val="0EB36461"/>
    <w:rsid w:val="0EB7204B"/>
    <w:rsid w:val="0ED87C76"/>
    <w:rsid w:val="0FBC1346"/>
    <w:rsid w:val="10176E60"/>
    <w:rsid w:val="10196798"/>
    <w:rsid w:val="1045133B"/>
    <w:rsid w:val="10710382"/>
    <w:rsid w:val="10C96F84"/>
    <w:rsid w:val="10D17073"/>
    <w:rsid w:val="10E36DA6"/>
    <w:rsid w:val="10FC5772"/>
    <w:rsid w:val="111C0613"/>
    <w:rsid w:val="116465C4"/>
    <w:rsid w:val="11B83D8F"/>
    <w:rsid w:val="11B84BE5"/>
    <w:rsid w:val="11B94EEB"/>
    <w:rsid w:val="11D706B9"/>
    <w:rsid w:val="12723F3D"/>
    <w:rsid w:val="132439B4"/>
    <w:rsid w:val="132A0CBC"/>
    <w:rsid w:val="136F5020"/>
    <w:rsid w:val="13951B3B"/>
    <w:rsid w:val="14171240"/>
    <w:rsid w:val="14397409"/>
    <w:rsid w:val="14524530"/>
    <w:rsid w:val="14AA20B4"/>
    <w:rsid w:val="14BE790E"/>
    <w:rsid w:val="14D964F6"/>
    <w:rsid w:val="150177FB"/>
    <w:rsid w:val="15835FEF"/>
    <w:rsid w:val="15BB0D85"/>
    <w:rsid w:val="16225C7A"/>
    <w:rsid w:val="16B40FC8"/>
    <w:rsid w:val="16E85F22"/>
    <w:rsid w:val="17163A31"/>
    <w:rsid w:val="173157BB"/>
    <w:rsid w:val="17430FA8"/>
    <w:rsid w:val="17714319"/>
    <w:rsid w:val="1776002C"/>
    <w:rsid w:val="1784278F"/>
    <w:rsid w:val="18360A65"/>
    <w:rsid w:val="18BF0C54"/>
    <w:rsid w:val="18C5693E"/>
    <w:rsid w:val="18C7206F"/>
    <w:rsid w:val="193C34F7"/>
    <w:rsid w:val="19415D6E"/>
    <w:rsid w:val="1A27385F"/>
    <w:rsid w:val="1A3D3083"/>
    <w:rsid w:val="1A6E0031"/>
    <w:rsid w:val="1B0F0EC3"/>
    <w:rsid w:val="1B335D8F"/>
    <w:rsid w:val="1B724B8D"/>
    <w:rsid w:val="1BAA3A1A"/>
    <w:rsid w:val="1BCB7FB4"/>
    <w:rsid w:val="1BDD2D6F"/>
    <w:rsid w:val="1BF83F64"/>
    <w:rsid w:val="1C1C46B8"/>
    <w:rsid w:val="1C5841A4"/>
    <w:rsid w:val="1C954E9B"/>
    <w:rsid w:val="1C9553F8"/>
    <w:rsid w:val="1C9A2390"/>
    <w:rsid w:val="1D5D10C6"/>
    <w:rsid w:val="1D687BBF"/>
    <w:rsid w:val="1DC85359"/>
    <w:rsid w:val="1DD106B2"/>
    <w:rsid w:val="1E0068A1"/>
    <w:rsid w:val="1E032835"/>
    <w:rsid w:val="1E517ECC"/>
    <w:rsid w:val="1E724F5A"/>
    <w:rsid w:val="1E7D7EF2"/>
    <w:rsid w:val="1E937715"/>
    <w:rsid w:val="1EAA373D"/>
    <w:rsid w:val="1EAE09F3"/>
    <w:rsid w:val="1EFA7794"/>
    <w:rsid w:val="1F75506D"/>
    <w:rsid w:val="1FBB41F8"/>
    <w:rsid w:val="1FCC2803"/>
    <w:rsid w:val="1FD47FE6"/>
    <w:rsid w:val="1FEA4E1F"/>
    <w:rsid w:val="2014048D"/>
    <w:rsid w:val="202D6CA7"/>
    <w:rsid w:val="204A5285"/>
    <w:rsid w:val="205D2877"/>
    <w:rsid w:val="2063580D"/>
    <w:rsid w:val="206B2259"/>
    <w:rsid w:val="20D52267"/>
    <w:rsid w:val="21AE0FDC"/>
    <w:rsid w:val="21F506E7"/>
    <w:rsid w:val="22460F43"/>
    <w:rsid w:val="224F3852"/>
    <w:rsid w:val="22510509"/>
    <w:rsid w:val="225E44DE"/>
    <w:rsid w:val="22916662"/>
    <w:rsid w:val="22A4235C"/>
    <w:rsid w:val="22A87507"/>
    <w:rsid w:val="22AC0061"/>
    <w:rsid w:val="233341A4"/>
    <w:rsid w:val="235040EC"/>
    <w:rsid w:val="23614286"/>
    <w:rsid w:val="23AB72AF"/>
    <w:rsid w:val="23C349C7"/>
    <w:rsid w:val="23F92711"/>
    <w:rsid w:val="24455956"/>
    <w:rsid w:val="244F0582"/>
    <w:rsid w:val="24DB0068"/>
    <w:rsid w:val="24EE7D9B"/>
    <w:rsid w:val="253B0B07"/>
    <w:rsid w:val="25485D6F"/>
    <w:rsid w:val="25B1778B"/>
    <w:rsid w:val="25EE7927"/>
    <w:rsid w:val="263C5DD3"/>
    <w:rsid w:val="26435EC5"/>
    <w:rsid w:val="264659B5"/>
    <w:rsid w:val="26C93FD7"/>
    <w:rsid w:val="26F64CE5"/>
    <w:rsid w:val="2722242A"/>
    <w:rsid w:val="274E4B21"/>
    <w:rsid w:val="275B2D9A"/>
    <w:rsid w:val="279D2DFB"/>
    <w:rsid w:val="27DE67F2"/>
    <w:rsid w:val="27E50111"/>
    <w:rsid w:val="27EB411E"/>
    <w:rsid w:val="28553C8E"/>
    <w:rsid w:val="28743C06"/>
    <w:rsid w:val="28DC236C"/>
    <w:rsid w:val="28FF2559"/>
    <w:rsid w:val="292518B2"/>
    <w:rsid w:val="293644FC"/>
    <w:rsid w:val="29676628"/>
    <w:rsid w:val="29707D13"/>
    <w:rsid w:val="297D349C"/>
    <w:rsid w:val="299D1255"/>
    <w:rsid w:val="29A50C45"/>
    <w:rsid w:val="2A247DBB"/>
    <w:rsid w:val="2A2878AC"/>
    <w:rsid w:val="2A830F86"/>
    <w:rsid w:val="2AB033FD"/>
    <w:rsid w:val="2AE23FB8"/>
    <w:rsid w:val="2AF2781B"/>
    <w:rsid w:val="2C635DFB"/>
    <w:rsid w:val="2C6469BF"/>
    <w:rsid w:val="2C792640"/>
    <w:rsid w:val="2C92725E"/>
    <w:rsid w:val="2C9B5ED5"/>
    <w:rsid w:val="2CAB1270"/>
    <w:rsid w:val="2CE55431"/>
    <w:rsid w:val="2CEF62E9"/>
    <w:rsid w:val="2D76092E"/>
    <w:rsid w:val="2D992676"/>
    <w:rsid w:val="2DC45B3D"/>
    <w:rsid w:val="2DDD0CD9"/>
    <w:rsid w:val="2DF67CC1"/>
    <w:rsid w:val="2E431223"/>
    <w:rsid w:val="2E691A32"/>
    <w:rsid w:val="2E797DEA"/>
    <w:rsid w:val="2EED56EE"/>
    <w:rsid w:val="2FDC530C"/>
    <w:rsid w:val="30212EAD"/>
    <w:rsid w:val="306E1D90"/>
    <w:rsid w:val="31AC1DEB"/>
    <w:rsid w:val="321D289C"/>
    <w:rsid w:val="32333292"/>
    <w:rsid w:val="3264169D"/>
    <w:rsid w:val="327116BC"/>
    <w:rsid w:val="32F01183"/>
    <w:rsid w:val="332354D6"/>
    <w:rsid w:val="3328091C"/>
    <w:rsid w:val="33353039"/>
    <w:rsid w:val="33F31169"/>
    <w:rsid w:val="34A55F9D"/>
    <w:rsid w:val="34BD32E6"/>
    <w:rsid w:val="34D332FE"/>
    <w:rsid w:val="34DB376C"/>
    <w:rsid w:val="35BC17F0"/>
    <w:rsid w:val="36315025"/>
    <w:rsid w:val="365C1966"/>
    <w:rsid w:val="36B26FE9"/>
    <w:rsid w:val="36F81737"/>
    <w:rsid w:val="37333604"/>
    <w:rsid w:val="37515F68"/>
    <w:rsid w:val="375B1805"/>
    <w:rsid w:val="375F3051"/>
    <w:rsid w:val="37607933"/>
    <w:rsid w:val="376F57C5"/>
    <w:rsid w:val="377F4883"/>
    <w:rsid w:val="37886BFF"/>
    <w:rsid w:val="37941DC2"/>
    <w:rsid w:val="37E169E8"/>
    <w:rsid w:val="37EB369C"/>
    <w:rsid w:val="380533E9"/>
    <w:rsid w:val="38241E1F"/>
    <w:rsid w:val="384B3762"/>
    <w:rsid w:val="389C3213"/>
    <w:rsid w:val="39311BAD"/>
    <w:rsid w:val="39443B5D"/>
    <w:rsid w:val="39D07618"/>
    <w:rsid w:val="3ABC77B9"/>
    <w:rsid w:val="3ACC7ED7"/>
    <w:rsid w:val="3B190B4B"/>
    <w:rsid w:val="3B2C4D22"/>
    <w:rsid w:val="3B765F9D"/>
    <w:rsid w:val="3B916781"/>
    <w:rsid w:val="3BA44843"/>
    <w:rsid w:val="3BA5090C"/>
    <w:rsid w:val="3BCC2061"/>
    <w:rsid w:val="3C0B4937"/>
    <w:rsid w:val="3CE04016"/>
    <w:rsid w:val="3D0655A4"/>
    <w:rsid w:val="3D290C3F"/>
    <w:rsid w:val="3D3632D2"/>
    <w:rsid w:val="3D8449A1"/>
    <w:rsid w:val="3D851F18"/>
    <w:rsid w:val="3D9A2417"/>
    <w:rsid w:val="3EFD16C3"/>
    <w:rsid w:val="3F584337"/>
    <w:rsid w:val="3F7F7B16"/>
    <w:rsid w:val="3FCA4B09"/>
    <w:rsid w:val="401432C9"/>
    <w:rsid w:val="406A49C6"/>
    <w:rsid w:val="40754A75"/>
    <w:rsid w:val="40774C91"/>
    <w:rsid w:val="408241B1"/>
    <w:rsid w:val="40BA4B7E"/>
    <w:rsid w:val="412169AB"/>
    <w:rsid w:val="4142704D"/>
    <w:rsid w:val="42010CB6"/>
    <w:rsid w:val="42156510"/>
    <w:rsid w:val="423170C2"/>
    <w:rsid w:val="42445432"/>
    <w:rsid w:val="42781533"/>
    <w:rsid w:val="429F227D"/>
    <w:rsid w:val="42DE0FF8"/>
    <w:rsid w:val="43082452"/>
    <w:rsid w:val="432033BE"/>
    <w:rsid w:val="436112E1"/>
    <w:rsid w:val="43947908"/>
    <w:rsid w:val="43994F1E"/>
    <w:rsid w:val="43A20E8C"/>
    <w:rsid w:val="43B64397"/>
    <w:rsid w:val="43D03296"/>
    <w:rsid w:val="440548C5"/>
    <w:rsid w:val="442419FB"/>
    <w:rsid w:val="45172894"/>
    <w:rsid w:val="45CA5863"/>
    <w:rsid w:val="4669507C"/>
    <w:rsid w:val="46BC1FBC"/>
    <w:rsid w:val="472114B3"/>
    <w:rsid w:val="47CC0EBF"/>
    <w:rsid w:val="47DF4167"/>
    <w:rsid w:val="482671CA"/>
    <w:rsid w:val="482D3042"/>
    <w:rsid w:val="482E1623"/>
    <w:rsid w:val="483E37CA"/>
    <w:rsid w:val="485651CA"/>
    <w:rsid w:val="48B545A9"/>
    <w:rsid w:val="48CE5D81"/>
    <w:rsid w:val="48D229EC"/>
    <w:rsid w:val="497F5BF3"/>
    <w:rsid w:val="49A752FF"/>
    <w:rsid w:val="4A183041"/>
    <w:rsid w:val="4A616F89"/>
    <w:rsid w:val="4AAE7C6E"/>
    <w:rsid w:val="4ABA1BCB"/>
    <w:rsid w:val="4AD11DB9"/>
    <w:rsid w:val="4AD131F0"/>
    <w:rsid w:val="4AD835A5"/>
    <w:rsid w:val="4AEB2504"/>
    <w:rsid w:val="4B555BCF"/>
    <w:rsid w:val="4BA80DDD"/>
    <w:rsid w:val="4BAD5A0B"/>
    <w:rsid w:val="4BF4363A"/>
    <w:rsid w:val="4C177328"/>
    <w:rsid w:val="4C6065D9"/>
    <w:rsid w:val="4CCB30D2"/>
    <w:rsid w:val="4CF66F3E"/>
    <w:rsid w:val="4DA93FB0"/>
    <w:rsid w:val="4DE374C2"/>
    <w:rsid w:val="4DE80F7C"/>
    <w:rsid w:val="4E600B13"/>
    <w:rsid w:val="4E885714"/>
    <w:rsid w:val="4EFB6A8D"/>
    <w:rsid w:val="4F2023D8"/>
    <w:rsid w:val="4F351F9F"/>
    <w:rsid w:val="4F416B96"/>
    <w:rsid w:val="4FC61C21"/>
    <w:rsid w:val="4FD95020"/>
    <w:rsid w:val="4FE15C83"/>
    <w:rsid w:val="502B2CEE"/>
    <w:rsid w:val="508F1B83"/>
    <w:rsid w:val="50E579F5"/>
    <w:rsid w:val="510C08F5"/>
    <w:rsid w:val="518C60C3"/>
    <w:rsid w:val="519F1952"/>
    <w:rsid w:val="51A30D15"/>
    <w:rsid w:val="51B10E7C"/>
    <w:rsid w:val="51C74F23"/>
    <w:rsid w:val="51CE4254"/>
    <w:rsid w:val="520729C4"/>
    <w:rsid w:val="525766D1"/>
    <w:rsid w:val="52A03BD4"/>
    <w:rsid w:val="52C715DE"/>
    <w:rsid w:val="52D9782C"/>
    <w:rsid w:val="53034162"/>
    <w:rsid w:val="53605111"/>
    <w:rsid w:val="536746F1"/>
    <w:rsid w:val="536A2433"/>
    <w:rsid w:val="53A05E55"/>
    <w:rsid w:val="53FD0BB2"/>
    <w:rsid w:val="54053C24"/>
    <w:rsid w:val="541B0FE2"/>
    <w:rsid w:val="545A4256"/>
    <w:rsid w:val="54AB07E8"/>
    <w:rsid w:val="54DC4C6B"/>
    <w:rsid w:val="55236D3E"/>
    <w:rsid w:val="555D5DAC"/>
    <w:rsid w:val="558C48E3"/>
    <w:rsid w:val="55EA33B8"/>
    <w:rsid w:val="561F12B3"/>
    <w:rsid w:val="565C2507"/>
    <w:rsid w:val="56680EAC"/>
    <w:rsid w:val="56701B0F"/>
    <w:rsid w:val="56933A4F"/>
    <w:rsid w:val="56AD33DE"/>
    <w:rsid w:val="56BA722E"/>
    <w:rsid w:val="56C62F15"/>
    <w:rsid w:val="56E04EE6"/>
    <w:rsid w:val="5749487F"/>
    <w:rsid w:val="57673112"/>
    <w:rsid w:val="577156B3"/>
    <w:rsid w:val="578F3B91"/>
    <w:rsid w:val="579B705F"/>
    <w:rsid w:val="58313520"/>
    <w:rsid w:val="58856D1A"/>
    <w:rsid w:val="58A15A50"/>
    <w:rsid w:val="59065BDE"/>
    <w:rsid w:val="591B0458"/>
    <w:rsid w:val="592D3CE7"/>
    <w:rsid w:val="59304785"/>
    <w:rsid w:val="59345076"/>
    <w:rsid w:val="598F49A2"/>
    <w:rsid w:val="59B13512"/>
    <w:rsid w:val="59FE26FF"/>
    <w:rsid w:val="5A1D4C96"/>
    <w:rsid w:val="5A4237C2"/>
    <w:rsid w:val="5A4E660B"/>
    <w:rsid w:val="5A655703"/>
    <w:rsid w:val="5B3E51B6"/>
    <w:rsid w:val="5B817EE5"/>
    <w:rsid w:val="5BDC74BA"/>
    <w:rsid w:val="5C02380C"/>
    <w:rsid w:val="5CA05474"/>
    <w:rsid w:val="5CBD7924"/>
    <w:rsid w:val="5D50269A"/>
    <w:rsid w:val="5D846E29"/>
    <w:rsid w:val="5D8B1838"/>
    <w:rsid w:val="5DD07337"/>
    <w:rsid w:val="5DDE7CA6"/>
    <w:rsid w:val="5E192A8C"/>
    <w:rsid w:val="5EA7453C"/>
    <w:rsid w:val="5EB80621"/>
    <w:rsid w:val="5EEA7A49"/>
    <w:rsid w:val="5F011E9E"/>
    <w:rsid w:val="5F2D2C93"/>
    <w:rsid w:val="5F5226F9"/>
    <w:rsid w:val="5F555D46"/>
    <w:rsid w:val="5FA32F55"/>
    <w:rsid w:val="5FC1523D"/>
    <w:rsid w:val="5FD96977"/>
    <w:rsid w:val="5FE315A4"/>
    <w:rsid w:val="6082700E"/>
    <w:rsid w:val="60934D78"/>
    <w:rsid w:val="61961345"/>
    <w:rsid w:val="61F918F2"/>
    <w:rsid w:val="62492576"/>
    <w:rsid w:val="629C4C96"/>
    <w:rsid w:val="62A0552A"/>
    <w:rsid w:val="62BD0269"/>
    <w:rsid w:val="62C03E1E"/>
    <w:rsid w:val="62CF7BBD"/>
    <w:rsid w:val="62DA4EE0"/>
    <w:rsid w:val="62FA6C0B"/>
    <w:rsid w:val="63041C4A"/>
    <w:rsid w:val="63892462"/>
    <w:rsid w:val="638B61DA"/>
    <w:rsid w:val="63A04620"/>
    <w:rsid w:val="63DF4869"/>
    <w:rsid w:val="64105728"/>
    <w:rsid w:val="641952D5"/>
    <w:rsid w:val="64210C11"/>
    <w:rsid w:val="64A357A5"/>
    <w:rsid w:val="64B77716"/>
    <w:rsid w:val="650D2BA2"/>
    <w:rsid w:val="655B29A5"/>
    <w:rsid w:val="658A5568"/>
    <w:rsid w:val="659770B8"/>
    <w:rsid w:val="65A52ABD"/>
    <w:rsid w:val="65C45D21"/>
    <w:rsid w:val="65C6174B"/>
    <w:rsid w:val="662B5A52"/>
    <w:rsid w:val="663D5486"/>
    <w:rsid w:val="66527D73"/>
    <w:rsid w:val="667967BE"/>
    <w:rsid w:val="66A507E8"/>
    <w:rsid w:val="66D24120"/>
    <w:rsid w:val="66D734E4"/>
    <w:rsid w:val="671D183F"/>
    <w:rsid w:val="67ED6539"/>
    <w:rsid w:val="682C5E52"/>
    <w:rsid w:val="689C403A"/>
    <w:rsid w:val="68B03FED"/>
    <w:rsid w:val="68E25E09"/>
    <w:rsid w:val="69075CF4"/>
    <w:rsid w:val="696E0130"/>
    <w:rsid w:val="69CA3A30"/>
    <w:rsid w:val="6A393F1B"/>
    <w:rsid w:val="6A4C6594"/>
    <w:rsid w:val="6AA264DC"/>
    <w:rsid w:val="6AB56150"/>
    <w:rsid w:val="6B2C2051"/>
    <w:rsid w:val="6BE40822"/>
    <w:rsid w:val="6C4E249B"/>
    <w:rsid w:val="6CDA788A"/>
    <w:rsid w:val="6CE00527"/>
    <w:rsid w:val="6CEF1018"/>
    <w:rsid w:val="6D5941C6"/>
    <w:rsid w:val="6D5F3489"/>
    <w:rsid w:val="6D7763A4"/>
    <w:rsid w:val="6DF52B46"/>
    <w:rsid w:val="6E1A63C8"/>
    <w:rsid w:val="6E2C0FC2"/>
    <w:rsid w:val="6E5D4C17"/>
    <w:rsid w:val="6E9E58DE"/>
    <w:rsid w:val="6FA81EC2"/>
    <w:rsid w:val="6FB70357"/>
    <w:rsid w:val="6FCE27B8"/>
    <w:rsid w:val="700510C2"/>
    <w:rsid w:val="703B2D36"/>
    <w:rsid w:val="703B6633"/>
    <w:rsid w:val="704C0A9F"/>
    <w:rsid w:val="705931BC"/>
    <w:rsid w:val="715B3F7C"/>
    <w:rsid w:val="7189372E"/>
    <w:rsid w:val="71A068BB"/>
    <w:rsid w:val="71AD5C31"/>
    <w:rsid w:val="71DF226E"/>
    <w:rsid w:val="71E65CF2"/>
    <w:rsid w:val="720553A9"/>
    <w:rsid w:val="724644A7"/>
    <w:rsid w:val="72A16523"/>
    <w:rsid w:val="72CC4119"/>
    <w:rsid w:val="739E7864"/>
    <w:rsid w:val="73E7745D"/>
    <w:rsid w:val="73FC458A"/>
    <w:rsid w:val="740F0761"/>
    <w:rsid w:val="74130252"/>
    <w:rsid w:val="74BD1F6B"/>
    <w:rsid w:val="74C07CAE"/>
    <w:rsid w:val="74E5483D"/>
    <w:rsid w:val="757A7E5C"/>
    <w:rsid w:val="759712C6"/>
    <w:rsid w:val="75D4756D"/>
    <w:rsid w:val="75F45E61"/>
    <w:rsid w:val="75FC4D15"/>
    <w:rsid w:val="76AC04E9"/>
    <w:rsid w:val="76CB6D8E"/>
    <w:rsid w:val="7722255A"/>
    <w:rsid w:val="773D6648"/>
    <w:rsid w:val="7750356B"/>
    <w:rsid w:val="77752853"/>
    <w:rsid w:val="77FF2E6B"/>
    <w:rsid w:val="78B95140"/>
    <w:rsid w:val="78C25DA2"/>
    <w:rsid w:val="78CF6711"/>
    <w:rsid w:val="78E84DF7"/>
    <w:rsid w:val="7919798C"/>
    <w:rsid w:val="79246A5D"/>
    <w:rsid w:val="79AE27CB"/>
    <w:rsid w:val="7A1E73D5"/>
    <w:rsid w:val="7A736803"/>
    <w:rsid w:val="7A805F15"/>
    <w:rsid w:val="7ADB75EF"/>
    <w:rsid w:val="7BCC0F05"/>
    <w:rsid w:val="7C211BE0"/>
    <w:rsid w:val="7CBA1883"/>
    <w:rsid w:val="7CE42526"/>
    <w:rsid w:val="7DCC76C3"/>
    <w:rsid w:val="7DD87E16"/>
    <w:rsid w:val="7E1A042F"/>
    <w:rsid w:val="7E1E7F1F"/>
    <w:rsid w:val="7E6C4FFE"/>
    <w:rsid w:val="7EBB39C0"/>
    <w:rsid w:val="7EC02D72"/>
    <w:rsid w:val="7ECB797B"/>
    <w:rsid w:val="7ED95BF4"/>
    <w:rsid w:val="7EF42A2E"/>
    <w:rsid w:val="7F061150"/>
    <w:rsid w:val="7F153E8F"/>
    <w:rsid w:val="7F3217A8"/>
    <w:rsid w:val="7F403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39"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6"/>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line="600" w:lineRule="exact"/>
      <w:ind w:firstLine="643" w:firstLineChars="200"/>
      <w:outlineLvl w:val="2"/>
    </w:pPr>
    <w:rPr>
      <w:b/>
      <w:bCs/>
      <w:sz w:val="32"/>
      <w:szCs w:val="32"/>
    </w:rPr>
  </w:style>
  <w:style w:type="paragraph" w:styleId="5">
    <w:name w:val="heading 4"/>
    <w:basedOn w:val="1"/>
    <w:next w:val="1"/>
    <w:qFormat/>
    <w:uiPriority w:val="0"/>
    <w:pPr>
      <w:keepNext/>
      <w:keepLines/>
      <w:spacing w:before="280" w:after="290" w:line="374" w:lineRule="auto"/>
      <w:outlineLvl w:val="3"/>
    </w:pPr>
    <w:rPr>
      <w:rFonts w:ascii="Arial" w:hAnsi="Arial" w:eastAsia="黑体"/>
      <w:b/>
      <w:bCs/>
      <w:sz w:val="28"/>
      <w:szCs w:val="28"/>
    </w:rPr>
  </w:style>
  <w:style w:type="character" w:default="1" w:styleId="27">
    <w:name w:val="Default Paragraph Font"/>
    <w:semiHidden/>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6">
    <w:name w:val="Normal Indent"/>
    <w:basedOn w:val="1"/>
    <w:next w:val="1"/>
    <w:qFormat/>
    <w:uiPriority w:val="0"/>
    <w:pPr>
      <w:ind w:firstLine="420"/>
    </w:pPr>
    <w:rPr>
      <w:szCs w:val="20"/>
    </w:rPr>
  </w:style>
  <w:style w:type="paragraph" w:styleId="7">
    <w:name w:val="annotation text"/>
    <w:basedOn w:val="1"/>
    <w:qFormat/>
    <w:uiPriority w:val="0"/>
    <w:pPr>
      <w:jc w:val="left"/>
    </w:pPr>
    <w:rPr>
      <w:sz w:val="24"/>
    </w:rPr>
  </w:style>
  <w:style w:type="paragraph" w:styleId="8">
    <w:name w:val="Body Text 3"/>
    <w:basedOn w:val="1"/>
    <w:qFormat/>
    <w:uiPriority w:val="0"/>
    <w:rPr>
      <w:rFonts w:ascii="宋体"/>
      <w:sz w:val="24"/>
      <w:szCs w:val="20"/>
    </w:rPr>
  </w:style>
  <w:style w:type="paragraph" w:styleId="9">
    <w:name w:val="Body Text"/>
    <w:basedOn w:val="1"/>
    <w:next w:val="10"/>
    <w:qFormat/>
    <w:uiPriority w:val="0"/>
    <w:pPr>
      <w:spacing w:after="120"/>
    </w:pPr>
  </w:style>
  <w:style w:type="paragraph" w:customStyle="1" w:styleId="10">
    <w:name w:val="目录 61"/>
    <w:next w:val="1"/>
    <w:qFormat/>
    <w:uiPriority w:val="0"/>
    <w:pPr>
      <w:wordWrap w:val="0"/>
      <w:ind w:left="2125"/>
      <w:jc w:val="both"/>
    </w:pPr>
    <w:rPr>
      <w:rFonts w:ascii="Times New Roman" w:hAnsi="Times New Roman" w:eastAsia="宋体" w:cs="Times New Roman"/>
      <w:sz w:val="21"/>
      <w:lang w:val="en-US" w:eastAsia="zh-CN" w:bidi="ar-SA"/>
    </w:rPr>
  </w:style>
  <w:style w:type="paragraph" w:styleId="11">
    <w:name w:val="Body Text Indent"/>
    <w:basedOn w:val="1"/>
    <w:next w:val="1"/>
    <w:qFormat/>
    <w:uiPriority w:val="0"/>
    <w:pPr>
      <w:spacing w:line="200" w:lineRule="exact"/>
      <w:ind w:firstLine="301"/>
    </w:pPr>
    <w:rPr>
      <w:rFonts w:ascii="宋体" w:hAnsi="Courier New"/>
      <w:spacing w:val="-4"/>
      <w:sz w:val="18"/>
      <w:szCs w:val="20"/>
    </w:rPr>
  </w:style>
  <w:style w:type="paragraph" w:styleId="12">
    <w:name w:val="toc 3"/>
    <w:basedOn w:val="1"/>
    <w:next w:val="1"/>
    <w:qFormat/>
    <w:uiPriority w:val="0"/>
    <w:pPr>
      <w:ind w:left="840" w:leftChars="400"/>
    </w:pPr>
  </w:style>
  <w:style w:type="paragraph" w:styleId="13">
    <w:name w:val="Plain Text"/>
    <w:basedOn w:val="1"/>
    <w:qFormat/>
    <w:uiPriority w:val="0"/>
    <w:rPr>
      <w:rFonts w:ascii="宋体" w:hAnsi="Courier New"/>
      <w:szCs w:val="20"/>
    </w:rPr>
  </w:style>
  <w:style w:type="paragraph" w:styleId="14">
    <w:name w:val="Date"/>
    <w:basedOn w:val="1"/>
    <w:next w:val="1"/>
    <w:qFormat/>
    <w:uiPriority w:val="0"/>
    <w:pPr>
      <w:ind w:left="100" w:leftChars="2500"/>
    </w:pPr>
  </w:style>
  <w:style w:type="paragraph" w:styleId="15">
    <w:name w:val="Body Text Indent 2"/>
    <w:basedOn w:val="1"/>
    <w:next w:val="16"/>
    <w:qFormat/>
    <w:uiPriority w:val="0"/>
    <w:pPr>
      <w:spacing w:after="120" w:afterLines="0" w:line="480" w:lineRule="auto"/>
      <w:ind w:left="420" w:leftChars="200"/>
    </w:pPr>
  </w:style>
  <w:style w:type="paragraph" w:styleId="16">
    <w:name w:val="toc 1"/>
    <w:basedOn w:val="1"/>
    <w:next w:val="1"/>
    <w:qFormat/>
    <w:uiPriority w:val="0"/>
    <w:pPr>
      <w:spacing w:before="360" w:after="360"/>
      <w:jc w:val="left"/>
    </w:pPr>
    <w:rPr>
      <w:rFonts w:ascii="Calibri" w:hAnsi="Calibri"/>
      <w:b/>
      <w:bCs/>
      <w:caps/>
      <w:sz w:val="22"/>
      <w:szCs w:val="22"/>
      <w:u w:val="single"/>
    </w:rPr>
  </w:style>
  <w:style w:type="paragraph" w:styleId="17">
    <w:name w:val="footer"/>
    <w:basedOn w:val="1"/>
    <w:qFormat/>
    <w:uiPriority w:val="0"/>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4"/>
    <w:basedOn w:val="1"/>
    <w:next w:val="1"/>
    <w:qFormat/>
    <w:uiPriority w:val="39"/>
    <w:pPr>
      <w:ind w:left="630"/>
      <w:jc w:val="left"/>
    </w:pPr>
    <w:rPr>
      <w:sz w:val="18"/>
      <w:szCs w:val="18"/>
    </w:rPr>
  </w:style>
  <w:style w:type="paragraph" w:styleId="20">
    <w:name w:val="toc 2"/>
    <w:basedOn w:val="1"/>
    <w:next w:val="1"/>
    <w:qFormat/>
    <w:uiPriority w:val="0"/>
    <w:pPr>
      <w:ind w:left="420" w:leftChars="200"/>
    </w:pPr>
  </w:style>
  <w:style w:type="paragraph" w:styleId="21">
    <w:name w:val="Body Text 2"/>
    <w:basedOn w:val="1"/>
    <w:qFormat/>
    <w:uiPriority w:val="0"/>
    <w:pPr>
      <w:spacing w:line="480" w:lineRule="auto"/>
    </w:pPr>
    <w:rPr>
      <w:rFonts w:ascii="宋体" w:hAnsi="Calibri"/>
      <w:kern w:val="0"/>
      <w:sz w:val="34"/>
      <w:szCs w:val="20"/>
    </w:rPr>
  </w:style>
  <w:style w:type="paragraph" w:styleId="22">
    <w:name w:val="Normal (Web)"/>
    <w:basedOn w:val="1"/>
    <w:qFormat/>
    <w:uiPriority w:val="99"/>
    <w:pPr>
      <w:widowControl/>
      <w:spacing w:before="100" w:beforeLines="0" w:beforeAutospacing="1" w:after="100" w:afterLines="0" w:afterAutospacing="1"/>
      <w:jc w:val="left"/>
    </w:pPr>
    <w:rPr>
      <w:rFonts w:ascii="??" w:hAnsi="??" w:cs="宋体"/>
      <w:kern w:val="0"/>
      <w:sz w:val="24"/>
    </w:rPr>
  </w:style>
  <w:style w:type="paragraph" w:styleId="23">
    <w:name w:val="Title"/>
    <w:basedOn w:val="1"/>
    <w:next w:val="1"/>
    <w:qFormat/>
    <w:uiPriority w:val="0"/>
    <w:pPr>
      <w:widowControl/>
      <w:spacing w:before="240" w:after="60"/>
      <w:jc w:val="center"/>
      <w:outlineLvl w:val="0"/>
    </w:pPr>
    <w:rPr>
      <w:rFonts w:ascii="Arial" w:hAnsi="Arial" w:cs="Arial"/>
      <w:b/>
      <w:bCs/>
      <w:kern w:val="0"/>
      <w:sz w:val="44"/>
      <w:szCs w:val="32"/>
    </w:rPr>
  </w:style>
  <w:style w:type="paragraph" w:styleId="24">
    <w:name w:val="Body Text First Indent 2"/>
    <w:basedOn w:val="11"/>
    <w:next w:val="15"/>
    <w:qFormat/>
    <w:uiPriority w:val="0"/>
    <w:pPr>
      <w:ind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basedOn w:val="27"/>
    <w:qFormat/>
    <w:uiPriority w:val="0"/>
    <w:rPr>
      <w:rFonts w:cs="Times New Roman"/>
      <w:b/>
      <w:bCs/>
    </w:rPr>
  </w:style>
  <w:style w:type="character" w:styleId="29">
    <w:name w:val="page number"/>
    <w:qFormat/>
    <w:uiPriority w:val="0"/>
  </w:style>
  <w:style w:type="character" w:styleId="30">
    <w:name w:val="HTML Sample"/>
    <w:basedOn w:val="27"/>
    <w:qFormat/>
    <w:uiPriority w:val="0"/>
    <w:rPr>
      <w:rFonts w:ascii="Courier New" w:hAnsi="Courier New"/>
    </w:rPr>
  </w:style>
  <w:style w:type="paragraph" w:customStyle="1" w:styleId="31">
    <w:name w:val="Default"/>
    <w:next w:val="1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2">
    <w:name w:val="首行缩进"/>
    <w:basedOn w:val="1"/>
    <w:qFormat/>
    <w:uiPriority w:val="0"/>
    <w:pPr>
      <w:tabs>
        <w:tab w:val="left" w:pos="432"/>
      </w:tabs>
      <w:spacing w:line="360" w:lineRule="auto"/>
      <w:ind w:left="540"/>
    </w:pPr>
    <w:rPr>
      <w:rFonts w:ascii="Calibri" w:hAnsi="Calibri" w:eastAsia="仿宋_GB2312"/>
      <w:szCs w:val="22"/>
    </w:rPr>
  </w:style>
  <w:style w:type="paragraph" w:customStyle="1" w:styleId="33">
    <w:name w:val="目录"/>
    <w:basedOn w:val="1"/>
    <w:qFormat/>
    <w:uiPriority w:val="0"/>
    <w:pPr>
      <w:jc w:val="center"/>
    </w:pPr>
    <w:rPr>
      <w:rFonts w:ascii="宋体"/>
      <w:b/>
      <w:sz w:val="36"/>
    </w:rPr>
  </w:style>
  <w:style w:type="paragraph" w:customStyle="1" w:styleId="34">
    <w:name w:val="样式"/>
    <w:qFormat/>
    <w:uiPriority w:val="0"/>
    <w:pPr>
      <w:widowControl w:val="0"/>
      <w:autoSpaceDE w:val="0"/>
      <w:autoSpaceDN w:val="0"/>
      <w:adjustRightInd w:val="0"/>
    </w:pPr>
    <w:rPr>
      <w:rFonts w:ascii="宋体" w:hAnsi="宋体" w:eastAsia="宋体" w:cs="Times New Roman"/>
      <w:sz w:val="24"/>
      <w:lang w:val="en-US" w:eastAsia="zh-CN" w:bidi="ar-SA"/>
    </w:rPr>
  </w:style>
  <w:style w:type="paragraph" w:customStyle="1" w:styleId="35">
    <w:name w:val="_Style 3"/>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36">
    <w:name w:val="标题 1 字符"/>
    <w:link w:val="2"/>
    <w:qFormat/>
    <w:locked/>
    <w:uiPriority w:val="0"/>
    <w:rPr>
      <w:b/>
      <w:bCs/>
      <w:kern w:val="44"/>
      <w:sz w:val="44"/>
      <w:szCs w:val="44"/>
    </w:rPr>
  </w:style>
  <w:style w:type="paragraph" w:customStyle="1" w:styleId="37">
    <w:name w:val="Table Text"/>
    <w:basedOn w:val="1"/>
    <w:semiHidden/>
    <w:qFormat/>
    <w:uiPriority w:val="0"/>
    <w:rPr>
      <w:rFonts w:ascii="宋体" w:hAnsi="宋体" w:eastAsia="宋体" w:cs="宋体"/>
      <w:sz w:val="21"/>
      <w:szCs w:val="21"/>
      <w:lang w:val="en-US" w:eastAsia="en-US" w:bidi="ar-SA"/>
    </w:rPr>
  </w:style>
  <w:style w:type="table" w:customStyle="1" w:styleId="38">
    <w:name w:val="Table Normal"/>
    <w:semiHidden/>
    <w:unhideWhenUsed/>
    <w:qFormat/>
    <w:uiPriority w:val="0"/>
    <w:tblPr>
      <w:tblCellMar>
        <w:top w:w="0" w:type="dxa"/>
        <w:left w:w="0" w:type="dxa"/>
        <w:bottom w:w="0" w:type="dxa"/>
        <w:right w:w="0" w:type="dxa"/>
      </w:tblCellMar>
    </w:tblPr>
  </w:style>
  <w:style w:type="paragraph" w:styleId="39">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83</Pages>
  <Words>2465</Words>
  <Characters>3079</Characters>
  <Lines>0</Lines>
  <Paragraphs>0</Paragraphs>
  <TotalTime>24</TotalTime>
  <ScaleCrop>false</ScaleCrop>
  <LinksUpToDate>false</LinksUpToDate>
  <CharactersWithSpaces>3123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2025-03-04T03:21:00Z</dcterms:created>
  <dc:creator>周国星</dc:creator>
  <cp:lastModifiedBy>Administrator</cp:lastModifiedBy>
  <cp:lastPrinted>2026-04-02T01:29:00Z</cp:lastPrinted>
  <dcterms:modified xsi:type="dcterms:W3CDTF">2026-05-27T05:09:49Z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B2FE8B68196341BB86908156E1681979_13</vt:lpwstr>
  </property>
  <property fmtid="{D5CDD505-2E9C-101B-9397-08002B2CF9AE}" pid="4" name="KSOTemplateDocerSaveRecord">
    <vt:lpwstr>eyJoZGlkIjoiOWQ3NmZhMTcyM2QwY2QwYjY4NDg2OTIxNWY3YWY2ZWUiLCJ1c2VySWQiOiIyNTA1NDQyNjkifQ==</vt:lpwstr>
  </property>
</Properties>
</file>