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45FC">
      <w:pPr>
        <w:spacing w:line="360" w:lineRule="auto"/>
        <w:ind w:left="0" w:leftChars="0" w:firstLine="0"/>
        <w:jc w:val="both"/>
        <w:rPr>
          <w:rFonts w:hint="default" w:ascii="Times New Roman" w:hAnsi="Times New Roman" w:eastAsia="宋体" w:cs="Times New Roman"/>
          <w:b/>
          <w:bCs w:val="0"/>
          <w:sz w:val="32"/>
          <w:szCs w:val="32"/>
          <w:highlight w:val="none"/>
          <w:lang w:val="en-US" w:eastAsia="zh-CN"/>
        </w:rPr>
      </w:pPr>
    </w:p>
    <w:p w14:paraId="7FCB94E4">
      <w:pPr>
        <w:spacing w:line="360" w:lineRule="auto"/>
        <w:jc w:val="both"/>
        <w:rPr>
          <w:rFonts w:hint="default" w:ascii="Times New Roman" w:hAnsi="Times New Roman" w:cs="Times New Roman"/>
          <w:bCs/>
          <w:sz w:val="32"/>
          <w:szCs w:val="32"/>
          <w:highlight w:val="none"/>
        </w:rPr>
      </w:pPr>
    </w:p>
    <w:p w14:paraId="0501856A">
      <w:pPr>
        <w:pStyle w:val="10"/>
        <w:spacing w:line="360" w:lineRule="auto"/>
        <w:rPr>
          <w:rFonts w:hint="default"/>
        </w:rPr>
      </w:pPr>
    </w:p>
    <w:p w14:paraId="31A4E161">
      <w:pPr>
        <w:pStyle w:val="10"/>
        <w:spacing w:line="360" w:lineRule="auto"/>
        <w:jc w:val="center"/>
        <w:rPr>
          <w:rFonts w:hint="eastAsia" w:eastAsia="方正小标宋_GBK" w:cs="Times New Roman"/>
          <w:bCs/>
          <w:sz w:val="56"/>
          <w:szCs w:val="56"/>
          <w:highlight w:val="none"/>
          <w:lang w:eastAsia="zh-CN"/>
        </w:rPr>
      </w:pPr>
      <w:r>
        <w:rPr>
          <w:rFonts w:hint="eastAsia" w:eastAsia="方正小标宋_GBK" w:cs="Times New Roman"/>
          <w:bCs/>
          <w:sz w:val="56"/>
          <w:szCs w:val="56"/>
          <w:highlight w:val="none"/>
          <w:lang w:eastAsia="zh-CN"/>
        </w:rPr>
        <w:t>尉犁县智慧公安及5G链路改造建设项目</w:t>
      </w:r>
    </w:p>
    <w:p w14:paraId="54895449">
      <w:pPr>
        <w:pStyle w:val="10"/>
        <w:spacing w:line="360" w:lineRule="auto"/>
        <w:jc w:val="center"/>
        <w:rPr>
          <w:rFonts w:hint="default" w:eastAsia="方正小标宋_GBK" w:cs="Times New Roman"/>
          <w:bCs/>
          <w:sz w:val="56"/>
          <w:szCs w:val="56"/>
          <w:highlight w:val="none"/>
          <w:lang w:eastAsia="zh-CN"/>
        </w:rPr>
      </w:pPr>
    </w:p>
    <w:p w14:paraId="64CA5E7B">
      <w:pPr>
        <w:spacing w:line="360" w:lineRule="auto"/>
        <w:jc w:val="center"/>
        <w:rPr>
          <w:rFonts w:hint="default" w:ascii="Times New Roman" w:hAnsi="Times New Roman" w:eastAsia="方正小标宋_GBK" w:cs="Times New Roman"/>
          <w:bCs/>
          <w:sz w:val="56"/>
          <w:szCs w:val="56"/>
          <w:highlight w:val="none"/>
          <w:lang w:eastAsia="zh-CN"/>
        </w:rPr>
      </w:pPr>
      <w:r>
        <w:rPr>
          <w:rFonts w:hint="default" w:ascii="Times New Roman" w:hAnsi="Times New Roman" w:eastAsia="方正小标宋_GBK" w:cs="Times New Roman"/>
          <w:bCs/>
          <w:sz w:val="56"/>
          <w:szCs w:val="56"/>
          <w:highlight w:val="none"/>
        </w:rPr>
        <w:t>政府采购公开招标</w:t>
      </w:r>
      <w:r>
        <w:rPr>
          <w:rFonts w:hint="default" w:ascii="Times New Roman" w:hAnsi="Times New Roman" w:eastAsia="方正小标宋_GBK" w:cs="Times New Roman"/>
          <w:bCs/>
          <w:sz w:val="56"/>
          <w:szCs w:val="56"/>
          <w:highlight w:val="none"/>
          <w:lang w:eastAsia="zh-CN"/>
        </w:rPr>
        <w:t>文件</w:t>
      </w:r>
    </w:p>
    <w:p w14:paraId="21D34A72">
      <w:pPr>
        <w:spacing w:line="360" w:lineRule="auto"/>
        <w:jc w:val="center"/>
        <w:rPr>
          <w:rFonts w:hint="default" w:ascii="Times New Roman" w:hAnsi="Times New Roman" w:eastAsia="方正小标宋_GBK" w:cs="Times New Roman"/>
          <w:bCs/>
          <w:sz w:val="56"/>
          <w:szCs w:val="56"/>
          <w:highlight w:val="none"/>
          <w:lang w:eastAsia="zh-CN"/>
        </w:rPr>
      </w:pPr>
    </w:p>
    <w:p w14:paraId="5B7DD96D">
      <w:pPr>
        <w:pStyle w:val="23"/>
        <w:spacing w:line="360" w:lineRule="auto"/>
        <w:ind w:left="0" w:leftChars="0" w:firstLine="0" w:firstLineChars="0"/>
        <w:rPr>
          <w:rFonts w:hint="default" w:ascii="Times New Roman" w:hAnsi="Times New Roman" w:cs="Times New Roman"/>
          <w:bCs/>
          <w:sz w:val="32"/>
          <w:szCs w:val="32"/>
          <w:highlight w:val="none"/>
        </w:rPr>
      </w:pPr>
    </w:p>
    <w:p w14:paraId="5BFD9929">
      <w:pPr>
        <w:keepNext w:val="0"/>
        <w:keepLines w:val="0"/>
        <w:pageBreakBefore w:val="0"/>
        <w:kinsoku/>
        <w:wordWrap/>
        <w:overflowPunct/>
        <w:topLinePunct w:val="0"/>
        <w:autoSpaceDE/>
        <w:autoSpaceDN/>
        <w:bidi w:val="0"/>
        <w:adjustRightInd/>
        <w:snapToGrid/>
        <w:spacing w:before="101" w:line="800" w:lineRule="exact"/>
        <w:textAlignment w:val="auto"/>
        <w:rPr>
          <w:rFonts w:hint="default" w:ascii="Times New Roman" w:hAnsi="Times New Roman" w:cs="Times New Roman"/>
          <w:bCs w:val="0"/>
          <w:color w:val="auto"/>
          <w:sz w:val="31"/>
          <w:szCs w:val="31"/>
          <w:highlight w:val="none"/>
          <w14:textOutline w14:w="5791" w14:cap="sq" w14:cmpd="sng" w14:algn="ctr">
            <w14:solidFill>
              <w14:srgbClr w14:val="000000"/>
            </w14:solidFill>
            <w14:prstDash w14:val="solid"/>
            <w14:bevel/>
          </w14:textOutline>
        </w:rPr>
      </w:pPr>
    </w:p>
    <w:p w14:paraId="1B2F657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采</w:t>
      </w: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购人：</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尉犁县公安局</w:t>
      </w:r>
    </w:p>
    <w:p w14:paraId="15AB9E3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采购代理机构：</w:t>
      </w:r>
      <w:r>
        <w:rPr>
          <w:rFonts w:hint="eastAsia"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新疆中泰正信项目管理有限公司</w:t>
      </w:r>
    </w:p>
    <w:p w14:paraId="6266664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eastAsia"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招标文件编号：</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ZTZX-2026-03号</w:t>
      </w:r>
    </w:p>
    <w:p w14:paraId="1621FB82">
      <w:pPr>
        <w:widowControl/>
        <w:spacing w:beforeLines="0" w:afterLines="0" w:line="360" w:lineRule="auto"/>
        <w:jc w:val="center"/>
        <w:rPr>
          <w:rFonts w:hint="default" w:ascii="Times New Roman" w:hAnsi="Times New Roman" w:eastAsia="方正小标宋_GBK" w:cs="Times New Roman"/>
          <w:bCs/>
          <w:sz w:val="40"/>
          <w:szCs w:val="40"/>
          <w:highlight w:val="none"/>
          <w:lang w:eastAsia="zh-CN"/>
        </w:rPr>
        <w:sectPr>
          <w:footerReference r:id="rId3" w:type="default"/>
          <w:pgSz w:w="11907" w:h="16840"/>
          <w:pgMar w:top="1165" w:right="1130" w:bottom="1060" w:left="1700" w:header="830" w:footer="886" w:gutter="0"/>
          <w:pgNumType w:fmt="decimal"/>
          <w:cols w:space="720" w:num="1"/>
        </w:sectPr>
      </w:pPr>
    </w:p>
    <w:p w14:paraId="6991DCC5">
      <w:pPr>
        <w:widowControl/>
        <w:spacing w:beforeLines="0" w:afterLines="0" w:line="360" w:lineRule="auto"/>
        <w:jc w:val="center"/>
        <w:rPr>
          <w:rFonts w:hint="default" w:ascii="Times New Roman" w:hAnsi="Times New Roman" w:cs="Times New Roman"/>
          <w:bCs/>
          <w:sz w:val="32"/>
          <w:szCs w:val="32"/>
          <w:highlight w:val="none"/>
          <w:lang w:eastAsia="zh-CN"/>
        </w:rPr>
      </w:pPr>
      <w:r>
        <w:rPr>
          <w:rFonts w:hint="default" w:ascii="Times New Roman" w:hAnsi="Times New Roman" w:eastAsia="方正小标宋_GBK" w:cs="Times New Roman"/>
          <w:bCs/>
          <w:sz w:val="40"/>
          <w:szCs w:val="40"/>
          <w:highlight w:val="none"/>
          <w:lang w:eastAsia="zh-CN"/>
        </w:rPr>
        <w:t>使用说明</w:t>
      </w:r>
    </w:p>
    <w:p w14:paraId="019C790A">
      <w:pPr>
        <w:widowControl/>
        <w:spacing w:beforeLines="0" w:afterLines="0" w:line="360" w:lineRule="auto"/>
        <w:ind w:firstLine="64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为促进政府采购活动的公开、公平和公正，进一步优化政府采购营商环境，提高采购文件编制质量和采购工作效率，根据政府采购法律法规及有关政策要求，</w:t>
      </w:r>
      <w:r>
        <w:rPr>
          <w:rFonts w:hint="eastAsia" w:cs="Times New Roman" w:eastAsiaTheme="minorEastAsia"/>
          <w:bCs/>
          <w:sz w:val="28"/>
          <w:szCs w:val="28"/>
          <w:highlight w:val="none"/>
          <w:lang w:val="en-US" w:eastAsia="zh-CN"/>
        </w:rPr>
        <w:t>起草该</w:t>
      </w:r>
      <w:r>
        <w:rPr>
          <w:rFonts w:hint="default" w:ascii="Times New Roman" w:hAnsi="Times New Roman" w:cs="Times New Roman" w:eastAsiaTheme="minorEastAsia"/>
          <w:bCs/>
          <w:sz w:val="28"/>
          <w:szCs w:val="28"/>
          <w:highlight w:val="none"/>
          <w:lang w:val="en-US" w:eastAsia="zh-CN"/>
        </w:rPr>
        <w:t>采购文件参考文本，</w:t>
      </w:r>
      <w:r>
        <w:rPr>
          <w:rFonts w:hint="default" w:ascii="Times New Roman" w:hAnsi="Times New Roman" w:cs="Times New Roman" w:eastAsiaTheme="minorEastAsia"/>
          <w:b/>
          <w:bCs w:val="0"/>
          <w:sz w:val="28"/>
          <w:szCs w:val="28"/>
          <w:highlight w:val="none"/>
          <w:lang w:val="en-US" w:eastAsia="zh-CN"/>
        </w:rPr>
        <w:t>供采购人及其委托的采购代理机构在适用《中华人民共和国政府采购法》的政府采购项目中</w:t>
      </w:r>
      <w:r>
        <w:rPr>
          <w:rFonts w:hint="default" w:cs="Times New Roman" w:eastAsiaTheme="minorEastAsia"/>
          <w:b/>
          <w:bCs w:val="0"/>
          <w:sz w:val="28"/>
          <w:szCs w:val="28"/>
          <w:highlight w:val="none"/>
          <w:lang w:val="en-US" w:eastAsia="zh-CN"/>
        </w:rPr>
        <w:t>根据实际情况</w:t>
      </w:r>
      <w:r>
        <w:rPr>
          <w:rFonts w:hint="default" w:ascii="Times New Roman" w:hAnsi="Times New Roman" w:cs="Times New Roman" w:eastAsiaTheme="minorEastAsia"/>
          <w:b/>
          <w:bCs w:val="0"/>
          <w:sz w:val="28"/>
          <w:szCs w:val="28"/>
          <w:highlight w:val="none"/>
          <w:lang w:val="en-US" w:eastAsia="zh-CN"/>
        </w:rPr>
        <w:t>参考使用</w:t>
      </w:r>
      <w:r>
        <w:rPr>
          <w:rFonts w:hint="default" w:ascii="Times New Roman" w:hAnsi="Times New Roman" w:cs="Times New Roman" w:eastAsiaTheme="minorEastAsia"/>
          <w:bCs/>
          <w:sz w:val="28"/>
          <w:szCs w:val="28"/>
          <w:highlight w:val="none"/>
          <w:lang w:val="en-US" w:eastAsia="zh-CN"/>
        </w:rPr>
        <w:t>。现将相关使用说明如下：</w:t>
      </w:r>
    </w:p>
    <w:p w14:paraId="27ED9F64">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1.</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ascii="Times New Roman" w:hAnsi="Times New Roman" w:cs="Times New Roman" w:eastAsiaTheme="minorEastAsia"/>
          <w:bCs/>
          <w:sz w:val="28"/>
          <w:szCs w:val="28"/>
          <w:highlight w:val="none"/>
          <w:lang w:val="en-US" w:eastAsia="zh-CN"/>
        </w:rPr>
        <w:t>参考文本</w:t>
      </w:r>
      <w:r>
        <w:rPr>
          <w:rFonts w:hint="default" w:ascii="Times New Roman" w:hAnsi="Times New Roman" w:cs="Times New Roman" w:eastAsiaTheme="minorEastAsia"/>
          <w:bCs/>
          <w:sz w:val="28"/>
          <w:szCs w:val="28"/>
          <w:highlight w:val="none"/>
          <w:lang w:val="en-US" w:eastAsia="zh-CN"/>
        </w:rPr>
        <w:t>进行更新或调整，由此产生的法律责任</w:t>
      </w:r>
      <w:r>
        <w:rPr>
          <w:rFonts w:hint="default" w:cs="Times New Roman" w:eastAsiaTheme="minorEastAsia"/>
          <w:bCs/>
          <w:sz w:val="28"/>
          <w:szCs w:val="28"/>
          <w:highlight w:val="none"/>
          <w:lang w:val="en-US" w:eastAsia="zh-CN"/>
        </w:rPr>
        <w:t>由</w:t>
      </w:r>
      <w:r>
        <w:rPr>
          <w:rFonts w:hint="default" w:ascii="Times New Roman" w:hAnsi="Times New Roman" w:cs="Times New Roman" w:eastAsiaTheme="minorEastAsia"/>
          <w:bCs/>
          <w:sz w:val="28"/>
          <w:szCs w:val="28"/>
          <w:highlight w:val="none"/>
          <w:lang w:val="en-US" w:eastAsia="zh-CN"/>
        </w:rPr>
        <w:t>使用单位自行承担。</w:t>
      </w:r>
    </w:p>
    <w:p w14:paraId="36F61E9C">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2.</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highlight w:val="none"/>
          <w:u w:val="single"/>
          <w:lang w:val="en-US" w:eastAsia="zh-CN"/>
        </w:rPr>
        <w:t xml:space="preserve">    </w:t>
      </w:r>
      <w:r>
        <w:rPr>
          <w:rFonts w:hint="default" w:ascii="Times New Roman" w:hAnsi="Times New Roman" w:cs="Times New Roman" w:eastAsiaTheme="minorEastAsia"/>
          <w:bCs/>
          <w:sz w:val="28"/>
          <w:szCs w:val="28"/>
          <w:highlight w:val="none"/>
          <w:lang w:val="en-US" w:eastAsia="zh-CN"/>
        </w:rPr>
        <w:t>”进行具体化填写，确无需要填写内容的，在空白或下划横线“</w:t>
      </w:r>
      <w:r>
        <w:rPr>
          <w:rFonts w:hint="default" w:ascii="Times New Roman" w:hAnsi="Times New Roman" w:cs="Times New Roman" w:eastAsiaTheme="minorEastAsia"/>
          <w:bCs/>
          <w:sz w:val="28"/>
          <w:szCs w:val="28"/>
          <w:highlight w:val="none"/>
          <w:u w:val="single"/>
          <w:lang w:val="en-US" w:eastAsia="zh-CN"/>
        </w:rPr>
        <w:t xml:space="preserve">    </w:t>
      </w:r>
      <w:r>
        <w:rPr>
          <w:rFonts w:hint="default" w:ascii="Times New Roman" w:hAnsi="Times New Roman" w:cs="Times New Roman" w:eastAsiaTheme="minorEastAsia"/>
          <w:bCs/>
          <w:sz w:val="28"/>
          <w:szCs w:val="28"/>
          <w:highlight w:val="none"/>
          <w:lang w:val="en-US" w:eastAsia="zh-CN"/>
        </w:rPr>
        <w:t>”中用“/”“无”“空”或其他显著方式标记注明。</w:t>
      </w:r>
    </w:p>
    <w:p w14:paraId="386AC084">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3.</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highlight w:val="none"/>
          <w:lang w:val="en-US" w:eastAsia="zh-CN"/>
        </w:rPr>
        <w:sym w:font="Wingdings 2" w:char="00A3"/>
      </w:r>
      <w:r>
        <w:rPr>
          <w:rFonts w:hint="default" w:ascii="Times New Roman" w:hAnsi="Times New Roman" w:cs="Times New Roman" w:eastAsiaTheme="minorEastAsia"/>
          <w:bCs/>
          <w:sz w:val="28"/>
          <w:szCs w:val="28"/>
          <w:highlight w:val="none"/>
          <w:lang w:val="en-US" w:eastAsia="zh-CN"/>
        </w:rPr>
        <w:t>”形式标记的内容进行选择确定，适用于本项目的选项</w:t>
      </w:r>
      <w:r>
        <w:rPr>
          <w:rFonts w:hint="default" w:cs="Times New Roman" w:eastAsiaTheme="minorEastAsia"/>
          <w:bCs/>
          <w:sz w:val="28"/>
          <w:szCs w:val="28"/>
          <w:highlight w:val="none"/>
          <w:lang w:val="en-US" w:eastAsia="zh-CN"/>
        </w:rPr>
        <w:t>在</w:t>
      </w:r>
      <w:r>
        <w:rPr>
          <w:rFonts w:hint="default" w:ascii="Times New Roman" w:hAnsi="Times New Roman" w:cs="Times New Roman" w:eastAsiaTheme="minorEastAsia"/>
          <w:bCs/>
          <w:sz w:val="28"/>
          <w:szCs w:val="28"/>
          <w:highlight w:val="none"/>
          <w:lang w:val="en-US" w:eastAsia="zh-CN"/>
        </w:rPr>
        <w:t>“</w:t>
      </w:r>
      <w:r>
        <w:rPr>
          <w:rFonts w:hint="default" w:ascii="Times New Roman" w:hAnsi="Times New Roman" w:cs="Times New Roman" w:eastAsiaTheme="minorEastAsia"/>
          <w:bCs/>
          <w:sz w:val="28"/>
          <w:szCs w:val="28"/>
          <w:highlight w:val="none"/>
          <w:lang w:val="en-US" w:eastAsia="zh-CN"/>
        </w:rPr>
        <w:sym w:font="Wingdings 2" w:char="00A3"/>
      </w:r>
      <w:r>
        <w:rPr>
          <w:rFonts w:hint="default" w:ascii="Times New Roman" w:hAnsi="Times New Roman" w:cs="Times New Roman" w:eastAsiaTheme="minorEastAsia"/>
          <w:bCs/>
          <w:sz w:val="28"/>
          <w:szCs w:val="28"/>
          <w:highlight w:val="none"/>
          <w:lang w:val="en-US" w:eastAsia="zh-CN"/>
        </w:rPr>
        <w:t>”</w:t>
      </w:r>
      <w:r>
        <w:rPr>
          <w:rFonts w:hint="default" w:cs="Times New Roman" w:eastAsiaTheme="minorEastAsia"/>
          <w:bCs/>
          <w:sz w:val="28"/>
          <w:szCs w:val="28"/>
          <w:highlight w:val="none"/>
          <w:lang w:val="en-US" w:eastAsia="zh-CN"/>
        </w:rPr>
        <w:t>上标记</w:t>
      </w:r>
      <w:r>
        <w:rPr>
          <w:rFonts w:hint="default" w:ascii="Times New Roman" w:hAnsi="Times New Roman" w:cs="Times New Roman" w:eastAsiaTheme="minorEastAsia"/>
          <w:bCs/>
          <w:sz w:val="28"/>
          <w:szCs w:val="28"/>
          <w:highlight w:val="none"/>
          <w:lang w:val="en-US" w:eastAsia="zh-CN"/>
        </w:rPr>
        <w:t>“</w:t>
      </w:r>
      <w:r>
        <w:rPr>
          <w:rFonts w:hint="default" w:ascii="Times New Roman" w:hAnsi="Times New Roman" w:eastAsia="仿宋_GB2312" w:cs="Times New Roman"/>
          <w:bCs/>
          <w:sz w:val="28"/>
          <w:szCs w:val="28"/>
          <w:highlight w:val="none"/>
          <w:lang w:val="en-US" w:eastAsia="zh-CN"/>
        </w:rPr>
        <w:t>√</w:t>
      </w:r>
      <w:r>
        <w:rPr>
          <w:rFonts w:hint="default" w:ascii="Times New Roman" w:hAnsi="Times New Roman" w:cs="Times New Roman" w:eastAsiaTheme="minorEastAsia"/>
          <w:bCs/>
          <w:sz w:val="28"/>
          <w:szCs w:val="28"/>
          <w:highlight w:val="none"/>
          <w:lang w:val="en-US" w:eastAsia="zh-CN"/>
        </w:rPr>
        <w:t>”，不适用于本项目的选项</w:t>
      </w:r>
      <w:r>
        <w:rPr>
          <w:rFonts w:hint="default" w:cs="Times New Roman" w:eastAsiaTheme="minorEastAsia"/>
          <w:bCs/>
          <w:sz w:val="28"/>
          <w:szCs w:val="28"/>
          <w:highlight w:val="none"/>
          <w:lang w:val="en-US" w:eastAsia="zh-CN"/>
        </w:rPr>
        <w:t>不进行</w:t>
      </w:r>
      <w:r>
        <w:rPr>
          <w:rFonts w:hint="default" w:ascii="Times New Roman" w:hAnsi="Times New Roman" w:cs="Times New Roman" w:eastAsiaTheme="minorEastAsia"/>
          <w:bCs/>
          <w:sz w:val="28"/>
          <w:szCs w:val="28"/>
          <w:highlight w:val="none"/>
          <w:lang w:val="en-US" w:eastAsia="zh-CN"/>
        </w:rPr>
        <w:t>标记。</w:t>
      </w:r>
    </w:p>
    <w:p w14:paraId="60355B37">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4.</w:t>
      </w:r>
      <w:r>
        <w:rPr>
          <w:rFonts w:hint="default" w:ascii="Times New Roman" w:hAnsi="Times New Roman" w:cs="Times New Roman" w:eastAsiaTheme="minorEastAsia"/>
          <w:bCs/>
          <w:sz w:val="28"/>
          <w:szCs w:val="28"/>
          <w:highlight w:val="none"/>
          <w:lang w:val="en-US" w:eastAsia="zh-CN"/>
        </w:rPr>
        <w:t>参考文本中以斜体表示的内容，属于提示编制采购文件的注意事项，采购人及其委托的采购代理机构应予以删除。</w:t>
      </w:r>
    </w:p>
    <w:p w14:paraId="1B6CFED2">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kern w:val="2"/>
          <w:sz w:val="28"/>
          <w:szCs w:val="28"/>
          <w:lang w:val="en-US" w:eastAsia="zh-CN" w:bidi="ar-SA"/>
        </w:rPr>
        <w:t>5.</w:t>
      </w:r>
      <w:r>
        <w:rPr>
          <w:rFonts w:hint="default" w:ascii="Times New Roman" w:hAnsi="Times New Roman" w:cs="Times New Roman" w:eastAsiaTheme="minorEastAsia"/>
          <w:bCs/>
          <w:sz w:val="28"/>
          <w:szCs w:val="28"/>
          <w:highlight w:val="none"/>
          <w:lang w:val="en-US" w:eastAsia="zh-CN"/>
        </w:rPr>
        <w:t>为便于供应商查找重点内容，参考文本在第二章设置了</w:t>
      </w:r>
      <w:r>
        <w:rPr>
          <w:rFonts w:hint="eastAsia" w:ascii="Times New Roman" w:hAnsi="Times New Roman" w:cs="Times New Roman" w:eastAsiaTheme="minorEastAsia"/>
          <w:bCs/>
          <w:sz w:val="28"/>
          <w:szCs w:val="28"/>
          <w:highlight w:val="none"/>
          <w:lang w:val="en-US" w:eastAsia="zh-CN"/>
        </w:rPr>
        <w:t>《投标人</w:t>
      </w:r>
      <w:r>
        <w:rPr>
          <w:rFonts w:hint="default" w:ascii="Times New Roman" w:hAnsi="Times New Roman" w:cs="Times New Roman" w:eastAsiaTheme="minorEastAsia"/>
          <w:sz w:val="28"/>
          <w:szCs w:val="28"/>
          <w:highlight w:val="none"/>
        </w:rPr>
        <w:t>须知前附表</w:t>
      </w:r>
      <w:r>
        <w:rPr>
          <w:rFonts w:hint="eastAsia"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bCs/>
          <w:sz w:val="28"/>
          <w:szCs w:val="28"/>
          <w:highlight w:val="none"/>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highlight w:val="none"/>
          <w:lang w:val="en-US" w:eastAsia="zh-CN"/>
        </w:rPr>
        <w:t>第二章</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rPr>
        <w:t>须知前附表</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与</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lang w:val="en-US" w:eastAsia="zh-CN"/>
        </w:rPr>
        <w:t>须知</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正文内容不一致的，以</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rPr>
        <w:t>须知前附表</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为准。</w:t>
      </w:r>
    </w:p>
    <w:p w14:paraId="2C948A98">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6.</w:t>
      </w:r>
      <w:r>
        <w:rPr>
          <w:rFonts w:hint="default" w:ascii="Times New Roman" w:hAnsi="Times New Roman" w:cs="Times New Roman" w:eastAsiaTheme="minorEastAsia"/>
          <w:b w:val="0"/>
          <w:bCs/>
          <w:spacing w:val="0"/>
          <w:w w:val="100"/>
          <w:position w:val="0"/>
          <w:sz w:val="28"/>
          <w:szCs w:val="28"/>
          <w:highlight w:val="none"/>
          <w:lang w:val="en-US" w:eastAsia="zh-CN"/>
        </w:rPr>
        <w:t>对于不允许偏离的实质性要求和条件，采购人或采购代理机构应当在招标文件中规定并</w:t>
      </w:r>
      <w:r>
        <w:rPr>
          <w:rFonts w:hint="default" w:ascii="Times New Roman" w:hAnsi="Times New Roman" w:cs="Times New Roman" w:eastAsiaTheme="minorEastAsia"/>
          <w:b/>
          <w:bCs w:val="0"/>
          <w:snapToGrid/>
          <w:color w:val="auto"/>
          <w:spacing w:val="0"/>
          <w:w w:val="100"/>
          <w:kern w:val="2"/>
          <w:position w:val="0"/>
          <w:sz w:val="28"/>
          <w:szCs w:val="28"/>
          <w:highlight w:val="none"/>
          <w:lang w:val="en-US" w:eastAsia="zh-CN" w:bidi="ar-SA"/>
        </w:rPr>
        <w:t>以醒目的方式标明</w:t>
      </w:r>
      <w:r>
        <w:rPr>
          <w:rFonts w:hint="default" w:ascii="Times New Roman" w:hAnsi="Times New Roman" w:cs="Times New Roman" w:eastAsiaTheme="minorEastAsia"/>
          <w:b w:val="0"/>
          <w:bCs/>
          <w:spacing w:val="0"/>
          <w:w w:val="100"/>
          <w:position w:val="0"/>
          <w:sz w:val="28"/>
          <w:szCs w:val="28"/>
          <w:highlight w:val="none"/>
          <w:lang w:val="en-US" w:eastAsia="zh-CN"/>
        </w:rPr>
        <w:t>。</w:t>
      </w:r>
    </w:p>
    <w:p w14:paraId="5507BF38">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7.</w:t>
      </w:r>
      <w:r>
        <w:rPr>
          <w:rFonts w:hint="default" w:ascii="Times New Roman" w:hAnsi="Times New Roman" w:cs="Times New Roman" w:eastAsiaTheme="minorEastAsia"/>
          <w:bCs/>
          <w:sz w:val="28"/>
          <w:szCs w:val="28"/>
          <w:highlight w:val="none"/>
          <w:lang w:val="en-US" w:eastAsia="zh-CN"/>
        </w:rPr>
        <w:t>为避免采购文件编制过程中出现的相同内容前后不一致等错误，采购文件尽量做到相同内容只出现一次，建议其他章节涉及有关内容的，以标明条款号引用的方式体现。</w:t>
      </w:r>
    </w:p>
    <w:p w14:paraId="4F0CC13D">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8.</w:t>
      </w:r>
      <w:r>
        <w:rPr>
          <w:rFonts w:hint="default" w:ascii="Times New Roman" w:hAnsi="Times New Roman" w:cs="Times New Roman" w:eastAsiaTheme="minorEastAsia"/>
          <w:bCs/>
          <w:sz w:val="28"/>
          <w:szCs w:val="28"/>
          <w:highlight w:val="none"/>
          <w:lang w:val="en-US" w:eastAsia="zh-CN"/>
        </w:rPr>
        <w:t>参考文本在第</w:t>
      </w:r>
      <w:r>
        <w:rPr>
          <w:rFonts w:hint="default" w:cs="Times New Roman" w:eastAsiaTheme="minorEastAsia"/>
          <w:bCs/>
          <w:sz w:val="28"/>
          <w:szCs w:val="28"/>
          <w:highlight w:val="none"/>
          <w:lang w:val="en-US" w:eastAsia="zh-CN"/>
        </w:rPr>
        <w:t>三</w:t>
      </w:r>
      <w:r>
        <w:rPr>
          <w:rFonts w:hint="default" w:ascii="Times New Roman" w:hAnsi="Times New Roman" w:cs="Times New Roman" w:eastAsiaTheme="minorEastAsia"/>
          <w:bCs/>
          <w:sz w:val="28"/>
          <w:szCs w:val="28"/>
          <w:highlight w:val="none"/>
          <w:lang w:val="en-US" w:eastAsia="zh-CN"/>
        </w:rPr>
        <w:t>章“采购需求”部分列出的需求大纲，仅供采购人及其委托的采购代理机构参考</w:t>
      </w:r>
      <w:r>
        <w:rPr>
          <w:rFonts w:hint="default" w:cs="Times New Roman" w:eastAsiaTheme="minorEastAsia"/>
          <w:bCs/>
          <w:sz w:val="28"/>
          <w:szCs w:val="28"/>
          <w:highlight w:val="none"/>
          <w:lang w:val="en-US" w:eastAsia="zh-CN"/>
        </w:rPr>
        <w:t>，采购人及其委托的采购代理机构可以根据需求予以修改。</w:t>
      </w:r>
    </w:p>
    <w:p w14:paraId="0B02CBF8">
      <w:pPr>
        <w:widowControl/>
        <w:spacing w:beforeLines="0" w:afterLines="0" w:line="360" w:lineRule="auto"/>
        <w:jc w:val="left"/>
        <w:rPr>
          <w:rFonts w:hint="default" w:ascii="Times New Roman" w:hAnsi="Times New Roman" w:cs="Times New Roman"/>
          <w:bCs/>
          <w:sz w:val="32"/>
          <w:szCs w:val="32"/>
          <w:highlight w:val="none"/>
          <w:lang w:val="en-US" w:eastAsia="zh-CN"/>
        </w:rPr>
      </w:pPr>
      <w:r>
        <w:rPr>
          <w:rFonts w:hint="default" w:ascii="Times New Roman" w:hAnsi="Times New Roman" w:cs="Times New Roman"/>
          <w:bCs/>
          <w:sz w:val="32"/>
          <w:szCs w:val="32"/>
          <w:highlight w:val="none"/>
          <w:lang w:val="en-US" w:eastAsia="zh-CN"/>
        </w:rPr>
        <w:t xml:space="preserve">   </w:t>
      </w:r>
    </w:p>
    <w:p w14:paraId="30859BDE">
      <w:pPr>
        <w:widowControl/>
        <w:spacing w:beforeLines="0" w:afterLines="0" w:line="360" w:lineRule="auto"/>
        <w:jc w:val="left"/>
        <w:rPr>
          <w:rFonts w:hint="default" w:ascii="Times New Roman" w:hAnsi="Times New Roman" w:cs="Times New Roman"/>
          <w:bCs/>
          <w:sz w:val="32"/>
          <w:szCs w:val="32"/>
          <w:highlight w:val="none"/>
          <w:lang w:val="en-US" w:eastAsia="zh-CN"/>
        </w:rPr>
      </w:pPr>
      <w:r>
        <w:rPr>
          <w:rFonts w:hint="default" w:ascii="Times New Roman" w:hAnsi="Times New Roman" w:cs="Times New Roman"/>
          <w:bCs/>
          <w:sz w:val="32"/>
          <w:szCs w:val="32"/>
          <w:highlight w:val="none"/>
          <w:lang w:val="en-US" w:eastAsia="zh-CN"/>
        </w:rPr>
        <w:t xml:space="preserve"> </w:t>
      </w:r>
    </w:p>
    <w:p w14:paraId="592FDE13">
      <w:pPr>
        <w:widowControl/>
        <w:spacing w:beforeLines="0" w:afterLines="0" w:line="360" w:lineRule="auto"/>
        <w:jc w:val="left"/>
        <w:rPr>
          <w:rFonts w:hint="default" w:ascii="Times New Roman" w:hAnsi="Times New Roman" w:cs="Times New Roman"/>
          <w:bCs/>
          <w:sz w:val="32"/>
          <w:szCs w:val="32"/>
          <w:highlight w:val="none"/>
          <w:lang w:val="en-US" w:eastAsia="zh-CN"/>
        </w:rPr>
      </w:pPr>
    </w:p>
    <w:p w14:paraId="5B8E130A">
      <w:pPr>
        <w:widowControl/>
        <w:spacing w:beforeLines="0" w:afterLines="0" w:line="360" w:lineRule="auto"/>
        <w:jc w:val="left"/>
        <w:rPr>
          <w:rFonts w:hint="default" w:ascii="Times New Roman" w:hAnsi="Times New Roman" w:cs="Times New Roman"/>
          <w:bCs/>
          <w:sz w:val="32"/>
          <w:szCs w:val="32"/>
          <w:highlight w:val="none"/>
          <w:lang w:val="en-US" w:eastAsia="zh-CN"/>
        </w:rPr>
      </w:pPr>
    </w:p>
    <w:p w14:paraId="2F333D5B">
      <w:pPr>
        <w:widowControl/>
        <w:spacing w:beforeLines="0" w:afterLines="0" w:line="360" w:lineRule="auto"/>
        <w:jc w:val="left"/>
        <w:rPr>
          <w:rFonts w:hint="default" w:ascii="Times New Roman" w:hAnsi="Times New Roman" w:cs="Times New Roman"/>
          <w:bCs/>
          <w:sz w:val="32"/>
          <w:szCs w:val="32"/>
          <w:highlight w:val="none"/>
          <w:lang w:eastAsia="zh-CN"/>
        </w:rPr>
      </w:pPr>
    </w:p>
    <w:p w14:paraId="305C6103">
      <w:pPr>
        <w:widowControl/>
        <w:spacing w:beforeLines="0" w:afterLines="0" w:line="360" w:lineRule="auto"/>
        <w:jc w:val="left"/>
        <w:rPr>
          <w:rFonts w:hint="default" w:ascii="Times New Roman" w:hAnsi="Times New Roman" w:cs="Times New Roman"/>
          <w:bCs/>
          <w:sz w:val="32"/>
          <w:szCs w:val="32"/>
          <w:highlight w:val="none"/>
          <w:lang w:eastAsia="zh-CN"/>
        </w:rPr>
      </w:pPr>
    </w:p>
    <w:p w14:paraId="770F7FEB">
      <w:pPr>
        <w:widowControl/>
        <w:spacing w:beforeLines="0" w:afterLines="0" w:line="360" w:lineRule="auto"/>
        <w:jc w:val="left"/>
        <w:rPr>
          <w:rFonts w:hint="default" w:ascii="Times New Roman" w:hAnsi="Times New Roman" w:cs="Times New Roman"/>
          <w:bCs/>
          <w:sz w:val="32"/>
          <w:szCs w:val="32"/>
          <w:highlight w:val="none"/>
        </w:rPr>
      </w:pPr>
    </w:p>
    <w:p w14:paraId="2116547B">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br w:type="page"/>
      </w:r>
    </w:p>
    <w:p w14:paraId="57049E55">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t>目</w:t>
      </w:r>
      <w:r>
        <w:rPr>
          <w:rFonts w:hint="default" w:ascii="Times New Roman" w:hAnsi="Times New Roman" w:cs="Times New Roman" w:eastAsiaTheme="minorEastAsia"/>
          <w:b/>
          <w:bCs/>
          <w:sz w:val="44"/>
          <w:szCs w:val="44"/>
          <w:highlight w:val="none"/>
          <w:lang w:val="en-US" w:eastAsia="zh-CN"/>
        </w:rPr>
        <w:t xml:space="preserve">  </w:t>
      </w:r>
      <w:r>
        <w:rPr>
          <w:rFonts w:hint="default" w:ascii="Times New Roman" w:hAnsi="Times New Roman" w:cs="Times New Roman" w:eastAsiaTheme="minorEastAsia"/>
          <w:b/>
          <w:bCs/>
          <w:sz w:val="44"/>
          <w:szCs w:val="44"/>
          <w:highlight w:val="none"/>
        </w:rPr>
        <w:t>录</w:t>
      </w:r>
    </w:p>
    <w:p w14:paraId="3C85EEA6">
      <w:pPr>
        <w:spacing w:line="360" w:lineRule="auto"/>
        <w:rPr>
          <w:rFonts w:hint="default" w:ascii="Times New Roman" w:hAnsi="Times New Roman" w:cs="Times New Roman"/>
          <w:sz w:val="32"/>
          <w:szCs w:val="32"/>
          <w:highlight w:val="none"/>
        </w:rPr>
      </w:pPr>
    </w:p>
    <w:p w14:paraId="4ABFD10F">
      <w:pPr>
        <w:spacing w:line="360" w:lineRule="auto"/>
        <w:rPr>
          <w:rFonts w:hint="eastAsia"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第一章 投标邀请…………………………………………………</w:t>
      </w:r>
      <w:r>
        <w:rPr>
          <w:rFonts w:hint="eastAsia" w:cs="Times New Roman"/>
          <w:sz w:val="32"/>
          <w:szCs w:val="32"/>
          <w:highlight w:val="none"/>
          <w:lang w:val="en-US" w:eastAsia="zh-CN"/>
        </w:rPr>
        <w:t>5</w:t>
      </w:r>
    </w:p>
    <w:p w14:paraId="5910847C">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 xml:space="preserve">第二章 </w:t>
      </w:r>
      <w:r>
        <w:rPr>
          <w:rFonts w:hint="eastAsia" w:ascii="Times New Roman" w:hAnsi="Times New Roman" w:cs="Times New Roman"/>
          <w:sz w:val="32"/>
          <w:szCs w:val="32"/>
          <w:highlight w:val="none"/>
          <w:lang w:eastAsia="zh-CN"/>
        </w:rPr>
        <w:t>投标人</w:t>
      </w:r>
      <w:r>
        <w:rPr>
          <w:rFonts w:hint="default" w:ascii="Times New Roman" w:hAnsi="Times New Roman" w:cs="Times New Roman"/>
          <w:sz w:val="32"/>
          <w:szCs w:val="32"/>
          <w:highlight w:val="none"/>
        </w:rPr>
        <w:t>须知………………………………………………</w:t>
      </w:r>
      <w:r>
        <w:rPr>
          <w:rFonts w:hint="eastAsia" w:cs="Times New Roman"/>
          <w:sz w:val="32"/>
          <w:szCs w:val="32"/>
          <w:highlight w:val="none"/>
          <w:lang w:val="en-US" w:eastAsia="zh-CN"/>
        </w:rPr>
        <w:t>11</w:t>
      </w:r>
    </w:p>
    <w:p w14:paraId="10BC5D32">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三</w:t>
      </w:r>
      <w:r>
        <w:rPr>
          <w:rFonts w:hint="default" w:ascii="Times New Roman" w:hAnsi="Times New Roman" w:cs="Times New Roman"/>
          <w:sz w:val="32"/>
          <w:szCs w:val="32"/>
          <w:highlight w:val="none"/>
        </w:rPr>
        <w:t>章 采购需求…………………………………………………</w:t>
      </w:r>
      <w:r>
        <w:rPr>
          <w:rFonts w:hint="eastAsia" w:cs="Times New Roman"/>
          <w:sz w:val="32"/>
          <w:szCs w:val="32"/>
          <w:highlight w:val="none"/>
          <w:lang w:val="en-US" w:eastAsia="zh-CN"/>
        </w:rPr>
        <w:t>35</w:t>
      </w:r>
    </w:p>
    <w:p w14:paraId="3FC661E8">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四</w:t>
      </w:r>
      <w:r>
        <w:rPr>
          <w:rFonts w:hint="default" w:ascii="Times New Roman" w:hAnsi="Times New Roman" w:cs="Times New Roman"/>
          <w:sz w:val="32"/>
          <w:szCs w:val="32"/>
          <w:highlight w:val="none"/>
        </w:rPr>
        <w:t>章 资格审查…………………………………………………</w:t>
      </w:r>
      <w:r>
        <w:rPr>
          <w:rFonts w:hint="eastAsia" w:cs="Times New Roman"/>
          <w:sz w:val="32"/>
          <w:szCs w:val="32"/>
          <w:highlight w:val="none"/>
          <w:lang w:val="en-US" w:eastAsia="zh-CN"/>
        </w:rPr>
        <w:t>44</w:t>
      </w:r>
    </w:p>
    <w:p w14:paraId="02DE2271">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章 评标</w:t>
      </w:r>
      <w:r>
        <w:rPr>
          <w:rFonts w:hint="default" w:ascii="Times New Roman" w:hAnsi="Times New Roman" w:cs="Times New Roman"/>
          <w:sz w:val="32"/>
          <w:szCs w:val="32"/>
          <w:highlight w:val="none"/>
          <w:lang w:eastAsia="zh-CN"/>
        </w:rPr>
        <w:t>程序</w:t>
      </w: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47</w:t>
      </w:r>
    </w:p>
    <w:p w14:paraId="02382874">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rFonts w:hint="default" w:ascii="Times New Roman" w:hAnsi="Times New Roman" w:cs="Times New Roman"/>
          <w:sz w:val="32"/>
          <w:szCs w:val="32"/>
          <w:highlight w:val="none"/>
          <w:lang w:eastAsia="zh-CN"/>
        </w:rPr>
        <w:t>拟签订的合同文本</w:t>
      </w: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54</w:t>
      </w:r>
    </w:p>
    <w:p w14:paraId="6E6AF0D2">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r>
        <w:rPr>
          <w:rFonts w:hint="eastAsia" w:cs="Times New Roman"/>
          <w:sz w:val="32"/>
          <w:szCs w:val="32"/>
          <w:highlight w:val="none"/>
          <w:lang w:val="en-US" w:eastAsia="zh-CN"/>
        </w:rPr>
        <w:t>59</w:t>
      </w:r>
    </w:p>
    <w:p w14:paraId="0E022DF7">
      <w:pPr>
        <w:widowControl/>
        <w:spacing w:line="360" w:lineRule="auto"/>
        <w:jc w:val="left"/>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73A07B3F">
      <w:pPr>
        <w:pStyle w:val="3"/>
        <w:adjustRightInd w:val="0"/>
        <w:snapToGrid w:val="0"/>
        <w:spacing w:before="0" w:after="0" w:line="360" w:lineRule="auto"/>
        <w:rPr>
          <w:rFonts w:hint="eastAsia" w:ascii="宋体" w:hAnsi="宋体" w:eastAsia="宋体" w:cs="宋体"/>
          <w:b/>
          <w:bCs w:val="0"/>
          <w:color w:val="auto"/>
          <w:sz w:val="36"/>
          <w:szCs w:val="36"/>
          <w:highlight w:val="none"/>
        </w:rPr>
      </w:pPr>
      <w:bookmarkStart w:id="0" w:name="_Toc14284"/>
      <w:r>
        <w:rPr>
          <w:rFonts w:hint="eastAsia" w:ascii="宋体" w:hAnsi="宋体" w:eastAsia="宋体" w:cs="宋体"/>
          <w:b/>
          <w:bCs w:val="0"/>
          <w:color w:val="auto"/>
          <w:sz w:val="36"/>
          <w:szCs w:val="36"/>
          <w:highlight w:val="none"/>
          <w:lang w:eastAsia="zh-CN"/>
        </w:rPr>
        <w:t>第一章</w:t>
      </w: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rPr>
        <w:t>招 标 公 告</w:t>
      </w:r>
      <w:bookmarkEnd w:id="0"/>
      <w:bookmarkStart w:id="1" w:name="_Toc1120"/>
      <w:bookmarkStart w:id="2" w:name="_Toc3441"/>
      <w:bookmarkStart w:id="3" w:name="_Toc12408"/>
    </w:p>
    <w:bookmarkEnd w:id="1"/>
    <w:bookmarkEnd w:id="2"/>
    <w:bookmarkEnd w:id="3"/>
    <w:p w14:paraId="2E22C207">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C3F3DCC">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u w:val="single"/>
        </w:rPr>
        <w:t>尉犁县智慧公安及5G链路改造建设项目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新疆政采云平台https://www.zcygov.cn/</w:t>
      </w:r>
      <w:r>
        <w:rPr>
          <w:rFonts w:hint="eastAsia" w:ascii="宋体" w:hAnsi="宋体" w:eastAsia="宋体" w:cs="宋体"/>
          <w:color w:val="auto"/>
          <w:sz w:val="24"/>
          <w:szCs w:val="24"/>
          <w:highlight w:val="none"/>
        </w:rPr>
        <w:t>在线申请获取招标文件（进入“项目采购”应用，在获取采购文件菜单中选择项目，申请获取采购文件），并于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r>
        <w:rPr>
          <w:rFonts w:hint="eastAsia" w:ascii="宋体" w:hAnsi="宋体" w:eastAsia="宋体" w:cs="宋体"/>
          <w:bCs/>
          <w:color w:val="auto"/>
          <w:sz w:val="24"/>
          <w:szCs w:val="24"/>
          <w:highlight w:val="none"/>
          <w:u w:val="single"/>
        </w:rPr>
        <w:t>10点30分</w:t>
      </w:r>
      <w:r>
        <w:rPr>
          <w:rFonts w:hint="eastAsia" w:ascii="宋体" w:hAnsi="宋体" w:eastAsia="宋体" w:cs="宋体"/>
          <w:bCs/>
          <w:color w:val="auto"/>
          <w:sz w:val="24"/>
          <w:szCs w:val="24"/>
          <w:highlight w:val="none"/>
        </w:rPr>
        <w:t>（北京时间）前提交</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05FDDBF3">
      <w:pPr>
        <w:adjustRightInd w:val="0"/>
        <w:snapToGrid w:val="0"/>
        <w:spacing w:line="360" w:lineRule="auto"/>
        <w:rPr>
          <w:rFonts w:hint="eastAsia" w:ascii="宋体" w:hAnsi="宋体" w:eastAsia="宋体" w:cs="宋体"/>
          <w:color w:val="auto"/>
          <w:sz w:val="24"/>
          <w:szCs w:val="24"/>
          <w:highlight w:val="none"/>
        </w:rPr>
      </w:pPr>
    </w:p>
    <w:p w14:paraId="583B2CF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3CD9279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项目编号：ZTZX-2026-03号</w:t>
      </w:r>
    </w:p>
    <w:p w14:paraId="79482D10">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项目名称：尉犁县智慧公安及5G链路改造建设项目</w:t>
      </w:r>
    </w:p>
    <w:p w14:paraId="137638F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2CC8D9F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0000000.00元</w:t>
      </w:r>
    </w:p>
    <w:p w14:paraId="1A928FC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0000000.00元</w:t>
      </w:r>
    </w:p>
    <w:p w14:paraId="6B2B6A8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采购内容：采购一批智慧公安设备(</w:t>
      </w:r>
      <w:r>
        <w:rPr>
          <w:rFonts w:hint="eastAsia" w:ascii="宋体" w:hAnsi="宋体" w:eastAsia="宋体" w:cs="宋体"/>
          <w:color w:val="auto"/>
          <w:sz w:val="24"/>
          <w:szCs w:val="24"/>
          <w:highlight w:val="none"/>
          <w:lang w:eastAsia="zh-CN"/>
        </w:rPr>
        <w:t>具体见第三章《采购需求》</w:t>
      </w:r>
      <w:r>
        <w:rPr>
          <w:rFonts w:hint="eastAsia" w:ascii="宋体" w:hAnsi="宋体" w:eastAsia="宋体" w:cs="宋体"/>
          <w:color w:val="auto"/>
          <w:sz w:val="24"/>
          <w:szCs w:val="24"/>
          <w:highlight w:val="none"/>
        </w:rPr>
        <w:t>）</w:t>
      </w:r>
    </w:p>
    <w:p w14:paraId="6EC6921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合同履行期限：合同签订后90日（日历日）内完成设备的供货及调试安装等全部工作内容。质保期：3年。</w:t>
      </w:r>
    </w:p>
    <w:p w14:paraId="3A03E8C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172A214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A87211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2.落实政府采购政策需满足的资格要求：本项目专门面向中小企业预留份额</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其中专门面向小微企业预留份额：60.00%）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4A4E32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3.本项目的特定资格要求：具备电子与智能化工程专业承包贰级及以上资质。</w:t>
      </w:r>
    </w:p>
    <w:p w14:paraId="0EC01E50">
      <w:pPr>
        <w:pStyle w:val="7"/>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4.本项目（否）接受联合体投标。</w:t>
      </w:r>
    </w:p>
    <w:p w14:paraId="444BE5E1">
      <w:pPr>
        <w:pStyle w:val="7"/>
        <w:ind w:left="0" w:leftChars="0" w:firstLine="0" w:firstLineChars="0"/>
        <w:rPr>
          <w:rFonts w:hint="default" w:eastAsia="宋体"/>
          <w:lang w:val="en-US" w:eastAsia="zh-CN"/>
        </w:rPr>
      </w:pPr>
    </w:p>
    <w:p w14:paraId="7195E17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p>
    <w:p w14:paraId="0EA96A0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日，每天上午00:00至12:00，下午12:00至23:59（北京时间，法定节假日除外）。</w:t>
      </w:r>
    </w:p>
    <w:p w14:paraId="69D7B87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地点：登陆政采云平台http://www.zcygov.cn/在线申请获取。</w:t>
      </w:r>
    </w:p>
    <w:p w14:paraId="1C423FA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B39158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售价：免费获取</w:t>
      </w:r>
    </w:p>
    <w:p w14:paraId="0CAB1BD0">
      <w:pPr>
        <w:adjustRightInd w:val="0"/>
        <w:snapToGrid w:val="0"/>
        <w:spacing w:line="360" w:lineRule="auto"/>
        <w:rPr>
          <w:rFonts w:hint="eastAsia" w:ascii="宋体" w:hAnsi="宋体" w:eastAsia="宋体" w:cs="宋体"/>
          <w:color w:val="auto"/>
          <w:sz w:val="24"/>
          <w:szCs w:val="24"/>
          <w:highlight w:val="none"/>
        </w:rPr>
      </w:pPr>
      <w:bookmarkStart w:id="4" w:name="_Toc35393793"/>
      <w:bookmarkStart w:id="5" w:name="_Toc35393624"/>
      <w:bookmarkStart w:id="6" w:name="_Toc28359082"/>
      <w:bookmarkStart w:id="7" w:name="_Toc28359005"/>
      <w:r>
        <w:rPr>
          <w:rFonts w:hint="eastAsia" w:ascii="宋体" w:hAnsi="宋体" w:eastAsia="宋体" w:cs="宋体"/>
          <w:color w:val="auto"/>
          <w:sz w:val="24"/>
          <w:szCs w:val="24"/>
          <w:highlight w:val="none"/>
        </w:rPr>
        <w:t>四、</w:t>
      </w:r>
      <w:bookmarkEnd w:id="4"/>
      <w:bookmarkEnd w:id="5"/>
      <w:bookmarkEnd w:id="6"/>
      <w:bookmarkEnd w:id="7"/>
      <w:r>
        <w:rPr>
          <w:rFonts w:hint="eastAsia" w:ascii="宋体" w:hAnsi="宋体" w:eastAsia="宋体" w:cs="宋体"/>
          <w:color w:val="auto"/>
          <w:sz w:val="24"/>
          <w:szCs w:val="24"/>
          <w:highlight w:val="none"/>
        </w:rPr>
        <w:t>提交投标文件截止时间、开标时间和地点</w:t>
      </w:r>
    </w:p>
    <w:p w14:paraId="771CEC1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日10时30分（北京时间）</w:t>
      </w:r>
    </w:p>
    <w:p w14:paraId="1173E55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地点：请登录政采云投标客户端投标</w:t>
      </w:r>
    </w:p>
    <w:p w14:paraId="01B89C4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、公告期限</w:t>
      </w:r>
    </w:p>
    <w:p w14:paraId="1C862B7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228E8E3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、其他补充事宜</w:t>
      </w:r>
    </w:p>
    <w:p w14:paraId="5FDFEC1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14:paraId="2477F67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2.本项目实行网上投标，采用电子响应文件(供应商须使用CA加密设备通过政采云电子投标客户端制作响应文件)。若供应商参与投标，自行承担投标一切费用。</w:t>
      </w:r>
    </w:p>
    <w:p w14:paraId="1210D16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14:paraId="61A5721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 </w:t>
      </w:r>
    </w:p>
    <w:p w14:paraId="369AF1A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可以支票、汇票、本票、电汇、转账或者金融机构、保险公司、担保机构出具的电子保函等非现金形式提交，若以政采云电子保函方式缴纳，具体办理流程详见新疆政府采购网《新疆维吾尔自治区政府采购电子保函工作方案》。投标人以电子保函形式缴纳投标保证金的，可以通过“新疆政府采购网”的“电子保函”模块申请购买：直达链接（电子保函）：</w:t>
      </w:r>
    </w:p>
    <w:p w14:paraId="0F6CFB4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https://jinrong.zcygov.cn/luban/finance/letter/xinjiang?pageModelFlag=650000</w:t>
      </w:r>
    </w:p>
    <w:p w14:paraId="3C8928A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金融服务支撑热线：0991-2661159</w:t>
      </w:r>
    </w:p>
    <w:p w14:paraId="075CBF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6.办理电子保函必须在投标截止时间（开标时间）前完成。投标人需自行评估异地、跨行、公休日等因素造成的保函办理延迟风险，并承担相应责任；</w:t>
      </w:r>
    </w:p>
    <w:p w14:paraId="45B3840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、对本次采购提出询问，请按以下方式联系</w:t>
      </w:r>
    </w:p>
    <w:p w14:paraId="3615C96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1DD994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称：尉犁县公安局</w:t>
      </w:r>
    </w:p>
    <w:p w14:paraId="099ADF8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址：尉犁县</w:t>
      </w:r>
    </w:p>
    <w:p w14:paraId="69E6FD6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联系方式：18999003451 </w:t>
      </w:r>
    </w:p>
    <w:p w14:paraId="0B6703B9">
      <w:pPr>
        <w:adjustRightInd w:val="0"/>
        <w:snapToGrid w:val="0"/>
        <w:spacing w:line="36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采购代理机构信息</w:t>
      </w:r>
    </w:p>
    <w:p w14:paraId="0314EF34">
      <w:pPr>
        <w:adjustRightInd w:val="0"/>
        <w:snapToGrid w:val="0"/>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新疆中泰正信项目管理有限公司</w:t>
      </w:r>
      <w:r>
        <w:rPr>
          <w:rFonts w:hint="default" w:ascii="宋体" w:hAnsi="宋体" w:eastAsia="宋体" w:cs="宋体"/>
          <w:color w:val="auto"/>
          <w:sz w:val="24"/>
          <w:szCs w:val="24"/>
          <w:highlight w:val="none"/>
        </w:rPr>
        <w:t xml:space="preserve">                                  </w:t>
      </w:r>
    </w:p>
    <w:p w14:paraId="4099D646">
      <w:pPr>
        <w:adjustRightInd w:val="0"/>
        <w:snapToGrid w:val="0"/>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库尔勒市甘肃大厦6楼 </w:t>
      </w:r>
      <w:r>
        <w:rPr>
          <w:rFonts w:hint="default" w:ascii="宋体" w:hAnsi="宋体" w:eastAsia="宋体" w:cs="宋体"/>
          <w:color w:val="auto"/>
          <w:sz w:val="24"/>
          <w:szCs w:val="24"/>
          <w:highlight w:val="none"/>
        </w:rPr>
        <w:t xml:space="preserve">                              </w:t>
      </w:r>
    </w:p>
    <w:p w14:paraId="09344F41">
      <w:pPr>
        <w:adjustRightInd w:val="0"/>
        <w:snapToGrid w:val="0"/>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张璐</w:t>
      </w:r>
      <w:r>
        <w:rPr>
          <w:rFonts w:hint="default" w:ascii="宋体" w:hAnsi="宋体" w:eastAsia="宋体" w:cs="宋体"/>
          <w:color w:val="auto"/>
          <w:sz w:val="24"/>
          <w:szCs w:val="24"/>
          <w:highlight w:val="none"/>
        </w:rPr>
        <w:t xml:space="preserve">    </w:t>
      </w:r>
    </w:p>
    <w:p w14:paraId="75433066">
      <w:pPr>
        <w:adjustRightInd w:val="0"/>
        <w:snapToGrid w:val="0"/>
        <w:spacing w:line="360" w:lineRule="auto"/>
        <w:rPr>
          <w:rFonts w:hint="default" w:ascii="Times New Roman" w:hAnsi="Times New Roman" w:cs="Times New Roman"/>
          <w:color w:val="FF0000"/>
          <w:sz w:val="28"/>
          <w:szCs w:val="28"/>
          <w:highlight w:val="none"/>
        </w:rPr>
      </w:pPr>
      <w:r>
        <w:rPr>
          <w:rFonts w:hint="default" w:ascii="宋体" w:hAnsi="宋体" w:eastAsia="宋体" w:cs="宋体"/>
          <w:color w:val="auto"/>
          <w:sz w:val="24"/>
          <w:szCs w:val="24"/>
          <w:highlight w:val="none"/>
        </w:rPr>
        <w:t xml:space="preserve">电  话：18196262187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hint="default" w:ascii="Times New Roman" w:hAnsi="Times New Roman" w:cs="Times New Roman"/>
          <w:sz w:val="28"/>
          <w:szCs w:val="28"/>
          <w:highlight w:val="none"/>
        </w:rPr>
        <w:t xml:space="preserve">            </w:t>
      </w:r>
    </w:p>
    <w:p w14:paraId="53A8CE00">
      <w:p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u w:val="none"/>
        </w:rPr>
        <w:t>　　　　　</w:t>
      </w:r>
      <w:r>
        <w:rPr>
          <w:rFonts w:hint="default" w:ascii="Times New Roman" w:hAnsi="Times New Roman" w:eastAsia="宋体" w:cs="Times New Roman"/>
          <w:sz w:val="28"/>
          <w:szCs w:val="28"/>
          <w:highlight w:val="none"/>
        </w:rPr>
        <w:t>　　　　　　</w:t>
      </w:r>
    </w:p>
    <w:p w14:paraId="20B30252">
      <w:pPr>
        <w:adjustRightInd w:val="0"/>
        <w:snapToGrid w:val="0"/>
        <w:spacing w:beforeLines="0" w:afterLines="0" w:line="360" w:lineRule="auto"/>
        <w:ind w:firstLine="560" w:firstLineChars="200"/>
        <w:jc w:val="both"/>
        <w:rPr>
          <w:rFonts w:hint="default" w:ascii="Times New Roman" w:hAnsi="Times New Roman" w:cs="Times New Roman"/>
          <w:color w:val="FF0000"/>
          <w:sz w:val="28"/>
          <w:szCs w:val="28"/>
          <w:highlight w:val="none"/>
        </w:rPr>
      </w:pPr>
    </w:p>
    <w:p w14:paraId="683373A8">
      <w:pPr>
        <w:adjustRightInd w:val="0"/>
        <w:snapToGrid w:val="0"/>
        <w:spacing w:line="360" w:lineRule="auto"/>
        <w:ind w:firstLine="6160" w:firstLineChars="2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744FA6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sz w:val="28"/>
          <w:szCs w:val="28"/>
          <w:highlight w:val="none"/>
        </w:rPr>
      </w:pPr>
      <w:r>
        <w:rPr>
          <w:rFonts w:hint="default" w:ascii="Times New Roman" w:hAnsi="Times New Roman" w:cs="Times New Roman"/>
          <w:b/>
          <w:bCs/>
          <w:sz w:val="32"/>
          <w:szCs w:val="32"/>
          <w:highlight w:val="none"/>
          <w:lang w:eastAsia="zh-CN"/>
        </w:rPr>
        <w:t>第二章</w:t>
      </w:r>
      <w:r>
        <w:rPr>
          <w:rFonts w:hint="default" w:ascii="Times New Roman" w:hAnsi="Times New Roman" w:cs="Times New Roman"/>
          <w:b/>
          <w:bCs/>
          <w:sz w:val="32"/>
          <w:szCs w:val="32"/>
          <w:highlight w:val="none"/>
          <w:lang w:val="en-US" w:eastAsia="zh-CN"/>
        </w:rPr>
        <w:t xml:space="preserve"> </w:t>
      </w:r>
      <w:r>
        <w:rPr>
          <w:rFonts w:hint="eastAsia" w:ascii="Times New Roman" w:hAnsi="Times New Roman" w:cs="Times New Roman"/>
          <w:b/>
          <w:bCs/>
          <w:sz w:val="32"/>
          <w:szCs w:val="32"/>
          <w:highlight w:val="none"/>
          <w:lang w:eastAsia="zh-CN"/>
        </w:rPr>
        <w:t>投标人</w:t>
      </w:r>
      <w:r>
        <w:rPr>
          <w:rFonts w:hint="default" w:ascii="Times New Roman" w:hAnsi="Times New Roman" w:cs="Times New Roman"/>
          <w:b/>
          <w:bCs/>
          <w:sz w:val="32"/>
          <w:szCs w:val="32"/>
          <w:highlight w:val="none"/>
        </w:rPr>
        <w:t>须知</w:t>
      </w:r>
    </w:p>
    <w:p w14:paraId="3190A122">
      <w:pPr>
        <w:pStyle w:val="24"/>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一、投标人须知前附表</w:t>
      </w:r>
    </w:p>
    <w:p w14:paraId="482222CC">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360" w:lineRule="auto"/>
        <w:ind w:left="0" w:leftChars="0" w:firstLine="0" w:firstLineChars="0"/>
        <w:jc w:val="left"/>
        <w:textAlignment w:val="baseline"/>
        <w:rPr>
          <w:rFonts w:hint="eastAsia" w:ascii="宋体" w:hAnsi="宋体" w:eastAsia="宋体" w:cs="宋体"/>
          <w:snapToGrid/>
          <w:color w:val="auto"/>
          <w:spacing w:val="0"/>
          <w:w w:val="100"/>
          <w:kern w:val="2"/>
          <w:position w:val="0"/>
          <w:sz w:val="24"/>
          <w:szCs w:val="24"/>
          <w:highlight w:val="none"/>
          <w:lang w:val="en-US" w:eastAsia="zh-CN" w:bidi="ar-SA"/>
        </w:rPr>
      </w:pPr>
      <w:r>
        <w:rPr>
          <w:rFonts w:hint="eastAsia" w:ascii="宋体" w:hAnsi="宋体" w:eastAsia="宋体" w:cs="宋体"/>
          <w:snapToGrid/>
          <w:spacing w:val="0"/>
          <w:w w:val="100"/>
          <w:kern w:val="2"/>
          <w:position w:val="0"/>
          <w:sz w:val="24"/>
          <w:szCs w:val="24"/>
          <w:highlight w:val="none"/>
          <w:lang w:val="en-US" w:eastAsia="zh-CN" w:bidi="ar-SA"/>
        </w:rPr>
        <w:t xml:space="preserve">    </w:t>
      </w:r>
      <w:r>
        <w:rPr>
          <w:rFonts w:hint="eastAsia" w:ascii="宋体" w:hAnsi="宋体" w:eastAsia="宋体" w:cs="宋体"/>
          <w:snapToGrid/>
          <w:color w:val="auto"/>
          <w:spacing w:val="0"/>
          <w:w w:val="100"/>
          <w:kern w:val="2"/>
          <w:position w:val="0"/>
          <w:sz w:val="24"/>
          <w:szCs w:val="24"/>
          <w:highlight w:val="none"/>
          <w:lang w:val="en-US" w:eastAsia="zh-CN" w:bidi="ar-SA"/>
        </w:rPr>
        <w:t>本表是对</w:t>
      </w:r>
      <w:r>
        <w:rPr>
          <w:rFonts w:hint="eastAsia" w:ascii="宋体" w:hAnsi="宋体" w:eastAsia="宋体" w:cs="宋体"/>
          <w:snapToGrid/>
          <w:spacing w:val="0"/>
          <w:w w:val="100"/>
          <w:kern w:val="2"/>
          <w:position w:val="0"/>
          <w:sz w:val="24"/>
          <w:szCs w:val="24"/>
          <w:highlight w:val="none"/>
          <w:lang w:val="en-US" w:eastAsia="zh-CN" w:bidi="ar-SA"/>
        </w:rPr>
        <w:t>投标人</w:t>
      </w:r>
      <w:r>
        <w:rPr>
          <w:rFonts w:hint="eastAsia" w:ascii="宋体" w:hAnsi="宋体" w:eastAsia="宋体" w:cs="宋体"/>
          <w:snapToGrid/>
          <w:color w:val="auto"/>
          <w:spacing w:val="0"/>
          <w:w w:val="100"/>
          <w:kern w:val="2"/>
          <w:position w:val="0"/>
          <w:sz w:val="24"/>
          <w:szCs w:val="24"/>
          <w:highlight w:val="none"/>
          <w:lang w:val="en-US" w:eastAsia="zh-CN" w:bidi="ar-SA"/>
        </w:rPr>
        <w:t>须知的具体补充和修改，如有矛盾，均以本表为准。</w:t>
      </w:r>
    </w:p>
    <w:p w14:paraId="7CD2C025">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napToGrid/>
          <w:spacing w:val="0"/>
          <w:w w:val="100"/>
          <w:kern w:val="2"/>
          <w:position w:val="0"/>
          <w:sz w:val="24"/>
          <w:szCs w:val="24"/>
          <w:highlight w:val="none"/>
          <w:lang w:val="en-US" w:eastAsia="zh-CN" w:bidi="ar-SA"/>
        </w:rPr>
        <w:t xml:space="preserve">    </w:t>
      </w:r>
      <w:r>
        <w:rPr>
          <w:rFonts w:hint="eastAsia" w:ascii="宋体" w:hAnsi="宋体" w:eastAsia="宋体" w:cs="宋体"/>
          <w:snapToGrid/>
          <w:color w:val="auto"/>
          <w:spacing w:val="0"/>
          <w:w w:val="100"/>
          <w:kern w:val="2"/>
          <w:position w:val="0"/>
          <w:sz w:val="24"/>
          <w:szCs w:val="24"/>
          <w:highlight w:val="none"/>
          <w:lang w:val="en-US" w:eastAsia="zh-CN" w:bidi="ar-SA"/>
        </w:rPr>
        <w:t>标记</w:t>
      </w:r>
      <w:r>
        <w:rPr>
          <w:rFonts w:hint="eastAsia" w:ascii="宋体" w:hAnsi="宋体" w:eastAsia="宋体" w:cs="宋体"/>
          <w:snapToGrid/>
          <w:color w:val="auto"/>
          <w:spacing w:val="0"/>
          <w:w w:val="100"/>
          <w:kern w:val="2"/>
          <w:position w:val="0"/>
          <w:sz w:val="24"/>
          <w:szCs w:val="24"/>
          <w:highlight w:val="none"/>
          <w:lang w:val="en-US" w:eastAsia="zh-CN" w:bidi="ar-SA"/>
        </w:rPr>
        <w:sym w:font="Wingdings 2" w:char="0052"/>
      </w:r>
      <w:r>
        <w:rPr>
          <w:rFonts w:hint="eastAsia" w:ascii="宋体" w:hAnsi="宋体" w:eastAsia="宋体" w:cs="宋体"/>
          <w:snapToGrid/>
          <w:color w:val="auto"/>
          <w:spacing w:val="0"/>
          <w:w w:val="100"/>
          <w:kern w:val="2"/>
          <w:position w:val="0"/>
          <w:sz w:val="24"/>
          <w:szCs w:val="24"/>
          <w:highlight w:val="none"/>
          <w:lang w:val="en-US" w:eastAsia="zh-CN" w:bidi="ar-SA"/>
        </w:rPr>
        <w:t>的选项意为适用于本项目，标记</w:t>
      </w:r>
      <w:r>
        <w:rPr>
          <w:rFonts w:hint="eastAsia" w:ascii="宋体" w:hAnsi="宋体" w:eastAsia="宋体" w:cs="宋体"/>
          <w:snapToGrid/>
          <w:color w:val="auto"/>
          <w:spacing w:val="0"/>
          <w:w w:val="100"/>
          <w:kern w:val="2"/>
          <w:position w:val="0"/>
          <w:sz w:val="24"/>
          <w:szCs w:val="24"/>
          <w:highlight w:val="none"/>
          <w:lang w:val="en-US" w:eastAsia="zh-CN" w:bidi="ar-SA"/>
        </w:rPr>
        <w:sym w:font="Wingdings 2" w:char="00A3"/>
      </w:r>
      <w:r>
        <w:rPr>
          <w:rFonts w:hint="eastAsia" w:ascii="宋体" w:hAnsi="宋体" w:eastAsia="宋体" w:cs="宋体"/>
          <w:snapToGrid/>
          <w:color w:val="auto"/>
          <w:spacing w:val="0"/>
          <w:w w:val="100"/>
          <w:kern w:val="2"/>
          <w:position w:val="0"/>
          <w:sz w:val="24"/>
          <w:szCs w:val="24"/>
          <w:highlight w:val="none"/>
          <w:lang w:val="en-US" w:eastAsia="zh-CN" w:bidi="ar-SA"/>
        </w:rPr>
        <w:t>的选项意为不适用于本项目。</w:t>
      </w:r>
    </w:p>
    <w:tbl>
      <w:tblPr>
        <w:tblStyle w:val="25"/>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14:paraId="4A5C8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DFEA0E1">
            <w:pPr>
              <w:spacing w:beforeLines="0" w:afterLines="0"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1626" w:type="dxa"/>
            <w:vAlign w:val="center"/>
          </w:tcPr>
          <w:p w14:paraId="3C90B00B">
            <w:pPr>
              <w:spacing w:beforeLines="0" w:afterLines="0" w:line="360" w:lineRule="auto"/>
              <w:ind w:left="-48" w:leftChars="-23" w:firstLine="5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事项</w:t>
            </w:r>
          </w:p>
        </w:tc>
        <w:tc>
          <w:tcPr>
            <w:tcW w:w="6766" w:type="dxa"/>
            <w:vAlign w:val="center"/>
          </w:tcPr>
          <w:p w14:paraId="2AC2B004">
            <w:pPr>
              <w:spacing w:beforeLines="0" w:afterLines="0" w:line="360" w:lineRule="auto"/>
              <w:ind w:left="-48" w:leftChars="-23" w:firstLine="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说明和要求</w:t>
            </w:r>
          </w:p>
        </w:tc>
      </w:tr>
      <w:tr w14:paraId="6F25D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0FCF7313">
            <w:pPr>
              <w:widowControl/>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26" w:type="dxa"/>
            <w:vAlign w:val="center"/>
          </w:tcPr>
          <w:p w14:paraId="7FAC96AA">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w:t>
            </w:r>
          </w:p>
        </w:tc>
        <w:tc>
          <w:tcPr>
            <w:tcW w:w="6766" w:type="dxa"/>
            <w:vAlign w:val="center"/>
          </w:tcPr>
          <w:p w14:paraId="42D6D363">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ZTZX-2026-03号</w:t>
            </w:r>
          </w:p>
        </w:tc>
      </w:tr>
      <w:tr w14:paraId="6C034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71D6C375">
            <w:pPr>
              <w:widowControl/>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626" w:type="dxa"/>
            <w:vAlign w:val="center"/>
          </w:tcPr>
          <w:p w14:paraId="14A9E117">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6766" w:type="dxa"/>
            <w:vAlign w:val="top"/>
          </w:tcPr>
          <w:p w14:paraId="3B884B2E">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尉犁县智慧公安及5G链路改造建设项目</w:t>
            </w:r>
          </w:p>
        </w:tc>
      </w:tr>
      <w:tr w14:paraId="254A6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F88DD3B">
            <w:pPr>
              <w:widowControl/>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626" w:type="dxa"/>
            <w:vAlign w:val="center"/>
          </w:tcPr>
          <w:p w14:paraId="3D518C22">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p>
        </w:tc>
        <w:tc>
          <w:tcPr>
            <w:tcW w:w="6766" w:type="dxa"/>
            <w:vAlign w:val="center"/>
          </w:tcPr>
          <w:p w14:paraId="1CCB1CE8">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采购单位：尉犁县公安局</w:t>
            </w:r>
          </w:p>
          <w:p w14:paraId="4BF0803D">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联系人：周杏丽    联系电话：18999003451</w:t>
            </w:r>
          </w:p>
          <w:p w14:paraId="0B671222">
            <w:pPr>
              <w:adjustRightInd w:val="0"/>
              <w:snapToGrid w:val="0"/>
              <w:spacing w:line="360" w:lineRule="auto"/>
              <w:rPr>
                <w:rFonts w:hint="default" w:ascii="宋体" w:hAnsi="宋体" w:eastAsia="宋体" w:cs="宋体"/>
                <w:color w:val="auto"/>
                <w:sz w:val="24"/>
                <w:szCs w:val="24"/>
                <w:highlight w:val="none"/>
              </w:rPr>
            </w:pPr>
            <w:r>
              <w:rPr>
                <w:rFonts w:hint="eastAsia" w:ascii="宋体" w:hAnsi="宋体" w:eastAsia="宋体" w:cs="宋体"/>
                <w:sz w:val="24"/>
                <w:szCs w:val="24"/>
                <w:highlight w:val="none"/>
                <w:lang w:eastAsia="zh-CN"/>
              </w:rPr>
              <w:t>招标代理机构：</w:t>
            </w:r>
            <w:r>
              <w:rPr>
                <w:rFonts w:hint="eastAsia" w:ascii="宋体" w:hAnsi="宋体" w:eastAsia="宋体" w:cs="宋体"/>
                <w:color w:val="auto"/>
                <w:sz w:val="24"/>
                <w:szCs w:val="24"/>
                <w:highlight w:val="none"/>
                <w:lang w:eastAsia="zh-CN"/>
              </w:rPr>
              <w:t>新疆中泰正信项目管理有限公司</w:t>
            </w:r>
            <w:r>
              <w:rPr>
                <w:rFonts w:hint="default" w:ascii="宋体" w:hAnsi="宋体" w:eastAsia="宋体" w:cs="宋体"/>
                <w:color w:val="auto"/>
                <w:sz w:val="24"/>
                <w:szCs w:val="24"/>
                <w:highlight w:val="none"/>
              </w:rPr>
              <w:t xml:space="preserve">                                  </w:t>
            </w:r>
          </w:p>
          <w:p w14:paraId="33269110">
            <w:pPr>
              <w:adjustRightInd w:val="0"/>
              <w:snapToGrid w:val="0"/>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库尔勒市甘肃大厦6楼 </w:t>
            </w:r>
            <w:r>
              <w:rPr>
                <w:rFonts w:hint="default" w:ascii="宋体" w:hAnsi="宋体" w:eastAsia="宋体" w:cs="宋体"/>
                <w:color w:val="auto"/>
                <w:sz w:val="24"/>
                <w:szCs w:val="24"/>
                <w:highlight w:val="none"/>
              </w:rPr>
              <w:t xml:space="preserve">                              </w:t>
            </w:r>
          </w:p>
          <w:p w14:paraId="74D32DE4">
            <w:pPr>
              <w:adjustRightInd w:val="0"/>
              <w:snapToGrid w:val="0"/>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张璐</w:t>
            </w:r>
            <w:r>
              <w:rPr>
                <w:rFonts w:hint="default" w:ascii="宋体" w:hAnsi="宋体" w:eastAsia="宋体" w:cs="宋体"/>
                <w:color w:val="auto"/>
                <w:sz w:val="24"/>
                <w:szCs w:val="24"/>
                <w:highlight w:val="none"/>
              </w:rPr>
              <w:t xml:space="preserve">    </w:t>
            </w:r>
          </w:p>
          <w:p w14:paraId="1D562838">
            <w:pPr>
              <w:widowControl/>
              <w:spacing w:beforeLines="0" w:afterLines="0" w:line="360" w:lineRule="auto"/>
              <w:jc w:val="left"/>
              <w:rPr>
                <w:rFonts w:hint="eastAsia" w:ascii="宋体" w:hAnsi="宋体" w:eastAsia="宋体" w:cs="宋体"/>
                <w:sz w:val="24"/>
                <w:szCs w:val="24"/>
                <w:highlight w:val="none"/>
                <w:lang w:eastAsia="zh-CN"/>
              </w:rPr>
            </w:pPr>
            <w:r>
              <w:rPr>
                <w:rFonts w:hint="default" w:ascii="宋体" w:hAnsi="宋体" w:eastAsia="宋体" w:cs="宋体"/>
                <w:color w:val="auto"/>
                <w:sz w:val="24"/>
                <w:szCs w:val="24"/>
                <w:highlight w:val="none"/>
              </w:rPr>
              <w:t xml:space="preserve">电  话：18196262187 </w:t>
            </w:r>
          </w:p>
        </w:tc>
      </w:tr>
      <w:tr w14:paraId="227F3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3A4D9817">
            <w:pPr>
              <w:widowControl/>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26" w:type="dxa"/>
            <w:vAlign w:val="center"/>
          </w:tcPr>
          <w:p w14:paraId="46733E39">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采购内容及预算金额/最高限价（元）</w:t>
            </w:r>
          </w:p>
        </w:tc>
        <w:tc>
          <w:tcPr>
            <w:tcW w:w="6766" w:type="dxa"/>
            <w:vAlign w:val="center"/>
          </w:tcPr>
          <w:p w14:paraId="5EA58DB7">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采购内容：采购一批智慧公安设备。(具体见第三章《采购需求》）</w:t>
            </w:r>
          </w:p>
          <w:p w14:paraId="114D4273">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预算金额/最高限价（元）：</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0000000.00元（大写：壹仟万元整）。</w:t>
            </w:r>
            <w:r>
              <w:rPr>
                <w:rFonts w:hint="eastAsia" w:ascii="宋体" w:hAnsi="宋体" w:eastAsia="宋体" w:cs="宋体"/>
                <w:sz w:val="24"/>
                <w:szCs w:val="24"/>
                <w:highlight w:val="none"/>
              </w:rPr>
              <w:t>各供应商的报价一览表超出此范围将作废标处理。</w:t>
            </w:r>
          </w:p>
          <w:p w14:paraId="5C11B778">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服务地点：尉犁县</w:t>
            </w:r>
          </w:p>
        </w:tc>
      </w:tr>
      <w:tr w14:paraId="75D41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015987CA">
            <w:pPr>
              <w:spacing w:beforeLines="0" w:afterLines="0"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5</w:t>
            </w:r>
          </w:p>
        </w:tc>
        <w:tc>
          <w:tcPr>
            <w:tcW w:w="1626" w:type="dxa"/>
            <w:vAlign w:val="center"/>
          </w:tcPr>
          <w:p w14:paraId="07D4FA74">
            <w:pPr>
              <w:overflowPunct w:val="0"/>
              <w:spacing w:line="440" w:lineRule="exact"/>
              <w:jc w:val="center"/>
              <w:rPr>
                <w:rFonts w:hint="eastAsia" w:ascii="宋体" w:hAnsi="宋体" w:eastAsia="宋体" w:cs="宋体"/>
                <w:b/>
                <w:sz w:val="24"/>
                <w:szCs w:val="24"/>
                <w:highlight w:val="none"/>
                <w:lang w:eastAsia="zh-CN"/>
              </w:rPr>
            </w:pPr>
            <w:r>
              <w:rPr>
                <w:rFonts w:hint="eastAsia" w:ascii="宋体" w:hAnsi="宋体" w:eastAsia="宋体" w:cs="宋体"/>
                <w:color w:val="auto"/>
                <w:sz w:val="24"/>
                <w:szCs w:val="24"/>
                <w:highlight w:val="none"/>
              </w:rPr>
              <w:t>资金来源</w:t>
            </w:r>
          </w:p>
        </w:tc>
        <w:tc>
          <w:tcPr>
            <w:tcW w:w="6766" w:type="dxa"/>
            <w:vAlign w:val="center"/>
          </w:tcPr>
          <w:p w14:paraId="0392E932">
            <w:pPr>
              <w:overflowPunct w:val="0"/>
              <w:spacing w:line="440" w:lineRule="exact"/>
              <w:jc w:val="left"/>
              <w:rPr>
                <w:rFonts w:hint="eastAsia" w:ascii="宋体" w:hAnsi="宋体" w:eastAsia="宋体" w:cs="宋体"/>
                <w:b/>
                <w:sz w:val="24"/>
                <w:szCs w:val="24"/>
                <w:highlight w:val="none"/>
                <w:lang w:eastAsia="zh-CN"/>
              </w:rPr>
            </w:pPr>
            <w:r>
              <w:rPr>
                <w:rFonts w:hint="eastAsia" w:ascii="宋体" w:hAnsi="宋体" w:eastAsia="宋体" w:cs="宋体"/>
                <w:color w:val="auto"/>
                <w:sz w:val="24"/>
                <w:szCs w:val="24"/>
                <w:highlight w:val="none"/>
                <w:lang w:val="zh-CN"/>
              </w:rPr>
              <w:t>一般债券</w:t>
            </w:r>
          </w:p>
        </w:tc>
      </w:tr>
      <w:tr w14:paraId="6C6D1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14:paraId="61AEF9F9">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626" w:type="dxa"/>
            <w:vAlign w:val="center"/>
          </w:tcPr>
          <w:p w14:paraId="1B543B3A">
            <w:pPr>
              <w:widowControl/>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核心产品</w:t>
            </w:r>
          </w:p>
          <w:p w14:paraId="58498635">
            <w:pPr>
              <w:widowControl/>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（适用货物）</w:t>
            </w:r>
          </w:p>
        </w:tc>
        <w:tc>
          <w:tcPr>
            <w:tcW w:w="6766" w:type="dxa"/>
            <w:vAlign w:val="center"/>
          </w:tcPr>
          <w:p w14:paraId="5AF0F8E3">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是否属于单一产品采购项目：</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否</w:t>
            </w:r>
          </w:p>
          <w:p w14:paraId="54C2285A">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（若选择“否”）核心产品为：</w:t>
            </w:r>
            <w:r>
              <w:rPr>
                <w:rFonts w:hint="eastAsia" w:ascii="宋体" w:hAnsi="宋体" w:eastAsia="宋体" w:cs="宋体"/>
                <w:b/>
                <w:bCs/>
                <w:sz w:val="24"/>
                <w:szCs w:val="24"/>
                <w:highlight w:val="none"/>
                <w:lang w:eastAsia="zh-CN"/>
              </w:rPr>
              <w:t>结构化摄像机、抓拍一体机、智能球机</w:t>
            </w:r>
          </w:p>
        </w:tc>
      </w:tr>
      <w:tr w14:paraId="5A81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14:paraId="046751A1">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626" w:type="dxa"/>
            <w:vAlign w:val="center"/>
          </w:tcPr>
          <w:p w14:paraId="6D3B76AF">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进口产品</w:t>
            </w:r>
          </w:p>
          <w:p w14:paraId="1114533B">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（适用货物）</w:t>
            </w:r>
          </w:p>
        </w:tc>
        <w:tc>
          <w:tcPr>
            <w:tcW w:w="6766" w:type="dxa"/>
            <w:vAlign w:val="center"/>
          </w:tcPr>
          <w:p w14:paraId="70D97D95">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是否允许采购进口产品：</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否</w:t>
            </w:r>
          </w:p>
          <w:p w14:paraId="61A3029D">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（若选择“是”，需明确允许采购进口产品的具体标的）其中允许采购进口产品的采购标的：</w:t>
            </w:r>
          </w:p>
          <w:p w14:paraId="5773AD3C">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（其他采购标的不允许采购进口产品）</w:t>
            </w:r>
          </w:p>
        </w:tc>
      </w:tr>
      <w:tr w14:paraId="2F510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539A03D">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626" w:type="dxa"/>
            <w:vAlign w:val="center"/>
          </w:tcPr>
          <w:p w14:paraId="45A09961">
            <w:pPr>
              <w:widowControl/>
              <w:spacing w:beforeLines="0" w:afterLines="0" w:line="360" w:lineRule="auto"/>
              <w:ind w:left="280" w:hanging="240" w:hangingChars="100"/>
              <w:jc w:val="center"/>
              <w:rPr>
                <w:rStyle w:val="28"/>
                <w:rFonts w:hint="eastAsia" w:ascii="宋体" w:hAnsi="宋体" w:eastAsia="宋体" w:cs="宋体"/>
                <w:b w:val="0"/>
                <w:sz w:val="24"/>
                <w:szCs w:val="24"/>
                <w:highlight w:val="none"/>
                <w:lang w:eastAsia="zh-CN"/>
              </w:rPr>
            </w:pPr>
            <w:r>
              <w:rPr>
                <w:rStyle w:val="28"/>
                <w:rFonts w:hint="eastAsia" w:ascii="宋体" w:hAnsi="宋体" w:eastAsia="宋体" w:cs="宋体"/>
                <w:b w:val="0"/>
                <w:sz w:val="24"/>
                <w:szCs w:val="24"/>
                <w:highlight w:val="none"/>
                <w:lang w:eastAsia="zh-CN"/>
              </w:rPr>
              <w:t>现场考察</w:t>
            </w:r>
          </w:p>
        </w:tc>
        <w:tc>
          <w:tcPr>
            <w:tcW w:w="6766" w:type="dxa"/>
            <w:vAlign w:val="center"/>
          </w:tcPr>
          <w:p w14:paraId="00F6B836">
            <w:pPr>
              <w:widowControl/>
              <w:spacing w:beforeLines="0" w:afterLines="0"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是否组织现场考察：</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否</w:t>
            </w:r>
          </w:p>
          <w:p w14:paraId="06A7381A">
            <w:pPr>
              <w:widowControl/>
              <w:spacing w:beforeLines="0" w:afterLines="0"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（若选择“是”）</w:t>
            </w:r>
            <w:r>
              <w:rPr>
                <w:rStyle w:val="28"/>
                <w:rFonts w:hint="eastAsia" w:ascii="宋体" w:hAnsi="宋体" w:eastAsia="宋体" w:cs="宋体"/>
                <w:b w:val="0"/>
                <w:sz w:val="24"/>
                <w:szCs w:val="24"/>
                <w:highlight w:val="none"/>
                <w:u w:val="none"/>
                <w:lang w:val="en-US" w:eastAsia="zh-CN"/>
              </w:rPr>
              <w:t xml:space="preserve">     </w:t>
            </w:r>
          </w:p>
        </w:tc>
      </w:tr>
      <w:tr w14:paraId="1A707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789" w:type="dxa"/>
            <w:vAlign w:val="center"/>
          </w:tcPr>
          <w:p w14:paraId="6E9D5778">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1626" w:type="dxa"/>
            <w:vAlign w:val="center"/>
          </w:tcPr>
          <w:p w14:paraId="7388D104">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开标前答疑会</w:t>
            </w:r>
          </w:p>
        </w:tc>
        <w:tc>
          <w:tcPr>
            <w:tcW w:w="6766" w:type="dxa"/>
            <w:vAlign w:val="center"/>
          </w:tcPr>
          <w:p w14:paraId="606E4B39">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是否召开开标前答疑会：</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否</w:t>
            </w:r>
          </w:p>
          <w:p w14:paraId="6F91DD8F">
            <w:pPr>
              <w:widowControl/>
              <w:spacing w:beforeLines="0" w:afterLines="0"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（若选择“是”）</w:t>
            </w:r>
          </w:p>
          <w:p w14:paraId="326B9458">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相关要求：</w:t>
            </w:r>
            <w:r>
              <w:rPr>
                <w:rStyle w:val="28"/>
                <w:rFonts w:hint="eastAsia" w:ascii="宋体" w:hAnsi="宋体" w:eastAsia="宋体" w:cs="宋体"/>
                <w:b w:val="0"/>
                <w:sz w:val="24"/>
                <w:szCs w:val="24"/>
                <w:highlight w:val="none"/>
                <w:u w:val="none"/>
                <w:lang w:val="en-US" w:eastAsia="zh-CN"/>
              </w:rPr>
              <w:t xml:space="preserve"> </w:t>
            </w:r>
          </w:p>
        </w:tc>
      </w:tr>
      <w:tr w14:paraId="4AA66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14:paraId="0367E0B4">
            <w:pPr>
              <w:spacing w:beforeLines="0" w:afterLines="0"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w:t>
            </w:r>
          </w:p>
        </w:tc>
        <w:tc>
          <w:tcPr>
            <w:tcW w:w="1626" w:type="dxa"/>
            <w:vAlign w:val="center"/>
          </w:tcPr>
          <w:p w14:paraId="51A2F1FC">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样品</w:t>
            </w:r>
          </w:p>
          <w:p w14:paraId="4F4DE487">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（适用货物）</w:t>
            </w:r>
          </w:p>
        </w:tc>
        <w:tc>
          <w:tcPr>
            <w:tcW w:w="6766" w:type="dxa"/>
            <w:vAlign w:val="center"/>
          </w:tcPr>
          <w:p w14:paraId="21F70371">
            <w:pPr>
              <w:widowControl/>
              <w:spacing w:beforeLines="0" w:afterLines="0"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是否需要提交样品：</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否</w:t>
            </w:r>
          </w:p>
          <w:p w14:paraId="1F60AA14">
            <w:pPr>
              <w:widowControl/>
              <w:spacing w:beforeLines="0" w:afterLines="0"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（若选择“是”）样品具体要求如下：</w:t>
            </w:r>
          </w:p>
          <w:p w14:paraId="63A84A74">
            <w:pPr>
              <w:pStyle w:val="24"/>
              <w:numPr>
                <w:ilvl w:val="0"/>
                <w:numId w:val="1"/>
              </w:numPr>
              <w:spacing w:beforeLines="0" w:after="0" w:afterLines="0"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样品制作的标准和要求：</w:t>
            </w:r>
          </w:p>
          <w:p w14:paraId="28248C82">
            <w:pPr>
              <w:pStyle w:val="24"/>
              <w:numPr>
                <w:ilvl w:val="0"/>
                <w:numId w:val="1"/>
              </w:numPr>
              <w:spacing w:beforeLines="0" w:after="0" w:afterLines="0"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是否需要随样品提交相关检测报告：</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否（若选择“是”，还需明确检测机构的要求、检测内容等）</w:t>
            </w:r>
          </w:p>
          <w:p w14:paraId="7BB35A3B">
            <w:pPr>
              <w:pStyle w:val="15"/>
              <w:numPr>
                <w:ilvl w:val="0"/>
                <w:numId w:val="1"/>
              </w:numPr>
              <w:kinsoku w:val="0"/>
              <w:overflowPunct w:val="0"/>
              <w:autoSpaceDE w:val="0"/>
              <w:autoSpaceDN w:val="0"/>
              <w:adjustRightInd w:val="0"/>
              <w:snapToGrid w:val="0"/>
              <w:spacing w:beforeLines="0" w:afterLines="0"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样品提交要求：</w:t>
            </w:r>
          </w:p>
          <w:p w14:paraId="769A3786">
            <w:pPr>
              <w:pStyle w:val="15"/>
              <w:numPr>
                <w:ilvl w:val="0"/>
                <w:numId w:val="1"/>
              </w:numPr>
              <w:kinsoku w:val="0"/>
              <w:overflowPunct w:val="0"/>
              <w:autoSpaceDE w:val="0"/>
              <w:autoSpaceDN w:val="0"/>
              <w:adjustRightInd w:val="0"/>
              <w:snapToGrid w:val="0"/>
              <w:spacing w:beforeLines="0" w:afterLines="0"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未中标人样品：</w:t>
            </w:r>
          </w:p>
          <w:p w14:paraId="35BD5F00">
            <w:pPr>
              <w:pStyle w:val="15"/>
              <w:numPr>
                <w:ilvl w:val="0"/>
                <w:numId w:val="1"/>
              </w:numPr>
              <w:kinsoku w:val="0"/>
              <w:overflowPunct w:val="0"/>
              <w:autoSpaceDE w:val="0"/>
              <w:autoSpaceDN w:val="0"/>
              <w:adjustRightInd w:val="0"/>
              <w:snapToGrid w:val="0"/>
              <w:spacing w:beforeLines="0" w:afterLines="0"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中标人样品保管、封存：</w:t>
            </w:r>
          </w:p>
          <w:p w14:paraId="3C499391">
            <w:pPr>
              <w:pStyle w:val="15"/>
              <w:numPr>
                <w:ilvl w:val="0"/>
                <w:numId w:val="1"/>
              </w:numPr>
              <w:kinsoku w:val="0"/>
              <w:overflowPunct w:val="0"/>
              <w:autoSpaceDE w:val="0"/>
              <w:autoSpaceDN w:val="0"/>
              <w:adjustRightInd w:val="0"/>
              <w:snapToGrid w:val="0"/>
              <w:spacing w:beforeLines="0" w:afterLines="0"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其他要求（如有）：</w:t>
            </w:r>
          </w:p>
        </w:tc>
      </w:tr>
      <w:tr w14:paraId="4BD3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restart"/>
            <w:vAlign w:val="center"/>
          </w:tcPr>
          <w:p w14:paraId="433364E2">
            <w:pPr>
              <w:spacing w:beforeLines="0" w:afterLines="0"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11</w:t>
            </w:r>
          </w:p>
        </w:tc>
        <w:tc>
          <w:tcPr>
            <w:tcW w:w="1626" w:type="dxa"/>
            <w:vAlign w:val="center"/>
          </w:tcPr>
          <w:p w14:paraId="64600BDF">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报价方式</w:t>
            </w:r>
          </w:p>
        </w:tc>
        <w:tc>
          <w:tcPr>
            <w:tcW w:w="6766" w:type="dxa"/>
            <w:vAlign w:val="center"/>
          </w:tcPr>
          <w:p w14:paraId="7B1554A2">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总价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单价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费率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折扣</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val="en-US" w:eastAsia="zh-CN"/>
              </w:rPr>
              <w:t>优惠率</w:t>
            </w:r>
          </w:p>
        </w:tc>
      </w:tr>
      <w:tr w14:paraId="132BD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7F1ADE60">
            <w:pPr>
              <w:spacing w:beforeLines="0" w:afterLines="0" w:line="360" w:lineRule="auto"/>
              <w:jc w:val="center"/>
              <w:rPr>
                <w:rFonts w:hint="eastAsia" w:ascii="宋体" w:hAnsi="宋体" w:eastAsia="宋体" w:cs="宋体"/>
                <w:sz w:val="24"/>
                <w:szCs w:val="24"/>
                <w:highlight w:val="none"/>
                <w:lang w:eastAsia="zh-CN"/>
              </w:rPr>
            </w:pPr>
          </w:p>
        </w:tc>
        <w:tc>
          <w:tcPr>
            <w:tcW w:w="1626" w:type="dxa"/>
            <w:vAlign w:val="center"/>
          </w:tcPr>
          <w:p w14:paraId="0DD59A0E">
            <w:pPr>
              <w:spacing w:beforeLines="0" w:after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合同履行期限及质保期</w:t>
            </w:r>
          </w:p>
        </w:tc>
        <w:tc>
          <w:tcPr>
            <w:tcW w:w="6766" w:type="dxa"/>
            <w:vAlign w:val="center"/>
          </w:tcPr>
          <w:p w14:paraId="4BC85579">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合同履行期限：合同签订后90日（日历日）内完成设备的供货及调试安装等全部工作内容。</w:t>
            </w:r>
          </w:p>
          <w:p w14:paraId="038DD0CA">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质保期：3年。</w:t>
            </w:r>
          </w:p>
        </w:tc>
      </w:tr>
      <w:tr w14:paraId="59532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3F7E6ACA">
            <w:pPr>
              <w:spacing w:beforeLines="0" w:afterLines="0" w:line="360" w:lineRule="auto"/>
              <w:jc w:val="center"/>
              <w:rPr>
                <w:rFonts w:hint="eastAsia" w:ascii="宋体" w:hAnsi="宋体" w:eastAsia="宋体" w:cs="宋体"/>
                <w:sz w:val="24"/>
                <w:szCs w:val="24"/>
                <w:highlight w:val="none"/>
                <w:lang w:eastAsia="zh-CN"/>
              </w:rPr>
            </w:pPr>
          </w:p>
        </w:tc>
        <w:tc>
          <w:tcPr>
            <w:tcW w:w="1626" w:type="dxa"/>
            <w:vAlign w:val="center"/>
          </w:tcPr>
          <w:p w14:paraId="0F9DC670">
            <w:pPr>
              <w:pStyle w:val="51"/>
              <w:shd w:val="clear" w:color="auto" w:fill="auto"/>
              <w:spacing w:before="74" w:line="400" w:lineRule="exact"/>
              <w:ind w:left="42" w:leftChars="20" w:right="42" w:rightChars="2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付款方式</w:t>
            </w:r>
          </w:p>
        </w:tc>
        <w:tc>
          <w:tcPr>
            <w:tcW w:w="6766" w:type="dxa"/>
            <w:vAlign w:val="center"/>
          </w:tcPr>
          <w:p w14:paraId="68625CB2">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1、签订合同后中标人须缴纳5％履约保证金转入采购人账户。</w:t>
            </w:r>
          </w:p>
          <w:p w14:paraId="40B88306">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2、付款方式：合同签订后支付合同总价的20%;设备全部到场支付到合同总价的50%;安装调试完毕，验收合格后支付到合同总价的80%;审计决算后支付到合同总价的100%。</w:t>
            </w:r>
          </w:p>
          <w:p w14:paraId="07A7FB2D">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3、本项目付款：最终付款方式以和甲方单位签订合同为主。</w:t>
            </w:r>
          </w:p>
        </w:tc>
      </w:tr>
      <w:tr w14:paraId="04E38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43DC36D7">
            <w:pPr>
              <w:spacing w:beforeLines="0" w:afterLines="0" w:line="360" w:lineRule="auto"/>
              <w:jc w:val="center"/>
              <w:rPr>
                <w:rFonts w:hint="eastAsia" w:ascii="宋体" w:hAnsi="宋体" w:eastAsia="宋体" w:cs="宋体"/>
                <w:sz w:val="24"/>
                <w:szCs w:val="24"/>
                <w:highlight w:val="none"/>
                <w:lang w:eastAsia="zh-CN"/>
              </w:rPr>
            </w:pPr>
          </w:p>
        </w:tc>
        <w:tc>
          <w:tcPr>
            <w:tcW w:w="1626" w:type="dxa"/>
            <w:vAlign w:val="center"/>
          </w:tcPr>
          <w:p w14:paraId="325DA31C">
            <w:pPr>
              <w:spacing w:beforeLines="0" w:afterLines="0"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投标人报价明显低于其他通过符合性审查投标人的报价</w:t>
            </w:r>
          </w:p>
        </w:tc>
        <w:tc>
          <w:tcPr>
            <w:tcW w:w="6766" w:type="dxa"/>
            <w:vAlign w:val="center"/>
          </w:tcPr>
          <w:p w14:paraId="03C022DD">
            <w:pPr>
              <w:spacing w:beforeLines="0" w:afterLines="0" w:line="360" w:lineRule="auto"/>
              <w:rPr>
                <w:rFonts w:hint="eastAsia" w:ascii="宋体" w:hAnsi="宋体" w:eastAsia="宋体" w:cs="宋体"/>
                <w:sz w:val="24"/>
                <w:szCs w:val="24"/>
                <w:highlight w:val="yellow"/>
              </w:rPr>
            </w:pPr>
            <w:r>
              <w:rPr>
                <w:rFonts w:hint="eastAsia" w:ascii="宋体" w:hAnsi="宋体" w:eastAsia="宋体" w:cs="宋体"/>
                <w:sz w:val="24"/>
                <w:szCs w:val="24"/>
                <w:highlight w:val="none"/>
              </w:rPr>
              <w:t xml:space="preserve">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tc>
      </w:tr>
      <w:tr w14:paraId="24343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1A3C7231">
            <w:pPr>
              <w:spacing w:beforeLines="0" w:afterLines="0"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12</w:t>
            </w:r>
          </w:p>
        </w:tc>
        <w:tc>
          <w:tcPr>
            <w:tcW w:w="1626" w:type="dxa"/>
            <w:vAlign w:val="center"/>
          </w:tcPr>
          <w:p w14:paraId="0BC13107">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w:t>
            </w:r>
          </w:p>
        </w:tc>
        <w:tc>
          <w:tcPr>
            <w:tcW w:w="6766" w:type="dxa"/>
            <w:vAlign w:val="center"/>
          </w:tcPr>
          <w:p w14:paraId="3B9A930A">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是否需要缴纳保证金：</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否</w:t>
            </w:r>
          </w:p>
          <w:p w14:paraId="78F1E623">
            <w:pPr>
              <w:spacing w:beforeLines="0" w:after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投标保证金金额：200000元（贰拾万元整）</w:t>
            </w:r>
          </w:p>
          <w:p w14:paraId="042D68E5">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投标保证金的形式：供应商自主选择以银行转账或者电子保函、纸质保函等非现金方式缴纳，以下方式供应商仅需选择其中一个即可。具体缴纳方式如下：</w:t>
            </w:r>
          </w:p>
          <w:p w14:paraId="205F0486">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方式一：电子保证金</w:t>
            </w:r>
          </w:p>
          <w:p w14:paraId="57229080">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1D5C8FB1">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方式二：保函（电子保函、纸质保函）</w:t>
            </w:r>
          </w:p>
          <w:p w14:paraId="4FD6B2BF">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纸质保函，采用纸质保函方式递交投标保证金，担保保证人应是在中华人民共和国境内依法注册的银行业金融机构、工程担保公司、保险机构。并且在开具保函（保险）的银行等官网能查验真伪信息，且提供相关有助于查验真伪信息的查询码、编码、数据等，在响应文件及资格证明文件中做相应体现，并将对应的保函随响应文件一起上传到政采云平台并在资格审查文件中提供。</w:t>
            </w:r>
          </w:p>
          <w:p w14:paraId="2B5D25A7">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三、银行保函</w:t>
            </w:r>
          </w:p>
          <w:p w14:paraId="2C429BBA">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必须由投标单位基本账户开户银行开具，并且在开具保函的银行官网能查验真伪信息，提供保函信息包括相关有助于查验真伪信息的查询码、编码、数据等；在投标文件中做相应体现，并在开标时向代理机构单独提供证明。</w:t>
            </w:r>
          </w:p>
          <w:p w14:paraId="68A0AC6F">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（1）保函按照“一标项一保函”的原则；</w:t>
            </w:r>
          </w:p>
          <w:p w14:paraId="4BE4580C">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（2）保函须在采购文件规定的投标截止时间前办理完成，并将对应的保函随资格证明文件及响应文件一起上传到政采云平台并在标书中提供。</w:t>
            </w:r>
          </w:p>
          <w:p w14:paraId="78505742">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（3）提供合法真实有效的保函作为本项目缴纳保证金的证明材料；</w:t>
            </w:r>
          </w:p>
          <w:p w14:paraId="399827E7">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（4）已开具的保函，供应商不可单方面提出退保、注销等要求。</w:t>
            </w:r>
          </w:p>
          <w:p w14:paraId="0548090B">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投标保证金的递交截止时间：同开标时间，保证金汇款凭证用途栏应注明：项目编号或项目名称，未按以上要求递交投标保证金及提供保证金交纳凭证的视为无效，采购人将拒绝其投标。</w:t>
            </w:r>
          </w:p>
          <w:p w14:paraId="2AA0E83F">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注：1、若供应商未按照上述规定缴纳投标保证金，响应文件将被拒绝评审。</w:t>
            </w:r>
          </w:p>
          <w:p w14:paraId="2DF23BA1">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2.投标人需自行评估因异地、跨行、公休日等因素造成的投标保证金到账延迟风险，并承担相应责任。</w:t>
            </w:r>
          </w:p>
          <w:p w14:paraId="4D275316">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退还投标保证金： 缴纳方式为电子保证金的由政采云平台自动退还（请务必正确填写账户信息）。</w:t>
            </w:r>
          </w:p>
        </w:tc>
      </w:tr>
      <w:tr w14:paraId="29578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3F6E442B">
            <w:pPr>
              <w:spacing w:beforeLines="0" w:afterLines="0"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13</w:t>
            </w:r>
          </w:p>
        </w:tc>
        <w:tc>
          <w:tcPr>
            <w:tcW w:w="1626" w:type="dxa"/>
            <w:vAlign w:val="center"/>
          </w:tcPr>
          <w:p w14:paraId="374FF9BE">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投标有效期</w:t>
            </w:r>
          </w:p>
        </w:tc>
        <w:tc>
          <w:tcPr>
            <w:tcW w:w="6766" w:type="dxa"/>
            <w:vAlign w:val="center"/>
          </w:tcPr>
          <w:p w14:paraId="19FE2A6A">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自</w:t>
            </w:r>
            <w:r>
              <w:rPr>
                <w:rFonts w:hint="eastAsia" w:ascii="宋体" w:hAnsi="宋体" w:eastAsia="宋体" w:cs="宋体"/>
                <w:sz w:val="24"/>
                <w:szCs w:val="24"/>
                <w:highlight w:val="none"/>
              </w:rPr>
              <w:t>提交投标文件</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截止之日起</w:t>
            </w: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u w:val="single"/>
                <w:lang w:val="en-US" w:eastAsia="zh-CN"/>
              </w:rPr>
              <w:t>90个</w:t>
            </w:r>
            <w:r>
              <w:rPr>
                <w:rFonts w:hint="eastAsia" w:ascii="宋体" w:hAnsi="宋体" w:eastAsia="宋体" w:cs="宋体"/>
                <w:sz w:val="24"/>
                <w:szCs w:val="24"/>
                <w:highlight w:val="none"/>
              </w:rPr>
              <w:t>自然日</w:t>
            </w:r>
            <w:r>
              <w:rPr>
                <w:rFonts w:hint="eastAsia" w:ascii="宋体" w:hAnsi="宋体" w:eastAsia="宋体" w:cs="宋体"/>
                <w:sz w:val="24"/>
                <w:szCs w:val="24"/>
                <w:highlight w:val="none"/>
                <w:lang w:eastAsia="zh-CN"/>
              </w:rPr>
              <w:t>。</w:t>
            </w:r>
          </w:p>
        </w:tc>
      </w:tr>
      <w:tr w14:paraId="63476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61DC49D0">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626" w:type="dxa"/>
            <w:vAlign w:val="center"/>
          </w:tcPr>
          <w:p w14:paraId="41D0C2F8">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资格审查</w:t>
            </w:r>
          </w:p>
        </w:tc>
        <w:tc>
          <w:tcPr>
            <w:tcW w:w="6766" w:type="dxa"/>
            <w:vAlign w:val="center"/>
          </w:tcPr>
          <w:p w14:paraId="219B527F">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lang w:eastAsia="zh-CN"/>
              </w:rPr>
              <w:t>采购人审查</w:t>
            </w:r>
            <w:r>
              <w:rPr>
                <w:rFonts w:hint="eastAsia" w:ascii="宋体" w:hAnsi="宋体" w:eastAsia="宋体" w:cs="宋体"/>
                <w:sz w:val="24"/>
                <w:szCs w:val="24"/>
                <w:highlight w:val="none"/>
              </w:rPr>
              <w:t xml:space="preserve">  </w:t>
            </w:r>
          </w:p>
          <w:p w14:paraId="0106FCB3">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eastAsia="zh-CN"/>
              </w:rPr>
              <w:t>采购人和采购代理机构共同审查</w:t>
            </w:r>
          </w:p>
          <w:p w14:paraId="540AB6EA">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eastAsia="zh-CN"/>
              </w:rPr>
              <w:t>采购人委托采购代理机构审查</w:t>
            </w:r>
          </w:p>
        </w:tc>
      </w:tr>
      <w:tr w14:paraId="524BD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4" w:hRule="atLeast"/>
        </w:trPr>
        <w:tc>
          <w:tcPr>
            <w:tcW w:w="789" w:type="dxa"/>
            <w:vAlign w:val="center"/>
          </w:tcPr>
          <w:p w14:paraId="5F72F158">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626" w:type="dxa"/>
            <w:vAlign w:val="center"/>
          </w:tcPr>
          <w:p w14:paraId="4A2E1A49">
            <w:pPr>
              <w:overflowPunct w:val="0"/>
              <w:spacing w:line="440" w:lineRule="exact"/>
              <w:jc w:val="center"/>
              <w:rPr>
                <w:rFonts w:hint="eastAsia"/>
                <w:color w:val="000000"/>
                <w:sz w:val="24"/>
                <w:szCs w:val="24"/>
                <w:lang w:val="en-US"/>
              </w:rPr>
            </w:pPr>
          </w:p>
          <w:p w14:paraId="54DC461B">
            <w:pPr>
              <w:overflowPunct w:val="0"/>
              <w:spacing w:line="440" w:lineRule="exact"/>
              <w:jc w:val="center"/>
              <w:rPr>
                <w:rFonts w:hint="eastAsia" w:ascii="宋体" w:hAnsi="宋体" w:eastAsia="宋体" w:cs="宋体"/>
                <w:sz w:val="24"/>
                <w:szCs w:val="24"/>
                <w:highlight w:val="none"/>
                <w:lang w:eastAsia="zh-CN"/>
              </w:rPr>
            </w:pPr>
            <w:r>
              <w:rPr>
                <w:rFonts w:hint="eastAsia"/>
                <w:color w:val="000000"/>
                <w:sz w:val="24"/>
                <w:szCs w:val="24"/>
                <w:lang w:val="en-US"/>
              </w:rPr>
              <w:t>投标资格</w:t>
            </w:r>
          </w:p>
        </w:tc>
        <w:tc>
          <w:tcPr>
            <w:tcW w:w="6766" w:type="dxa"/>
            <w:vAlign w:val="center"/>
          </w:tcPr>
          <w:p w14:paraId="5E1FE2DD">
            <w:pPr>
              <w:shd w:val="clear" w:color="auto" w:fill="auto"/>
              <w:spacing w:line="240" w:lineRule="auto"/>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供应商必须符合《中华人民共和国政府采购法》第二十二条规定的条件并提供证明材料。</w:t>
            </w:r>
          </w:p>
          <w:p w14:paraId="397286BA">
            <w:pPr>
              <w:pStyle w:val="52"/>
              <w:tabs>
                <w:tab w:val="center" w:pos="4201"/>
                <w:tab w:val="right" w:leader="dot" w:pos="9298"/>
              </w:tabs>
              <w:ind w:firstLine="0" w:firstLineChars="0"/>
              <w:rPr>
                <w:rFonts w:hint="eastAsia" w:hAnsi="宋体" w:cs="宋体"/>
                <w:color w:val="000000"/>
                <w:sz w:val="24"/>
                <w:szCs w:val="24"/>
                <w:lang w:bidi="zh-CN"/>
              </w:rPr>
            </w:pPr>
            <w:r>
              <w:rPr>
                <w:rFonts w:hint="eastAsia" w:hAnsi="宋体" w:cs="宋体"/>
                <w:color w:val="000000"/>
                <w:sz w:val="24"/>
                <w:szCs w:val="24"/>
                <w:lang w:bidi="zh-CN"/>
              </w:rPr>
              <w:t>（1）具有独立承担民事责任的能力，</w:t>
            </w:r>
            <w:r>
              <w:rPr>
                <w:rFonts w:hint="default"/>
                <w:sz w:val="24"/>
                <w:szCs w:val="24"/>
                <w:highlight w:val="none"/>
                <w:lang w:val="zh-CN"/>
              </w:rPr>
              <w:t>法人或者其他组织的营业执照等证明文件</w:t>
            </w:r>
            <w:r>
              <w:rPr>
                <w:rFonts w:hint="eastAsia"/>
                <w:sz w:val="24"/>
                <w:szCs w:val="24"/>
                <w:highlight w:val="none"/>
                <w:lang w:val="zh-CN"/>
              </w:rPr>
              <w:t>；</w:t>
            </w:r>
            <w:r>
              <w:rPr>
                <w:rFonts w:hint="eastAsia" w:hAnsi="宋体" w:cs="宋体"/>
                <w:color w:val="000000"/>
                <w:sz w:val="24"/>
                <w:szCs w:val="24"/>
                <w:lang w:bidi="zh-CN"/>
              </w:rPr>
              <w:t>；</w:t>
            </w:r>
          </w:p>
          <w:p w14:paraId="656C503E">
            <w:pPr>
              <w:pStyle w:val="52"/>
              <w:tabs>
                <w:tab w:val="center" w:pos="4201"/>
                <w:tab w:val="right" w:leader="dot" w:pos="9298"/>
              </w:tabs>
              <w:ind w:firstLine="0" w:firstLineChars="0"/>
              <w:rPr>
                <w:rFonts w:hint="eastAsia" w:hAnsi="宋体" w:cs="宋体"/>
                <w:color w:val="000000"/>
                <w:sz w:val="24"/>
                <w:szCs w:val="24"/>
                <w:lang w:bidi="zh-CN"/>
              </w:rPr>
            </w:pPr>
            <w:r>
              <w:rPr>
                <w:rFonts w:hint="eastAsia" w:hAnsi="宋体" w:cs="宋体"/>
                <w:color w:val="000000"/>
                <w:sz w:val="24"/>
                <w:szCs w:val="24"/>
                <w:lang w:bidi="zh-CN"/>
              </w:rPr>
              <w:t>（2）法定代表人身份证原件或法定代表人授权委托书和委托代理人身份证原件（授权委托书应附上法人和代理人身份证复印件）；</w:t>
            </w:r>
          </w:p>
          <w:p w14:paraId="02328FD7">
            <w:pPr>
              <w:pStyle w:val="52"/>
              <w:tabs>
                <w:tab w:val="center" w:pos="4201"/>
                <w:tab w:val="right" w:leader="dot" w:pos="9298"/>
              </w:tabs>
              <w:ind w:firstLine="0" w:firstLineChars="0"/>
              <w:rPr>
                <w:rFonts w:hint="eastAsia" w:hAnsi="宋体" w:cs="宋体"/>
                <w:color w:val="000000"/>
                <w:sz w:val="24"/>
                <w:szCs w:val="24"/>
                <w:lang w:bidi="zh-CN"/>
              </w:rPr>
            </w:pPr>
            <w:r>
              <w:rPr>
                <w:rFonts w:hint="eastAsia" w:hAnsi="宋体" w:cs="宋体"/>
                <w:color w:val="000000"/>
                <w:sz w:val="24"/>
                <w:szCs w:val="24"/>
                <w:lang w:bidi="zh-CN"/>
              </w:rPr>
              <w:t>（3）</w:t>
            </w:r>
            <w:r>
              <w:rPr>
                <w:rFonts w:hint="default" w:ascii="Times New Roman" w:hAnsi="Times New Roman" w:cs="Times New Roman" w:eastAsiaTheme="minorEastAsia"/>
                <w:bCs/>
                <w:sz w:val="24"/>
                <w:szCs w:val="24"/>
                <w:highlight w:val="none"/>
                <w:lang w:val="zh-CN"/>
              </w:rPr>
              <w:t>提供202</w:t>
            </w:r>
            <w:r>
              <w:rPr>
                <w:rFonts w:hint="eastAsia" w:cs="Times New Roman" w:eastAsiaTheme="minorEastAsia"/>
                <w:bCs/>
                <w:sz w:val="24"/>
                <w:szCs w:val="24"/>
                <w:highlight w:val="none"/>
                <w:lang w:val="en-US" w:eastAsia="zh-CN"/>
              </w:rPr>
              <w:t>5</w:t>
            </w:r>
            <w:r>
              <w:rPr>
                <w:rFonts w:hint="default" w:ascii="Times New Roman" w:hAnsi="Times New Roman" w:cs="Times New Roman" w:eastAsiaTheme="minorEastAsia"/>
                <w:bCs/>
                <w:sz w:val="24"/>
                <w:szCs w:val="24"/>
                <w:highlight w:val="none"/>
                <w:lang w:val="zh-CN"/>
              </w:rPr>
              <w:t>年度经审计过的财务审计报告或财务报表（财务报表应至少包括资产负债表、利润表、现金流量表或财务状况变动表等）或银行出具的近三个月的资信证明，新成立不足一年的投标人无法提供审计报告，则需提供开户银行出具的有效的资信证明</w:t>
            </w:r>
            <w:r>
              <w:rPr>
                <w:rFonts w:hint="eastAsia" w:hAnsi="宋体" w:cs="宋体"/>
                <w:color w:val="000000"/>
                <w:sz w:val="24"/>
                <w:szCs w:val="24"/>
                <w:lang w:bidi="zh-CN"/>
              </w:rPr>
              <w:t>；</w:t>
            </w:r>
          </w:p>
          <w:p w14:paraId="5B383CBB">
            <w:pPr>
              <w:pStyle w:val="52"/>
              <w:tabs>
                <w:tab w:val="center" w:pos="4201"/>
                <w:tab w:val="right" w:leader="dot" w:pos="9298"/>
              </w:tabs>
              <w:ind w:firstLine="0" w:firstLineChars="0"/>
              <w:rPr>
                <w:rFonts w:hint="eastAsia" w:hAnsi="宋体" w:cs="宋体"/>
                <w:color w:val="000000"/>
                <w:sz w:val="24"/>
                <w:szCs w:val="24"/>
                <w:lang w:bidi="zh-CN"/>
              </w:rPr>
            </w:pPr>
            <w:r>
              <w:rPr>
                <w:rFonts w:hint="eastAsia" w:hAnsi="宋体" w:cs="宋体"/>
                <w:color w:val="000000"/>
                <w:sz w:val="24"/>
                <w:szCs w:val="24"/>
                <w:lang w:bidi="zh-CN"/>
              </w:rPr>
              <w:t>（4）</w:t>
            </w:r>
            <w:r>
              <w:rPr>
                <w:rFonts w:hint="default" w:ascii="Times New Roman" w:hAnsi="Times New Roman" w:cs="Times New Roman" w:eastAsiaTheme="minorEastAsia"/>
                <w:bCs/>
                <w:sz w:val="24"/>
                <w:szCs w:val="24"/>
                <w:highlight w:val="none"/>
                <w:lang w:val="zh-CN"/>
              </w:rPr>
              <w:t>提供具有履行合同所必需的设备和专业技术能力的书面承诺函</w:t>
            </w:r>
            <w:r>
              <w:rPr>
                <w:rFonts w:hint="eastAsia" w:hAnsi="宋体" w:cs="宋体"/>
                <w:color w:val="000000"/>
                <w:sz w:val="24"/>
                <w:szCs w:val="24"/>
                <w:lang w:bidi="zh-CN"/>
              </w:rPr>
              <w:t>；</w:t>
            </w:r>
          </w:p>
          <w:p w14:paraId="03801638">
            <w:pPr>
              <w:pStyle w:val="52"/>
              <w:tabs>
                <w:tab w:val="center" w:pos="4201"/>
                <w:tab w:val="right" w:leader="dot" w:pos="9298"/>
              </w:tabs>
              <w:ind w:firstLine="0" w:firstLineChars="0"/>
              <w:rPr>
                <w:rFonts w:hint="eastAsia" w:hAnsi="宋体" w:cs="宋体"/>
                <w:color w:val="000000"/>
                <w:sz w:val="24"/>
                <w:szCs w:val="24"/>
                <w:lang w:bidi="zh-CN"/>
              </w:rPr>
            </w:pPr>
            <w:r>
              <w:rPr>
                <w:rFonts w:hint="eastAsia" w:hAnsi="宋体" w:cs="宋体"/>
                <w:color w:val="000000"/>
                <w:sz w:val="24"/>
                <w:szCs w:val="24"/>
                <w:lang w:bidi="zh-CN"/>
              </w:rPr>
              <w:t>（5）参加政府采购活动前3年内在经营活动中没有重大违法记录的书面声明</w:t>
            </w:r>
          </w:p>
          <w:p w14:paraId="6C11A9FF">
            <w:pPr>
              <w:pStyle w:val="52"/>
              <w:tabs>
                <w:tab w:val="center" w:pos="4201"/>
                <w:tab w:val="right" w:leader="dot" w:pos="9298"/>
              </w:tabs>
              <w:ind w:firstLine="0" w:firstLineChars="0"/>
              <w:rPr>
                <w:rFonts w:hint="default" w:ascii="Times New Roman" w:hAnsi="Times New Roman" w:cs="Times New Roman" w:eastAsiaTheme="minorEastAsia"/>
                <w:bCs/>
                <w:sz w:val="24"/>
                <w:szCs w:val="24"/>
                <w:highlight w:val="none"/>
                <w:lang w:val="zh-CN"/>
              </w:rPr>
            </w:pPr>
            <w:r>
              <w:rPr>
                <w:rFonts w:hint="eastAsia" w:hAnsi="宋体" w:cs="宋体"/>
                <w:color w:val="000000"/>
                <w:sz w:val="24"/>
                <w:szCs w:val="24"/>
                <w:lang w:bidi="zh-CN"/>
              </w:rPr>
              <w:t>（6）</w:t>
            </w:r>
            <w:r>
              <w:rPr>
                <w:rFonts w:hint="eastAsia" w:cs="Times New Roman" w:eastAsiaTheme="minorEastAsia"/>
                <w:bCs/>
                <w:sz w:val="24"/>
                <w:szCs w:val="24"/>
                <w:highlight w:val="none"/>
                <w:lang w:val="zh-CN"/>
              </w:rPr>
              <w:t>提供</w:t>
            </w:r>
            <w:r>
              <w:rPr>
                <w:rFonts w:hint="default" w:ascii="Times New Roman" w:hAnsi="Times New Roman" w:cs="Times New Roman" w:eastAsiaTheme="minorEastAsia"/>
                <w:bCs/>
                <w:sz w:val="24"/>
                <w:szCs w:val="24"/>
                <w:highlight w:val="none"/>
                <w:lang w:val="zh-CN"/>
              </w:rPr>
              <w:t>信用查询记录未被“信用中国”（www.creditchina.gov.cn）、中国政府采购网（www.ccgp.gov.cn）列入失信被执行人、重大税收违法案件当事人名单、政府采购严重违法失信行为记录名单</w:t>
            </w:r>
            <w:r>
              <w:rPr>
                <w:rFonts w:hint="eastAsia" w:cs="Times New Roman" w:eastAsiaTheme="minorEastAsia"/>
                <w:bCs/>
                <w:sz w:val="24"/>
                <w:szCs w:val="24"/>
                <w:highlight w:val="none"/>
                <w:lang w:val="zh-CN"/>
              </w:rPr>
              <w:t>截图</w:t>
            </w:r>
            <w:r>
              <w:rPr>
                <w:rFonts w:hint="default" w:ascii="Times New Roman" w:hAnsi="Times New Roman" w:cs="Times New Roman" w:eastAsiaTheme="minorEastAsia"/>
                <w:bCs/>
                <w:sz w:val="24"/>
                <w:szCs w:val="24"/>
                <w:highlight w:val="none"/>
                <w:lang w:val="zh-CN"/>
              </w:rPr>
              <w:t>。</w:t>
            </w:r>
          </w:p>
          <w:p w14:paraId="50948C64">
            <w:pPr>
              <w:pStyle w:val="52"/>
              <w:tabs>
                <w:tab w:val="center" w:pos="4201"/>
                <w:tab w:val="right" w:leader="dot" w:pos="9298"/>
              </w:tabs>
              <w:ind w:firstLine="0" w:firstLineChars="0"/>
              <w:rPr>
                <w:rFonts w:hint="default" w:ascii="Times New Roman" w:hAnsi="Times New Roman" w:cs="Times New Roman" w:eastAsiaTheme="minorEastAsia"/>
                <w:bCs/>
                <w:sz w:val="24"/>
                <w:szCs w:val="24"/>
                <w:highlight w:val="none"/>
                <w:lang w:val="zh-CN"/>
              </w:rPr>
            </w:pPr>
            <w:r>
              <w:rPr>
                <w:rFonts w:hint="eastAsia" w:ascii="Times New Roman" w:hAnsi="Times New Roman" w:cs="Times New Roman" w:eastAsiaTheme="minorEastAsia"/>
                <w:bCs/>
                <w:sz w:val="24"/>
                <w:szCs w:val="24"/>
                <w:highlight w:val="none"/>
                <w:lang w:val="zh-CN"/>
              </w:rPr>
              <w:t>（</w:t>
            </w:r>
            <w:r>
              <w:rPr>
                <w:rFonts w:hint="eastAsia" w:ascii="Times New Roman" w:hAnsi="Times New Roman" w:cs="Times New Roman" w:eastAsiaTheme="minorEastAsia"/>
                <w:bCs/>
                <w:sz w:val="24"/>
                <w:szCs w:val="24"/>
                <w:highlight w:val="none"/>
                <w:lang w:val="en-US" w:eastAsia="zh-CN"/>
              </w:rPr>
              <w:t>7）</w:t>
            </w:r>
            <w:r>
              <w:rPr>
                <w:rFonts w:hint="default" w:ascii="Times New Roman" w:hAnsi="Times New Roman" w:cs="Times New Roman" w:eastAsiaTheme="minorEastAsia"/>
                <w:bCs/>
                <w:sz w:val="24"/>
                <w:szCs w:val="24"/>
                <w:highlight w:val="none"/>
                <w:lang w:val="zh-CN"/>
              </w:rPr>
              <w:t>提供</w:t>
            </w:r>
            <w:r>
              <w:rPr>
                <w:rFonts w:hint="eastAsia" w:ascii="Times New Roman" w:hAnsi="Times New Roman" w:cs="Times New Roman" w:eastAsiaTheme="minorEastAsia"/>
                <w:bCs/>
                <w:sz w:val="24"/>
                <w:szCs w:val="24"/>
                <w:highlight w:val="none"/>
                <w:lang w:val="zh-CN"/>
              </w:rPr>
              <w:t>投标</w:t>
            </w:r>
            <w:r>
              <w:rPr>
                <w:rFonts w:hint="default" w:ascii="Times New Roman" w:hAnsi="Times New Roman" w:cs="Times New Roman" w:eastAsiaTheme="minorEastAsia"/>
                <w:bCs/>
                <w:sz w:val="24"/>
                <w:szCs w:val="24"/>
                <w:highlight w:val="none"/>
                <w:lang w:val="zh-CN"/>
              </w:rPr>
              <w:t>截止日前六个月（近半年）内任意3个月的纳税证明资料</w:t>
            </w:r>
            <w:r>
              <w:rPr>
                <w:rFonts w:hint="eastAsia" w:ascii="Times New Roman" w:hAnsi="Times New Roman" w:cs="Times New Roman" w:eastAsiaTheme="minorEastAsia"/>
                <w:bCs/>
                <w:sz w:val="24"/>
                <w:szCs w:val="24"/>
                <w:highlight w:val="none"/>
                <w:lang w:val="zh-CN"/>
              </w:rPr>
              <w:t>和</w:t>
            </w:r>
            <w:r>
              <w:rPr>
                <w:rFonts w:hint="eastAsia" w:ascii="宋体" w:hAnsi="宋体" w:eastAsia="宋体" w:cs="宋体"/>
                <w:color w:val="000000"/>
                <w:sz w:val="24"/>
                <w:szCs w:val="24"/>
                <w:lang w:val="en-US" w:eastAsia="zh-CN"/>
              </w:rPr>
              <w:t>缴纳社会保险的证明</w:t>
            </w:r>
            <w:r>
              <w:rPr>
                <w:rFonts w:hint="default" w:ascii="Times New Roman" w:hAnsi="Times New Roman" w:cs="Times New Roman" w:eastAsiaTheme="minorEastAsia"/>
                <w:bCs/>
                <w:sz w:val="24"/>
                <w:szCs w:val="24"/>
                <w:highlight w:val="none"/>
                <w:lang w:val="zh-CN"/>
              </w:rPr>
              <w:t>资料。</w:t>
            </w:r>
          </w:p>
          <w:p w14:paraId="7C54A416">
            <w:pPr>
              <w:pStyle w:val="52"/>
              <w:tabs>
                <w:tab w:val="center" w:pos="4201"/>
                <w:tab w:val="right" w:leader="dot" w:pos="9298"/>
              </w:tabs>
              <w:ind w:firstLine="0" w:firstLineChars="0"/>
              <w:rPr>
                <w:rFonts w:hint="eastAsia" w:hAnsi="宋体" w:cs="宋体"/>
                <w:color w:val="000000"/>
                <w:sz w:val="24"/>
                <w:szCs w:val="24"/>
                <w:lang w:bidi="zh-CN"/>
              </w:rPr>
            </w:pPr>
            <w:r>
              <w:rPr>
                <w:rFonts w:hint="eastAsia" w:hAnsi="宋体" w:cs="宋体"/>
                <w:color w:val="000000"/>
                <w:sz w:val="24"/>
                <w:szCs w:val="24"/>
                <w:lang w:bidi="zh-CN"/>
              </w:rPr>
              <w:t>(</w:t>
            </w:r>
            <w:r>
              <w:rPr>
                <w:rFonts w:hint="eastAsia" w:hAnsi="宋体" w:cs="宋体"/>
                <w:color w:val="000000"/>
                <w:sz w:val="24"/>
                <w:szCs w:val="24"/>
                <w:lang w:val="en-US" w:bidi="zh-CN"/>
              </w:rPr>
              <w:t>8</w:t>
            </w:r>
            <w:r>
              <w:rPr>
                <w:rFonts w:hint="eastAsia" w:hAnsi="宋体" w:cs="宋体"/>
                <w:color w:val="000000"/>
                <w:sz w:val="24"/>
                <w:szCs w:val="24"/>
                <w:lang w:bidi="zh-CN"/>
              </w:rPr>
              <w:t>)</w:t>
            </w:r>
            <w:r>
              <w:rPr>
                <w:rFonts w:hint="eastAsia" w:hAnsi="宋体" w:cs="宋体"/>
                <w:color w:val="000000"/>
                <w:sz w:val="24"/>
                <w:szCs w:val="24"/>
                <w:lang w:val="zh-CN" w:bidi="zh-CN"/>
              </w:rPr>
              <w:t>投标保证金缴纳凭证或金融机构、担保机构出具的保函</w:t>
            </w:r>
            <w:r>
              <w:rPr>
                <w:rFonts w:hint="eastAsia" w:hAnsi="宋体" w:cs="宋体"/>
                <w:color w:val="000000"/>
                <w:sz w:val="24"/>
                <w:szCs w:val="24"/>
                <w:lang w:bidi="zh-CN"/>
              </w:rPr>
              <w:t>；</w:t>
            </w:r>
          </w:p>
          <w:p w14:paraId="4542CA85">
            <w:pPr>
              <w:pStyle w:val="52"/>
              <w:tabs>
                <w:tab w:val="center" w:pos="4201"/>
                <w:tab w:val="right" w:leader="dot" w:pos="9298"/>
              </w:tabs>
              <w:ind w:firstLine="0" w:firstLineChars="0"/>
              <w:rPr>
                <w:rFonts w:hint="eastAsia"/>
                <w:color w:val="000000"/>
                <w:szCs w:val="21"/>
              </w:rPr>
            </w:pPr>
            <w:r>
              <w:rPr>
                <w:rFonts w:hint="eastAsia" w:hAnsi="宋体" w:cs="宋体"/>
                <w:color w:val="000000"/>
                <w:sz w:val="24"/>
                <w:szCs w:val="24"/>
                <w:lang w:bidi="zh-CN"/>
              </w:rPr>
              <w:t>(</w:t>
            </w:r>
            <w:r>
              <w:rPr>
                <w:rFonts w:hint="eastAsia" w:hAnsi="宋体" w:cs="宋体"/>
                <w:color w:val="000000"/>
                <w:sz w:val="24"/>
                <w:szCs w:val="24"/>
                <w:lang w:val="en-US" w:bidi="zh-CN"/>
              </w:rPr>
              <w:t>9</w:t>
            </w:r>
            <w:r>
              <w:rPr>
                <w:rFonts w:hint="eastAsia" w:hAnsi="宋体" w:cs="宋体"/>
                <w:color w:val="000000"/>
                <w:sz w:val="24"/>
                <w:szCs w:val="24"/>
                <w:lang w:bidi="zh-CN"/>
              </w:rPr>
              <w:t>)为充分保证完善的售后服务，本项目不接受联合体投标</w:t>
            </w:r>
            <w:r>
              <w:rPr>
                <w:rFonts w:hint="eastAsia"/>
                <w:color w:val="000000"/>
                <w:szCs w:val="21"/>
              </w:rPr>
              <w:t>。</w:t>
            </w:r>
          </w:p>
          <w:p w14:paraId="493464C5">
            <w:pPr>
              <w:pStyle w:val="52"/>
              <w:tabs>
                <w:tab w:val="center" w:pos="4201"/>
                <w:tab w:val="right" w:leader="dot" w:pos="9298"/>
              </w:tabs>
              <w:ind w:firstLine="0" w:firstLineChars="0"/>
              <w:rPr>
                <w:rFonts w:hint="default" w:eastAsia="宋体"/>
                <w:color w:val="000000"/>
                <w:szCs w:val="21"/>
                <w:lang w:val="en-US" w:eastAsia="zh-CN"/>
              </w:rPr>
            </w:pPr>
            <w:r>
              <w:rPr>
                <w:rFonts w:hint="eastAsia"/>
                <w:color w:val="000000"/>
                <w:szCs w:val="21"/>
                <w:lang w:eastAsia="zh-CN"/>
              </w:rPr>
              <w:t>（</w:t>
            </w:r>
            <w:r>
              <w:rPr>
                <w:rFonts w:hint="eastAsia"/>
                <w:color w:val="000000"/>
                <w:szCs w:val="21"/>
                <w:lang w:val="en-US" w:eastAsia="zh-CN"/>
              </w:rPr>
              <w:t>10）</w:t>
            </w:r>
            <w:r>
              <w:rPr>
                <w:rFonts w:hint="eastAsia" w:hAnsi="宋体" w:cs="宋体"/>
                <w:color w:val="000000"/>
                <w:sz w:val="24"/>
                <w:szCs w:val="24"/>
                <w:lang w:bidi="zh-CN"/>
              </w:rPr>
              <w:t>单位负责人为同一人或者存在直接控股、管理关系的不同供应商，不得参加同一合同项下的政府采购活动</w:t>
            </w:r>
          </w:p>
          <w:p w14:paraId="026F1362">
            <w:pPr>
              <w:rPr>
                <w:rFonts w:hint="eastAsia" w:hAnsi="宋体" w:cs="宋体"/>
                <w:color w:val="000000"/>
                <w:sz w:val="24"/>
                <w:szCs w:val="24"/>
                <w:lang w:bidi="zh-CN"/>
              </w:rPr>
            </w:pPr>
            <w:r>
              <w:rPr>
                <w:rFonts w:hint="eastAsia" w:hAnsi="宋体" w:cs="宋体"/>
                <w:b/>
                <w:bCs/>
                <w:color w:val="000000"/>
                <w:sz w:val="24"/>
                <w:szCs w:val="24"/>
                <w:lang w:val="en-US" w:bidi="zh-CN"/>
              </w:rPr>
              <w:t>2.</w:t>
            </w:r>
            <w:r>
              <w:rPr>
                <w:rFonts w:hint="eastAsia" w:hAnsi="宋体" w:cs="宋体"/>
                <w:b/>
                <w:bCs/>
                <w:color w:val="000000"/>
                <w:sz w:val="24"/>
                <w:szCs w:val="24"/>
                <w:lang w:bidi="zh-CN"/>
              </w:rPr>
              <w:t>落实政府采购政策需满足的资格要求：</w:t>
            </w:r>
            <w:r>
              <w:rPr>
                <w:rFonts w:hint="eastAsia" w:hAnsi="宋体" w:cs="宋体"/>
                <w:color w:val="000000"/>
                <w:sz w:val="24"/>
                <w:szCs w:val="24"/>
                <w:lang w:bidi="zh-CN"/>
              </w:rPr>
              <w:t>本项目专门面向中小企业预留份额</w:t>
            </w:r>
            <w:r>
              <w:rPr>
                <w:rFonts w:hint="eastAsia" w:hAnsi="宋体" w:cs="宋体"/>
                <w:color w:val="000000"/>
                <w:sz w:val="24"/>
                <w:szCs w:val="24"/>
                <w:lang w:val="en-US" w:eastAsia="zh-CN" w:bidi="zh-CN"/>
              </w:rPr>
              <w:t>3</w:t>
            </w:r>
            <w:r>
              <w:rPr>
                <w:rFonts w:hint="eastAsia" w:hAnsi="宋体" w:cs="宋体"/>
                <w:color w:val="000000"/>
                <w:sz w:val="24"/>
                <w:szCs w:val="24"/>
                <w:lang w:bidi="zh-CN"/>
              </w:rPr>
              <w:t>0.00%，其中专门面向小微企业预留份额：60.00%）</w:t>
            </w:r>
          </w:p>
          <w:p w14:paraId="4DA9411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3.本项目的特定资格要求：</w:t>
            </w:r>
            <w:r>
              <w:rPr>
                <w:rFonts w:hint="eastAsia" w:ascii="宋体" w:hAnsi="宋体" w:eastAsia="宋体" w:cs="宋体"/>
                <w:color w:val="auto"/>
                <w:sz w:val="24"/>
                <w:szCs w:val="24"/>
                <w:highlight w:val="none"/>
              </w:rPr>
              <w:t>具备电子与智能化工程专业承包贰级及以上资质。</w:t>
            </w:r>
          </w:p>
          <w:p w14:paraId="37AB42F8">
            <w:pPr>
              <w:adjustRightInd w:val="0"/>
              <w:snapToGrid w:val="0"/>
              <w:spacing w:line="360" w:lineRule="auto"/>
              <w:rPr>
                <w:rFonts w:hint="default" w:eastAsia="宋体"/>
                <w:lang w:val="en-US" w:eastAsia="zh-CN"/>
              </w:rPr>
            </w:pPr>
            <w:r>
              <w:rPr>
                <w:rFonts w:hint="eastAsia" w:ascii="宋体" w:hAnsi="宋体" w:eastAsia="宋体" w:cs="宋体"/>
                <w:color w:val="auto"/>
                <w:sz w:val="24"/>
                <w:szCs w:val="24"/>
                <w:highlight w:val="none"/>
                <w:lang w:val="en-US" w:eastAsia="zh-CN"/>
              </w:rPr>
              <w:t xml:space="preserve">4.项目采购标的对应的中小企业划分标准所属行业：工业。 </w:t>
            </w:r>
          </w:p>
          <w:p w14:paraId="1FFA7B74">
            <w:pPr>
              <w:pStyle w:val="7"/>
              <w:ind w:left="0" w:leftChars="0" w:firstLine="0" w:firstLineChars="0"/>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b/>
                <w:bCs/>
                <w:color w:val="auto"/>
                <w:sz w:val="24"/>
                <w:szCs w:val="24"/>
                <w:highlight w:val="none"/>
                <w:lang w:val="en-US" w:eastAsia="zh-CN"/>
              </w:rPr>
              <w:t>（否）</w:t>
            </w:r>
            <w:r>
              <w:rPr>
                <w:rFonts w:hint="eastAsia" w:ascii="宋体" w:hAnsi="宋体" w:eastAsia="宋体" w:cs="宋体"/>
                <w:color w:val="auto"/>
                <w:sz w:val="24"/>
                <w:szCs w:val="24"/>
                <w:highlight w:val="none"/>
                <w:lang w:val="en-US" w:eastAsia="zh-CN"/>
              </w:rPr>
              <w:t>接受联合体投标。</w:t>
            </w:r>
          </w:p>
          <w:p w14:paraId="2F5A0D0F">
            <w:pPr>
              <w:pStyle w:val="52"/>
              <w:tabs>
                <w:tab w:val="center" w:pos="4201"/>
                <w:tab w:val="right" w:leader="dot" w:pos="9298"/>
              </w:tabs>
              <w:ind w:firstLine="0" w:firstLineChars="0"/>
              <w:rPr>
                <w:rFonts w:hint="eastAsia" w:ascii="宋体" w:hAnsi="宋体" w:eastAsia="宋体" w:cs="宋体"/>
                <w:sz w:val="24"/>
                <w:szCs w:val="24"/>
                <w:highlight w:val="none"/>
              </w:rPr>
            </w:pPr>
            <w:bookmarkStart w:id="35" w:name="_GoBack"/>
            <w:bookmarkEnd w:id="35"/>
          </w:p>
        </w:tc>
      </w:tr>
      <w:tr w14:paraId="329A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38C99155">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1626" w:type="dxa"/>
            <w:vAlign w:val="center"/>
          </w:tcPr>
          <w:p w14:paraId="0500591F">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评标方法</w:t>
            </w:r>
          </w:p>
        </w:tc>
        <w:tc>
          <w:tcPr>
            <w:tcW w:w="6766" w:type="dxa"/>
            <w:vAlign w:val="center"/>
          </w:tcPr>
          <w:p w14:paraId="7256473A">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lang w:eastAsia="zh-CN"/>
              </w:rPr>
              <w:t>综合评分法</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eastAsia="zh-CN"/>
              </w:rPr>
              <w:t>最低评标价法</w:t>
            </w:r>
          </w:p>
          <w:p w14:paraId="3F1CB2F8">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（具体评标标准详见第五章）</w:t>
            </w:r>
          </w:p>
        </w:tc>
      </w:tr>
      <w:tr w14:paraId="5E312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2F049D58">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626" w:type="dxa"/>
            <w:vAlign w:val="center"/>
          </w:tcPr>
          <w:p w14:paraId="312EEDF4">
            <w:pPr>
              <w:overflowPunct w:val="0"/>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评标委员组成</w:t>
            </w:r>
          </w:p>
        </w:tc>
        <w:tc>
          <w:tcPr>
            <w:tcW w:w="6766" w:type="dxa"/>
            <w:vAlign w:val="center"/>
          </w:tcPr>
          <w:p w14:paraId="7BE967A1">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招标单位依法组建评审小组，评审小组共</w:t>
            </w:r>
            <w:r>
              <w:rPr>
                <w:rFonts w:hint="eastAsia" w:ascii="宋体" w:hAnsi="宋体" w:eastAsia="宋体" w:cs="宋体"/>
                <w:sz w:val="24"/>
                <w:szCs w:val="24"/>
                <w:highlight w:val="none"/>
                <w:u w:val="single"/>
                <w:lang w:eastAsia="zh-CN"/>
              </w:rPr>
              <w:t xml:space="preserve"> 7 </w:t>
            </w:r>
            <w:r>
              <w:rPr>
                <w:rFonts w:hint="eastAsia" w:ascii="宋体" w:hAnsi="宋体" w:eastAsia="宋体" w:cs="宋体"/>
                <w:sz w:val="24"/>
                <w:szCs w:val="24"/>
                <w:highlight w:val="none"/>
                <w:lang w:eastAsia="zh-CN"/>
              </w:rPr>
              <w:t>人组成（采购人代表和政采云专家）。</w:t>
            </w:r>
          </w:p>
          <w:p w14:paraId="1647FE31">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小组确定方式：</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政采云专家库中随机抽取   □其他方式</w:t>
            </w:r>
          </w:p>
        </w:tc>
      </w:tr>
      <w:tr w14:paraId="51ACE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14:paraId="596C1FC2">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626" w:type="dxa"/>
            <w:vAlign w:val="center"/>
          </w:tcPr>
          <w:p w14:paraId="6C84F600">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确定中标人</w:t>
            </w:r>
          </w:p>
        </w:tc>
        <w:tc>
          <w:tcPr>
            <w:tcW w:w="6766" w:type="dxa"/>
            <w:vAlign w:val="center"/>
          </w:tcPr>
          <w:p w14:paraId="77C067C9">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是否委托评标委员会直接确定中标人：</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否</w:t>
            </w:r>
          </w:p>
          <w:p w14:paraId="17533460">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中标候选人并列的，由</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采购人委托评标委员会，按照以下方式确定中标人：</w:t>
            </w:r>
          </w:p>
          <w:p w14:paraId="7667160A">
            <w:pPr>
              <w:spacing w:beforeLines="0" w:afterLines="0"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u w:val="single"/>
                <w:lang w:val="en-US" w:eastAsia="zh-CN"/>
              </w:rPr>
              <w:t>得分相同的，按投标报价由低到高顺序排列。得分且投标报价相同的并列。投标文件满足招标文件全部实质性要求，且按照评审因素的量化指标评审得分最高的投标人为排名第一的中标候选人。</w:t>
            </w:r>
          </w:p>
          <w:p w14:paraId="02A36CC4">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随机抽取确定中标人。</w:t>
            </w:r>
          </w:p>
        </w:tc>
      </w:tr>
      <w:tr w14:paraId="3E45B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vAlign w:val="center"/>
          </w:tcPr>
          <w:p w14:paraId="5AAB0E31">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626" w:type="dxa"/>
            <w:vAlign w:val="center"/>
          </w:tcPr>
          <w:p w14:paraId="6B8724B7">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w:t>
            </w:r>
          </w:p>
        </w:tc>
        <w:tc>
          <w:tcPr>
            <w:tcW w:w="6766" w:type="dxa"/>
            <w:vAlign w:val="center"/>
          </w:tcPr>
          <w:p w14:paraId="26859FA1">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本项目的非主体、非关键性工作是否允许分包：</w:t>
            </w:r>
          </w:p>
          <w:p w14:paraId="132006F8">
            <w:pPr>
              <w:spacing w:beforeLines="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否</w:t>
            </w:r>
          </w:p>
          <w:p w14:paraId="00CDA4CF">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（如选择“是”）分包具体要求：</w:t>
            </w:r>
          </w:p>
          <w:p w14:paraId="5D84B7FC">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）可以分包履行的具体内容：根据采购人的具体要求；</w:t>
            </w:r>
          </w:p>
          <w:p w14:paraId="7A4C1B71">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）允许分包的金额或者比例：</w:t>
            </w:r>
            <w:r>
              <w:rPr>
                <w:rFonts w:hint="eastAsia" w:ascii="宋体" w:hAnsi="宋体" w:eastAsia="宋体" w:cs="宋体"/>
                <w:color w:val="auto"/>
                <w:sz w:val="24"/>
                <w:szCs w:val="24"/>
                <w:highlight w:val="none"/>
                <w:lang w:eastAsia="zh-CN"/>
              </w:rPr>
              <w:t>获得采购合同的供应商将采购项目中的30%分包给一家或多家中小企业，其中小微企业承担部分达到60%）</w:t>
            </w:r>
          </w:p>
          <w:p w14:paraId="403623A4">
            <w:pPr>
              <w:spacing w:beforeLines="0" w:after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）其他要求（如有）：</w:t>
            </w:r>
          </w:p>
        </w:tc>
      </w:tr>
      <w:tr w14:paraId="6BBFE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14:paraId="5DD598B8">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626" w:type="dxa"/>
            <w:vAlign w:val="center"/>
          </w:tcPr>
          <w:p w14:paraId="01182FAE">
            <w:pPr>
              <w:widowControl/>
              <w:spacing w:beforeLines="0" w:afterLines="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询问</w:t>
            </w:r>
          </w:p>
        </w:tc>
        <w:tc>
          <w:tcPr>
            <w:tcW w:w="6766" w:type="dxa"/>
            <w:vAlign w:val="center"/>
          </w:tcPr>
          <w:p w14:paraId="649F31FB">
            <w:pPr>
              <w:widowControl/>
              <w:spacing w:beforeLines="0" w:afterLines="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询问送达形式：投标人对政府采购活动事项有疑问的，可依法提出询问，并按《投标人须知资料表》载明的形式送达采购人或采购代理机构。</w:t>
            </w:r>
          </w:p>
          <w:p w14:paraId="2EE7CC13">
            <w:pPr>
              <w:widowControl/>
              <w:spacing w:beforeLines="0" w:afterLines="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采购人或采购代理机构对供应商依法提出的询问，在3个工作日内作出答复，但答复的内容不得涉及商业秘密。</w:t>
            </w:r>
          </w:p>
          <w:p w14:paraId="54B5FB36">
            <w:pPr>
              <w:widowControl/>
              <w:spacing w:beforeLines="0" w:afterLines="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询问联系部门及人员：新疆中泰正信项目管理有限公司</w:t>
            </w:r>
          </w:p>
          <w:p w14:paraId="768F0DC8">
            <w:pPr>
              <w:widowControl/>
              <w:spacing w:beforeLines="0" w:afterLines="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询问联系电话：18196262187</w:t>
            </w:r>
          </w:p>
          <w:p w14:paraId="302F5E37">
            <w:pPr>
              <w:widowControl/>
              <w:spacing w:beforeLines="0" w:afterLines="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询问联系地址：</w:t>
            </w:r>
            <w:r>
              <w:rPr>
                <w:rFonts w:hint="eastAsia" w:ascii="宋体" w:hAnsi="宋体" w:eastAsia="宋体" w:cs="宋体"/>
                <w:color w:val="auto"/>
                <w:sz w:val="24"/>
                <w:szCs w:val="24"/>
                <w:highlight w:val="none"/>
                <w:lang w:val="en-US" w:eastAsia="zh-CN"/>
              </w:rPr>
              <w:t>库尔勒市甘肃大厦6楼</w:t>
            </w:r>
          </w:p>
        </w:tc>
      </w:tr>
      <w:tr w14:paraId="74AE5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14:paraId="1C93184A">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626" w:type="dxa"/>
            <w:vAlign w:val="center"/>
          </w:tcPr>
          <w:p w14:paraId="40005979">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w:t>
            </w:r>
          </w:p>
        </w:tc>
        <w:tc>
          <w:tcPr>
            <w:tcW w:w="6766" w:type="dxa"/>
            <w:vAlign w:val="center"/>
          </w:tcPr>
          <w:p w14:paraId="138BBF8D">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是否要求投标人</w:t>
            </w:r>
            <w:r>
              <w:rPr>
                <w:rFonts w:hint="eastAsia" w:ascii="宋体" w:hAnsi="宋体" w:eastAsia="宋体" w:cs="宋体"/>
                <w:b/>
                <w:bCs/>
                <w:sz w:val="24"/>
                <w:szCs w:val="24"/>
                <w:highlight w:val="none"/>
                <w:lang w:eastAsia="zh-CN"/>
              </w:rPr>
              <w:t>在法定质疑期内一次性提出针对同一采购程序环节</w:t>
            </w:r>
            <w:r>
              <w:rPr>
                <w:rFonts w:hint="eastAsia" w:ascii="宋体" w:hAnsi="宋体" w:eastAsia="宋体" w:cs="宋体"/>
                <w:sz w:val="24"/>
                <w:szCs w:val="24"/>
                <w:highlight w:val="none"/>
                <w:lang w:eastAsia="zh-CN"/>
              </w:rPr>
              <w:t>的质疑：</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否</w:t>
            </w:r>
          </w:p>
          <w:p w14:paraId="09CFCF3B">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1、供应商认为采购文件、采购过程、中标或者成交结果使自己的权益受到损害的，可以在知道或者应知其权益受到损害之日起7个工作日内，以书面形式向采购人、采购代理机构提出质疑。</w:t>
            </w:r>
          </w:p>
          <w:p w14:paraId="09CD94ED">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2、提出质疑的供应商（以下简称质疑供应商）应当是参与所质疑项目采购活动的供应商。</w:t>
            </w:r>
          </w:p>
          <w:p w14:paraId="034CF517">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3、对采购文件提出质疑的，应当在获取采购文件或者采购文件公告期限届满之日起7个工作日内提出。</w:t>
            </w:r>
          </w:p>
          <w:p w14:paraId="42055FA2">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4、供应商提出质疑应当提交质疑函和必要的证明材料。质疑函应当包括下列内容：</w:t>
            </w:r>
          </w:p>
          <w:p w14:paraId="04DCC4C0">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（一）供应商的姓名或者名称、地址、邮编、联系人及联系电话；</w:t>
            </w:r>
          </w:p>
          <w:p w14:paraId="36E41A3D">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（二）质疑项目的名称、编号；</w:t>
            </w:r>
          </w:p>
          <w:p w14:paraId="0ACEC756">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（三）具体、明确的质疑事项和与质疑事项相关的请求；</w:t>
            </w:r>
          </w:p>
          <w:p w14:paraId="62DA9B7D">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（四）事实依据；</w:t>
            </w:r>
          </w:p>
          <w:p w14:paraId="6E431D87">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（五）必要的法律依据；</w:t>
            </w:r>
          </w:p>
          <w:p w14:paraId="496E3792">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（六）提出质疑的日期。</w:t>
            </w:r>
          </w:p>
          <w:p w14:paraId="00FE9E6E">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供应商为自然人的，应当由本人签字；供应商为法人或者其他组织的，应当由法定代表人、主要负责人，或者其授权代表签字或者盖章，并加盖公章。</w:t>
            </w:r>
          </w:p>
          <w:p w14:paraId="46EE8DD9">
            <w:pPr>
              <w:widowControl/>
              <w:spacing w:beforeLines="0" w:afterLines="0"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采购人、采购代理机构应当在收到质疑函后7个工作日内作出答复，并以书面形式通知质疑供应商和其他有关供应商。</w:t>
            </w:r>
          </w:p>
          <w:p w14:paraId="6CC8ADF6">
            <w:pPr>
              <w:widowControl/>
              <w:spacing w:beforeLines="0" w:afterLines="0" w:line="360" w:lineRule="auto"/>
              <w:jc w:val="left"/>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5、接受质疑函的方式：书面形式递交（书面形式包括：纸质版或电子邮件等方式）。</w:t>
            </w:r>
          </w:p>
        </w:tc>
      </w:tr>
      <w:tr w14:paraId="78710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14:paraId="632BD49F">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1626" w:type="dxa"/>
            <w:vAlign w:val="center"/>
          </w:tcPr>
          <w:p w14:paraId="01E1D349">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代理费用</w:t>
            </w:r>
          </w:p>
        </w:tc>
        <w:tc>
          <w:tcPr>
            <w:tcW w:w="6766" w:type="dxa"/>
            <w:vAlign w:val="center"/>
          </w:tcPr>
          <w:p w14:paraId="4152C55E">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是否收取代理费用：</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否</w:t>
            </w:r>
          </w:p>
          <w:p w14:paraId="626F1CC4">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（如选择“是”）代理费用收费对象：</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中标人</w:t>
            </w:r>
          </w:p>
          <w:p w14:paraId="5EF0C6AB">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收取标准：</w:t>
            </w:r>
          </w:p>
          <w:p w14:paraId="5C121849">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代理报酬的计算方法：参照原国家计委《招标代理服务收费管理暂行办法》（计加盖[2002]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收取。中标金额在5亿元以上的代理服务费实行收费上限，服务类代理服务费上限为300万元。</w:t>
            </w:r>
          </w:p>
          <w:p w14:paraId="79C5DB71">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、代理报酬支付方式：由中标人支付</w:t>
            </w:r>
          </w:p>
          <w:p w14:paraId="145A7BEE">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、代理报酬的支付时间：由中标人领取中标通知书时支付。</w:t>
            </w:r>
          </w:p>
          <w:p w14:paraId="6FA15982">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tc>
      </w:tr>
      <w:tr w14:paraId="01CE0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14:paraId="641521FC">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1626" w:type="dxa"/>
            <w:vAlign w:val="center"/>
          </w:tcPr>
          <w:p w14:paraId="626304D4">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履约保证金</w:t>
            </w:r>
          </w:p>
        </w:tc>
        <w:tc>
          <w:tcPr>
            <w:tcW w:w="6766" w:type="dxa"/>
            <w:vAlign w:val="center"/>
          </w:tcPr>
          <w:p w14:paraId="177F54B4">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是否需要缴纳履约保证金：</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否</w:t>
            </w:r>
          </w:p>
          <w:p w14:paraId="2DF09C86">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（若选择“是”）履约保证金缴纳要求：</w:t>
            </w:r>
          </w:p>
          <w:p w14:paraId="51D74BB4">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）缴纳金额：</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p>
          <w:p w14:paraId="26679C21">
            <w:pPr>
              <w:spacing w:beforeLines="0" w:after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）缴纳时间：签订合同</w:t>
            </w:r>
            <w:r>
              <w:rPr>
                <w:rFonts w:hint="eastAsia" w:ascii="宋体" w:hAnsi="宋体" w:eastAsia="宋体" w:cs="宋体"/>
                <w:sz w:val="24"/>
                <w:szCs w:val="24"/>
                <w:highlight w:val="none"/>
                <w:lang w:val="en-US" w:eastAsia="zh-CN"/>
              </w:rPr>
              <w:t>前</w:t>
            </w:r>
          </w:p>
          <w:p w14:paraId="0D572AFA">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）缴纳方式：履约保证金账户签订合同前联系甲方获取</w:t>
            </w:r>
          </w:p>
          <w:p w14:paraId="0E1DBDE1">
            <w:pPr>
              <w:spacing w:beforeLines="0" w:after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）退还方式：</w:t>
            </w:r>
            <w:r>
              <w:rPr>
                <w:rFonts w:hint="eastAsia" w:ascii="宋体" w:hAnsi="宋体" w:eastAsia="宋体" w:cs="宋体"/>
                <w:sz w:val="24"/>
                <w:szCs w:val="24"/>
                <w:highlight w:val="none"/>
                <w:lang w:val="en-US" w:eastAsia="zh-CN"/>
              </w:rPr>
              <w:t>甲乙双方约定</w:t>
            </w:r>
          </w:p>
          <w:p w14:paraId="1713A0BB">
            <w:pPr>
              <w:spacing w:beforeLines="0" w:afterLines="0" w:line="360" w:lineRule="auto"/>
              <w:rPr>
                <w:rFonts w:hint="eastAsia" w:ascii="宋体" w:hAnsi="宋体" w:eastAsia="宋体" w:cs="宋体"/>
                <w:i/>
                <w:sz w:val="24"/>
                <w:szCs w:val="24"/>
                <w:highlight w:val="none"/>
                <w:lang w:val="en-US"/>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）其他要求（如有）：</w:t>
            </w:r>
            <w:r>
              <w:rPr>
                <w:rFonts w:hint="eastAsia" w:ascii="宋体" w:hAnsi="宋体" w:eastAsia="宋体" w:cs="宋体"/>
                <w:sz w:val="24"/>
                <w:szCs w:val="24"/>
                <w:highlight w:val="none"/>
                <w:lang w:val="en-US" w:eastAsia="zh-CN"/>
              </w:rPr>
              <w:t>/</w:t>
            </w:r>
          </w:p>
        </w:tc>
      </w:tr>
      <w:tr w14:paraId="5E17C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2177829F">
            <w:pPr>
              <w:spacing w:beforeLines="0" w:afterLines="0"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24</w:t>
            </w:r>
          </w:p>
        </w:tc>
        <w:tc>
          <w:tcPr>
            <w:tcW w:w="1626" w:type="dxa"/>
            <w:vAlign w:val="center"/>
          </w:tcPr>
          <w:p w14:paraId="7CFB24E2">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投标文件上传</w:t>
            </w:r>
          </w:p>
        </w:tc>
        <w:tc>
          <w:tcPr>
            <w:tcW w:w="6766" w:type="dxa"/>
            <w:vAlign w:val="center"/>
          </w:tcPr>
          <w:p w14:paraId="3A5381CF">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使用政府采购云平台投标文件制作工具，制作完成需将加密投标文件在投标截止时间前上传至政采云平台对应位置。</w:t>
            </w:r>
          </w:p>
        </w:tc>
      </w:tr>
      <w:tr w14:paraId="4EDE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3B4CE516">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1626" w:type="dxa"/>
            <w:vAlign w:val="center"/>
          </w:tcPr>
          <w:p w14:paraId="339E869C">
            <w:pPr>
              <w:spacing w:beforeLines="0" w:afterLines="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w:t>
            </w:r>
          </w:p>
          <w:p w14:paraId="4F513DEB">
            <w:pPr>
              <w:spacing w:beforeLines="0" w:afterLines="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递交地点及时间</w:t>
            </w:r>
          </w:p>
        </w:tc>
        <w:tc>
          <w:tcPr>
            <w:tcW w:w="6766" w:type="dxa"/>
            <w:vAlign w:val="center"/>
          </w:tcPr>
          <w:p w14:paraId="3A26EC38">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1、本项目采用不见面开标，投标文件上传：政采云平台</w:t>
            </w:r>
          </w:p>
          <w:p w14:paraId="01B0A826">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2、地址：政采云平台</w:t>
            </w:r>
          </w:p>
          <w:p w14:paraId="69DC3C08">
            <w:pPr>
              <w:spacing w:beforeLines="0" w:afterLines="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lang w:val="en-US" w:eastAsia="zh-CN"/>
              </w:rPr>
              <w:t>2026年06月29日10:30（北京时间）</w:t>
            </w:r>
          </w:p>
          <w:p w14:paraId="2B6CB88F">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1B47D9CA">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（1）与加密标书同时生成的备份标书，在出现异常情况进行异常处理时使用。比如当加密标书无法正常解密时，可以在开启标书信息前，通过异常处理上传备份标书。</w:t>
            </w:r>
          </w:p>
          <w:p w14:paraId="6B17C4EF">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（2）平台会校验标书一致性及标书身份识别，切勿手动修改标书。</w:t>
            </w:r>
          </w:p>
          <w:p w14:paraId="6F420DCF">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（3）供应商生成的后缀格式为.bfbs的备份标书是无法查看的，主要是为了在开标解密时异常处理使用。</w:t>
            </w:r>
          </w:p>
          <w:p w14:paraId="1981AE7B">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（4）凡因个人原因无法正常解密投标文件（且没提供备份文件至采购代理机构），致使供应商无法参与评标，供应商自行承担后果。</w:t>
            </w:r>
          </w:p>
          <w:p w14:paraId="323932F3">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电报、电话、传真、电子邮件等形式的投标概不接受。</w:t>
            </w:r>
          </w:p>
          <w:p w14:paraId="0D7F6FCE">
            <w:pPr>
              <w:spacing w:beforeLines="0" w:afterLines="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4、开标结束后五天内将纸制文件按要求，一式2份，邮寄至：</w:t>
            </w:r>
            <w:r>
              <w:rPr>
                <w:rFonts w:hint="eastAsia" w:ascii="宋体" w:hAnsi="宋体" w:eastAsia="宋体" w:cs="宋体"/>
                <w:color w:val="auto"/>
                <w:sz w:val="24"/>
                <w:szCs w:val="24"/>
                <w:highlight w:val="none"/>
                <w:lang w:val="en-US" w:eastAsia="zh-CN"/>
              </w:rPr>
              <w:t xml:space="preserve">库尔勒市甘肃大厦6楼  </w:t>
            </w: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张璐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eastAsia="zh-CN"/>
              </w:rPr>
              <w:t>18196262187</w:t>
            </w:r>
          </w:p>
        </w:tc>
      </w:tr>
      <w:tr w14:paraId="48C31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39EB5D1F">
            <w:pPr>
              <w:spacing w:beforeLines="0" w:afterLines="0" w:line="360" w:lineRule="auto"/>
              <w:jc w:val="center"/>
              <w:rPr>
                <w:rFonts w:hint="eastAsia" w:ascii="宋体" w:hAnsi="宋体" w:eastAsia="宋体" w:cs="宋体"/>
                <w:sz w:val="24"/>
                <w:szCs w:val="24"/>
                <w:highlight w:val="none"/>
                <w:lang w:val="en-US" w:eastAsia="zh-CN"/>
              </w:rPr>
            </w:pPr>
          </w:p>
          <w:p w14:paraId="0EB88CFA">
            <w:pPr>
              <w:spacing w:beforeLines="0" w:afterLines="0" w:line="360" w:lineRule="auto"/>
              <w:jc w:val="center"/>
              <w:rPr>
                <w:rFonts w:hint="eastAsia" w:ascii="宋体" w:hAnsi="宋体" w:eastAsia="宋体" w:cs="宋体"/>
                <w:sz w:val="24"/>
                <w:szCs w:val="24"/>
                <w:highlight w:val="none"/>
                <w:lang w:val="en-US" w:eastAsia="zh-CN"/>
              </w:rPr>
            </w:pPr>
          </w:p>
          <w:p w14:paraId="195CDA0E">
            <w:pPr>
              <w:spacing w:beforeLines="0" w:afterLines="0" w:line="360" w:lineRule="auto"/>
              <w:jc w:val="center"/>
              <w:rPr>
                <w:rFonts w:hint="eastAsia" w:ascii="宋体" w:hAnsi="宋体" w:eastAsia="宋体" w:cs="宋体"/>
                <w:sz w:val="24"/>
                <w:szCs w:val="24"/>
                <w:highlight w:val="none"/>
                <w:lang w:val="en-US" w:eastAsia="zh-CN"/>
              </w:rPr>
            </w:pPr>
          </w:p>
          <w:p w14:paraId="74B9A22A">
            <w:pPr>
              <w:spacing w:beforeLines="0" w:afterLines="0" w:line="360" w:lineRule="auto"/>
              <w:jc w:val="center"/>
              <w:rPr>
                <w:rFonts w:hint="eastAsia" w:ascii="宋体" w:hAnsi="宋体" w:eastAsia="宋体" w:cs="宋体"/>
                <w:sz w:val="24"/>
                <w:szCs w:val="24"/>
                <w:highlight w:val="none"/>
                <w:lang w:val="en-US" w:eastAsia="zh-CN"/>
              </w:rPr>
            </w:pPr>
          </w:p>
          <w:p w14:paraId="0401718A">
            <w:pPr>
              <w:spacing w:beforeLines="0" w:afterLines="0" w:line="360" w:lineRule="auto"/>
              <w:jc w:val="center"/>
              <w:rPr>
                <w:rFonts w:hint="eastAsia" w:ascii="宋体" w:hAnsi="宋体" w:eastAsia="宋体" w:cs="宋体"/>
                <w:sz w:val="24"/>
                <w:szCs w:val="24"/>
                <w:highlight w:val="none"/>
                <w:lang w:val="en-US" w:eastAsia="zh-CN"/>
              </w:rPr>
            </w:pPr>
          </w:p>
          <w:p w14:paraId="205314EC">
            <w:pPr>
              <w:spacing w:beforeLines="0" w:afterLines="0" w:line="360" w:lineRule="auto"/>
              <w:jc w:val="center"/>
              <w:rPr>
                <w:rFonts w:hint="eastAsia" w:ascii="宋体" w:hAnsi="宋体" w:eastAsia="宋体" w:cs="宋体"/>
                <w:sz w:val="24"/>
                <w:szCs w:val="24"/>
                <w:highlight w:val="none"/>
                <w:lang w:val="en-US" w:eastAsia="zh-CN"/>
              </w:rPr>
            </w:pPr>
          </w:p>
          <w:p w14:paraId="64E13BC8">
            <w:pPr>
              <w:spacing w:beforeLines="0" w:afterLines="0" w:line="360" w:lineRule="auto"/>
              <w:jc w:val="center"/>
              <w:rPr>
                <w:rFonts w:hint="eastAsia" w:ascii="宋体" w:hAnsi="宋体" w:eastAsia="宋体" w:cs="宋体"/>
                <w:sz w:val="24"/>
                <w:szCs w:val="24"/>
                <w:highlight w:val="none"/>
                <w:lang w:val="en-US" w:eastAsia="zh-CN"/>
              </w:rPr>
            </w:pPr>
          </w:p>
          <w:p w14:paraId="73DA8E3C">
            <w:pPr>
              <w:spacing w:beforeLines="0" w:afterLines="0" w:line="360" w:lineRule="auto"/>
              <w:jc w:val="center"/>
              <w:rPr>
                <w:rFonts w:hint="eastAsia" w:ascii="宋体" w:hAnsi="宋体" w:eastAsia="宋体" w:cs="宋体"/>
                <w:sz w:val="24"/>
                <w:szCs w:val="24"/>
                <w:highlight w:val="none"/>
                <w:lang w:val="en-US" w:eastAsia="zh-CN"/>
              </w:rPr>
            </w:pPr>
          </w:p>
          <w:p w14:paraId="3453DC22">
            <w:pPr>
              <w:spacing w:beforeLines="0" w:afterLines="0" w:line="360" w:lineRule="auto"/>
              <w:jc w:val="center"/>
              <w:rPr>
                <w:rFonts w:hint="eastAsia" w:ascii="宋体" w:hAnsi="宋体" w:eastAsia="宋体" w:cs="宋体"/>
                <w:sz w:val="24"/>
                <w:szCs w:val="24"/>
                <w:highlight w:val="none"/>
                <w:lang w:val="en-US" w:eastAsia="zh-CN"/>
              </w:rPr>
            </w:pPr>
          </w:p>
          <w:p w14:paraId="0A3A3ABE">
            <w:pPr>
              <w:spacing w:beforeLines="0" w:afterLines="0" w:line="360" w:lineRule="auto"/>
              <w:jc w:val="center"/>
              <w:rPr>
                <w:rFonts w:hint="eastAsia" w:ascii="宋体" w:hAnsi="宋体" w:eastAsia="宋体" w:cs="宋体"/>
                <w:sz w:val="24"/>
                <w:szCs w:val="24"/>
                <w:highlight w:val="none"/>
                <w:lang w:val="en-US" w:eastAsia="zh-CN"/>
              </w:rPr>
            </w:pPr>
          </w:p>
          <w:p w14:paraId="5D046D54">
            <w:pPr>
              <w:spacing w:beforeLines="0" w:afterLines="0" w:line="360" w:lineRule="auto"/>
              <w:jc w:val="center"/>
              <w:rPr>
                <w:rFonts w:hint="eastAsia" w:ascii="宋体" w:hAnsi="宋体" w:eastAsia="宋体" w:cs="宋体"/>
                <w:sz w:val="24"/>
                <w:szCs w:val="24"/>
                <w:highlight w:val="none"/>
                <w:lang w:val="en-US" w:eastAsia="zh-CN"/>
              </w:rPr>
            </w:pPr>
          </w:p>
          <w:p w14:paraId="05D45F3A">
            <w:pPr>
              <w:spacing w:beforeLines="0" w:afterLines="0" w:line="360" w:lineRule="auto"/>
              <w:jc w:val="center"/>
              <w:rPr>
                <w:rFonts w:hint="eastAsia" w:ascii="宋体" w:hAnsi="宋体" w:eastAsia="宋体" w:cs="宋体"/>
                <w:sz w:val="24"/>
                <w:szCs w:val="24"/>
                <w:highlight w:val="none"/>
                <w:lang w:val="en-US" w:eastAsia="zh-CN"/>
              </w:rPr>
            </w:pPr>
          </w:p>
          <w:p w14:paraId="1CA955BB">
            <w:pPr>
              <w:spacing w:beforeLines="0" w:afterLines="0" w:line="360" w:lineRule="auto"/>
              <w:jc w:val="center"/>
              <w:rPr>
                <w:rFonts w:hint="eastAsia" w:ascii="宋体" w:hAnsi="宋体" w:eastAsia="宋体" w:cs="宋体"/>
                <w:sz w:val="24"/>
                <w:szCs w:val="24"/>
                <w:highlight w:val="none"/>
                <w:lang w:val="en-US" w:eastAsia="zh-CN"/>
              </w:rPr>
            </w:pPr>
          </w:p>
          <w:p w14:paraId="5E1FAC93">
            <w:pPr>
              <w:spacing w:beforeLines="0" w:afterLines="0"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1626" w:type="dxa"/>
            <w:vAlign w:val="center"/>
          </w:tcPr>
          <w:p w14:paraId="092D5890">
            <w:pPr>
              <w:spacing w:beforeLines="0" w:afterLines="0" w:line="360" w:lineRule="auto"/>
              <w:jc w:val="center"/>
              <w:rPr>
                <w:rFonts w:hint="eastAsia" w:ascii="宋体" w:hAnsi="宋体" w:eastAsia="宋体" w:cs="宋体"/>
                <w:sz w:val="24"/>
                <w:szCs w:val="24"/>
                <w:highlight w:val="none"/>
                <w:lang w:val="en-US" w:eastAsia="zh-CN"/>
              </w:rPr>
            </w:pPr>
          </w:p>
          <w:p w14:paraId="432DEFA4">
            <w:pPr>
              <w:spacing w:beforeLines="0" w:afterLines="0" w:line="360" w:lineRule="auto"/>
              <w:jc w:val="center"/>
              <w:rPr>
                <w:rFonts w:hint="eastAsia" w:ascii="宋体" w:hAnsi="宋体" w:eastAsia="宋体" w:cs="宋体"/>
                <w:sz w:val="24"/>
                <w:szCs w:val="24"/>
                <w:highlight w:val="none"/>
                <w:lang w:val="en-US" w:eastAsia="zh-CN"/>
              </w:rPr>
            </w:pPr>
          </w:p>
          <w:p w14:paraId="3701D945">
            <w:pPr>
              <w:spacing w:beforeLines="0" w:afterLines="0" w:line="360" w:lineRule="auto"/>
              <w:jc w:val="center"/>
              <w:rPr>
                <w:rFonts w:hint="eastAsia" w:ascii="宋体" w:hAnsi="宋体" w:eastAsia="宋体" w:cs="宋体"/>
                <w:sz w:val="24"/>
                <w:szCs w:val="24"/>
                <w:highlight w:val="none"/>
                <w:lang w:val="en-US" w:eastAsia="zh-CN"/>
              </w:rPr>
            </w:pPr>
          </w:p>
          <w:p w14:paraId="6B2D540A">
            <w:pPr>
              <w:spacing w:beforeLines="0" w:afterLines="0" w:line="360" w:lineRule="auto"/>
              <w:jc w:val="center"/>
              <w:rPr>
                <w:rFonts w:hint="eastAsia" w:ascii="宋体" w:hAnsi="宋体" w:eastAsia="宋体" w:cs="宋体"/>
                <w:sz w:val="24"/>
                <w:szCs w:val="24"/>
                <w:highlight w:val="none"/>
                <w:lang w:val="en-US" w:eastAsia="zh-CN"/>
              </w:rPr>
            </w:pPr>
          </w:p>
          <w:p w14:paraId="56582710">
            <w:pPr>
              <w:spacing w:beforeLines="0" w:afterLines="0" w:line="360" w:lineRule="auto"/>
              <w:jc w:val="center"/>
              <w:rPr>
                <w:rFonts w:hint="eastAsia" w:ascii="宋体" w:hAnsi="宋体" w:eastAsia="宋体" w:cs="宋体"/>
                <w:sz w:val="24"/>
                <w:szCs w:val="24"/>
                <w:highlight w:val="none"/>
                <w:lang w:val="en-US" w:eastAsia="zh-CN"/>
              </w:rPr>
            </w:pPr>
          </w:p>
          <w:p w14:paraId="29DF27D3">
            <w:pPr>
              <w:spacing w:beforeLines="0" w:afterLines="0" w:line="360" w:lineRule="auto"/>
              <w:jc w:val="center"/>
              <w:rPr>
                <w:rFonts w:hint="eastAsia" w:ascii="宋体" w:hAnsi="宋体" w:eastAsia="宋体" w:cs="宋体"/>
                <w:sz w:val="24"/>
                <w:szCs w:val="24"/>
                <w:highlight w:val="none"/>
                <w:lang w:val="en-US" w:eastAsia="zh-CN"/>
              </w:rPr>
            </w:pPr>
          </w:p>
          <w:p w14:paraId="65474F67">
            <w:pPr>
              <w:spacing w:beforeLines="0" w:afterLines="0" w:line="360" w:lineRule="auto"/>
              <w:jc w:val="center"/>
              <w:rPr>
                <w:rFonts w:hint="eastAsia" w:ascii="宋体" w:hAnsi="宋体" w:eastAsia="宋体" w:cs="宋体"/>
                <w:sz w:val="24"/>
                <w:szCs w:val="24"/>
                <w:highlight w:val="none"/>
                <w:lang w:val="en-US" w:eastAsia="zh-CN"/>
              </w:rPr>
            </w:pPr>
          </w:p>
          <w:p w14:paraId="39B71424">
            <w:pPr>
              <w:spacing w:beforeLines="0" w:afterLines="0" w:line="360" w:lineRule="auto"/>
              <w:jc w:val="center"/>
              <w:rPr>
                <w:rFonts w:hint="eastAsia" w:ascii="宋体" w:hAnsi="宋体" w:eastAsia="宋体" w:cs="宋体"/>
                <w:sz w:val="24"/>
                <w:szCs w:val="24"/>
                <w:highlight w:val="none"/>
                <w:lang w:val="en-US" w:eastAsia="zh-CN"/>
              </w:rPr>
            </w:pPr>
          </w:p>
          <w:p w14:paraId="503FC6C6">
            <w:pPr>
              <w:spacing w:beforeLines="0" w:afterLines="0" w:line="360" w:lineRule="auto"/>
              <w:jc w:val="center"/>
              <w:rPr>
                <w:rFonts w:hint="eastAsia" w:ascii="宋体" w:hAnsi="宋体" w:eastAsia="宋体" w:cs="宋体"/>
                <w:sz w:val="24"/>
                <w:szCs w:val="24"/>
                <w:highlight w:val="none"/>
                <w:lang w:val="en-US" w:eastAsia="zh-CN"/>
              </w:rPr>
            </w:pPr>
          </w:p>
          <w:p w14:paraId="70459C00">
            <w:pPr>
              <w:spacing w:beforeLines="0" w:afterLines="0" w:line="360" w:lineRule="auto"/>
              <w:jc w:val="center"/>
              <w:rPr>
                <w:rFonts w:hint="eastAsia" w:ascii="宋体" w:hAnsi="宋体" w:eastAsia="宋体" w:cs="宋体"/>
                <w:sz w:val="24"/>
                <w:szCs w:val="24"/>
                <w:highlight w:val="none"/>
                <w:lang w:val="en-US" w:eastAsia="zh-CN"/>
              </w:rPr>
            </w:pPr>
          </w:p>
          <w:p w14:paraId="4192843D">
            <w:pPr>
              <w:spacing w:beforeLines="0" w:afterLines="0" w:line="360" w:lineRule="auto"/>
              <w:jc w:val="center"/>
              <w:rPr>
                <w:rFonts w:hint="eastAsia" w:ascii="宋体" w:hAnsi="宋体" w:eastAsia="宋体" w:cs="宋体"/>
                <w:sz w:val="24"/>
                <w:szCs w:val="24"/>
                <w:highlight w:val="none"/>
                <w:lang w:val="en-US" w:eastAsia="zh-CN"/>
              </w:rPr>
            </w:pPr>
          </w:p>
          <w:p w14:paraId="6B7C141E">
            <w:pPr>
              <w:pStyle w:val="7"/>
              <w:rPr>
                <w:rFonts w:hint="eastAsia" w:ascii="宋体" w:hAnsi="宋体" w:eastAsia="宋体" w:cs="宋体"/>
                <w:sz w:val="24"/>
                <w:szCs w:val="24"/>
                <w:highlight w:val="none"/>
                <w:lang w:val="en-US" w:eastAsia="zh-CN"/>
              </w:rPr>
            </w:pPr>
          </w:p>
          <w:p w14:paraId="0478CD45">
            <w:pPr>
              <w:rPr>
                <w:rFonts w:hint="eastAsia" w:ascii="宋体" w:hAnsi="宋体" w:eastAsia="宋体" w:cs="宋体"/>
                <w:sz w:val="24"/>
                <w:szCs w:val="24"/>
                <w:highlight w:val="none"/>
                <w:lang w:val="en-US" w:eastAsia="zh-CN"/>
              </w:rPr>
            </w:pPr>
          </w:p>
          <w:p w14:paraId="00B0E9D6">
            <w:pPr>
              <w:pStyle w:val="7"/>
              <w:rPr>
                <w:rFonts w:hint="eastAsia"/>
                <w:lang w:val="en-US" w:eastAsia="zh-CN"/>
              </w:rPr>
            </w:pPr>
          </w:p>
          <w:p w14:paraId="23A76CA3">
            <w:pPr>
              <w:spacing w:beforeLines="0" w:afterLines="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报价合理性说明</w:t>
            </w:r>
          </w:p>
        </w:tc>
        <w:tc>
          <w:tcPr>
            <w:tcW w:w="6766" w:type="dxa"/>
            <w:vAlign w:val="center"/>
          </w:tcPr>
          <w:p w14:paraId="44B15F48">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AF1322E">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报价合理性说明：评标委员会认为投标人的报价明显低于其他通过符合性审查投标人的报价，有可能影响货物质量或者不能诚信履约的，评审委员会应当启动异常低价投标（响应）审查程序：</w:t>
            </w:r>
          </w:p>
          <w:p w14:paraId="2FA3C805">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（1）投标（响应）报价低于全部通过符合性审查供应商投标（响应）报价平均值60%的，即投标（响应）报价&lt;全部通过符合性审查供应商投标（响应）报价平均值×60%；</w:t>
            </w:r>
          </w:p>
          <w:p w14:paraId="01844360">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（2）投标（响应）报价低于通过符合性审查的次低报价供应商投标（响应）报价60%的，即投标（响应）报价&lt;通过符合性审查的次低报价供应商投标（响应）报价×60%；</w:t>
            </w:r>
          </w:p>
          <w:p w14:paraId="1BCA3C69">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（3）投标（响应）报价低于采购项目最高限价60%的，即投标（响应）报价&lt;采购项目最高限价×60%；</w:t>
            </w:r>
          </w:p>
          <w:p w14:paraId="341FF492">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6BBBDAC3">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采购人可以结合具体项目实际情况，提高上述第1项至第3项中启动异常低价投标（响应）审查的数值标准，但是最高不得超过65%。</w:t>
            </w:r>
          </w:p>
          <w:p w14:paraId="6DD9F70F">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相关法律法规对供应商报价有规定的，从其规定。</w:t>
            </w:r>
          </w:p>
          <w:p w14:paraId="37A3F7FC">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EB3E7A">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3421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143D4354">
            <w:pPr>
              <w:spacing w:beforeLines="0" w:afterLines="0"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c>
          <w:tcPr>
            <w:tcW w:w="8392" w:type="dxa"/>
            <w:gridSpan w:val="2"/>
            <w:vAlign w:val="center"/>
          </w:tcPr>
          <w:p w14:paraId="3488C6DD">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14:paraId="5607986B">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2、招标文件中采购清单、技术需求等如有偏差，如有疑义请澄清中及时提出；否则视为充分理解招标文件各项要求。</w:t>
            </w:r>
          </w:p>
          <w:p w14:paraId="35E1E5A3">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6E6FD7F2">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4、投标文件中有弄虚作假的内容，其投标文件作废。</w:t>
            </w:r>
          </w:p>
          <w:p w14:paraId="5196D4E9">
            <w:pPr>
              <w:spacing w:beforeLines="0" w:afterLines="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5、招标文件中如有内容冲突的地方，以投标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lang w:eastAsia="zh-CN"/>
              </w:rPr>
              <w:t>须知要求为准。</w:t>
            </w:r>
          </w:p>
        </w:tc>
      </w:tr>
    </w:tbl>
    <w:p w14:paraId="385B5250">
      <w:p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br w:type="page"/>
      </w:r>
    </w:p>
    <w:p w14:paraId="53C1BF98">
      <w:pPr>
        <w:pStyle w:val="24"/>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二、</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lang w:eastAsia="zh-CN"/>
        </w:rPr>
        <w:t>须知</w:t>
      </w:r>
    </w:p>
    <w:p w14:paraId="06B3F306">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（一）</w:t>
      </w:r>
      <w:r>
        <w:rPr>
          <w:rFonts w:hint="default" w:ascii="Times New Roman" w:hAnsi="Times New Roman" w:cs="Times New Roman" w:eastAsiaTheme="minorEastAsia"/>
          <w:b/>
          <w:bCs/>
          <w:sz w:val="28"/>
          <w:szCs w:val="28"/>
          <w:highlight w:val="none"/>
        </w:rPr>
        <w:t>总则</w:t>
      </w:r>
    </w:p>
    <w:p w14:paraId="190A1B62">
      <w:pPr>
        <w:spacing w:beforeLines="0" w:afterLines="0" w:line="360" w:lineRule="auto"/>
        <w:jc w:val="left"/>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1.采购人、采购代理机构</w:t>
      </w:r>
      <w:r>
        <w:rPr>
          <w:rFonts w:hint="default"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投标</w:t>
      </w:r>
      <w:r>
        <w:rPr>
          <w:rFonts w:hint="default" w:ascii="Times New Roman" w:hAnsi="Times New Roman" w:cs="Times New Roman" w:eastAsiaTheme="minorEastAsia"/>
          <w:b/>
          <w:bCs/>
          <w:sz w:val="28"/>
          <w:szCs w:val="28"/>
          <w:highlight w:val="none"/>
          <w:lang w:eastAsia="zh-CN"/>
        </w:rPr>
        <w:t>人、联合体</w:t>
      </w:r>
    </w:p>
    <w:p w14:paraId="7A90EAD6">
      <w:pPr>
        <w:tabs>
          <w:tab w:val="left" w:pos="142"/>
        </w:tabs>
        <w:spacing w:beforeLines="0" w:afterLines="0" w:line="360" w:lineRule="auto"/>
        <w:ind w:left="0" w:hanging="826" w:hangingChars="295"/>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采购人是指依法进行政府采购的国家机关、事业单位、团体组织。</w:t>
      </w:r>
    </w:p>
    <w:p w14:paraId="220ADE4C">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采购代理机构是指集中采购机构或从事采购代理业务的社会中介机构。</w:t>
      </w:r>
    </w:p>
    <w:p w14:paraId="60507C71">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人（也称“供应商”“投标供应商”“申请人”等）</w:t>
      </w:r>
      <w:r>
        <w:rPr>
          <w:rFonts w:hint="default" w:ascii="Times New Roman" w:hAnsi="Times New Roman" w:cs="Times New Roman" w:eastAsiaTheme="minorEastAsia"/>
          <w:sz w:val="28"/>
          <w:szCs w:val="28"/>
          <w:highlight w:val="none"/>
        </w:rPr>
        <w:t>是指</w:t>
      </w:r>
      <w:r>
        <w:rPr>
          <w:rFonts w:hint="default" w:ascii="Times New Roman" w:hAnsi="Times New Roman" w:cs="Times New Roman" w:eastAsiaTheme="minorEastAsia"/>
          <w:sz w:val="28"/>
          <w:szCs w:val="28"/>
          <w:highlight w:val="none"/>
          <w:lang w:eastAsia="zh-CN"/>
        </w:rPr>
        <w:t>向采购人提供货物、工程或者服务的</w:t>
      </w:r>
      <w:r>
        <w:rPr>
          <w:rFonts w:hint="default" w:ascii="Times New Roman" w:hAnsi="Times New Roman" w:cs="Times New Roman" w:eastAsiaTheme="minorEastAsia"/>
          <w:sz w:val="28"/>
          <w:szCs w:val="28"/>
          <w:highlight w:val="none"/>
        </w:rPr>
        <w:t>的法人、</w:t>
      </w:r>
      <w:r>
        <w:rPr>
          <w:rFonts w:hint="default" w:ascii="Times New Roman" w:hAnsi="Times New Roman" w:cs="Times New Roman" w:eastAsiaTheme="minorEastAsia"/>
          <w:sz w:val="28"/>
          <w:szCs w:val="28"/>
          <w:highlight w:val="none"/>
          <w:lang w:eastAsia="zh-CN"/>
        </w:rPr>
        <w:t>其他</w:t>
      </w:r>
      <w:r>
        <w:rPr>
          <w:rFonts w:hint="default" w:ascii="Times New Roman" w:hAnsi="Times New Roman" w:cs="Times New Roman" w:eastAsiaTheme="minorEastAsia"/>
          <w:sz w:val="28"/>
          <w:szCs w:val="28"/>
          <w:highlight w:val="none"/>
        </w:rPr>
        <w:t>组织或者自然人。</w:t>
      </w:r>
    </w:p>
    <w:p w14:paraId="2202A80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 联合体是指两个以上的自然人、法人或者其他组织组成一个联合体，以一个供应商的身份共同参与政府采购。</w:t>
      </w:r>
    </w:p>
    <w:p w14:paraId="2FC27A1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2.政府采购政策</w:t>
      </w:r>
      <w:r>
        <w:rPr>
          <w:rFonts w:hint="default" w:ascii="Times New Roman" w:hAnsi="Times New Roman" w:cs="Times New Roman" w:eastAsiaTheme="minorEastAsia"/>
          <w:b/>
          <w:bCs/>
          <w:i/>
          <w:iCs/>
          <w:sz w:val="28"/>
          <w:szCs w:val="28"/>
          <w:highlight w:val="none"/>
          <w:lang w:val="en-US" w:eastAsia="zh-CN"/>
        </w:rPr>
        <w:t>（包括但不限于下列具体政策要求）</w:t>
      </w:r>
    </w:p>
    <w:p w14:paraId="0C6ACB61">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2.1 采购本国货物、工程和服务</w:t>
      </w:r>
    </w:p>
    <w:p w14:paraId="7E73640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2.1.1 政府采购应当采购本国货物、工程和服务。但有《中华人民共和国政府采购法》第十条规定情形的除外。</w:t>
      </w:r>
    </w:p>
    <w:p w14:paraId="338C1DC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14:paraId="39C318F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14:paraId="60A774F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2.1.4 采购人及其委托的采购代理机构在采购进口产品的采购文件中应当载明优先采购向我国企业转让技术、与我国企业签订消化吸收再创新方案的供应商的进口产品。</w:t>
      </w:r>
    </w:p>
    <w:p w14:paraId="658A5930">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2.2 中小企业、监狱企业及残疾人福利性单位</w:t>
      </w:r>
    </w:p>
    <w:p w14:paraId="2EC8310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29B0C6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2.2.1.1 供应商提供的货物、工程或者服务符合下列情形的，享受中小企业扶持政策：</w:t>
      </w:r>
    </w:p>
    <w:p w14:paraId="0C3C27A5">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（1）在货物采购项目中，货物由中小企业制造，即货物由中小企业生产且使用该中小企业商号或者注册商标；</w:t>
      </w:r>
    </w:p>
    <w:p w14:paraId="5893FAE6">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（2）在工程采购项目中，工程由中小企业承建，即工程施工单位为中小企业；</w:t>
      </w:r>
    </w:p>
    <w:p w14:paraId="16D639A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（3）在服务采购项目中，服务由中小企业承接，即提供服务的人员为中小企业依照《中华人民共和国劳动合同法》订立劳动合同的从业人员。</w:t>
      </w:r>
    </w:p>
    <w:p w14:paraId="5A5F2D2F">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2.2.1.2 在货物采购项目中，供应商提供的货物既有中小企业制造货物，也有大型企业制造货物的，不享受中小企业扶持政策。</w:t>
      </w:r>
    </w:p>
    <w:p w14:paraId="60F0E83B">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2.2.1.3 以联合体形式参加政府采购活动，联合体各方均为中小企业的，联合体视同中小企业。其中，联合体各方均为小微企业的，联合体视同小微企业。</w:t>
      </w:r>
    </w:p>
    <w:p w14:paraId="56A0DDF2">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highlight w:val="none"/>
          <w:lang w:val="en-US" w:eastAsia="zh-CN"/>
        </w:rPr>
        <w:t>〔2020〕46号</w:t>
      </w:r>
      <w:r>
        <w:rPr>
          <w:rFonts w:hint="default" w:ascii="Times New Roman" w:hAnsi="Times New Roman" w:cs="Times New Roman" w:eastAsiaTheme="minorEastAsia"/>
          <w:sz w:val="28"/>
          <w:szCs w:val="28"/>
          <w:highlight w:val="none"/>
          <w:lang w:val="en-US" w:eastAsia="zh-CN"/>
        </w:rPr>
        <w:t>）规定的《中小企业声明函》，否则不得享受相关中小企业扶持政策。任何单位和个人不得要求供应商提供《中小企业声明函》之外的中小企业身份证明文件。</w:t>
      </w:r>
    </w:p>
    <w:p w14:paraId="0DEEA4F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6E4719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就业政府采购政策的通知》（财库</w:t>
      </w:r>
      <w:r>
        <w:rPr>
          <w:rFonts w:hint="default" w:ascii="Times New Roman" w:hAnsi="Times New Roman" w:eastAsia="仿宋_GB2312" w:cs="Times New Roman"/>
          <w:sz w:val="28"/>
          <w:szCs w:val="28"/>
          <w:highlight w:val="none"/>
          <w:lang w:val="en-US" w:eastAsia="zh-CN"/>
        </w:rPr>
        <w:t>〔2017〕141号</w:t>
      </w:r>
      <w:r>
        <w:rPr>
          <w:rFonts w:hint="default" w:ascii="Times New Roman" w:hAnsi="Times New Roman" w:cs="Times New Roman" w:eastAsiaTheme="minorEastAsia"/>
          <w:sz w:val="28"/>
          <w:szCs w:val="28"/>
          <w:highlight w:val="none"/>
          <w:lang w:val="en-US" w:eastAsia="zh-CN"/>
        </w:rPr>
        <w:t>）规定的《</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福利性单位声明函》，并对声明的真实性负责。任何单位或者个人在政府采购活动中均不得要求</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福利性单位提供其他证明声明函内容的材料。</w:t>
      </w:r>
    </w:p>
    <w:p w14:paraId="537448BE">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2.3 政府采购节能产品、环境标志产品</w:t>
      </w:r>
    </w:p>
    <w:p w14:paraId="3349AB98">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14:paraId="010AEF8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42CB80">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663EB7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2.4 采购需求标准</w:t>
      </w:r>
    </w:p>
    <w:p w14:paraId="6F76A6AA">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2.4.1 </w:t>
      </w:r>
      <w:r>
        <w:rPr>
          <w:rFonts w:hint="default" w:ascii="Times New Roman" w:hAnsi="Times New Roman" w:cs="Times New Roman" w:eastAsiaTheme="minorEastAsia"/>
          <w:b w:val="0"/>
          <w:bCs w:val="0"/>
          <w:sz w:val="28"/>
          <w:szCs w:val="28"/>
          <w:highlight w:val="none"/>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14:paraId="0ABE0CC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highlight w:val="none"/>
          <w:lang w:val="en-US" w:eastAsia="zh-CN"/>
        </w:rPr>
        <w:t>》（财办库</w:t>
      </w:r>
      <w:r>
        <w:rPr>
          <w:rFonts w:hint="default" w:ascii="Times New Roman" w:hAnsi="Times New Roman" w:eastAsia="仿宋_GB2312" w:cs="Times New Roman"/>
          <w:sz w:val="28"/>
          <w:szCs w:val="28"/>
          <w:highlight w:val="none"/>
          <w:lang w:val="en-US" w:eastAsia="zh-CN"/>
        </w:rPr>
        <w:t>〔2024〕113号</w:t>
      </w:r>
      <w:r>
        <w:rPr>
          <w:rFonts w:hint="default" w:ascii="Times New Roman" w:hAnsi="Times New Roman" w:cs="Times New Roman" w:eastAsiaTheme="minorEastAsia"/>
          <w:sz w:val="28"/>
          <w:szCs w:val="28"/>
          <w:highlight w:val="none"/>
          <w:lang w:val="en-US" w:eastAsia="zh-CN"/>
        </w:rPr>
        <w:t>）。</w:t>
      </w:r>
    </w:p>
    <w:p w14:paraId="458BD0E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highlight w:val="none"/>
          <w:lang w:val="en-US" w:eastAsia="zh-CN"/>
        </w:rPr>
        <w:t>〔2023〕7号</w:t>
      </w:r>
      <w:r>
        <w:rPr>
          <w:rFonts w:hint="default" w:ascii="Times New Roman" w:hAnsi="Times New Roman" w:cs="Times New Roman" w:eastAsiaTheme="minorEastAsia"/>
          <w:sz w:val="28"/>
          <w:szCs w:val="28"/>
          <w:highlight w:val="none"/>
          <w:lang w:val="en-US" w:eastAsia="zh-CN"/>
        </w:rPr>
        <w:t>）实施相关采购活动。</w:t>
      </w:r>
    </w:p>
    <w:p w14:paraId="2082E66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2.4.4 本项目如涉及商品包装和快递包装采购的，可参考《商品包装政府采购需求标准（试行）》和《快递包装政府采购需求标准（试行）》（财办库</w:t>
      </w:r>
      <w:r>
        <w:rPr>
          <w:rFonts w:hint="default" w:ascii="Times New Roman" w:hAnsi="Times New Roman" w:eastAsia="仿宋_GB2312" w:cs="Times New Roman"/>
          <w:sz w:val="28"/>
          <w:szCs w:val="28"/>
          <w:highlight w:val="none"/>
          <w:lang w:val="en-US" w:eastAsia="zh-CN"/>
        </w:rPr>
        <w:t>〔2020〕123号</w:t>
      </w:r>
      <w:r>
        <w:rPr>
          <w:rFonts w:hint="default" w:ascii="Times New Roman" w:hAnsi="Times New Roman" w:cs="Times New Roman" w:eastAsiaTheme="minorEastAsia"/>
          <w:sz w:val="28"/>
          <w:szCs w:val="28"/>
          <w:highlight w:val="none"/>
          <w:lang w:val="en-US" w:eastAsia="zh-CN"/>
        </w:rPr>
        <w:t>），积极推广应用。</w:t>
      </w:r>
    </w:p>
    <w:p w14:paraId="3C7FE581">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2.4.5 本项目如涉及专利商标代理服务、可参考《专利商标代理服务政府采购需求标准（试行）》（财办库</w:t>
      </w:r>
      <w:r>
        <w:rPr>
          <w:rFonts w:hint="default" w:ascii="Times New Roman" w:hAnsi="Times New Roman" w:eastAsia="仿宋_GB2312" w:cs="Times New Roman"/>
          <w:sz w:val="28"/>
          <w:szCs w:val="28"/>
          <w:highlight w:val="none"/>
          <w:lang w:val="en-US" w:eastAsia="zh-CN"/>
        </w:rPr>
        <w:t>〔2024〕275号</w:t>
      </w:r>
      <w:r>
        <w:rPr>
          <w:rFonts w:hint="default" w:ascii="Times New Roman" w:hAnsi="Times New Roman" w:cs="Times New Roman" w:eastAsiaTheme="minorEastAsia"/>
          <w:sz w:val="28"/>
          <w:szCs w:val="28"/>
          <w:highlight w:val="none"/>
          <w:lang w:val="en-US" w:eastAsia="zh-CN"/>
        </w:rPr>
        <w:t>）。</w:t>
      </w:r>
    </w:p>
    <w:p w14:paraId="71F54C22">
      <w:pPr>
        <w:spacing w:beforeLines="0" w:afterLines="0" w:line="360" w:lineRule="auto"/>
        <w:ind w:firstLine="0"/>
        <w:rPr>
          <w:rFonts w:hint="default" w:eastAsiaTheme="minorEastAsia"/>
          <w:sz w:val="28"/>
          <w:szCs w:val="28"/>
          <w:highlight w:val="none"/>
          <w:lang w:val="en-US" w:eastAsia="zh-CN"/>
        </w:rPr>
      </w:pPr>
      <w:r>
        <w:rPr>
          <w:rFonts w:hint="default" w:eastAsiaTheme="minorEastAsia"/>
          <w:sz w:val="28"/>
          <w:szCs w:val="28"/>
          <w:highlight w:val="none"/>
          <w:lang w:val="en-US" w:eastAsia="zh-CN"/>
        </w:rPr>
        <w:t xml:space="preserve">    2.4.</w:t>
      </w:r>
      <w:r>
        <w:rPr>
          <w:rFonts w:hint="default" w:ascii="Times New Roman" w:hAnsi="Times New Roman" w:cs="Times New Roman" w:eastAsiaTheme="minorEastAsia"/>
          <w:sz w:val="28"/>
          <w:szCs w:val="28"/>
          <w:highlight w:val="none"/>
          <w:lang w:val="en-US" w:eastAsia="zh-CN"/>
        </w:rPr>
        <w:t>6</w:t>
      </w:r>
      <w:r>
        <w:rPr>
          <w:rFonts w:hint="default" w:eastAsiaTheme="minorEastAsia"/>
          <w:sz w:val="28"/>
          <w:szCs w:val="28"/>
          <w:highlight w:val="none"/>
          <w:lang w:val="en-US" w:eastAsia="zh-CN"/>
        </w:rPr>
        <w:t xml:space="preserve"> 本项目涉及的采购标的，如有应当或者可参考的政府采购需求标准，应按照相关政策要求执行。</w:t>
      </w:r>
    </w:p>
    <w:p w14:paraId="19D70A5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3.投标费用</w:t>
      </w:r>
    </w:p>
    <w:p w14:paraId="7E41922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无论</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的</w:t>
      </w:r>
      <w:r>
        <w:rPr>
          <w:rFonts w:hint="default" w:ascii="Times New Roman" w:hAnsi="Times New Roman" w:cs="Times New Roman" w:eastAsiaTheme="minorEastAsia"/>
          <w:sz w:val="28"/>
          <w:szCs w:val="28"/>
          <w:highlight w:val="none"/>
        </w:rPr>
        <w:t>结果如何，</w:t>
      </w:r>
      <w:r>
        <w:rPr>
          <w:rFonts w:hint="default" w:ascii="Times New Roman" w:hAnsi="Times New Roman" w:cs="Times New Roman" w:eastAsiaTheme="minorEastAsia"/>
          <w:sz w:val="28"/>
          <w:szCs w:val="28"/>
          <w:highlight w:val="none"/>
          <w:lang w:val="en-US" w:eastAsia="zh-CN"/>
        </w:rPr>
        <w:t>投标人应自行承担其所有与准备和参加投标有关的费用</w:t>
      </w:r>
      <w:r>
        <w:rPr>
          <w:rFonts w:hint="default" w:ascii="Times New Roman" w:hAnsi="Times New Roman" w:cs="Times New Roman" w:eastAsiaTheme="minorEastAsia"/>
          <w:sz w:val="28"/>
          <w:szCs w:val="28"/>
          <w:highlight w:val="none"/>
        </w:rPr>
        <w:t>。</w:t>
      </w:r>
    </w:p>
    <w:p w14:paraId="79A306EA">
      <w:pPr>
        <w:spacing w:beforeLines="0" w:afterLines="0" w:line="360" w:lineRule="auto"/>
        <w:jc w:val="center"/>
        <w:rPr>
          <w:rFonts w:hint="default" w:ascii="Times New Roman" w:hAnsi="Times New Roman" w:cs="Times New Roman" w:eastAsiaTheme="minorEastAsia"/>
          <w:sz w:val="28"/>
          <w:szCs w:val="28"/>
          <w:highlight w:val="none"/>
        </w:rPr>
      </w:pPr>
    </w:p>
    <w:p w14:paraId="4A626FC1">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（二）招标文件</w:t>
      </w:r>
    </w:p>
    <w:p w14:paraId="392FE391">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4.招标文件构成</w:t>
      </w:r>
    </w:p>
    <w:p w14:paraId="66C4DAE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4.1 招标文件包括以下部分：</w:t>
      </w:r>
    </w:p>
    <w:p w14:paraId="7F27D7B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第一章 投标邀请</w:t>
      </w:r>
    </w:p>
    <w:p w14:paraId="1DE80075">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第二章 </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rPr>
        <w:t>须知</w:t>
      </w:r>
    </w:p>
    <w:p w14:paraId="247571D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三</w:t>
      </w:r>
      <w:r>
        <w:rPr>
          <w:rFonts w:hint="default" w:ascii="Times New Roman" w:hAnsi="Times New Roman" w:cs="Times New Roman" w:eastAsiaTheme="minorEastAsia"/>
          <w:sz w:val="28"/>
          <w:szCs w:val="28"/>
          <w:highlight w:val="none"/>
        </w:rPr>
        <w:t>章 采购需求</w:t>
      </w:r>
    </w:p>
    <w:p w14:paraId="1E76D4F0">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 资格审查</w:t>
      </w:r>
    </w:p>
    <w:p w14:paraId="3CD7A77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五</w:t>
      </w:r>
      <w:r>
        <w:rPr>
          <w:rFonts w:hint="default" w:ascii="Times New Roman" w:hAnsi="Times New Roman" w:cs="Times New Roman" w:eastAsiaTheme="minorEastAsia"/>
          <w:sz w:val="28"/>
          <w:szCs w:val="28"/>
          <w:highlight w:val="none"/>
        </w:rPr>
        <w:t>章 评标</w:t>
      </w:r>
      <w:r>
        <w:rPr>
          <w:rFonts w:hint="default" w:ascii="Times New Roman" w:hAnsi="Times New Roman" w:cs="Times New Roman" w:eastAsiaTheme="minorEastAsia"/>
          <w:sz w:val="28"/>
          <w:szCs w:val="28"/>
          <w:highlight w:val="none"/>
          <w:lang w:eastAsia="zh-CN"/>
        </w:rPr>
        <w:t>程序</w:t>
      </w:r>
    </w:p>
    <w:p w14:paraId="4AB702B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六</w:t>
      </w:r>
      <w:r>
        <w:rPr>
          <w:rFonts w:hint="default" w:ascii="Times New Roman" w:hAnsi="Times New Roman" w:cs="Times New Roman" w:eastAsiaTheme="minorEastAsia"/>
          <w:sz w:val="28"/>
          <w:szCs w:val="28"/>
          <w:highlight w:val="none"/>
        </w:rPr>
        <w:t xml:space="preserve">章 </w:t>
      </w:r>
      <w:r>
        <w:rPr>
          <w:rFonts w:hint="default" w:ascii="Times New Roman" w:hAnsi="Times New Roman" w:cs="Times New Roman" w:eastAsiaTheme="minorEastAsia"/>
          <w:sz w:val="28"/>
          <w:szCs w:val="28"/>
          <w:highlight w:val="none"/>
          <w:lang w:eastAsia="zh-CN"/>
        </w:rPr>
        <w:t>拟签订的合同文本</w:t>
      </w:r>
    </w:p>
    <w:p w14:paraId="6946C1C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rPr>
        <w:t>章 投标文件格式</w:t>
      </w:r>
    </w:p>
    <w:p w14:paraId="57CE7EB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4.2 投标人应认真阅读招标文件的全部内容</w:t>
      </w:r>
      <w:r>
        <w:rPr>
          <w:rFonts w:hint="default" w:cs="Times New Roman" w:eastAsiaTheme="minorEastAsia"/>
          <w:sz w:val="28"/>
          <w:szCs w:val="28"/>
          <w:highlight w:val="none"/>
          <w:lang w:val="en-US" w:eastAsia="zh-CN"/>
        </w:rPr>
        <w:t>，并</w:t>
      </w:r>
      <w:r>
        <w:rPr>
          <w:rFonts w:hint="default" w:ascii="Times New Roman" w:hAnsi="Times New Roman" w:cs="Times New Roman" w:eastAsiaTheme="minorEastAsia"/>
          <w:sz w:val="28"/>
          <w:szCs w:val="28"/>
          <w:highlight w:val="none"/>
          <w:lang w:val="en-US" w:eastAsia="zh-CN"/>
        </w:rPr>
        <w:t>按照招标文件要求提交投标文件并保证所提供的全体资料的合法性和真实性</w:t>
      </w:r>
      <w:r>
        <w:rPr>
          <w:rFonts w:hint="default" w:cs="Times New Roman" w:eastAsiaTheme="minorEastAsia"/>
          <w:sz w:val="28"/>
          <w:szCs w:val="28"/>
          <w:highlight w:val="none"/>
          <w:lang w:val="en-US" w:eastAsia="zh-CN"/>
        </w:rPr>
        <w:t>。投标人应</w:t>
      </w:r>
      <w:r>
        <w:rPr>
          <w:rFonts w:hint="default" w:ascii="Times New Roman" w:hAnsi="Times New Roman" w:cs="Times New Roman" w:eastAsiaTheme="minorEastAsia"/>
          <w:sz w:val="28"/>
          <w:szCs w:val="28"/>
          <w:highlight w:val="none"/>
          <w:lang w:val="en-US" w:eastAsia="zh-CN"/>
        </w:rPr>
        <w:t>对招标文件做出实质性响应，否则</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4AB8B42C">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4.3 招标文件不得以供应商的所有制形式、组织形式或者股权结构等对供应商实施差别待遇或者歧视待遇，不得对民营企业设置不平等条款，不得对内资企业和外资企业在中国境内生产的产品区别对待。</w:t>
      </w:r>
    </w:p>
    <w:p w14:paraId="0C6CE805">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4.4 招标文件应落实性别平等政策要求，不得设置任何形式的性别歧视。</w:t>
      </w:r>
    </w:p>
    <w:p w14:paraId="5F2D379C">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5.招标文件的澄清与修改</w:t>
      </w:r>
    </w:p>
    <w:p w14:paraId="5CD8565C">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w:t>
      </w:r>
      <w:r>
        <w:rPr>
          <w:rFonts w:hint="default" w:ascii="Times New Roman" w:hAnsi="Times New Roman" w:cs="Times New Roman" w:eastAsiaTheme="minorEastAsia"/>
          <w:sz w:val="28"/>
          <w:szCs w:val="28"/>
          <w:highlight w:val="none"/>
          <w:lang w:eastAsia="zh-CN"/>
        </w:rPr>
        <w:t>及其委托的</w:t>
      </w:r>
      <w:r>
        <w:rPr>
          <w:rFonts w:hint="default" w:ascii="Times New Roman" w:hAnsi="Times New Roman" w:cs="Times New Roman" w:eastAsiaTheme="minorEastAsia"/>
          <w:sz w:val="28"/>
          <w:szCs w:val="28"/>
          <w:highlight w:val="none"/>
        </w:rPr>
        <w:t>采购代理机构可以对已发出的招标文件等进行必要的澄清或者修改，但不得改变采购标的和资格条件。澄清或者修改应当在原公告发布媒体上发布澄清公告。澄清或者修改的内容为招标文件的组成部分。投标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及时关注本项目原公告发布媒体上发布的澄清公告或修改内容。</w:t>
      </w:r>
    </w:p>
    <w:p w14:paraId="5DFB486A">
      <w:pPr>
        <w:spacing w:beforeLines="0" w:afterLines="0" w:line="360" w:lineRule="auto"/>
        <w:ind w:left="0" w:firstLine="0" w:firstLineChars="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5.2</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招标文件中有不一致的，有澄清的部分以最终的澄清更正内容为准；未澄清的，以</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为准；</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不涉及的内容，以编排在后的最后描述为准。</w:t>
      </w:r>
    </w:p>
    <w:p w14:paraId="22921131">
      <w:pPr>
        <w:pStyle w:val="24"/>
        <w:spacing w:beforeLines="0" w:after="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5.3</w:t>
      </w:r>
      <w:r>
        <w:rPr>
          <w:rFonts w:hint="default" w:ascii="Times New Roman" w:hAnsi="Times New Roman" w:cs="Times New Roman" w:eastAsiaTheme="minorEastAsia"/>
          <w:sz w:val="28"/>
          <w:szCs w:val="28"/>
          <w:highlight w:val="none"/>
          <w:lang w:val="en-US" w:eastAsia="zh-CN"/>
        </w:rPr>
        <w:t xml:space="preserve"> 澄清或者修改的内容可能影响投标文件编制的，采购人及其委托的采购代理机构应当在投标截止时间至少15日前，以书面形式通知所有获取招标文件的潜在投标人；不足15日的，采购人及其委托的采购代理机构应当顺延提交投标文件的截止时间。</w:t>
      </w:r>
    </w:p>
    <w:p w14:paraId="3C140F1B">
      <w:pPr>
        <w:spacing w:beforeLines="0" w:afterLines="0" w:line="360" w:lineRule="auto"/>
        <w:rPr>
          <w:rFonts w:hint="default" w:ascii="Times New Roman" w:hAnsi="Times New Roman" w:cs="Times New Roman" w:eastAsiaTheme="minorEastAsia"/>
          <w:sz w:val="28"/>
          <w:szCs w:val="28"/>
          <w:highlight w:val="none"/>
        </w:rPr>
      </w:pPr>
    </w:p>
    <w:p w14:paraId="020DDB6A">
      <w:pPr>
        <w:pStyle w:val="33"/>
        <w:rPr>
          <w:rFonts w:hint="default"/>
        </w:rPr>
      </w:pPr>
    </w:p>
    <w:p w14:paraId="02105129">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（三）投标文件的编制</w:t>
      </w:r>
    </w:p>
    <w:p w14:paraId="149CA7B2">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6</w:t>
      </w:r>
      <w:r>
        <w:rPr>
          <w:rFonts w:hint="default" w:ascii="Times New Roman" w:hAnsi="Times New Roman" w:cs="Times New Roman" w:eastAsiaTheme="minorEastAsia"/>
          <w:b/>
          <w:bCs/>
          <w:sz w:val="28"/>
          <w:szCs w:val="28"/>
          <w:highlight w:val="none"/>
        </w:rPr>
        <w:t>.投标范围及文字、计量单位要求</w:t>
      </w:r>
    </w:p>
    <w:p w14:paraId="7273540B">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应当</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的要求编制投标文件。投标文件应当对招标文件提出的要求和条件做出明确响应，</w:t>
      </w:r>
      <w:r>
        <w:rPr>
          <w:rFonts w:hint="default" w:ascii="Times New Roman" w:hAnsi="Times New Roman" w:cs="Times New Roman" w:eastAsiaTheme="minorEastAsia"/>
          <w:sz w:val="28"/>
          <w:szCs w:val="28"/>
          <w:highlight w:val="none"/>
        </w:rPr>
        <w:t>如仅响应部分内容，</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rPr>
        <w:t>。</w:t>
      </w:r>
    </w:p>
    <w:p w14:paraId="205EF48E">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无论招标文件中是否</w:t>
      </w:r>
      <w:r>
        <w:rPr>
          <w:rFonts w:hint="default" w:ascii="Times New Roman" w:hAnsi="Times New Roman" w:cs="Times New Roman" w:eastAsiaTheme="minorEastAsia"/>
          <w:b/>
          <w:bCs/>
          <w:sz w:val="28"/>
          <w:szCs w:val="28"/>
          <w:highlight w:val="none"/>
          <w:lang w:eastAsia="zh-CN"/>
        </w:rPr>
        <w:t>有明确</w:t>
      </w:r>
      <w:r>
        <w:rPr>
          <w:rFonts w:hint="default" w:ascii="Times New Roman" w:hAnsi="Times New Roman" w:cs="Times New Roman" w:eastAsiaTheme="minorEastAsia"/>
          <w:b/>
          <w:bCs/>
          <w:sz w:val="28"/>
          <w:szCs w:val="28"/>
          <w:highlight w:val="none"/>
        </w:rPr>
        <w:t>要求，投标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所投货物</w:t>
      </w:r>
      <w:r>
        <w:rPr>
          <w:rFonts w:hint="default" w:ascii="Times New Roman" w:hAnsi="Times New Roman" w:cs="Times New Roman" w:eastAsiaTheme="minorEastAsia"/>
          <w:b/>
          <w:bCs/>
          <w:sz w:val="28"/>
          <w:szCs w:val="28"/>
          <w:highlight w:val="none"/>
          <w:lang w:eastAsia="zh-CN"/>
        </w:rPr>
        <w:t>、提供的</w:t>
      </w:r>
      <w:r>
        <w:rPr>
          <w:rFonts w:hint="default" w:ascii="Times New Roman" w:hAnsi="Times New Roman" w:cs="Times New Roman" w:eastAsiaTheme="minorEastAsia"/>
          <w:b/>
          <w:bCs/>
          <w:sz w:val="28"/>
          <w:szCs w:val="28"/>
          <w:highlight w:val="none"/>
        </w:rPr>
        <w:t>服务</w:t>
      </w:r>
      <w:r>
        <w:rPr>
          <w:rFonts w:hint="default" w:ascii="Times New Roman" w:hAnsi="Times New Roman" w:cs="Times New Roman" w:eastAsiaTheme="minorEastAsia"/>
          <w:b/>
          <w:bCs/>
          <w:sz w:val="28"/>
          <w:szCs w:val="28"/>
          <w:highlight w:val="none"/>
          <w:lang w:eastAsia="zh-CN"/>
        </w:rPr>
        <w:t>或</w:t>
      </w:r>
      <w:r>
        <w:rPr>
          <w:rFonts w:hint="default" w:ascii="Times New Roman" w:hAnsi="Times New Roman" w:cs="Times New Roman" w:eastAsiaTheme="minorEastAsia"/>
          <w:b/>
          <w:bCs/>
          <w:sz w:val="28"/>
          <w:szCs w:val="28"/>
          <w:highlight w:val="none"/>
        </w:rPr>
        <w:t>工程均应符合国家强制性标准</w:t>
      </w:r>
      <w:r>
        <w:rPr>
          <w:rFonts w:hint="default" w:ascii="Times New Roman" w:hAnsi="Times New Roman" w:cs="Times New Roman" w:eastAsiaTheme="minorEastAsia"/>
          <w:b/>
          <w:bCs/>
          <w:sz w:val="28"/>
          <w:szCs w:val="28"/>
          <w:highlight w:val="none"/>
          <w:lang w:eastAsia="zh-CN"/>
        </w:rPr>
        <w:t>或规定</w:t>
      </w:r>
      <w:r>
        <w:rPr>
          <w:rFonts w:hint="default" w:ascii="Times New Roman" w:hAnsi="Times New Roman" w:cs="Times New Roman" w:eastAsiaTheme="minorEastAsia"/>
          <w:sz w:val="28"/>
          <w:szCs w:val="28"/>
          <w:highlight w:val="none"/>
        </w:rPr>
        <w:t>。</w:t>
      </w:r>
    </w:p>
    <w:p w14:paraId="22476782">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除专用术语外，</w:t>
      </w:r>
      <w:r>
        <w:rPr>
          <w:rFonts w:hint="default" w:ascii="Times New Roman" w:hAnsi="Times New Roman" w:cs="Times New Roman" w:eastAsiaTheme="minorEastAsia"/>
          <w:sz w:val="28"/>
          <w:szCs w:val="28"/>
          <w:highlight w:val="none"/>
        </w:rPr>
        <w:t>投标文件应使用</w:t>
      </w:r>
      <w:r>
        <w:rPr>
          <w:rFonts w:hint="default" w:ascii="Times New Roman" w:hAnsi="Times New Roman" w:cs="Times New Roman" w:eastAsiaTheme="minorEastAsia"/>
          <w:sz w:val="28"/>
          <w:szCs w:val="28"/>
          <w:highlight w:val="none"/>
          <w:lang w:eastAsia="zh-CN"/>
        </w:rPr>
        <w:t>中文</w:t>
      </w:r>
      <w:r>
        <w:rPr>
          <w:rFonts w:hint="default" w:ascii="Times New Roman" w:hAnsi="Times New Roman" w:cs="Times New Roman" w:eastAsiaTheme="minorEastAsia"/>
          <w:sz w:val="28"/>
          <w:szCs w:val="28"/>
          <w:highlight w:val="none"/>
        </w:rPr>
        <w:t>书写(</w:t>
      </w:r>
      <w:r>
        <w:rPr>
          <w:rFonts w:hint="default" w:ascii="Times New Roman" w:hAnsi="Times New Roman" w:cs="Times New Roman" w:eastAsiaTheme="minorEastAsia"/>
          <w:sz w:val="28"/>
          <w:szCs w:val="28"/>
          <w:highlight w:val="none"/>
          <w:lang w:eastAsia="zh-CN"/>
        </w:rPr>
        <w:t>必要时，</w:t>
      </w:r>
      <w:r>
        <w:rPr>
          <w:rFonts w:hint="default" w:ascii="Times New Roman" w:hAnsi="Times New Roman" w:cs="Times New Roman" w:eastAsiaTheme="minorEastAsia"/>
          <w:sz w:val="28"/>
          <w:szCs w:val="28"/>
          <w:highlight w:val="none"/>
        </w:rPr>
        <w:t>专有</w:t>
      </w:r>
      <w:r>
        <w:rPr>
          <w:rFonts w:hint="default" w:ascii="Times New Roman" w:hAnsi="Times New Roman" w:cs="Times New Roman" w:eastAsiaTheme="minorEastAsia"/>
          <w:sz w:val="28"/>
          <w:szCs w:val="28"/>
          <w:highlight w:val="none"/>
          <w:lang w:eastAsia="zh-CN"/>
        </w:rPr>
        <w:t>术语应附有</w:t>
      </w:r>
      <w:r>
        <w:rPr>
          <w:rFonts w:hint="default" w:ascii="Times New Roman" w:hAnsi="Times New Roman" w:cs="Times New Roman" w:eastAsiaTheme="minorEastAsia"/>
          <w:sz w:val="28"/>
          <w:szCs w:val="28"/>
          <w:highlight w:val="none"/>
        </w:rPr>
        <w:t>中文解释)，并采用通用的图形符号，不得出现与常规书写格式不符的内容。</w:t>
      </w:r>
    </w:p>
    <w:p w14:paraId="3B80C3A6">
      <w:pPr>
        <w:tabs>
          <w:tab w:val="left" w:pos="0"/>
        </w:tabs>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.4</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除招标文件有特殊要求外，投标文件中所使用的计量单位，应采用中华人民共和国法定计量单位。</w:t>
      </w:r>
    </w:p>
    <w:p w14:paraId="27D56FF0">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7</w:t>
      </w:r>
      <w:r>
        <w:rPr>
          <w:rFonts w:hint="default" w:ascii="Times New Roman" w:hAnsi="Times New Roman" w:cs="Times New Roman" w:eastAsiaTheme="minorEastAsia"/>
          <w:b/>
          <w:bCs/>
          <w:sz w:val="28"/>
          <w:szCs w:val="28"/>
          <w:highlight w:val="none"/>
        </w:rPr>
        <w:t>.投标文件</w:t>
      </w:r>
      <w:r>
        <w:rPr>
          <w:rFonts w:hint="default" w:ascii="Times New Roman" w:hAnsi="Times New Roman" w:cs="Times New Roman" w:eastAsiaTheme="minorEastAsia"/>
          <w:b/>
          <w:bCs/>
          <w:sz w:val="28"/>
          <w:szCs w:val="28"/>
          <w:highlight w:val="none"/>
          <w:lang w:eastAsia="zh-CN"/>
        </w:rPr>
        <w:t>构成</w:t>
      </w:r>
    </w:p>
    <w:p w14:paraId="3377D325">
      <w:pPr>
        <w:tabs>
          <w:tab w:val="left" w:pos="900"/>
          <w:tab w:val="left" w:pos="5580"/>
        </w:tabs>
        <w:spacing w:beforeLines="0" w:afterLines="0" w:line="360" w:lineRule="auto"/>
        <w:ind w:firstLine="56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7.1 </w:t>
      </w:r>
      <w:r>
        <w:rPr>
          <w:rFonts w:hint="default" w:ascii="Times New Roman" w:hAnsi="Times New Roman" w:cs="Times New Roman" w:eastAsiaTheme="minorEastAsia"/>
          <w:sz w:val="28"/>
          <w:szCs w:val="28"/>
          <w:highlight w:val="none"/>
          <w:lang w:eastAsia="zh-CN"/>
        </w:rPr>
        <w:t>投标文件的格式要求，详见第</w:t>
      </w:r>
      <w:r>
        <w:rPr>
          <w:rFonts w:hint="default"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lang w:eastAsia="zh-CN"/>
        </w:rPr>
        <w:t>章《投标文件格式》。</w:t>
      </w:r>
      <w:r>
        <w:rPr>
          <w:rFonts w:hint="default" w:ascii="Times New Roman" w:hAnsi="Times New Roman" w:cs="Times New Roman" w:eastAsiaTheme="minorEastAsia"/>
          <w:sz w:val="28"/>
          <w:szCs w:val="28"/>
          <w:highlight w:val="none"/>
          <w:lang w:eastAsia="zh-CN"/>
        </w:rPr>
        <w:br w:type="textWrapping"/>
      </w:r>
      <w:r>
        <w:rPr>
          <w:rFonts w:hint="default" w:ascii="Times New Roman" w:hAnsi="Times New Roman" w:cs="Times New Roman" w:eastAsiaTheme="minorEastAsia"/>
          <w:sz w:val="28"/>
          <w:szCs w:val="28"/>
          <w:highlight w:val="none"/>
          <w:lang w:val="en-US" w:eastAsia="zh-CN"/>
        </w:rPr>
        <w:t xml:space="preserve">    7.2 投标文件应由资格证明文件、商务技术文件等部分组成，投标人应对照招标文件要求提交涉及的相关材料及投标人认为应附的其他材料。</w:t>
      </w:r>
    </w:p>
    <w:p w14:paraId="57D484D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8.</w:t>
      </w:r>
      <w:r>
        <w:rPr>
          <w:rFonts w:hint="default" w:ascii="Times New Roman" w:hAnsi="Times New Roman" w:cs="Times New Roman" w:eastAsiaTheme="minorEastAsia"/>
          <w:b/>
          <w:bCs/>
          <w:sz w:val="28"/>
          <w:szCs w:val="28"/>
          <w:highlight w:val="none"/>
        </w:rPr>
        <w:t>投标报价</w:t>
      </w:r>
    </w:p>
    <w:p w14:paraId="5FF1E4F7">
      <w:pPr>
        <w:spacing w:beforeLines="0" w:afterLines="0" w:line="360" w:lineRule="auto"/>
        <w:ind w:left="0" w:hanging="1050" w:hangingChars="37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8.1 所有投标均以人民币报价。</w:t>
      </w:r>
    </w:p>
    <w:p w14:paraId="060C1863">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8.2 投标人的报价应包括为完成本项目所发生的一切费用和税费，采购人将不再支付报价以外的任何费用。</w:t>
      </w:r>
    </w:p>
    <w:p w14:paraId="66194C61">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8.3 </w:t>
      </w:r>
      <w:r>
        <w:rPr>
          <w:rFonts w:hint="default" w:ascii="Times New Roman" w:hAnsi="Times New Roman" w:cs="Times New Roman" w:eastAsiaTheme="minorEastAsia"/>
          <w:sz w:val="28"/>
          <w:szCs w:val="28"/>
          <w:highlight w:val="none"/>
          <w:lang w:eastAsia="zh-CN"/>
        </w:rPr>
        <w:t>采购人不得向供应商索要或者接受其给</w:t>
      </w:r>
      <w:r>
        <w:rPr>
          <w:rStyle w:val="28"/>
          <w:rFonts w:hint="default" w:ascii="Times New Roman" w:hAnsi="Times New Roman" w:cs="Times New Roman"/>
          <w:b w:val="0"/>
          <w:sz w:val="28"/>
          <w:szCs w:val="28"/>
          <w:highlight w:val="none"/>
          <w:lang w:eastAsia="zh-CN"/>
        </w:rPr>
        <w:t>予</w:t>
      </w:r>
      <w:r>
        <w:rPr>
          <w:rFonts w:hint="default" w:ascii="Times New Roman" w:hAnsi="Times New Roman" w:cs="Times New Roman" w:eastAsiaTheme="minorEastAsia"/>
          <w:sz w:val="28"/>
          <w:szCs w:val="28"/>
          <w:highlight w:val="none"/>
          <w:lang w:eastAsia="zh-CN"/>
        </w:rPr>
        <w:t>的赠品、回扣或者与采购无关的其他商品、服务。</w:t>
      </w:r>
    </w:p>
    <w:p w14:paraId="348E011C">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rPr>
        <w:t>.投标保证金</w:t>
      </w:r>
    </w:p>
    <w:p w14:paraId="1EB497F8">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9.1 投标人应按《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须知前附表》中规定的金额及要求</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w:t>
      </w:r>
    </w:p>
    <w:p w14:paraId="5C238F2B">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9.2 </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投标保证金可采用的形式：政府采购法律法规接受的支票、汇票、本票或者金融机构、担保机构出具的保函等非现金形式。投标人未按照招标文件要求提交投标保证金的，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1F63BC89">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9.3 投标保证金到账（保函提交）截止时间同投标截止时间。</w:t>
      </w:r>
    </w:p>
    <w:p w14:paraId="75E44601">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9.4 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396F5E55">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9.5 采购人或者采购代理机构应当自中标通知书发出之日起5个工作日内退还未中标人的投标保证金，自采购合同签订之日起5个工作日内退还中标人的投标保证金或者转为中标人的履约保证金。</w:t>
      </w:r>
    </w:p>
    <w:p w14:paraId="294A2162">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9.6 采购人或者采购代理机构逾期退还投标保证金的，除应当退还投标保证金本金外，还应当按中国人民银行同期贷款基准利率/市场报价利率LPR上浮20%后的利率支付超期资金占用费，但因投标人自身原因导致无法及时退还的除外。</w:t>
      </w:r>
    </w:p>
    <w:p w14:paraId="25A26643">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10.</w:t>
      </w:r>
      <w:r>
        <w:rPr>
          <w:rFonts w:hint="default" w:ascii="Times New Roman" w:hAnsi="Times New Roman" w:cs="Times New Roman" w:eastAsiaTheme="minorEastAsia"/>
          <w:b/>
          <w:bCs/>
          <w:sz w:val="28"/>
          <w:szCs w:val="28"/>
          <w:highlight w:val="none"/>
        </w:rPr>
        <w:t>投标有效期</w:t>
      </w:r>
    </w:p>
    <w:p w14:paraId="5024C50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文件应在本招标文件《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须知前附表》中规定的投标有效期内保持有效，</w:t>
      </w:r>
      <w:r>
        <w:rPr>
          <w:rFonts w:hint="default" w:ascii="Times New Roman" w:hAnsi="Times New Roman" w:cs="Times New Roman" w:eastAsiaTheme="minorEastAsia"/>
          <w:sz w:val="28"/>
          <w:szCs w:val="28"/>
          <w:highlight w:val="none"/>
        </w:rPr>
        <w:t>投标有效期</w:t>
      </w:r>
      <w:r>
        <w:rPr>
          <w:rFonts w:hint="default" w:ascii="Times New Roman" w:hAnsi="Times New Roman" w:cs="Times New Roman" w:eastAsiaTheme="minorEastAsia"/>
          <w:sz w:val="28"/>
          <w:szCs w:val="28"/>
          <w:highlight w:val="none"/>
          <w:lang w:eastAsia="zh-CN"/>
        </w:rPr>
        <w:t>少于招标文件规定期限的</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55FBC46E">
      <w:pPr>
        <w:spacing w:beforeLines="0" w:afterLines="0" w:line="360" w:lineRule="auto"/>
        <w:rPr>
          <w:rFonts w:hint="default" w:ascii="Times New Roman" w:hAnsi="Times New Roman" w:cs="Times New Roman" w:eastAsiaTheme="minorEastAsia"/>
          <w:sz w:val="28"/>
          <w:szCs w:val="28"/>
          <w:highlight w:val="none"/>
        </w:rPr>
      </w:pPr>
    </w:p>
    <w:p w14:paraId="7DFBE97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（四）投标文件的</w:t>
      </w:r>
      <w:r>
        <w:rPr>
          <w:rFonts w:hint="default" w:ascii="Times New Roman" w:hAnsi="Times New Roman" w:cs="Times New Roman" w:eastAsiaTheme="minorEastAsia"/>
          <w:b/>
          <w:bCs/>
          <w:sz w:val="28"/>
          <w:szCs w:val="28"/>
          <w:highlight w:val="none"/>
          <w:lang w:eastAsia="zh-CN"/>
        </w:rPr>
        <w:t>递交</w:t>
      </w:r>
    </w:p>
    <w:p w14:paraId="422CE54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1</w:t>
      </w:r>
      <w:r>
        <w:rPr>
          <w:rFonts w:hint="default" w:ascii="Times New Roman" w:hAnsi="Times New Roman" w:cs="Times New Roman" w:eastAsiaTheme="minorEastAsia"/>
          <w:b/>
          <w:bCs/>
          <w:sz w:val="28"/>
          <w:szCs w:val="28"/>
          <w:highlight w:val="none"/>
        </w:rPr>
        <w:t>.投标文件的密封和</w:t>
      </w:r>
      <w:r>
        <w:rPr>
          <w:rFonts w:hint="default" w:ascii="Times New Roman" w:hAnsi="Times New Roman" w:cs="Times New Roman" w:eastAsiaTheme="minorEastAsia"/>
          <w:b/>
          <w:bCs/>
          <w:sz w:val="28"/>
          <w:szCs w:val="28"/>
          <w:highlight w:val="none"/>
          <w:lang w:eastAsia="zh-CN"/>
        </w:rPr>
        <w:t>递交</w:t>
      </w:r>
    </w:p>
    <w:p w14:paraId="76E6FF00">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11.1 投标人应当在招标文件要求提交投标文件的截止时间前，将投标文件密封递交。</w:t>
      </w:r>
      <w:r>
        <w:rPr>
          <w:rFonts w:hint="default" w:ascii="Times New Roman" w:hAnsi="Times New Roman" w:cs="Times New Roman" w:eastAsiaTheme="minorEastAsia"/>
          <w:sz w:val="28"/>
          <w:szCs w:val="28"/>
          <w:highlight w:val="none"/>
        </w:rPr>
        <w:t>采购人和采购代理机构将拒绝接收在投标截止时间后</w:t>
      </w:r>
      <w:r>
        <w:rPr>
          <w:rFonts w:hint="default" w:ascii="Times New Roman" w:hAnsi="Times New Roman" w:cs="Times New Roman" w:eastAsiaTheme="minorEastAsia"/>
          <w:sz w:val="28"/>
          <w:szCs w:val="28"/>
          <w:highlight w:val="none"/>
          <w:lang w:eastAsia="zh-CN"/>
        </w:rPr>
        <w:t>递交的</w:t>
      </w:r>
      <w:r>
        <w:rPr>
          <w:rFonts w:hint="default" w:ascii="Times New Roman" w:hAnsi="Times New Roman" w:cs="Times New Roman" w:eastAsiaTheme="minorEastAsia"/>
          <w:sz w:val="28"/>
          <w:szCs w:val="28"/>
          <w:highlight w:val="none"/>
        </w:rPr>
        <w:t>投标文件。采购人或者采购代理机构不得因投标文件装订、纸张、文件排序等非实质性的格式、形式问题限制和影响供应商投标</w:t>
      </w:r>
      <w:r>
        <w:rPr>
          <w:rFonts w:hint="default" w:ascii="Times New Roman" w:hAnsi="Times New Roman" w:cs="Times New Roman" w:eastAsiaTheme="minorEastAsia"/>
          <w:sz w:val="28"/>
          <w:szCs w:val="28"/>
          <w:highlight w:val="none"/>
          <w:lang w:eastAsia="zh-CN"/>
        </w:rPr>
        <w:t>。</w:t>
      </w:r>
    </w:p>
    <w:p w14:paraId="0B3274F4">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11.2 投标人在投标截止时间前，可以对所递交的投标文件进行补充、修改或者撤回。补充、修改的内容作为投标文件的组成部分。</w:t>
      </w:r>
    </w:p>
    <w:p w14:paraId="27F45695">
      <w:pPr>
        <w:spacing w:beforeLines="0" w:afterLines="0" w:line="360" w:lineRule="auto"/>
        <w:ind w:left="0" w:hanging="1050" w:hangingChars="37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11.3 任何单位和个人不得在开标前开启投标文件。</w:t>
      </w:r>
    </w:p>
    <w:p w14:paraId="01DB6E51">
      <w:pPr>
        <w:spacing w:beforeLines="0" w:afterLines="0" w:line="360" w:lineRule="auto"/>
        <w:ind w:left="0" w:hanging="1050" w:hangingChars="375"/>
        <w:rPr>
          <w:rFonts w:hint="default" w:ascii="Times New Roman" w:hAnsi="Times New Roman" w:cs="Times New Roman" w:eastAsiaTheme="minorEastAsia"/>
          <w:sz w:val="28"/>
          <w:szCs w:val="28"/>
          <w:highlight w:val="none"/>
        </w:rPr>
      </w:pPr>
    </w:p>
    <w:p w14:paraId="6AA8DD2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（五）开标</w:t>
      </w:r>
      <w:r>
        <w:rPr>
          <w:rFonts w:hint="default" w:ascii="Times New Roman" w:hAnsi="Times New Roman" w:cs="Times New Roman" w:eastAsiaTheme="minorEastAsia"/>
          <w:b/>
          <w:bCs/>
          <w:sz w:val="28"/>
          <w:szCs w:val="28"/>
          <w:highlight w:val="none"/>
          <w:lang w:eastAsia="zh-CN"/>
        </w:rPr>
        <w:t>、资格审查</w:t>
      </w:r>
      <w:r>
        <w:rPr>
          <w:rFonts w:hint="default" w:ascii="Times New Roman" w:hAnsi="Times New Roman" w:cs="Times New Roman" w:eastAsiaTheme="minorEastAsia"/>
          <w:b/>
          <w:bCs/>
          <w:sz w:val="28"/>
          <w:szCs w:val="28"/>
          <w:highlight w:val="none"/>
        </w:rPr>
        <w:t>及评标</w:t>
      </w:r>
    </w:p>
    <w:p w14:paraId="202562A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2.</w:t>
      </w:r>
      <w:r>
        <w:rPr>
          <w:rFonts w:hint="default" w:ascii="Times New Roman" w:hAnsi="Times New Roman" w:cs="Times New Roman" w:eastAsiaTheme="minorEastAsia"/>
          <w:b/>
          <w:bCs/>
          <w:sz w:val="28"/>
          <w:szCs w:val="28"/>
          <w:highlight w:val="none"/>
        </w:rPr>
        <w:t>开标</w:t>
      </w:r>
    </w:p>
    <w:p w14:paraId="4DE19765">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1</w:t>
      </w:r>
      <w:r>
        <w:rPr>
          <w:rFonts w:hint="default" w:ascii="Times New Roman" w:hAnsi="Times New Roman" w:cs="Times New Roman" w:eastAsiaTheme="minorEastAsia"/>
          <w:sz w:val="28"/>
          <w:szCs w:val="28"/>
          <w:highlight w:val="none"/>
          <w:lang w:val="en-US" w:eastAsia="zh-CN"/>
        </w:rPr>
        <w:t xml:space="preserve">2.1 </w:t>
      </w:r>
      <w:r>
        <w:rPr>
          <w:rFonts w:hint="default" w:ascii="Times New Roman" w:hAnsi="Times New Roman" w:cs="Times New Roman" w:eastAsiaTheme="minorEastAsia"/>
          <w:sz w:val="28"/>
          <w:szCs w:val="28"/>
          <w:highlight w:val="none"/>
          <w:lang w:eastAsia="zh-CN"/>
        </w:rPr>
        <w:t>开标应当在招标文件确定的提交投标文件截止时间的同一时间进行，投标文件的递交不得迟于规定时间。投标文件以加密形式上传至招标方指定的开标地点。截止时间之后上传的，将为无效投标，其投标将一律被拒绝</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开标由采购人或者采购代理机构主持，</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不足3家的，</w:t>
      </w:r>
      <w:r>
        <w:rPr>
          <w:rFonts w:hint="default" w:ascii="Times New Roman" w:hAnsi="Times New Roman" w:cs="Times New Roman" w:eastAsiaTheme="minorEastAsia"/>
          <w:sz w:val="28"/>
          <w:szCs w:val="28"/>
          <w:highlight w:val="none"/>
          <w:lang w:eastAsia="zh-CN"/>
        </w:rPr>
        <w:t>不得</w:t>
      </w:r>
      <w:r>
        <w:rPr>
          <w:rFonts w:hint="default" w:ascii="Times New Roman" w:hAnsi="Times New Roman" w:cs="Times New Roman" w:eastAsiaTheme="minorEastAsia"/>
          <w:sz w:val="28"/>
          <w:szCs w:val="28"/>
          <w:highlight w:val="none"/>
        </w:rPr>
        <w:t>开标。评标委员会成员不得参加开标活动。</w:t>
      </w:r>
    </w:p>
    <w:p w14:paraId="56F7AE11">
      <w:pPr>
        <w:spacing w:beforeLines="0" w:afterLines="0" w:line="360" w:lineRule="auto"/>
        <w:ind w:left="0" w:leftChars="0" w:hanging="1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12.2 </w:t>
      </w:r>
      <w:r>
        <w:rPr>
          <w:rFonts w:hint="default" w:ascii="Times New Roman" w:hAnsi="Times New Roman" w:cs="Times New Roman" w:eastAsiaTheme="minorEastAsia"/>
          <w:sz w:val="28"/>
          <w:szCs w:val="28"/>
          <w:highlight w:val="none"/>
        </w:rPr>
        <w:t>开标时，采购人或者采购代理机构</w:t>
      </w:r>
      <w:r>
        <w:rPr>
          <w:rFonts w:hint="default" w:ascii="Times New Roman" w:hAnsi="Times New Roman" w:cs="Times New Roman" w:eastAsiaTheme="minorEastAsia"/>
          <w:sz w:val="28"/>
          <w:szCs w:val="28"/>
          <w:highlight w:val="none"/>
          <w:lang w:eastAsia="zh-CN"/>
        </w:rPr>
        <w:t>宣布</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人名称</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投标</w:t>
      </w:r>
      <w:r>
        <w:rPr>
          <w:rFonts w:hint="default" w:cs="Times New Roman" w:eastAsiaTheme="minorEastAsia"/>
          <w:sz w:val="28"/>
          <w:szCs w:val="28"/>
          <w:highlight w:val="none"/>
          <w:lang w:eastAsia="zh-CN"/>
        </w:rPr>
        <w:t>价格</w:t>
      </w:r>
      <w:r>
        <w:rPr>
          <w:rFonts w:hint="default" w:ascii="Times New Roman" w:hAnsi="Times New Roman" w:cs="Times New Roman" w:eastAsiaTheme="minorEastAsia"/>
          <w:sz w:val="28"/>
          <w:szCs w:val="28"/>
          <w:highlight w:val="none"/>
          <w:lang w:eastAsia="zh-CN"/>
        </w:rPr>
        <w:t>和招标文件规定的需要宣布的其他内容。开标过程由</w:t>
      </w:r>
      <w:r>
        <w:rPr>
          <w:rFonts w:hint="default" w:ascii="Times New Roman" w:hAnsi="Times New Roman" w:cs="Times New Roman" w:eastAsiaTheme="minorEastAsia"/>
          <w:sz w:val="28"/>
          <w:szCs w:val="28"/>
          <w:highlight w:val="none"/>
        </w:rPr>
        <w:t>采购</w:t>
      </w:r>
      <w:r>
        <w:rPr>
          <w:rFonts w:hint="default" w:ascii="Times New Roman" w:hAnsi="Times New Roman" w:cs="Times New Roman" w:eastAsiaTheme="minorEastAsia"/>
          <w:sz w:val="28"/>
          <w:szCs w:val="28"/>
          <w:highlight w:val="none"/>
          <w:lang w:eastAsia="zh-CN"/>
        </w:rPr>
        <w:t>人或者</w:t>
      </w:r>
      <w:r>
        <w:rPr>
          <w:rFonts w:hint="default" w:ascii="Times New Roman" w:hAnsi="Times New Roman" w:cs="Times New Roman" w:eastAsiaTheme="minorEastAsia"/>
          <w:sz w:val="28"/>
          <w:szCs w:val="28"/>
          <w:highlight w:val="none"/>
        </w:rPr>
        <w:t>采购代理机构</w:t>
      </w:r>
      <w:r>
        <w:rPr>
          <w:rFonts w:hint="default" w:ascii="Times New Roman" w:hAnsi="Times New Roman" w:cs="Times New Roman" w:eastAsiaTheme="minorEastAsia"/>
          <w:sz w:val="28"/>
          <w:szCs w:val="28"/>
          <w:highlight w:val="none"/>
          <w:lang w:eastAsia="zh-CN"/>
        </w:rPr>
        <w:t>负责记录</w:t>
      </w:r>
      <w:r>
        <w:rPr>
          <w:rFonts w:hint="eastAsia" w:cs="Times New Roman" w:eastAsiaTheme="minorEastAsia"/>
          <w:sz w:val="28"/>
          <w:szCs w:val="28"/>
          <w:highlight w:val="none"/>
          <w:lang w:eastAsia="zh-CN"/>
        </w:rPr>
        <w:t>。</w:t>
      </w:r>
    </w:p>
    <w:p w14:paraId="0A55A21C">
      <w:pPr>
        <w:spacing w:beforeLines="0" w:afterLines="0" w:line="360" w:lineRule="auto"/>
        <w:ind w:left="0" w:hanging="10" w:firstLineChars="0"/>
        <w:rPr>
          <w:rFonts w:hint="eastAsia"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12.3</w:t>
      </w:r>
      <w:r>
        <w:rPr>
          <w:rFonts w:hint="default" w:ascii="Times New Roman" w:hAnsi="Times New Roman" w:cs="Times New Roman" w:eastAsiaTheme="minorEastAsia"/>
          <w:sz w:val="28"/>
          <w:szCs w:val="28"/>
          <w:highlight w:val="none"/>
        </w:rPr>
        <w:t xml:space="preserve"> 为了体现投标人的合法权益，和确保评标工作的公平、公正</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代表对开标过程和开标记录有疑义，以及认为采购人、采购代理机构相关工作人员有需要回避的情形的，应当场提出询问或者回避申请。如现场不提请招标方申请其回避的，则视同无利害关系</w:t>
      </w:r>
      <w:r>
        <w:rPr>
          <w:rFonts w:hint="eastAsia" w:cs="Times New Roman" w:eastAsiaTheme="minorEastAsia"/>
          <w:sz w:val="28"/>
          <w:szCs w:val="28"/>
          <w:highlight w:val="none"/>
          <w:lang w:eastAsia="zh-CN"/>
        </w:rPr>
        <w:t>。</w:t>
      </w:r>
    </w:p>
    <w:p w14:paraId="50A61F52">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lang w:val="en-US" w:eastAsia="zh-CN"/>
        </w:rPr>
        <w:t>13.资格审查</w:t>
      </w:r>
      <w:r>
        <w:rPr>
          <w:rFonts w:hint="default" w:ascii="Times New Roman" w:hAnsi="Times New Roman" w:cs="Times New Roman" w:eastAsiaTheme="minorEastAsia"/>
          <w:b/>
          <w:bCs/>
          <w:sz w:val="28"/>
          <w:szCs w:val="28"/>
          <w:highlight w:val="none"/>
        </w:rPr>
        <w:t xml:space="preserve">  </w:t>
      </w:r>
      <w:r>
        <w:rPr>
          <w:rFonts w:hint="default" w:ascii="Times New Roman" w:hAnsi="Times New Roman" w:cs="Times New Roman" w:eastAsiaTheme="minorEastAsia"/>
          <w:sz w:val="28"/>
          <w:szCs w:val="28"/>
          <w:highlight w:val="none"/>
        </w:rPr>
        <w:t xml:space="preserve">    </w:t>
      </w:r>
    </w:p>
    <w:p w14:paraId="70EDA675">
      <w:pPr>
        <w:spacing w:beforeLines="0" w:afterLines="0" w:line="360" w:lineRule="auto"/>
        <w:ind w:firstLine="56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13.1 开标结束后，采购人或者采购代理机构应当依法对投标人的资格进行审查，具体详见</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资格审查</w:t>
      </w:r>
      <w:r>
        <w:rPr>
          <w:rFonts w:hint="default" w:ascii="Times New Roman" w:hAnsi="Times New Roman" w:cs="Times New Roman" w:eastAsiaTheme="minorEastAsia"/>
          <w:sz w:val="28"/>
          <w:szCs w:val="28"/>
          <w:highlight w:val="none"/>
          <w:lang w:eastAsia="zh-CN"/>
        </w:rPr>
        <w:t>》。</w:t>
      </w:r>
    </w:p>
    <w:p w14:paraId="1B47153A">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13.2 采购人、采购代理机构应</w:t>
      </w:r>
      <w:r>
        <w:rPr>
          <w:rStyle w:val="28"/>
          <w:rFonts w:hint="default" w:ascii="Times New Roman" w:hAnsi="Times New Roman" w:cs="Times New Roman"/>
          <w:b w:val="0"/>
          <w:sz w:val="28"/>
          <w:szCs w:val="28"/>
          <w:highlight w:val="none"/>
          <w:lang w:val="en-US" w:eastAsia="zh-CN"/>
        </w:rPr>
        <w:t>在采购文件中明确信用信息查询的查询渠道及截止时间、信用信息查询记录和证据留存的具体方式、信用信息的使用规则等内容，</w:t>
      </w:r>
      <w:r>
        <w:rPr>
          <w:rFonts w:hint="default" w:ascii="Times New Roman" w:hAnsi="Times New Roman" w:cs="Times New Roman" w:eastAsiaTheme="minorEastAsia"/>
          <w:sz w:val="28"/>
          <w:szCs w:val="28"/>
          <w:highlight w:val="none"/>
          <w:lang w:val="en-US" w:eastAsia="zh-CN"/>
        </w:rPr>
        <w:t>并通过</w:t>
      </w:r>
      <w:r>
        <w:rPr>
          <w:rStyle w:val="28"/>
          <w:rFonts w:hint="default" w:ascii="Times New Roman" w:hAnsi="Times New Roman" w:cs="Times New Roman"/>
          <w:b w:val="0"/>
          <w:sz w:val="28"/>
          <w:szCs w:val="28"/>
          <w:highlight w:val="none"/>
          <w:lang w:val="en-US" w:eastAsia="zh-CN"/>
        </w:rPr>
        <w:t>“信用中国”网站（www.creditchina.gov.cn）、中国政府采购网（www.ccgp.gov.cn）等渠道查询投标人的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37E5D">
      <w:pPr>
        <w:tabs>
          <w:tab w:val="left" w:pos="2940"/>
        </w:tabs>
        <w:spacing w:beforeLines="0" w:afterLines="0" w:line="360" w:lineRule="auto"/>
        <w:ind w:left="0" w:leftChars="0" w:firstLine="280" w:firstLineChars="1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bCs w:val="0"/>
          <w:sz w:val="28"/>
          <w:szCs w:val="28"/>
          <w:highlight w:val="none"/>
          <w:lang w:val="en-US" w:eastAsia="zh-CN"/>
        </w:rPr>
        <w:t xml:space="preserve">  13.3 </w:t>
      </w:r>
      <w:r>
        <w:rPr>
          <w:rFonts w:hint="default" w:ascii="Times New Roman" w:hAnsi="Times New Roman" w:cs="Times New Roman" w:eastAsiaTheme="minorEastAsia"/>
          <w:sz w:val="28"/>
          <w:szCs w:val="28"/>
          <w:highlight w:val="none"/>
        </w:rPr>
        <w:t>合格投标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不足三家的，不得评标。</w:t>
      </w:r>
    </w:p>
    <w:p w14:paraId="16AFE52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14.评标委员会</w:t>
      </w:r>
    </w:p>
    <w:p w14:paraId="6AB9D1D9">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14.1 评标委员会根据政府采购有关规定和本次采购项目的特点进行组建，并负责具体评标事务，独立履行职责。评标委员会的成员，从</w:t>
      </w:r>
      <w:r>
        <w:rPr>
          <w:rFonts w:hint="eastAsia" w:cs="Times New Roman" w:eastAsiaTheme="minorEastAsia"/>
          <w:sz w:val="28"/>
          <w:szCs w:val="28"/>
          <w:highlight w:val="none"/>
          <w:lang w:val="en-US" w:eastAsia="zh-CN"/>
        </w:rPr>
        <w:t>政采云</w:t>
      </w:r>
      <w:r>
        <w:rPr>
          <w:rFonts w:hint="default" w:ascii="Times New Roman" w:hAnsi="Times New Roman" w:cs="Times New Roman" w:eastAsiaTheme="minorEastAsia"/>
          <w:sz w:val="28"/>
          <w:szCs w:val="28"/>
          <w:highlight w:val="none"/>
          <w:lang w:val="en-US" w:eastAsia="zh-CN"/>
        </w:rPr>
        <w:t>专家库中采取随机抽取的方式确定。对于技术复杂、专业性要求较高或者国家有特殊要求的招标项目，抽取的专家不能满足评标工作需要时，将采取直接确定的方式选定评标委员会的人选。</w:t>
      </w:r>
    </w:p>
    <w:p w14:paraId="469DC61E">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14.2 依法自行选定评审专家的，采购人或者采购代理机构应当查询有关信用记录，不得选定具有行贿、受贿、欺诈等不良信用记录的人员。</w:t>
      </w:r>
    </w:p>
    <w:p w14:paraId="3BB211C2">
      <w:pPr>
        <w:pStyle w:val="7"/>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14.3 </w:t>
      </w:r>
      <w:r>
        <w:rPr>
          <w:rFonts w:hint="default" w:ascii="Times New Roman" w:hAnsi="Times New Roman" w:cs="Times New Roman" w:eastAsiaTheme="minorEastAsia"/>
          <w:kern w:val="2"/>
          <w:sz w:val="28"/>
          <w:szCs w:val="28"/>
          <w:highlight w:val="none"/>
        </w:rPr>
        <w:t>评标委员会成员名称在评标结果公告前应当保密。</w:t>
      </w:r>
    </w:p>
    <w:p w14:paraId="5E65BD8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15.评标程序</w:t>
      </w:r>
    </w:p>
    <w:p w14:paraId="209A089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详见第</w:t>
      </w:r>
      <w:r>
        <w:rPr>
          <w:rFonts w:hint="default" w:cs="Times New Roman" w:eastAsiaTheme="minorEastAsia"/>
          <w:sz w:val="28"/>
          <w:szCs w:val="28"/>
          <w:highlight w:val="none"/>
          <w:lang w:val="en-US" w:eastAsia="zh-CN"/>
        </w:rPr>
        <w:t>五</w:t>
      </w:r>
      <w:r>
        <w:rPr>
          <w:rFonts w:hint="default" w:ascii="Times New Roman" w:hAnsi="Times New Roman" w:cs="Times New Roman" w:eastAsiaTheme="minorEastAsia"/>
          <w:sz w:val="28"/>
          <w:szCs w:val="28"/>
          <w:highlight w:val="none"/>
          <w:lang w:val="en-US" w:eastAsia="zh-CN"/>
        </w:rPr>
        <w:t>章《评标程序》。</w:t>
      </w:r>
    </w:p>
    <w:p w14:paraId="44755877">
      <w:pPr>
        <w:spacing w:beforeLines="0" w:afterLines="0" w:line="360" w:lineRule="auto"/>
        <w:rPr>
          <w:rFonts w:hint="default" w:ascii="Times New Roman" w:hAnsi="Times New Roman" w:cs="Times New Roman" w:eastAsiaTheme="minorEastAsia"/>
          <w:sz w:val="28"/>
          <w:szCs w:val="28"/>
          <w:highlight w:val="none"/>
        </w:rPr>
      </w:pPr>
    </w:p>
    <w:p w14:paraId="38095CB4">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（六）确定中标</w:t>
      </w:r>
      <w:r>
        <w:rPr>
          <w:rFonts w:hint="default" w:ascii="Times New Roman" w:hAnsi="Times New Roman" w:cs="Times New Roman" w:eastAsiaTheme="minorEastAsia"/>
          <w:b/>
          <w:bCs/>
          <w:sz w:val="28"/>
          <w:szCs w:val="28"/>
          <w:highlight w:val="none"/>
          <w:lang w:eastAsia="zh-CN"/>
        </w:rPr>
        <w:t>和签订合同</w:t>
      </w:r>
    </w:p>
    <w:p w14:paraId="6A746DC6">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16.确定中标人</w:t>
      </w:r>
    </w:p>
    <w:p w14:paraId="3F294FC0">
      <w:pPr>
        <w:spacing w:beforeLines="0" w:afterLines="0" w:line="360" w:lineRule="auto"/>
        <w:ind w:firstLine="560"/>
        <w:rPr>
          <w:rFonts w:hint="default"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16</w:t>
      </w:r>
      <w:r>
        <w:rPr>
          <w:rFonts w:hint="default"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 xml:space="preserve"> </w:t>
      </w:r>
      <w:r>
        <w:rPr>
          <w:rFonts w:hint="default" w:cs="Times New Roman" w:eastAsiaTheme="minorEastAsia"/>
          <w:sz w:val="28"/>
          <w:szCs w:val="28"/>
          <w:highlight w:val="none"/>
          <w:lang w:val="en-US" w:eastAsia="zh-CN"/>
        </w:rPr>
        <w:t>评审委员会根据全体评标成员签字的原始评标记录和评标结果编写评标报告。评标报告应当包括以下内容：（一）招标公告刊登的媒体名称、开标日期和地点；（二）投标人名单和评标委员会成员名单；（三）评标方法和标准；（四）开标记录和评标情况及说明，包括无效投标人名单及原因；（五）评标结果，确定的中标候选人名单或者经采购人委托直接确定的中标人；（六）其他需要说明的情况，包括评标过程中投标人根据评标委员会要求进行的澄清、说明或者补正、评标委员会成员的更换等。</w:t>
      </w:r>
    </w:p>
    <w:p w14:paraId="13D8C23E">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16.2 </w:t>
      </w:r>
      <w:r>
        <w:rPr>
          <w:rFonts w:hint="default" w:ascii="Times New Roman" w:hAnsi="Times New Roman" w:cs="Times New Roman" w:eastAsiaTheme="minorEastAsia"/>
          <w:sz w:val="28"/>
          <w:szCs w:val="28"/>
          <w:highlight w:val="none"/>
        </w:rPr>
        <w:t>评标报告由评标委员会全体成员签字。</w:t>
      </w:r>
      <w:r>
        <w:rPr>
          <w:rFonts w:hint="default" w:cs="Times New Roman" w:eastAsiaTheme="minorEastAsia"/>
          <w:sz w:val="28"/>
          <w:szCs w:val="28"/>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599AF96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16.3 采购人应在评标报告确定的中标候选人名单中按顺序确定中标人。中标人候选人并列的，由采购人或者采购人委托评标委员会按照招标文件规定的方式确定中标人；招标文件未规定的，采取随机抽取的方式确定。</w:t>
      </w:r>
    </w:p>
    <w:p w14:paraId="617E2125">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17.中标公告与中标通知书</w:t>
      </w:r>
    </w:p>
    <w:p w14:paraId="2C23D8D4">
      <w:pPr>
        <w:spacing w:beforeLines="0" w:afterLines="0" w:line="360" w:lineRule="auto"/>
        <w:ind w:hanging="11"/>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17.1 采购人或者采购代理机构应当自中标人确定之日起2个工作日内公告中标结果，</w:t>
      </w:r>
      <w:r>
        <w:rPr>
          <w:rFonts w:hint="default" w:cs="Times New Roman" w:eastAsiaTheme="minorEastAsia"/>
          <w:b w:val="0"/>
          <w:bCs w:val="0"/>
          <w:sz w:val="28"/>
          <w:szCs w:val="28"/>
          <w:highlight w:val="none"/>
          <w:lang w:val="en-US" w:eastAsia="zh-CN"/>
        </w:rPr>
        <w:t>同时</w:t>
      </w:r>
      <w:r>
        <w:rPr>
          <w:rFonts w:hint="default" w:ascii="Times New Roman" w:hAnsi="Times New Roman" w:cs="Times New Roman" w:eastAsiaTheme="minorEastAsia"/>
          <w:b w:val="0"/>
          <w:bCs w:val="0"/>
          <w:sz w:val="28"/>
          <w:szCs w:val="28"/>
          <w:highlight w:val="none"/>
          <w:lang w:val="en-US" w:eastAsia="zh-CN"/>
        </w:rPr>
        <w:t>向中标人发出中标通知书，中标公告期限为1个工作日。对未通过资格审查的投标人，采购人或者采购代理机构应当告知其未通过的原因；采用综合评分法评审的，还应当</w:t>
      </w:r>
      <w:r>
        <w:rPr>
          <w:rFonts w:hint="default" w:cs="Times New Roman" w:eastAsiaTheme="minorEastAsia"/>
          <w:b w:val="0"/>
          <w:bCs w:val="0"/>
          <w:sz w:val="28"/>
          <w:szCs w:val="28"/>
          <w:highlight w:val="none"/>
          <w:lang w:val="en-US" w:eastAsia="zh-CN"/>
        </w:rPr>
        <w:t>告知</w:t>
      </w:r>
      <w:r>
        <w:rPr>
          <w:rFonts w:hint="default" w:ascii="Times New Roman" w:hAnsi="Times New Roman" w:cs="Times New Roman" w:eastAsiaTheme="minorEastAsia"/>
          <w:b w:val="0"/>
          <w:bCs w:val="0"/>
          <w:sz w:val="28"/>
          <w:szCs w:val="28"/>
          <w:highlight w:val="none"/>
          <w:lang w:val="en-US" w:eastAsia="zh-CN"/>
        </w:rPr>
        <w:t>未中标人本人的评审得分与排序。</w:t>
      </w:r>
    </w:p>
    <w:p w14:paraId="4CE290C8">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17.2 中标通知书对采购人和中标人均具有法律效力。中标通知书发出后，采购人不得违法改变中标结果，中标人无正当理由不得放弃中标。</w:t>
      </w:r>
    </w:p>
    <w:p w14:paraId="50F6C083">
      <w:pPr>
        <w:spacing w:beforeLines="0" w:afterLines="0" w:line="360" w:lineRule="auto"/>
        <w:ind w:hanging="11"/>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18.废标</w:t>
      </w:r>
    </w:p>
    <w:p w14:paraId="086BDB7A">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18.1 在招标采购中，出现下列情形之一的，应予废标：</w:t>
      </w:r>
    </w:p>
    <w:p w14:paraId="54BA9EF1">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（1）符合专业条件的供应商或者对招标文件作实质响应的供应商不足三家的；</w:t>
      </w:r>
    </w:p>
    <w:p w14:paraId="50EA9E45">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（2）出现影响采购公正的违法、违规行为的；</w:t>
      </w:r>
    </w:p>
    <w:p w14:paraId="10585713">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（3）投标人的报价均超过了采购预算，采购人不能支付的；</w:t>
      </w:r>
    </w:p>
    <w:p w14:paraId="0C55A265">
      <w:pPr>
        <w:spacing w:beforeLines="0" w:after="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）因重大变故，采购任务取消的。</w:t>
      </w:r>
    </w:p>
    <w:p w14:paraId="24365724">
      <w:pPr>
        <w:spacing w:beforeLines="0" w:afterLines="0" w:line="360" w:lineRule="auto"/>
        <w:ind w:left="0" w:left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18.2 废标后，采购人应将废标理由通知所有投标人。</w:t>
      </w:r>
    </w:p>
    <w:p w14:paraId="67E3B7D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19</w:t>
      </w:r>
      <w:r>
        <w:rPr>
          <w:rFonts w:hint="default" w:ascii="Times New Roman" w:hAnsi="Times New Roman" w:cs="Times New Roman" w:eastAsiaTheme="minorEastAsia"/>
          <w:b/>
          <w:bCs/>
          <w:sz w:val="28"/>
          <w:szCs w:val="28"/>
          <w:highlight w:val="none"/>
        </w:rPr>
        <w:t>.签订合同</w:t>
      </w:r>
    </w:p>
    <w:p w14:paraId="508E95F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19.1 采购人、中标人应当自中标通知书发出之日起30日内，按照招标文件和中标人投标文件的规定签订书面合同。采购人因不可抗力原因延迟签订合同的，应当自不可抗力事由消除之日起7日内完成合同签订事宜。</w:t>
      </w:r>
    </w:p>
    <w:p w14:paraId="34E00BF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19.2 采购人和中标人所签订的合同不得对招标文件确定的事项和中标人投标文件作实质性修改。采购人不得向中标人提出任何不合理的要求作为签订合同的条件。采购人和中标人之间的权利和义务，应当按照平等、自愿的原则以合同方式约定。</w:t>
      </w:r>
    </w:p>
    <w:p w14:paraId="084E84A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19.3 中标人拒绝与采购人签订合同的，采购人可以按照评审报告推荐的中标候选人名单排序，确定下一候选人为中标人，也可以重新开展政府采购活动。中标人无正当理由拒不与采购人签订政府采购合同的，依法承担法律责任。</w:t>
      </w:r>
    </w:p>
    <w:p w14:paraId="34D2356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19.4 中标人应遵守《中华人民共和国</w:t>
      </w:r>
      <w:r>
        <w:rPr>
          <w:rFonts w:hint="default" w:cs="Times New Roman" w:eastAsiaTheme="minorEastAsia"/>
          <w:sz w:val="28"/>
          <w:szCs w:val="28"/>
          <w:highlight w:val="none"/>
          <w:lang w:val="en-US" w:eastAsia="zh-CN"/>
        </w:rPr>
        <w:t>劳动</w:t>
      </w:r>
      <w:r>
        <w:rPr>
          <w:rFonts w:hint="default" w:ascii="Times New Roman" w:hAnsi="Times New Roman" w:cs="Times New Roman" w:eastAsiaTheme="minorEastAsia"/>
          <w:sz w:val="28"/>
          <w:szCs w:val="28"/>
          <w:highlight w:val="none"/>
          <w:lang w:val="en-US" w:eastAsia="zh-CN"/>
        </w:rPr>
        <w:t>合同法》有关规定和《中华人民共和国妇女权益保障法》有关要求。</w:t>
      </w:r>
    </w:p>
    <w:p w14:paraId="4F29B5C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val="en-US" w:eastAsia="zh-CN"/>
        </w:rPr>
        <w:t xml:space="preserve"> 采购项目涉及采购标的的知识产权归属、处理的，如订购、涉及、定制开发的信息化建设项目等，应当约定知识产权的归属和处理方式。</w:t>
      </w:r>
    </w:p>
    <w:p w14:paraId="644F82F7">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6</w:t>
      </w:r>
      <w:r>
        <w:rPr>
          <w:rFonts w:hint="default" w:ascii="Times New Roman" w:hAnsi="Times New Roman" w:cs="Times New Roman" w:eastAsiaTheme="minorEastAsia"/>
          <w:sz w:val="28"/>
          <w:szCs w:val="28"/>
          <w:highlight w:val="none"/>
          <w:lang w:val="en-US" w:eastAsia="zh-CN"/>
        </w:rPr>
        <w:t xml:space="preserve"> 履约验收方案应当在合同中约定。履约验收方案要明确履约验收的主体、时间、方式、程序、内容和验收标准等事项。</w:t>
      </w:r>
    </w:p>
    <w:p w14:paraId="732892A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20.合同公告</w:t>
      </w:r>
    </w:p>
    <w:p w14:paraId="5111B72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20.1 采购人应当自政府采购合同签订之日起2个工作日内，将政府采购合同予以公告，但政府采购合同中涉及国家秘密、商业秘密</w:t>
      </w:r>
      <w:r>
        <w:rPr>
          <w:rFonts w:hint="default" w:cs="Times New Roman" w:eastAsiaTheme="minorEastAsia"/>
          <w:sz w:val="28"/>
          <w:szCs w:val="28"/>
          <w:highlight w:val="none"/>
          <w:lang w:val="en-US" w:eastAsia="zh-CN"/>
        </w:rPr>
        <w:t>和</w:t>
      </w:r>
      <w:r>
        <w:rPr>
          <w:rFonts w:hint="default" w:ascii="Times New Roman" w:hAnsi="Times New Roman" w:cs="Times New Roman" w:eastAsiaTheme="minorEastAsia"/>
          <w:sz w:val="28"/>
          <w:szCs w:val="28"/>
          <w:highlight w:val="none"/>
          <w:lang w:val="en-US" w:eastAsia="zh-CN"/>
        </w:rPr>
        <w:t>其他依法不得公开的的内容除外。</w:t>
      </w:r>
    </w:p>
    <w:p w14:paraId="66C87ED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20.2 政府采购合同的双方当事人不得擅自变更、中止或者终止合同。政府采购合同继续履行将损害国家利益和社会公共利益的，双方当事人应当变更、中止或终止合同。</w:t>
      </w:r>
    </w:p>
    <w:p w14:paraId="414A19A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20.3 依照政府采购法确需变更政府采购合同内容的，采购人应当自合同变更之日起2个工作日内发布政府采购合同变更公告，但涉及国家秘密、商业秘密和其他依法不得公开的</w:t>
      </w:r>
      <w:r>
        <w:rPr>
          <w:rFonts w:hint="default" w:cs="Times New Roman" w:eastAsiaTheme="minorEastAsia"/>
          <w:sz w:val="28"/>
          <w:szCs w:val="28"/>
          <w:highlight w:val="none"/>
          <w:lang w:val="en-US" w:eastAsia="zh-CN"/>
        </w:rPr>
        <w:t>内容</w:t>
      </w:r>
      <w:r>
        <w:rPr>
          <w:rFonts w:hint="default" w:ascii="Times New Roman" w:hAnsi="Times New Roman" w:cs="Times New Roman" w:eastAsiaTheme="minorEastAsia"/>
          <w:sz w:val="28"/>
          <w:szCs w:val="28"/>
          <w:highlight w:val="none"/>
          <w:lang w:val="en-US" w:eastAsia="zh-CN"/>
        </w:rPr>
        <w:t>除外。</w:t>
      </w:r>
    </w:p>
    <w:p w14:paraId="0F9F7CCB">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20.4 采购人应当在政府采购合同中约定资金支付的方式、时间和条件，明确逾期支付资金的违约责任。对于有预付安排的合同，鼓励采购人将合同预付款比例提高到30%以上。</w:t>
      </w:r>
    </w:p>
    <w:p w14:paraId="73C1ECC9">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21.</w:t>
      </w:r>
      <w:r>
        <w:rPr>
          <w:rFonts w:hint="default" w:ascii="Times New Roman" w:hAnsi="Times New Roman" w:cs="Times New Roman" w:eastAsiaTheme="minorEastAsia"/>
          <w:b/>
          <w:bCs/>
          <w:sz w:val="28"/>
          <w:szCs w:val="28"/>
          <w:highlight w:val="none"/>
        </w:rPr>
        <w:t>政府采购合同信用融资</w:t>
      </w:r>
    </w:p>
    <w:p w14:paraId="0C3A56AF">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中标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为中小微企业的，可以在取得中标通知书后，向相关金融机构、担保机构申请政府采购融资服务。</w:t>
      </w:r>
    </w:p>
    <w:p w14:paraId="32462A32">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22</w:t>
      </w:r>
      <w:r>
        <w:rPr>
          <w:rFonts w:hint="default" w:ascii="Times New Roman" w:hAnsi="Times New Roman" w:cs="Times New Roman" w:eastAsiaTheme="minorEastAsia"/>
          <w:b/>
          <w:bCs/>
          <w:sz w:val="28"/>
          <w:szCs w:val="28"/>
          <w:highlight w:val="none"/>
        </w:rPr>
        <w:t>.</w:t>
      </w:r>
      <w:r>
        <w:rPr>
          <w:rFonts w:hint="default" w:ascii="Times New Roman" w:hAnsi="Times New Roman" w:cs="Times New Roman" w:eastAsiaTheme="minorEastAsia"/>
          <w:b/>
          <w:bCs/>
          <w:sz w:val="28"/>
          <w:szCs w:val="28"/>
          <w:highlight w:val="none"/>
          <w:lang w:eastAsia="zh-CN"/>
        </w:rPr>
        <w:t>代理费用</w:t>
      </w:r>
    </w:p>
    <w:p w14:paraId="7D531961">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22.1 </w:t>
      </w:r>
      <w:r>
        <w:rPr>
          <w:rFonts w:hint="default" w:cs="Times New Roman" w:eastAsiaTheme="minorEastAsia"/>
          <w:sz w:val="28"/>
          <w:szCs w:val="28"/>
          <w:highlight w:val="none"/>
          <w:lang w:val="en-US" w:eastAsia="zh-CN"/>
        </w:rPr>
        <w:t>代理费用可以由中标供应商支付，也可由采购人支付。</w:t>
      </w:r>
      <w:r>
        <w:rPr>
          <w:rFonts w:hint="default" w:ascii="Times New Roman" w:hAnsi="Times New Roman" w:cs="Times New Roman" w:eastAsiaTheme="minorEastAsia"/>
          <w:sz w:val="28"/>
          <w:szCs w:val="28"/>
          <w:highlight w:val="none"/>
          <w:lang w:val="en-US" w:eastAsia="zh-CN"/>
        </w:rPr>
        <w:t>代理费用收取对象、收取方式及标准详见《</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代理费用由中标供应商支付的，供应商报价应当包含代理费用。代理费用超过分散采购限额标准的，原则上由中标供应商支付。</w:t>
      </w:r>
    </w:p>
    <w:p w14:paraId="6868223F">
      <w:pPr>
        <w:pStyle w:val="24"/>
        <w:spacing w:beforeLines="0" w:after="0" w:afterLines="0" w:line="360" w:lineRule="auto"/>
        <w:ind w:left="0" w:left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22.2 代理机构应当在采购文件中明示代理费用收取方式及标准，随中标结果一并公开本项目收费情况，包括具体收费标准及收费金额等。</w:t>
      </w:r>
    </w:p>
    <w:p w14:paraId="4BDD7DE8">
      <w:pPr>
        <w:spacing w:beforeLines="0" w:afterLines="0" w:line="360" w:lineRule="auto"/>
        <w:ind w:left="490" w:leftChars="0" w:hanging="490" w:hangingChars="175"/>
        <w:rPr>
          <w:rFonts w:hint="default" w:ascii="Times New Roman" w:hAnsi="Times New Roman" w:cs="Times New Roman" w:eastAsiaTheme="minorEastAsia"/>
          <w:sz w:val="28"/>
          <w:szCs w:val="28"/>
          <w:highlight w:val="none"/>
        </w:rPr>
      </w:pPr>
    </w:p>
    <w:p w14:paraId="31B8D23E">
      <w:pPr>
        <w:spacing w:beforeLines="0" w:afterLines="0" w:line="360" w:lineRule="auto"/>
        <w:ind w:left="0" w:leftChars="0" w:firstLine="0" w:firstLineChars="0"/>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（七）合同履行、验收、资金支付和档案保管</w:t>
      </w:r>
    </w:p>
    <w:p w14:paraId="331E424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23.合同履行</w:t>
      </w:r>
    </w:p>
    <w:p w14:paraId="706E06C4">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val="en-US" w:eastAsia="zh-CN"/>
        </w:rPr>
        <w:t xml:space="preserve">  23.1 采购人与中标人应当根据合同的约定依法履行合同义务。</w:t>
      </w:r>
    </w:p>
    <w:p w14:paraId="010A55A6">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23.2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518E5ED">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23.3 政府采购合同的履行、违约责任和解决争议的方法等适用《中华人民共和国民法典》等法律法规。</w:t>
      </w:r>
    </w:p>
    <w:p w14:paraId="77F3667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24.履约验收</w:t>
      </w:r>
    </w:p>
    <w:p w14:paraId="46CFD5C9">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24.1 采购人应当根据采购项目的具体情况，自行组织项目验收或者委托采购代理机构验收。采购人委托采购代理机构进行履约验收的，应当对验收结果进行书面确认。</w:t>
      </w:r>
    </w:p>
    <w:p w14:paraId="0AAAE225">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14:paraId="325F1C9C">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14:paraId="68CB8F13">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25.资金支付</w:t>
      </w:r>
    </w:p>
    <w:p w14:paraId="09D02BFF">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14:paraId="5C9E3E41">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25.2 采购人和供应商对资金支付产生争议的，应当按照法律规定和合同约定及时解决，保证资金支付效率。</w:t>
      </w:r>
    </w:p>
    <w:p w14:paraId="65F57C99">
      <w:pPr>
        <w:spacing w:beforeLines="0" w:afterLines="0" w:line="360" w:lineRule="auto"/>
        <w:ind w:left="0" w:leftChars="0" w:firstLine="0" w:firstLineChars="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26.档案保管 </w:t>
      </w:r>
      <w:r>
        <w:rPr>
          <w:rFonts w:hint="default" w:ascii="Times New Roman" w:hAnsi="Times New Roman" w:cs="Times New Roman" w:eastAsiaTheme="minorEastAsia"/>
          <w:b w:val="0"/>
          <w:bCs w:val="0"/>
          <w:sz w:val="28"/>
          <w:szCs w:val="28"/>
          <w:highlight w:val="none"/>
          <w:lang w:val="en-US" w:eastAsia="zh-CN"/>
        </w:rPr>
        <w:t xml:space="preserve">   </w:t>
      </w:r>
    </w:p>
    <w:p w14:paraId="58D9EF96">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eastAsia="zh-CN"/>
        </w:rPr>
        <w:t>采购人、采购代理机构对政</w:t>
      </w:r>
      <w:r>
        <w:rPr>
          <w:rFonts w:hint="default" w:ascii="Times New Roman" w:hAnsi="Times New Roman" w:cs="Times New Roman" w:eastAsiaTheme="minorEastAsia"/>
          <w:sz w:val="28"/>
          <w:szCs w:val="28"/>
          <w:highlight w:val="none"/>
          <w:lang w:eastAsia="zh-CN"/>
        </w:rPr>
        <w:t>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采购文件可以用电子档案方式保存。</w:t>
      </w:r>
    </w:p>
    <w:p w14:paraId="4BFE251F">
      <w:pPr>
        <w:spacing w:line="360" w:lineRule="auto"/>
        <w:rPr>
          <w:rFonts w:hint="default" w:ascii="Times New Roman" w:hAnsi="Times New Roman" w:cs="Times New Roman"/>
          <w:highlight w:val="none"/>
        </w:rPr>
      </w:pPr>
    </w:p>
    <w:p w14:paraId="753217E5">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（八）</w:t>
      </w:r>
      <w:r>
        <w:rPr>
          <w:rFonts w:hint="default" w:ascii="Times New Roman" w:hAnsi="Times New Roman" w:cs="Times New Roman" w:eastAsiaTheme="minorEastAsia"/>
          <w:b/>
          <w:bCs/>
          <w:sz w:val="28"/>
          <w:szCs w:val="28"/>
          <w:highlight w:val="none"/>
          <w:lang w:eastAsia="zh-CN"/>
        </w:rPr>
        <w:t>询问、</w:t>
      </w:r>
      <w:r>
        <w:rPr>
          <w:rFonts w:hint="default" w:ascii="Times New Roman" w:hAnsi="Times New Roman" w:cs="Times New Roman" w:eastAsiaTheme="minorEastAsia"/>
          <w:b/>
          <w:bCs/>
          <w:sz w:val="28"/>
          <w:szCs w:val="28"/>
          <w:highlight w:val="none"/>
        </w:rPr>
        <w:t>质疑和投诉</w:t>
      </w:r>
    </w:p>
    <w:p w14:paraId="2C771FD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27.询问</w:t>
      </w:r>
    </w:p>
    <w:p w14:paraId="2574504F">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27.1 投标人对政府采购活动事项有疑问的，可依法提出询问，并按《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须知前附表》载明的形式送达采购人或者采购代理机构。</w:t>
      </w:r>
    </w:p>
    <w:p w14:paraId="1ACCAF1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27.2 采购人或者采购代理机构对供应商依法提出的询问，应当在3个工作日内作出答复，但答复的内容不得涉及商业秘密。</w:t>
      </w:r>
    </w:p>
    <w:p w14:paraId="7556B55A">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28</w:t>
      </w:r>
      <w:r>
        <w:rPr>
          <w:rFonts w:hint="default" w:ascii="Times New Roman" w:hAnsi="Times New Roman" w:cs="Times New Roman" w:eastAsiaTheme="minorEastAsia"/>
          <w:b/>
          <w:bCs/>
          <w:sz w:val="28"/>
          <w:szCs w:val="28"/>
          <w:highlight w:val="none"/>
        </w:rPr>
        <w:t>.质疑</w:t>
      </w:r>
    </w:p>
    <w:p w14:paraId="01B6434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28.1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认为采购文件、采购过程</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highlight w:val="none"/>
          <w:lang w:eastAsia="zh-CN"/>
        </w:rPr>
        <w:t>采购人、采购代理机构在收到质疑函后</w:t>
      </w:r>
      <w:r>
        <w:rPr>
          <w:rFonts w:hint="default" w:ascii="Times New Roman" w:hAnsi="Times New Roman" w:cs="Times New Roman" w:eastAsiaTheme="minorEastAsia"/>
          <w:sz w:val="28"/>
          <w:szCs w:val="28"/>
          <w:highlight w:val="none"/>
          <w:lang w:val="en-US" w:eastAsia="zh-CN"/>
        </w:rPr>
        <w:t>7个工作日内作出答复。</w:t>
      </w:r>
    </w:p>
    <w:p w14:paraId="62B02916">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28.2 </w:t>
      </w:r>
      <w:r>
        <w:rPr>
          <w:rFonts w:hint="default" w:ascii="Times New Roman" w:hAnsi="Times New Roman" w:eastAsia="宋体" w:cs="Times New Roman"/>
          <w:sz w:val="28"/>
          <w:szCs w:val="28"/>
          <w:highlight w:val="none"/>
        </w:rPr>
        <w:t>提出质疑的供应商应当是</w:t>
      </w:r>
      <w:r>
        <w:rPr>
          <w:rFonts w:hint="eastAsia" w:cs="Times New Roman"/>
          <w:sz w:val="28"/>
          <w:szCs w:val="28"/>
          <w:highlight w:val="none"/>
          <w:lang w:eastAsia="zh-CN"/>
        </w:rPr>
        <w:t>参与</w:t>
      </w:r>
      <w:r>
        <w:rPr>
          <w:rFonts w:hint="default" w:ascii="Times New Roman" w:hAnsi="Times New Roman" w:eastAsia="宋体" w:cs="Times New Roman"/>
          <w:sz w:val="28"/>
          <w:szCs w:val="28"/>
          <w:highlight w:val="none"/>
        </w:rPr>
        <w:t>所</w:t>
      </w:r>
      <w:r>
        <w:rPr>
          <w:rFonts w:hint="eastAsia" w:cs="Times New Roman"/>
          <w:sz w:val="28"/>
          <w:szCs w:val="28"/>
          <w:highlight w:val="none"/>
          <w:lang w:eastAsia="zh-CN"/>
        </w:rPr>
        <w:t>质疑</w:t>
      </w:r>
      <w:r>
        <w:rPr>
          <w:rFonts w:hint="default" w:ascii="Times New Roman" w:hAnsi="Times New Roman" w:eastAsia="宋体" w:cs="Times New Roman"/>
          <w:sz w:val="28"/>
          <w:szCs w:val="28"/>
          <w:highlight w:val="none"/>
        </w:rPr>
        <w:t>项目采购活动的供应商。潜在供应商</w:t>
      </w:r>
      <w:r>
        <w:rPr>
          <w:rFonts w:hint="eastAsia" w:cs="Times New Roman"/>
          <w:sz w:val="28"/>
          <w:szCs w:val="28"/>
          <w:highlight w:val="none"/>
          <w:lang w:eastAsia="zh-CN"/>
        </w:rPr>
        <w:t>已</w:t>
      </w:r>
      <w:r>
        <w:rPr>
          <w:rFonts w:hint="default" w:ascii="Times New Roman" w:hAnsi="Times New Roman" w:eastAsia="宋体" w:cs="Times New Roman"/>
          <w:sz w:val="28"/>
          <w:szCs w:val="28"/>
          <w:highlight w:val="none"/>
        </w:rPr>
        <w:t>依法获取</w:t>
      </w:r>
      <w:r>
        <w:rPr>
          <w:rFonts w:hint="eastAsia" w:cs="Times New Roman"/>
          <w:sz w:val="28"/>
          <w:szCs w:val="28"/>
          <w:highlight w:val="none"/>
          <w:lang w:eastAsia="zh-CN"/>
        </w:rPr>
        <w:t>其</w:t>
      </w:r>
      <w:r>
        <w:rPr>
          <w:rFonts w:hint="default" w:ascii="Times New Roman" w:hAnsi="Times New Roman" w:eastAsia="宋体" w:cs="Times New Roman"/>
          <w:sz w:val="28"/>
          <w:szCs w:val="28"/>
          <w:highlight w:val="none"/>
        </w:rPr>
        <w:t>可质疑</w:t>
      </w:r>
      <w:r>
        <w:rPr>
          <w:rFonts w:hint="eastAsia" w:cs="Times New Roman"/>
          <w:sz w:val="28"/>
          <w:szCs w:val="28"/>
          <w:highlight w:val="none"/>
          <w:lang w:eastAsia="zh-CN"/>
        </w:rPr>
        <w:t>的</w:t>
      </w:r>
      <w:r>
        <w:rPr>
          <w:rFonts w:hint="default" w:ascii="Times New Roman" w:hAnsi="Times New Roman" w:eastAsia="宋体" w:cs="Times New Roman"/>
          <w:sz w:val="28"/>
          <w:szCs w:val="28"/>
          <w:highlight w:val="none"/>
        </w:rPr>
        <w:t>采购文件的</w:t>
      </w:r>
      <w:r>
        <w:rPr>
          <w:rFonts w:hint="eastAsia" w:cs="Times New Roman"/>
          <w:sz w:val="28"/>
          <w:szCs w:val="28"/>
          <w:highlight w:val="none"/>
          <w:lang w:eastAsia="zh-CN"/>
        </w:rPr>
        <w:t>，</w:t>
      </w:r>
      <w:r>
        <w:rPr>
          <w:rFonts w:hint="default" w:ascii="Times New Roman" w:hAnsi="Times New Roman" w:eastAsia="宋体" w:cs="Times New Roman"/>
          <w:sz w:val="28"/>
          <w:szCs w:val="28"/>
          <w:highlight w:val="none"/>
        </w:rPr>
        <w:t>可以</w:t>
      </w:r>
      <w:r>
        <w:rPr>
          <w:rFonts w:hint="eastAsia" w:cs="Times New Roman"/>
          <w:sz w:val="28"/>
          <w:szCs w:val="28"/>
          <w:highlight w:val="none"/>
          <w:lang w:eastAsia="zh-CN"/>
        </w:rPr>
        <w:t>对该文件</w:t>
      </w:r>
      <w:r>
        <w:rPr>
          <w:rFonts w:hint="default" w:ascii="Times New Roman" w:hAnsi="Times New Roman" w:eastAsia="宋体" w:cs="Times New Roman"/>
          <w:sz w:val="28"/>
          <w:szCs w:val="28"/>
          <w:highlight w:val="none"/>
        </w:rPr>
        <w:t>提出质疑。</w:t>
      </w:r>
    </w:p>
    <w:p w14:paraId="08BDADC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28.3 </w:t>
      </w:r>
      <w:r>
        <w:rPr>
          <w:rFonts w:hint="default" w:ascii="Times New Roman" w:hAnsi="Times New Roman" w:cs="Times New Roman" w:eastAsiaTheme="minorEastAsia"/>
          <w:sz w:val="28"/>
          <w:szCs w:val="28"/>
          <w:highlight w:val="none"/>
        </w:rPr>
        <w:t>质疑供应商在法定质疑期内</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针对同一采购程序环节的质疑次数应符合</w:t>
      </w:r>
      <w:r>
        <w:rPr>
          <w:rFonts w:hint="default"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u w:val="none"/>
          <w:lang w:eastAsia="zh-CN"/>
        </w:rPr>
        <w:t>投标人</w:t>
      </w:r>
      <w:r>
        <w:rPr>
          <w:rFonts w:hint="default" w:ascii="Times New Roman" w:hAnsi="Times New Roman" w:cs="Times New Roman" w:eastAsiaTheme="minorEastAsia"/>
          <w:sz w:val="28"/>
          <w:szCs w:val="28"/>
          <w:highlight w:val="none"/>
          <w:u w:val="none"/>
        </w:rPr>
        <w:t>须知前附表</w:t>
      </w:r>
      <w:r>
        <w:rPr>
          <w:rFonts w:hint="default" w:ascii="Times New Roman" w:hAnsi="Times New Roman" w:cs="Times New Roman" w:eastAsiaTheme="minorEastAsia"/>
          <w:sz w:val="28"/>
          <w:szCs w:val="28"/>
          <w:highlight w:val="none"/>
          <w:u w:val="none"/>
          <w:lang w:eastAsia="zh-CN"/>
        </w:rPr>
        <w:t>》</w:t>
      </w:r>
      <w:r>
        <w:rPr>
          <w:rFonts w:hint="default" w:ascii="Times New Roman" w:hAnsi="Times New Roman" w:cs="Times New Roman" w:eastAsiaTheme="minorEastAsia"/>
          <w:sz w:val="28"/>
          <w:szCs w:val="28"/>
          <w:highlight w:val="none"/>
        </w:rPr>
        <w:t>的规定。</w:t>
      </w:r>
    </w:p>
    <w:p w14:paraId="1FB06ED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29.</w:t>
      </w:r>
      <w:r>
        <w:rPr>
          <w:rFonts w:hint="default" w:ascii="Times New Roman" w:hAnsi="Times New Roman" w:cs="Times New Roman" w:eastAsiaTheme="minorEastAsia"/>
          <w:b/>
          <w:bCs/>
          <w:sz w:val="28"/>
          <w:szCs w:val="28"/>
          <w:highlight w:val="none"/>
        </w:rPr>
        <w:t>投诉</w:t>
      </w:r>
    </w:p>
    <w:p w14:paraId="2F32FCFC">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29.1 </w:t>
      </w:r>
      <w:r>
        <w:rPr>
          <w:rFonts w:hint="default" w:ascii="Times New Roman" w:hAnsi="Times New Roman" w:cs="Times New Roman" w:eastAsiaTheme="minorEastAsia"/>
          <w:sz w:val="28"/>
          <w:szCs w:val="28"/>
          <w:highlight w:val="none"/>
        </w:rPr>
        <w:t>质疑供应商对采购人、采购代理机构的答复不满意，或者采购人、采购代理机构未在规定时间内作出答复的，可以在答复期满后15个工作日内向同级财政部门提起投诉。</w:t>
      </w:r>
    </w:p>
    <w:p w14:paraId="4BACDBC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p>
    <w:p w14:paraId="5A698EBD">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p>
    <w:p w14:paraId="44789A02">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（九）保密及回避要求</w:t>
      </w:r>
    </w:p>
    <w:p w14:paraId="04972A2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30.保密要求</w:t>
      </w:r>
    </w:p>
    <w:p w14:paraId="18A8C027">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30.1 </w:t>
      </w:r>
      <w:r>
        <w:rPr>
          <w:rFonts w:hint="default" w:ascii="Times New Roman" w:hAnsi="Times New Roman" w:cs="Times New Roman" w:eastAsiaTheme="minorEastAsia"/>
          <w:sz w:val="28"/>
          <w:szCs w:val="28"/>
          <w:highlight w:val="none"/>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highlight w:val="none"/>
        </w:rPr>
        <w:t>。</w:t>
      </w:r>
    </w:p>
    <w:p w14:paraId="405A0C50">
      <w:pPr>
        <w:spacing w:beforeLines="0" w:afterLines="0" w:line="360" w:lineRule="auto"/>
        <w:jc w:val="both"/>
        <w:rPr>
          <w:rFonts w:hint="default" w:ascii="Times New Roman" w:hAnsi="Times New Roman" w:cs="Times New Roman"/>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30.2 </w:t>
      </w:r>
      <w:r>
        <w:rPr>
          <w:rFonts w:hint="default" w:ascii="Times New Roman" w:hAnsi="Times New Roman" w:cs="Times New Roman" w:eastAsiaTheme="minorEastAsia"/>
          <w:sz w:val="28"/>
          <w:szCs w:val="28"/>
          <w:highlight w:val="none"/>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highlight w:val="none"/>
        </w:rPr>
        <w:t>。</w:t>
      </w:r>
    </w:p>
    <w:p w14:paraId="33758215">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31.回避要求</w:t>
      </w:r>
    </w:p>
    <w:p w14:paraId="590ACF4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31.1 </w:t>
      </w:r>
      <w:r>
        <w:rPr>
          <w:rFonts w:hint="default" w:ascii="Times New Roman" w:hAnsi="Times New Roman" w:cs="Times New Roman" w:eastAsiaTheme="minorEastAsia"/>
          <w:sz w:val="28"/>
          <w:szCs w:val="28"/>
          <w:highlight w:val="none"/>
          <w:lang w:eastAsia="zh-CN"/>
        </w:rPr>
        <w:t>政府采购活动中，采购人员及相关人员与投标人有下列利害关系之一的，应当回避：</w:t>
      </w:r>
    </w:p>
    <w:p w14:paraId="35C94EE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（1）参加采购活动前3年内与投标人存在劳动关系；</w:t>
      </w:r>
    </w:p>
    <w:p w14:paraId="6A144CB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（2）参加采购活动前3年内担任投标人的董事、监事；</w:t>
      </w:r>
    </w:p>
    <w:p w14:paraId="572AE1C6">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）参加采购活动前 3 年内是投标人的控股股东或者实际控制人；</w:t>
      </w:r>
    </w:p>
    <w:p w14:paraId="2D858E6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）与投标人的法定代表人或者负责人有夫妻、直系血亲、三代以内旁系血亲或者近姻亲关系；</w:t>
      </w:r>
    </w:p>
    <w:p w14:paraId="3B93E21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eastAsia="zh-CN"/>
        </w:rPr>
        <w:t>）与投标人有其他可能影响政府采购活动公平、公正进行的关系。</w:t>
      </w:r>
    </w:p>
    <w:p w14:paraId="5DEE68A2">
      <w:pPr>
        <w:spacing w:beforeLines="0" w:afterLines="0" w:line="360" w:lineRule="auto"/>
        <w:ind w:firstLine="560" w:firstLineChars="2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投标人认为采购人员及相关人员与其他投标人有利害关系的，可以向代理机构书面提出回避申请，并说明理由。代理机构应及时询问被申请回避人员，有利害关系的被申请回避人员应当回避。</w:t>
      </w:r>
    </w:p>
    <w:p w14:paraId="2AA1089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31.2 </w:t>
      </w:r>
      <w:r>
        <w:rPr>
          <w:rFonts w:hint="default" w:ascii="Times New Roman" w:hAnsi="Times New Roman" w:cs="Times New Roman" w:eastAsiaTheme="minorEastAsia"/>
          <w:sz w:val="28"/>
          <w:szCs w:val="28"/>
          <w:highlight w:val="none"/>
          <w:lang w:eastAsia="zh-CN"/>
        </w:rPr>
        <w:t>评审专家与参加采购活动的供应商存在下列利害关系之一的,应当回避:</w:t>
      </w:r>
    </w:p>
    <w:p w14:paraId="0327AC5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）参加采购活动前三年内,与供应商存在劳动关系,或者担任过供应商的董事、监事,或者是供应商的控股股东或实际控制人;</w:t>
      </w:r>
    </w:p>
    <w:p w14:paraId="3C804FC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与供应商的法定代表人或者负责人有夫妻、直系血亲、三代以内旁系血亲或者近姻亲关系;</w:t>
      </w:r>
    </w:p>
    <w:p w14:paraId="7226247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lang w:eastAsia="zh-CN"/>
        </w:rPr>
        <w:t>与供应商有其他可能影响政府采购活动公平、公正进行的关系。</w:t>
      </w:r>
    </w:p>
    <w:p w14:paraId="2EA8F6F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评审专家发现本人与参加采购活动的供应商有利害关系的,应当主动提出回避。采购人或者采购代理机构发现评审专家与参加采购活动的供应商有利害关系的,应当要求其回避。</w:t>
      </w:r>
    </w:p>
    <w:p w14:paraId="77CA81C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31.3 </w:t>
      </w:r>
      <w:r>
        <w:rPr>
          <w:rFonts w:hint="default" w:ascii="Times New Roman" w:hAnsi="Times New Roman" w:cs="Times New Roman" w:eastAsiaTheme="minorEastAsia"/>
          <w:sz w:val="28"/>
          <w:szCs w:val="28"/>
          <w:highlight w:val="none"/>
          <w:lang w:eastAsia="zh-CN"/>
        </w:rPr>
        <w:t>各级财政部门政府采购监督管理工作人员,不得作为评审专家参与政府采购项目的评审活动。</w:t>
      </w:r>
    </w:p>
    <w:p w14:paraId="528F2D46">
      <w:pPr>
        <w:spacing w:beforeLines="0" w:afterLines="0" w:line="360" w:lineRule="auto"/>
        <w:jc w:val="both"/>
        <w:rPr>
          <w:rFonts w:hint="default" w:ascii="Times New Roman" w:hAnsi="Times New Roman" w:cs="Times New Roman" w:eastAsiaTheme="minorEastAsia"/>
          <w:sz w:val="28"/>
          <w:szCs w:val="28"/>
          <w:highlight w:val="none"/>
          <w:lang w:eastAsia="zh-CN"/>
        </w:rPr>
      </w:pPr>
    </w:p>
    <w:p w14:paraId="68B520AA">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w:t>
      </w:r>
      <w:r>
        <w:rPr>
          <w:rFonts w:hint="default" w:cs="Times New Roman" w:eastAsiaTheme="minorEastAsia"/>
          <w:b/>
          <w:bCs/>
          <w:sz w:val="28"/>
          <w:szCs w:val="28"/>
          <w:highlight w:val="none"/>
          <w:lang w:eastAsia="zh-CN"/>
        </w:rPr>
        <w:t>十</w:t>
      </w:r>
      <w:r>
        <w:rPr>
          <w:rFonts w:hint="default" w:ascii="Times New Roman" w:hAnsi="Times New Roman" w:cs="Times New Roman" w:eastAsiaTheme="minorEastAsia"/>
          <w:b/>
          <w:bCs/>
          <w:sz w:val="28"/>
          <w:szCs w:val="28"/>
          <w:highlight w:val="none"/>
          <w:lang w:eastAsia="zh-CN"/>
        </w:rPr>
        <w:t>）</w:t>
      </w:r>
      <w:r>
        <w:rPr>
          <w:rFonts w:hint="default" w:cs="Times New Roman" w:eastAsiaTheme="minorEastAsia"/>
          <w:b/>
          <w:bCs/>
          <w:sz w:val="28"/>
          <w:szCs w:val="28"/>
          <w:highlight w:val="none"/>
          <w:lang w:eastAsia="zh-CN"/>
        </w:rPr>
        <w:t>需要补充的其他内容</w:t>
      </w:r>
      <w:r>
        <w:rPr>
          <w:rFonts w:hint="default" w:cs="Times New Roman" w:eastAsiaTheme="minorEastAsia"/>
          <w:b/>
          <w:bCs/>
          <w:i/>
          <w:iCs/>
          <w:sz w:val="28"/>
          <w:szCs w:val="28"/>
          <w:highlight w:val="none"/>
          <w:lang w:eastAsia="zh-CN"/>
        </w:rPr>
        <w:t>（如有）</w:t>
      </w:r>
    </w:p>
    <w:p w14:paraId="28DAD014">
      <w:pPr>
        <w:spacing w:beforeLines="0" w:afterLines="0" w:line="360" w:lineRule="auto"/>
        <w:jc w:val="both"/>
        <w:rPr>
          <w:rFonts w:hint="default" w:ascii="Times New Roman" w:hAnsi="Times New Roman" w:cs="Times New Roman"/>
          <w:b/>
          <w:bCs/>
          <w:sz w:val="28"/>
          <w:szCs w:val="28"/>
          <w:highlight w:val="none"/>
        </w:rPr>
      </w:pPr>
      <w:r>
        <w:rPr>
          <w:rFonts w:hint="default" w:cs="Times New Roman"/>
          <w:b/>
          <w:bCs/>
          <w:sz w:val="28"/>
          <w:szCs w:val="28"/>
          <w:highlight w:val="none"/>
          <w:lang w:val="en-US" w:eastAsia="zh-CN"/>
        </w:rPr>
        <w:t xml:space="preserve">   </w:t>
      </w:r>
      <w:r>
        <w:rPr>
          <w:rFonts w:hint="default" w:cs="Times New Roman" w:eastAsiaTheme="minorEastAsia"/>
          <w:b w:val="0"/>
          <w:bCs w:val="0"/>
          <w:sz w:val="28"/>
          <w:szCs w:val="28"/>
          <w:highlight w:val="none"/>
          <w:lang w:val="en-US" w:eastAsia="zh-CN"/>
        </w:rPr>
        <w:t xml:space="preserve"> 32.需要补充的其他内容</w:t>
      </w:r>
      <w:r>
        <w:rPr>
          <w:rFonts w:hint="default" w:cs="Times New Roman" w:eastAsiaTheme="minorEastAsia"/>
          <w:b/>
          <w:bCs/>
          <w:i/>
          <w:iCs/>
          <w:sz w:val="28"/>
          <w:szCs w:val="28"/>
          <w:highlight w:val="none"/>
          <w:lang w:val="en-US" w:eastAsia="zh-CN"/>
        </w:rPr>
        <w:t>（如有）</w:t>
      </w:r>
      <w:r>
        <w:rPr>
          <w:rFonts w:hint="default" w:ascii="Times New Roman" w:hAnsi="Times New Roman" w:cs="Times New Roman"/>
          <w:b/>
          <w:bCs/>
          <w:sz w:val="28"/>
          <w:szCs w:val="28"/>
          <w:highlight w:val="none"/>
        </w:rPr>
        <w:br w:type="page"/>
      </w:r>
    </w:p>
    <w:p w14:paraId="06F51DD0">
      <w:pPr>
        <w:spacing w:beforeLines="0" w:afterLines="0" w:line="360" w:lineRule="auto"/>
        <w:jc w:val="center"/>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第</w:t>
      </w:r>
      <w:r>
        <w:rPr>
          <w:rFonts w:hint="default" w:ascii="Times New Roman" w:hAnsi="Times New Roman" w:cs="Times New Roman"/>
          <w:b/>
          <w:bCs/>
          <w:sz w:val="32"/>
          <w:szCs w:val="32"/>
          <w:highlight w:val="none"/>
          <w:lang w:eastAsia="zh-CN"/>
        </w:rPr>
        <w:t>三</w:t>
      </w:r>
      <w:r>
        <w:rPr>
          <w:rFonts w:hint="default" w:ascii="Times New Roman" w:hAnsi="Times New Roman" w:cs="Times New Roman"/>
          <w:b/>
          <w:bCs/>
          <w:sz w:val="32"/>
          <w:szCs w:val="32"/>
          <w:highlight w:val="none"/>
        </w:rPr>
        <w:t>章 采购需求</w:t>
      </w:r>
    </w:p>
    <w:p w14:paraId="2178261A">
      <w:pPr>
        <w:pStyle w:val="33"/>
        <w:rPr>
          <w:rFonts w:hint="default"/>
        </w:rPr>
      </w:pPr>
    </w:p>
    <w:p w14:paraId="74389CC6">
      <w:pPr>
        <w:widowControl w:val="0"/>
        <w:numPr>
          <w:ilvl w:val="0"/>
          <w:numId w:val="2"/>
        </w:numPr>
        <w:spacing w:line="360" w:lineRule="auto"/>
        <w:ind w:left="0" w:firstLine="474" w:firstLineChars="200"/>
        <w:jc w:val="both"/>
        <w:rPr>
          <w:rFonts w:hint="eastAsia" w:ascii="宋体" w:hAnsi="宋体" w:eastAsia="宋体" w:cs="宋体"/>
          <w:b/>
          <w:bCs w:val="0"/>
          <w:sz w:val="24"/>
          <w:szCs w:val="24"/>
        </w:rPr>
      </w:pPr>
      <w:r>
        <w:rPr>
          <w:rFonts w:hint="eastAsia" w:ascii="宋体" w:hAnsi="宋体" w:eastAsia="宋体" w:cs="宋体"/>
          <w:b/>
          <w:bCs w:val="0"/>
          <w:spacing w:val="-2"/>
          <w:sz w:val="24"/>
          <w:szCs w:val="24"/>
        </w:rPr>
        <w:t>为防止厂商虚假应标，到货后甲方进行现场测试，如发现与投标参数不符，则按照虚假应标处理，废除中标方中标资格，并将相关事宜报财政局采购管理办公室。</w:t>
      </w:r>
    </w:p>
    <w:p w14:paraId="3AE34E04">
      <w:pPr>
        <w:widowControl w:val="0"/>
        <w:numPr>
          <w:ilvl w:val="0"/>
          <w:numId w:val="3"/>
        </w:numPr>
        <w:spacing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项目概述</w:t>
      </w:r>
    </w:p>
    <w:p w14:paraId="3D34D37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1、区域概况</w:t>
      </w:r>
    </w:p>
    <w:p w14:paraId="2EA2025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尉犁县总面积5.97万平方公里，辖5乡3镇2个管委会，39个行政村、11个社区，有驻县团场及州直驻县单位5个，现有汉、维、回、蒙等33个民族，全县户籍人口11.72万人（含兵团）。</w:t>
      </w:r>
    </w:p>
    <w:p w14:paraId="184038E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区位：尉犁县位于新疆中部，巴音郭楞蒙古自治州腹地，乌尉高速、218国道、库格铁路、尉且沙漠公路穿境而过，距库尔勒20公里、库尔勒机场15公里，共享库尉铁半小时经济圈，是库尔勒建设“一带一路”重要节点城市的承载区和接纳区。东有南北两条出疆通道，西可通往中亚和中巴经济走廊，具有承南启北、连通东西的天然区位优势，是新疆重要交通枢纽</w:t>
      </w:r>
    </w:p>
    <w:p w14:paraId="72D35DA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2、项目范围</w:t>
      </w:r>
    </w:p>
    <w:p w14:paraId="31BC3C1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尉犁县域。</w:t>
      </w:r>
    </w:p>
    <w:p w14:paraId="1D5AEEC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城区：尉犁县城区北到乌若高速尉犁收费站，南到友谊路，西到西环北路，东到乌若高速收费站西侧路，包含28条路，70个路口。</w:t>
      </w:r>
    </w:p>
    <w:p w14:paraId="4487957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高速公路：1条，里程约199.3公里；</w:t>
      </w:r>
    </w:p>
    <w:p w14:paraId="207D1CF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沙漠公路：1条，里程约131公里；</w:t>
      </w:r>
    </w:p>
    <w:p w14:paraId="7ACE094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国道：1条，里程约60公里；</w:t>
      </w:r>
    </w:p>
    <w:p w14:paraId="4D479E5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县道：主要7条，总里程约1341公里。</w:t>
      </w:r>
    </w:p>
    <w:p w14:paraId="4F91976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二、技术要求</w:t>
      </w:r>
    </w:p>
    <w:p w14:paraId="43A75A4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1、机动车不礼让行人抓拍</w:t>
      </w:r>
    </w:p>
    <w:p w14:paraId="53A315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在城区范围3处路段非灯控过街的位置建设5套球机及利旧现有摄像机。</w:t>
      </w:r>
    </w:p>
    <w:p w14:paraId="327E69D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通过后台机动车违法识别一体机，分析不按规定礼让行人的违法行为车辆，实现对机动车人行横道前不避让行人违法行为的治理，规范驾驶员驾驶行为，提升行人过街的安全性。具体功能及数量以清单参数要求为准。</w:t>
      </w:r>
    </w:p>
    <w:p w14:paraId="22D635F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8602" w:type="dxa"/>
        <w:tblInd w:w="0" w:type="dxa"/>
        <w:tblLayout w:type="autofit"/>
        <w:tblCellMar>
          <w:top w:w="0" w:type="dxa"/>
          <w:left w:w="108" w:type="dxa"/>
          <w:bottom w:w="0" w:type="dxa"/>
          <w:right w:w="108" w:type="dxa"/>
        </w:tblCellMar>
      </w:tblPr>
      <w:tblGrid>
        <w:gridCol w:w="996"/>
        <w:gridCol w:w="3332"/>
        <w:gridCol w:w="2924"/>
        <w:gridCol w:w="1350"/>
      </w:tblGrid>
      <w:tr w14:paraId="2F0E2DBB">
        <w:tblPrEx>
          <w:tblCellMar>
            <w:top w:w="0" w:type="dxa"/>
            <w:left w:w="108" w:type="dxa"/>
            <w:bottom w:w="0" w:type="dxa"/>
            <w:right w:w="108" w:type="dxa"/>
          </w:tblCellMar>
        </w:tblPrEx>
        <w:trPr>
          <w:trHeight w:val="620" w:hRule="atLeast"/>
        </w:trPr>
        <w:tc>
          <w:tcPr>
            <w:tcW w:w="99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10E7C6C">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33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C7F9A7">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292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C13AE7">
            <w:pPr>
              <w:jc w:val="center"/>
              <w:rPr>
                <w:rFonts w:hint="eastAsia" w:ascii="宋体" w:hAnsi="宋体" w:eastAsia="宋体" w:cs="宋体"/>
                <w:bCs/>
                <w:sz w:val="24"/>
                <w:szCs w:val="24"/>
              </w:rPr>
            </w:pPr>
            <w:r>
              <w:rPr>
                <w:rFonts w:hint="eastAsia" w:ascii="宋体" w:hAnsi="宋体" w:eastAsia="宋体" w:cs="宋体"/>
                <w:bCs/>
                <w:sz w:val="24"/>
                <w:szCs w:val="24"/>
              </w:rPr>
              <w:t>建设</w:t>
            </w:r>
          </w:p>
        </w:tc>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171F07">
            <w:pPr>
              <w:jc w:val="center"/>
              <w:rPr>
                <w:rFonts w:hint="eastAsia" w:ascii="宋体" w:hAnsi="宋体" w:eastAsia="宋体" w:cs="宋体"/>
                <w:bCs/>
                <w:sz w:val="24"/>
                <w:szCs w:val="24"/>
              </w:rPr>
            </w:pPr>
            <w:r>
              <w:rPr>
                <w:rFonts w:hint="eastAsia" w:ascii="宋体" w:hAnsi="宋体" w:eastAsia="宋体" w:cs="宋体"/>
                <w:bCs/>
                <w:sz w:val="24"/>
                <w:szCs w:val="24"/>
              </w:rPr>
              <w:t>抓拍球机</w:t>
            </w:r>
          </w:p>
        </w:tc>
      </w:tr>
      <w:tr w14:paraId="37DCFA6B">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FD1EC6">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627B">
            <w:pPr>
              <w:jc w:val="center"/>
              <w:rPr>
                <w:rFonts w:hint="eastAsia" w:ascii="宋体" w:hAnsi="宋体" w:eastAsia="宋体" w:cs="宋体"/>
                <w:bCs/>
                <w:sz w:val="24"/>
                <w:szCs w:val="24"/>
              </w:rPr>
            </w:pPr>
            <w:r>
              <w:rPr>
                <w:rFonts w:hint="eastAsia" w:ascii="宋体" w:hAnsi="宋体" w:eastAsia="宋体" w:cs="宋体"/>
                <w:bCs/>
                <w:sz w:val="24"/>
                <w:szCs w:val="24"/>
              </w:rPr>
              <w:t>建设路-党校前</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C646">
            <w:pPr>
              <w:jc w:val="center"/>
              <w:rPr>
                <w:rFonts w:hint="eastAsia" w:ascii="宋体" w:hAnsi="宋体" w:eastAsia="宋体" w:cs="宋体"/>
                <w:bCs/>
                <w:sz w:val="24"/>
                <w:szCs w:val="24"/>
              </w:rPr>
            </w:pPr>
            <w:r>
              <w:rPr>
                <w:rFonts w:hint="eastAsia" w:ascii="宋体" w:hAnsi="宋体" w:eastAsia="宋体" w:cs="宋体"/>
                <w:bCs/>
                <w:sz w:val="24"/>
                <w:szCs w:val="24"/>
              </w:rPr>
              <w:t>抓拍球机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B412">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F3BA1D3">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7FB995">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5362">
            <w:pPr>
              <w:jc w:val="center"/>
              <w:rPr>
                <w:rFonts w:hint="eastAsia" w:ascii="宋体" w:hAnsi="宋体" w:eastAsia="宋体" w:cs="宋体"/>
                <w:bCs/>
                <w:sz w:val="24"/>
                <w:szCs w:val="24"/>
              </w:rPr>
            </w:pPr>
            <w:r>
              <w:rPr>
                <w:rFonts w:hint="eastAsia" w:ascii="宋体" w:hAnsi="宋体" w:eastAsia="宋体" w:cs="宋体"/>
                <w:bCs/>
                <w:sz w:val="24"/>
                <w:szCs w:val="24"/>
              </w:rPr>
              <w:t>孔雀路-尉犁客运站</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B0AA">
            <w:pPr>
              <w:jc w:val="center"/>
              <w:rPr>
                <w:rFonts w:hint="eastAsia" w:ascii="宋体" w:hAnsi="宋体" w:eastAsia="宋体" w:cs="宋体"/>
                <w:bCs/>
                <w:sz w:val="24"/>
                <w:szCs w:val="24"/>
              </w:rPr>
            </w:pPr>
            <w:r>
              <w:rPr>
                <w:rFonts w:hint="eastAsia" w:ascii="宋体" w:hAnsi="宋体" w:eastAsia="宋体" w:cs="宋体"/>
                <w:bCs/>
                <w:sz w:val="24"/>
                <w:szCs w:val="24"/>
              </w:rPr>
              <w:t>抓拍球机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C65D">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24AF0CE9">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BBCC6D">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7B51">
            <w:pPr>
              <w:jc w:val="center"/>
              <w:rPr>
                <w:rFonts w:hint="eastAsia" w:ascii="宋体" w:hAnsi="宋体" w:eastAsia="宋体" w:cs="宋体"/>
                <w:bCs/>
                <w:sz w:val="24"/>
                <w:szCs w:val="24"/>
              </w:rPr>
            </w:pPr>
            <w:r>
              <w:rPr>
                <w:rFonts w:hint="eastAsia" w:ascii="宋体" w:hAnsi="宋体" w:eastAsia="宋体" w:cs="宋体"/>
                <w:bCs/>
                <w:sz w:val="24"/>
                <w:szCs w:val="24"/>
              </w:rPr>
              <w:t>孔雀路-县人民政府</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A6B8">
            <w:pPr>
              <w:jc w:val="center"/>
              <w:rPr>
                <w:rFonts w:hint="eastAsia" w:ascii="宋体" w:hAnsi="宋体" w:eastAsia="宋体" w:cs="宋体"/>
                <w:bCs/>
                <w:sz w:val="24"/>
                <w:szCs w:val="24"/>
              </w:rPr>
            </w:pPr>
            <w:r>
              <w:rPr>
                <w:rFonts w:hint="eastAsia" w:ascii="宋体" w:hAnsi="宋体" w:eastAsia="宋体" w:cs="宋体"/>
                <w:bCs/>
                <w:sz w:val="24"/>
                <w:szCs w:val="24"/>
              </w:rPr>
              <w:t>抓拍球机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89ED">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7AD6B6B2">
        <w:tblPrEx>
          <w:tblCellMar>
            <w:top w:w="0" w:type="dxa"/>
            <w:left w:w="108" w:type="dxa"/>
            <w:bottom w:w="0" w:type="dxa"/>
            <w:right w:w="108" w:type="dxa"/>
          </w:tblCellMar>
        </w:tblPrEx>
        <w:trPr>
          <w:trHeight w:val="351" w:hRule="atLeast"/>
        </w:trPr>
        <w:tc>
          <w:tcPr>
            <w:tcW w:w="7252" w:type="dxa"/>
            <w:gridSpan w:val="3"/>
            <w:tcBorders>
              <w:top w:val="single" w:color="000000" w:sz="4" w:space="0"/>
              <w:left w:val="single" w:color="000000" w:sz="8" w:space="0"/>
              <w:bottom w:val="single" w:color="000000" w:sz="8" w:space="0"/>
              <w:right w:val="single" w:color="000000" w:sz="4" w:space="0"/>
            </w:tcBorders>
            <w:shd w:val="clear" w:color="auto" w:fill="auto"/>
            <w:noWrap/>
            <w:vAlign w:val="center"/>
          </w:tcPr>
          <w:p w14:paraId="6A8F08E1">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13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3A70E27">
            <w:pPr>
              <w:jc w:val="center"/>
              <w:rPr>
                <w:rFonts w:hint="eastAsia" w:ascii="宋体" w:hAnsi="宋体" w:eastAsia="宋体" w:cs="宋体"/>
                <w:bCs/>
                <w:sz w:val="24"/>
                <w:szCs w:val="24"/>
              </w:rPr>
            </w:pPr>
            <w:r>
              <w:rPr>
                <w:rFonts w:hint="eastAsia" w:ascii="宋体" w:hAnsi="宋体" w:eastAsia="宋体" w:cs="宋体"/>
                <w:bCs/>
                <w:sz w:val="24"/>
                <w:szCs w:val="24"/>
              </w:rPr>
              <w:t>5</w:t>
            </w:r>
          </w:p>
        </w:tc>
      </w:tr>
    </w:tbl>
    <w:p w14:paraId="23D525DA">
      <w:pPr>
        <w:spacing w:line="360" w:lineRule="auto"/>
        <w:ind w:firstLine="480" w:firstLineChars="200"/>
        <w:rPr>
          <w:rFonts w:hint="eastAsia" w:ascii="宋体" w:hAnsi="宋体" w:eastAsia="宋体" w:cs="宋体"/>
          <w:bCs/>
          <w:sz w:val="24"/>
          <w:szCs w:val="24"/>
        </w:rPr>
      </w:pPr>
    </w:p>
    <w:p w14:paraId="490D7FA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2、县道隐患点位监控补点</w:t>
      </w:r>
    </w:p>
    <w:p w14:paraId="36AFFA2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在15个平交（十字）路口的县道补建40套400万枪机；在2个铁塔安装高点球机2套；在各县道14个重点交叉路口补充24套900万卡口相机；在各县道6处平交路口、小弯道路段补充12套900万卡口相机；</w:t>
      </w:r>
    </w:p>
    <w:p w14:paraId="181BC2B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实现作用：提升视频监控覆盖率，自动记录通过路口的所有车辆信息，提升道路通行安全、打击肇事逃逸、减少安全隐患。具体功能及数量以清单参数要求为准。</w:t>
      </w:r>
    </w:p>
    <w:p w14:paraId="2EA7FB8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0" w:type="auto"/>
        <w:tblInd w:w="0" w:type="dxa"/>
        <w:tblLayout w:type="autofit"/>
        <w:tblCellMar>
          <w:top w:w="0" w:type="dxa"/>
          <w:left w:w="108" w:type="dxa"/>
          <w:bottom w:w="0" w:type="dxa"/>
          <w:right w:w="108" w:type="dxa"/>
        </w:tblCellMar>
      </w:tblPr>
      <w:tblGrid>
        <w:gridCol w:w="699"/>
        <w:gridCol w:w="903"/>
        <w:gridCol w:w="990"/>
        <w:gridCol w:w="996"/>
        <w:gridCol w:w="873"/>
        <w:gridCol w:w="1025"/>
        <w:gridCol w:w="1129"/>
        <w:gridCol w:w="3182"/>
      </w:tblGrid>
      <w:tr w14:paraId="1F97E6E2">
        <w:tblPrEx>
          <w:tblCellMar>
            <w:top w:w="0" w:type="dxa"/>
            <w:left w:w="108" w:type="dxa"/>
            <w:bottom w:w="0" w:type="dxa"/>
            <w:right w:w="108" w:type="dxa"/>
          </w:tblCellMar>
        </w:tblPrEx>
        <w:trPr>
          <w:trHeight w:val="120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6CC">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F14">
            <w:pPr>
              <w:jc w:val="center"/>
              <w:rPr>
                <w:rFonts w:hint="eastAsia" w:ascii="宋体" w:hAnsi="宋体" w:eastAsia="宋体" w:cs="宋体"/>
                <w:bCs/>
                <w:sz w:val="24"/>
                <w:szCs w:val="24"/>
              </w:rPr>
            </w:pPr>
            <w:r>
              <w:rPr>
                <w:rFonts w:hint="eastAsia" w:ascii="宋体" w:hAnsi="宋体" w:eastAsia="宋体" w:cs="宋体"/>
                <w:bCs/>
                <w:sz w:val="24"/>
                <w:szCs w:val="24"/>
              </w:rPr>
              <w:t>道路</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C7C">
            <w:pPr>
              <w:jc w:val="center"/>
              <w:rPr>
                <w:rFonts w:hint="eastAsia" w:ascii="宋体" w:hAnsi="宋体" w:eastAsia="宋体" w:cs="宋体"/>
                <w:bCs/>
                <w:sz w:val="24"/>
                <w:szCs w:val="24"/>
              </w:rPr>
            </w:pPr>
            <w:r>
              <w:rPr>
                <w:rFonts w:hint="eastAsia" w:ascii="宋体" w:hAnsi="宋体" w:eastAsia="宋体" w:cs="宋体"/>
                <w:bCs/>
                <w:sz w:val="24"/>
                <w:szCs w:val="24"/>
              </w:rPr>
              <w:t>400万微卡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8D5">
            <w:pPr>
              <w:jc w:val="center"/>
              <w:rPr>
                <w:rFonts w:hint="eastAsia" w:ascii="宋体" w:hAnsi="宋体" w:eastAsia="宋体" w:cs="宋体"/>
                <w:bCs/>
                <w:sz w:val="24"/>
                <w:szCs w:val="24"/>
              </w:rPr>
            </w:pPr>
            <w:r>
              <w:rPr>
                <w:rFonts w:hint="eastAsia" w:ascii="宋体" w:hAnsi="宋体" w:eastAsia="宋体" w:cs="宋体"/>
                <w:bCs/>
                <w:sz w:val="24"/>
                <w:szCs w:val="24"/>
              </w:rPr>
              <w:t>高点球机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CE87">
            <w:pPr>
              <w:jc w:val="center"/>
              <w:rPr>
                <w:rFonts w:hint="eastAsia" w:ascii="宋体" w:hAnsi="宋体" w:eastAsia="宋体" w:cs="宋体"/>
                <w:bCs/>
                <w:sz w:val="24"/>
                <w:szCs w:val="24"/>
              </w:rPr>
            </w:pPr>
            <w:r>
              <w:rPr>
                <w:rFonts w:hint="eastAsia" w:ascii="宋体" w:hAnsi="宋体" w:eastAsia="宋体" w:cs="宋体"/>
                <w:bCs/>
                <w:sz w:val="24"/>
                <w:szCs w:val="24"/>
              </w:rPr>
              <w:t>900万卡口</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ECAF">
            <w:pPr>
              <w:jc w:val="center"/>
              <w:rPr>
                <w:rFonts w:hint="eastAsia" w:ascii="宋体" w:hAnsi="宋体" w:eastAsia="宋体" w:cs="宋体"/>
                <w:bCs/>
                <w:sz w:val="24"/>
                <w:szCs w:val="24"/>
              </w:rPr>
            </w:pPr>
            <w:r>
              <w:rPr>
                <w:rFonts w:hint="eastAsia" w:ascii="宋体" w:hAnsi="宋体" w:eastAsia="宋体" w:cs="宋体"/>
                <w:bCs/>
                <w:sz w:val="24"/>
                <w:szCs w:val="24"/>
              </w:rPr>
              <w:t>小弯道路段-900万卡口</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AEAC">
            <w:pPr>
              <w:jc w:val="center"/>
              <w:rPr>
                <w:rFonts w:hint="eastAsia" w:ascii="宋体" w:hAnsi="宋体" w:eastAsia="宋体" w:cs="宋体"/>
                <w:bCs/>
                <w:sz w:val="24"/>
                <w:szCs w:val="24"/>
              </w:rPr>
            </w:pPr>
            <w:r>
              <w:rPr>
                <w:rFonts w:hint="eastAsia" w:ascii="宋体" w:hAnsi="宋体" w:eastAsia="宋体" w:cs="宋体"/>
                <w:bCs/>
                <w:sz w:val="24"/>
                <w:szCs w:val="24"/>
              </w:rPr>
              <w:t>平交路口-900万卡口</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FB2">
            <w:pPr>
              <w:jc w:val="center"/>
              <w:rPr>
                <w:rFonts w:hint="eastAsia" w:ascii="宋体" w:hAnsi="宋体" w:eastAsia="宋体" w:cs="宋体"/>
                <w:bCs/>
                <w:sz w:val="24"/>
                <w:szCs w:val="24"/>
              </w:rPr>
            </w:pPr>
            <w:r>
              <w:rPr>
                <w:rFonts w:hint="eastAsia" w:ascii="宋体" w:hAnsi="宋体" w:eastAsia="宋体" w:cs="宋体"/>
                <w:bCs/>
                <w:sz w:val="24"/>
                <w:szCs w:val="24"/>
              </w:rPr>
              <w:t>建设点位</w:t>
            </w:r>
          </w:p>
        </w:tc>
      </w:tr>
      <w:tr w14:paraId="11943F02">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3010">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A5FC">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9C06">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662D">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9793">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CA53">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CFE1">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2FF">
            <w:pPr>
              <w:jc w:val="center"/>
              <w:rPr>
                <w:rFonts w:hint="eastAsia" w:ascii="宋体" w:hAnsi="宋体" w:eastAsia="宋体" w:cs="宋体"/>
                <w:bCs/>
                <w:sz w:val="24"/>
                <w:szCs w:val="24"/>
              </w:rPr>
            </w:pPr>
            <w:r>
              <w:rPr>
                <w:rFonts w:hint="eastAsia" w:ascii="宋体" w:hAnsi="宋体" w:eastAsia="宋体" w:cs="宋体"/>
                <w:bCs/>
                <w:sz w:val="24"/>
                <w:szCs w:val="24"/>
              </w:rPr>
              <w:t>墩阔坦乡塔提里克村路口安装900万高清卡口（3处）</w:t>
            </w:r>
          </w:p>
        </w:tc>
      </w:tr>
      <w:tr w14:paraId="0F0B424F">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8A1">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2E94">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A16F">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E59C">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53AF">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3B6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2480">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CAD">
            <w:pPr>
              <w:jc w:val="center"/>
              <w:rPr>
                <w:rFonts w:hint="eastAsia" w:ascii="宋体" w:hAnsi="宋体" w:eastAsia="宋体" w:cs="宋体"/>
                <w:bCs/>
                <w:sz w:val="24"/>
                <w:szCs w:val="24"/>
              </w:rPr>
            </w:pPr>
            <w:r>
              <w:rPr>
                <w:rFonts w:hint="eastAsia" w:ascii="宋体" w:hAnsi="宋体" w:eastAsia="宋体" w:cs="宋体"/>
                <w:bCs/>
                <w:sz w:val="24"/>
                <w:szCs w:val="24"/>
              </w:rPr>
              <w:t>喀尔曲尕十字路口安装900万高清卡口（3处），南向有卡口</w:t>
            </w:r>
          </w:p>
        </w:tc>
      </w:tr>
      <w:tr w14:paraId="7109D53C">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9509">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46EB">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9E9C">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7619">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9C77">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C9D">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6365">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3CB">
            <w:pPr>
              <w:jc w:val="center"/>
              <w:rPr>
                <w:rFonts w:hint="eastAsia" w:ascii="宋体" w:hAnsi="宋体" w:eastAsia="宋体" w:cs="宋体"/>
                <w:bCs/>
                <w:sz w:val="24"/>
                <w:szCs w:val="24"/>
              </w:rPr>
            </w:pPr>
            <w:r>
              <w:rPr>
                <w:rFonts w:hint="eastAsia" w:ascii="宋体" w:hAnsi="宋体" w:eastAsia="宋体" w:cs="宋体"/>
                <w:bCs/>
                <w:sz w:val="24"/>
                <w:szCs w:val="24"/>
              </w:rPr>
              <w:t>喀尔曲尕十字路口安装900万高清卡口（3处），南向有卡口</w:t>
            </w:r>
          </w:p>
        </w:tc>
      </w:tr>
      <w:tr w14:paraId="679A5924">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4D9E">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2C1">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0D1C">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D173">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004A">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D1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6E65">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245">
            <w:pPr>
              <w:jc w:val="center"/>
              <w:rPr>
                <w:rFonts w:hint="eastAsia" w:ascii="宋体" w:hAnsi="宋体" w:eastAsia="宋体" w:cs="宋体"/>
                <w:bCs/>
                <w:sz w:val="24"/>
                <w:szCs w:val="24"/>
              </w:rPr>
            </w:pPr>
            <w:r>
              <w:rPr>
                <w:rFonts w:hint="eastAsia" w:ascii="宋体" w:hAnsi="宋体" w:eastAsia="宋体" w:cs="宋体"/>
                <w:bCs/>
                <w:sz w:val="24"/>
                <w:szCs w:val="24"/>
              </w:rPr>
              <w:t>喀尔曲尕十字路口安装900万高清卡口（3处），南向有卡口</w:t>
            </w:r>
          </w:p>
        </w:tc>
      </w:tr>
      <w:tr w14:paraId="12A941A8">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9F62">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3C41">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78A7">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A637">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5616">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561E">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ABB8">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7E20">
            <w:pPr>
              <w:jc w:val="center"/>
              <w:rPr>
                <w:rFonts w:hint="eastAsia" w:ascii="宋体" w:hAnsi="宋体" w:eastAsia="宋体" w:cs="宋体"/>
                <w:bCs/>
                <w:sz w:val="24"/>
                <w:szCs w:val="24"/>
              </w:rPr>
            </w:pPr>
            <w:r>
              <w:rPr>
                <w:rFonts w:hint="eastAsia" w:ascii="宋体" w:hAnsi="宋体" w:eastAsia="宋体" w:cs="宋体"/>
                <w:bCs/>
                <w:sz w:val="24"/>
                <w:szCs w:val="24"/>
              </w:rPr>
              <w:t>墩阔坦字路口安装900万高清卡口（3处）,东向有卡口</w:t>
            </w:r>
          </w:p>
        </w:tc>
      </w:tr>
      <w:tr w14:paraId="07CC0DF6">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8E12">
            <w:pPr>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07B0">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AAFD">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6377">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D396">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139B">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13A7">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A82F">
            <w:pPr>
              <w:jc w:val="center"/>
              <w:rPr>
                <w:rFonts w:hint="eastAsia" w:ascii="宋体" w:hAnsi="宋体" w:eastAsia="宋体" w:cs="宋体"/>
                <w:bCs/>
                <w:sz w:val="24"/>
                <w:szCs w:val="24"/>
              </w:rPr>
            </w:pPr>
            <w:r>
              <w:rPr>
                <w:rFonts w:hint="eastAsia" w:ascii="宋体" w:hAnsi="宋体" w:eastAsia="宋体" w:cs="宋体"/>
                <w:bCs/>
                <w:sz w:val="24"/>
                <w:szCs w:val="24"/>
              </w:rPr>
              <w:t>墩阔坦字路口安装900万高清卡口（3处）,东向有卡口</w:t>
            </w:r>
          </w:p>
        </w:tc>
      </w:tr>
      <w:tr w14:paraId="540167F6">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45A6">
            <w:pPr>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BC62">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D597">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E176">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362">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4F4A">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9590">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88B4">
            <w:pPr>
              <w:jc w:val="center"/>
              <w:rPr>
                <w:rFonts w:hint="eastAsia" w:ascii="宋体" w:hAnsi="宋体" w:eastAsia="宋体" w:cs="宋体"/>
                <w:bCs/>
                <w:sz w:val="24"/>
                <w:szCs w:val="24"/>
              </w:rPr>
            </w:pPr>
            <w:r>
              <w:rPr>
                <w:rFonts w:hint="eastAsia" w:ascii="宋体" w:hAnsi="宋体" w:eastAsia="宋体" w:cs="宋体"/>
                <w:bCs/>
                <w:sz w:val="24"/>
                <w:szCs w:val="24"/>
              </w:rPr>
              <w:t>墩阔坦字路口安装900万高清卡口（3处）,东向有卡口</w:t>
            </w:r>
          </w:p>
        </w:tc>
      </w:tr>
      <w:tr w14:paraId="2840204E">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2AE6">
            <w:pPr>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DED">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84CE">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A628">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25C6">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DD38">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8157">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1D5">
            <w:pPr>
              <w:jc w:val="center"/>
              <w:rPr>
                <w:rFonts w:hint="eastAsia" w:ascii="宋体" w:hAnsi="宋体" w:eastAsia="宋体" w:cs="宋体"/>
                <w:bCs/>
                <w:sz w:val="24"/>
                <w:szCs w:val="24"/>
              </w:rPr>
            </w:pPr>
            <w:r>
              <w:rPr>
                <w:rFonts w:hint="eastAsia" w:ascii="宋体" w:hAnsi="宋体" w:eastAsia="宋体" w:cs="宋体"/>
                <w:bCs/>
                <w:sz w:val="24"/>
                <w:szCs w:val="24"/>
              </w:rPr>
              <w:t>塔里木多学校附近安装900万高清卡口（2处）</w:t>
            </w:r>
          </w:p>
        </w:tc>
      </w:tr>
      <w:tr w14:paraId="0E510D4A">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7B4">
            <w:pPr>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F649">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3CD0">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DFCA">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542">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6CC1">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F19F">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1B81">
            <w:pPr>
              <w:jc w:val="center"/>
              <w:rPr>
                <w:rFonts w:hint="eastAsia" w:ascii="宋体" w:hAnsi="宋体" w:eastAsia="宋体" w:cs="宋体"/>
                <w:bCs/>
                <w:sz w:val="24"/>
                <w:szCs w:val="24"/>
              </w:rPr>
            </w:pPr>
            <w:r>
              <w:rPr>
                <w:rFonts w:hint="eastAsia" w:ascii="宋体" w:hAnsi="宋体" w:eastAsia="宋体" w:cs="宋体"/>
                <w:bCs/>
                <w:sz w:val="24"/>
                <w:szCs w:val="24"/>
              </w:rPr>
              <w:t>塔里木多学校附近安装900万高清卡口（2处）</w:t>
            </w:r>
          </w:p>
        </w:tc>
      </w:tr>
      <w:tr w14:paraId="269F3874">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9929">
            <w:pPr>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AC76">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FA4B">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D767">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130">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2EF4">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092E">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E894">
            <w:pPr>
              <w:jc w:val="center"/>
              <w:rPr>
                <w:rFonts w:hint="eastAsia" w:ascii="宋体" w:hAnsi="宋体" w:eastAsia="宋体" w:cs="宋体"/>
                <w:bCs/>
                <w:sz w:val="24"/>
                <w:szCs w:val="24"/>
              </w:rPr>
            </w:pPr>
            <w:r>
              <w:rPr>
                <w:rFonts w:hint="eastAsia" w:ascii="宋体" w:hAnsi="宋体" w:eastAsia="宋体" w:cs="宋体"/>
                <w:bCs/>
                <w:sz w:val="24"/>
                <w:szCs w:val="24"/>
              </w:rPr>
              <w:t>37公里安装卡口</w:t>
            </w:r>
          </w:p>
        </w:tc>
      </w:tr>
      <w:tr w14:paraId="7BC76C74">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86F1">
            <w:pPr>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AC5C">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12F8">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B43A">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969">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CEA8">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D0E2">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3D61">
            <w:pPr>
              <w:jc w:val="center"/>
              <w:rPr>
                <w:rFonts w:hint="eastAsia" w:ascii="宋体" w:hAnsi="宋体" w:eastAsia="宋体" w:cs="宋体"/>
                <w:bCs/>
                <w:sz w:val="24"/>
                <w:szCs w:val="24"/>
              </w:rPr>
            </w:pPr>
            <w:r>
              <w:rPr>
                <w:rFonts w:hint="eastAsia" w:ascii="宋体" w:hAnsi="宋体" w:eastAsia="宋体" w:cs="宋体"/>
                <w:bCs/>
                <w:sz w:val="24"/>
                <w:szCs w:val="24"/>
              </w:rPr>
              <w:t>48公里安装卡口</w:t>
            </w:r>
          </w:p>
        </w:tc>
      </w:tr>
      <w:tr w14:paraId="7388F3B5">
        <w:tblPrEx>
          <w:tblCellMar>
            <w:top w:w="0" w:type="dxa"/>
            <w:left w:w="108" w:type="dxa"/>
            <w:bottom w:w="0" w:type="dxa"/>
            <w:right w:w="108" w:type="dxa"/>
          </w:tblCellMar>
        </w:tblPrEx>
        <w:trPr>
          <w:trHeight w:val="336"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A384">
            <w:pPr>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BEB7">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626D">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B14F">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0900">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3505">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C993">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CE31">
            <w:pPr>
              <w:jc w:val="center"/>
              <w:rPr>
                <w:rFonts w:hint="eastAsia" w:ascii="宋体" w:hAnsi="宋体" w:eastAsia="宋体" w:cs="宋体"/>
                <w:bCs/>
                <w:sz w:val="24"/>
                <w:szCs w:val="24"/>
              </w:rPr>
            </w:pPr>
            <w:r>
              <w:rPr>
                <w:rFonts w:hint="eastAsia" w:ascii="宋体" w:hAnsi="宋体" w:eastAsia="宋体" w:cs="宋体"/>
                <w:bCs/>
                <w:sz w:val="24"/>
                <w:szCs w:val="24"/>
              </w:rPr>
              <w:t>信号塔上安装</w:t>
            </w:r>
          </w:p>
        </w:tc>
      </w:tr>
      <w:tr w14:paraId="4539F94B">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52A6">
            <w:pPr>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99BA">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2BDE">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BF6F">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F2B9">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5E2E">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BC51">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2C57">
            <w:pPr>
              <w:jc w:val="center"/>
              <w:rPr>
                <w:rFonts w:hint="eastAsia" w:ascii="宋体" w:hAnsi="宋体" w:eastAsia="宋体" w:cs="宋体"/>
                <w:bCs/>
                <w:sz w:val="24"/>
                <w:szCs w:val="24"/>
              </w:rPr>
            </w:pPr>
            <w:r>
              <w:rPr>
                <w:rFonts w:hint="eastAsia" w:ascii="宋体" w:hAnsi="宋体" w:eastAsia="宋体" w:cs="宋体"/>
                <w:bCs/>
                <w:sz w:val="24"/>
                <w:szCs w:val="24"/>
              </w:rPr>
              <w:t>30公里+200米</w:t>
            </w:r>
          </w:p>
        </w:tc>
      </w:tr>
      <w:tr w14:paraId="050EF244">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9D78">
            <w:pPr>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DBA8">
            <w:pPr>
              <w:jc w:val="center"/>
              <w:rPr>
                <w:rFonts w:hint="eastAsia" w:ascii="宋体" w:hAnsi="宋体" w:eastAsia="宋体" w:cs="宋体"/>
                <w:bCs/>
                <w:sz w:val="24"/>
                <w:szCs w:val="24"/>
              </w:rPr>
            </w:pPr>
            <w:r>
              <w:rPr>
                <w:rFonts w:hint="eastAsia" w:ascii="宋体" w:hAnsi="宋体" w:eastAsia="宋体" w:cs="宋体"/>
                <w:bCs/>
                <w:sz w:val="24"/>
                <w:szCs w:val="24"/>
              </w:rPr>
              <w:t>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BEC8">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D726">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9423">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D98F">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0A6F">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02BE">
            <w:pPr>
              <w:jc w:val="center"/>
              <w:rPr>
                <w:rFonts w:hint="eastAsia" w:ascii="宋体" w:hAnsi="宋体" w:eastAsia="宋体" w:cs="宋体"/>
                <w:bCs/>
                <w:sz w:val="24"/>
                <w:szCs w:val="24"/>
              </w:rPr>
            </w:pPr>
            <w:r>
              <w:rPr>
                <w:rFonts w:hint="eastAsia" w:ascii="宋体" w:hAnsi="宋体" w:eastAsia="宋体" w:cs="宋体"/>
                <w:bCs/>
                <w:sz w:val="24"/>
                <w:szCs w:val="24"/>
              </w:rPr>
              <w:t>琼库勒村路口-借信号灯杆</w:t>
            </w:r>
          </w:p>
        </w:tc>
      </w:tr>
      <w:tr w14:paraId="448D5ED1">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D9DF">
            <w:pPr>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F835">
            <w:pPr>
              <w:jc w:val="center"/>
              <w:rPr>
                <w:rFonts w:hint="eastAsia" w:ascii="宋体" w:hAnsi="宋体" w:eastAsia="宋体" w:cs="宋体"/>
                <w:bCs/>
                <w:sz w:val="24"/>
                <w:szCs w:val="24"/>
              </w:rPr>
            </w:pPr>
            <w:r>
              <w:rPr>
                <w:rFonts w:hint="eastAsia" w:ascii="宋体" w:hAnsi="宋体" w:eastAsia="宋体" w:cs="宋体"/>
                <w:bCs/>
                <w:sz w:val="24"/>
                <w:szCs w:val="24"/>
              </w:rPr>
              <w:t>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EBF0">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1221">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61D2">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6300">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A2D6">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A930">
            <w:pPr>
              <w:jc w:val="center"/>
              <w:rPr>
                <w:rFonts w:hint="eastAsia" w:ascii="宋体" w:hAnsi="宋体" w:eastAsia="宋体" w:cs="宋体"/>
                <w:bCs/>
                <w:sz w:val="24"/>
                <w:szCs w:val="24"/>
              </w:rPr>
            </w:pPr>
            <w:r>
              <w:rPr>
                <w:rFonts w:hint="eastAsia" w:ascii="宋体" w:hAnsi="宋体" w:eastAsia="宋体" w:cs="宋体"/>
                <w:bCs/>
                <w:sz w:val="24"/>
                <w:szCs w:val="24"/>
              </w:rPr>
              <w:t xml:space="preserve">55公路防洪坝 </w:t>
            </w:r>
          </w:p>
        </w:tc>
      </w:tr>
      <w:tr w14:paraId="56183492">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6398">
            <w:pPr>
              <w:jc w:val="center"/>
              <w:rPr>
                <w:rFonts w:hint="eastAsia" w:ascii="宋体" w:hAnsi="宋体" w:eastAsia="宋体" w:cs="宋体"/>
                <w:bCs/>
                <w:sz w:val="24"/>
                <w:szCs w:val="24"/>
              </w:rPr>
            </w:pPr>
            <w:r>
              <w:rPr>
                <w:rFonts w:hint="eastAsia" w:ascii="宋体" w:hAnsi="宋体" w:eastAsia="宋体" w:cs="宋体"/>
                <w:bCs/>
                <w:sz w:val="24"/>
                <w:szCs w:val="24"/>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BF18">
            <w:pPr>
              <w:jc w:val="center"/>
              <w:rPr>
                <w:rFonts w:hint="eastAsia" w:ascii="宋体" w:hAnsi="宋体" w:eastAsia="宋体" w:cs="宋体"/>
                <w:bCs/>
                <w:sz w:val="24"/>
                <w:szCs w:val="24"/>
              </w:rPr>
            </w:pPr>
            <w:r>
              <w:rPr>
                <w:rFonts w:hint="eastAsia" w:ascii="宋体" w:hAnsi="宋体" w:eastAsia="宋体" w:cs="宋体"/>
                <w:bCs/>
                <w:sz w:val="24"/>
                <w:szCs w:val="24"/>
              </w:rPr>
              <w:t>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5BF">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84B0">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2589">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CB31">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E925">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222E">
            <w:pPr>
              <w:jc w:val="center"/>
              <w:rPr>
                <w:rFonts w:hint="eastAsia" w:ascii="宋体" w:hAnsi="宋体" w:eastAsia="宋体" w:cs="宋体"/>
                <w:bCs/>
                <w:sz w:val="24"/>
                <w:szCs w:val="24"/>
              </w:rPr>
            </w:pPr>
            <w:r>
              <w:rPr>
                <w:rFonts w:hint="eastAsia" w:ascii="宋体" w:hAnsi="宋体" w:eastAsia="宋体" w:cs="宋体"/>
                <w:bCs/>
                <w:sz w:val="24"/>
                <w:szCs w:val="24"/>
              </w:rPr>
              <w:t xml:space="preserve">63公路防洪坝 </w:t>
            </w:r>
          </w:p>
        </w:tc>
      </w:tr>
      <w:tr w14:paraId="2858DC66">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BA86">
            <w:pPr>
              <w:jc w:val="center"/>
              <w:rPr>
                <w:rFonts w:hint="eastAsia" w:ascii="宋体" w:hAnsi="宋体" w:eastAsia="宋体" w:cs="宋体"/>
                <w:bCs/>
                <w:sz w:val="24"/>
                <w:szCs w:val="24"/>
              </w:rPr>
            </w:pPr>
            <w:r>
              <w:rPr>
                <w:rFonts w:hint="eastAsia" w:ascii="宋体" w:hAnsi="宋体" w:eastAsia="宋体" w:cs="宋体"/>
                <w:bCs/>
                <w:sz w:val="24"/>
                <w:szCs w:val="24"/>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9FB0">
            <w:pPr>
              <w:jc w:val="center"/>
              <w:rPr>
                <w:rFonts w:hint="eastAsia" w:ascii="宋体" w:hAnsi="宋体" w:eastAsia="宋体" w:cs="宋体"/>
                <w:bCs/>
                <w:sz w:val="24"/>
                <w:szCs w:val="24"/>
              </w:rPr>
            </w:pPr>
            <w:r>
              <w:rPr>
                <w:rFonts w:hint="eastAsia" w:ascii="宋体" w:hAnsi="宋体" w:eastAsia="宋体" w:cs="宋体"/>
                <w:bCs/>
                <w:sz w:val="24"/>
                <w:szCs w:val="24"/>
              </w:rPr>
              <w:t>242</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0A45">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98AF">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6470">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137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F8DE">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5189">
            <w:pPr>
              <w:jc w:val="center"/>
              <w:rPr>
                <w:rFonts w:hint="eastAsia" w:ascii="宋体" w:hAnsi="宋体" w:eastAsia="宋体" w:cs="宋体"/>
                <w:bCs/>
                <w:sz w:val="24"/>
                <w:szCs w:val="24"/>
              </w:rPr>
            </w:pPr>
            <w:r>
              <w:rPr>
                <w:rFonts w:hint="eastAsia" w:ascii="宋体" w:hAnsi="宋体" w:eastAsia="宋体" w:cs="宋体"/>
                <w:bCs/>
                <w:sz w:val="24"/>
                <w:szCs w:val="24"/>
              </w:rPr>
              <w:t xml:space="preserve">喀尔曲尕0公路防洪坝--借杆东和西2个方向 </w:t>
            </w:r>
          </w:p>
        </w:tc>
      </w:tr>
      <w:tr w14:paraId="6EEB8E7A">
        <w:tblPrEx>
          <w:tblCellMar>
            <w:top w:w="0" w:type="dxa"/>
            <w:left w:w="108" w:type="dxa"/>
            <w:bottom w:w="0" w:type="dxa"/>
            <w:right w:w="108" w:type="dxa"/>
          </w:tblCellMar>
        </w:tblPrEx>
        <w:trPr>
          <w:trHeight w:val="80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F08B">
            <w:pPr>
              <w:jc w:val="center"/>
              <w:rPr>
                <w:rFonts w:hint="eastAsia" w:ascii="宋体" w:hAnsi="宋体" w:eastAsia="宋体" w:cs="宋体"/>
                <w:bCs/>
                <w:sz w:val="24"/>
                <w:szCs w:val="24"/>
              </w:rPr>
            </w:pPr>
            <w:r>
              <w:rPr>
                <w:rFonts w:hint="eastAsia" w:ascii="宋体" w:hAnsi="宋体" w:eastAsia="宋体" w:cs="宋体"/>
                <w:bCs/>
                <w:sz w:val="24"/>
                <w:szCs w:val="24"/>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0D3E">
            <w:pPr>
              <w:jc w:val="center"/>
              <w:rPr>
                <w:rFonts w:hint="eastAsia" w:ascii="宋体" w:hAnsi="宋体" w:eastAsia="宋体" w:cs="宋体"/>
                <w:bCs/>
                <w:sz w:val="24"/>
                <w:szCs w:val="24"/>
              </w:rPr>
            </w:pPr>
            <w:r>
              <w:rPr>
                <w:rFonts w:hint="eastAsia" w:ascii="宋体" w:hAnsi="宋体" w:eastAsia="宋体" w:cs="宋体"/>
                <w:bCs/>
                <w:sz w:val="24"/>
                <w:szCs w:val="24"/>
              </w:rPr>
              <w:t>X243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A07">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6BD3">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4C19">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621A">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656C">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23E">
            <w:pPr>
              <w:jc w:val="center"/>
              <w:rPr>
                <w:rFonts w:hint="eastAsia" w:ascii="宋体" w:hAnsi="宋体" w:eastAsia="宋体" w:cs="宋体"/>
                <w:bCs/>
                <w:sz w:val="24"/>
                <w:szCs w:val="24"/>
              </w:rPr>
            </w:pPr>
            <w:r>
              <w:rPr>
                <w:rFonts w:hint="eastAsia" w:ascii="宋体" w:hAnsi="宋体" w:eastAsia="宋体" w:cs="宋体"/>
                <w:bCs/>
                <w:sz w:val="24"/>
                <w:szCs w:val="24"/>
              </w:rPr>
              <w:t>0公里800米安装900万卡口2处</w:t>
            </w:r>
          </w:p>
        </w:tc>
      </w:tr>
      <w:tr w14:paraId="53EB8B4C">
        <w:tblPrEx>
          <w:tblCellMar>
            <w:top w:w="0" w:type="dxa"/>
            <w:left w:w="108" w:type="dxa"/>
            <w:bottom w:w="0" w:type="dxa"/>
            <w:right w:w="108" w:type="dxa"/>
          </w:tblCellMar>
        </w:tblPrEx>
        <w:trPr>
          <w:trHeight w:val="80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C2DF">
            <w:pPr>
              <w:jc w:val="center"/>
              <w:rPr>
                <w:rFonts w:hint="eastAsia" w:ascii="宋体" w:hAnsi="宋体" w:eastAsia="宋体" w:cs="宋体"/>
                <w:bCs/>
                <w:sz w:val="24"/>
                <w:szCs w:val="24"/>
              </w:rPr>
            </w:pPr>
            <w:r>
              <w:rPr>
                <w:rFonts w:hint="eastAsia" w:ascii="宋体" w:hAnsi="宋体" w:eastAsia="宋体" w:cs="宋体"/>
                <w:bCs/>
                <w:sz w:val="24"/>
                <w:szCs w:val="24"/>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DC14">
            <w:pPr>
              <w:jc w:val="center"/>
              <w:rPr>
                <w:rFonts w:hint="eastAsia" w:ascii="宋体" w:hAnsi="宋体" w:eastAsia="宋体" w:cs="宋体"/>
                <w:bCs/>
                <w:sz w:val="24"/>
                <w:szCs w:val="24"/>
              </w:rPr>
            </w:pPr>
            <w:r>
              <w:rPr>
                <w:rFonts w:hint="eastAsia" w:ascii="宋体" w:hAnsi="宋体" w:eastAsia="宋体" w:cs="宋体"/>
                <w:bCs/>
                <w:sz w:val="24"/>
                <w:szCs w:val="24"/>
              </w:rPr>
              <w:t>X243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906E">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A966">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74EF">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EE95">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AA57">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87C6">
            <w:pPr>
              <w:jc w:val="center"/>
              <w:rPr>
                <w:rFonts w:hint="eastAsia" w:ascii="宋体" w:hAnsi="宋体" w:eastAsia="宋体" w:cs="宋体"/>
                <w:bCs/>
                <w:sz w:val="24"/>
                <w:szCs w:val="24"/>
              </w:rPr>
            </w:pPr>
            <w:r>
              <w:rPr>
                <w:rFonts w:hint="eastAsia" w:ascii="宋体" w:hAnsi="宋体" w:eastAsia="宋体" w:cs="宋体"/>
                <w:bCs/>
                <w:sz w:val="24"/>
                <w:szCs w:val="24"/>
              </w:rPr>
              <w:t>0公里800米安装900万卡口2处</w:t>
            </w:r>
          </w:p>
        </w:tc>
      </w:tr>
      <w:tr w14:paraId="78EEFE70">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D0AF">
            <w:pPr>
              <w:jc w:val="center"/>
              <w:rPr>
                <w:rFonts w:hint="eastAsia" w:ascii="宋体" w:hAnsi="宋体" w:eastAsia="宋体" w:cs="宋体"/>
                <w:bCs/>
                <w:sz w:val="24"/>
                <w:szCs w:val="24"/>
              </w:rPr>
            </w:pPr>
            <w:r>
              <w:rPr>
                <w:rFonts w:hint="eastAsia" w:ascii="宋体" w:hAnsi="宋体" w:eastAsia="宋体" w:cs="宋体"/>
                <w:bCs/>
                <w:sz w:val="24"/>
                <w:szCs w:val="24"/>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7689">
            <w:pPr>
              <w:jc w:val="center"/>
              <w:rPr>
                <w:rFonts w:hint="eastAsia" w:ascii="宋体" w:hAnsi="宋体" w:eastAsia="宋体" w:cs="宋体"/>
                <w:bCs/>
                <w:sz w:val="24"/>
                <w:szCs w:val="24"/>
              </w:rPr>
            </w:pPr>
            <w:r>
              <w:rPr>
                <w:rFonts w:hint="eastAsia" w:ascii="宋体" w:hAnsi="宋体" w:eastAsia="宋体" w:cs="宋体"/>
                <w:bCs/>
                <w:sz w:val="24"/>
                <w:szCs w:val="24"/>
              </w:rPr>
              <w:t>X243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8A6">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5897">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9336">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7048">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690C">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EAF8">
            <w:pPr>
              <w:jc w:val="center"/>
              <w:rPr>
                <w:rFonts w:hint="eastAsia" w:ascii="宋体" w:hAnsi="宋体" w:eastAsia="宋体" w:cs="宋体"/>
                <w:bCs/>
                <w:sz w:val="24"/>
                <w:szCs w:val="24"/>
              </w:rPr>
            </w:pPr>
            <w:r>
              <w:rPr>
                <w:rFonts w:hint="eastAsia" w:ascii="宋体" w:hAnsi="宋体" w:eastAsia="宋体" w:cs="宋体"/>
                <w:bCs/>
                <w:sz w:val="24"/>
                <w:szCs w:val="24"/>
              </w:rPr>
              <w:t>东干渠（9公路），立1根杆借1根杆</w:t>
            </w:r>
          </w:p>
        </w:tc>
      </w:tr>
      <w:tr w14:paraId="100342EA">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006F">
            <w:pPr>
              <w:jc w:val="center"/>
              <w:rPr>
                <w:rFonts w:hint="eastAsia" w:ascii="宋体" w:hAnsi="宋体" w:eastAsia="宋体" w:cs="宋体"/>
                <w:bCs/>
                <w:sz w:val="24"/>
                <w:szCs w:val="24"/>
              </w:rPr>
            </w:pPr>
            <w:r>
              <w:rPr>
                <w:rFonts w:hint="eastAsia" w:ascii="宋体" w:hAnsi="宋体" w:eastAsia="宋体" w:cs="宋体"/>
                <w:bCs/>
                <w:sz w:val="24"/>
                <w:szCs w:val="24"/>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4B76">
            <w:pPr>
              <w:jc w:val="center"/>
              <w:rPr>
                <w:rFonts w:hint="eastAsia" w:ascii="宋体" w:hAnsi="宋体" w:eastAsia="宋体" w:cs="宋体"/>
                <w:bCs/>
                <w:sz w:val="24"/>
                <w:szCs w:val="24"/>
              </w:rPr>
            </w:pPr>
            <w:r>
              <w:rPr>
                <w:rFonts w:hint="eastAsia" w:ascii="宋体" w:hAnsi="宋体" w:eastAsia="宋体" w:cs="宋体"/>
                <w:bCs/>
                <w:sz w:val="24"/>
                <w:szCs w:val="24"/>
              </w:rPr>
              <w:t>X243</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BCFE">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2EEC">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D49F">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BD2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DEB3">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63F4">
            <w:pPr>
              <w:jc w:val="center"/>
              <w:rPr>
                <w:rFonts w:hint="eastAsia" w:ascii="宋体" w:hAnsi="宋体" w:eastAsia="宋体" w:cs="宋体"/>
                <w:bCs/>
                <w:sz w:val="24"/>
                <w:szCs w:val="24"/>
              </w:rPr>
            </w:pPr>
            <w:r>
              <w:rPr>
                <w:rFonts w:hint="eastAsia" w:ascii="宋体" w:hAnsi="宋体" w:eastAsia="宋体" w:cs="宋体"/>
                <w:bCs/>
                <w:sz w:val="24"/>
                <w:szCs w:val="24"/>
              </w:rPr>
              <w:t>东干渠（9公路），立1根杆借1根杆</w:t>
            </w:r>
          </w:p>
        </w:tc>
      </w:tr>
      <w:tr w14:paraId="0AE113C5">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21E">
            <w:pPr>
              <w:jc w:val="center"/>
              <w:rPr>
                <w:rFonts w:hint="eastAsia" w:ascii="宋体" w:hAnsi="宋体" w:eastAsia="宋体" w:cs="宋体"/>
                <w:bCs/>
                <w:sz w:val="24"/>
                <w:szCs w:val="24"/>
              </w:rPr>
            </w:pPr>
            <w:r>
              <w:rPr>
                <w:rFonts w:hint="eastAsia" w:ascii="宋体" w:hAnsi="宋体" w:eastAsia="宋体" w:cs="宋体"/>
                <w:bCs/>
                <w:sz w:val="24"/>
                <w:szCs w:val="24"/>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220F">
            <w:pPr>
              <w:jc w:val="center"/>
              <w:rPr>
                <w:rFonts w:hint="eastAsia" w:ascii="宋体" w:hAnsi="宋体" w:eastAsia="宋体" w:cs="宋体"/>
                <w:bCs/>
                <w:sz w:val="24"/>
                <w:szCs w:val="24"/>
              </w:rPr>
            </w:pPr>
            <w:r>
              <w:rPr>
                <w:rFonts w:hint="eastAsia" w:ascii="宋体" w:hAnsi="宋体" w:eastAsia="宋体" w:cs="宋体"/>
                <w:bCs/>
                <w:sz w:val="24"/>
                <w:szCs w:val="24"/>
              </w:rPr>
              <w:t>X244</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6847">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290">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60C">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3E3C">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8E0">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9D44">
            <w:pPr>
              <w:jc w:val="center"/>
              <w:rPr>
                <w:rFonts w:hint="eastAsia" w:ascii="宋体" w:hAnsi="宋体" w:eastAsia="宋体" w:cs="宋体"/>
                <w:bCs/>
                <w:sz w:val="24"/>
                <w:szCs w:val="24"/>
              </w:rPr>
            </w:pPr>
            <w:r>
              <w:rPr>
                <w:rFonts w:hint="eastAsia" w:ascii="宋体" w:hAnsi="宋体" w:eastAsia="宋体" w:cs="宋体"/>
                <w:bCs/>
                <w:sz w:val="24"/>
                <w:szCs w:val="24"/>
              </w:rPr>
              <w:t>K2公里弯道</w:t>
            </w:r>
          </w:p>
        </w:tc>
      </w:tr>
      <w:tr w14:paraId="7F6EACD7">
        <w:tblPrEx>
          <w:tblCellMar>
            <w:top w:w="0" w:type="dxa"/>
            <w:left w:w="108" w:type="dxa"/>
            <w:bottom w:w="0" w:type="dxa"/>
            <w:right w:w="108" w:type="dxa"/>
          </w:tblCellMar>
        </w:tblPrEx>
        <w:trPr>
          <w:trHeight w:val="336"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2CC7">
            <w:pPr>
              <w:jc w:val="center"/>
              <w:rPr>
                <w:rFonts w:hint="eastAsia" w:ascii="宋体" w:hAnsi="宋体" w:eastAsia="宋体" w:cs="宋体"/>
                <w:bCs/>
                <w:sz w:val="24"/>
                <w:szCs w:val="24"/>
              </w:rPr>
            </w:pPr>
            <w:r>
              <w:rPr>
                <w:rFonts w:hint="eastAsia" w:ascii="宋体" w:hAnsi="宋体" w:eastAsia="宋体" w:cs="宋体"/>
                <w:bCs/>
                <w:sz w:val="24"/>
                <w:szCs w:val="24"/>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C1AF">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25ED">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B649">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E969">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2148">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B394">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850">
            <w:pPr>
              <w:jc w:val="center"/>
              <w:rPr>
                <w:rFonts w:hint="eastAsia" w:ascii="宋体" w:hAnsi="宋体" w:eastAsia="宋体" w:cs="宋体"/>
                <w:bCs/>
                <w:sz w:val="24"/>
                <w:szCs w:val="24"/>
              </w:rPr>
            </w:pPr>
            <w:r>
              <w:rPr>
                <w:rFonts w:hint="eastAsia" w:ascii="宋体" w:hAnsi="宋体" w:eastAsia="宋体" w:cs="宋体"/>
                <w:bCs/>
                <w:sz w:val="24"/>
                <w:szCs w:val="24"/>
              </w:rPr>
              <w:t>信号塔上安装</w:t>
            </w:r>
          </w:p>
        </w:tc>
      </w:tr>
      <w:tr w14:paraId="702262B3">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B4C2">
            <w:pPr>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BAB">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CD1D">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C440">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89C">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EF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7DF">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0673">
            <w:pPr>
              <w:jc w:val="center"/>
              <w:rPr>
                <w:rFonts w:hint="eastAsia" w:ascii="宋体" w:hAnsi="宋体" w:eastAsia="宋体" w:cs="宋体"/>
                <w:bCs/>
                <w:sz w:val="24"/>
                <w:szCs w:val="24"/>
              </w:rPr>
            </w:pPr>
            <w:r>
              <w:rPr>
                <w:rFonts w:hint="eastAsia" w:ascii="宋体" w:hAnsi="宋体" w:eastAsia="宋体" w:cs="宋体"/>
                <w:bCs/>
                <w:sz w:val="24"/>
                <w:szCs w:val="24"/>
              </w:rPr>
              <w:t>阿克苏甫乡26公里+800米安装900万高清卡口（4处）</w:t>
            </w:r>
          </w:p>
        </w:tc>
      </w:tr>
      <w:tr w14:paraId="53CC6C42">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463">
            <w:pPr>
              <w:jc w:val="center"/>
              <w:rPr>
                <w:rFonts w:hint="eastAsia" w:ascii="宋体" w:hAnsi="宋体" w:eastAsia="宋体" w:cs="宋体"/>
                <w:bCs/>
                <w:sz w:val="24"/>
                <w:szCs w:val="24"/>
              </w:rPr>
            </w:pPr>
            <w:r>
              <w:rPr>
                <w:rFonts w:hint="eastAsia" w:ascii="宋体" w:hAnsi="宋体" w:eastAsia="宋体" w:cs="宋体"/>
                <w:bCs/>
                <w:sz w:val="24"/>
                <w:szCs w:val="24"/>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1170">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F00B">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C7A9">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D49">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2321">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7B55">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5D9F">
            <w:pPr>
              <w:jc w:val="center"/>
              <w:rPr>
                <w:rFonts w:hint="eastAsia" w:ascii="宋体" w:hAnsi="宋体" w:eastAsia="宋体" w:cs="宋体"/>
                <w:bCs/>
                <w:sz w:val="24"/>
                <w:szCs w:val="24"/>
              </w:rPr>
            </w:pPr>
            <w:r>
              <w:rPr>
                <w:rFonts w:hint="eastAsia" w:ascii="宋体" w:hAnsi="宋体" w:eastAsia="宋体" w:cs="宋体"/>
                <w:bCs/>
                <w:sz w:val="24"/>
                <w:szCs w:val="24"/>
              </w:rPr>
              <w:t>文化东路与245</w:t>
            </w:r>
          </w:p>
        </w:tc>
      </w:tr>
      <w:tr w14:paraId="01017445">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1576">
            <w:pPr>
              <w:jc w:val="center"/>
              <w:rPr>
                <w:rFonts w:hint="eastAsia" w:ascii="宋体" w:hAnsi="宋体" w:eastAsia="宋体" w:cs="宋体"/>
                <w:bCs/>
                <w:sz w:val="24"/>
                <w:szCs w:val="24"/>
              </w:rPr>
            </w:pPr>
            <w:r>
              <w:rPr>
                <w:rFonts w:hint="eastAsia" w:ascii="宋体" w:hAnsi="宋体" w:eastAsia="宋体" w:cs="宋体"/>
                <w:bCs/>
                <w:sz w:val="24"/>
                <w:szCs w:val="24"/>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48E1">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A0A0">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FF81">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C87C">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27F7">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36A6">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6B2C">
            <w:pPr>
              <w:jc w:val="center"/>
              <w:rPr>
                <w:rFonts w:hint="eastAsia" w:ascii="宋体" w:hAnsi="宋体" w:eastAsia="宋体" w:cs="宋体"/>
                <w:bCs/>
                <w:sz w:val="24"/>
                <w:szCs w:val="24"/>
              </w:rPr>
            </w:pPr>
            <w:r>
              <w:rPr>
                <w:rFonts w:hint="eastAsia" w:ascii="宋体" w:hAnsi="宋体" w:eastAsia="宋体" w:cs="宋体"/>
                <w:bCs/>
                <w:sz w:val="24"/>
                <w:szCs w:val="24"/>
              </w:rPr>
              <w:t>盐湖</w:t>
            </w:r>
          </w:p>
        </w:tc>
      </w:tr>
      <w:tr w14:paraId="385239BC">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2328">
            <w:pPr>
              <w:jc w:val="center"/>
              <w:rPr>
                <w:rFonts w:hint="eastAsia" w:ascii="宋体" w:hAnsi="宋体" w:eastAsia="宋体" w:cs="宋体"/>
                <w:bCs/>
                <w:sz w:val="24"/>
                <w:szCs w:val="24"/>
              </w:rPr>
            </w:pPr>
            <w:r>
              <w:rPr>
                <w:rFonts w:hint="eastAsia" w:ascii="宋体" w:hAnsi="宋体" w:eastAsia="宋体" w:cs="宋体"/>
                <w:bCs/>
                <w:sz w:val="24"/>
                <w:szCs w:val="24"/>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6FD4">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E321">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59AF">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493F">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B1FA">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B795">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C152">
            <w:pPr>
              <w:jc w:val="center"/>
              <w:rPr>
                <w:rFonts w:hint="eastAsia" w:ascii="宋体" w:hAnsi="宋体" w:eastAsia="宋体" w:cs="宋体"/>
                <w:bCs/>
                <w:sz w:val="24"/>
                <w:szCs w:val="24"/>
              </w:rPr>
            </w:pPr>
            <w:r>
              <w:rPr>
                <w:rFonts w:hint="eastAsia" w:ascii="宋体" w:hAnsi="宋体" w:eastAsia="宋体" w:cs="宋体"/>
                <w:bCs/>
                <w:sz w:val="24"/>
                <w:szCs w:val="24"/>
              </w:rPr>
              <w:t>盐湖</w:t>
            </w:r>
          </w:p>
        </w:tc>
      </w:tr>
      <w:tr w14:paraId="3A54FFA0">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BE0F">
            <w:pPr>
              <w:jc w:val="center"/>
              <w:rPr>
                <w:rFonts w:hint="eastAsia" w:ascii="宋体" w:hAnsi="宋体" w:eastAsia="宋体" w:cs="宋体"/>
                <w:bCs/>
                <w:sz w:val="24"/>
                <w:szCs w:val="24"/>
              </w:rPr>
            </w:pPr>
            <w:r>
              <w:rPr>
                <w:rFonts w:hint="eastAsia" w:ascii="宋体" w:hAnsi="宋体" w:eastAsia="宋体" w:cs="宋体"/>
                <w:bCs/>
                <w:sz w:val="24"/>
                <w:szCs w:val="24"/>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1A59">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7417">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7331">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AAA">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19C3">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04AF">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AC46">
            <w:pPr>
              <w:jc w:val="center"/>
              <w:rPr>
                <w:rFonts w:hint="eastAsia" w:ascii="宋体" w:hAnsi="宋体" w:eastAsia="宋体" w:cs="宋体"/>
                <w:bCs/>
                <w:sz w:val="24"/>
                <w:szCs w:val="24"/>
              </w:rPr>
            </w:pPr>
            <w:r>
              <w:rPr>
                <w:rFonts w:hint="eastAsia" w:ascii="宋体" w:hAnsi="宋体" w:eastAsia="宋体" w:cs="宋体"/>
                <w:bCs/>
                <w:sz w:val="24"/>
                <w:szCs w:val="24"/>
              </w:rPr>
              <w:t>盐湖</w:t>
            </w:r>
          </w:p>
        </w:tc>
      </w:tr>
      <w:tr w14:paraId="705A147A">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8340">
            <w:pPr>
              <w:jc w:val="center"/>
              <w:rPr>
                <w:rFonts w:hint="eastAsia" w:ascii="宋体" w:hAnsi="宋体" w:eastAsia="宋体" w:cs="宋体"/>
                <w:bCs/>
                <w:sz w:val="24"/>
                <w:szCs w:val="24"/>
              </w:rPr>
            </w:pPr>
            <w:r>
              <w:rPr>
                <w:rFonts w:hint="eastAsia" w:ascii="宋体" w:hAnsi="宋体" w:eastAsia="宋体" w:cs="宋体"/>
                <w:bCs/>
                <w:sz w:val="24"/>
                <w:szCs w:val="24"/>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1E31">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25E1">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E7AE">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C7DE">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585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6FB3">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F022">
            <w:pPr>
              <w:jc w:val="center"/>
              <w:rPr>
                <w:rFonts w:hint="eastAsia" w:ascii="宋体" w:hAnsi="宋体" w:eastAsia="宋体" w:cs="宋体"/>
                <w:bCs/>
                <w:sz w:val="24"/>
                <w:szCs w:val="24"/>
              </w:rPr>
            </w:pPr>
            <w:r>
              <w:rPr>
                <w:rFonts w:hint="eastAsia" w:ascii="宋体" w:hAnsi="宋体" w:eastAsia="宋体" w:cs="宋体"/>
                <w:bCs/>
                <w:sz w:val="24"/>
                <w:szCs w:val="24"/>
              </w:rPr>
              <w:t xml:space="preserve">7.6公路 </w:t>
            </w:r>
          </w:p>
        </w:tc>
      </w:tr>
      <w:tr w14:paraId="40AC18D2">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7B24">
            <w:pPr>
              <w:jc w:val="center"/>
              <w:rPr>
                <w:rFonts w:hint="eastAsia" w:ascii="宋体" w:hAnsi="宋体" w:eastAsia="宋体" w:cs="宋体"/>
                <w:bCs/>
                <w:sz w:val="24"/>
                <w:szCs w:val="24"/>
              </w:rPr>
            </w:pPr>
            <w:r>
              <w:rPr>
                <w:rFonts w:hint="eastAsia" w:ascii="宋体" w:hAnsi="宋体" w:eastAsia="宋体" w:cs="宋体"/>
                <w:bCs/>
                <w:sz w:val="24"/>
                <w:szCs w:val="24"/>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06E">
            <w:pPr>
              <w:jc w:val="center"/>
              <w:rPr>
                <w:rFonts w:hint="eastAsia" w:ascii="宋体" w:hAnsi="宋体" w:eastAsia="宋体" w:cs="宋体"/>
                <w:bCs/>
                <w:sz w:val="24"/>
                <w:szCs w:val="24"/>
              </w:rPr>
            </w:pPr>
            <w:r>
              <w:rPr>
                <w:rFonts w:hint="eastAsia" w:ascii="宋体" w:hAnsi="宋体" w:eastAsia="宋体" w:cs="宋体"/>
                <w:bCs/>
                <w:sz w:val="24"/>
                <w:szCs w:val="24"/>
              </w:rPr>
              <w:t>X246</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B953">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6511">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14B2">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AA22">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C067">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F66">
            <w:pPr>
              <w:jc w:val="center"/>
              <w:rPr>
                <w:rFonts w:hint="eastAsia" w:ascii="宋体" w:hAnsi="宋体" w:eastAsia="宋体" w:cs="宋体"/>
                <w:bCs/>
                <w:sz w:val="24"/>
                <w:szCs w:val="24"/>
              </w:rPr>
            </w:pPr>
            <w:r>
              <w:rPr>
                <w:rFonts w:hint="eastAsia" w:ascii="宋体" w:hAnsi="宋体" w:eastAsia="宋体" w:cs="宋体"/>
                <w:bCs/>
                <w:sz w:val="24"/>
                <w:szCs w:val="24"/>
              </w:rPr>
              <w:t>古勒巴格乡十字路口安装900万高清卡口（2处），1球机</w:t>
            </w:r>
          </w:p>
        </w:tc>
      </w:tr>
      <w:tr w14:paraId="62A9B508">
        <w:tblPrEx>
          <w:tblCellMar>
            <w:top w:w="0" w:type="dxa"/>
            <w:left w:w="108" w:type="dxa"/>
            <w:bottom w:w="0" w:type="dxa"/>
            <w:right w:w="108" w:type="dxa"/>
          </w:tblCellMar>
        </w:tblPrEx>
        <w:trPr>
          <w:trHeight w:val="68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160B">
            <w:pPr>
              <w:jc w:val="center"/>
              <w:rPr>
                <w:rFonts w:hint="eastAsia" w:ascii="宋体" w:hAnsi="宋体" w:eastAsia="宋体" w:cs="宋体"/>
                <w:bCs/>
                <w:sz w:val="24"/>
                <w:szCs w:val="24"/>
              </w:rPr>
            </w:pPr>
            <w:r>
              <w:rPr>
                <w:rFonts w:hint="eastAsia" w:ascii="宋体" w:hAnsi="宋体" w:eastAsia="宋体" w:cs="宋体"/>
                <w:bCs/>
                <w:sz w:val="24"/>
                <w:szCs w:val="24"/>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7119">
            <w:pPr>
              <w:jc w:val="center"/>
              <w:rPr>
                <w:rFonts w:hint="eastAsia" w:ascii="宋体" w:hAnsi="宋体" w:eastAsia="宋体" w:cs="宋体"/>
                <w:bCs/>
                <w:sz w:val="24"/>
                <w:szCs w:val="24"/>
              </w:rPr>
            </w:pPr>
            <w:r>
              <w:rPr>
                <w:rFonts w:hint="eastAsia" w:ascii="宋体" w:hAnsi="宋体" w:eastAsia="宋体" w:cs="宋体"/>
                <w:bCs/>
                <w:sz w:val="24"/>
                <w:szCs w:val="24"/>
              </w:rPr>
              <w:t>X246</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A266">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067C">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9E4F">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1FAE">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E07">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97E2">
            <w:pPr>
              <w:jc w:val="center"/>
              <w:rPr>
                <w:rFonts w:hint="eastAsia" w:ascii="宋体" w:hAnsi="宋体" w:eastAsia="宋体" w:cs="宋体"/>
                <w:bCs/>
                <w:sz w:val="24"/>
                <w:szCs w:val="24"/>
              </w:rPr>
            </w:pPr>
            <w:r>
              <w:rPr>
                <w:rFonts w:hint="eastAsia" w:ascii="宋体" w:hAnsi="宋体" w:eastAsia="宋体" w:cs="宋体"/>
                <w:bCs/>
                <w:sz w:val="24"/>
                <w:szCs w:val="24"/>
              </w:rPr>
              <w:t>古勒巴格乡十字路口安装900万高清卡口（2处），1球机</w:t>
            </w:r>
          </w:p>
        </w:tc>
      </w:tr>
      <w:tr w14:paraId="73ED98A9">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DE62">
            <w:pPr>
              <w:jc w:val="center"/>
              <w:rPr>
                <w:rFonts w:hint="eastAsia" w:ascii="宋体" w:hAnsi="宋体" w:eastAsia="宋体" w:cs="宋体"/>
                <w:bCs/>
                <w:sz w:val="24"/>
                <w:szCs w:val="24"/>
              </w:rPr>
            </w:pPr>
            <w:r>
              <w:rPr>
                <w:rFonts w:hint="eastAsia" w:ascii="宋体" w:hAnsi="宋体" w:eastAsia="宋体" w:cs="宋体"/>
                <w:bCs/>
                <w:sz w:val="24"/>
                <w:szCs w:val="24"/>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D59">
            <w:pPr>
              <w:jc w:val="center"/>
              <w:rPr>
                <w:rFonts w:hint="eastAsia" w:ascii="宋体" w:hAnsi="宋体" w:eastAsia="宋体" w:cs="宋体"/>
                <w:bCs/>
                <w:sz w:val="24"/>
                <w:szCs w:val="24"/>
              </w:rPr>
            </w:pPr>
            <w:r>
              <w:rPr>
                <w:rFonts w:hint="eastAsia" w:ascii="宋体" w:hAnsi="宋体" w:eastAsia="宋体" w:cs="宋体"/>
                <w:bCs/>
                <w:sz w:val="24"/>
                <w:szCs w:val="24"/>
              </w:rPr>
              <w:t>246</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E92">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0559">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E48C">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B80F">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F230">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F401">
            <w:pPr>
              <w:jc w:val="center"/>
              <w:rPr>
                <w:rFonts w:hint="eastAsia" w:ascii="宋体" w:hAnsi="宋体" w:eastAsia="宋体" w:cs="宋体"/>
                <w:bCs/>
                <w:sz w:val="24"/>
                <w:szCs w:val="24"/>
              </w:rPr>
            </w:pPr>
            <w:r>
              <w:rPr>
                <w:rFonts w:hint="eastAsia" w:ascii="宋体" w:hAnsi="宋体" w:eastAsia="宋体" w:cs="宋体"/>
                <w:bCs/>
                <w:sz w:val="24"/>
                <w:szCs w:val="24"/>
              </w:rPr>
              <w:t xml:space="preserve">0公路+800米-借杆3个方向东西北 </w:t>
            </w:r>
          </w:p>
        </w:tc>
      </w:tr>
      <w:tr w14:paraId="5D2463EA">
        <w:tblPrEx>
          <w:tblCellMar>
            <w:top w:w="0" w:type="dxa"/>
            <w:left w:w="108" w:type="dxa"/>
            <w:bottom w:w="0" w:type="dxa"/>
            <w:right w:w="108" w:type="dxa"/>
          </w:tblCellMar>
        </w:tblPrEx>
        <w:trPr>
          <w:trHeight w:val="336"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847A">
            <w:pPr>
              <w:jc w:val="center"/>
              <w:rPr>
                <w:rFonts w:hint="eastAsia" w:ascii="宋体" w:hAnsi="宋体" w:eastAsia="宋体" w:cs="宋体"/>
                <w:bCs/>
                <w:sz w:val="24"/>
                <w:szCs w:val="24"/>
              </w:rPr>
            </w:pPr>
            <w:r>
              <w:rPr>
                <w:rFonts w:hint="eastAsia" w:ascii="宋体" w:hAnsi="宋体" w:eastAsia="宋体" w:cs="宋体"/>
                <w:bCs/>
                <w:sz w:val="24"/>
                <w:szCs w:val="24"/>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2A89">
            <w:pPr>
              <w:jc w:val="center"/>
              <w:rPr>
                <w:rFonts w:hint="eastAsia" w:ascii="宋体" w:hAnsi="宋体" w:eastAsia="宋体" w:cs="宋体"/>
                <w:bCs/>
                <w:sz w:val="24"/>
                <w:szCs w:val="24"/>
              </w:rPr>
            </w:pPr>
            <w:r>
              <w:rPr>
                <w:rFonts w:hint="eastAsia" w:ascii="宋体" w:hAnsi="宋体" w:eastAsia="宋体" w:cs="宋体"/>
                <w:bCs/>
                <w:sz w:val="24"/>
                <w:szCs w:val="24"/>
              </w:rPr>
              <w:t>X247</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D178">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9A45">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3350">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3A2">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D317">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689">
            <w:pPr>
              <w:jc w:val="center"/>
              <w:rPr>
                <w:rFonts w:hint="eastAsia" w:ascii="宋体" w:hAnsi="宋体" w:eastAsia="宋体" w:cs="宋体"/>
                <w:bCs/>
                <w:sz w:val="24"/>
                <w:szCs w:val="24"/>
              </w:rPr>
            </w:pPr>
            <w:r>
              <w:rPr>
                <w:rFonts w:hint="eastAsia" w:ascii="宋体" w:hAnsi="宋体" w:eastAsia="宋体" w:cs="宋体"/>
                <w:bCs/>
                <w:sz w:val="24"/>
                <w:szCs w:val="24"/>
              </w:rPr>
              <w:t>K9公里</w:t>
            </w:r>
          </w:p>
        </w:tc>
      </w:tr>
      <w:tr w14:paraId="41E6DC9E">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F94C">
            <w:pPr>
              <w:jc w:val="center"/>
              <w:rPr>
                <w:rFonts w:hint="eastAsia" w:ascii="宋体" w:hAnsi="宋体" w:eastAsia="宋体" w:cs="宋体"/>
                <w:bCs/>
                <w:sz w:val="24"/>
                <w:szCs w:val="24"/>
              </w:rPr>
            </w:pPr>
            <w:r>
              <w:rPr>
                <w:rFonts w:hint="eastAsia" w:ascii="宋体" w:hAnsi="宋体" w:eastAsia="宋体" w:cs="宋体"/>
                <w:bCs/>
                <w:sz w:val="24"/>
                <w:szCs w:val="24"/>
              </w:rPr>
              <w:t>34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CB06">
            <w:pPr>
              <w:jc w:val="center"/>
              <w:rPr>
                <w:rFonts w:hint="eastAsia" w:ascii="宋体" w:hAnsi="宋体" w:eastAsia="宋体" w:cs="宋体"/>
                <w:bCs/>
                <w:sz w:val="24"/>
                <w:szCs w:val="24"/>
              </w:rPr>
            </w:pPr>
            <w:r>
              <w:rPr>
                <w:rFonts w:hint="eastAsia" w:ascii="宋体" w:hAnsi="宋体" w:eastAsia="宋体" w:cs="宋体"/>
                <w:bCs/>
                <w:sz w:val="24"/>
                <w:szCs w:val="24"/>
              </w:rPr>
              <w:t>X247</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8D08">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3C4E">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25B">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349E">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56C9">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1824">
            <w:pPr>
              <w:jc w:val="center"/>
              <w:rPr>
                <w:rFonts w:hint="eastAsia" w:ascii="宋体" w:hAnsi="宋体" w:eastAsia="宋体" w:cs="宋体"/>
                <w:bCs/>
                <w:sz w:val="24"/>
                <w:szCs w:val="24"/>
              </w:rPr>
            </w:pPr>
            <w:r>
              <w:rPr>
                <w:rFonts w:hint="eastAsia" w:ascii="宋体" w:hAnsi="宋体" w:eastAsia="宋体" w:cs="宋体"/>
                <w:bCs/>
                <w:sz w:val="24"/>
                <w:szCs w:val="24"/>
              </w:rPr>
              <w:t xml:space="preserve">利旧安装村委会2套 </w:t>
            </w:r>
          </w:p>
        </w:tc>
      </w:tr>
      <w:tr w14:paraId="737C128D">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7470">
            <w:pPr>
              <w:jc w:val="center"/>
              <w:rPr>
                <w:rFonts w:hint="eastAsia" w:ascii="宋体" w:hAnsi="宋体" w:eastAsia="宋体" w:cs="宋体"/>
                <w:bCs/>
                <w:sz w:val="24"/>
                <w:szCs w:val="24"/>
              </w:rPr>
            </w:pPr>
            <w:r>
              <w:rPr>
                <w:rFonts w:hint="eastAsia" w:ascii="宋体" w:hAnsi="宋体" w:eastAsia="宋体" w:cs="宋体"/>
                <w:bCs/>
                <w:sz w:val="24"/>
                <w:szCs w:val="24"/>
              </w:rPr>
              <w:t>35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BAC4">
            <w:pPr>
              <w:jc w:val="center"/>
              <w:rPr>
                <w:rFonts w:hint="eastAsia" w:ascii="宋体" w:hAnsi="宋体" w:eastAsia="宋体" w:cs="宋体"/>
                <w:bCs/>
                <w:sz w:val="24"/>
                <w:szCs w:val="24"/>
              </w:rPr>
            </w:pPr>
            <w:r>
              <w:rPr>
                <w:rFonts w:hint="eastAsia" w:ascii="宋体" w:hAnsi="宋体" w:eastAsia="宋体" w:cs="宋体"/>
                <w:bCs/>
                <w:sz w:val="24"/>
                <w:szCs w:val="24"/>
              </w:rPr>
              <w:t>X247</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AF06">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270A">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6467">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9EFC">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DBAD">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432E">
            <w:pPr>
              <w:jc w:val="center"/>
              <w:rPr>
                <w:rFonts w:hint="eastAsia" w:ascii="宋体" w:hAnsi="宋体" w:eastAsia="宋体" w:cs="宋体"/>
                <w:bCs/>
                <w:sz w:val="24"/>
                <w:szCs w:val="24"/>
              </w:rPr>
            </w:pPr>
            <w:r>
              <w:rPr>
                <w:rFonts w:hint="eastAsia" w:ascii="宋体" w:hAnsi="宋体" w:eastAsia="宋体" w:cs="宋体"/>
                <w:bCs/>
                <w:sz w:val="24"/>
                <w:szCs w:val="24"/>
              </w:rPr>
              <w:t xml:space="preserve">去246道路-利旧2个方向（南，西方向） </w:t>
            </w:r>
          </w:p>
        </w:tc>
      </w:tr>
      <w:tr w14:paraId="0C9F19C2">
        <w:tblPrEx>
          <w:tblCellMar>
            <w:top w:w="0" w:type="dxa"/>
            <w:left w:w="108" w:type="dxa"/>
            <w:bottom w:w="0" w:type="dxa"/>
            <w:right w:w="108" w:type="dxa"/>
          </w:tblCellMar>
        </w:tblPrEx>
        <w:trPr>
          <w:trHeight w:val="72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9910">
            <w:pPr>
              <w:jc w:val="center"/>
              <w:rPr>
                <w:rFonts w:hint="eastAsia" w:ascii="宋体" w:hAnsi="宋体" w:eastAsia="宋体" w:cs="宋体"/>
                <w:bCs/>
                <w:sz w:val="24"/>
                <w:szCs w:val="24"/>
              </w:rPr>
            </w:pPr>
            <w:r>
              <w:rPr>
                <w:rFonts w:hint="eastAsia" w:ascii="宋体" w:hAnsi="宋体" w:eastAsia="宋体" w:cs="宋体"/>
                <w:bCs/>
                <w:sz w:val="24"/>
                <w:szCs w:val="24"/>
              </w:rPr>
              <w:t>36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05F5">
            <w:pPr>
              <w:jc w:val="center"/>
              <w:rPr>
                <w:rFonts w:hint="eastAsia" w:ascii="宋体" w:hAnsi="宋体" w:eastAsia="宋体" w:cs="宋体"/>
                <w:bCs/>
                <w:sz w:val="24"/>
                <w:szCs w:val="24"/>
              </w:rPr>
            </w:pPr>
            <w:r>
              <w:rPr>
                <w:rFonts w:hint="eastAsia" w:ascii="宋体" w:hAnsi="宋体" w:eastAsia="宋体" w:cs="宋体"/>
                <w:bCs/>
                <w:sz w:val="24"/>
                <w:szCs w:val="24"/>
              </w:rPr>
              <w:t>X248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4751">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DAEB">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6A2B">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FD1E">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275D">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EDB">
            <w:pPr>
              <w:jc w:val="center"/>
              <w:rPr>
                <w:rFonts w:hint="eastAsia" w:ascii="宋体" w:hAnsi="宋体" w:eastAsia="宋体" w:cs="宋体"/>
                <w:bCs/>
                <w:sz w:val="24"/>
                <w:szCs w:val="24"/>
              </w:rPr>
            </w:pPr>
            <w:r>
              <w:rPr>
                <w:rFonts w:hint="eastAsia" w:ascii="宋体" w:hAnsi="宋体" w:eastAsia="宋体" w:cs="宋体"/>
                <w:bCs/>
                <w:sz w:val="24"/>
                <w:szCs w:val="24"/>
              </w:rPr>
              <w:t>哈达墩桥头，原有2个卡口，如果能用就只加1个。</w:t>
            </w:r>
          </w:p>
        </w:tc>
      </w:tr>
      <w:tr w14:paraId="3BF4BAFD">
        <w:tblPrEx>
          <w:tblCellMar>
            <w:top w:w="0" w:type="dxa"/>
            <w:left w:w="108" w:type="dxa"/>
            <w:bottom w:w="0" w:type="dxa"/>
            <w:right w:w="108" w:type="dxa"/>
          </w:tblCellMar>
        </w:tblPrEx>
        <w:trPr>
          <w:trHeight w:val="352"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E4EB">
            <w:pPr>
              <w:jc w:val="center"/>
              <w:rPr>
                <w:rFonts w:hint="eastAsia" w:ascii="宋体" w:hAnsi="宋体" w:eastAsia="宋体" w:cs="宋体"/>
                <w:bCs/>
                <w:sz w:val="24"/>
                <w:szCs w:val="24"/>
              </w:rPr>
            </w:pPr>
            <w:r>
              <w:rPr>
                <w:rFonts w:hint="eastAsia" w:ascii="宋体" w:hAnsi="宋体" w:eastAsia="宋体" w:cs="宋体"/>
                <w:bCs/>
                <w:sz w:val="24"/>
                <w:szCs w:val="24"/>
              </w:rPr>
              <w:t>37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E31D">
            <w:pPr>
              <w:jc w:val="center"/>
              <w:rPr>
                <w:rFonts w:hint="eastAsia" w:ascii="宋体" w:hAnsi="宋体" w:eastAsia="宋体" w:cs="宋体"/>
                <w:bCs/>
                <w:sz w:val="24"/>
                <w:szCs w:val="24"/>
              </w:rPr>
            </w:pPr>
            <w:r>
              <w:rPr>
                <w:rFonts w:hint="eastAsia" w:ascii="宋体" w:hAnsi="宋体" w:eastAsia="宋体" w:cs="宋体"/>
                <w:bCs/>
                <w:sz w:val="24"/>
                <w:szCs w:val="24"/>
              </w:rPr>
              <w:t>X248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9DE8">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CD56">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1FFB">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B74">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7E9E">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4631">
            <w:pPr>
              <w:jc w:val="center"/>
              <w:rPr>
                <w:rFonts w:hint="eastAsia" w:ascii="宋体" w:hAnsi="宋体" w:eastAsia="宋体" w:cs="宋体"/>
                <w:bCs/>
                <w:sz w:val="24"/>
                <w:szCs w:val="24"/>
              </w:rPr>
            </w:pPr>
            <w:r>
              <w:rPr>
                <w:rFonts w:hint="eastAsia" w:ascii="宋体" w:hAnsi="宋体" w:eastAsia="宋体" w:cs="宋体"/>
                <w:bCs/>
                <w:sz w:val="24"/>
                <w:szCs w:val="24"/>
              </w:rPr>
              <w:t xml:space="preserve">X248（10公路）-南北 </w:t>
            </w:r>
          </w:p>
        </w:tc>
      </w:tr>
      <w:tr w14:paraId="6EC83147">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590C">
            <w:pPr>
              <w:jc w:val="center"/>
              <w:rPr>
                <w:rFonts w:hint="eastAsia" w:ascii="宋体" w:hAnsi="宋体" w:eastAsia="宋体" w:cs="宋体"/>
                <w:bCs/>
                <w:sz w:val="24"/>
                <w:szCs w:val="24"/>
              </w:rPr>
            </w:pPr>
            <w:r>
              <w:rPr>
                <w:rFonts w:hint="eastAsia" w:ascii="宋体" w:hAnsi="宋体" w:eastAsia="宋体" w:cs="宋体"/>
                <w:bCs/>
                <w:sz w:val="24"/>
                <w:szCs w:val="24"/>
              </w:rPr>
              <w:t>38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F2BC">
            <w:pPr>
              <w:jc w:val="center"/>
              <w:rPr>
                <w:rFonts w:hint="eastAsia" w:ascii="宋体" w:hAnsi="宋体" w:eastAsia="宋体" w:cs="宋体"/>
                <w:bCs/>
                <w:sz w:val="24"/>
                <w:szCs w:val="24"/>
              </w:rPr>
            </w:pPr>
            <w:r>
              <w:rPr>
                <w:rFonts w:hint="eastAsia" w:ascii="宋体" w:hAnsi="宋体" w:eastAsia="宋体" w:cs="宋体"/>
                <w:bCs/>
                <w:sz w:val="24"/>
                <w:szCs w:val="24"/>
              </w:rPr>
              <w:t>X248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D3D1">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B146">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94AF">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D7A3">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6ECA">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EC6">
            <w:pPr>
              <w:jc w:val="center"/>
              <w:rPr>
                <w:rFonts w:hint="eastAsia" w:ascii="宋体" w:hAnsi="宋体" w:eastAsia="宋体" w:cs="宋体"/>
                <w:bCs/>
                <w:sz w:val="24"/>
                <w:szCs w:val="24"/>
              </w:rPr>
            </w:pPr>
            <w:r>
              <w:rPr>
                <w:rFonts w:hint="eastAsia" w:ascii="宋体" w:hAnsi="宋体" w:eastAsia="宋体" w:cs="宋体"/>
                <w:bCs/>
                <w:sz w:val="24"/>
                <w:szCs w:val="24"/>
              </w:rPr>
              <w:t>16公里900米900万卡口2处</w:t>
            </w:r>
          </w:p>
        </w:tc>
      </w:tr>
      <w:tr w14:paraId="4F63A94F">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5859">
            <w:pPr>
              <w:jc w:val="center"/>
              <w:rPr>
                <w:rFonts w:hint="eastAsia" w:ascii="宋体" w:hAnsi="宋体" w:eastAsia="宋体" w:cs="宋体"/>
                <w:bCs/>
                <w:sz w:val="24"/>
                <w:szCs w:val="24"/>
              </w:rPr>
            </w:pPr>
            <w:r>
              <w:rPr>
                <w:rFonts w:hint="eastAsia" w:ascii="宋体" w:hAnsi="宋体" w:eastAsia="宋体" w:cs="宋体"/>
                <w:bCs/>
                <w:sz w:val="24"/>
                <w:szCs w:val="24"/>
              </w:rPr>
              <w:t>39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02DB">
            <w:pPr>
              <w:jc w:val="center"/>
              <w:rPr>
                <w:rFonts w:hint="eastAsia" w:ascii="宋体" w:hAnsi="宋体" w:eastAsia="宋体" w:cs="宋体"/>
                <w:bCs/>
                <w:sz w:val="24"/>
                <w:szCs w:val="24"/>
              </w:rPr>
            </w:pPr>
            <w:r>
              <w:rPr>
                <w:rFonts w:hint="eastAsia" w:ascii="宋体" w:hAnsi="宋体" w:eastAsia="宋体" w:cs="宋体"/>
                <w:bCs/>
                <w:sz w:val="24"/>
                <w:szCs w:val="24"/>
              </w:rPr>
              <w:t>X248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7210">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95DF">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5F7C">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D8DC">
            <w:pPr>
              <w:jc w:val="center"/>
              <w:rPr>
                <w:rFonts w:hint="eastAsia" w:ascii="宋体" w:hAnsi="宋体" w:eastAsia="宋体" w:cs="宋体"/>
                <w:bCs/>
                <w:sz w:val="24"/>
                <w:szCs w:val="24"/>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4E55">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E79F">
            <w:pPr>
              <w:jc w:val="center"/>
              <w:rPr>
                <w:rFonts w:hint="eastAsia" w:ascii="宋体" w:hAnsi="宋体" w:eastAsia="宋体" w:cs="宋体"/>
                <w:bCs/>
                <w:sz w:val="24"/>
                <w:szCs w:val="24"/>
              </w:rPr>
            </w:pPr>
            <w:r>
              <w:rPr>
                <w:rFonts w:hint="eastAsia" w:ascii="宋体" w:hAnsi="宋体" w:eastAsia="宋体" w:cs="宋体"/>
                <w:bCs/>
                <w:sz w:val="24"/>
                <w:szCs w:val="24"/>
              </w:rPr>
              <w:t>16公里900米900万卡口2处</w:t>
            </w:r>
          </w:p>
        </w:tc>
      </w:tr>
      <w:tr w14:paraId="1CF065E4">
        <w:trPr>
          <w:trHeight w:val="340"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20C7">
            <w:pPr>
              <w:jc w:val="center"/>
              <w:rPr>
                <w:rFonts w:hint="eastAsia" w:ascii="宋体" w:hAnsi="宋体" w:eastAsia="宋体" w:cs="宋体"/>
                <w:bCs/>
                <w:sz w:val="24"/>
                <w:szCs w:val="24"/>
              </w:rPr>
            </w:pPr>
            <w:r>
              <w:rPr>
                <w:rFonts w:hint="eastAsia" w:ascii="宋体" w:hAnsi="宋体" w:eastAsia="宋体" w:cs="宋体"/>
                <w:bCs/>
                <w:sz w:val="24"/>
                <w:szCs w:val="24"/>
              </w:rPr>
              <w:t>40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4D68">
            <w:pPr>
              <w:jc w:val="center"/>
              <w:rPr>
                <w:rFonts w:hint="eastAsia" w:ascii="宋体" w:hAnsi="宋体" w:eastAsia="宋体" w:cs="宋体"/>
                <w:bCs/>
                <w:sz w:val="24"/>
                <w:szCs w:val="24"/>
              </w:rPr>
            </w:pPr>
            <w:r>
              <w:rPr>
                <w:rFonts w:hint="eastAsia" w:ascii="宋体" w:hAnsi="宋体" w:eastAsia="宋体" w:cs="宋体"/>
                <w:bCs/>
                <w:sz w:val="24"/>
                <w:szCs w:val="24"/>
              </w:rPr>
              <w:t>X248</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63D4">
            <w:pPr>
              <w:jc w:val="center"/>
              <w:rPr>
                <w:rFonts w:hint="eastAsia" w:ascii="宋体" w:hAnsi="宋体" w:eastAsia="宋体" w:cs="宋体"/>
                <w:bCs/>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75B7">
            <w:pPr>
              <w:jc w:val="center"/>
              <w:rPr>
                <w:rFonts w:hint="eastAsia" w:ascii="宋体" w:hAnsi="宋体" w:eastAsia="宋体" w:cs="宋体"/>
                <w:bCs/>
                <w:sz w:val="24"/>
                <w:szCs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9BB6">
            <w:pPr>
              <w:jc w:val="center"/>
              <w:rPr>
                <w:rFonts w:hint="eastAsia" w:ascii="宋体" w:hAnsi="宋体" w:eastAsia="宋体" w:cs="宋体"/>
                <w:bCs/>
                <w:sz w:val="24"/>
                <w:szCs w:val="24"/>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71BB">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D9E3">
            <w:pPr>
              <w:jc w:val="center"/>
              <w:rPr>
                <w:rFonts w:hint="eastAsia" w:ascii="宋体" w:hAnsi="宋体" w:eastAsia="宋体" w:cs="宋体"/>
                <w:bCs/>
                <w:sz w:val="24"/>
                <w:szCs w:val="24"/>
              </w:rPr>
            </w:pP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A31">
            <w:pPr>
              <w:jc w:val="center"/>
              <w:rPr>
                <w:rFonts w:hint="eastAsia" w:ascii="宋体" w:hAnsi="宋体" w:eastAsia="宋体" w:cs="宋体"/>
                <w:bCs/>
                <w:sz w:val="24"/>
                <w:szCs w:val="24"/>
              </w:rPr>
            </w:pPr>
            <w:r>
              <w:rPr>
                <w:rFonts w:hint="eastAsia" w:ascii="宋体" w:hAnsi="宋体" w:eastAsia="宋体" w:cs="宋体"/>
                <w:bCs/>
                <w:sz w:val="24"/>
                <w:szCs w:val="24"/>
              </w:rPr>
              <w:t>5公里+900</w:t>
            </w:r>
          </w:p>
        </w:tc>
      </w:tr>
      <w:tr w14:paraId="45765204">
        <w:tblPrEx>
          <w:tblCellMar>
            <w:top w:w="0" w:type="dxa"/>
            <w:left w:w="108" w:type="dxa"/>
            <w:bottom w:w="0" w:type="dxa"/>
            <w:right w:w="108" w:type="dxa"/>
          </w:tblCellMar>
        </w:tblPrEx>
        <w:trPr>
          <w:trHeight w:val="336"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85F">
            <w:pPr>
              <w:jc w:val="center"/>
              <w:rPr>
                <w:rFonts w:hint="eastAsia" w:ascii="宋体" w:hAnsi="宋体" w:eastAsia="宋体" w:cs="宋体"/>
                <w:bCs/>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455B">
            <w:pPr>
              <w:rPr>
                <w:rFonts w:hint="eastAsia" w:ascii="宋体" w:hAnsi="宋体" w:eastAsia="宋体" w:cs="宋体"/>
                <w:bCs/>
                <w:sz w:val="24"/>
                <w:szCs w:val="24"/>
              </w:rPr>
            </w:pPr>
            <w:r>
              <w:rPr>
                <w:rFonts w:hint="eastAsia" w:ascii="宋体" w:hAnsi="宋体" w:eastAsia="宋体" w:cs="宋体"/>
                <w:bCs/>
                <w:sz w:val="24"/>
                <w:szCs w:val="24"/>
              </w:rPr>
              <w:t>合计</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B3E2">
            <w:pPr>
              <w:jc w:val="center"/>
              <w:rPr>
                <w:rFonts w:hint="eastAsia" w:ascii="宋体" w:hAnsi="宋体" w:eastAsia="宋体" w:cs="宋体"/>
                <w:bCs/>
                <w:sz w:val="24"/>
                <w:szCs w:val="24"/>
              </w:rPr>
            </w:pPr>
            <w:r>
              <w:rPr>
                <w:rFonts w:hint="eastAsia" w:ascii="宋体" w:hAnsi="宋体" w:eastAsia="宋体" w:cs="宋体"/>
                <w:bCs/>
                <w:sz w:val="24"/>
                <w:szCs w:val="24"/>
              </w:rPr>
              <w:t>40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E0A8">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7B08">
            <w:pPr>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7E5">
            <w:pPr>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398D">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5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BC80">
            <w:pPr>
              <w:jc w:val="center"/>
              <w:rPr>
                <w:rFonts w:hint="eastAsia" w:ascii="宋体" w:hAnsi="宋体" w:eastAsia="宋体" w:cs="宋体"/>
                <w:bCs/>
                <w:sz w:val="24"/>
                <w:szCs w:val="24"/>
              </w:rPr>
            </w:pPr>
          </w:p>
        </w:tc>
      </w:tr>
    </w:tbl>
    <w:p w14:paraId="47542D2B">
      <w:pPr>
        <w:spacing w:line="360" w:lineRule="auto"/>
        <w:ind w:firstLine="480" w:firstLineChars="200"/>
        <w:rPr>
          <w:rFonts w:hint="eastAsia" w:ascii="宋体" w:hAnsi="宋体" w:eastAsia="宋体" w:cs="宋体"/>
          <w:bCs/>
          <w:sz w:val="24"/>
          <w:szCs w:val="24"/>
        </w:rPr>
      </w:pPr>
    </w:p>
    <w:p w14:paraId="7C08E00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3、弯道超车抓拍：在3处急弯路段建设6套球机及利旧现有摄像机。</w:t>
      </w:r>
    </w:p>
    <w:p w14:paraId="7B887E8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实现功能：通过后台机动车违法识别一体机，分析弯道区域车辆越黄实线超车的行为，降低交通事故风险，维护道路秩序与通行安全。具体功能及数量以清单参数要求为准。</w:t>
      </w:r>
    </w:p>
    <w:tbl>
      <w:tblPr>
        <w:tblStyle w:val="25"/>
        <w:tblW w:w="0" w:type="auto"/>
        <w:tblInd w:w="0" w:type="dxa"/>
        <w:tblLayout w:type="autofit"/>
        <w:tblCellMar>
          <w:top w:w="0" w:type="dxa"/>
          <w:left w:w="108" w:type="dxa"/>
          <w:bottom w:w="0" w:type="dxa"/>
          <w:right w:w="108" w:type="dxa"/>
        </w:tblCellMar>
      </w:tblPr>
      <w:tblGrid>
        <w:gridCol w:w="874"/>
        <w:gridCol w:w="2846"/>
        <w:gridCol w:w="1173"/>
        <w:gridCol w:w="4904"/>
      </w:tblGrid>
      <w:tr w14:paraId="44E657DA">
        <w:trPr>
          <w:trHeight w:val="920" w:hRule="atLeast"/>
        </w:trPr>
        <w:tc>
          <w:tcPr>
            <w:tcW w:w="996" w:type="dxa"/>
            <w:tcBorders>
              <w:top w:val="single" w:color="000000" w:sz="8" w:space="0"/>
              <w:left w:val="single" w:color="000000" w:sz="8" w:space="0"/>
              <w:bottom w:val="single" w:color="000000" w:sz="4" w:space="0"/>
              <w:right w:val="single" w:color="000000" w:sz="4" w:space="0"/>
            </w:tcBorders>
            <w:shd w:val="clear" w:color="auto" w:fill="auto"/>
            <w:noWrap/>
            <w:vAlign w:val="bottom"/>
          </w:tcPr>
          <w:p w14:paraId="2DE3087A">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332" w:type="dxa"/>
            <w:tcBorders>
              <w:top w:val="single" w:color="000000" w:sz="8" w:space="0"/>
              <w:left w:val="single" w:color="000000" w:sz="4" w:space="0"/>
              <w:bottom w:val="single" w:color="000000" w:sz="4" w:space="0"/>
              <w:right w:val="single" w:color="000000" w:sz="4" w:space="0"/>
            </w:tcBorders>
            <w:shd w:val="clear" w:color="auto" w:fill="auto"/>
            <w:noWrap/>
            <w:vAlign w:val="bottom"/>
          </w:tcPr>
          <w:p w14:paraId="79C8F2A1">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bottom"/>
          </w:tcPr>
          <w:p w14:paraId="073B16BC">
            <w:pPr>
              <w:jc w:val="center"/>
              <w:rPr>
                <w:rFonts w:hint="eastAsia" w:ascii="宋体" w:hAnsi="宋体" w:eastAsia="宋体" w:cs="宋体"/>
                <w:bCs/>
                <w:sz w:val="24"/>
                <w:szCs w:val="24"/>
              </w:rPr>
            </w:pPr>
            <w:r>
              <w:rPr>
                <w:rFonts w:hint="eastAsia" w:ascii="宋体" w:hAnsi="宋体" w:eastAsia="宋体" w:cs="宋体"/>
                <w:bCs/>
                <w:sz w:val="24"/>
                <w:szCs w:val="24"/>
              </w:rPr>
              <w:t>球机</w:t>
            </w:r>
          </w:p>
        </w:tc>
        <w:tc>
          <w:tcPr>
            <w:tcW w:w="5768" w:type="dxa"/>
            <w:tcBorders>
              <w:top w:val="single" w:color="000000" w:sz="8" w:space="0"/>
              <w:left w:val="single" w:color="000000" w:sz="4" w:space="0"/>
              <w:bottom w:val="single" w:color="000000" w:sz="4" w:space="0"/>
              <w:right w:val="single" w:color="000000" w:sz="8" w:space="0"/>
            </w:tcBorders>
            <w:shd w:val="clear" w:color="auto" w:fill="auto"/>
            <w:noWrap/>
            <w:vAlign w:val="bottom"/>
          </w:tcPr>
          <w:p w14:paraId="6DE6A8CB">
            <w:pPr>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108B9080">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C51372">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7E0AB">
            <w:pPr>
              <w:jc w:val="center"/>
              <w:rPr>
                <w:rFonts w:hint="eastAsia" w:ascii="宋体" w:hAnsi="宋体" w:eastAsia="宋体" w:cs="宋体"/>
                <w:bCs/>
                <w:sz w:val="24"/>
                <w:szCs w:val="24"/>
              </w:rPr>
            </w:pPr>
            <w:r>
              <w:rPr>
                <w:rFonts w:hint="eastAsia" w:ascii="宋体" w:hAnsi="宋体" w:eastAsia="宋体" w:cs="宋体"/>
                <w:bCs/>
                <w:sz w:val="24"/>
                <w:szCs w:val="24"/>
              </w:rPr>
              <w:t>X245去阿克苏方向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9BF0E">
            <w:pPr>
              <w:jc w:val="center"/>
              <w:rPr>
                <w:rFonts w:hint="eastAsia" w:ascii="宋体" w:hAnsi="宋体" w:eastAsia="宋体" w:cs="宋体"/>
                <w:bCs/>
                <w:sz w:val="24"/>
                <w:szCs w:val="24"/>
              </w:rPr>
            </w:pPr>
            <w:r>
              <w:rPr>
                <w:rFonts w:hint="eastAsia" w:ascii="宋体" w:hAnsi="宋体" w:eastAsia="宋体" w:cs="宋体"/>
                <w:bCs/>
                <w:sz w:val="24"/>
                <w:szCs w:val="24"/>
              </w:rPr>
              <w:t>0</w:t>
            </w:r>
          </w:p>
        </w:tc>
        <w:tc>
          <w:tcPr>
            <w:tcW w:w="576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14:paraId="00492135">
            <w:pPr>
              <w:jc w:val="center"/>
              <w:rPr>
                <w:rFonts w:hint="eastAsia" w:ascii="宋体" w:hAnsi="宋体" w:eastAsia="宋体" w:cs="宋体"/>
                <w:bCs/>
                <w:sz w:val="24"/>
                <w:szCs w:val="24"/>
              </w:rPr>
            </w:pPr>
            <w:r>
              <w:rPr>
                <w:rFonts w:hint="eastAsia" w:ascii="宋体" w:hAnsi="宋体" w:eastAsia="宋体" w:cs="宋体"/>
                <w:bCs/>
                <w:sz w:val="24"/>
                <w:szCs w:val="24"/>
              </w:rPr>
              <w:t>利旧2摄像机</w:t>
            </w:r>
          </w:p>
        </w:tc>
      </w:tr>
      <w:tr w14:paraId="4F7D7704">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33325A">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F8337">
            <w:pPr>
              <w:jc w:val="center"/>
              <w:rPr>
                <w:rFonts w:hint="eastAsia" w:ascii="宋体" w:hAnsi="宋体" w:eastAsia="宋体" w:cs="宋体"/>
                <w:bCs/>
                <w:sz w:val="24"/>
                <w:szCs w:val="24"/>
              </w:rPr>
            </w:pPr>
            <w:r>
              <w:rPr>
                <w:rFonts w:hint="eastAsia" w:ascii="宋体" w:hAnsi="宋体" w:eastAsia="宋体" w:cs="宋体"/>
                <w:bCs/>
                <w:sz w:val="24"/>
                <w:szCs w:val="24"/>
              </w:rPr>
              <w:t>X245进尉犁方向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A9400">
            <w:pPr>
              <w:jc w:val="center"/>
              <w:rPr>
                <w:rFonts w:hint="eastAsia" w:ascii="宋体" w:hAnsi="宋体" w:eastAsia="宋体" w:cs="宋体"/>
                <w:bCs/>
                <w:sz w:val="24"/>
                <w:szCs w:val="24"/>
              </w:rPr>
            </w:pPr>
            <w:r>
              <w:rPr>
                <w:rFonts w:hint="eastAsia" w:ascii="宋体" w:hAnsi="宋体" w:eastAsia="宋体" w:cs="宋体"/>
                <w:bCs/>
                <w:sz w:val="24"/>
                <w:szCs w:val="24"/>
              </w:rPr>
              <w:t>0</w:t>
            </w:r>
          </w:p>
        </w:tc>
        <w:tc>
          <w:tcPr>
            <w:tcW w:w="576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14:paraId="1EAC3517">
            <w:pPr>
              <w:jc w:val="center"/>
              <w:rPr>
                <w:rFonts w:hint="eastAsia" w:ascii="宋体" w:hAnsi="宋体" w:eastAsia="宋体" w:cs="宋体"/>
                <w:bCs/>
                <w:sz w:val="24"/>
                <w:szCs w:val="24"/>
              </w:rPr>
            </w:pPr>
            <w:r>
              <w:rPr>
                <w:rFonts w:hint="eastAsia" w:ascii="宋体" w:hAnsi="宋体" w:eastAsia="宋体" w:cs="宋体"/>
                <w:bCs/>
                <w:sz w:val="24"/>
                <w:szCs w:val="24"/>
              </w:rPr>
              <w:t>利旧2摄像机</w:t>
            </w:r>
          </w:p>
        </w:tc>
      </w:tr>
      <w:tr w14:paraId="1C22358F">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1B4BAF1E">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9E37F">
            <w:pPr>
              <w:jc w:val="center"/>
              <w:rPr>
                <w:rFonts w:hint="eastAsia" w:ascii="宋体" w:hAnsi="宋体" w:eastAsia="宋体" w:cs="宋体"/>
                <w:bCs/>
                <w:sz w:val="24"/>
                <w:szCs w:val="24"/>
              </w:rPr>
            </w:pPr>
            <w:r>
              <w:rPr>
                <w:rFonts w:hint="eastAsia" w:ascii="宋体" w:hAnsi="宋体" w:eastAsia="宋体" w:cs="宋体"/>
                <w:bCs/>
                <w:sz w:val="24"/>
                <w:szCs w:val="24"/>
              </w:rPr>
              <w:t>X242：K20+50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707FD">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576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14:paraId="647CA065">
            <w:pPr>
              <w:jc w:val="center"/>
              <w:rPr>
                <w:rFonts w:hint="eastAsia" w:ascii="宋体" w:hAnsi="宋体" w:eastAsia="宋体" w:cs="宋体"/>
                <w:bCs/>
                <w:sz w:val="24"/>
                <w:szCs w:val="24"/>
              </w:rPr>
            </w:pPr>
            <w:r>
              <w:rPr>
                <w:rFonts w:hint="eastAsia" w:ascii="宋体" w:hAnsi="宋体" w:eastAsia="宋体" w:cs="宋体"/>
                <w:bCs/>
                <w:sz w:val="24"/>
                <w:szCs w:val="24"/>
              </w:rPr>
              <w:t>利旧2摄像机，新安装1个球机、附件红绿灯杆安装1球机</w:t>
            </w:r>
          </w:p>
        </w:tc>
      </w:tr>
      <w:tr w14:paraId="266222FA">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6D73E2">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38322">
            <w:pPr>
              <w:jc w:val="center"/>
              <w:rPr>
                <w:rFonts w:hint="eastAsia" w:ascii="宋体" w:hAnsi="宋体" w:eastAsia="宋体" w:cs="宋体"/>
                <w:bCs/>
                <w:sz w:val="24"/>
                <w:szCs w:val="24"/>
              </w:rPr>
            </w:pPr>
            <w:r>
              <w:rPr>
                <w:rFonts w:hint="eastAsia" w:ascii="宋体" w:hAnsi="宋体" w:eastAsia="宋体" w:cs="宋体"/>
                <w:bCs/>
                <w:sz w:val="24"/>
                <w:szCs w:val="24"/>
              </w:rPr>
              <w:t>X242：K23+900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F89A9">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576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14:paraId="157436AC">
            <w:pPr>
              <w:jc w:val="center"/>
              <w:rPr>
                <w:rFonts w:hint="eastAsia" w:ascii="宋体" w:hAnsi="宋体" w:eastAsia="宋体" w:cs="宋体"/>
                <w:bCs/>
                <w:sz w:val="24"/>
                <w:szCs w:val="24"/>
              </w:rPr>
            </w:pPr>
            <w:r>
              <w:rPr>
                <w:rFonts w:hint="eastAsia" w:ascii="宋体" w:hAnsi="宋体" w:eastAsia="宋体" w:cs="宋体"/>
                <w:bCs/>
                <w:sz w:val="24"/>
                <w:szCs w:val="24"/>
              </w:rPr>
              <w:t>立杆</w:t>
            </w:r>
          </w:p>
        </w:tc>
      </w:tr>
      <w:tr w14:paraId="32397D6A">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1DE49708">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2C8F3">
            <w:pPr>
              <w:jc w:val="center"/>
              <w:rPr>
                <w:rFonts w:hint="eastAsia" w:ascii="宋体" w:hAnsi="宋体" w:eastAsia="宋体" w:cs="宋体"/>
                <w:bCs/>
                <w:sz w:val="24"/>
                <w:szCs w:val="24"/>
              </w:rPr>
            </w:pPr>
            <w:r>
              <w:rPr>
                <w:rFonts w:hint="eastAsia" w:ascii="宋体" w:hAnsi="宋体" w:eastAsia="宋体" w:cs="宋体"/>
                <w:bCs/>
                <w:sz w:val="24"/>
                <w:szCs w:val="24"/>
              </w:rPr>
              <w:t>X246：K5+800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136FE">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576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29BCB6">
            <w:pPr>
              <w:jc w:val="center"/>
              <w:rPr>
                <w:rFonts w:hint="eastAsia" w:ascii="宋体" w:hAnsi="宋体" w:eastAsia="宋体" w:cs="宋体"/>
                <w:bCs/>
                <w:sz w:val="24"/>
                <w:szCs w:val="24"/>
              </w:rPr>
            </w:pPr>
            <w:r>
              <w:rPr>
                <w:rFonts w:hint="eastAsia" w:ascii="宋体" w:hAnsi="宋体" w:eastAsia="宋体" w:cs="宋体"/>
                <w:bCs/>
                <w:sz w:val="24"/>
                <w:szCs w:val="24"/>
              </w:rPr>
              <w:t>立杆</w:t>
            </w:r>
          </w:p>
        </w:tc>
      </w:tr>
      <w:tr w14:paraId="1692BDF0">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628D298B">
            <w:pPr>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F91C3">
            <w:pPr>
              <w:jc w:val="center"/>
              <w:rPr>
                <w:rFonts w:hint="eastAsia" w:ascii="宋体" w:hAnsi="宋体" w:eastAsia="宋体" w:cs="宋体"/>
                <w:bCs/>
                <w:sz w:val="24"/>
                <w:szCs w:val="24"/>
              </w:rPr>
            </w:pPr>
            <w:r>
              <w:rPr>
                <w:rFonts w:hint="eastAsia" w:ascii="宋体" w:hAnsi="宋体" w:eastAsia="宋体" w:cs="宋体"/>
                <w:bCs/>
                <w:sz w:val="24"/>
                <w:szCs w:val="24"/>
              </w:rPr>
              <w:t>X246：K6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5B807">
            <w:pPr>
              <w:jc w:val="center"/>
              <w:rPr>
                <w:rFonts w:hint="eastAsia" w:ascii="宋体" w:hAnsi="宋体" w:eastAsia="宋体" w:cs="宋体"/>
                <w:bCs/>
                <w:sz w:val="24"/>
                <w:szCs w:val="24"/>
              </w:rPr>
            </w:pPr>
            <w:r>
              <w:rPr>
                <w:rFonts w:hint="eastAsia" w:ascii="宋体" w:hAnsi="宋体" w:eastAsia="宋体" w:cs="宋体"/>
                <w:bCs/>
                <w:sz w:val="24"/>
                <w:szCs w:val="24"/>
              </w:rPr>
              <w:t>0</w:t>
            </w:r>
          </w:p>
        </w:tc>
        <w:tc>
          <w:tcPr>
            <w:tcW w:w="576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14:paraId="204F2031">
            <w:pPr>
              <w:jc w:val="center"/>
              <w:rPr>
                <w:rFonts w:hint="eastAsia" w:ascii="宋体" w:hAnsi="宋体" w:eastAsia="宋体" w:cs="宋体"/>
                <w:bCs/>
                <w:sz w:val="24"/>
                <w:szCs w:val="24"/>
              </w:rPr>
            </w:pPr>
            <w:r>
              <w:rPr>
                <w:rFonts w:hint="eastAsia" w:ascii="宋体" w:hAnsi="宋体" w:eastAsia="宋体" w:cs="宋体"/>
                <w:bCs/>
                <w:sz w:val="24"/>
                <w:szCs w:val="24"/>
              </w:rPr>
              <w:t>利旧2摄像机</w:t>
            </w:r>
          </w:p>
        </w:tc>
      </w:tr>
      <w:tr w14:paraId="6B79827C">
        <w:tblPrEx>
          <w:tblCellMar>
            <w:top w:w="0" w:type="dxa"/>
            <w:left w:w="108" w:type="dxa"/>
            <w:bottom w:w="0" w:type="dxa"/>
            <w:right w:w="108" w:type="dxa"/>
          </w:tblCellMar>
        </w:tblPrEx>
        <w:trPr>
          <w:trHeight w:val="351" w:hRule="atLeast"/>
        </w:trPr>
        <w:tc>
          <w:tcPr>
            <w:tcW w:w="4328" w:type="dxa"/>
            <w:gridSpan w:val="2"/>
            <w:tcBorders>
              <w:top w:val="single" w:color="000000" w:sz="4" w:space="0"/>
              <w:left w:val="single" w:color="000000" w:sz="8" w:space="0"/>
              <w:bottom w:val="single" w:color="000000" w:sz="8" w:space="0"/>
              <w:right w:val="single" w:color="000000" w:sz="4" w:space="0"/>
            </w:tcBorders>
            <w:shd w:val="clear" w:color="auto" w:fill="auto"/>
            <w:noWrap/>
            <w:vAlign w:val="bottom"/>
          </w:tcPr>
          <w:p w14:paraId="168D5444">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1350"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37CD2F8B">
            <w:pPr>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5768"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4A8500B8">
            <w:pPr>
              <w:jc w:val="center"/>
              <w:rPr>
                <w:rFonts w:hint="eastAsia" w:ascii="宋体" w:hAnsi="宋体" w:eastAsia="宋体" w:cs="宋体"/>
                <w:bCs/>
                <w:sz w:val="24"/>
                <w:szCs w:val="24"/>
              </w:rPr>
            </w:pPr>
          </w:p>
        </w:tc>
      </w:tr>
    </w:tbl>
    <w:p w14:paraId="04B756EC">
      <w:pPr>
        <w:spacing w:line="360" w:lineRule="auto"/>
        <w:ind w:firstLine="480" w:firstLineChars="200"/>
        <w:rPr>
          <w:rFonts w:hint="eastAsia" w:ascii="宋体" w:hAnsi="宋体" w:eastAsia="宋体" w:cs="宋体"/>
          <w:bCs/>
          <w:sz w:val="24"/>
          <w:szCs w:val="24"/>
        </w:rPr>
      </w:pPr>
    </w:p>
    <w:p w14:paraId="4337CF3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4、路侧开口哨兵</w:t>
      </w:r>
    </w:p>
    <w:p w14:paraId="3E6B149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在城区外围公路6处村口、非灯控路口建设6套路口开口哨兵。</w:t>
      </w:r>
    </w:p>
    <w:p w14:paraId="2D013E4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 支路安装预警哨兵一体机，主路安装检测终端，当主路来车时，立即通过声光电技术警示支路行人和车辆，达到预警、预防的安全通行效果，有效避免交通事故。具体功能及数量以清单参数要求为准。</w:t>
      </w:r>
    </w:p>
    <w:p w14:paraId="2450DCE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0" w:type="auto"/>
        <w:tblInd w:w="0" w:type="dxa"/>
        <w:tblLayout w:type="autofit"/>
        <w:tblCellMar>
          <w:top w:w="0" w:type="dxa"/>
          <w:left w:w="108" w:type="dxa"/>
          <w:bottom w:w="0" w:type="dxa"/>
          <w:right w:w="108" w:type="dxa"/>
        </w:tblCellMar>
      </w:tblPr>
      <w:tblGrid>
        <w:gridCol w:w="696"/>
        <w:gridCol w:w="2134"/>
        <w:gridCol w:w="2976"/>
        <w:gridCol w:w="819"/>
        <w:gridCol w:w="1601"/>
        <w:gridCol w:w="1571"/>
      </w:tblGrid>
      <w:tr w14:paraId="063AF079">
        <w:tblPrEx>
          <w:tblCellMar>
            <w:top w:w="0" w:type="dxa"/>
            <w:left w:w="108" w:type="dxa"/>
            <w:bottom w:w="0" w:type="dxa"/>
            <w:right w:w="108" w:type="dxa"/>
          </w:tblCellMar>
        </w:tblPrEx>
        <w:trPr>
          <w:trHeight w:val="940" w:hRule="atLeast"/>
        </w:trPr>
        <w:tc>
          <w:tcPr>
            <w:tcW w:w="99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A173566">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33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68611F">
            <w:pPr>
              <w:jc w:val="center"/>
              <w:rPr>
                <w:rFonts w:hint="eastAsia" w:ascii="宋体" w:hAnsi="宋体" w:eastAsia="宋体" w:cs="宋体"/>
                <w:bCs/>
                <w:sz w:val="24"/>
                <w:szCs w:val="24"/>
              </w:rPr>
            </w:pPr>
            <w:r>
              <w:rPr>
                <w:rFonts w:hint="eastAsia" w:ascii="宋体" w:hAnsi="宋体" w:eastAsia="宋体" w:cs="宋体"/>
                <w:bCs/>
                <w:sz w:val="24"/>
                <w:szCs w:val="24"/>
              </w:rPr>
              <w:t>道路</w:t>
            </w:r>
          </w:p>
        </w:tc>
        <w:tc>
          <w:tcPr>
            <w:tcW w:w="469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A62BEA6">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11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38BEB9">
            <w:pPr>
              <w:jc w:val="center"/>
              <w:rPr>
                <w:rFonts w:hint="eastAsia" w:ascii="宋体" w:hAnsi="宋体" w:eastAsia="宋体" w:cs="宋体"/>
                <w:bCs/>
                <w:sz w:val="24"/>
                <w:szCs w:val="24"/>
              </w:rPr>
            </w:pPr>
            <w:r>
              <w:rPr>
                <w:rFonts w:hint="eastAsia" w:ascii="宋体" w:hAnsi="宋体" w:eastAsia="宋体" w:cs="宋体"/>
                <w:bCs/>
                <w:sz w:val="24"/>
                <w:szCs w:val="24"/>
              </w:rPr>
              <w:t>路口类型</w:t>
            </w:r>
          </w:p>
        </w:tc>
        <w:tc>
          <w:tcPr>
            <w:tcW w:w="24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F97F92">
            <w:pPr>
              <w:jc w:val="center"/>
              <w:rPr>
                <w:rFonts w:hint="eastAsia" w:ascii="宋体" w:hAnsi="宋体" w:eastAsia="宋体" w:cs="宋体"/>
                <w:bCs/>
                <w:sz w:val="24"/>
                <w:szCs w:val="24"/>
              </w:rPr>
            </w:pPr>
            <w:r>
              <w:rPr>
                <w:rFonts w:hint="eastAsia" w:ascii="宋体" w:hAnsi="宋体" w:eastAsia="宋体" w:cs="宋体"/>
                <w:bCs/>
                <w:sz w:val="24"/>
                <w:szCs w:val="24"/>
              </w:rPr>
              <w:t>乡道主路检测终端</w:t>
            </w:r>
          </w:p>
        </w:tc>
        <w:tc>
          <w:tcPr>
            <w:tcW w:w="24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E9FDF00">
            <w:pPr>
              <w:jc w:val="center"/>
              <w:rPr>
                <w:rFonts w:hint="eastAsia" w:ascii="宋体" w:hAnsi="宋体" w:eastAsia="宋体" w:cs="宋体"/>
                <w:bCs/>
                <w:sz w:val="24"/>
                <w:szCs w:val="24"/>
              </w:rPr>
            </w:pPr>
            <w:r>
              <w:rPr>
                <w:rFonts w:hint="eastAsia" w:ascii="宋体" w:hAnsi="宋体" w:eastAsia="宋体" w:cs="宋体"/>
                <w:bCs/>
                <w:sz w:val="24"/>
                <w:szCs w:val="24"/>
              </w:rPr>
              <w:t>支路预警哨兵一体机（太阳能）</w:t>
            </w:r>
          </w:p>
        </w:tc>
      </w:tr>
      <w:tr w14:paraId="6CFB5A7B">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2813F9">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EBE9">
            <w:pPr>
              <w:jc w:val="center"/>
              <w:rPr>
                <w:rFonts w:hint="eastAsia" w:ascii="宋体" w:hAnsi="宋体" w:eastAsia="宋体" w:cs="宋体"/>
                <w:bCs/>
                <w:sz w:val="24"/>
                <w:szCs w:val="24"/>
              </w:rPr>
            </w:pPr>
            <w:r>
              <w:rPr>
                <w:rFonts w:hint="eastAsia" w:ascii="宋体" w:hAnsi="宋体" w:eastAsia="宋体" w:cs="宋体"/>
                <w:bCs/>
                <w:sz w:val="24"/>
                <w:szCs w:val="24"/>
              </w:rPr>
              <w:t>X218</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02D0">
            <w:pPr>
              <w:jc w:val="center"/>
              <w:rPr>
                <w:rFonts w:hint="eastAsia" w:ascii="宋体" w:hAnsi="宋体" w:eastAsia="宋体" w:cs="宋体"/>
                <w:bCs/>
                <w:sz w:val="24"/>
                <w:szCs w:val="24"/>
              </w:rPr>
            </w:pPr>
            <w:r>
              <w:rPr>
                <w:rFonts w:hint="eastAsia" w:ascii="宋体" w:hAnsi="宋体" w:eastAsia="宋体" w:cs="宋体"/>
                <w:bCs/>
                <w:sz w:val="24"/>
                <w:szCs w:val="24"/>
              </w:rPr>
              <w:t>k795+260哨兵预警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D61B">
            <w:pPr>
              <w:jc w:val="center"/>
              <w:rPr>
                <w:rFonts w:hint="eastAsia" w:ascii="宋体" w:hAnsi="宋体" w:eastAsia="宋体" w:cs="宋体"/>
                <w:bCs/>
                <w:sz w:val="24"/>
                <w:szCs w:val="24"/>
              </w:rPr>
            </w:pPr>
            <w:r>
              <w:rPr>
                <w:rFonts w:hint="eastAsia" w:ascii="宋体" w:hAnsi="宋体" w:eastAsia="宋体" w:cs="宋体"/>
                <w:bCs/>
                <w:sz w:val="24"/>
                <w:szCs w:val="24"/>
              </w:rPr>
              <w:t>丁字</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3E9">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ACE9">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689C910C">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CB19D9">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425E">
            <w:pPr>
              <w:jc w:val="center"/>
              <w:rPr>
                <w:rFonts w:hint="eastAsia" w:ascii="宋体" w:hAnsi="宋体" w:eastAsia="宋体" w:cs="宋体"/>
                <w:bCs/>
                <w:sz w:val="24"/>
                <w:szCs w:val="24"/>
              </w:rPr>
            </w:pPr>
            <w:r>
              <w:rPr>
                <w:rFonts w:hint="eastAsia" w:ascii="宋体" w:hAnsi="宋体" w:eastAsia="宋体" w:cs="宋体"/>
                <w:bCs/>
                <w:sz w:val="24"/>
                <w:szCs w:val="24"/>
              </w:rPr>
              <w:t>X218</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F442">
            <w:pPr>
              <w:jc w:val="center"/>
              <w:rPr>
                <w:rFonts w:hint="eastAsia" w:ascii="宋体" w:hAnsi="宋体" w:eastAsia="宋体" w:cs="宋体"/>
                <w:bCs/>
                <w:sz w:val="24"/>
                <w:szCs w:val="24"/>
              </w:rPr>
            </w:pPr>
            <w:r>
              <w:rPr>
                <w:rFonts w:hint="eastAsia" w:ascii="宋体" w:hAnsi="宋体" w:eastAsia="宋体" w:cs="宋体"/>
                <w:bCs/>
                <w:sz w:val="24"/>
                <w:szCs w:val="24"/>
              </w:rPr>
              <w:t>k802+530哨兵预警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45DF">
            <w:pPr>
              <w:jc w:val="center"/>
              <w:rPr>
                <w:rFonts w:hint="eastAsia" w:ascii="宋体" w:hAnsi="宋体" w:eastAsia="宋体" w:cs="宋体"/>
                <w:bCs/>
                <w:sz w:val="24"/>
                <w:szCs w:val="24"/>
              </w:rPr>
            </w:pPr>
            <w:r>
              <w:rPr>
                <w:rFonts w:hint="eastAsia" w:ascii="宋体" w:hAnsi="宋体" w:eastAsia="宋体" w:cs="宋体"/>
                <w:bCs/>
                <w:sz w:val="24"/>
                <w:szCs w:val="24"/>
              </w:rPr>
              <w:t>丁字</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30D6">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5DC1">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29C1D46">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7574B1">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8365">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6C0B">
            <w:pPr>
              <w:jc w:val="center"/>
              <w:rPr>
                <w:rFonts w:hint="eastAsia" w:ascii="宋体" w:hAnsi="宋体" w:eastAsia="宋体" w:cs="宋体"/>
                <w:bCs/>
                <w:sz w:val="24"/>
                <w:szCs w:val="24"/>
              </w:rPr>
            </w:pPr>
            <w:r>
              <w:rPr>
                <w:rFonts w:hint="eastAsia" w:ascii="宋体" w:hAnsi="宋体" w:eastAsia="宋体" w:cs="宋体"/>
                <w:bCs/>
                <w:sz w:val="24"/>
                <w:szCs w:val="24"/>
              </w:rPr>
              <w:t>K3+425哨兵预警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BE3B">
            <w:pPr>
              <w:jc w:val="center"/>
              <w:rPr>
                <w:rFonts w:hint="eastAsia" w:ascii="宋体" w:hAnsi="宋体" w:eastAsia="宋体" w:cs="宋体"/>
                <w:bCs/>
                <w:sz w:val="24"/>
                <w:szCs w:val="24"/>
              </w:rPr>
            </w:pPr>
            <w:r>
              <w:rPr>
                <w:rFonts w:hint="eastAsia" w:ascii="宋体" w:hAnsi="宋体" w:eastAsia="宋体" w:cs="宋体"/>
                <w:bCs/>
                <w:sz w:val="24"/>
                <w:szCs w:val="24"/>
              </w:rPr>
              <w:t>丁字</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CE47">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4266">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35A047FB">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1BAE38">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5F21">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5C16">
            <w:pPr>
              <w:jc w:val="center"/>
              <w:rPr>
                <w:rFonts w:hint="eastAsia" w:ascii="宋体" w:hAnsi="宋体" w:eastAsia="宋体" w:cs="宋体"/>
                <w:bCs/>
                <w:sz w:val="24"/>
                <w:szCs w:val="24"/>
              </w:rPr>
            </w:pPr>
            <w:r>
              <w:rPr>
                <w:rFonts w:hint="eastAsia" w:ascii="宋体" w:hAnsi="宋体" w:eastAsia="宋体" w:cs="宋体"/>
                <w:bCs/>
                <w:sz w:val="24"/>
                <w:szCs w:val="24"/>
              </w:rPr>
              <w:t>K4+080哨兵预警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B5CC">
            <w:pPr>
              <w:jc w:val="center"/>
              <w:rPr>
                <w:rFonts w:hint="eastAsia" w:ascii="宋体" w:hAnsi="宋体" w:eastAsia="宋体" w:cs="宋体"/>
                <w:bCs/>
                <w:sz w:val="24"/>
                <w:szCs w:val="24"/>
              </w:rPr>
            </w:pPr>
            <w:r>
              <w:rPr>
                <w:rFonts w:hint="eastAsia" w:ascii="宋体" w:hAnsi="宋体" w:eastAsia="宋体" w:cs="宋体"/>
                <w:bCs/>
                <w:sz w:val="24"/>
                <w:szCs w:val="24"/>
              </w:rPr>
              <w:t>丁字</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2C0C">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B981">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034F99F">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F631E9">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ADA8">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E319">
            <w:pPr>
              <w:jc w:val="center"/>
              <w:rPr>
                <w:rFonts w:hint="eastAsia" w:ascii="宋体" w:hAnsi="宋体" w:eastAsia="宋体" w:cs="宋体"/>
                <w:bCs/>
                <w:sz w:val="24"/>
                <w:szCs w:val="24"/>
              </w:rPr>
            </w:pPr>
            <w:r>
              <w:rPr>
                <w:rFonts w:hint="eastAsia" w:ascii="宋体" w:hAnsi="宋体" w:eastAsia="宋体" w:cs="宋体"/>
                <w:bCs/>
                <w:sz w:val="24"/>
                <w:szCs w:val="24"/>
              </w:rPr>
              <w:t>K27+680哨兵预警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DA20">
            <w:pPr>
              <w:jc w:val="center"/>
              <w:rPr>
                <w:rFonts w:hint="eastAsia" w:ascii="宋体" w:hAnsi="宋体" w:eastAsia="宋体" w:cs="宋体"/>
                <w:bCs/>
                <w:sz w:val="24"/>
                <w:szCs w:val="24"/>
              </w:rPr>
            </w:pPr>
            <w:r>
              <w:rPr>
                <w:rFonts w:hint="eastAsia" w:ascii="宋体" w:hAnsi="宋体" w:eastAsia="宋体" w:cs="宋体"/>
                <w:bCs/>
                <w:sz w:val="24"/>
                <w:szCs w:val="24"/>
              </w:rPr>
              <w:t>丁字</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BF44">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4BAD">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6957722">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59376E">
            <w:pPr>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5BBD">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4743">
            <w:pPr>
              <w:jc w:val="center"/>
              <w:rPr>
                <w:rFonts w:hint="eastAsia" w:ascii="宋体" w:hAnsi="宋体" w:eastAsia="宋体" w:cs="宋体"/>
                <w:bCs/>
                <w:sz w:val="24"/>
                <w:szCs w:val="24"/>
              </w:rPr>
            </w:pPr>
            <w:r>
              <w:rPr>
                <w:rFonts w:hint="eastAsia" w:ascii="宋体" w:hAnsi="宋体" w:eastAsia="宋体" w:cs="宋体"/>
                <w:bCs/>
                <w:sz w:val="24"/>
                <w:szCs w:val="24"/>
              </w:rPr>
              <w:t>k1+900路侧预警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ADE">
            <w:pPr>
              <w:jc w:val="center"/>
              <w:rPr>
                <w:rFonts w:hint="eastAsia" w:ascii="宋体" w:hAnsi="宋体" w:eastAsia="宋体" w:cs="宋体"/>
                <w:bCs/>
                <w:sz w:val="24"/>
                <w:szCs w:val="24"/>
              </w:rPr>
            </w:pPr>
            <w:r>
              <w:rPr>
                <w:rFonts w:hint="eastAsia" w:ascii="宋体" w:hAnsi="宋体" w:eastAsia="宋体" w:cs="宋体"/>
                <w:bCs/>
                <w:sz w:val="24"/>
                <w:szCs w:val="24"/>
              </w:rPr>
              <w:t>丁字</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B535">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94F0">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9A7C8D2">
        <w:tblPrEx>
          <w:tblCellMar>
            <w:top w:w="0" w:type="dxa"/>
            <w:left w:w="108" w:type="dxa"/>
            <w:bottom w:w="0" w:type="dxa"/>
            <w:right w:w="108" w:type="dxa"/>
          </w:tblCellMar>
        </w:tblPrEx>
        <w:trPr>
          <w:trHeight w:val="351" w:hRule="atLeast"/>
        </w:trPr>
        <w:tc>
          <w:tcPr>
            <w:tcW w:w="9024" w:type="dxa"/>
            <w:gridSpan w:val="3"/>
            <w:tcBorders>
              <w:top w:val="single" w:color="000000" w:sz="4" w:space="0"/>
              <w:left w:val="single" w:color="000000" w:sz="8" w:space="0"/>
              <w:bottom w:val="single" w:color="000000" w:sz="8" w:space="0"/>
              <w:right w:val="single" w:color="000000" w:sz="4" w:space="0"/>
            </w:tcBorders>
            <w:shd w:val="clear" w:color="auto" w:fill="auto"/>
            <w:noWrap/>
            <w:vAlign w:val="center"/>
          </w:tcPr>
          <w:p w14:paraId="2F0812D1">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119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3C6AFFE">
            <w:pPr>
              <w:jc w:val="center"/>
              <w:rPr>
                <w:rFonts w:hint="eastAsia" w:ascii="宋体" w:hAnsi="宋体" w:eastAsia="宋体" w:cs="宋体"/>
                <w:bCs/>
                <w:sz w:val="24"/>
                <w:szCs w:val="24"/>
              </w:rPr>
            </w:pPr>
          </w:p>
        </w:tc>
        <w:tc>
          <w:tcPr>
            <w:tcW w:w="246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85A9BD5">
            <w:pPr>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24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7191E2F">
            <w:pPr>
              <w:jc w:val="center"/>
              <w:rPr>
                <w:rFonts w:hint="eastAsia" w:ascii="宋体" w:hAnsi="宋体" w:eastAsia="宋体" w:cs="宋体"/>
                <w:bCs/>
                <w:sz w:val="24"/>
                <w:szCs w:val="24"/>
              </w:rPr>
            </w:pPr>
            <w:r>
              <w:rPr>
                <w:rFonts w:hint="eastAsia" w:ascii="宋体" w:hAnsi="宋体" w:eastAsia="宋体" w:cs="宋体"/>
                <w:bCs/>
                <w:sz w:val="24"/>
                <w:szCs w:val="24"/>
              </w:rPr>
              <w:t>6</w:t>
            </w:r>
          </w:p>
        </w:tc>
      </w:tr>
    </w:tbl>
    <w:p w14:paraId="50A6DB0B">
      <w:pPr>
        <w:spacing w:line="360" w:lineRule="auto"/>
        <w:ind w:firstLine="480" w:firstLineChars="200"/>
        <w:rPr>
          <w:rFonts w:hint="eastAsia" w:ascii="宋体" w:hAnsi="宋体" w:eastAsia="宋体" w:cs="宋体"/>
          <w:bCs/>
          <w:sz w:val="24"/>
          <w:szCs w:val="24"/>
        </w:rPr>
      </w:pPr>
    </w:p>
    <w:p w14:paraId="42C947F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5、速度预警提示屏</w:t>
      </w:r>
    </w:p>
    <w:p w14:paraId="23BEA20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在城区外围公路上建设5套。</w:t>
      </w:r>
    </w:p>
    <w:p w14:paraId="6359B80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实现功能：在急弯、陡坡、易超速、交通事故易发生路段设置，结合限速路段灵活设置，对车辆的车速进行预警，提示车辆及时减速慢行，保障行车安全。具体功能及数量以清单参数要求为准。</w:t>
      </w:r>
    </w:p>
    <w:p w14:paraId="0E83626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0" w:type="auto"/>
        <w:tblInd w:w="0" w:type="dxa"/>
        <w:tblLayout w:type="autofit"/>
        <w:tblCellMar>
          <w:top w:w="0" w:type="dxa"/>
          <w:left w:w="108" w:type="dxa"/>
          <w:bottom w:w="0" w:type="dxa"/>
          <w:right w:w="108" w:type="dxa"/>
        </w:tblCellMar>
      </w:tblPr>
      <w:tblGrid>
        <w:gridCol w:w="769"/>
        <w:gridCol w:w="2424"/>
        <w:gridCol w:w="3396"/>
        <w:gridCol w:w="1445"/>
        <w:gridCol w:w="1763"/>
      </w:tblGrid>
      <w:tr w14:paraId="5EC74B1A">
        <w:tblPrEx>
          <w:tblCellMar>
            <w:top w:w="0" w:type="dxa"/>
            <w:left w:w="108" w:type="dxa"/>
            <w:bottom w:w="0" w:type="dxa"/>
            <w:right w:w="108" w:type="dxa"/>
          </w:tblCellMar>
        </w:tblPrEx>
        <w:trPr>
          <w:trHeight w:val="940" w:hRule="atLeast"/>
        </w:trPr>
        <w:tc>
          <w:tcPr>
            <w:tcW w:w="99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09623A">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32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E0A0CC9">
            <w:pPr>
              <w:jc w:val="center"/>
              <w:rPr>
                <w:rFonts w:hint="eastAsia" w:ascii="宋体" w:hAnsi="宋体" w:eastAsia="宋体" w:cs="宋体"/>
                <w:bCs/>
                <w:sz w:val="24"/>
                <w:szCs w:val="24"/>
              </w:rPr>
            </w:pPr>
            <w:r>
              <w:rPr>
                <w:rFonts w:hint="eastAsia" w:ascii="宋体" w:hAnsi="宋体" w:eastAsia="宋体" w:cs="宋体"/>
                <w:bCs/>
                <w:sz w:val="24"/>
                <w:szCs w:val="24"/>
              </w:rPr>
              <w:t>道路</w:t>
            </w:r>
          </w:p>
        </w:tc>
        <w:tc>
          <w:tcPr>
            <w:tcW w:w="469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9939F5">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194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B515C05">
            <w:pPr>
              <w:jc w:val="center"/>
              <w:rPr>
                <w:rFonts w:hint="eastAsia" w:ascii="宋体" w:hAnsi="宋体" w:eastAsia="宋体" w:cs="宋体"/>
                <w:bCs/>
                <w:sz w:val="24"/>
                <w:szCs w:val="24"/>
              </w:rPr>
            </w:pPr>
            <w:r>
              <w:rPr>
                <w:rFonts w:hint="eastAsia" w:ascii="宋体" w:hAnsi="宋体" w:eastAsia="宋体" w:cs="宋体"/>
                <w:bCs/>
                <w:sz w:val="24"/>
                <w:szCs w:val="24"/>
              </w:rPr>
              <w:t>速度预警一体机（太阳能）</w:t>
            </w:r>
          </w:p>
        </w:tc>
        <w:tc>
          <w:tcPr>
            <w:tcW w:w="23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441ADC">
            <w:pPr>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0A97A56E">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9914D7">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4143">
            <w:pPr>
              <w:jc w:val="center"/>
              <w:rPr>
                <w:rFonts w:hint="eastAsia" w:ascii="宋体" w:hAnsi="宋体" w:eastAsia="宋体" w:cs="宋体"/>
                <w:bCs/>
                <w:sz w:val="24"/>
                <w:szCs w:val="24"/>
              </w:rPr>
            </w:pPr>
            <w:r>
              <w:rPr>
                <w:rFonts w:hint="eastAsia" w:ascii="宋体" w:hAnsi="宋体" w:eastAsia="宋体" w:cs="宋体"/>
                <w:bCs/>
                <w:sz w:val="24"/>
                <w:szCs w:val="24"/>
              </w:rPr>
              <w:t>X243</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A48">
            <w:pPr>
              <w:jc w:val="center"/>
              <w:rPr>
                <w:rFonts w:hint="eastAsia" w:ascii="宋体" w:hAnsi="宋体" w:eastAsia="宋体" w:cs="宋体"/>
                <w:bCs/>
                <w:sz w:val="24"/>
                <w:szCs w:val="24"/>
              </w:rPr>
            </w:pPr>
            <w:r>
              <w:rPr>
                <w:rFonts w:hint="eastAsia" w:ascii="宋体" w:hAnsi="宋体" w:eastAsia="宋体" w:cs="宋体"/>
                <w:bCs/>
                <w:sz w:val="24"/>
                <w:szCs w:val="24"/>
              </w:rPr>
              <w:t>k19+350速度预警提示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880F">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3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48815D">
            <w:pPr>
              <w:jc w:val="center"/>
              <w:rPr>
                <w:rFonts w:hint="eastAsia" w:ascii="宋体" w:hAnsi="宋体" w:eastAsia="宋体" w:cs="宋体"/>
                <w:bCs/>
                <w:sz w:val="24"/>
                <w:szCs w:val="24"/>
              </w:rPr>
            </w:pPr>
            <w:r>
              <w:rPr>
                <w:rFonts w:hint="eastAsia" w:ascii="宋体" w:hAnsi="宋体" w:eastAsia="宋体" w:cs="宋体"/>
                <w:bCs/>
                <w:sz w:val="24"/>
                <w:szCs w:val="24"/>
              </w:rPr>
              <w:t>出城方向</w:t>
            </w:r>
          </w:p>
        </w:tc>
      </w:tr>
      <w:tr w14:paraId="4F249B9A">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B21BDD">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E240">
            <w:pPr>
              <w:jc w:val="center"/>
              <w:rPr>
                <w:rFonts w:hint="eastAsia" w:ascii="宋体" w:hAnsi="宋体" w:eastAsia="宋体" w:cs="宋体"/>
                <w:bCs/>
                <w:sz w:val="24"/>
                <w:szCs w:val="24"/>
              </w:rPr>
            </w:pPr>
            <w:r>
              <w:rPr>
                <w:rFonts w:hint="eastAsia" w:ascii="宋体" w:hAnsi="宋体" w:eastAsia="宋体" w:cs="宋体"/>
                <w:bCs/>
                <w:sz w:val="24"/>
                <w:szCs w:val="24"/>
              </w:rPr>
              <w:t>X243</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798F">
            <w:pPr>
              <w:jc w:val="center"/>
              <w:rPr>
                <w:rFonts w:hint="eastAsia" w:ascii="宋体" w:hAnsi="宋体" w:eastAsia="宋体" w:cs="宋体"/>
                <w:bCs/>
                <w:sz w:val="24"/>
                <w:szCs w:val="24"/>
              </w:rPr>
            </w:pPr>
            <w:r>
              <w:rPr>
                <w:rFonts w:hint="eastAsia" w:ascii="宋体" w:hAnsi="宋体" w:eastAsia="宋体" w:cs="宋体"/>
                <w:bCs/>
                <w:sz w:val="24"/>
                <w:szCs w:val="24"/>
              </w:rPr>
              <w:t>k25+350速度预警提示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214B">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3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0F284">
            <w:pPr>
              <w:jc w:val="center"/>
              <w:rPr>
                <w:rFonts w:hint="eastAsia" w:ascii="宋体" w:hAnsi="宋体" w:eastAsia="宋体" w:cs="宋体"/>
                <w:bCs/>
                <w:sz w:val="24"/>
                <w:szCs w:val="24"/>
              </w:rPr>
            </w:pPr>
            <w:r>
              <w:rPr>
                <w:rFonts w:hint="eastAsia" w:ascii="宋体" w:hAnsi="宋体" w:eastAsia="宋体" w:cs="宋体"/>
                <w:bCs/>
                <w:sz w:val="24"/>
                <w:szCs w:val="24"/>
              </w:rPr>
              <w:t>进城方向</w:t>
            </w:r>
          </w:p>
        </w:tc>
      </w:tr>
      <w:tr w14:paraId="6E8AFFA8">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724121">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7531">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A959">
            <w:pPr>
              <w:jc w:val="center"/>
              <w:rPr>
                <w:rFonts w:hint="eastAsia" w:ascii="宋体" w:hAnsi="宋体" w:eastAsia="宋体" w:cs="宋体"/>
                <w:bCs/>
                <w:sz w:val="24"/>
                <w:szCs w:val="24"/>
              </w:rPr>
            </w:pPr>
            <w:r>
              <w:rPr>
                <w:rFonts w:hint="eastAsia" w:ascii="宋体" w:hAnsi="宋体" w:eastAsia="宋体" w:cs="宋体"/>
                <w:bCs/>
                <w:sz w:val="24"/>
                <w:szCs w:val="24"/>
              </w:rPr>
              <w:t>k15+750速度提示，双方向2套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9F49">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3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1D9933">
            <w:pPr>
              <w:jc w:val="center"/>
              <w:rPr>
                <w:rFonts w:hint="eastAsia" w:ascii="宋体" w:hAnsi="宋体" w:eastAsia="宋体" w:cs="宋体"/>
                <w:bCs/>
                <w:sz w:val="24"/>
                <w:szCs w:val="24"/>
              </w:rPr>
            </w:pPr>
            <w:r>
              <w:rPr>
                <w:rFonts w:hint="eastAsia" w:ascii="宋体" w:hAnsi="宋体" w:eastAsia="宋体" w:cs="宋体"/>
                <w:bCs/>
                <w:sz w:val="24"/>
                <w:szCs w:val="24"/>
              </w:rPr>
              <w:t>进出城方向</w:t>
            </w:r>
          </w:p>
        </w:tc>
      </w:tr>
      <w:tr w14:paraId="0349BB2D">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7ED0D5">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5E82">
            <w:pPr>
              <w:jc w:val="center"/>
              <w:rPr>
                <w:rFonts w:hint="eastAsia" w:ascii="宋体" w:hAnsi="宋体" w:eastAsia="宋体" w:cs="宋体"/>
                <w:bCs/>
                <w:sz w:val="24"/>
                <w:szCs w:val="24"/>
              </w:rPr>
            </w:pPr>
            <w:r>
              <w:rPr>
                <w:rFonts w:hint="eastAsia" w:ascii="宋体" w:hAnsi="宋体" w:eastAsia="宋体" w:cs="宋体"/>
                <w:bCs/>
                <w:sz w:val="24"/>
                <w:szCs w:val="24"/>
              </w:rPr>
              <w:t>X245</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86FB">
            <w:pPr>
              <w:jc w:val="center"/>
              <w:rPr>
                <w:rFonts w:hint="eastAsia" w:ascii="宋体" w:hAnsi="宋体" w:eastAsia="宋体" w:cs="宋体"/>
                <w:bCs/>
                <w:sz w:val="24"/>
                <w:szCs w:val="24"/>
              </w:rPr>
            </w:pPr>
            <w:r>
              <w:rPr>
                <w:rFonts w:hint="eastAsia" w:ascii="宋体" w:hAnsi="宋体" w:eastAsia="宋体" w:cs="宋体"/>
                <w:bCs/>
                <w:sz w:val="24"/>
                <w:szCs w:val="24"/>
              </w:rPr>
              <w:t>k21+350弯道预警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1849">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3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77ED7">
            <w:pPr>
              <w:jc w:val="center"/>
              <w:rPr>
                <w:rFonts w:hint="eastAsia" w:ascii="宋体" w:hAnsi="宋体" w:eastAsia="宋体" w:cs="宋体"/>
                <w:bCs/>
                <w:sz w:val="24"/>
                <w:szCs w:val="24"/>
              </w:rPr>
            </w:pPr>
            <w:r>
              <w:rPr>
                <w:rFonts w:hint="eastAsia" w:ascii="宋体" w:hAnsi="宋体" w:eastAsia="宋体" w:cs="宋体"/>
                <w:bCs/>
                <w:sz w:val="24"/>
                <w:szCs w:val="24"/>
              </w:rPr>
              <w:t>进城方向</w:t>
            </w:r>
          </w:p>
        </w:tc>
      </w:tr>
      <w:tr w14:paraId="5744616E">
        <w:tblPrEx>
          <w:tblCellMar>
            <w:top w:w="0" w:type="dxa"/>
            <w:left w:w="108" w:type="dxa"/>
            <w:bottom w:w="0" w:type="dxa"/>
            <w:right w:w="108" w:type="dxa"/>
          </w:tblCellMar>
        </w:tblPrEx>
        <w:trPr>
          <w:trHeight w:val="351" w:hRule="atLeast"/>
        </w:trPr>
        <w:tc>
          <w:tcPr>
            <w:tcW w:w="9017" w:type="dxa"/>
            <w:gridSpan w:val="3"/>
            <w:tcBorders>
              <w:top w:val="single" w:color="000000" w:sz="4" w:space="0"/>
              <w:left w:val="single" w:color="000000" w:sz="8" w:space="0"/>
              <w:bottom w:val="single" w:color="000000" w:sz="8" w:space="0"/>
              <w:right w:val="single" w:color="000000" w:sz="4" w:space="0"/>
            </w:tcBorders>
            <w:shd w:val="clear" w:color="auto" w:fill="auto"/>
            <w:noWrap/>
            <w:vAlign w:val="center"/>
          </w:tcPr>
          <w:p w14:paraId="3E9E6240">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194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D2BF95D">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239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7B0A5AA5">
            <w:pPr>
              <w:jc w:val="center"/>
              <w:rPr>
                <w:rFonts w:hint="eastAsia" w:ascii="宋体" w:hAnsi="宋体" w:eastAsia="宋体" w:cs="宋体"/>
                <w:bCs/>
                <w:sz w:val="24"/>
                <w:szCs w:val="24"/>
              </w:rPr>
            </w:pPr>
          </w:p>
        </w:tc>
      </w:tr>
    </w:tbl>
    <w:p w14:paraId="002388E9">
      <w:pPr>
        <w:spacing w:line="360" w:lineRule="auto"/>
        <w:ind w:firstLine="480" w:firstLineChars="200"/>
        <w:rPr>
          <w:rFonts w:hint="eastAsia" w:ascii="宋体" w:hAnsi="宋体" w:eastAsia="宋体" w:cs="宋体"/>
          <w:bCs/>
          <w:sz w:val="24"/>
          <w:szCs w:val="24"/>
        </w:rPr>
      </w:pPr>
    </w:p>
    <w:p w14:paraId="64036CC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6、无人机及无人机场</w:t>
      </w:r>
    </w:p>
    <w:p w14:paraId="03F6098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部署3套无人机及无人机场。</w:t>
      </w:r>
    </w:p>
    <w:p w14:paraId="10D8A59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实现功能：无人机配备高清相机设备，协助交警对管辖区域进行定时定线的高空巡检，有效弥补监控死角与盲区。具体功能及数量以清单参数要求为准。</w:t>
      </w:r>
    </w:p>
    <w:p w14:paraId="629132C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0" w:type="auto"/>
        <w:tblInd w:w="0" w:type="dxa"/>
        <w:tblLayout w:type="autofit"/>
        <w:tblCellMar>
          <w:top w:w="0" w:type="dxa"/>
          <w:left w:w="108" w:type="dxa"/>
          <w:bottom w:w="0" w:type="dxa"/>
          <w:right w:w="108" w:type="dxa"/>
        </w:tblCellMar>
      </w:tblPr>
      <w:tblGrid>
        <w:gridCol w:w="949"/>
        <w:gridCol w:w="3142"/>
        <w:gridCol w:w="3144"/>
        <w:gridCol w:w="2562"/>
      </w:tblGrid>
      <w:tr w14:paraId="0D43AAD2">
        <w:tblPrEx>
          <w:tblCellMar>
            <w:top w:w="0" w:type="dxa"/>
            <w:left w:w="108" w:type="dxa"/>
            <w:bottom w:w="0" w:type="dxa"/>
            <w:right w:w="108" w:type="dxa"/>
          </w:tblCellMar>
        </w:tblPrEx>
        <w:trPr>
          <w:trHeight w:val="940" w:hRule="atLeast"/>
        </w:trPr>
        <w:tc>
          <w:tcPr>
            <w:tcW w:w="99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9129CA3">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32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0FE14C">
            <w:pPr>
              <w:jc w:val="center"/>
              <w:rPr>
                <w:rFonts w:hint="eastAsia" w:ascii="宋体" w:hAnsi="宋体" w:eastAsia="宋体" w:cs="宋体"/>
                <w:bCs/>
                <w:sz w:val="24"/>
                <w:szCs w:val="24"/>
              </w:rPr>
            </w:pPr>
            <w:r>
              <w:rPr>
                <w:rFonts w:hint="eastAsia" w:ascii="宋体" w:hAnsi="宋体" w:eastAsia="宋体" w:cs="宋体"/>
                <w:bCs/>
                <w:sz w:val="24"/>
                <w:szCs w:val="24"/>
              </w:rPr>
              <w:t>道路</w:t>
            </w:r>
          </w:p>
        </w:tc>
        <w:tc>
          <w:tcPr>
            <w:tcW w:w="332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42F069">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27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0DB0C8">
            <w:pPr>
              <w:jc w:val="center"/>
              <w:rPr>
                <w:rFonts w:hint="eastAsia" w:ascii="宋体" w:hAnsi="宋体" w:eastAsia="宋体" w:cs="宋体"/>
                <w:bCs/>
                <w:sz w:val="24"/>
                <w:szCs w:val="24"/>
              </w:rPr>
            </w:pPr>
            <w:r>
              <w:rPr>
                <w:rFonts w:hint="eastAsia" w:ascii="宋体" w:hAnsi="宋体" w:eastAsia="宋体" w:cs="宋体"/>
                <w:bCs/>
                <w:sz w:val="24"/>
                <w:szCs w:val="24"/>
              </w:rPr>
              <w:t>无人机场</w:t>
            </w:r>
          </w:p>
        </w:tc>
      </w:tr>
      <w:tr w14:paraId="694A1C08">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FCFCAC">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5024">
            <w:pPr>
              <w:jc w:val="center"/>
              <w:rPr>
                <w:rFonts w:hint="eastAsia" w:ascii="宋体" w:hAnsi="宋体" w:eastAsia="宋体" w:cs="宋体"/>
                <w:bCs/>
                <w:sz w:val="24"/>
                <w:szCs w:val="24"/>
              </w:rPr>
            </w:pPr>
            <w:r>
              <w:rPr>
                <w:rFonts w:hint="eastAsia" w:ascii="宋体" w:hAnsi="宋体" w:eastAsia="宋体" w:cs="宋体"/>
                <w:bCs/>
                <w:sz w:val="24"/>
                <w:szCs w:val="24"/>
              </w:rPr>
              <w:t>X242</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4015">
            <w:pPr>
              <w:jc w:val="center"/>
              <w:rPr>
                <w:rFonts w:hint="eastAsia" w:ascii="宋体" w:hAnsi="宋体" w:eastAsia="宋体" w:cs="宋体"/>
                <w:bCs/>
                <w:sz w:val="24"/>
                <w:szCs w:val="24"/>
              </w:rPr>
            </w:pPr>
            <w:r>
              <w:rPr>
                <w:rFonts w:hint="eastAsia" w:ascii="宋体" w:hAnsi="宋体" w:eastAsia="宋体" w:cs="宋体"/>
                <w:bCs/>
                <w:sz w:val="24"/>
                <w:szCs w:val="24"/>
              </w:rPr>
              <w:t>X242无人机场</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38A7">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43BE5BEF">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22560B">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C1F5">
            <w:pPr>
              <w:jc w:val="center"/>
              <w:rPr>
                <w:rFonts w:hint="eastAsia" w:ascii="宋体" w:hAnsi="宋体" w:eastAsia="宋体" w:cs="宋体"/>
                <w:bCs/>
                <w:sz w:val="24"/>
                <w:szCs w:val="24"/>
              </w:rPr>
            </w:pPr>
            <w:r>
              <w:rPr>
                <w:rFonts w:hint="eastAsia" w:ascii="宋体" w:hAnsi="宋体" w:eastAsia="宋体" w:cs="宋体"/>
                <w:bCs/>
                <w:sz w:val="24"/>
                <w:szCs w:val="24"/>
              </w:rPr>
              <w:t>218国道</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A54E">
            <w:pPr>
              <w:jc w:val="center"/>
              <w:rPr>
                <w:rFonts w:hint="eastAsia" w:ascii="宋体" w:hAnsi="宋体" w:eastAsia="宋体" w:cs="宋体"/>
                <w:bCs/>
                <w:sz w:val="24"/>
                <w:szCs w:val="24"/>
              </w:rPr>
            </w:pPr>
            <w:r>
              <w:rPr>
                <w:rFonts w:hint="eastAsia" w:ascii="宋体" w:hAnsi="宋体" w:eastAsia="宋体" w:cs="宋体"/>
                <w:bCs/>
                <w:sz w:val="24"/>
                <w:szCs w:val="24"/>
              </w:rPr>
              <w:t>k822+655无人机基站</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57E3">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487B80C8">
        <w:tblPrEx>
          <w:tblCellMar>
            <w:top w:w="0" w:type="dxa"/>
            <w:left w:w="108" w:type="dxa"/>
            <w:bottom w:w="0" w:type="dxa"/>
            <w:right w:w="108" w:type="dxa"/>
          </w:tblCellMar>
        </w:tblPrEx>
        <w:trPr>
          <w:trHeight w:val="336" w:hRule="atLeast"/>
        </w:trPr>
        <w:tc>
          <w:tcPr>
            <w:tcW w:w="9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9A9B3">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3BFA">
            <w:pPr>
              <w:jc w:val="center"/>
              <w:rPr>
                <w:rFonts w:hint="eastAsia" w:ascii="宋体" w:hAnsi="宋体" w:eastAsia="宋体" w:cs="宋体"/>
                <w:bCs/>
                <w:sz w:val="24"/>
                <w:szCs w:val="24"/>
              </w:rPr>
            </w:pPr>
            <w:r>
              <w:rPr>
                <w:rFonts w:hint="eastAsia" w:ascii="宋体" w:hAnsi="宋体" w:eastAsia="宋体" w:cs="宋体"/>
                <w:bCs/>
                <w:sz w:val="24"/>
                <w:szCs w:val="24"/>
              </w:rPr>
              <w:t>218国道</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BAB8">
            <w:pPr>
              <w:jc w:val="center"/>
              <w:rPr>
                <w:rFonts w:hint="eastAsia" w:ascii="宋体" w:hAnsi="宋体" w:eastAsia="宋体" w:cs="宋体"/>
                <w:bCs/>
                <w:sz w:val="24"/>
                <w:szCs w:val="24"/>
              </w:rPr>
            </w:pPr>
            <w:r>
              <w:rPr>
                <w:rFonts w:hint="eastAsia" w:ascii="宋体" w:hAnsi="宋体" w:eastAsia="宋体" w:cs="宋体"/>
                <w:bCs/>
                <w:sz w:val="24"/>
                <w:szCs w:val="24"/>
              </w:rPr>
              <w:t>k808+530无人机基站</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D09B">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B83858D">
        <w:tblPrEx>
          <w:tblCellMar>
            <w:top w:w="0" w:type="dxa"/>
            <w:left w:w="108" w:type="dxa"/>
            <w:bottom w:w="0" w:type="dxa"/>
            <w:right w:w="108" w:type="dxa"/>
          </w:tblCellMar>
        </w:tblPrEx>
        <w:trPr>
          <w:trHeight w:val="351" w:hRule="atLeast"/>
        </w:trPr>
        <w:tc>
          <w:tcPr>
            <w:tcW w:w="4321"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45085485">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332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B9F4050">
            <w:pPr>
              <w:jc w:val="center"/>
              <w:rPr>
                <w:rFonts w:hint="eastAsia" w:ascii="宋体" w:hAnsi="宋体" w:eastAsia="宋体" w:cs="宋体"/>
                <w:bCs/>
                <w:sz w:val="24"/>
                <w:szCs w:val="24"/>
              </w:rPr>
            </w:pPr>
          </w:p>
        </w:tc>
        <w:tc>
          <w:tcPr>
            <w:tcW w:w="271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77340A3">
            <w:pPr>
              <w:jc w:val="center"/>
              <w:rPr>
                <w:rFonts w:hint="eastAsia" w:ascii="宋体" w:hAnsi="宋体" w:eastAsia="宋体" w:cs="宋体"/>
                <w:bCs/>
                <w:sz w:val="24"/>
                <w:szCs w:val="24"/>
              </w:rPr>
            </w:pPr>
            <w:r>
              <w:rPr>
                <w:rFonts w:hint="eastAsia" w:ascii="宋体" w:hAnsi="宋体" w:eastAsia="宋体" w:cs="宋体"/>
                <w:bCs/>
                <w:sz w:val="24"/>
                <w:szCs w:val="24"/>
              </w:rPr>
              <w:t>3</w:t>
            </w:r>
          </w:p>
        </w:tc>
      </w:tr>
    </w:tbl>
    <w:p w14:paraId="214DCA37">
      <w:pPr>
        <w:spacing w:line="360" w:lineRule="auto"/>
        <w:ind w:firstLine="480" w:firstLineChars="200"/>
        <w:rPr>
          <w:rFonts w:hint="eastAsia" w:ascii="宋体" w:hAnsi="宋体" w:eastAsia="宋体" w:cs="宋体"/>
          <w:bCs/>
          <w:sz w:val="24"/>
          <w:szCs w:val="24"/>
        </w:rPr>
      </w:pPr>
    </w:p>
    <w:p w14:paraId="7338E9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7、高速公路卡口</w:t>
      </w:r>
    </w:p>
    <w:p w14:paraId="6254422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在高速公路6个收费站出入口、3个服务区出入口共计增加26台900万卡口抓拍相机。</w:t>
      </w:r>
    </w:p>
    <w:p w14:paraId="557ABEE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实现功能：自动记录通过路口的所有车辆信息（包括车牌号码、车辆颜色、通过时间等），实现对车辆及驾驶人进行抓拍，提升道路通行安全。具体功能及数量以清单参数要求为准。</w:t>
      </w:r>
    </w:p>
    <w:p w14:paraId="2550FF4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9192" w:type="dxa"/>
        <w:tblInd w:w="0" w:type="dxa"/>
        <w:tblLayout w:type="autofit"/>
        <w:tblCellMar>
          <w:top w:w="0" w:type="dxa"/>
          <w:left w:w="108" w:type="dxa"/>
          <w:bottom w:w="0" w:type="dxa"/>
          <w:right w:w="108" w:type="dxa"/>
        </w:tblCellMar>
      </w:tblPr>
      <w:tblGrid>
        <w:gridCol w:w="1381"/>
        <w:gridCol w:w="3884"/>
        <w:gridCol w:w="2055"/>
        <w:gridCol w:w="1872"/>
      </w:tblGrid>
      <w:tr w14:paraId="56EC018B">
        <w:tblPrEx>
          <w:tblCellMar>
            <w:top w:w="0" w:type="dxa"/>
            <w:left w:w="108" w:type="dxa"/>
            <w:bottom w:w="0" w:type="dxa"/>
            <w:right w:w="108" w:type="dxa"/>
          </w:tblCellMar>
        </w:tblPrEx>
        <w:trPr>
          <w:trHeight w:val="767" w:hRule="atLeast"/>
        </w:trPr>
        <w:tc>
          <w:tcPr>
            <w:tcW w:w="138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390F686">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88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4E6540">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205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8F0851">
            <w:pPr>
              <w:jc w:val="center"/>
              <w:rPr>
                <w:rFonts w:hint="eastAsia" w:ascii="宋体" w:hAnsi="宋体" w:eastAsia="宋体" w:cs="宋体"/>
                <w:bCs/>
                <w:sz w:val="24"/>
                <w:szCs w:val="24"/>
              </w:rPr>
            </w:pPr>
            <w:r>
              <w:rPr>
                <w:rFonts w:hint="eastAsia" w:ascii="宋体" w:hAnsi="宋体" w:eastAsia="宋体" w:cs="宋体"/>
                <w:bCs/>
                <w:sz w:val="24"/>
                <w:szCs w:val="24"/>
              </w:rPr>
              <w:t>建设</w:t>
            </w:r>
          </w:p>
        </w:tc>
        <w:tc>
          <w:tcPr>
            <w:tcW w:w="187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3ECA83">
            <w:pPr>
              <w:jc w:val="center"/>
              <w:rPr>
                <w:rFonts w:hint="eastAsia" w:ascii="宋体" w:hAnsi="宋体" w:eastAsia="宋体" w:cs="宋体"/>
                <w:bCs/>
                <w:sz w:val="24"/>
                <w:szCs w:val="24"/>
              </w:rPr>
            </w:pPr>
            <w:r>
              <w:rPr>
                <w:rFonts w:hint="eastAsia" w:ascii="宋体" w:hAnsi="宋体" w:eastAsia="宋体" w:cs="宋体"/>
                <w:bCs/>
                <w:sz w:val="24"/>
                <w:szCs w:val="24"/>
              </w:rPr>
              <w:t>抓拍相机</w:t>
            </w:r>
          </w:p>
        </w:tc>
      </w:tr>
      <w:tr w14:paraId="52438C1D">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041860">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DD6A">
            <w:pPr>
              <w:jc w:val="center"/>
              <w:rPr>
                <w:rFonts w:hint="eastAsia" w:ascii="宋体" w:hAnsi="宋体" w:eastAsia="宋体" w:cs="宋体"/>
                <w:bCs/>
                <w:sz w:val="24"/>
                <w:szCs w:val="24"/>
              </w:rPr>
            </w:pPr>
            <w:r>
              <w:rPr>
                <w:rFonts w:hint="eastAsia" w:ascii="宋体" w:hAnsi="宋体" w:eastAsia="宋体" w:cs="宋体"/>
                <w:bCs/>
                <w:sz w:val="24"/>
                <w:szCs w:val="24"/>
              </w:rPr>
              <w:t>塔里木收费站入口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EA60">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2790">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469E863">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631559">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9E84">
            <w:pPr>
              <w:jc w:val="center"/>
              <w:rPr>
                <w:rFonts w:hint="eastAsia" w:ascii="宋体" w:hAnsi="宋体" w:eastAsia="宋体" w:cs="宋体"/>
                <w:bCs/>
                <w:sz w:val="24"/>
                <w:szCs w:val="24"/>
              </w:rPr>
            </w:pPr>
            <w:r>
              <w:rPr>
                <w:rFonts w:hint="eastAsia" w:ascii="宋体" w:hAnsi="宋体" w:eastAsia="宋体" w:cs="宋体"/>
                <w:bCs/>
                <w:sz w:val="24"/>
                <w:szCs w:val="24"/>
              </w:rPr>
              <w:t>塔里木收费站出口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2E15">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655">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34AF1F7">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05122E">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3E0F">
            <w:pPr>
              <w:jc w:val="center"/>
              <w:rPr>
                <w:rFonts w:hint="eastAsia" w:ascii="宋体" w:hAnsi="宋体" w:eastAsia="宋体" w:cs="宋体"/>
                <w:bCs/>
                <w:sz w:val="24"/>
                <w:szCs w:val="24"/>
              </w:rPr>
            </w:pPr>
            <w:r>
              <w:rPr>
                <w:rFonts w:hint="eastAsia" w:ascii="宋体" w:hAnsi="宋体" w:eastAsia="宋体" w:cs="宋体"/>
                <w:bCs/>
                <w:sz w:val="24"/>
                <w:szCs w:val="24"/>
              </w:rPr>
              <w:t>群克收费站入口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AD01">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B3E4">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11EA01AF">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17D27">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14B7">
            <w:pPr>
              <w:jc w:val="center"/>
              <w:rPr>
                <w:rFonts w:hint="eastAsia" w:ascii="宋体" w:hAnsi="宋体" w:eastAsia="宋体" w:cs="宋体"/>
                <w:bCs/>
                <w:sz w:val="24"/>
                <w:szCs w:val="24"/>
              </w:rPr>
            </w:pPr>
            <w:r>
              <w:rPr>
                <w:rFonts w:hint="eastAsia" w:ascii="宋体" w:hAnsi="宋体" w:eastAsia="宋体" w:cs="宋体"/>
                <w:bCs/>
                <w:sz w:val="24"/>
                <w:szCs w:val="24"/>
              </w:rPr>
              <w:t>群克收费站出口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7842">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7CA1">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67FD4C92">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4F5E34">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E39B">
            <w:pPr>
              <w:jc w:val="center"/>
              <w:rPr>
                <w:rFonts w:hint="eastAsia" w:ascii="宋体" w:hAnsi="宋体" w:eastAsia="宋体" w:cs="宋体"/>
                <w:bCs/>
                <w:sz w:val="24"/>
                <w:szCs w:val="24"/>
              </w:rPr>
            </w:pPr>
            <w:r>
              <w:rPr>
                <w:rFonts w:hint="eastAsia" w:ascii="宋体" w:hAnsi="宋体" w:eastAsia="宋体" w:cs="宋体"/>
                <w:bCs/>
                <w:sz w:val="24"/>
                <w:szCs w:val="24"/>
              </w:rPr>
              <w:t>31 团收费站入口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EAB">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1C66">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2914F0C8">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6F5CDE">
            <w:pPr>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BD10">
            <w:pPr>
              <w:jc w:val="center"/>
              <w:rPr>
                <w:rFonts w:hint="eastAsia" w:ascii="宋体" w:hAnsi="宋体" w:eastAsia="宋体" w:cs="宋体"/>
                <w:bCs/>
                <w:sz w:val="24"/>
                <w:szCs w:val="24"/>
              </w:rPr>
            </w:pPr>
            <w:r>
              <w:rPr>
                <w:rFonts w:hint="eastAsia" w:ascii="宋体" w:hAnsi="宋体" w:eastAsia="宋体" w:cs="宋体"/>
                <w:bCs/>
                <w:sz w:val="24"/>
                <w:szCs w:val="24"/>
              </w:rPr>
              <w:t>31 团收费站出口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7CA">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64A">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3C40FEBA">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65F1B7">
            <w:pPr>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B0C8">
            <w:pPr>
              <w:jc w:val="center"/>
              <w:rPr>
                <w:rFonts w:hint="eastAsia" w:ascii="宋体" w:hAnsi="宋体" w:eastAsia="宋体" w:cs="宋体"/>
                <w:bCs/>
                <w:sz w:val="24"/>
                <w:szCs w:val="24"/>
              </w:rPr>
            </w:pPr>
            <w:r>
              <w:rPr>
                <w:rFonts w:hint="eastAsia" w:ascii="宋体" w:hAnsi="宋体" w:eastAsia="宋体" w:cs="宋体"/>
                <w:bCs/>
                <w:sz w:val="24"/>
                <w:szCs w:val="24"/>
              </w:rPr>
              <w:t>32 团收费站入口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9E14">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52A9">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69CB0A31">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78FD8A">
            <w:pPr>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540C">
            <w:pPr>
              <w:jc w:val="center"/>
              <w:rPr>
                <w:rFonts w:hint="eastAsia" w:ascii="宋体" w:hAnsi="宋体" w:eastAsia="宋体" w:cs="宋体"/>
                <w:bCs/>
                <w:sz w:val="24"/>
                <w:szCs w:val="24"/>
              </w:rPr>
            </w:pPr>
            <w:r>
              <w:rPr>
                <w:rFonts w:hint="eastAsia" w:ascii="宋体" w:hAnsi="宋体" w:eastAsia="宋体" w:cs="宋体"/>
                <w:bCs/>
                <w:sz w:val="24"/>
                <w:szCs w:val="24"/>
              </w:rPr>
              <w:t>32 团收费站出口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440D">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6B95">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3DA56B0F">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52FC8D">
            <w:pPr>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85A3">
            <w:pPr>
              <w:jc w:val="center"/>
              <w:rPr>
                <w:rFonts w:hint="eastAsia" w:ascii="宋体" w:hAnsi="宋体" w:eastAsia="宋体" w:cs="宋体"/>
                <w:bCs/>
                <w:sz w:val="24"/>
                <w:szCs w:val="24"/>
              </w:rPr>
            </w:pPr>
            <w:r>
              <w:rPr>
                <w:rFonts w:hint="eastAsia" w:ascii="宋体" w:hAnsi="宋体" w:eastAsia="宋体" w:cs="宋体"/>
                <w:bCs/>
                <w:sz w:val="24"/>
                <w:szCs w:val="24"/>
              </w:rPr>
              <w:t>33 团收费站入口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A4F1">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8C84">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4F0F2754">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906C1">
            <w:pPr>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C799">
            <w:pPr>
              <w:jc w:val="center"/>
              <w:rPr>
                <w:rFonts w:hint="eastAsia" w:ascii="宋体" w:hAnsi="宋体" w:eastAsia="宋体" w:cs="宋体"/>
                <w:bCs/>
                <w:sz w:val="24"/>
                <w:szCs w:val="24"/>
              </w:rPr>
            </w:pPr>
            <w:r>
              <w:rPr>
                <w:rFonts w:hint="eastAsia" w:ascii="宋体" w:hAnsi="宋体" w:eastAsia="宋体" w:cs="宋体"/>
                <w:bCs/>
                <w:sz w:val="24"/>
                <w:szCs w:val="24"/>
              </w:rPr>
              <w:t>33 团收费站出口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F5DF">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5C2E">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414EA890">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49A75">
            <w:pPr>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4549">
            <w:pPr>
              <w:jc w:val="center"/>
              <w:rPr>
                <w:rFonts w:hint="eastAsia" w:ascii="宋体" w:hAnsi="宋体" w:eastAsia="宋体" w:cs="宋体"/>
                <w:bCs/>
                <w:sz w:val="24"/>
                <w:szCs w:val="24"/>
              </w:rPr>
            </w:pPr>
            <w:r>
              <w:rPr>
                <w:rFonts w:hint="eastAsia" w:ascii="宋体" w:hAnsi="宋体" w:eastAsia="宋体" w:cs="宋体"/>
                <w:bCs/>
                <w:sz w:val="24"/>
                <w:szCs w:val="24"/>
              </w:rPr>
              <w:t>34 团收费站入口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BFA2">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99F1">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30B045FD">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A57974">
            <w:pPr>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0226">
            <w:pPr>
              <w:jc w:val="center"/>
              <w:rPr>
                <w:rFonts w:hint="eastAsia" w:ascii="宋体" w:hAnsi="宋体" w:eastAsia="宋体" w:cs="宋体"/>
                <w:bCs/>
                <w:sz w:val="24"/>
                <w:szCs w:val="24"/>
              </w:rPr>
            </w:pPr>
            <w:r>
              <w:rPr>
                <w:rFonts w:hint="eastAsia" w:ascii="宋体" w:hAnsi="宋体" w:eastAsia="宋体" w:cs="宋体"/>
                <w:bCs/>
                <w:sz w:val="24"/>
                <w:szCs w:val="24"/>
              </w:rPr>
              <w:t>34 团收费站出口</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4FB0">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D6BF">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532B2A45">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79C443">
            <w:pPr>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37DF">
            <w:pPr>
              <w:jc w:val="center"/>
              <w:rPr>
                <w:rFonts w:hint="eastAsia" w:ascii="宋体" w:hAnsi="宋体" w:eastAsia="宋体" w:cs="宋体"/>
                <w:bCs/>
                <w:sz w:val="24"/>
                <w:szCs w:val="24"/>
              </w:rPr>
            </w:pPr>
            <w:r>
              <w:rPr>
                <w:rFonts w:hint="eastAsia" w:ascii="宋体" w:hAnsi="宋体" w:eastAsia="宋体" w:cs="宋体"/>
                <w:bCs/>
                <w:sz w:val="24"/>
                <w:szCs w:val="24"/>
              </w:rPr>
              <w:t>尉犁服务区入口-北向南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7AE">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76BE">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4497DD7">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016B57">
            <w:pPr>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AD03">
            <w:pPr>
              <w:jc w:val="center"/>
              <w:rPr>
                <w:rFonts w:hint="eastAsia" w:ascii="宋体" w:hAnsi="宋体" w:eastAsia="宋体" w:cs="宋体"/>
                <w:bCs/>
                <w:sz w:val="24"/>
                <w:szCs w:val="24"/>
              </w:rPr>
            </w:pPr>
            <w:r>
              <w:rPr>
                <w:rFonts w:hint="eastAsia" w:ascii="宋体" w:hAnsi="宋体" w:eastAsia="宋体" w:cs="宋体"/>
                <w:bCs/>
                <w:sz w:val="24"/>
                <w:szCs w:val="24"/>
              </w:rPr>
              <w:t>尉犁服务区出口-北向南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4613">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15A6">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D4D83F0">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6D503D">
            <w:pPr>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F14E">
            <w:pPr>
              <w:jc w:val="center"/>
              <w:rPr>
                <w:rFonts w:hint="eastAsia" w:ascii="宋体" w:hAnsi="宋体" w:eastAsia="宋体" w:cs="宋体"/>
                <w:bCs/>
                <w:sz w:val="24"/>
                <w:szCs w:val="24"/>
              </w:rPr>
            </w:pPr>
            <w:r>
              <w:rPr>
                <w:rFonts w:hint="eastAsia" w:ascii="宋体" w:hAnsi="宋体" w:eastAsia="宋体" w:cs="宋体"/>
                <w:bCs/>
                <w:sz w:val="24"/>
                <w:szCs w:val="24"/>
              </w:rPr>
              <w:t>尉犁服务区入口-南向北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F935">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1EC1">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3713C5DB">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B8660">
            <w:pPr>
              <w:jc w:val="center"/>
              <w:rPr>
                <w:rFonts w:hint="eastAsia" w:ascii="宋体" w:hAnsi="宋体" w:eastAsia="宋体" w:cs="宋体"/>
                <w:bCs/>
                <w:sz w:val="24"/>
                <w:szCs w:val="24"/>
              </w:rPr>
            </w:pPr>
            <w:r>
              <w:rPr>
                <w:rFonts w:hint="eastAsia" w:ascii="宋体" w:hAnsi="宋体" w:eastAsia="宋体" w:cs="宋体"/>
                <w:bCs/>
                <w:sz w:val="24"/>
                <w:szCs w:val="24"/>
              </w:rPr>
              <w:t>16</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1D7">
            <w:pPr>
              <w:jc w:val="center"/>
              <w:rPr>
                <w:rFonts w:hint="eastAsia" w:ascii="宋体" w:hAnsi="宋体" w:eastAsia="宋体" w:cs="宋体"/>
                <w:bCs/>
                <w:sz w:val="24"/>
                <w:szCs w:val="24"/>
              </w:rPr>
            </w:pPr>
            <w:r>
              <w:rPr>
                <w:rFonts w:hint="eastAsia" w:ascii="宋体" w:hAnsi="宋体" w:eastAsia="宋体" w:cs="宋体"/>
                <w:bCs/>
                <w:sz w:val="24"/>
                <w:szCs w:val="24"/>
              </w:rPr>
              <w:t>尉犁服务区出口-南向北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EB17">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9DDC">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3B7BC4A3">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9A4099">
            <w:pPr>
              <w:jc w:val="center"/>
              <w:rPr>
                <w:rFonts w:hint="eastAsia" w:ascii="宋体" w:hAnsi="宋体" w:eastAsia="宋体" w:cs="宋体"/>
                <w:bCs/>
                <w:sz w:val="24"/>
                <w:szCs w:val="24"/>
              </w:rPr>
            </w:pPr>
            <w:r>
              <w:rPr>
                <w:rFonts w:hint="eastAsia" w:ascii="宋体" w:hAnsi="宋体" w:eastAsia="宋体" w:cs="宋体"/>
                <w:bCs/>
                <w:sz w:val="24"/>
                <w:szCs w:val="24"/>
              </w:rPr>
              <w:t>17</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DF7D">
            <w:pPr>
              <w:jc w:val="center"/>
              <w:rPr>
                <w:rFonts w:hint="eastAsia" w:ascii="宋体" w:hAnsi="宋体" w:eastAsia="宋体" w:cs="宋体"/>
                <w:bCs/>
                <w:sz w:val="24"/>
                <w:szCs w:val="24"/>
              </w:rPr>
            </w:pPr>
            <w:r>
              <w:rPr>
                <w:rFonts w:hint="eastAsia" w:ascii="宋体" w:hAnsi="宋体" w:eastAsia="宋体" w:cs="宋体"/>
                <w:bCs/>
                <w:sz w:val="24"/>
                <w:szCs w:val="24"/>
              </w:rPr>
              <w:t>营盘服务区入口-北向南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70D6">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A4F2">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5C411D2D">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336A33">
            <w:pPr>
              <w:jc w:val="center"/>
              <w:rPr>
                <w:rFonts w:hint="eastAsia" w:ascii="宋体" w:hAnsi="宋体" w:eastAsia="宋体" w:cs="宋体"/>
                <w:bCs/>
                <w:sz w:val="24"/>
                <w:szCs w:val="24"/>
              </w:rPr>
            </w:pPr>
            <w:r>
              <w:rPr>
                <w:rFonts w:hint="eastAsia" w:ascii="宋体" w:hAnsi="宋体" w:eastAsia="宋体" w:cs="宋体"/>
                <w:bCs/>
                <w:sz w:val="24"/>
                <w:szCs w:val="24"/>
              </w:rPr>
              <w:t>18</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D6DB">
            <w:pPr>
              <w:jc w:val="center"/>
              <w:rPr>
                <w:rFonts w:hint="eastAsia" w:ascii="宋体" w:hAnsi="宋体" w:eastAsia="宋体" w:cs="宋体"/>
                <w:bCs/>
                <w:sz w:val="24"/>
                <w:szCs w:val="24"/>
              </w:rPr>
            </w:pPr>
            <w:r>
              <w:rPr>
                <w:rFonts w:hint="eastAsia" w:ascii="宋体" w:hAnsi="宋体" w:eastAsia="宋体" w:cs="宋体"/>
                <w:bCs/>
                <w:sz w:val="24"/>
                <w:szCs w:val="24"/>
              </w:rPr>
              <w:t>营盘服务区出口-北向南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6F77">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1541">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CA35D75">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093AE3">
            <w:pPr>
              <w:jc w:val="center"/>
              <w:rPr>
                <w:rFonts w:hint="eastAsia" w:ascii="宋体" w:hAnsi="宋体" w:eastAsia="宋体" w:cs="宋体"/>
                <w:bCs/>
                <w:sz w:val="24"/>
                <w:szCs w:val="24"/>
              </w:rPr>
            </w:pPr>
            <w:r>
              <w:rPr>
                <w:rFonts w:hint="eastAsia" w:ascii="宋体" w:hAnsi="宋体" w:eastAsia="宋体" w:cs="宋体"/>
                <w:bCs/>
                <w:sz w:val="24"/>
                <w:szCs w:val="24"/>
              </w:rPr>
              <w:t>19</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F3C1">
            <w:pPr>
              <w:jc w:val="center"/>
              <w:rPr>
                <w:rFonts w:hint="eastAsia" w:ascii="宋体" w:hAnsi="宋体" w:eastAsia="宋体" w:cs="宋体"/>
                <w:bCs/>
                <w:sz w:val="24"/>
                <w:szCs w:val="24"/>
              </w:rPr>
            </w:pPr>
            <w:r>
              <w:rPr>
                <w:rFonts w:hint="eastAsia" w:ascii="宋体" w:hAnsi="宋体" w:eastAsia="宋体" w:cs="宋体"/>
                <w:bCs/>
                <w:sz w:val="24"/>
                <w:szCs w:val="24"/>
              </w:rPr>
              <w:t>营盘服务区入口-南向北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EC0F">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716">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291A13D4">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450BB8">
            <w:pPr>
              <w:jc w:val="center"/>
              <w:rPr>
                <w:rFonts w:hint="eastAsia" w:ascii="宋体" w:hAnsi="宋体" w:eastAsia="宋体" w:cs="宋体"/>
                <w:bCs/>
                <w:sz w:val="24"/>
                <w:szCs w:val="24"/>
              </w:rPr>
            </w:pPr>
            <w:r>
              <w:rPr>
                <w:rFonts w:hint="eastAsia" w:ascii="宋体" w:hAnsi="宋体" w:eastAsia="宋体" w:cs="宋体"/>
                <w:bCs/>
                <w:sz w:val="24"/>
                <w:szCs w:val="24"/>
              </w:rPr>
              <w:t>20</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9737">
            <w:pPr>
              <w:jc w:val="center"/>
              <w:rPr>
                <w:rFonts w:hint="eastAsia" w:ascii="宋体" w:hAnsi="宋体" w:eastAsia="宋体" w:cs="宋体"/>
                <w:bCs/>
                <w:sz w:val="24"/>
                <w:szCs w:val="24"/>
              </w:rPr>
            </w:pPr>
            <w:r>
              <w:rPr>
                <w:rFonts w:hint="eastAsia" w:ascii="宋体" w:hAnsi="宋体" w:eastAsia="宋体" w:cs="宋体"/>
                <w:bCs/>
                <w:sz w:val="24"/>
                <w:szCs w:val="24"/>
              </w:rPr>
              <w:t>营盘服务区出口-南向北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FF1B">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9EC1">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6615AE05">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776AF4">
            <w:pPr>
              <w:jc w:val="center"/>
              <w:rPr>
                <w:rFonts w:hint="eastAsia" w:ascii="宋体" w:hAnsi="宋体" w:eastAsia="宋体" w:cs="宋体"/>
                <w:bCs/>
                <w:sz w:val="24"/>
                <w:szCs w:val="24"/>
              </w:rPr>
            </w:pPr>
            <w:r>
              <w:rPr>
                <w:rFonts w:hint="eastAsia" w:ascii="宋体" w:hAnsi="宋体" w:eastAsia="宋体" w:cs="宋体"/>
                <w:bCs/>
                <w:sz w:val="24"/>
                <w:szCs w:val="24"/>
              </w:rPr>
              <w:t>21</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02A9">
            <w:pPr>
              <w:jc w:val="center"/>
              <w:rPr>
                <w:rFonts w:hint="eastAsia" w:ascii="宋体" w:hAnsi="宋体" w:eastAsia="宋体" w:cs="宋体"/>
                <w:bCs/>
                <w:sz w:val="24"/>
                <w:szCs w:val="24"/>
              </w:rPr>
            </w:pPr>
            <w:r>
              <w:rPr>
                <w:rFonts w:hint="eastAsia" w:ascii="宋体" w:hAnsi="宋体" w:eastAsia="宋体" w:cs="宋体"/>
                <w:bCs/>
                <w:sz w:val="24"/>
                <w:szCs w:val="24"/>
              </w:rPr>
              <w:t>铁干里克服务区-北向南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D614">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7816">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4664D9CF">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C1E156">
            <w:pPr>
              <w:jc w:val="center"/>
              <w:rPr>
                <w:rFonts w:hint="eastAsia" w:ascii="宋体" w:hAnsi="宋体" w:eastAsia="宋体" w:cs="宋体"/>
                <w:bCs/>
                <w:sz w:val="24"/>
                <w:szCs w:val="24"/>
              </w:rPr>
            </w:pPr>
            <w:r>
              <w:rPr>
                <w:rFonts w:hint="eastAsia" w:ascii="宋体" w:hAnsi="宋体" w:eastAsia="宋体" w:cs="宋体"/>
                <w:bCs/>
                <w:sz w:val="24"/>
                <w:szCs w:val="24"/>
              </w:rPr>
              <w:t>22</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932E">
            <w:pPr>
              <w:jc w:val="center"/>
              <w:rPr>
                <w:rFonts w:hint="eastAsia" w:ascii="宋体" w:hAnsi="宋体" w:eastAsia="宋体" w:cs="宋体"/>
                <w:bCs/>
                <w:sz w:val="24"/>
                <w:szCs w:val="24"/>
              </w:rPr>
            </w:pPr>
            <w:r>
              <w:rPr>
                <w:rFonts w:hint="eastAsia" w:ascii="宋体" w:hAnsi="宋体" w:eastAsia="宋体" w:cs="宋体"/>
                <w:bCs/>
                <w:sz w:val="24"/>
                <w:szCs w:val="24"/>
              </w:rPr>
              <w:t>铁干里克服务区-北向南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3DFB">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79CF">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3F9BA10">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04AB59">
            <w:pPr>
              <w:jc w:val="center"/>
              <w:rPr>
                <w:rFonts w:hint="eastAsia" w:ascii="宋体" w:hAnsi="宋体" w:eastAsia="宋体" w:cs="宋体"/>
                <w:bCs/>
                <w:sz w:val="24"/>
                <w:szCs w:val="24"/>
              </w:rPr>
            </w:pPr>
            <w:r>
              <w:rPr>
                <w:rFonts w:hint="eastAsia" w:ascii="宋体" w:hAnsi="宋体" w:eastAsia="宋体" w:cs="宋体"/>
                <w:bCs/>
                <w:sz w:val="24"/>
                <w:szCs w:val="24"/>
              </w:rPr>
              <w:t>23</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444F">
            <w:pPr>
              <w:jc w:val="center"/>
              <w:rPr>
                <w:rFonts w:hint="eastAsia" w:ascii="宋体" w:hAnsi="宋体" w:eastAsia="宋体" w:cs="宋体"/>
                <w:bCs/>
                <w:sz w:val="24"/>
                <w:szCs w:val="24"/>
              </w:rPr>
            </w:pPr>
            <w:r>
              <w:rPr>
                <w:rFonts w:hint="eastAsia" w:ascii="宋体" w:hAnsi="宋体" w:eastAsia="宋体" w:cs="宋体"/>
                <w:bCs/>
                <w:sz w:val="24"/>
                <w:szCs w:val="24"/>
              </w:rPr>
              <w:t>铁干里克服务区-南向北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4F69">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847">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47A58669">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63A91E">
            <w:pPr>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3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AB4D">
            <w:pPr>
              <w:jc w:val="center"/>
              <w:rPr>
                <w:rFonts w:hint="eastAsia" w:ascii="宋体" w:hAnsi="宋体" w:eastAsia="宋体" w:cs="宋体"/>
                <w:bCs/>
                <w:sz w:val="24"/>
                <w:szCs w:val="24"/>
              </w:rPr>
            </w:pPr>
            <w:r>
              <w:rPr>
                <w:rFonts w:hint="eastAsia" w:ascii="宋体" w:hAnsi="宋体" w:eastAsia="宋体" w:cs="宋体"/>
                <w:bCs/>
                <w:sz w:val="24"/>
                <w:szCs w:val="24"/>
              </w:rPr>
              <w:t>铁干里克服务区-南向北</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AD26">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4E2B">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044BE05">
        <w:tblPrEx>
          <w:tblCellMar>
            <w:top w:w="0" w:type="dxa"/>
            <w:left w:w="108" w:type="dxa"/>
            <w:bottom w:w="0" w:type="dxa"/>
            <w:right w:w="108" w:type="dxa"/>
          </w:tblCellMar>
        </w:tblPrEx>
        <w:trPr>
          <w:trHeight w:val="280" w:hRule="atLeast"/>
        </w:trPr>
        <w:tc>
          <w:tcPr>
            <w:tcW w:w="13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224C3A">
            <w:pPr>
              <w:jc w:val="center"/>
              <w:rPr>
                <w:rFonts w:hint="eastAsia" w:ascii="宋体" w:hAnsi="宋体" w:eastAsia="宋体" w:cs="宋体"/>
                <w:bCs/>
                <w:sz w:val="24"/>
                <w:szCs w:val="24"/>
              </w:rPr>
            </w:pPr>
          </w:p>
        </w:tc>
        <w:tc>
          <w:tcPr>
            <w:tcW w:w="388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2D31DFF">
            <w:pPr>
              <w:jc w:val="center"/>
              <w:rPr>
                <w:rFonts w:hint="eastAsia" w:ascii="宋体" w:hAnsi="宋体" w:eastAsia="宋体" w:cs="宋体"/>
                <w:bCs/>
                <w:sz w:val="24"/>
                <w:szCs w:val="24"/>
              </w:rPr>
            </w:pPr>
          </w:p>
        </w:tc>
        <w:tc>
          <w:tcPr>
            <w:tcW w:w="205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83279B5">
            <w:pPr>
              <w:jc w:val="center"/>
              <w:rPr>
                <w:rFonts w:hint="eastAsia" w:ascii="宋体" w:hAnsi="宋体" w:eastAsia="宋体" w:cs="宋体"/>
                <w:bCs/>
                <w:sz w:val="24"/>
                <w:szCs w:val="24"/>
              </w:rPr>
            </w:pPr>
          </w:p>
        </w:tc>
        <w:tc>
          <w:tcPr>
            <w:tcW w:w="187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373E5D3">
            <w:pPr>
              <w:jc w:val="center"/>
              <w:rPr>
                <w:rFonts w:hint="eastAsia" w:ascii="宋体" w:hAnsi="宋体" w:eastAsia="宋体" w:cs="宋体"/>
                <w:bCs/>
                <w:sz w:val="24"/>
                <w:szCs w:val="24"/>
              </w:rPr>
            </w:pPr>
            <w:r>
              <w:rPr>
                <w:rFonts w:hint="eastAsia" w:ascii="宋体" w:hAnsi="宋体" w:eastAsia="宋体" w:cs="宋体"/>
                <w:bCs/>
                <w:sz w:val="24"/>
                <w:szCs w:val="24"/>
              </w:rPr>
              <w:t>26</w:t>
            </w:r>
          </w:p>
        </w:tc>
      </w:tr>
    </w:tbl>
    <w:p w14:paraId="765304F8">
      <w:pPr>
        <w:spacing w:line="360" w:lineRule="auto"/>
        <w:ind w:firstLine="480" w:firstLineChars="200"/>
        <w:rPr>
          <w:rFonts w:hint="eastAsia" w:ascii="宋体" w:hAnsi="宋体" w:eastAsia="宋体" w:cs="宋体"/>
          <w:bCs/>
          <w:sz w:val="24"/>
          <w:szCs w:val="24"/>
        </w:rPr>
      </w:pPr>
    </w:p>
    <w:p w14:paraId="13CCD35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8、大峡谷路段卡口</w:t>
      </w:r>
    </w:p>
    <w:p w14:paraId="60F9F9C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在3处大峡谷路段上新建6套900万高清卡口。</w:t>
      </w:r>
    </w:p>
    <w:p w14:paraId="70F150E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实现功能：自动记录通过路口的所有车辆信息（包括车牌号码、车辆颜色、通过时间等），实现对车辆及驾驶人进行抓拍，提升道路通行安全。具体功能及数量以清单参数要求为准。</w:t>
      </w:r>
    </w:p>
    <w:p w14:paraId="7BC8F76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8602" w:type="dxa"/>
        <w:tblInd w:w="0" w:type="dxa"/>
        <w:tblLayout w:type="autofit"/>
        <w:tblCellMar>
          <w:top w:w="0" w:type="dxa"/>
          <w:left w:w="108" w:type="dxa"/>
          <w:bottom w:w="0" w:type="dxa"/>
          <w:right w:w="108" w:type="dxa"/>
        </w:tblCellMar>
      </w:tblPr>
      <w:tblGrid>
        <w:gridCol w:w="996"/>
        <w:gridCol w:w="3332"/>
        <w:gridCol w:w="2924"/>
        <w:gridCol w:w="1350"/>
      </w:tblGrid>
      <w:tr w14:paraId="1B0FB275">
        <w:tblPrEx>
          <w:tblCellMar>
            <w:top w:w="0" w:type="dxa"/>
            <w:left w:w="108" w:type="dxa"/>
            <w:bottom w:w="0" w:type="dxa"/>
            <w:right w:w="108" w:type="dxa"/>
          </w:tblCellMar>
        </w:tblPrEx>
        <w:trPr>
          <w:trHeight w:val="505" w:hRule="atLeast"/>
        </w:trPr>
        <w:tc>
          <w:tcPr>
            <w:tcW w:w="996" w:type="dxa"/>
            <w:tcBorders>
              <w:top w:val="single" w:color="000000" w:sz="8" w:space="0"/>
              <w:left w:val="single" w:color="000000" w:sz="8" w:space="0"/>
              <w:bottom w:val="single" w:color="000000" w:sz="4" w:space="0"/>
              <w:right w:val="single" w:color="000000" w:sz="4" w:space="0"/>
            </w:tcBorders>
            <w:shd w:val="clear" w:color="auto" w:fill="auto"/>
            <w:noWrap/>
            <w:vAlign w:val="bottom"/>
          </w:tcPr>
          <w:p w14:paraId="1FCB819D">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332" w:type="dxa"/>
            <w:tcBorders>
              <w:top w:val="single" w:color="000000" w:sz="8" w:space="0"/>
              <w:left w:val="single" w:color="000000" w:sz="4" w:space="0"/>
              <w:bottom w:val="single" w:color="000000" w:sz="4" w:space="0"/>
              <w:right w:val="single" w:color="000000" w:sz="4" w:space="0"/>
            </w:tcBorders>
            <w:shd w:val="clear" w:color="auto" w:fill="auto"/>
            <w:noWrap/>
            <w:vAlign w:val="bottom"/>
          </w:tcPr>
          <w:p w14:paraId="5D3829CB">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2924" w:type="dxa"/>
            <w:tcBorders>
              <w:top w:val="single" w:color="000000" w:sz="8" w:space="0"/>
              <w:left w:val="single" w:color="000000" w:sz="4" w:space="0"/>
              <w:bottom w:val="single" w:color="000000" w:sz="4" w:space="0"/>
              <w:right w:val="single" w:color="000000" w:sz="4" w:space="0"/>
            </w:tcBorders>
            <w:shd w:val="clear" w:color="auto" w:fill="auto"/>
            <w:noWrap/>
            <w:vAlign w:val="bottom"/>
          </w:tcPr>
          <w:p w14:paraId="4EA82EB5">
            <w:pPr>
              <w:jc w:val="center"/>
              <w:rPr>
                <w:rFonts w:hint="eastAsia" w:ascii="宋体" w:hAnsi="宋体" w:eastAsia="宋体" w:cs="宋体"/>
                <w:bCs/>
                <w:sz w:val="24"/>
                <w:szCs w:val="24"/>
              </w:rPr>
            </w:pPr>
            <w:r>
              <w:rPr>
                <w:rFonts w:hint="eastAsia" w:ascii="宋体" w:hAnsi="宋体" w:eastAsia="宋体" w:cs="宋体"/>
                <w:bCs/>
                <w:sz w:val="24"/>
                <w:szCs w:val="24"/>
              </w:rPr>
              <w:t>建设系统</w:t>
            </w:r>
          </w:p>
        </w:tc>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bottom"/>
          </w:tcPr>
          <w:p w14:paraId="17C27BAF">
            <w:pPr>
              <w:jc w:val="center"/>
              <w:rPr>
                <w:rFonts w:hint="eastAsia" w:ascii="宋体" w:hAnsi="宋体" w:eastAsia="宋体" w:cs="宋体"/>
                <w:bCs/>
                <w:sz w:val="24"/>
                <w:szCs w:val="24"/>
              </w:rPr>
            </w:pPr>
            <w:r>
              <w:rPr>
                <w:rFonts w:hint="eastAsia" w:ascii="宋体" w:hAnsi="宋体" w:eastAsia="宋体" w:cs="宋体"/>
                <w:bCs/>
                <w:sz w:val="24"/>
                <w:szCs w:val="24"/>
              </w:rPr>
              <w:t>抓拍相机</w:t>
            </w:r>
          </w:p>
        </w:tc>
      </w:tr>
      <w:tr w14:paraId="2A31D55A">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443DE9BA">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C5964">
            <w:pPr>
              <w:jc w:val="center"/>
              <w:rPr>
                <w:rFonts w:hint="eastAsia" w:ascii="宋体" w:hAnsi="宋体" w:eastAsia="宋体" w:cs="宋体"/>
                <w:bCs/>
                <w:sz w:val="24"/>
                <w:szCs w:val="24"/>
              </w:rPr>
            </w:pPr>
            <w:r>
              <w:rPr>
                <w:rFonts w:hint="eastAsia" w:ascii="宋体" w:hAnsi="宋体" w:eastAsia="宋体" w:cs="宋体"/>
                <w:bCs/>
                <w:sz w:val="24"/>
                <w:szCs w:val="24"/>
              </w:rPr>
              <w:t>大峡谷路1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E1C7C">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143C6">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1B98352E">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54D2B00A">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86160">
            <w:pPr>
              <w:jc w:val="center"/>
              <w:rPr>
                <w:rFonts w:hint="eastAsia" w:ascii="宋体" w:hAnsi="宋体" w:eastAsia="宋体" w:cs="宋体"/>
                <w:bCs/>
                <w:sz w:val="24"/>
                <w:szCs w:val="24"/>
              </w:rPr>
            </w:pPr>
            <w:r>
              <w:rPr>
                <w:rFonts w:hint="eastAsia" w:ascii="宋体" w:hAnsi="宋体" w:eastAsia="宋体" w:cs="宋体"/>
                <w:bCs/>
                <w:sz w:val="24"/>
                <w:szCs w:val="24"/>
              </w:rPr>
              <w:t>大峡谷路2</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C6F61">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5831">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4FB33A04">
        <w:tblPrEx>
          <w:tblCellMar>
            <w:top w:w="0" w:type="dxa"/>
            <w:left w:w="108" w:type="dxa"/>
            <w:bottom w:w="0" w:type="dxa"/>
            <w:right w:w="108" w:type="dxa"/>
          </w:tblCellMar>
        </w:tblPrEx>
        <w:trPr>
          <w:trHeight w:val="336" w:hRule="atLeast"/>
        </w:trPr>
        <w:tc>
          <w:tcPr>
            <w:tcW w:w="996"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393CF656">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305CC">
            <w:pPr>
              <w:jc w:val="center"/>
              <w:rPr>
                <w:rFonts w:hint="eastAsia" w:ascii="宋体" w:hAnsi="宋体" w:eastAsia="宋体" w:cs="宋体"/>
                <w:bCs/>
                <w:sz w:val="24"/>
                <w:szCs w:val="24"/>
              </w:rPr>
            </w:pPr>
            <w:r>
              <w:rPr>
                <w:rFonts w:hint="eastAsia" w:ascii="宋体" w:hAnsi="宋体" w:eastAsia="宋体" w:cs="宋体"/>
                <w:bCs/>
                <w:sz w:val="24"/>
                <w:szCs w:val="24"/>
              </w:rPr>
              <w:t>大峡谷路3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26B08">
            <w:pPr>
              <w:jc w:val="center"/>
              <w:rPr>
                <w:rFonts w:hint="eastAsia" w:ascii="宋体" w:hAnsi="宋体" w:eastAsia="宋体" w:cs="宋体"/>
                <w:bCs/>
                <w:sz w:val="24"/>
                <w:szCs w:val="24"/>
              </w:rPr>
            </w:pPr>
            <w:r>
              <w:rPr>
                <w:rFonts w:hint="eastAsia" w:ascii="宋体" w:hAnsi="宋体" w:eastAsia="宋体" w:cs="宋体"/>
                <w:bCs/>
                <w:sz w:val="24"/>
                <w:szCs w:val="24"/>
              </w:rPr>
              <w:t>900w卡口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3F10C">
            <w:pPr>
              <w:jc w:val="center"/>
              <w:rPr>
                <w:rFonts w:hint="eastAsia" w:ascii="宋体" w:hAnsi="宋体" w:eastAsia="宋体" w:cs="宋体"/>
                <w:bCs/>
                <w:sz w:val="24"/>
                <w:szCs w:val="24"/>
              </w:rPr>
            </w:pPr>
            <w:r>
              <w:rPr>
                <w:rFonts w:hint="eastAsia" w:ascii="宋体" w:hAnsi="宋体" w:eastAsia="宋体" w:cs="宋体"/>
                <w:bCs/>
                <w:sz w:val="24"/>
                <w:szCs w:val="24"/>
              </w:rPr>
              <w:t>2</w:t>
            </w:r>
          </w:p>
        </w:tc>
      </w:tr>
      <w:tr w14:paraId="3BDF97B5">
        <w:tblPrEx>
          <w:tblCellMar>
            <w:top w:w="0" w:type="dxa"/>
            <w:left w:w="108" w:type="dxa"/>
            <w:bottom w:w="0" w:type="dxa"/>
            <w:right w:w="108" w:type="dxa"/>
          </w:tblCellMar>
        </w:tblPrEx>
        <w:trPr>
          <w:trHeight w:val="351" w:hRule="atLeast"/>
        </w:trPr>
        <w:tc>
          <w:tcPr>
            <w:tcW w:w="7252" w:type="dxa"/>
            <w:gridSpan w:val="3"/>
            <w:tcBorders>
              <w:top w:val="single" w:color="000000" w:sz="4" w:space="0"/>
              <w:left w:val="single" w:color="000000" w:sz="8" w:space="0"/>
              <w:bottom w:val="single" w:color="000000" w:sz="8" w:space="0"/>
              <w:right w:val="single" w:color="000000" w:sz="4" w:space="0"/>
            </w:tcBorders>
            <w:shd w:val="clear" w:color="auto" w:fill="auto"/>
            <w:noWrap/>
            <w:vAlign w:val="bottom"/>
          </w:tcPr>
          <w:p w14:paraId="29C5916F">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1350"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6E472EE9">
            <w:pPr>
              <w:jc w:val="center"/>
              <w:rPr>
                <w:rFonts w:hint="eastAsia" w:ascii="宋体" w:hAnsi="宋体" w:eastAsia="宋体" w:cs="宋体"/>
                <w:bCs/>
                <w:sz w:val="24"/>
                <w:szCs w:val="24"/>
              </w:rPr>
            </w:pPr>
            <w:r>
              <w:rPr>
                <w:rFonts w:hint="eastAsia" w:ascii="宋体" w:hAnsi="宋体" w:eastAsia="宋体" w:cs="宋体"/>
                <w:bCs/>
                <w:sz w:val="24"/>
                <w:szCs w:val="24"/>
              </w:rPr>
              <w:t>6</w:t>
            </w:r>
          </w:p>
        </w:tc>
      </w:tr>
    </w:tbl>
    <w:p w14:paraId="089D211C">
      <w:pPr>
        <w:spacing w:line="360" w:lineRule="auto"/>
        <w:ind w:firstLine="480" w:firstLineChars="200"/>
        <w:rPr>
          <w:rFonts w:hint="eastAsia" w:ascii="宋体" w:hAnsi="宋体" w:eastAsia="宋体" w:cs="宋体"/>
          <w:bCs/>
          <w:sz w:val="24"/>
          <w:szCs w:val="24"/>
        </w:rPr>
      </w:pPr>
    </w:p>
    <w:p w14:paraId="7D30DA8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9、路口提示屏</w:t>
      </w:r>
    </w:p>
    <w:p w14:paraId="74B91AB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在城区8个路口信号灯杆上新建32套信息提示屏。</w:t>
      </w:r>
    </w:p>
    <w:p w14:paraId="7C438B5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信息提示屏文字内容可以自定义。有左转待转区的路口方向，信息提示屏可适配信号灯状态，允许进入待转区时，显示“左转机动车进入待转区”；不允许进入待转区时，显示“禁止机动车进入待转区”，无待转区的路口方向，可以自定义显示安全提示标语。具体功能及数量以清单参数要求为准。</w:t>
      </w:r>
    </w:p>
    <w:p w14:paraId="2795EB2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建设点位：</w:t>
      </w:r>
    </w:p>
    <w:tbl>
      <w:tblPr>
        <w:tblStyle w:val="25"/>
        <w:tblW w:w="9208" w:type="dxa"/>
        <w:tblInd w:w="0" w:type="dxa"/>
        <w:tblLayout w:type="autofit"/>
        <w:tblCellMar>
          <w:top w:w="0" w:type="dxa"/>
          <w:left w:w="108" w:type="dxa"/>
          <w:bottom w:w="0" w:type="dxa"/>
          <w:right w:w="108" w:type="dxa"/>
        </w:tblCellMar>
      </w:tblPr>
      <w:tblGrid>
        <w:gridCol w:w="1088"/>
        <w:gridCol w:w="2699"/>
        <w:gridCol w:w="4333"/>
        <w:gridCol w:w="1088"/>
      </w:tblGrid>
      <w:tr w14:paraId="7615DB20">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483AAA">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FF63F4">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AA331A">
            <w:pPr>
              <w:jc w:val="center"/>
              <w:rPr>
                <w:rFonts w:hint="eastAsia" w:ascii="宋体" w:hAnsi="宋体" w:eastAsia="宋体" w:cs="宋体"/>
                <w:bCs/>
                <w:sz w:val="24"/>
                <w:szCs w:val="24"/>
              </w:rPr>
            </w:pPr>
            <w:r>
              <w:rPr>
                <w:rFonts w:hint="eastAsia" w:ascii="宋体" w:hAnsi="宋体" w:eastAsia="宋体" w:cs="宋体"/>
                <w:bCs/>
                <w:sz w:val="24"/>
                <w:szCs w:val="24"/>
              </w:rPr>
              <w:t>建设</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772D69">
            <w:pPr>
              <w:jc w:val="center"/>
              <w:rPr>
                <w:rFonts w:hint="eastAsia" w:ascii="宋体" w:hAnsi="宋体" w:eastAsia="宋体" w:cs="宋体"/>
                <w:bCs/>
                <w:sz w:val="24"/>
                <w:szCs w:val="24"/>
              </w:rPr>
            </w:pPr>
            <w:r>
              <w:rPr>
                <w:rFonts w:hint="eastAsia" w:ascii="宋体" w:hAnsi="宋体" w:eastAsia="宋体" w:cs="宋体"/>
                <w:bCs/>
                <w:sz w:val="24"/>
                <w:szCs w:val="24"/>
              </w:rPr>
              <w:t>数量</w:t>
            </w:r>
          </w:p>
        </w:tc>
      </w:tr>
      <w:tr w14:paraId="47E4524C">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844D7E">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9D9FC8">
            <w:pPr>
              <w:jc w:val="center"/>
              <w:rPr>
                <w:rFonts w:hint="eastAsia" w:ascii="宋体" w:hAnsi="宋体" w:eastAsia="宋体" w:cs="宋体"/>
                <w:bCs/>
                <w:sz w:val="24"/>
                <w:szCs w:val="24"/>
              </w:rPr>
            </w:pPr>
            <w:r>
              <w:rPr>
                <w:rFonts w:hint="eastAsia" w:ascii="宋体" w:hAnsi="宋体" w:eastAsia="宋体" w:cs="宋体"/>
                <w:bCs/>
                <w:sz w:val="24"/>
                <w:szCs w:val="24"/>
              </w:rPr>
              <w:t>孔雀路与和平路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07A0A9">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AB4789">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2B51475E">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360D4C">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A8CE5D">
            <w:pPr>
              <w:jc w:val="center"/>
              <w:rPr>
                <w:rFonts w:hint="eastAsia" w:ascii="宋体" w:hAnsi="宋体" w:eastAsia="宋体" w:cs="宋体"/>
                <w:bCs/>
                <w:sz w:val="24"/>
                <w:szCs w:val="24"/>
              </w:rPr>
            </w:pPr>
            <w:r>
              <w:rPr>
                <w:rFonts w:hint="eastAsia" w:ascii="宋体" w:hAnsi="宋体" w:eastAsia="宋体" w:cs="宋体"/>
                <w:bCs/>
                <w:sz w:val="24"/>
                <w:szCs w:val="24"/>
              </w:rPr>
              <w:t>孔雀路与团结路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0190A4">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16A8AA">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76158CFB">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2BB12B">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38BE85">
            <w:pPr>
              <w:jc w:val="center"/>
              <w:rPr>
                <w:rFonts w:hint="eastAsia" w:ascii="宋体" w:hAnsi="宋体" w:eastAsia="宋体" w:cs="宋体"/>
                <w:bCs/>
                <w:sz w:val="24"/>
                <w:szCs w:val="24"/>
              </w:rPr>
            </w:pPr>
            <w:r>
              <w:rPr>
                <w:rFonts w:hint="eastAsia" w:ascii="宋体" w:hAnsi="宋体" w:eastAsia="宋体" w:cs="宋体"/>
                <w:bCs/>
                <w:sz w:val="24"/>
                <w:szCs w:val="24"/>
              </w:rPr>
              <w:t>孔雀路与建设路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F1F6D7">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977FFA">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0D0A7AD8">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CE805B">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1EF09D">
            <w:pPr>
              <w:jc w:val="center"/>
              <w:rPr>
                <w:rFonts w:hint="eastAsia" w:ascii="宋体" w:hAnsi="宋体" w:eastAsia="宋体" w:cs="宋体"/>
                <w:bCs/>
                <w:sz w:val="24"/>
                <w:szCs w:val="24"/>
              </w:rPr>
            </w:pPr>
            <w:r>
              <w:rPr>
                <w:rFonts w:hint="eastAsia" w:ascii="宋体" w:hAnsi="宋体" w:eastAsia="宋体" w:cs="宋体"/>
                <w:bCs/>
                <w:sz w:val="24"/>
                <w:szCs w:val="24"/>
              </w:rPr>
              <w:t>孔雀路与文化路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016A71">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5D1565">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0533A2D4">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176EF3">
            <w:pPr>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083D98">
            <w:pPr>
              <w:jc w:val="center"/>
              <w:rPr>
                <w:rFonts w:hint="eastAsia" w:ascii="宋体" w:hAnsi="宋体" w:eastAsia="宋体" w:cs="宋体"/>
                <w:bCs/>
                <w:sz w:val="24"/>
                <w:szCs w:val="24"/>
              </w:rPr>
            </w:pPr>
            <w:r>
              <w:rPr>
                <w:rFonts w:hint="eastAsia" w:ascii="宋体" w:hAnsi="宋体" w:eastAsia="宋体" w:cs="宋体"/>
                <w:bCs/>
                <w:sz w:val="24"/>
                <w:szCs w:val="24"/>
              </w:rPr>
              <w:t>孔雀路与旅游路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2FB095">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961F17">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29E4B7DC">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FA60F4">
            <w:pPr>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66447D">
            <w:pPr>
              <w:jc w:val="center"/>
              <w:rPr>
                <w:rFonts w:hint="eastAsia" w:ascii="宋体" w:hAnsi="宋体" w:eastAsia="宋体" w:cs="宋体"/>
                <w:bCs/>
                <w:sz w:val="24"/>
                <w:szCs w:val="24"/>
              </w:rPr>
            </w:pPr>
            <w:r>
              <w:rPr>
                <w:rFonts w:hint="eastAsia" w:ascii="宋体" w:hAnsi="宋体" w:eastAsia="宋体" w:cs="宋体"/>
                <w:bCs/>
                <w:sz w:val="24"/>
                <w:szCs w:val="24"/>
              </w:rPr>
              <w:t>解放路与团结路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5E2CB3">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E5BF33">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1A58D6F0">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6E2C77">
            <w:pPr>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CBE41">
            <w:pPr>
              <w:jc w:val="center"/>
              <w:rPr>
                <w:rFonts w:hint="eastAsia" w:ascii="宋体" w:hAnsi="宋体" w:eastAsia="宋体" w:cs="宋体"/>
                <w:bCs/>
                <w:sz w:val="24"/>
                <w:szCs w:val="24"/>
              </w:rPr>
            </w:pPr>
            <w:r>
              <w:rPr>
                <w:rFonts w:hint="eastAsia" w:ascii="宋体" w:hAnsi="宋体" w:eastAsia="宋体" w:cs="宋体"/>
                <w:bCs/>
                <w:sz w:val="24"/>
                <w:szCs w:val="24"/>
              </w:rPr>
              <w:t>解放路与建设路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0B821A">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8B0C04">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428799F8">
        <w:tblPrEx>
          <w:tblCellMar>
            <w:top w:w="0" w:type="dxa"/>
            <w:left w:w="108" w:type="dxa"/>
            <w:bottom w:w="0" w:type="dxa"/>
            <w:right w:w="108" w:type="dxa"/>
          </w:tblCellMar>
        </w:tblPrEx>
        <w:trPr>
          <w:trHeight w:val="351" w:hRule="atLeast"/>
        </w:trPr>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A74BA">
            <w:pPr>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2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9CDE9C">
            <w:pPr>
              <w:jc w:val="center"/>
              <w:rPr>
                <w:rFonts w:hint="eastAsia" w:ascii="宋体" w:hAnsi="宋体" w:eastAsia="宋体" w:cs="宋体"/>
                <w:bCs/>
                <w:sz w:val="24"/>
                <w:szCs w:val="24"/>
              </w:rPr>
            </w:pPr>
            <w:r>
              <w:rPr>
                <w:rFonts w:hint="eastAsia" w:ascii="宋体" w:hAnsi="宋体" w:eastAsia="宋体" w:cs="宋体"/>
                <w:bCs/>
                <w:sz w:val="24"/>
                <w:szCs w:val="24"/>
              </w:rPr>
              <w:t>解放路与文化路</w:t>
            </w:r>
          </w:p>
        </w:tc>
        <w:tc>
          <w:tcPr>
            <w:tcW w:w="43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14D4BF">
            <w:pPr>
              <w:jc w:val="center"/>
              <w:rPr>
                <w:rFonts w:hint="eastAsia" w:ascii="宋体" w:hAnsi="宋体" w:eastAsia="宋体" w:cs="宋体"/>
                <w:bCs/>
                <w:sz w:val="24"/>
                <w:szCs w:val="24"/>
              </w:rPr>
            </w:pPr>
            <w:r>
              <w:rPr>
                <w:rFonts w:hint="eastAsia" w:ascii="宋体" w:hAnsi="宋体" w:eastAsia="宋体" w:cs="宋体"/>
                <w:bCs/>
                <w:sz w:val="24"/>
                <w:szCs w:val="24"/>
              </w:rPr>
              <w:t>4个方向信息提示屏</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328792">
            <w:pPr>
              <w:jc w:val="center"/>
              <w:rPr>
                <w:rFonts w:hint="eastAsia" w:ascii="宋体" w:hAnsi="宋体" w:eastAsia="宋体" w:cs="宋体"/>
                <w:bCs/>
                <w:sz w:val="24"/>
                <w:szCs w:val="24"/>
              </w:rPr>
            </w:pPr>
            <w:r>
              <w:rPr>
                <w:rFonts w:hint="eastAsia" w:ascii="宋体" w:hAnsi="宋体" w:eastAsia="宋体" w:cs="宋体"/>
                <w:bCs/>
                <w:sz w:val="24"/>
                <w:szCs w:val="24"/>
              </w:rPr>
              <w:t>4</w:t>
            </w:r>
          </w:p>
        </w:tc>
      </w:tr>
      <w:tr w14:paraId="4D2F4A2C">
        <w:tblPrEx>
          <w:tblCellMar>
            <w:top w:w="0" w:type="dxa"/>
            <w:left w:w="108" w:type="dxa"/>
            <w:bottom w:w="0" w:type="dxa"/>
            <w:right w:w="108" w:type="dxa"/>
          </w:tblCellMar>
        </w:tblPrEx>
        <w:trPr>
          <w:trHeight w:val="351" w:hRule="atLeast"/>
        </w:trPr>
        <w:tc>
          <w:tcPr>
            <w:tcW w:w="8120" w:type="dxa"/>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14:paraId="672AA631">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10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36A39A">
            <w:pPr>
              <w:jc w:val="center"/>
              <w:rPr>
                <w:rFonts w:hint="eastAsia" w:ascii="宋体" w:hAnsi="宋体" w:eastAsia="宋体" w:cs="宋体"/>
                <w:bCs/>
                <w:sz w:val="24"/>
                <w:szCs w:val="24"/>
              </w:rPr>
            </w:pPr>
            <w:r>
              <w:rPr>
                <w:rFonts w:hint="eastAsia" w:ascii="宋体" w:hAnsi="宋体" w:eastAsia="宋体" w:cs="宋体"/>
                <w:bCs/>
                <w:sz w:val="24"/>
                <w:szCs w:val="24"/>
              </w:rPr>
              <w:t>32</w:t>
            </w:r>
          </w:p>
        </w:tc>
      </w:tr>
    </w:tbl>
    <w:p w14:paraId="39581D43">
      <w:pPr>
        <w:spacing w:line="360" w:lineRule="auto"/>
        <w:ind w:firstLine="480" w:firstLineChars="200"/>
        <w:rPr>
          <w:rFonts w:hint="eastAsia" w:ascii="宋体" w:hAnsi="宋体" w:eastAsia="宋体" w:cs="宋体"/>
          <w:bCs/>
          <w:sz w:val="24"/>
          <w:szCs w:val="24"/>
        </w:rPr>
      </w:pPr>
    </w:p>
    <w:p w14:paraId="25C44C9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10、智慧信控边缘计算</w:t>
      </w:r>
    </w:p>
    <w:p w14:paraId="4644875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在城区4个信控路增加4套边缘小站。</w:t>
      </w:r>
    </w:p>
    <w:p w14:paraId="4E097B4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实现功能：“自适应控制优化”和“AI方案生成”两种优化策略，可实现基于数据实现的全自动、半自动信号优化。具体功能及数量以清单参数要求为准。</w:t>
      </w:r>
    </w:p>
    <w:tbl>
      <w:tblPr>
        <w:tblStyle w:val="25"/>
        <w:tblW w:w="0" w:type="auto"/>
        <w:tblInd w:w="0" w:type="dxa"/>
        <w:tblLayout w:type="autofit"/>
        <w:tblCellMar>
          <w:top w:w="0" w:type="dxa"/>
          <w:left w:w="108" w:type="dxa"/>
          <w:bottom w:w="0" w:type="dxa"/>
          <w:right w:w="108" w:type="dxa"/>
        </w:tblCellMar>
      </w:tblPr>
      <w:tblGrid>
        <w:gridCol w:w="970"/>
        <w:gridCol w:w="3365"/>
        <w:gridCol w:w="3246"/>
        <w:gridCol w:w="2216"/>
      </w:tblGrid>
      <w:tr w14:paraId="5541ACB0">
        <w:tblPrEx>
          <w:tblCellMar>
            <w:top w:w="0" w:type="dxa"/>
            <w:left w:w="108" w:type="dxa"/>
            <w:bottom w:w="0" w:type="dxa"/>
            <w:right w:w="108" w:type="dxa"/>
          </w:tblCellMar>
        </w:tblPrEx>
        <w:trPr>
          <w:trHeight w:val="1180" w:hRule="atLeast"/>
        </w:trPr>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F0944">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8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359A9">
            <w:pPr>
              <w:jc w:val="center"/>
              <w:rPr>
                <w:rFonts w:hint="eastAsia" w:ascii="宋体" w:hAnsi="宋体" w:eastAsia="宋体" w:cs="宋体"/>
                <w:bCs/>
                <w:sz w:val="24"/>
                <w:szCs w:val="24"/>
              </w:rPr>
            </w:pPr>
            <w:r>
              <w:rPr>
                <w:rFonts w:hint="eastAsia" w:ascii="宋体" w:hAnsi="宋体" w:eastAsia="宋体" w:cs="宋体"/>
                <w:bCs/>
                <w:sz w:val="24"/>
                <w:szCs w:val="24"/>
              </w:rPr>
              <w:t>点位名称</w:t>
            </w:r>
          </w:p>
        </w:tc>
        <w:tc>
          <w:tcPr>
            <w:tcW w:w="38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367B6">
            <w:pPr>
              <w:jc w:val="center"/>
              <w:rPr>
                <w:rFonts w:hint="eastAsia" w:ascii="宋体" w:hAnsi="宋体" w:eastAsia="宋体" w:cs="宋体"/>
                <w:bCs/>
                <w:sz w:val="24"/>
                <w:szCs w:val="24"/>
              </w:rPr>
            </w:pPr>
            <w:r>
              <w:rPr>
                <w:rFonts w:hint="eastAsia" w:ascii="宋体" w:hAnsi="宋体" w:eastAsia="宋体" w:cs="宋体"/>
                <w:bCs/>
                <w:sz w:val="24"/>
                <w:szCs w:val="24"/>
              </w:rPr>
              <w:t>建设</w:t>
            </w:r>
          </w:p>
        </w:tc>
        <w:tc>
          <w:tcPr>
            <w:tcW w:w="26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E7740">
            <w:pPr>
              <w:jc w:val="center"/>
              <w:rPr>
                <w:rFonts w:hint="eastAsia" w:ascii="宋体" w:hAnsi="宋体" w:eastAsia="宋体" w:cs="宋体"/>
                <w:bCs/>
                <w:sz w:val="24"/>
                <w:szCs w:val="24"/>
              </w:rPr>
            </w:pPr>
            <w:r>
              <w:rPr>
                <w:rFonts w:hint="eastAsia" w:ascii="宋体" w:hAnsi="宋体" w:eastAsia="宋体" w:cs="宋体"/>
                <w:bCs/>
                <w:sz w:val="24"/>
                <w:szCs w:val="24"/>
              </w:rPr>
              <w:t>建设数量</w:t>
            </w:r>
          </w:p>
        </w:tc>
      </w:tr>
      <w:tr w14:paraId="175D418D">
        <w:tblPrEx>
          <w:tblCellMar>
            <w:top w:w="0" w:type="dxa"/>
            <w:left w:w="108" w:type="dxa"/>
            <w:bottom w:w="0" w:type="dxa"/>
            <w:right w:w="108" w:type="dxa"/>
          </w:tblCellMar>
        </w:tblPrEx>
        <w:trPr>
          <w:trHeight w:val="1020" w:hRule="atLeast"/>
        </w:trPr>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ABEFE">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8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DF510">
            <w:pPr>
              <w:jc w:val="center"/>
              <w:rPr>
                <w:rFonts w:hint="eastAsia" w:ascii="宋体" w:hAnsi="宋体" w:eastAsia="宋体" w:cs="宋体"/>
                <w:bCs/>
                <w:sz w:val="24"/>
                <w:szCs w:val="24"/>
              </w:rPr>
            </w:pPr>
            <w:r>
              <w:rPr>
                <w:rFonts w:hint="eastAsia" w:ascii="宋体" w:hAnsi="宋体" w:eastAsia="宋体" w:cs="宋体"/>
                <w:bCs/>
                <w:sz w:val="24"/>
                <w:szCs w:val="24"/>
              </w:rPr>
              <w:t>G218-793交叉路</w:t>
            </w:r>
          </w:p>
        </w:tc>
        <w:tc>
          <w:tcPr>
            <w:tcW w:w="38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F11AC">
            <w:pPr>
              <w:jc w:val="center"/>
              <w:rPr>
                <w:rFonts w:hint="eastAsia" w:ascii="宋体" w:hAnsi="宋体" w:eastAsia="宋体" w:cs="宋体"/>
                <w:bCs/>
                <w:sz w:val="24"/>
                <w:szCs w:val="24"/>
              </w:rPr>
            </w:pPr>
            <w:r>
              <w:rPr>
                <w:rFonts w:hint="eastAsia" w:ascii="宋体" w:hAnsi="宋体" w:eastAsia="宋体" w:cs="宋体"/>
                <w:bCs/>
                <w:sz w:val="24"/>
                <w:szCs w:val="24"/>
              </w:rPr>
              <w:t>智慧信控边缘计算</w:t>
            </w:r>
          </w:p>
        </w:tc>
        <w:tc>
          <w:tcPr>
            <w:tcW w:w="26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5C96E">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32F7D53">
        <w:tblPrEx>
          <w:tblCellMar>
            <w:top w:w="0" w:type="dxa"/>
            <w:left w:w="108" w:type="dxa"/>
            <w:bottom w:w="0" w:type="dxa"/>
            <w:right w:w="108" w:type="dxa"/>
          </w:tblCellMar>
        </w:tblPrEx>
        <w:trPr>
          <w:trHeight w:val="1060" w:hRule="atLeast"/>
        </w:trPr>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887BA">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8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BCBAE">
            <w:pPr>
              <w:jc w:val="center"/>
              <w:rPr>
                <w:rFonts w:hint="eastAsia" w:ascii="宋体" w:hAnsi="宋体" w:eastAsia="宋体" w:cs="宋体"/>
                <w:bCs/>
                <w:sz w:val="24"/>
                <w:szCs w:val="24"/>
              </w:rPr>
            </w:pPr>
            <w:r>
              <w:rPr>
                <w:rFonts w:hint="eastAsia" w:ascii="宋体" w:hAnsi="宋体" w:eastAsia="宋体" w:cs="宋体"/>
                <w:bCs/>
                <w:sz w:val="24"/>
                <w:szCs w:val="24"/>
              </w:rPr>
              <w:t>X242与X248交叉口（北干渠桥）</w:t>
            </w:r>
          </w:p>
        </w:tc>
        <w:tc>
          <w:tcPr>
            <w:tcW w:w="38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19545">
            <w:pPr>
              <w:jc w:val="center"/>
              <w:rPr>
                <w:rFonts w:hint="eastAsia" w:ascii="宋体" w:hAnsi="宋体" w:eastAsia="宋体" w:cs="宋体"/>
                <w:bCs/>
                <w:sz w:val="24"/>
                <w:szCs w:val="24"/>
              </w:rPr>
            </w:pPr>
            <w:r>
              <w:rPr>
                <w:rFonts w:hint="eastAsia" w:ascii="宋体" w:hAnsi="宋体" w:eastAsia="宋体" w:cs="宋体"/>
                <w:bCs/>
                <w:sz w:val="24"/>
                <w:szCs w:val="24"/>
              </w:rPr>
              <w:t>智慧信控边缘计算</w:t>
            </w:r>
          </w:p>
        </w:tc>
        <w:tc>
          <w:tcPr>
            <w:tcW w:w="26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867B7">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1C35245C">
        <w:tblPrEx>
          <w:tblCellMar>
            <w:top w:w="0" w:type="dxa"/>
            <w:left w:w="108" w:type="dxa"/>
            <w:bottom w:w="0" w:type="dxa"/>
            <w:right w:w="108" w:type="dxa"/>
          </w:tblCellMar>
        </w:tblPrEx>
        <w:trPr>
          <w:trHeight w:val="355" w:hRule="atLeast"/>
        </w:trPr>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78237">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8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B4BA2">
            <w:pPr>
              <w:jc w:val="center"/>
              <w:rPr>
                <w:rFonts w:hint="eastAsia" w:ascii="宋体" w:hAnsi="宋体" w:eastAsia="宋体" w:cs="宋体"/>
                <w:bCs/>
                <w:sz w:val="24"/>
                <w:szCs w:val="24"/>
              </w:rPr>
            </w:pPr>
            <w:r>
              <w:rPr>
                <w:rFonts w:hint="eastAsia" w:ascii="宋体" w:hAnsi="宋体" w:eastAsia="宋体" w:cs="宋体"/>
                <w:bCs/>
                <w:sz w:val="24"/>
                <w:szCs w:val="24"/>
              </w:rPr>
              <w:t>X242与塔里木乡交口</w:t>
            </w:r>
          </w:p>
        </w:tc>
        <w:tc>
          <w:tcPr>
            <w:tcW w:w="38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17AAA">
            <w:pPr>
              <w:jc w:val="center"/>
              <w:rPr>
                <w:rFonts w:hint="eastAsia" w:ascii="宋体" w:hAnsi="宋体" w:eastAsia="宋体" w:cs="宋体"/>
                <w:bCs/>
                <w:sz w:val="24"/>
                <w:szCs w:val="24"/>
              </w:rPr>
            </w:pPr>
            <w:r>
              <w:rPr>
                <w:rFonts w:hint="eastAsia" w:ascii="宋体" w:hAnsi="宋体" w:eastAsia="宋体" w:cs="宋体"/>
                <w:bCs/>
                <w:sz w:val="24"/>
                <w:szCs w:val="24"/>
              </w:rPr>
              <w:t>智慧信控边缘计算</w:t>
            </w:r>
          </w:p>
        </w:tc>
        <w:tc>
          <w:tcPr>
            <w:tcW w:w="26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BAC7E">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0A849267">
        <w:tblPrEx>
          <w:tblCellMar>
            <w:top w:w="0" w:type="dxa"/>
            <w:left w:w="108" w:type="dxa"/>
            <w:bottom w:w="0" w:type="dxa"/>
            <w:right w:w="108" w:type="dxa"/>
          </w:tblCellMar>
        </w:tblPrEx>
        <w:trPr>
          <w:trHeight w:val="355" w:hRule="atLeast"/>
        </w:trPr>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094F2">
            <w:pPr>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8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ED23F">
            <w:pPr>
              <w:jc w:val="center"/>
              <w:rPr>
                <w:rFonts w:hint="eastAsia" w:ascii="宋体" w:hAnsi="宋体" w:eastAsia="宋体" w:cs="宋体"/>
                <w:bCs/>
                <w:sz w:val="24"/>
                <w:szCs w:val="24"/>
              </w:rPr>
            </w:pPr>
            <w:r>
              <w:rPr>
                <w:rFonts w:hint="eastAsia" w:ascii="宋体" w:hAnsi="宋体" w:eastAsia="宋体" w:cs="宋体"/>
                <w:bCs/>
                <w:sz w:val="24"/>
                <w:szCs w:val="24"/>
              </w:rPr>
              <w:t>X242-千棉棉业路口</w:t>
            </w:r>
          </w:p>
        </w:tc>
        <w:tc>
          <w:tcPr>
            <w:tcW w:w="38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4758E">
            <w:pPr>
              <w:jc w:val="center"/>
              <w:rPr>
                <w:rFonts w:hint="eastAsia" w:ascii="宋体" w:hAnsi="宋体" w:eastAsia="宋体" w:cs="宋体"/>
                <w:bCs/>
                <w:sz w:val="24"/>
                <w:szCs w:val="24"/>
              </w:rPr>
            </w:pPr>
            <w:r>
              <w:rPr>
                <w:rFonts w:hint="eastAsia" w:ascii="宋体" w:hAnsi="宋体" w:eastAsia="宋体" w:cs="宋体"/>
                <w:bCs/>
                <w:sz w:val="24"/>
                <w:szCs w:val="24"/>
              </w:rPr>
              <w:t>智慧信控边缘计算</w:t>
            </w:r>
          </w:p>
        </w:tc>
        <w:tc>
          <w:tcPr>
            <w:tcW w:w="26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EAB0A">
            <w:pPr>
              <w:jc w:val="center"/>
              <w:rPr>
                <w:rFonts w:hint="eastAsia" w:ascii="宋体" w:hAnsi="宋体" w:eastAsia="宋体" w:cs="宋体"/>
                <w:bCs/>
                <w:sz w:val="24"/>
                <w:szCs w:val="24"/>
              </w:rPr>
            </w:pPr>
            <w:r>
              <w:rPr>
                <w:rFonts w:hint="eastAsia" w:ascii="宋体" w:hAnsi="宋体" w:eastAsia="宋体" w:cs="宋体"/>
                <w:bCs/>
                <w:sz w:val="24"/>
                <w:szCs w:val="24"/>
              </w:rPr>
              <w:t>1</w:t>
            </w:r>
          </w:p>
        </w:tc>
      </w:tr>
      <w:tr w14:paraId="75C1841E">
        <w:tblPrEx>
          <w:tblCellMar>
            <w:top w:w="0" w:type="dxa"/>
            <w:left w:w="108" w:type="dxa"/>
            <w:bottom w:w="0" w:type="dxa"/>
            <w:right w:w="108" w:type="dxa"/>
          </w:tblCellMar>
        </w:tblPrEx>
        <w:trPr>
          <w:trHeight w:val="336" w:hRule="atLeast"/>
        </w:trPr>
        <w:tc>
          <w:tcPr>
            <w:tcW w:w="882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AF11EE2">
            <w:pPr>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26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A970C">
            <w:pPr>
              <w:jc w:val="center"/>
              <w:rPr>
                <w:rFonts w:hint="eastAsia" w:ascii="宋体" w:hAnsi="宋体" w:eastAsia="宋体" w:cs="宋体"/>
                <w:bCs/>
                <w:sz w:val="24"/>
                <w:szCs w:val="24"/>
              </w:rPr>
            </w:pPr>
            <w:r>
              <w:rPr>
                <w:rFonts w:hint="eastAsia" w:ascii="宋体" w:hAnsi="宋体" w:eastAsia="宋体" w:cs="宋体"/>
                <w:bCs/>
                <w:sz w:val="24"/>
                <w:szCs w:val="24"/>
              </w:rPr>
              <w:t>4</w:t>
            </w:r>
          </w:p>
        </w:tc>
      </w:tr>
    </w:tbl>
    <w:p w14:paraId="0EB5C378">
      <w:pPr>
        <w:spacing w:line="360" w:lineRule="auto"/>
        <w:ind w:firstLine="480" w:firstLineChars="200"/>
        <w:rPr>
          <w:rFonts w:hint="eastAsia" w:ascii="宋体" w:hAnsi="宋体" w:eastAsia="宋体" w:cs="宋体"/>
          <w:bCs/>
          <w:sz w:val="24"/>
          <w:szCs w:val="24"/>
        </w:rPr>
      </w:pPr>
    </w:p>
    <w:p w14:paraId="2D7BED9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11、杆件迁移</w:t>
      </w:r>
    </w:p>
    <w:p w14:paraId="5CCC69F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迁移2套电警杆件、1套信号灯杆件，迁移距离根据现场情况确定。具体功能及数量以清单参数要求为准。</w:t>
      </w:r>
    </w:p>
    <w:p w14:paraId="5B98D21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12、警车安全管理</w:t>
      </w:r>
    </w:p>
    <w:p w14:paraId="290990D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采购25套车载主机一体机及配套管理平台，通过对车辆实时监控、采集车辆运行情况与安全信息，统计车辆行驶过程的违法状况，分析车辆危害程度。具体功能及数量以清单参数要求为准。</w:t>
      </w:r>
    </w:p>
    <w:p w14:paraId="3406A1D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13、相关配套</w:t>
      </w:r>
    </w:p>
    <w:p w14:paraId="4A028BD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具体功能及数量以清单参数要求为准。</w:t>
      </w:r>
    </w:p>
    <w:p w14:paraId="0559343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三、驻场运维服务</w:t>
      </w:r>
    </w:p>
    <w:p w14:paraId="4A33EF6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运维期3年，乙方在运维期内提供不少于2名工程师提供驻场运维服务，该人员常驻甲方工作场地，参与项目工作，提供5*8小时的驻场服务。驻场人员的日常管理、任务派发、考核勤务完全由甲方负责。甲方有权利根据驻场人员维护能力、工作表现等情况向乙方提出奖惩建议，乙方采取扣发工资、限期整改、更换辞退等措施，按照甲方的要求对驻场采取有效措施。</w:t>
      </w:r>
    </w:p>
    <w:p w14:paraId="4575083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四、其他说明</w:t>
      </w:r>
    </w:p>
    <w:p w14:paraId="35C8AA6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1、采购清单凡有品牌描述或指向某品牌的指标描述均为参考指标，同时作为衡定同类产品的依据，供应商可投同档次产品或更优产品。 </w:t>
      </w:r>
    </w:p>
    <w:p w14:paraId="6E3E006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2、本采购文件涉及的所有采购内容均采购国内产品。</w:t>
      </w:r>
    </w:p>
    <w:p w14:paraId="5BA1E76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3、投标人所投产品的技术参数为所投产品的真实技术参数，并提供技术偏离表，否则作废标处理。</w:t>
      </w:r>
    </w:p>
    <w:p w14:paraId="6D37239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4、计价单位均以元准。</w:t>
      </w:r>
    </w:p>
    <w:p w14:paraId="4038C60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5、网络费用：前端设备数据传输中心所需网络链路传输费用不在本项目采购范围内，由采购人另行安排统一支付。</w:t>
      </w:r>
    </w:p>
    <w:p w14:paraId="21571FD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6、电费：前端设备运行所需电费不在本项目采购范围内，由采购人另行安排统一支付。</w:t>
      </w:r>
    </w:p>
    <w:p w14:paraId="36DA8A0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7、合同履行期限：合同签订后90日（日历日）内完成设备的供货及调试安装等全部工作内容。</w:t>
      </w:r>
    </w:p>
    <w:p w14:paraId="739A6AB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8、质保期：3年。</w:t>
      </w:r>
    </w:p>
    <w:p w14:paraId="536ED5CB">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9.付款方式：</w:t>
      </w:r>
      <w:r>
        <w:rPr>
          <w:rFonts w:hint="eastAsia" w:ascii="宋体" w:hAnsi="宋体" w:eastAsia="宋体" w:cs="宋体"/>
          <w:sz w:val="24"/>
          <w:szCs w:val="24"/>
        </w:rPr>
        <w:t>合同签订后支付合同总价的20%;设备全部到场支付到合同总价的50%;安装调试完毕，验收合格后支付到合同总价的80%;审计决算后支付到合同总价的</w:t>
      </w:r>
      <w:r>
        <w:rPr>
          <w:rFonts w:hint="eastAsia" w:ascii="宋体" w:hAnsi="宋体" w:eastAsia="宋体" w:cs="宋体"/>
          <w:sz w:val="24"/>
          <w:szCs w:val="24"/>
          <w:lang w:val="en-US" w:eastAsia="zh-CN"/>
        </w:rPr>
        <w:t>100</w:t>
      </w:r>
      <w:r>
        <w:rPr>
          <w:rFonts w:hint="eastAsia" w:ascii="宋体" w:hAnsi="宋体" w:eastAsia="宋体" w:cs="宋体"/>
          <w:sz w:val="24"/>
          <w:szCs w:val="24"/>
        </w:rPr>
        <w:t>%</w:t>
      </w:r>
      <w:r>
        <w:rPr>
          <w:rFonts w:hint="eastAsia" w:ascii="宋体" w:hAnsi="宋体" w:eastAsia="宋体" w:cs="宋体"/>
          <w:sz w:val="24"/>
          <w:szCs w:val="24"/>
          <w:lang w:eastAsia="zh-CN"/>
        </w:rPr>
        <w:t>。</w:t>
      </w:r>
    </w:p>
    <w:p w14:paraId="43B1C20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本项目付款：最终付款方式以和甲方单位签订合同为主。</w:t>
      </w:r>
    </w:p>
    <w:p w14:paraId="31CFA2A8">
      <w:pPr>
        <w:adjustRightInd w:val="0"/>
        <w:snapToGrid w:val="0"/>
        <w:spacing w:line="360" w:lineRule="auto"/>
        <w:ind w:firstLine="482" w:firstLineChars="200"/>
        <w:rPr>
          <w:rFonts w:hint="eastAsia" w:ascii="宋体" w:hAnsi="宋体" w:eastAsia="宋体" w:cs="宋体"/>
          <w:b/>
          <w:bCs/>
          <w:sz w:val="24"/>
          <w:szCs w:val="24"/>
        </w:rPr>
      </w:pPr>
    </w:p>
    <w:p w14:paraId="775E765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五、参数清单</w:t>
      </w:r>
    </w:p>
    <w:p w14:paraId="7DEF7AF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1、★核心产品</w:t>
      </w:r>
      <w:r>
        <w:rPr>
          <w:rFonts w:hint="eastAsia" w:ascii="宋体" w:hAnsi="宋体" w:eastAsia="宋体" w:cs="宋体"/>
          <w:b/>
          <w:bCs w:val="0"/>
          <w:sz w:val="24"/>
          <w:szCs w:val="24"/>
        </w:rPr>
        <w:t>：结构化摄像机、抓拍一体机、智能球机。</w:t>
      </w:r>
    </w:p>
    <w:p w14:paraId="0D29C4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rPr>
        <w:t>2、报价包含人、材、机，运输，施工，安装，调试，税金等与本项目有关的一切费用。</w:t>
      </w:r>
      <w:r>
        <w:rPr>
          <w:rFonts w:hint="eastAsia" w:ascii="宋体" w:hAnsi="宋体" w:eastAsia="宋体" w:cs="宋体"/>
          <w:sz w:val="24"/>
          <w:szCs w:val="24"/>
          <w:highlight w:val="none"/>
        </w:rPr>
        <w:t xml:space="preserve">        </w:t>
      </w:r>
    </w:p>
    <w:p w14:paraId="2739AD8D">
      <w:pPr>
        <w:spacing w:line="360" w:lineRule="auto"/>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rPr>
        <w:t xml:space="preserve"> 三、技术要求</w:t>
      </w:r>
    </w:p>
    <w:tbl>
      <w:tblPr>
        <w:tblStyle w:val="25"/>
        <w:tblW w:w="0" w:type="auto"/>
        <w:tblInd w:w="0" w:type="dxa"/>
        <w:tblLayout w:type="autofit"/>
        <w:tblCellMar>
          <w:top w:w="0" w:type="dxa"/>
          <w:left w:w="108" w:type="dxa"/>
          <w:bottom w:w="0" w:type="dxa"/>
          <w:right w:w="108" w:type="dxa"/>
        </w:tblCellMar>
      </w:tblPr>
      <w:tblGrid>
        <w:gridCol w:w="481"/>
        <w:gridCol w:w="1226"/>
        <w:gridCol w:w="6912"/>
        <w:gridCol w:w="482"/>
        <w:gridCol w:w="696"/>
      </w:tblGrid>
      <w:tr w14:paraId="39B992E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C0DB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7AD9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BD1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6ABF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EFF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44E78DC1">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B8985">
            <w:pPr>
              <w:jc w:val="center"/>
              <w:rPr>
                <w:rFonts w:hint="eastAsia" w:ascii="宋体" w:hAnsi="宋体" w:eastAsia="宋体" w:cs="宋体"/>
                <w:sz w:val="24"/>
                <w:szCs w:val="24"/>
              </w:rPr>
            </w:pPr>
            <w:r>
              <w:rPr>
                <w:rFonts w:hint="eastAsia" w:ascii="宋体" w:hAnsi="宋体" w:eastAsia="宋体" w:cs="宋体"/>
                <w:b/>
                <w:bCs/>
                <w:color w:val="000000"/>
                <w:sz w:val="24"/>
                <w:szCs w:val="24"/>
              </w:rPr>
              <w:t>1、机动车不礼让行人抓拍</w:t>
            </w:r>
          </w:p>
        </w:tc>
      </w:tr>
      <w:tr w14:paraId="67B8E4EE">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438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4BF01">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0763C">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4B2B7">
            <w:pPr>
              <w:jc w:val="center"/>
              <w:rPr>
                <w:rFonts w:hint="eastAsia" w:ascii="宋体" w:hAnsi="宋体" w:eastAsia="宋体" w:cs="宋体"/>
                <w:sz w:val="24"/>
                <w:szCs w:val="24"/>
              </w:rPr>
            </w:pPr>
          </w:p>
        </w:tc>
      </w:tr>
      <w:tr w14:paraId="2E6D08C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35F1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4E7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05E6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▲1、不低于像素400万；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2、焦距：支持不小于25X光学变倍；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3、最低照度检验：不低于0.002lux（彩色），不低于0.001lux（黑白）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4、水平范围：支持360°连续旋转</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5、防抖：支持；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6、电子罗盘：支持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7、工作温度：-40℃~70℃，工作湿度：5%~95%RH(无冷凝)</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8、防水防尘：不低于IP66</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9、含抱杆支架、吊装盘、球机吊装杆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9F8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2EF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3E3C255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685D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8A6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悬臂（小）机箱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0F47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箱体尺寸：≥400*300*200mm，壁厚≥1.2mm，内部配置≥1个电源防雷器，≥1个信号防雷器，≥1个带漏电保护的25A2P空开，≥2个15A2P空开，≥1个地排，≥1个检修插座。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ED9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C3C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C2F36A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1C2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ECD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D2A6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1、八棱对角不小于220-280*5mm*6.5米；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2、横臂：八棱对角不小于90-180*4mm*6米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14A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2EA9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156D4F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1095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0834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防雷接地体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525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热镀锌角钢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BCB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8CB9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0C17B0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5E12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B569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主电源线接入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5B8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≥YJV3*6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57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7D4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3C82408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9FE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FCD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相机供电电源线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BB1A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AA2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C55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2D31830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241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855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4D93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室外超五类非屏蔽双绞线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CBE7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46FC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383AA26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BA9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EF8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22C2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≥BV16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3F0E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D1A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09B5B90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571E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0A4D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礼让提示牌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146E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铝反光牌面，不小于60cm*80cm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970C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90A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3E33B2B0">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8B064">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072B0A2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AD2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A58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13DB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A8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00B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3FA08A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7D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49A3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DCB7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含人工、吊车、平板车费用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240C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C22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7EEBCC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AB2A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39AA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12CD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33A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8A71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330</w:t>
            </w:r>
          </w:p>
        </w:tc>
      </w:tr>
      <w:tr w14:paraId="300EA3D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BEFB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7EA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8C17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3E89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E15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7D2AAA1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0D9D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2837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悬臂机箱安装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A756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含配套安装调试，人工、运输费、安装费用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7A07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445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294DF4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C72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538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开挖及恢复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9C17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不小于500mm深，原土回填，恢复垫层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0CC2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5A62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162BC4E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71D0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0AA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PE管道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E67F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≥φ90PE管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705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6ADF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53F8CA6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E91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BB61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交通专用手孔井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67E8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铸铁圆井盖，不小于400mm*400mm*800mm，红砖砌井，水泥抹平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0F4E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F54E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0BB2D4A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8DF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E548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E3D3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EAC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F8A8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0F0C99A">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52532">
            <w:pPr>
              <w:jc w:val="center"/>
              <w:rPr>
                <w:rFonts w:hint="eastAsia" w:ascii="宋体" w:hAnsi="宋体" w:eastAsia="宋体" w:cs="宋体"/>
                <w:sz w:val="24"/>
                <w:szCs w:val="24"/>
              </w:rPr>
            </w:pPr>
            <w:r>
              <w:rPr>
                <w:rFonts w:hint="eastAsia" w:ascii="宋体" w:hAnsi="宋体" w:eastAsia="宋体" w:cs="宋体"/>
                <w:b/>
                <w:bCs/>
                <w:color w:val="000000"/>
                <w:sz w:val="24"/>
                <w:szCs w:val="24"/>
              </w:rPr>
              <w:t>2、乡道隐患点位抓拍</w:t>
            </w:r>
          </w:p>
        </w:tc>
      </w:tr>
      <w:tr w14:paraId="3C1ECAD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2FB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A6A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F725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16A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9481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3C17A40E">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E1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38654">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4FB97">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496BD">
            <w:pPr>
              <w:jc w:val="center"/>
              <w:rPr>
                <w:rFonts w:hint="eastAsia" w:ascii="宋体" w:hAnsi="宋体" w:eastAsia="宋体" w:cs="宋体"/>
                <w:sz w:val="24"/>
                <w:szCs w:val="24"/>
              </w:rPr>
            </w:pPr>
          </w:p>
        </w:tc>
      </w:tr>
      <w:tr w14:paraId="037E71A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D8D4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258C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高点球机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49EB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1、不低于800万像素，不低于35倍光学变倍，不低于250m红外补光。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2、内置一体化芯片，具有不少于1个RJ45接口，设备采用AC220V转AC24V电源适配器或DC24V供电。</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3、具有自动、关闭、开启透雾设置选项，透雾等级1~9可调；当检验到雾的浓度达到设定的阈值时，可自动在算法透雾和光学透雾之间进行切换。</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4、同时支持两个智能服务器注册使用；可同时支持两个管理服务器注册使用，可支持两路GB/T28181或者一路GB/T28181加一路私有协议同时接入。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5、外壳防护能力≥IP68。</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A87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6BD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29EB270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B69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A0F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结构化摄像机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A47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1、像素：不低于400万像素；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2、变焦方式：电动变焦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3、补光模式：红外补光|暖光补光，补光距离：不小于5m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4、宽动态：光学宽动态120dB，走廊模式：支持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5、支持机动车、非机动车、行人目标分类检测抓拍及布防；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6、支持ONVIF|GB/T 28181|GA/T 1400|API等协议接入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7、工作温度：-30℃~60℃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8、防水防尘：不低于IP67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9、含支架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F7FB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40C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0105F7E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5DA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6136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抓拍一体机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3EB9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▲1.不低于900万像素工业摄像机内置GPU芯片；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▲2.CMOS靶面尺寸≥1；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▲3.图像分辨率≥4096×2160，帧率1-50帧可调；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4.支持低延时功能，视频图像传输至客户端的延时时间≤90ms；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5.支持辅助对焦功能，在辅助对焦功能界面，绘制对焦区域，点击开始对焦，同时回转镜头画面中会提示当前清晰度值，可辅助完成对焦；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6.支持黄标车标志检测、异常车牌、夜间未开车灯、行人人脸检测、非机动车驾驶员属性、车窗内挂件识别、年检贴检测、危险品车检测、车身副颜色等多种检测识别功能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7.支持ARP防攻击、IP地址过滤、HTTP鉴权、非法登录锁定等功能；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8.设备应支持白光爆闪、红外爆闪、白光频闪和常亮等补光模式，并具有自定义时间和自动切换功能；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9.设备支持视频、地感线圈、雷达触发方式中的一种或多种，且可通过WEB界面配置，同时支持视频与雷达、线圈检测自动切换功能；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10.在实时捕获通行车辆图像的同时，应具备车辆号牌自动识别功能（号牌字符包含A-HJ-NP-Z、0－9)，白天和晚上指标≥99%；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11.支持识别不少于7种车牌颜色，包括蓝、黄、黑、白、绿、黄绿双色、渐变绿色；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12.支持识别不少于14种车身颜色，包括黑、白、灰、红、绿、蓝、黄、粉、紫、棕、橙、青、金、银灰；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13.支持机动车不系安全带、开车打电话、逆行、压线、占用非机动车道、占用紧急车道、占用公交车道等多种违法，捕获率≥99%，记录有效率≥99%；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14.支持开车打电话检测功能，捕获率应≥99%，记录有效率应≥99%；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15.支持不系安全带检测功能，捕获率应≥99%，记录有效率应≥99%；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16.符合GB35114《公共安全视频监控联网信息安全技术要求》国家标准A级标准；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17.防护等级≥IP67；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18.工作温度-50℃～+90℃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1625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6415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r>
      <w:tr w14:paraId="7129DB8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3590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C5F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9A66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光圈:不低于F1.4，手动光圈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接口:支持C接口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焦段:不低于50mm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聚焦方式:支持手动聚焦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128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650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r>
      <w:tr w14:paraId="495ECA3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713C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3F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2A7A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6690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8876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r>
      <w:tr w14:paraId="0D93462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167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A84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抓拍一体机2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5B6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▲1.不低于900万像素工业摄像机内置GPU芯片；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▲2.CMOS靶面尺寸≥1；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▲3.图像分辨率≥4096×2160，帧率1-50帧可调；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4.支持低延时功能，视频图像传输至客户端的延时时间≤90ms；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5.支持辅助对焦功能，在辅助对焦功能界面，绘制对焦区域，点击开始对焦，同时回转镜头画面中会提示当前清晰度值，可辅助完成对焦；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6.支持黄标车标志检测、异常车牌、夜间未开车灯、行人人脸检测、非机动车驾驶员属性、车窗内挂件识别、年检贴检测、危险品车检测、车身副颜色等多种检测识别功能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7.支持ARP防攻击、IP地址过滤、HTTP鉴权、非法登录锁定等功能；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8.设备应支持白光爆闪、红外爆闪、白光频闪和常亮等补光模式，并具有自定义时间和自动切换功能；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9.设备支持视频、地感线圈、雷达触发方式中的一种或多种，且可通过WEB界面配置，同时支持视频与雷达、线圈检测自动切换功能；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10.在实时捕获通行车辆图像的同时，应具备车辆号牌自动识别功能（号牌字符包含A-HJ-NP-Z、0－9)，白天和晚上指标≥99%；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11.支持识别不少于7种车牌颜色，包括蓝、黄、黑、白、绿、黄绿双色、渐变绿色；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12.支持识别不少于14种车身颜色，包括黑、白、灰、红、绿、蓝、黄、粉、紫、棕、橙、青、金、银灰；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13.支持机动车不系安全带、开车打电话、逆行、压线、占用非机动车道、占用紧急车道、占用公交车道等多种违法，捕获率≥99%，记录有效率≥99%；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14.支持开车打电话检测功能，捕获率应≥99%，记录有效率应≥99%；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15.支持不系安全带检测功能，捕获率应≥99%，记录有效率应≥99%；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16.符合GB35114《公共安全视频监控联网信息安全技术要求》国家标准A级标准；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17.防护等级≥IP67；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18.工作温度-50℃～+90℃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100E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C04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r>
      <w:tr w14:paraId="112E4DA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8387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AFA5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2653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光圈:不低于F1.4，手动光圈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接口:支持C接口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焦段:不低于50mm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聚焦方式:支持手动聚焦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112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32C7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r>
      <w:tr w14:paraId="7A862C2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64A9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7BEB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D7AF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2CD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3AFA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r>
      <w:tr w14:paraId="462D5CE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98F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0700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多合一环保爆闪灯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6CC1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▲光源类型:支持LED暖光频闪；LED暖光爆闪；气体白光爆闪；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触发方式:频闪灯支持电平量触发和开关量触发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爆闪灯支持开关量触发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LED灯珠角度:不小于10°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色温:气体灯 6000±500K ；LED 4000±200K</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LED灯珠数:不少于24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回电时间:不大于55ms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闪光持续时间:默认300us，范围170~560us可调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补光距离:LED灯16~29米；气体灯18~32米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尾线接口:1路电源输入；1路爆闪触发输入；1路频闪触发输入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气体爆闪计数:支持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使用寿命:不小于1000万次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防护等级:不低于IP66</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工作温度:-30℃~60℃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电源:AC220V±20%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1028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B8D6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38</w:t>
            </w:r>
          </w:p>
        </w:tc>
      </w:tr>
      <w:tr w14:paraId="62D1A36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B6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A89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F869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A134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3A51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38</w:t>
            </w:r>
          </w:p>
        </w:tc>
      </w:tr>
      <w:tr w14:paraId="418474C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6487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5B60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LED补光灯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3D22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配合400万结构化摄像机使用，自动感光开关，LED补光灯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1E5D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AD0A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28343D8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1FBA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ED5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25E8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216B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E86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7618D68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924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AAF5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路口智能终端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57BD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视频编码:支持H.265、H.264等主流图像压缩格式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▲相机接入:不少于1路~16路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图片合成:最少支持2、3、4、6张图片合成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图片操作:支持图片的存储、检索、查看、导出、上传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图片OSD叠加:支持单张图、合成图上叠加车牌、车道、时间、地点等字符信息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硬盘存储:自带1块不小于4T硬盘；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网络接口:支持双网卡，支持双网隔离，支持双网互通；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USB接口:不少于1个USB3.0接口，向下兼容USB2.0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工作温度:-30～70℃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工作湿度:5%-95% （无冷凝）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CBBC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8A0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29</w:t>
            </w:r>
          </w:p>
        </w:tc>
      </w:tr>
      <w:tr w14:paraId="58833A1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A258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D651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悬臂（大）机箱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CB33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1、箱体尺寸：≥600*500*400mm，背部或底部进线、可支架或抱箍安装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2、静电喷塑，厚度≥1.5mm，表面不应有明显的起泡、针孔、开裂和剥落等缺陷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3、箱体防雨设计，外壳防护等级符合IP55的等级要求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4、内嵌式自动重合闸保护器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35E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4FB8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29</w:t>
            </w:r>
          </w:p>
        </w:tc>
      </w:tr>
      <w:tr w14:paraId="28DE07C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89D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DC7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悬臂（小）机箱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B033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箱体尺寸：≥400*300*200mm，壁厚≥1.2mm，内部配置≥1个电源防雷器，≥1个信号防雷器，≥1个带漏电保护的25A2P空开，≥2个15A2P空开，≥1个地排，≥1个检修插座。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66EE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6B2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6DE982F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E9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4A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接入交换机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27B4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工业级接入交换机，≥1千兆光，≥4百兆电，含电源等配件。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0DE3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9A20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2068F32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12B5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7C5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横臂5米*2悬臂式交通杆件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FA73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1、≥八棱对角180-240*5mm*6.5米；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2、横臂：≥八棱对角90-180*4mm*5米2根；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FF22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8B8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77CAE23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54E7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15F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67EC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1、≥八棱对角180-240*5mm*6.5米；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9FFF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C99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548337E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914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50C1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E491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1、≥八棱对角220-280*5mm*6.5米；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2、横臂：≥八棱对角90-180*4mm*6米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E2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2996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49A105C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4FAC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4836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2A0C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1、≥八棱对角220-280*6mm*6.5米；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2、横臂：≥八棱对角90-180*4mm*7米；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DA9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8FBC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60A3392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835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D54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4456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1、≥八棱对角220-280*8mm*6.5米；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2、横臂：≥八棱对角90-220*4mm*8米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690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163E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266DA6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3DC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BF7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1291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1、≥八棱对角280-330*8mm*6.5米；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2、横臂：≥八棱对角90-220*4mm*9米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118B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EE0E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4ACBFF9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49A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CA85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防雷接地体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3F97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热镀锌角钢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6F3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B515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r>
      <w:tr w14:paraId="59E79CC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962A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990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主电源线接入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3D30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≥YJV3*6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41A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E267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2200</w:t>
            </w:r>
          </w:p>
        </w:tc>
      </w:tr>
      <w:tr w14:paraId="4290301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6FC9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5662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铠装防水电缆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CC79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FS-YJV(22)3*6，户外铠装加防水电缆。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131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E8F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700</w:t>
            </w:r>
          </w:p>
        </w:tc>
      </w:tr>
      <w:tr w14:paraId="286D349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2D6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274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相机供电线缆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3A1E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815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B6A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3280</w:t>
            </w:r>
          </w:p>
        </w:tc>
      </w:tr>
      <w:tr w14:paraId="7F86EBF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6CF7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09B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E71B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室外超五类非屏蔽双绞线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2C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17E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1720</w:t>
            </w:r>
          </w:p>
        </w:tc>
      </w:tr>
      <w:tr w14:paraId="68E7E9B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AF5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1127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F31A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≥BV16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1CC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017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420</w:t>
            </w:r>
          </w:p>
        </w:tc>
      </w:tr>
      <w:tr w14:paraId="66BB7DC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E86B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32E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存储扩容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1BB7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机械硬盘：3.5英寸机械硬盘，企业级，不低于16T，硬盘转速不小于7200，支持STAT接口；用于采集站存储扩容，含SATA数据线。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2A8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31D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6B5BFE0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4B3C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293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爆闪立柱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EEE9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尺寸：≥460*140*90mm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≥5伏5瓦太阳能板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43D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669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07E4C80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CAF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5F4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声光路锥桶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1B36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规格：≥90cm高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蓄电池：≥6V5A免维护铅酸蓄电池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可视距离：&gt;800M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太阳能板：≥9V6A单晶太阳能电池板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D48B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B98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r>
      <w:tr w14:paraId="6623348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9A72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E666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高亮便携手电灯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A373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1、光通量：极亮≥15000流明；高亮≥10000流明；中亮≥5000流明；低亮≥100；节能≥90流明</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2、照度：极亮模式照度2m≥16500lx</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3、续航时间：高亮≥2小时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4、照射距离：极亮≥515米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5、材质：航天铝材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5C1C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7C5F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r>
      <w:tr w14:paraId="2853DCC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3130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DFA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太阳能光感警示柱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52C3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太阳能灯珠红白立柱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高度:≥80cm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管径:≥89cm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厚度:≥2mm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底座:法兰款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颜色:红白膜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EDEA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072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62025A3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9C3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157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4022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铝反光牌面≥60cm*80cm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379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722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49</w:t>
            </w:r>
          </w:p>
        </w:tc>
      </w:tr>
      <w:tr w14:paraId="12CDDC2D">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37E38">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4BC61E8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455C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CA72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横臂5米*2悬臂式交通杆件基础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5BC5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642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1325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77ABEB5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F28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8F8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F81E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≥1.2M*1.2M*1.3M，含开挖，回填，渣土清运，c30混凝土浇筑等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A2C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BC1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61F00D5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196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56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8D61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9B9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C7C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7395169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CA53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AE3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7F19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C018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453F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1951FC2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0C17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A38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05E7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4DBF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764C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697D79F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390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9EC5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DA9E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≥1.5M*1.5M*1.5M，含开挖，回填，渣土清运，c30混凝土浇筑等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B5E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9CA9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015C9E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BD4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F12B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EAFD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含人工、吊车、杆件组装、平板车费用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C49A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387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r>
      <w:tr w14:paraId="6B5F07C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0574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FF70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4E45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9CAA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0671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7620</w:t>
            </w:r>
          </w:p>
        </w:tc>
      </w:tr>
      <w:tr w14:paraId="73DE39E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A99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2FB2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A54C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2F3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7C2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76</w:t>
            </w:r>
          </w:p>
        </w:tc>
      </w:tr>
      <w:tr w14:paraId="6E256D2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0986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4864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悬臂机箱安装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1501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含配套安装调试，人工、运输费、安装费用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9DEC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3D4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49</w:t>
            </w:r>
          </w:p>
        </w:tc>
      </w:tr>
      <w:tr w14:paraId="2B84464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9A52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161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交通专用手孔井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285E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铸铁圆井盖，400mm*400mm*800mm，红砖砌井，水泥抹平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826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C6A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r>
      <w:tr w14:paraId="5F59915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9F54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28D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开挖及恢复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A7F7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不小于500mm深，原土回填，恢复垫层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9049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1370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1100</w:t>
            </w:r>
          </w:p>
        </w:tc>
      </w:tr>
      <w:tr w14:paraId="44DD157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88E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414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架空线施工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3CE9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含镀锌钢绞线吊线、挂钩以及防护配件等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A14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23D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700</w:t>
            </w:r>
          </w:p>
        </w:tc>
      </w:tr>
      <w:tr w14:paraId="1490155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DEF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8E05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铁塔监控安装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3FDD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含铁塔攀爬、接电、相关辅材、设备安装、调试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EFC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2CB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2A53322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E5AD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F5C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PE管道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6BEA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≥φ90PE管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D7C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BB81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1100</w:t>
            </w:r>
          </w:p>
        </w:tc>
      </w:tr>
      <w:tr w14:paraId="76479DA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831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E363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监控抱杆横臂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1CB2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监控横臂，长度不小于5米，含安装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B20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7D7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983029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7557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5F1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F65D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管件接头、胶布、螺母、传输设备安装等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3B45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B2E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49</w:t>
            </w:r>
          </w:p>
        </w:tc>
      </w:tr>
      <w:tr w14:paraId="7DE9C738">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D3F7F">
            <w:pPr>
              <w:jc w:val="center"/>
              <w:rPr>
                <w:rFonts w:hint="eastAsia" w:ascii="宋体" w:hAnsi="宋体" w:eastAsia="宋体" w:cs="宋体"/>
                <w:sz w:val="24"/>
                <w:szCs w:val="24"/>
              </w:rPr>
            </w:pPr>
            <w:r>
              <w:rPr>
                <w:rFonts w:hint="eastAsia" w:ascii="宋体" w:hAnsi="宋体" w:eastAsia="宋体" w:cs="宋体"/>
                <w:b/>
                <w:bCs/>
                <w:color w:val="000000"/>
                <w:sz w:val="24"/>
                <w:szCs w:val="24"/>
              </w:rPr>
              <w:t>3、弯道超车抓拍</w:t>
            </w:r>
          </w:p>
        </w:tc>
      </w:tr>
      <w:tr w14:paraId="6202E94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CB8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32FE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0CA9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7F1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6BF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68A012A4">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63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E52E5">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F21D7">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1F850">
            <w:pPr>
              <w:jc w:val="center"/>
              <w:rPr>
                <w:rFonts w:hint="eastAsia" w:ascii="宋体" w:hAnsi="宋体" w:eastAsia="宋体" w:cs="宋体"/>
                <w:sz w:val="24"/>
                <w:szCs w:val="24"/>
              </w:rPr>
            </w:pPr>
          </w:p>
        </w:tc>
      </w:tr>
      <w:tr w14:paraId="5D3A167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807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3F9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7CED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▲1、不低于像素400万；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2、焦距：支持不小于25X光学变倍；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3、最低照度检验：不低于0.002lux（彩色），不低于0.001lux（黑白）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4、水平范围：支持360°连续旋转</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5、防抖：支持；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6、电子罗盘：支持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7、工作温度：-40℃~70℃，工作湿度：5%~95%RH(无冷凝)</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8、防水防尘：不低于IP66</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9、含抱杆支架、吊装盘、球机吊装杆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695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A6F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3F06B89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D43A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A194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悬臂（小）机箱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8223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箱体尺寸：≥400*300*200mm，壁厚≥1.2mm，内部配置≥1个电源防雷器，≥1个信号防雷器，≥1个带漏电保护的25A2P空开，≥2个15A2P空开，≥1个地排，≥1个检修插座。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6648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AD41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25B204B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5457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6A5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1126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1、八棱对角≥180-240*5mm*6.5米；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AFA0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733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382C92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C8FF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ADCC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A78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1、≥八棱对角220-280*5mm*6.5米；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2、横臂：≥八棱对角90-180*4mm*6米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F214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CEA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FCBF29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D29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88F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防雷接地体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5539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热镀锌角钢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52E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6C9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6E2F5AC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6F9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FD0C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主电源线接入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9DCB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≥YJV3*6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4C0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849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r>
      <w:tr w14:paraId="713F901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AF43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7ACF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相机供电线缆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4129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9286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FEE8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r>
      <w:tr w14:paraId="4FC0D2C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74EF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C61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8A4D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室外超五类非屏蔽双绞线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957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F941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r>
      <w:tr w14:paraId="5658BE7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209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1FFC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EB64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≥BV16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4CAF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A5C0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r>
      <w:tr w14:paraId="006402E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00A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211A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BF74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铝反光牌面≥60cm*80cm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94C4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1486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24FDC66C">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0FD2F">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5E6134A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1E89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59E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FBCE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≥1.2M*1.2M*1.3M，含开挖，回填，渣土清运，c30混凝土浇筑等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E6FD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54B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74433D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DBB4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6F0C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0F06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319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A90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01BB310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6860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034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70AF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含人工、吊车、杆件组装、平板车费用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B89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55D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237BE40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480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59FF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663F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52D5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98F5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760</w:t>
            </w:r>
          </w:p>
        </w:tc>
      </w:tr>
      <w:tr w14:paraId="7B4265B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8A7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CFA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2FBE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5B1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6BA3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6F5FA89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4C4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3EE3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悬臂机箱安装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6B44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含配套安装调试，人工、运输费、安装费用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E20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22B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5271886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3935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7DB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开挖及恢复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4483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不小于500mm深，原土回填，恢复垫层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3CFF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EB4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380</w:t>
            </w:r>
          </w:p>
        </w:tc>
      </w:tr>
      <w:tr w14:paraId="42B30A6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A50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89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PE管道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71A6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≥φ90PE管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D0C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5D7C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380</w:t>
            </w:r>
          </w:p>
        </w:tc>
      </w:tr>
      <w:tr w14:paraId="34A8557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25AC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0D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交通专用手孔井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F807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铸铁圆井盖，400mm*400mm*800mm，红砖砌井，水泥抹平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15CF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7EE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27FE2E3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477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8841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FBEB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管件接头、胶布、螺母、传输设备安装等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46F5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F1B1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196D2795">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03138">
            <w:pPr>
              <w:jc w:val="center"/>
              <w:rPr>
                <w:rFonts w:hint="eastAsia" w:ascii="宋体" w:hAnsi="宋体" w:eastAsia="宋体" w:cs="宋体"/>
                <w:sz w:val="24"/>
                <w:szCs w:val="24"/>
              </w:rPr>
            </w:pPr>
            <w:r>
              <w:rPr>
                <w:rFonts w:hint="eastAsia" w:ascii="宋体" w:hAnsi="宋体" w:eastAsia="宋体" w:cs="宋体"/>
                <w:b/>
                <w:bCs/>
                <w:color w:val="000000"/>
                <w:sz w:val="24"/>
                <w:szCs w:val="24"/>
              </w:rPr>
              <w:t>4、路侧开口预警哨兵</w:t>
            </w:r>
          </w:p>
        </w:tc>
      </w:tr>
      <w:tr w14:paraId="3BB2CA7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4AB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3CC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2E85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31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CE1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25C14948">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4144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9BB02">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81AD1">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96FC2">
            <w:pPr>
              <w:jc w:val="center"/>
              <w:rPr>
                <w:rFonts w:hint="eastAsia" w:ascii="宋体" w:hAnsi="宋体" w:eastAsia="宋体" w:cs="宋体"/>
                <w:sz w:val="24"/>
                <w:szCs w:val="24"/>
              </w:rPr>
            </w:pPr>
          </w:p>
        </w:tc>
      </w:tr>
      <w:tr w14:paraId="0071D82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26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213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支路预警哨兵一体机（太阳能）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6B2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监测模块：24G毫米波雷达，检测距离≥170m，测速精度值≥95% ，支持双雷达不同方向同步检测，并现场自由配置2台雷达单工、双工、双工互锁三种工作模式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预警屏幕：显示屏采取全户外LED显示屏，显示颜色不低于红、黄、绿三种颜色，车速显示屏尺寸不小于320*320mm，预警显示屏尺寸不小于960*320mm，可满足实时车速显示并根据道路情况进行预警提醒（前方来车/注意避让/对向来车/减速慢行等（可远程自定义修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控制器：工业级嵌入式控制器，内置车辆检测、运动轨迹、网络通信模块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警示模块：红蓝双色高亮警示灯，90-150次/分，可示距离≥500米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语音模块：内置高音预警系统，高音不低于110分贝</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无线联动：支持多机无线联动，联动距离不小于400米（可增加无线中继）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供电系统：太阳能板不低于120W*2，锂电池不低于120AH</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整机尺寸：尺寸不低于400*180*2340mm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291E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449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1078363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D632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177A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乡道主路检测终端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441F">
            <w:pPr>
              <w:jc w:val="left"/>
              <w:rPr>
                <w:rFonts w:hint="eastAsia" w:ascii="宋体" w:hAnsi="宋体" w:eastAsia="宋体" w:cs="宋体"/>
                <w:color w:val="000000"/>
                <w:sz w:val="24"/>
                <w:szCs w:val="24"/>
              </w:rPr>
            </w:pPr>
            <w:r>
              <w:rPr>
                <w:rStyle w:val="49"/>
                <w:rFonts w:hint="eastAsia" w:ascii="宋体" w:hAnsi="宋体" w:eastAsia="宋体" w:cs="宋体"/>
                <w:sz w:val="24"/>
                <w:szCs w:val="24"/>
              </w:rPr>
              <w:t>一、雷达：</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工作发射频率：</w:t>
            </w:r>
            <w:r>
              <w:rPr>
                <w:rStyle w:val="50"/>
                <w:rFonts w:hint="eastAsia" w:ascii="宋体" w:hAnsi="宋体" w:eastAsia="宋体" w:cs="宋体"/>
                <w:sz w:val="24"/>
                <w:szCs w:val="24"/>
              </w:rPr>
              <w:t>24.15GHz ±45MHz</w:t>
            </w:r>
            <w:r>
              <w:rPr>
                <w:rStyle w:val="49"/>
                <w:rFonts w:hint="eastAsia" w:ascii="宋体" w:hAnsi="宋体" w:eastAsia="宋体" w:cs="宋体"/>
                <w:sz w:val="24"/>
                <w:szCs w:val="24"/>
              </w:rPr>
              <w:t>；</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发射功率：</w:t>
            </w:r>
            <w:r>
              <w:rPr>
                <w:rStyle w:val="50"/>
                <w:rFonts w:hint="eastAsia" w:ascii="宋体" w:hAnsi="宋体" w:eastAsia="宋体" w:cs="宋体"/>
                <w:sz w:val="24"/>
                <w:szCs w:val="24"/>
              </w:rPr>
              <w:t>5mW</w:t>
            </w:r>
            <w:r>
              <w:rPr>
                <w:rStyle w:val="49"/>
                <w:rFonts w:hint="eastAsia" w:ascii="宋体" w:hAnsi="宋体" w:eastAsia="宋体" w:cs="宋体"/>
                <w:sz w:val="24"/>
                <w:szCs w:val="24"/>
              </w:rPr>
              <w:t>；</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反应时间：</w:t>
            </w:r>
            <w:r>
              <w:rPr>
                <w:rStyle w:val="50"/>
                <w:rFonts w:hint="eastAsia" w:ascii="宋体" w:hAnsi="宋体" w:eastAsia="宋体" w:cs="宋体"/>
                <w:sz w:val="24"/>
                <w:szCs w:val="24"/>
              </w:rPr>
              <w:t>≤26ms</w:t>
            </w:r>
            <w:r>
              <w:rPr>
                <w:rStyle w:val="49"/>
                <w:rFonts w:hint="eastAsia" w:ascii="宋体" w:hAnsi="宋体" w:eastAsia="宋体" w:cs="宋体"/>
                <w:sz w:val="24"/>
                <w:szCs w:val="24"/>
              </w:rPr>
              <w:t>；</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接口：</w:t>
            </w:r>
            <w:r>
              <w:rPr>
                <w:rStyle w:val="50"/>
                <w:rFonts w:hint="eastAsia" w:ascii="宋体" w:hAnsi="宋体" w:eastAsia="宋体" w:cs="宋体"/>
                <w:sz w:val="24"/>
                <w:szCs w:val="24"/>
              </w:rPr>
              <w:t>RS485</w:t>
            </w:r>
            <w:r>
              <w:rPr>
                <w:rStyle w:val="49"/>
                <w:rFonts w:hint="eastAsia" w:ascii="宋体" w:hAnsi="宋体" w:eastAsia="宋体" w:cs="宋体"/>
                <w:sz w:val="24"/>
                <w:szCs w:val="24"/>
              </w:rPr>
              <w:t>；</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测速量程</w:t>
            </w:r>
            <w:r>
              <w:rPr>
                <w:rStyle w:val="50"/>
                <w:rFonts w:hint="eastAsia" w:ascii="宋体" w:hAnsi="宋体" w:eastAsia="宋体" w:cs="宋体"/>
                <w:sz w:val="24"/>
                <w:szCs w:val="24"/>
              </w:rPr>
              <w:t xml:space="preserve"> 1-250KM/H</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速度测量误差：</w:t>
            </w:r>
            <w:r>
              <w:rPr>
                <w:rStyle w:val="50"/>
                <w:rFonts w:hint="eastAsia" w:ascii="宋体" w:hAnsi="宋体" w:eastAsia="宋体" w:cs="宋体"/>
                <w:sz w:val="24"/>
                <w:szCs w:val="24"/>
              </w:rPr>
              <w:t>±1KM/H</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内置无限联动模块</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红蓝双色</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可视距离：大于</w:t>
            </w:r>
            <w:r>
              <w:rPr>
                <w:rStyle w:val="50"/>
                <w:rFonts w:hint="eastAsia" w:ascii="宋体" w:hAnsi="宋体" w:eastAsia="宋体" w:cs="宋体"/>
                <w:sz w:val="24"/>
                <w:szCs w:val="24"/>
              </w:rPr>
              <w:t>200</w:t>
            </w:r>
            <w:r>
              <w:rPr>
                <w:rStyle w:val="49"/>
                <w:rFonts w:hint="eastAsia" w:ascii="宋体" w:hAnsi="宋体" w:eastAsia="宋体" w:cs="宋体"/>
                <w:sz w:val="24"/>
                <w:szCs w:val="24"/>
              </w:rPr>
              <w:t>米</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多种闪烁模式</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防护等级：</w:t>
            </w:r>
            <w:r>
              <w:rPr>
                <w:rStyle w:val="50"/>
                <w:rFonts w:hint="eastAsia" w:ascii="宋体" w:hAnsi="宋体" w:eastAsia="宋体" w:cs="宋体"/>
                <w:sz w:val="24"/>
                <w:szCs w:val="24"/>
              </w:rPr>
              <w:t>IP65</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二、太阳能板：</w:t>
            </w:r>
            <w:r>
              <w:rPr>
                <w:rFonts w:hint="eastAsia" w:ascii="宋体" w:hAnsi="宋体" w:eastAsia="宋体" w:cs="宋体"/>
                <w:color w:val="000000"/>
                <w:sz w:val="24"/>
                <w:szCs w:val="24"/>
              </w:rPr>
              <w:br w:type="textWrapping"/>
            </w:r>
            <w:r>
              <w:rPr>
                <w:rStyle w:val="50"/>
                <w:rFonts w:hint="eastAsia" w:ascii="宋体" w:hAnsi="宋体" w:eastAsia="宋体" w:cs="宋体"/>
                <w:sz w:val="24"/>
                <w:szCs w:val="24"/>
              </w:rPr>
              <w:t>1.</w:t>
            </w:r>
            <w:r>
              <w:rPr>
                <w:rStyle w:val="49"/>
                <w:rFonts w:hint="eastAsia" w:ascii="宋体" w:hAnsi="宋体" w:eastAsia="宋体" w:cs="宋体"/>
                <w:sz w:val="24"/>
                <w:szCs w:val="24"/>
              </w:rPr>
              <w:t>材料：单晶硅</w:t>
            </w:r>
            <w:r>
              <w:rPr>
                <w:rFonts w:hint="eastAsia" w:ascii="宋体" w:hAnsi="宋体" w:eastAsia="宋体" w:cs="宋体"/>
                <w:color w:val="000000"/>
                <w:sz w:val="24"/>
                <w:szCs w:val="24"/>
              </w:rPr>
              <w:br w:type="textWrapping"/>
            </w:r>
            <w:r>
              <w:rPr>
                <w:rStyle w:val="50"/>
                <w:rFonts w:hint="eastAsia" w:ascii="宋体" w:hAnsi="宋体" w:eastAsia="宋体" w:cs="宋体"/>
                <w:sz w:val="24"/>
                <w:szCs w:val="24"/>
              </w:rPr>
              <w:t>2.</w:t>
            </w:r>
            <w:r>
              <w:rPr>
                <w:rStyle w:val="49"/>
                <w:rFonts w:hint="eastAsia" w:ascii="宋体" w:hAnsi="宋体" w:eastAsia="宋体" w:cs="宋体"/>
                <w:sz w:val="24"/>
                <w:szCs w:val="24"/>
              </w:rPr>
              <w:t>封装形式：高透光钢化玻璃层压</w:t>
            </w:r>
            <w:r>
              <w:rPr>
                <w:rFonts w:hint="eastAsia" w:ascii="宋体" w:hAnsi="宋体" w:eastAsia="宋体" w:cs="宋体"/>
                <w:color w:val="000000"/>
                <w:sz w:val="24"/>
                <w:szCs w:val="24"/>
              </w:rPr>
              <w:br w:type="textWrapping"/>
            </w:r>
            <w:r>
              <w:rPr>
                <w:rStyle w:val="50"/>
                <w:rFonts w:hint="eastAsia" w:ascii="宋体" w:hAnsi="宋体" w:eastAsia="宋体" w:cs="宋体"/>
                <w:sz w:val="24"/>
                <w:szCs w:val="24"/>
              </w:rPr>
              <w:t>3.</w:t>
            </w:r>
            <w:r>
              <w:rPr>
                <w:rStyle w:val="49"/>
                <w:rFonts w:hint="eastAsia" w:ascii="宋体" w:hAnsi="宋体" w:eastAsia="宋体" w:cs="宋体"/>
                <w:sz w:val="24"/>
                <w:szCs w:val="24"/>
              </w:rPr>
              <w:t>功率：不小于</w:t>
            </w:r>
            <w:r>
              <w:rPr>
                <w:rStyle w:val="50"/>
                <w:rFonts w:hint="eastAsia" w:ascii="宋体" w:hAnsi="宋体" w:eastAsia="宋体" w:cs="宋体"/>
                <w:sz w:val="24"/>
                <w:szCs w:val="24"/>
              </w:rPr>
              <w:t>80W</w:t>
            </w:r>
            <w:r>
              <w:rPr>
                <w:rStyle w:val="49"/>
                <w:rFonts w:hint="eastAsia" w:ascii="宋体" w:hAnsi="宋体" w:eastAsia="宋体" w:cs="宋体"/>
                <w:sz w:val="24"/>
                <w:szCs w:val="24"/>
              </w:rPr>
              <w:t>；</w:t>
            </w:r>
            <w:r>
              <w:rPr>
                <w:rFonts w:hint="eastAsia" w:ascii="宋体" w:hAnsi="宋体" w:eastAsia="宋体" w:cs="宋体"/>
                <w:color w:val="000000"/>
                <w:sz w:val="24"/>
                <w:szCs w:val="24"/>
              </w:rPr>
              <w:br w:type="textWrapping"/>
            </w:r>
            <w:r>
              <w:rPr>
                <w:rStyle w:val="50"/>
                <w:rFonts w:hint="eastAsia" w:ascii="宋体" w:hAnsi="宋体" w:eastAsia="宋体" w:cs="宋体"/>
                <w:sz w:val="24"/>
                <w:szCs w:val="24"/>
              </w:rPr>
              <w:t>4.</w:t>
            </w:r>
            <w:r>
              <w:rPr>
                <w:rStyle w:val="49"/>
                <w:rFonts w:hint="eastAsia" w:ascii="宋体" w:hAnsi="宋体" w:eastAsia="宋体" w:cs="宋体"/>
                <w:sz w:val="24"/>
                <w:szCs w:val="24"/>
              </w:rPr>
              <w:t>工作温度范围：</w:t>
            </w:r>
            <w:r>
              <w:rPr>
                <w:rStyle w:val="50"/>
                <w:rFonts w:hint="eastAsia" w:ascii="宋体" w:hAnsi="宋体" w:eastAsia="宋体" w:cs="宋体"/>
                <w:sz w:val="24"/>
                <w:szCs w:val="24"/>
              </w:rPr>
              <w:t>-40</w:t>
            </w:r>
            <w:r>
              <w:rPr>
                <w:rStyle w:val="49"/>
                <w:rFonts w:hint="eastAsia" w:ascii="宋体" w:hAnsi="宋体" w:eastAsia="宋体" w:cs="宋体"/>
                <w:sz w:val="24"/>
                <w:szCs w:val="24"/>
              </w:rPr>
              <w:t>℃～</w:t>
            </w:r>
            <w:r>
              <w:rPr>
                <w:rStyle w:val="50"/>
                <w:rFonts w:hint="eastAsia" w:ascii="宋体" w:hAnsi="宋体" w:eastAsia="宋体" w:cs="宋体"/>
                <w:sz w:val="24"/>
                <w:szCs w:val="24"/>
              </w:rPr>
              <w:t>+85</w:t>
            </w:r>
            <w:r>
              <w:rPr>
                <w:rStyle w:val="49"/>
                <w:rFonts w:hint="eastAsia" w:ascii="宋体" w:hAnsi="宋体" w:eastAsia="宋体" w:cs="宋体"/>
                <w:sz w:val="24"/>
                <w:szCs w:val="24"/>
              </w:rPr>
              <w:t>℃</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三、锂电池：</w:t>
            </w:r>
            <w:r>
              <w:rPr>
                <w:rFonts w:hint="eastAsia" w:ascii="宋体" w:hAnsi="宋体" w:eastAsia="宋体" w:cs="宋体"/>
                <w:color w:val="000000"/>
                <w:sz w:val="24"/>
                <w:szCs w:val="24"/>
              </w:rPr>
              <w:br w:type="textWrapping"/>
            </w:r>
            <w:r>
              <w:rPr>
                <w:rStyle w:val="50"/>
                <w:rFonts w:hint="eastAsia" w:ascii="宋体" w:hAnsi="宋体" w:eastAsia="宋体" w:cs="宋体"/>
                <w:sz w:val="24"/>
                <w:szCs w:val="24"/>
              </w:rPr>
              <w:t>1.</w:t>
            </w:r>
            <w:r>
              <w:rPr>
                <w:rStyle w:val="49"/>
                <w:rFonts w:hint="eastAsia" w:ascii="宋体" w:hAnsi="宋体" w:eastAsia="宋体" w:cs="宋体"/>
                <w:sz w:val="24"/>
                <w:szCs w:val="24"/>
              </w:rPr>
              <w:t>额定容量：不小于</w:t>
            </w:r>
            <w:r>
              <w:rPr>
                <w:rStyle w:val="50"/>
                <w:rFonts w:hint="eastAsia" w:ascii="宋体" w:hAnsi="宋体" w:eastAsia="宋体" w:cs="宋体"/>
                <w:sz w:val="24"/>
                <w:szCs w:val="24"/>
              </w:rPr>
              <w:t>80Ah</w:t>
            </w:r>
            <w:r>
              <w:rPr>
                <w:rFonts w:hint="eastAsia" w:ascii="宋体" w:hAnsi="宋体" w:eastAsia="宋体" w:cs="宋体"/>
                <w:color w:val="000000"/>
                <w:sz w:val="24"/>
                <w:szCs w:val="24"/>
              </w:rPr>
              <w:br w:type="textWrapping"/>
            </w:r>
            <w:r>
              <w:rPr>
                <w:rStyle w:val="49"/>
                <w:rFonts w:hint="eastAsia" w:ascii="宋体" w:hAnsi="宋体" w:eastAsia="宋体" w:cs="宋体"/>
                <w:sz w:val="24"/>
                <w:szCs w:val="24"/>
              </w:rPr>
              <w:t>四、不低于</w:t>
            </w:r>
            <w:r>
              <w:rPr>
                <w:rStyle w:val="50"/>
                <w:rFonts w:hint="eastAsia" w:ascii="宋体" w:hAnsi="宋体" w:eastAsia="宋体" w:cs="宋体"/>
                <w:sz w:val="24"/>
                <w:szCs w:val="24"/>
              </w:rPr>
              <w:t>3.5m</w:t>
            </w:r>
            <w:r>
              <w:rPr>
                <w:rStyle w:val="49"/>
                <w:rFonts w:hint="eastAsia" w:ascii="宋体" w:hAnsi="宋体" w:eastAsia="宋体" w:cs="宋体"/>
                <w:sz w:val="24"/>
                <w:szCs w:val="24"/>
              </w:rPr>
              <w:t>立杆，直径</w:t>
            </w:r>
            <w:r>
              <w:rPr>
                <w:rStyle w:val="50"/>
                <w:rFonts w:hint="eastAsia" w:ascii="宋体" w:hAnsi="宋体" w:eastAsia="宋体" w:cs="宋体"/>
                <w:sz w:val="24"/>
                <w:szCs w:val="24"/>
              </w:rPr>
              <w:t>76mm</w:t>
            </w:r>
            <w:r>
              <w:rPr>
                <w:rStyle w:val="49"/>
                <w:rFonts w:hint="eastAsia" w:ascii="宋体" w:hAnsi="宋体" w:eastAsia="宋体" w:cs="宋体"/>
                <w:sz w:val="24"/>
                <w:szCs w:val="24"/>
              </w:rPr>
              <w:t>，壁厚</w:t>
            </w:r>
            <w:r>
              <w:rPr>
                <w:rStyle w:val="50"/>
                <w:rFonts w:hint="eastAsia" w:ascii="宋体" w:hAnsi="宋体" w:eastAsia="宋体" w:cs="宋体"/>
                <w:sz w:val="24"/>
                <w:szCs w:val="24"/>
              </w:rPr>
              <w:t>1.75</w:t>
            </w:r>
            <w:r>
              <w:rPr>
                <w:rStyle w:val="49"/>
                <w:rFonts w:hint="eastAsia" w:ascii="宋体" w:hAnsi="宋体" w:eastAsia="宋体" w:cs="宋体"/>
                <w:sz w:val="24"/>
                <w:szCs w:val="24"/>
              </w:rPr>
              <w:t>个厚，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D5FA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B214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r>
      <w:tr w14:paraId="0463550D">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5BD766">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6FD3135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283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B06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支路预警哨兵一体机基础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427B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基础尺寸：≥长900*宽700*深700mm，含开挖，回填，渣土清运，钢筋笼配筋、C30混凝土浇筑等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4EE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30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1C2FD42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A56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C49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乡道主路检测终端基础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B344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基础尺寸：≥800*800*800，含开挖，回填，渣土清运，钢筋笼配筋、C30混凝土浇筑等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0E58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32B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r>
      <w:tr w14:paraId="3449AA6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9E3F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C06E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182F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B112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DFE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60DF97F7">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77426">
            <w:pPr>
              <w:jc w:val="center"/>
              <w:rPr>
                <w:rFonts w:hint="eastAsia" w:ascii="宋体" w:hAnsi="宋体" w:eastAsia="宋体" w:cs="宋体"/>
                <w:sz w:val="24"/>
                <w:szCs w:val="24"/>
              </w:rPr>
            </w:pPr>
            <w:r>
              <w:rPr>
                <w:rFonts w:hint="eastAsia" w:ascii="宋体" w:hAnsi="宋体" w:eastAsia="宋体" w:cs="宋体"/>
                <w:b/>
                <w:bCs/>
                <w:color w:val="000000"/>
                <w:sz w:val="24"/>
                <w:szCs w:val="24"/>
              </w:rPr>
              <w:t>5、速度预警提示屏</w:t>
            </w:r>
          </w:p>
        </w:tc>
      </w:tr>
      <w:tr w14:paraId="32C95EC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5C77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290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091D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71E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0903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6123F910">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30DF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C6A2C">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1C37F">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5AABD">
            <w:pPr>
              <w:jc w:val="center"/>
              <w:rPr>
                <w:rFonts w:hint="eastAsia" w:ascii="宋体" w:hAnsi="宋体" w:eastAsia="宋体" w:cs="宋体"/>
                <w:sz w:val="24"/>
                <w:szCs w:val="24"/>
              </w:rPr>
            </w:pPr>
          </w:p>
        </w:tc>
      </w:tr>
      <w:tr w14:paraId="0D0B288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C3F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7A1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速度预警一体机（太阳能）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10B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监测模块：24G毫米波雷达，检测距离≥170m，测速精度值≥95%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预警屏幕：显示屏采取全户外LED显示屏，显示颜色不低于红、黄、绿三种颜色，车速显示屏尺寸不小于510*380mm，预警显示屏尺寸不小于640*320mm，可满足实时车速显示并进行超速提醒</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控制器：工业级嵌入式控制器，内置车辆检测模块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警示模块：红蓝双色高亮警示灯，可示距离≥500米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语音模块： 支持扩展内置高音预警系统，高音不低于110分贝，可对超速车牌号进行语音播报提醒</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供电系统 ：太阳能板不低于120W*2，锂电池不低于120AH</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整机尺寸 ：整机尺寸不低于1400*700*100mm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车牌捕获率≥99%，车牌识别准备率≥99%，车型识别准确率≥99%。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624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89B5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4E5E1C38">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8BCC1">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6F6D13C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D748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C0C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速度预警一体机基础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7B3B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基础尺寸：≥长900*宽700*深700mm，含开挖，回填，渣土清运，钢筋笼配筋、C30混凝土浇筑等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5428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50C7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7962377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BAA6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522C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44C0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5FF5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2639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3EB4099E">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AAF4E">
            <w:pPr>
              <w:jc w:val="center"/>
              <w:rPr>
                <w:rFonts w:hint="eastAsia" w:ascii="宋体" w:hAnsi="宋体" w:eastAsia="宋体" w:cs="宋体"/>
                <w:sz w:val="24"/>
                <w:szCs w:val="24"/>
              </w:rPr>
            </w:pPr>
            <w:r>
              <w:rPr>
                <w:rFonts w:hint="eastAsia" w:ascii="宋体" w:hAnsi="宋体" w:eastAsia="宋体" w:cs="宋体"/>
                <w:b/>
                <w:bCs/>
                <w:color w:val="000000"/>
                <w:sz w:val="24"/>
                <w:szCs w:val="24"/>
              </w:rPr>
              <w:t>6、无人机及无人机场</w:t>
            </w:r>
          </w:p>
        </w:tc>
      </w:tr>
      <w:tr w14:paraId="2B57896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1DAC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2B8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6308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1A82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BCD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57E8EEDF">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4366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723C5">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41210">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5ACF3">
            <w:pPr>
              <w:jc w:val="center"/>
              <w:rPr>
                <w:rFonts w:hint="eastAsia" w:ascii="宋体" w:hAnsi="宋体" w:eastAsia="宋体" w:cs="宋体"/>
                <w:sz w:val="24"/>
                <w:szCs w:val="24"/>
              </w:rPr>
            </w:pPr>
          </w:p>
        </w:tc>
      </w:tr>
      <w:tr w14:paraId="6036CE7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0BF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0861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无人机场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4549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提供机场机身一台+无人机一套，含1年无人机第三者责任险，行业应用无人机不小于30万元、机损保险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无人机场：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工作环境温度：-30°C至50°C</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防护等级：不低于IP56</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空调类型：压缩机空调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飞行器：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最大起飞重量：不小于2000克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最大抗风速度：作业阶段抗风能力：12米/秒；起降阶段抗风能力：12米/秒</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工作环境温度：-20℃至50℃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防护等级：不小于IP55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E7F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3C5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2ED4FC6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B720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2B61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保险（第二年续保）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F41C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无人机第三者责任险，行业应用无人机不小于100万元、机损保险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B51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080A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0C32165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4FFC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513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保险(第三年续保）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6A41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无人机第三者责任险，行业应用无人机不小于100万元、机损保险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21D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AA5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EF1EBE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E3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3277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无人机电池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DCD7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每架飞机一年需更换2套电池,三年服务的电池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0CBF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C91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r>
      <w:tr w14:paraId="70C44F9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33F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4276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手动飞行控制终端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7DA0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用于平台无法控制飞行器由飞手员进行操控（调试、运维使用）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523C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B4B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47355E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E693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630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探照灯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824B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1、重量不大于100克（含支架）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2、最大功率不小于30瓦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3、工作方式常亮、爆闪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4、工作环境温度-20℃至50℃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45AF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286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3EDC92F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25C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6F01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喊话器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619C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1、重量 不大于95克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2、最大功率不小于 15 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3、有效广播距离不小于 300 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4、广播方式：支持实时喊话（支持回声啸叫抑制）、录音喊话、媒体导入（支持边传边播）、文字转语音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5、工作环境温度 -20℃ 至 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76B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1DA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2FBC64E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00A8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047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无人机AI分析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54DF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一、硬件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CPU：国产，不低于32核*2；</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内存：不低于64GB DDR4；硬盘：不低于1TB；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含推理卡1张；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二、软件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1、支持不小于1080P视频解析与识别，单推理卡同时支持 8 路 1080P 视频解析和识别。</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2、支持接收公安交通集成指挥平台无人机应用模块下发的识别指令进行实时视频识别，并将识别结果推送至公安交通集成指挥平台无人机应用模块。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3、支持道路交通违法行为实时识别，包括机动车占用应急车道、机动车违反禁止标线、遇行人正在通过人行横道时未停车让行、机动车倒车逆行和异常停车等违法行为，识别准确率不低于70%。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4、支持道路交通事件识别，包括行人上道路、抛洒物、起火等事件，识别准确率不低于70%。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C54C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DD0B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E2A72AF">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B14D2">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6CA6BEB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E9E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03A8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无人机场基础施工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13AA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接电接网、防雷接地；场地硬化、混凝土基础、围栏等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335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9BD1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A861A10">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8BA001">
            <w:pPr>
              <w:jc w:val="center"/>
              <w:rPr>
                <w:rFonts w:hint="eastAsia" w:ascii="宋体" w:hAnsi="宋体" w:eastAsia="宋体" w:cs="宋体"/>
                <w:sz w:val="24"/>
                <w:szCs w:val="24"/>
              </w:rPr>
            </w:pPr>
            <w:r>
              <w:rPr>
                <w:rFonts w:hint="eastAsia" w:ascii="宋体" w:hAnsi="宋体" w:eastAsia="宋体" w:cs="宋体"/>
                <w:b/>
                <w:bCs/>
                <w:color w:val="000000"/>
                <w:sz w:val="24"/>
                <w:szCs w:val="24"/>
              </w:rPr>
              <w:t>7、高速服务区出入口</w:t>
            </w:r>
          </w:p>
        </w:tc>
      </w:tr>
      <w:tr w14:paraId="7B74E0A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872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84EA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ECBF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488E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486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39749A99">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349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F6F15">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559A9">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D8ADA">
            <w:pPr>
              <w:jc w:val="center"/>
              <w:rPr>
                <w:rFonts w:hint="eastAsia" w:ascii="宋体" w:hAnsi="宋体" w:eastAsia="宋体" w:cs="宋体"/>
                <w:sz w:val="24"/>
                <w:szCs w:val="24"/>
              </w:rPr>
            </w:pPr>
          </w:p>
        </w:tc>
      </w:tr>
      <w:tr w14:paraId="34270E7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BAB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BAE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抓拍一体机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2851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▲1.不低于900万像素工业摄像机内置GPU芯片；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▲2.CMOS靶面尺寸≥1；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▲3.图像分辨率≥4096×2160，帧率1-50帧可调；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4.支持低延时功能，视频图像传输至客户端的延时时间≤90ms；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5.支持辅助对焦功能，在辅助对焦功能界面，绘制对焦区域，点击开始对焦，同时回转镜头画面中会提示当前清晰度值，可辅助完成对焦；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6.支持黄标车标志检测、异常车牌、夜间未开车灯、行人人脸检测、非机动车驾驶员属性、车窗内挂件识别、年检贴检测、危险品车检测、车身副颜色等多种检测识别功能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7.支持ARP防攻击、IP地址过滤、HTTP鉴权、非法登录锁定等功能；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8.设备应支持白光爆闪、红外爆闪、白光频闪和常亮等补光模式，并具有自定义时间和自动切换功能；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9.设备支持视频、地感线圈、雷达触发方式中的一种或多种，且可通过WEB界面配置，同时支持视频与雷达、线圈检测自动切换功能；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10.在实时捕获通行车辆图像的同时，应具备车辆号牌自动识别功能（号牌字符包含A-HJ-NP-Z、0－9)，白天和晚上指标≥99%；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11.支持识别不少于7种车牌颜色，包括蓝、黄、黑、白、绿、黄绿双色、渐变绿色；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12.支持识别不少于14种车身颜色，包括黑、白、灰、红、绿、蓝、黄、粉、紫、棕、橙、青、金、银灰；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13.支持机动车不系安全带、开车打电话、逆行、压线、占用非机动车道、占用紧急车道、占用公交车道等多种违法，捕获率≥99%，记录有效率≥99%；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14.支持开车打电话检测功能，捕获率应≥99%，记录有效率应≥99%；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15.支持不系安全带检测功能，捕获率应≥99%，记录有效率应≥99%；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16.符合GB35114《公共安全视频监控联网信息安全技术要求》国家标准A级标准；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17.防护等级≥IP67；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18.工作温度-50℃～+90℃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9A4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3D1D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r>
      <w:tr w14:paraId="4C27BDA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386E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B66A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DA52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光圈:不低于F1.4，手动光圈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接口:支持C接口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焦段:不低于50mm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聚焦方式:支持手动聚焦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5A18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1D7F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r>
      <w:tr w14:paraId="38A004B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2B6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35DF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81BB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C90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AA8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r>
      <w:tr w14:paraId="7C09B43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2232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B188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多合一环保爆闪灯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90E6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▲光源类型:支持LED暖光频闪；LED暖光爆闪；气体白光爆闪；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触发方式:频闪灯支持电平量触发和开关量触发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爆闪灯支持开关量触发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LED灯珠角度:不小于10°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色温:气体灯 6000±500K ；LED 4000±200K</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LED灯珠数:不少于24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回电时间:不大于55ms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闪光持续时间:默认300us，范围170~560us可调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补光距离:LED灯16~29米；气体灯18~32米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尾线接口:1路电源输入；1路爆闪触发输入；1路频闪触发输入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气体爆闪计数:支持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使用寿命:不小于1000万次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防护等级:不低于IP66</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工作温度:-30℃~60℃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电源:AC220V±20%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91A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3C8C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w:t>
            </w:r>
          </w:p>
        </w:tc>
      </w:tr>
      <w:tr w14:paraId="4AE8303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4421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7E2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6295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C191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C3D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w:t>
            </w:r>
          </w:p>
        </w:tc>
      </w:tr>
      <w:tr w14:paraId="04F4C17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F32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BAE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路口智能终端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6A9E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视频编码:支持H.265、H.264等主流图像压缩格式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▲相机接入:不少于1路~16路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图片合成:最少支持2、3、4、6张图片合成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图片操作:支持图片的存储、检索、查看、导出、上传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图片OSD叠加:支持单张图、合成图上叠加车牌、车道、时间、地点等字符信息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硬盘存储:自带1块不小于4T硬盘；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网络接口:支持双网卡，支持双网隔离，支持双网互通；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USB接口:不少于1个USB3.0接口，向下兼容USB2.0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工作温度:-30～70℃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工作湿度:5%-95% （无冷凝）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100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172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658FE0C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F4B4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884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悬臂（大）机箱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46B5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1、箱体尺寸：≥600*500*400mm，背部或底部进线、可支架或抱箍安装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2、静电喷塑，厚度≥1.5mm，表面不应有明显的起泡、针孔、开裂和剥落等缺陷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3、箱体防雨设计，外壳防护等级符合IP55的等级要求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4、内嵌式自动重合闸保护器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7404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8A7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4FF7F5A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029E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498C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5C88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1、≥八棱对角220-280*6mm*6.5米；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2、横臂：≥八棱对角90-180*4mm*7米；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BED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78DC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592FA5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7A4A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4F2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7B6B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1、≥八棱对角220-280*8mm*6.5米；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2、横臂：≥八棱对角90-220*4mm*8米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9CE7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3983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331EFFF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A308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44D8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E635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1、≥八棱对角280-330*8mm*6.5米；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2、横臂：≥八棱对角90-220*4mm*9米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6261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1567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7540D5C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DF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1367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防雷接地体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2E00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防雷接地体，材质为热镀锌角钢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A196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C832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r>
      <w:tr w14:paraId="4C65030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6D06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5921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1C58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≥YJV3*6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2E7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A69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450</w:t>
            </w:r>
          </w:p>
        </w:tc>
      </w:tr>
      <w:tr w14:paraId="3969A0F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245F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3CC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相机供电线缆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AA8D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D52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5CE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1620</w:t>
            </w:r>
          </w:p>
        </w:tc>
      </w:tr>
      <w:tr w14:paraId="268B51D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026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D0F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A788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室外超五类非屏蔽双绞线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E79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8E52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780</w:t>
            </w:r>
          </w:p>
        </w:tc>
      </w:tr>
      <w:tr w14:paraId="57F5E84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0AF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90D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D61E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≥BV16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0DF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E581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r>
      <w:tr w14:paraId="33CD539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C02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97A4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抓拍指示牌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37C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铝反光牌面≥60cm*80cm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9D7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721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39962399">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BC44A">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017F2CD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080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AC2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EC82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21A4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6C48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FC2683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70E5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EE7B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C4C5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929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85DC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5B4FE0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6014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B79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9米悬臂式交通杆件基础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C326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≥1.5M*1.5M*1.5M，含开挖，回填，渣土清运，c30混凝土浇筑等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5E9F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E69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1B44B63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1187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599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高速公路杆件吊装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CBE6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含高速公路运输、人工、吊车、平板车费用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11E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C5C1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r>
      <w:tr w14:paraId="30A2C9A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F451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AF09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高速周边穿线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C3A7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B421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273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2850</w:t>
            </w:r>
          </w:p>
        </w:tc>
      </w:tr>
      <w:tr w14:paraId="62157FC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E05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040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69C6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BC9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4E8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r>
      <w:tr w14:paraId="3F06983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A49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B8C9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悬臂机箱安装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CBB2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含配套安装调试，人工、运输费、安装费用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448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A539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0C343F0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A11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BC7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高速出入口周边开挖及恢复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12F4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高速出入口周边开挖，不小于500mm深，原土回填，恢复垫层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EA2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BA2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365</w:t>
            </w:r>
          </w:p>
        </w:tc>
      </w:tr>
      <w:tr w14:paraId="254C778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18B6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D2B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顶管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C8CD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顶管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41E0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19B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r>
      <w:tr w14:paraId="18BB7EF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37D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E5A5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D975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≥φ90PE管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416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E05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365</w:t>
            </w:r>
          </w:p>
        </w:tc>
      </w:tr>
      <w:tr w14:paraId="4214EA7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30E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B50A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交通专用手孔井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1AE1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铸铁圆井盖，400mm*400mm*800mm，红砖砌井，水泥抹平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1AF7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5E1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r>
      <w:tr w14:paraId="49AE470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495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7864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高速点位电表开通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61C1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高速点位用电开通，安装电表费用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08C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F654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7F1AF80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72A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996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0B8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6A5B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114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72276ABF">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497FC">
            <w:pPr>
              <w:jc w:val="center"/>
              <w:rPr>
                <w:rFonts w:hint="eastAsia" w:ascii="宋体" w:hAnsi="宋体" w:eastAsia="宋体" w:cs="宋体"/>
                <w:sz w:val="24"/>
                <w:szCs w:val="24"/>
              </w:rPr>
            </w:pPr>
            <w:r>
              <w:rPr>
                <w:rFonts w:hint="eastAsia" w:ascii="宋体" w:hAnsi="宋体" w:eastAsia="宋体" w:cs="宋体"/>
                <w:b/>
                <w:bCs/>
                <w:color w:val="000000"/>
                <w:sz w:val="24"/>
                <w:szCs w:val="24"/>
              </w:rPr>
              <w:t>8、大裂谷卡口</w:t>
            </w:r>
          </w:p>
        </w:tc>
      </w:tr>
      <w:tr w14:paraId="43C237C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717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0E18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7E8B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2F5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D5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0DCFEB46">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0D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860EC">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B0D50">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A65CA">
            <w:pPr>
              <w:jc w:val="center"/>
              <w:rPr>
                <w:rFonts w:hint="eastAsia" w:ascii="宋体" w:hAnsi="宋体" w:eastAsia="宋体" w:cs="宋体"/>
                <w:sz w:val="24"/>
                <w:szCs w:val="24"/>
              </w:rPr>
            </w:pPr>
          </w:p>
        </w:tc>
      </w:tr>
      <w:tr w14:paraId="082CA59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19D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B71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抓拍一体机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0EDE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▲1.不低于900万像素工业摄像机内置GPU芯片；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▲2.CMOS靶面尺寸≥1；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▲3.图像分辨率≥4096×2160，帧率1-50帧可调；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4.支持低延时功能，视频图像传输至客户端的延时时间≤90ms；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5.支持辅助对焦功能，在辅助对焦功能界面，绘制对焦区域，点击开始对焦，同时回转镜头画面中会提示当前清晰度值，可辅助完成对焦；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6.支持黄标车标志检测、异常车牌、夜间未开车灯、行人人脸检测、非机动车驾驶员属性、车窗内挂件识别、年检贴检测、危险品车检测、车身副颜色等多种检测识别功能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7.支持ARP防攻击、IP地址过滤、HTTP鉴权、非法登录锁定等功能；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8.设备应支持白光爆闪、红外爆闪、白光频闪和常亮等补光模式，并具有自定义时间和自动切换功能；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9.设备支持视频、地感线圈、雷达触发方式中的一种或多种，且可通过WEB界面配置，同时支持视频与雷达、线圈检测自动切换功能；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10.在实时捕获通行车辆图像的同时，应具备车辆号牌自动识别功能（号牌字符包含A-HJ-NP-Z、0－9)，白天和晚上指标≥99%；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11.支持识别不少于7种车牌颜色，包括蓝、黄、黑、白、绿、黄绿双色、渐变绿色；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12.支持识别不少于14种车身颜色，包括黑、白、灰、红、绿、蓝、黄、粉、紫、棕、橙、青、金、银灰；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13.支持机动车不系安全带、开车打电话、逆行、压线、占用非机动车道、占用紧急车道、占用公交车道等多种违法，捕获率≥99%，记录有效率≥99%；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14.支持开车打电话检测功能，捕获率应≥99%，记录有效率应≥99%；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15.支持不系安全带检测功能，捕获率应≥99%，记录有效率应≥99%；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16.符合GB35114《公共安全视频监控联网信息安全技术要求》国家标准A级标准；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17.防护等级≥IP67；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18.工作温度-50℃～+90℃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3F07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BE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4174CA5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8B2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DDD4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F302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光圈:不低于F1.4，手动光圈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接口:支持C接口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焦段:不低于50mm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聚焦方式:支持手动聚焦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6506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8821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5DC4DF4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30E5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B372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F37B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A61C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6868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4963FAA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7BE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193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多合一环保爆闪灯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BDBB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▲光源类型:支持LED暖光频闪；LED暖光爆闪；气体白光爆闪；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触发方式:频闪灯支持电平量触发和开关量触发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爆闪灯支持开关量触发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LED灯珠角度:不小于10°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色温:气体灯 6000±500K ；LED 4000±200K</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LED灯珠数:不少于24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回电时间:不大于55ms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闪光持续时间:默认300us，范围170~560us可调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补光距离:LED灯16~29米；气体灯18~32米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尾线接口:1路电源输入；1路爆闪触发输入；1路频闪触发输入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气体爆闪计数:支持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使用寿命:不小于1000万次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防护等级:不低于IP66</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工作温度:-30℃~60℃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电源:AC220V±20%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8DB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711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4DC71B3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3080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87D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4A9A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E8A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16C5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5C4CC15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B778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6380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路口智能终端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F922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视频编码:支持H.265、H.264等主流图像压缩格式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▲相机接入:不少于1路~16路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图片合成:最少支持2、3、4、6张图片合成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图片操作:支持图片的存储、检索、查看、导出、上传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图片OSD叠加:支持单张图、合成图上叠加车牌、车道、时间、地点等字符信息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硬盘存储:自带1块不小于4T硬盘；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网络接口:支持双网卡，支持双网隔离，支持双网互通；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USB接口:不少于1个USB3.0接口，向下兼容USB2.0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工作温度:-30～70℃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工作湿度:5%-95% （无冷凝）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5909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EF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9606CC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28D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9B3B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悬臂（大）机箱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F869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1、箱体尺寸：≥600*500*400mm，背部或底部进线、可支架或抱箍安装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2、静电喷塑，厚度≥1.5mm，表面不应有明显的起泡、针孔、开裂和剥落等缺陷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3、箱体防雨设计，外壳防护等级符合IP55的等级要求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4、内嵌式自动重合闸保护器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EB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3ED3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4677249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9698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14C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7米悬臂式交通杆件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3DE5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1、≥八棱对角220-280*6mm*6.5米；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2、横臂：≥八棱对角90-180*4mm*7米；</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3、钢材：Q235B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4、镀锌、喷塑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5、新疆，含到场运输费用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6、含配套地笼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5DD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2BA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7984742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3CE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7262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防雷接地体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F6B7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热镀锌角钢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B01D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232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5ADCB6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8FB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5BC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主电源线接入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8CE5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≥YJV3*6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00E0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6441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310</w:t>
            </w:r>
          </w:p>
        </w:tc>
      </w:tr>
      <w:tr w14:paraId="6B03709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184C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006B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相机供电线缆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E38F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CA5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4D1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240</w:t>
            </w:r>
          </w:p>
        </w:tc>
      </w:tr>
      <w:tr w14:paraId="2C26C9A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3F76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6DF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969D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室外超五类非屏蔽双绞线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F54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C61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r>
      <w:tr w14:paraId="4B2AEF2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2E41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4E0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FDE0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≥BV16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5534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8FFD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14:paraId="19DB9BF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4CF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649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FBD0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铝反光牌面≥60cm*80cm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3682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E38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37BBEC9B">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9B259">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6D3BBC8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0BB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316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3F05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≥1.3M*1.3M*1.5M，含开挖，回填，渣土清运、c30混凝土浇筑等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8156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98AB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5C1FA023">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CD2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7CC5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5C2E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含人工、吊车、杆件组装、平板车费用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1CC7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EAB5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7FD11AB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F4AC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3F1D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14DC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267A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F0B4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730</w:t>
            </w:r>
          </w:p>
        </w:tc>
      </w:tr>
      <w:tr w14:paraId="59A499F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B53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4C75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1469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E59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C3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261227E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3A8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1DFB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悬臂机箱安装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0B2E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含配套安装调试，人工、运输费、安装费用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BCA3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A78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D913B9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1878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A4D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开挖及恢复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C6AE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不小于500mm深，原土回填，恢复垫层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D3FC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4DA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250</w:t>
            </w:r>
          </w:p>
        </w:tc>
      </w:tr>
      <w:tr w14:paraId="5729712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7151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2323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DF7D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≥φ90PE管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90CD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DFD4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250</w:t>
            </w:r>
          </w:p>
        </w:tc>
      </w:tr>
      <w:tr w14:paraId="0246044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74E3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FAA4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交通专用手孔井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749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铸铁圆井盖，400mm*400mm*800mm，红砖砌井，水泥抹平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C19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296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39D0148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E8D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9918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0D37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E4E6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1D5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42F590AC">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91634">
            <w:pPr>
              <w:jc w:val="center"/>
              <w:rPr>
                <w:rFonts w:hint="eastAsia" w:ascii="宋体" w:hAnsi="宋体" w:eastAsia="宋体" w:cs="宋体"/>
                <w:sz w:val="24"/>
                <w:szCs w:val="24"/>
              </w:rPr>
            </w:pPr>
            <w:r>
              <w:rPr>
                <w:rFonts w:hint="eastAsia" w:ascii="宋体" w:hAnsi="宋体" w:eastAsia="宋体" w:cs="宋体"/>
                <w:b/>
                <w:bCs/>
                <w:color w:val="000000"/>
                <w:sz w:val="24"/>
                <w:szCs w:val="24"/>
              </w:rPr>
              <w:t>9、电警设备更换及杆件迁移</w:t>
            </w:r>
          </w:p>
        </w:tc>
      </w:tr>
      <w:tr w14:paraId="7E186F9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BF0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0B1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5006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CA6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A0AA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30294FA5">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6BD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D99B2">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DFC55">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62B55">
            <w:pPr>
              <w:jc w:val="center"/>
              <w:rPr>
                <w:rFonts w:hint="eastAsia" w:ascii="宋体" w:hAnsi="宋体" w:eastAsia="宋体" w:cs="宋体"/>
                <w:sz w:val="24"/>
                <w:szCs w:val="24"/>
              </w:rPr>
            </w:pPr>
          </w:p>
        </w:tc>
      </w:tr>
      <w:tr w14:paraId="3E227CA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138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BB08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F6E5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≥YJV3*6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947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C3D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r>
      <w:tr w14:paraId="5C153FE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514E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F633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防雷接地体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D2C0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防雷接地体，材质为热镀锌角钢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E476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726B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022B7E2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2543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4C7A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电警抓拍一体机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B073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▲1.不低于900万像素工业摄像机，高感光图像传感器，内置GPU芯片；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▲2.CMOS靶面尺寸≥1；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3.符合GB35114《公共安全视频监控联网信息安全技术要求》国家标准A级标准；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▲4.图像分辨率≥4096×2160，分辨力≥2000TVL，帧率1-50帧可调；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5.工作温度-50℃～+90℃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6.支持低延时功能，视频图像传输至客户端的延时时间≤90ms；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7.防护等级≥IP67；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8.支持辅助对焦功能，在辅助对焦功能界面，绘制对焦区域，点击开始对焦，同时回转镜头画面中会提示当前清晰度值，可辅助完成对焦；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9.支持ARP防攻击、IP地址过滤、HTTP鉴权、非法登录锁定等功能；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10.在实时捕获通行车辆图像的同时，应具备车辆号牌自动识别功能（号牌字符包含A-HJ-NP-Z、0－9)，白天和晚上指标≥99%；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11.支持识别不少于7种车牌颜色，包括蓝、黄、黑、白、绿、黄绿双色、渐变绿色；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12.支持识别不少于14种车身颜色，包括黑、白、灰、红、绿、蓝、黄、粉、紫、棕、橙、青、金、银灰；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13.支持车型识别，种类≥49种；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14.支持识别车辆品牌，种类≥430种；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15支持对违法压线并停留超过设定时间阈值的行为进行检测并进行图片抓拍，捕获率≥99%；</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16.支持机动车闯红灯、压线、不礼让行人、未按导向车道行驶、逆行、占用非机动车道、占用紧急车道、占用公交车道等多种违法，捕获率≥99%，记录有效率≥99%；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084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418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716331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347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62A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2E46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焦段:不小于16mm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光圈:不小于F1.4，支持手动光圈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接口:支持C接口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聚焦方式:支持手动聚焦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1485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12B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8BAA26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39D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6B9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E579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33FA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DD6E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0B02482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529A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AC1A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频闪灯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41E6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▲LED灯珠数:不小于16颗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光源类型:大功率暖光LED</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色温:不少于3000K</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光通量:不小于1400lm@20%占空比</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发光角度:不小于10°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最佳补光距离:16~26m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触发方式:支持电平量触发和开关量触发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触发信号电平:4V~6V（高电平有效）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触发占空比:1%~40%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响应时间:≤370μs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触发频率:40Hz~200Hz</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支架旋转角度:-90°~+90°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尾线接口:不少于1路电源输入、1路频闪触发输入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电源:AC176～264V，50/60Hz</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功耗:不大于30W</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工作环境:-40℃~+70℃，10~95%RH</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防护等级:不低于IP67</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寿命:&gt;50000h@25℃</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工作温度:-40℃-70℃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工作湿度:10~95%RH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F1D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D27F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r>
      <w:tr w14:paraId="5D14420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6E6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1DA4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FEDD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3802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95E5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r>
      <w:tr w14:paraId="2A5F832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724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572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接地线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CF4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≥BV16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F39F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ED57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3225577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667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C68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4芯光缆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84E8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单模 ≥4芯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A364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272A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r>
      <w:tr w14:paraId="5890C9A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978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1960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信号灯组电源线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5733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 5*1.5mm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1FBA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09E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r>
      <w:tr w14:paraId="67A0AEBB">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D5208">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00F55E6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C341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84A3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4590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东环路与孔雀路东边电警杆件、孔雀路和富强路电警杆件、孔雀路和富强路信号灯杆件根据现场情况迁移约30米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93A9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977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4DDA1F7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407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2A28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11D8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基础大小与现有基础尺寸相同，含开挖，回填，渣土清运，钢筋笼配筋、C30混凝土浇筑等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CF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443C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5D680B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6B6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9DBA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杆件吊装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BCCC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含人工、吊车、平板车费用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B38C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EA96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2411E8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5605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EFF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F3C7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F4C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6E4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320</w:t>
            </w:r>
          </w:p>
        </w:tc>
      </w:tr>
      <w:tr w14:paraId="7A49878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E43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C8A0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开挖及恢复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83E5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不小于500mm深，原土回填，恢复垫层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C0C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B4D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240</w:t>
            </w:r>
          </w:p>
        </w:tc>
      </w:tr>
      <w:tr w14:paraId="78D6DA6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04E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BDC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PE管道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4C8F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≥φ90PE管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EBDD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5C29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240</w:t>
            </w:r>
          </w:p>
        </w:tc>
      </w:tr>
      <w:tr w14:paraId="5D48EEC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52F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4E7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1FBC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4D16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C9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14:paraId="3AE2931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D58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8857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交通专用手孔井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5D1A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铸铁圆井盖，400mm*400mm*800mm，红砖砌井，水泥抹平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87A7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FD53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44C91B3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1AE7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F3EF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01A0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0EC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BB84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0E4CDCCC">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1C2DA">
            <w:pPr>
              <w:jc w:val="center"/>
              <w:rPr>
                <w:rFonts w:hint="eastAsia" w:ascii="宋体" w:hAnsi="宋体" w:eastAsia="宋体" w:cs="宋体"/>
                <w:sz w:val="24"/>
                <w:szCs w:val="24"/>
              </w:rPr>
            </w:pPr>
            <w:r>
              <w:rPr>
                <w:rFonts w:hint="eastAsia" w:ascii="宋体" w:hAnsi="宋体" w:eastAsia="宋体" w:cs="宋体"/>
                <w:b/>
                <w:bCs/>
                <w:color w:val="000000"/>
                <w:sz w:val="24"/>
                <w:szCs w:val="24"/>
              </w:rPr>
              <w:t>10、路口提示屏</w:t>
            </w:r>
          </w:p>
        </w:tc>
      </w:tr>
      <w:tr w14:paraId="15EA5EB0">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F29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667E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D121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CAC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F47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4EFCF23E">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2A22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423BD">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BD484">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49109">
            <w:pPr>
              <w:jc w:val="center"/>
              <w:rPr>
                <w:rFonts w:hint="eastAsia" w:ascii="宋体" w:hAnsi="宋体" w:eastAsia="宋体" w:cs="宋体"/>
                <w:sz w:val="24"/>
                <w:szCs w:val="24"/>
              </w:rPr>
            </w:pPr>
          </w:p>
        </w:tc>
      </w:tr>
      <w:tr w14:paraId="70C5505B">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6048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948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路口提示屏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B4D3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1、尺寸：不小于1600*640*105mm，外壳为金属材质。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2、有左转待转区的路口方向，信息提示屏可适配信号灯状态，允许进入待转区时，显示“左转机动车进入待转区”；不允许进入待转区时，显示“禁止机动车进入待转区”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3、无待转区的路口方向，可以自定义显示安全提示标语。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20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F3E4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r>
      <w:tr w14:paraId="102EA13C">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8AB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8911C">
            <w:pPr>
              <w:jc w:val="center"/>
              <w:rPr>
                <w:rFonts w:hint="eastAsia"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3AD66">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FEDCE">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2EA2E">
            <w:pPr>
              <w:jc w:val="center"/>
              <w:rPr>
                <w:rFonts w:hint="eastAsia" w:ascii="宋体" w:hAnsi="宋体" w:eastAsia="宋体" w:cs="宋体"/>
                <w:sz w:val="24"/>
                <w:szCs w:val="24"/>
              </w:rPr>
            </w:pPr>
          </w:p>
        </w:tc>
      </w:tr>
      <w:tr w14:paraId="2A35A57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C28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BEE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提示屏安装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1319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含屏幕吊装、接线通电、安装调试、施工。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894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884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r>
      <w:tr w14:paraId="186107F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22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E9D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大屏升级改造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132C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城南1套大屏、城北2套大屏，更换主控板和电源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6C7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108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0ABF59F">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B94E4">
            <w:pPr>
              <w:jc w:val="center"/>
              <w:rPr>
                <w:rFonts w:hint="eastAsia" w:ascii="宋体" w:hAnsi="宋体" w:eastAsia="宋体" w:cs="宋体"/>
                <w:sz w:val="24"/>
                <w:szCs w:val="24"/>
              </w:rPr>
            </w:pPr>
            <w:r>
              <w:rPr>
                <w:rFonts w:hint="eastAsia" w:ascii="宋体" w:hAnsi="宋体" w:eastAsia="宋体" w:cs="宋体"/>
                <w:b/>
                <w:bCs/>
                <w:color w:val="000000"/>
                <w:sz w:val="24"/>
                <w:szCs w:val="24"/>
              </w:rPr>
              <w:t>11、警车安全管理</w:t>
            </w:r>
          </w:p>
        </w:tc>
      </w:tr>
      <w:tr w14:paraId="75843EE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ACC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B686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1227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504E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9F68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720FEC7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E59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0EE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车载主机一体机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1021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存储：不低于64G存储卡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视频路数：配置不少于2路摄像头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打印机：内置热敏打印机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通信模块：支持全网通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定位模块：支持北斗定位</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电源输入：DC+8V~+36V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A22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3AC9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r>
      <w:tr w14:paraId="6607B23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FC7D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203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警车安全管理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0DC8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管理辖区车辆，对车辆进行实时监控、及时预警采集车辆运行情况与安全信息统计车辆行驶过程违法状况，技术分析车辆危害程度。包括但不限于实现以下功能：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1、指挥中心用户功能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实时位置查看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实时视频查看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实时对讲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轨迹回放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过程分析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报表导出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2、交警大队用户功能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历史视频查看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实时视频查看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视频中心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报警记录查询</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报警详情查看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3、应急管理功能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事故发生前后查看历史视频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驾驶员记录分析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事故预防</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安全分析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报表导出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4、含配套硬件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8A7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CC9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8F0DDA4">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55CAA">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5FA0E37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3CE6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1CF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车载主机一体机安装调试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802C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车载主机一体机安装调试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F0E7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ACF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r>
      <w:tr w14:paraId="76E67058">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3BC2B">
            <w:pPr>
              <w:jc w:val="center"/>
              <w:rPr>
                <w:rFonts w:hint="eastAsia" w:ascii="宋体" w:hAnsi="宋体" w:eastAsia="宋体" w:cs="宋体"/>
                <w:sz w:val="24"/>
                <w:szCs w:val="24"/>
              </w:rPr>
            </w:pPr>
            <w:r>
              <w:rPr>
                <w:rFonts w:hint="eastAsia" w:ascii="宋体" w:hAnsi="宋体" w:eastAsia="宋体" w:cs="宋体"/>
                <w:b/>
                <w:bCs/>
                <w:color w:val="000000"/>
                <w:sz w:val="24"/>
                <w:szCs w:val="24"/>
              </w:rPr>
              <w:t>12、智慧信控边缘计算</w:t>
            </w:r>
          </w:p>
        </w:tc>
      </w:tr>
      <w:tr w14:paraId="4B7B2B6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0DF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9AB9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8D70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F54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834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7AD3FAE8">
        <w:tblPrEx>
          <w:tblCellMar>
            <w:top w:w="0" w:type="dxa"/>
            <w:left w:w="108" w:type="dxa"/>
            <w:bottom w:w="0" w:type="dxa"/>
            <w:right w:w="108"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5BA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设备及材料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565D1">
            <w:pPr>
              <w:jc w:val="left"/>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FC6BC">
            <w:pPr>
              <w:jc w:val="center"/>
              <w:rPr>
                <w:rFonts w:hint="eastAsia"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802E6">
            <w:pPr>
              <w:jc w:val="center"/>
              <w:rPr>
                <w:rFonts w:hint="eastAsia" w:ascii="宋体" w:hAnsi="宋体" w:eastAsia="宋体" w:cs="宋体"/>
                <w:sz w:val="24"/>
                <w:szCs w:val="24"/>
              </w:rPr>
            </w:pPr>
          </w:p>
        </w:tc>
      </w:tr>
      <w:tr w14:paraId="156E132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D8F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310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路口边缘计算单元及信号优化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26FF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一、路口边缘计算单元：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1、实现通过统一的算法和协议的协调控制。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2、信号优化，包括不限于"自适应控制优化"和"AI方案生成"两种优化策略，可实现基于数据实现的全自动/半自动信号优化。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3、支持对H.264/HEVC(H.265)/VP8/VP9/MJPEG视频流进行编解码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4、支持不少于4路900万(4096*2048)30FPS接入或8路200万(1920*1080)30FPS接入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5、支持不少于2路900万(4096*2048)30FPS输出或8路200万(1920*1080)30FPS输出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6.算力要求：算力≥6TOPS，保障AI解析、信号控制等核心功能高效处理。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7.内存配置：内存≥16GB，支持多任务并行处理，确保系统流畅运行。</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8.存储配置：存储≥128GB，可满足视频数据、运行日志等信息的本地存储需求。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二、不限于提供以下信号优化功能服务：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 信号优化概览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 实时优化概况</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统计当前正在动态实时优化的路口总数，包含本地单点感应、中心自适应、参与动态协调路口以及未实时优化路口、离线路口的数量以及占比；统计创建的动态协调任务中正下发的动态绿波线路以及下发率，实现清晰了解当前实时优化的路口和线路情况。</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 优化路口执行分析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漏斗图样式统计全部路口、创建优化任务的路口，下发优化方案成功路口对比，以及查看任务创建比例和任务下发比例。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 优化任务下发统计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统计各类型优化任务创建总量、已下发数量、下发成功占比。</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 干线优化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展示当前执行单向和双向动态绿波的数量及绿波线路列表，包含任务名称、下发时间、绿波起止路口名称、路口总数、周期时长、平均速度和时间，并支持地图定位可查看干线优化详情。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 单点优化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展示当前正在执行本地单点感应和中心优化的的路口数量和路口列表，可定位查看实时优化路口位置及优化详情。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1.6 地图信息展示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根据信号评定方案，结合信号机所在路口的位置信息，在地图上进行标定展示，内容包含:</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（1）地图上一目了然可查看未优化路口、已创建方案路口、正执行方案路口，同时查看每个路口当前执行的方案以及历史方案的详情信息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（2）通过地图多图层管理，可分别查看自适应路口、单点感应路口、静态绿波和动态绿波线路分布以及各优化任务详情信息，可清晰查看实时优化效果。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 路口背景方案优化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在中心针对单个路口的方案进行管理，实现单路口的方案生成和方案更新。针对孤立路口、拥堵路口等，通过路口历史检测数据，根据工作日和非工作日下各时段的交通状态不同，对路口方案进行时段自动划分、并提供优化后的周期长度、各阶段绿灯时长等具体参数信息，支持系统方案的灵活调整和一键下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2.1 路口选择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基于2D地图撒点标识路口位置，点击选中路口后，根据路口流量情况支持全时段和单一时段（周一至周日）优化方案，开始该路口背景方案生成流程。</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2.2 时段划分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根据路口特征基于历史交通流模式的相似性与差异性分析，采用自动时段划分算法进行路口信号控制时段的智能划分。并将优化时段划分方案与流量时序图叠加展示，直观分析优化方案与流量波动趋势的匹配度，辅助用户判定时段划分是否合理。并可人工进行增减时段、实现人工微调干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时段增加：选定时段后可在选中时段中间增加时刻点；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时刻点删除：选定时段后可删除该时段前后时刻点；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重置操作：基于当前划分时段进行编辑后，提供一键复原操作，可快速恢复生成的默认值。</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2.3 查看相序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展示每个时段的相序信息，用户可选定时段后进行拖动排序操作，结果符合预期后可执行后续操作。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2.4 方案配置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针对划分好的时段，可进行阶段时长的配置。算法默认提供优化后的时长信息，各时段的总周期以及每个阶段时长、绿信比信息，用户可进行编辑，编辑后符合预期可执行后续操作。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交通流量图展示该时段高峰期流量统计数据，用以辅助时长信息配置。在大图模式下，可专注于某一天的信息配置，便于查看流量图的细节信息。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 路口自适应优化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路口自适应优化根据交叉口交通流量变化情况和车辆检测器测定的交通参数，基于路口实时供需特征依据内置的优化控制算法，自动生成交通信号控制方案，动态调整信号灯周期及各阶段时长，实现信号调优全过程自动化。通过系统提供的单点智能优化功能，使得信号灯更加智能化和灵活化，提高了路口通行效率和安全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3.1 路口选择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基于2D地图点选路口，选中路口后进入到实时优化配置流程，可以控制是否实时优化，功能开启后系统会根据根据交通流时间变化持续生成优化方案。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3.2 配置车道参数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系统将自动读取系统设置内每个车道的配置参数，包含车道名称、饱和流率、Gap值参数可进行二次修改。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3.3 配置相位参数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系统自动读取系统设置中每个相位的参数，包括相位名称、最大/最小绿灯时间、相位额外损失时间。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3.4 配置控制方案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基于配置的路口参数，算法根据路口参数和实时交通流量数据，通过不断指标寻优的过程实现控制，并自动提供优化后的工作日和非工作日方案：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时段划分：可手动修改优化时段，支持增加时段、选中时段后删除前后时刻点、重置操作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方案下发：开关控制，开启后支持将生成的优化方案下发给信号机，如果不开启只做方案生成记录</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3.5 实时优化记录</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优化任务开启后，在任务执行期内实时动态优化可查看每次的优化记录，按照优化任务更新频率，展示方案生成记录、方案生成状态等信息。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 静态绿波方案优化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干线绿波通常由多个相邻的绿灯组成，每个绿灯之间保持一定的时间间隔，使得车辆可以在这段时间内保持恒定的速度行驶。因此需要通过优化信号控制周期和相位差等参数，来形成连续的绿波带，以提高道路通行能力和交通安全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4.1 干线选择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平台支持向导式创建优化任务，基于2D地图点选路口，已选定的路口自动生成干线路径，可支持最小2个，最大10个路口的优化方案，并支持已选择的路口支持取消选择和手动排序操作。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4.2 配置优化参数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绿波类型支持以单向、反向，双向交通流为优化对象，可配置干线内路口优化参数的填写并支持批量修改，如：车辆速度、协调相位，填写过程中，可查看路口的交通流量图和当前方案，来进行决策辅助。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4.3 计算关键路口及公共周期</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关键路口的确定是实施干线协调控制的基础，以关键路口对应的信号周期为子区内交叉口的公共周期，算法自动生成关键路口和对应的公共周期，用户可根据自己的经验决策是否采纳推荐的公共周期，可修改比建议值更大的数值。</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4.4 计算路口相位差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模型算法根据各个交叉口的位置、周期时长等参数进行优化，通过时距图展示各个路口相位差，正向、反向带宽，用户可通过修改指定参数来调整绿波时距图，以达到最优的绿波设计。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 动态绿波协调优化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动态绿波协调优化针对干线路口，或者已创建的绿波干线，通过根据检测器获取到的交通指标实时监测进行动态优化控制，动态调整各路口绿灯时间和公共周期时长，通过实时的动态优化方案实现整体交通效率提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5.1 干线选择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基于2D地图撒点标识路口位置，地图上支持多选路口进行绿波线路设计，已选择的路口支持取消选择和手动排序操作，选择优化时段、优化频率、优化线路，也可以从现有的绿波线路中选择。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5.2 配置优化参数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选定路口后需进行指定优化参数的填写。填写过程中，可查看路口的交通流量图和当前路口方案，来进行决策辅助。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5.3 计算关键路口及公共周期</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算法每次优化自动生成关键路口和对应的公共周期，在此周期内优化相位差和绿信比；支持下发配置调整可按照工作日和非工作日维度配置各时段下发信息。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5.4 动态绿波优化记录</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任务在执行期间，可查看优化记录，显示在执行周期内系统生成的公共周期、路口相位差、各路口优化方案、时距图等信息。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 历史优化任务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以卡片和列表维度记录所有历史优化任务，并支持按照优化任务类型、任务名称、创建时间等维度进行数据筛选，支持任务编辑、删除、查看任务详情，查看实时优化结果等操作。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6.1 当前应用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展示当前正在执行的优化任务，便于用户宏观查看执行优化方案，并支持查看任务详情及优化记录等信息。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6.2 最近操作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系统自动截取最近操作的20条数据进行集中展示，便于快速定位最新操作的信息内容。针对每一个优化任务，都可以快速复制新建，便于模板任务数据的快速复制和新建。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6.3 收藏夹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针对每一个优化任务，都支持数据收藏，便于重点关注的优化任务的归档和查看，任务支持收藏和取消收藏。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6.4 回收站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针对每一个优化任务，避免用户误操作，删除后进入到回收站，支持一键复原和彻底删除。</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6.5 全部任务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以各类优化任务任务维度，展示每类优化方案任务信息：任务名称、优化时段、优化方案的下发状态、任务创建时间等，并支持根据任务名称或路口名称检索。</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6.6 消息提醒</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为了保证优化任务运行正常，参与优化路口的检测器设备异常和依赖的系统配置参数发生变更时，或者实时优化任务执行异常时给出消息预警提示，便于及时进行参数调整或者更换设备。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29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D2E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120BC4F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0ACA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D8B4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流量摄像机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58E4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1、最高像素：不低于 800 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2、传感器类型：不低于 1/1.8"</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4、镜头：变倍不低于 5X</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5、补光模式： 红外补光, 暖光补光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6、补光距离：不低于30m 暖光普通监控、50m 红外普通监控</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7、昼夜模式 ：自动, 白天, 夜晚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8、畸变矫正 ：支持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9、光学宽动态：不低于120dB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0A9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49D8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347C9BF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F32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8E11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LED补光灯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0805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配合流量摄像机使用，自动感光开关，LED补光灯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8073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95D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2CD67DF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8933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4BD8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通用型抱杆支架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803B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使用环境:室外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材质:镀锌钢板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调节范围:抱箍直径：100-300mm可调节（杆径略小于抱箍直径）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使用范围:兼容二维支架、三维支架、枪机壁装支架、补光灯的横杆或立杆安装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3603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FFF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539EA71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56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04C0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悬臂（小）机箱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1C34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箱体尺寸：≥400*300*200mm，壁厚≥1.2mm，内部配置≥1个电源防雷器，≥1个信号防雷器，≥1个带漏电保护的25A2P空开，≥2个15A2P空开，≥1个地排，≥1个检修插座。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D0B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67B2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51C71E8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DD3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E6F0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接入交换机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5660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工业级接入交换机，≥1千兆光，≥4百兆电，含电源等配件。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7431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617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672C506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A51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FC5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相机供电线缆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ECF1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B986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1476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14:paraId="38178EF1">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50BB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EF08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D3ED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室外超五类非屏蔽双绞线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1480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500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14:paraId="40024CB8">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C1D72">
            <w:pPr>
              <w:jc w:val="center"/>
              <w:rPr>
                <w:rFonts w:hint="eastAsia" w:ascii="宋体" w:hAnsi="宋体" w:eastAsia="宋体" w:cs="宋体"/>
                <w:sz w:val="24"/>
                <w:szCs w:val="24"/>
              </w:rPr>
            </w:pPr>
            <w:r>
              <w:rPr>
                <w:rFonts w:hint="eastAsia" w:ascii="宋体" w:hAnsi="宋体" w:eastAsia="宋体" w:cs="宋体"/>
                <w:color w:val="000000"/>
                <w:sz w:val="24"/>
                <w:szCs w:val="24"/>
              </w:rPr>
              <w:t>施工</w:t>
            </w:r>
          </w:p>
        </w:tc>
      </w:tr>
      <w:tr w14:paraId="5054C32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6126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DB97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边缘计算单元安装调试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FCF5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含信号机对接、调试、人工、运输、调试费用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2D5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15AC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2979A9C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EE1B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524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9F39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含人工费、穿线器材等费用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2E3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C605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r>
      <w:tr w14:paraId="28D0192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2F0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2AF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高空设备安装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B2C2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设备安装，附配套安装调试，含人工、高空作业车、运输、安装调试费用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8D9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03F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446D0C7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2DCE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079C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悬臂机箱安装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D3F0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含配套安装调试，人工、运输费、安装费用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6F6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CB23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11F71FF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51F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6C5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DEA0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管件接头、胶布、螺母等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720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A22D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25A0592B">
        <w:tblPrEx>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07048">
            <w:pPr>
              <w:jc w:val="center"/>
              <w:rPr>
                <w:rFonts w:hint="eastAsia" w:ascii="宋体" w:hAnsi="宋体" w:eastAsia="宋体" w:cs="宋体"/>
                <w:sz w:val="24"/>
                <w:szCs w:val="24"/>
              </w:rPr>
            </w:pPr>
            <w:r>
              <w:rPr>
                <w:rFonts w:hint="eastAsia" w:ascii="宋体" w:hAnsi="宋体" w:eastAsia="宋体" w:cs="宋体"/>
                <w:b/>
                <w:bCs/>
                <w:color w:val="000000"/>
                <w:sz w:val="24"/>
                <w:szCs w:val="24"/>
              </w:rPr>
              <w:t>13、相关配套</w:t>
            </w:r>
          </w:p>
        </w:tc>
      </w:tr>
      <w:tr w14:paraId="20CD36C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9866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54D8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CB59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E875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B04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14:paraId="481ADBF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C5E0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FAF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远程执法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9DCF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包括但不限于实现以下功能：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 视频录制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视频通话：PC端和PDA端双向视频通话，PC端显示录制状态和计时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视频录制：双方都接入后开始录制，任意一方退出停止录制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视频合成：PDA画面为主画面(1280x720)，PC画面为画中画(320x180)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 视频管理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视频列表：视频列表展示（按时间排序）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视频播放：视频在线播放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视频下载：视频下载（单文件、批量）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视频删除</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 截图管理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自动截图（PC端触发）：视频开始后自动截图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手动截图：关键信息手动截图保存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截图描述：视频内容关键字描述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截图列表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截图删除</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 搜索功能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关键字搜索：按截图描述搜索视频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时间搜索：按时间范围搜索</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搜索结果关联对应视频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5、含配套硬件：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1、两颗国产处理器，单颗CPU核数≥32核、主频≥2.6GHz</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2、内存≥128GB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3、系统硬盘≥2块600GBHDD硬盘2块4TB硬盘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4、支持Raid0/1/5</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5、服务器含≥4口千兆电口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6、冗余双电源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7、含国产操作系统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FC8D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91F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5D3027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69E4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2DF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执法监督管理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4376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包括但不限于实现以下功能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 执法记录仪预警考核</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设备在线状态监控：实时检测执法记录仪是否开机、联网，未开机则产生"设备离线预警"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GPS静止预警：根据GPS坐标，检测设备在1小时/2小时内位置未发生变化即产生预警（支持阈值自定义）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无轨迹预警：设定时间窗口（如1小时）内无GPS轨迹点上传即产生预警，巡逻频次可配置（30min/1h/2h等）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 警车巡逻预警考核</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警车车牌管理：维护警车车牌名单，支持导入/同步车辆信息系统</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卡口过车匹配：对接辖区内卡口过车数据，识别经过的警车车牌</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无卡口预警：某警车超过如40分钟未被任何卡口抓拍即产生预警（异常巡逻车辆）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一天无上路预警：某警车全天（0-24点）未经过任何卡口次日凌晨预警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 配置与报表中心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预警规则配置：可配置静止时长阈值、无轨迹时长阈值、卡口缺失时长阈值、巡逻频次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设备与车辆管理：执法记录仪，人员，警车车牌绑定关系</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预警记录查询：按时间、单位、设备、车牌查询预警记录</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考核报表：月度/周度考核报表：设备开机率、异常静止次数、卡口覆盖率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含配套硬件：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1、两颗国产处理器，单颗CPU核数≥32核、主频≥2.6GHz</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2、内存≥128GB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3、系统硬盘≥2块600GBHDD硬盘2块4TB硬盘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4、支持Raid0/1/5</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5、服务器含≥4口千兆电口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6、冗余双电源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7、含国产操作系统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EA5B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921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327938E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1B8B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719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应用管理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FA36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1、两颗国产处理器，单颗CPU核数≥32核、主频≥2.6GHz</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2、内存≥128GB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3、系统硬盘≥2块600GBHDD硬盘2块4TB硬盘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4、支持Raid0/1/5</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5、服务器含≥4口千兆电口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6、冗余双电源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7、含国产操作系统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BDB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5F1C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BC765F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8FF6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B44E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事故勘查绘图仪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EF8A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一、勘查仪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1、扫描频率：不低于20万点/秒；</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2、激光波长：800-1500nm之间近红外波段；</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3、延长杆：支持外接延长杆。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4、工作温度：-20℃~50℃；</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5、存储容量：不低于256GB；</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6、不间断持续采集时间长：不低于90min；</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7、事故元素标记方式：提供快速标记功能辅助操作者在扫描过程中记录事故现场的基准点、基准线、待测点等元素；</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8、防护等级：不低于IP54；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9、支持单手操作，无需外挂处理器与电源；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10、内置相机数量：不低于4个；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11、彩色相机：不低于2个彩色相机，单相机像素不低于4800万；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13、模型生成：单次采集的数据同时支持彩色点云后处理和3DGS三维模型重建；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14、支持扫描中预览实时点云与扫描轨迹；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15、扫描结束时，立即生成.LAS格式的点云成果数据；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二、控制终端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1、控制扫描：实现App客户端控制设备，扫描过程中实时预览点云模型，显示扫描路径；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2、数据解算：实时场景重建，数据解算方式为实时解算（扫描结束时，即可下载LAS格式的点云成果数据）；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3、动态剔除：对移动行人、车辆干扰点云数据进行动态剔除；</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4、交通事故现场关键要素实时记录：配合采集设备在扫描过程中实时记录事故现场的基准点、基准线、车辆待测点、痕迹物证等待测点；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5、数据导入：支持扫描完成后立即进行现场制图；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6、现场实景记录图绘制模块支持多渲染模式切换，可基于扫描定位点自动生成带尺寸标注的事故现场实景图，定位点二次编辑后自动更新尺寸；</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7、现场记录图/比例图/断面图/立面图绘制：支持在已生成的带尺寸标注的现场实景记录图基础上，绘制道路交通事故现场记录图、比例图、断面图及立面图，且可对实景记录图图层的透明度进行自定义设置；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8、一体化图框信息设置功能检验：支持设置现场图名称、到达事故现场时间、天气、路面性质、事故发生地点、绘图员、勘查员、绘图时间、说明信息，设置完成后自动更新现场图；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9、定位法：支持综合定位法、三角定位法、直角定位法自由切换，基于所选的点位测量尺寸自动生成；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10、电子签章：提供电子签章功能，完成勘查员、绘图员、当事人、见证人等签字，可在系统设置中添加勘查员、绘图员签字，支持手写“现场无见证人”；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11、事故管理：支持将事故实景、现场图结果进行存档；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12、支持以列表/卡片方式对本地的事故三维数据与现场绘图成果进行统一管理与查阅；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13、现场图导出：支持将软件制作的现场图进行导出；支持一键导出PNG格式的道路交通事故现场实景俯瞰记录图/道路交通事故现场激光三维扫描图/道路交通事故现场图；导出的现场图大小适配A4纸，支持连接打印机进行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61B6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E8A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8660BF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0A4A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888C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视频存储治理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447C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1、编码格式 ：支持H.264、H.265；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2、输出码率1080P4M码率压缩输出码率450kbps左右（源4M）；</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3、视频图像信噪比 &gt;32dB ；视频图像结构相似性 &gt;0.8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4、视频延时 ≤200ms（压缩前输入至压缩后输出）；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5、接入协议支持ONVIF、RTSP、GB28181标准协议网络视频流接入；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6、分辨率支持3840x2160、2560x1440、1920x1080、1280x720分辨率；</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7、异常恢复 ≤30s；</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8、运行环境：运行温度：-15℃～+55℃；</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9、网络接口：不小于2个RJ45网口。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1B4E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6743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0997ACD7">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611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1A3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机动车违法识别一体机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7C9F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一、软件功能：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1.算法功能：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在前端视频场景合适的情况下，包括但不限于以下算法分析识别：不按导向行驶、违法停车、连续变道、不礼让行人、逆向行驶、闯红灯，支持车辆分类，车牌识别以及车辆属性识别；</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2.软件应用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支持视频流管理功能：支持RTSP、RTMP视频流协议对接，28181国标平台对接，主流厂商IPC、NVR设备接流；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支持自动取证、引擎识别处理违法事件、预置位布控分析等系统功能。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二、硬件参数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CPU：≥国产处理器 * 2</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内存：≥128GB DDR4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硬盘：≥480GB * 2 SSD  (支持RAID1），≥1.92TB * 4 SSD (支持RAID1）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网卡：≥千兆网口 * 2</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GPU：≥高性能推理卡 * 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电源：1+1冗余电源，单个电源模块不小于800W</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三、分析性能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支持不少于64路200万视频流分析。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CBA3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0988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E73C044">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E600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63DD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机动车事件分析一体机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01AE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一、软件功能：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1.算法功能：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在前端视频场景合适的情况下，包括但不限于以下算法分析识别：异常停车、道路拥堵、行人闯入、车辆逆行、物品遗落、交通事故、非机动车闯入、车辆倒车、连续变道、实线变道、占用应急车道、大型车占用小型车道、穿越导流线、路口滞留、团雾天气、火焰烟雾、应急车道停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2.软件应用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支持视频流管理功能：支持RTSP、RTMP视频流协议对接，28181国标平台对接，主流厂商IPC、NVR设备接流；</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支持自动取证、预置位布控分析、实时预警墙大屏等系统功能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二、硬件参数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CPU：≥国产处理器 * 2</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内存：≥128GB DDR4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硬盘：≥480GB * 2 SSD  (支持RAID1），≥1.92TB * 2 SSD (支持RAID1）</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网卡：≥千兆网口 * 2</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GPU：≥高性能推理卡 * 2</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电源：1+1冗余电源，单个电源模块不小于800W</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三、分析性能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支持不少于32路200万视频流分析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5050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EDA2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C66BA2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3D0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2BE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设备上架安装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9AEC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设备上架安装、通电、接入现有网络。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3613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528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bl>
    <w:p w14:paraId="030DEEF1">
      <w:pPr>
        <w:spacing w:beforeLines="0" w:afterLines="0" w:line="360" w:lineRule="auto"/>
        <w:rPr>
          <w:rFonts w:hint="default" w:ascii="Times New Roman" w:hAnsi="Times New Roman" w:cs="Times New Roman"/>
          <w:sz w:val="32"/>
          <w:szCs w:val="32"/>
          <w:highlight w:val="none"/>
        </w:rPr>
      </w:pPr>
    </w:p>
    <w:p w14:paraId="7BD8A280">
      <w:pPr>
        <w:spacing w:beforeLines="0" w:afterLines="0" w:line="360" w:lineRule="auto"/>
        <w:rPr>
          <w:rFonts w:hint="default" w:ascii="Times New Roman" w:hAnsi="Times New Roman" w:cs="Times New Roman"/>
          <w:sz w:val="32"/>
          <w:szCs w:val="32"/>
          <w:highlight w:val="none"/>
        </w:rPr>
      </w:pPr>
    </w:p>
    <w:p w14:paraId="78D4775C">
      <w:pPr>
        <w:pStyle w:val="3"/>
        <w:spacing w:before="0" w:beforeLines="0" w:after="0" w:afterLines="0" w:line="360" w:lineRule="auto"/>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四</w:t>
      </w:r>
      <w:r>
        <w:rPr>
          <w:rFonts w:hint="default" w:ascii="Times New Roman" w:hAnsi="Times New Roman" w:cs="Times New Roman" w:eastAsiaTheme="minorEastAsia"/>
          <w:sz w:val="32"/>
          <w:szCs w:val="32"/>
          <w:highlight w:val="none"/>
        </w:rPr>
        <w:t>章 资格审查</w:t>
      </w:r>
    </w:p>
    <w:p w14:paraId="269B2CBD">
      <w:pPr>
        <w:spacing w:beforeLines="0" w:afterLines="0" w:line="360" w:lineRule="auto"/>
        <w:ind w:firstLine="0"/>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一、资格审查程序</w:t>
      </w:r>
    </w:p>
    <w:p w14:paraId="69535814">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1.开标结束后，根据《资格审查要求》依法对投标人的资格进行审查。</w:t>
      </w:r>
    </w:p>
    <w:p w14:paraId="4B02C741">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2.投标人资格审查有任何一项不符合《资格审查要求》的，资格审查不合格，</w:t>
      </w:r>
      <w:r>
        <w:rPr>
          <w:rFonts w:hint="default" w:ascii="Times New Roman" w:hAnsi="Times New Roman" w:cs="Times New Roman" w:eastAsiaTheme="minorEastAsia"/>
          <w:b/>
          <w:bCs w:val="0"/>
          <w:sz w:val="28"/>
          <w:szCs w:val="28"/>
          <w:highlight w:val="none"/>
          <w:lang w:val="en-US" w:eastAsia="zh-CN"/>
        </w:rPr>
        <w:t>投标无效</w:t>
      </w:r>
      <w:r>
        <w:rPr>
          <w:rFonts w:hint="default" w:ascii="Times New Roman" w:hAnsi="Times New Roman" w:cs="Times New Roman" w:eastAsiaTheme="minorEastAsia"/>
          <w:bCs/>
          <w:sz w:val="28"/>
          <w:szCs w:val="28"/>
          <w:highlight w:val="none"/>
          <w:lang w:val="en-US" w:eastAsia="zh-CN"/>
        </w:rPr>
        <w:t>。</w:t>
      </w:r>
    </w:p>
    <w:p w14:paraId="1172000D">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3.资格审查合格的投标人不足3家的，不得评标。</w:t>
      </w:r>
    </w:p>
    <w:p w14:paraId="323F0CB8">
      <w:pPr>
        <w:spacing w:beforeLines="0" w:afterLines="0" w:line="360" w:lineRule="auto"/>
        <w:ind w:firstLine="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二、资格审查要求</w:t>
      </w:r>
    </w:p>
    <w:tbl>
      <w:tblPr>
        <w:tblStyle w:val="25"/>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2311"/>
        <w:gridCol w:w="6289"/>
      </w:tblGrid>
      <w:tr w14:paraId="248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6740DF15">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序号</w:t>
            </w:r>
          </w:p>
        </w:tc>
        <w:tc>
          <w:tcPr>
            <w:tcW w:w="2311" w:type="dxa"/>
            <w:vAlign w:val="center"/>
          </w:tcPr>
          <w:p w14:paraId="1B103E99">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审查因素</w:t>
            </w:r>
          </w:p>
        </w:tc>
        <w:tc>
          <w:tcPr>
            <w:tcW w:w="6289" w:type="dxa"/>
            <w:vAlign w:val="center"/>
          </w:tcPr>
          <w:p w14:paraId="3A7E1EF8">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审查内容</w:t>
            </w:r>
          </w:p>
        </w:tc>
      </w:tr>
      <w:tr w14:paraId="0D7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2183F861">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rPr>
              <w:t>1</w:t>
            </w:r>
          </w:p>
        </w:tc>
        <w:tc>
          <w:tcPr>
            <w:tcW w:w="2311" w:type="dxa"/>
            <w:vAlign w:val="center"/>
          </w:tcPr>
          <w:p w14:paraId="365B482F">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具有独立承担民事责任的能力</w:t>
            </w:r>
          </w:p>
        </w:tc>
        <w:tc>
          <w:tcPr>
            <w:tcW w:w="6289" w:type="dxa"/>
            <w:vAlign w:val="center"/>
          </w:tcPr>
          <w:p w14:paraId="13A77F9B">
            <w:pPr>
              <w:spacing w:beforeLines="0" w:afterLines="0" w:line="360" w:lineRule="auto"/>
              <w:ind w:firstLine="0"/>
              <w:rPr>
                <w:rFonts w:hint="default"/>
                <w:sz w:val="24"/>
                <w:szCs w:val="24"/>
                <w:highlight w:val="none"/>
                <w:lang w:val="zh-CN"/>
              </w:rPr>
            </w:pPr>
            <w:r>
              <w:rPr>
                <w:rFonts w:hint="default"/>
                <w:sz w:val="24"/>
                <w:szCs w:val="24"/>
                <w:highlight w:val="none"/>
                <w:lang w:val="zh-CN"/>
              </w:rPr>
              <w:t>法人或者其他组织的营业执照等证明文件</w:t>
            </w:r>
            <w:r>
              <w:rPr>
                <w:rFonts w:hint="eastAsia"/>
                <w:sz w:val="24"/>
                <w:szCs w:val="24"/>
                <w:highlight w:val="none"/>
                <w:lang w:val="zh-CN"/>
              </w:rPr>
              <w:t>；</w:t>
            </w:r>
          </w:p>
        </w:tc>
      </w:tr>
      <w:tr w14:paraId="7F23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5D148ABC">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2</w:t>
            </w:r>
          </w:p>
        </w:tc>
        <w:tc>
          <w:tcPr>
            <w:tcW w:w="2311" w:type="dxa"/>
            <w:vAlign w:val="center"/>
          </w:tcPr>
          <w:p w14:paraId="1ADCAFE4">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具有良好的商业信誉和健全的财务会计制度</w:t>
            </w:r>
          </w:p>
        </w:tc>
        <w:tc>
          <w:tcPr>
            <w:tcW w:w="6289" w:type="dxa"/>
            <w:vAlign w:val="center"/>
          </w:tcPr>
          <w:p w14:paraId="1534D0C9">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具有良好的商业信誉和健全的财务会计制度：提供202</w:t>
            </w:r>
            <w:r>
              <w:rPr>
                <w:rFonts w:hint="eastAsia" w:cs="Times New Roman" w:eastAsiaTheme="minorEastAsia"/>
                <w:bCs/>
                <w:sz w:val="24"/>
                <w:szCs w:val="24"/>
                <w:highlight w:val="none"/>
                <w:lang w:val="en-US" w:eastAsia="zh-CN"/>
              </w:rPr>
              <w:t>5</w:t>
            </w:r>
            <w:r>
              <w:rPr>
                <w:rFonts w:hint="default" w:ascii="Times New Roman" w:hAnsi="Times New Roman" w:cs="Times New Roman" w:eastAsiaTheme="minorEastAsia"/>
                <w:bCs/>
                <w:sz w:val="24"/>
                <w:szCs w:val="24"/>
                <w:highlight w:val="none"/>
                <w:lang w:val="zh-CN"/>
              </w:rPr>
              <w:t>年度经审计过的财务审计报告或财务报表（财务报表应至少包括资产负债表、利润表、现金流量表或财务状况变动表等）或银行出具的近三个月的资信证明，新成立不足一年的投标人无法提供审计报告，则需提供开户银行出具的有效的资信证明</w:t>
            </w:r>
            <w:r>
              <w:rPr>
                <w:rFonts w:hint="eastAsia" w:cs="Times New Roman" w:eastAsiaTheme="minorEastAsia"/>
                <w:bCs/>
                <w:sz w:val="24"/>
                <w:szCs w:val="24"/>
                <w:highlight w:val="none"/>
                <w:lang w:val="zh-CN"/>
              </w:rPr>
              <w:t>；</w:t>
            </w:r>
          </w:p>
        </w:tc>
      </w:tr>
      <w:tr w14:paraId="3FB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F1AD6C2">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3</w:t>
            </w:r>
          </w:p>
        </w:tc>
        <w:tc>
          <w:tcPr>
            <w:tcW w:w="2311" w:type="dxa"/>
            <w:vAlign w:val="center"/>
          </w:tcPr>
          <w:p w14:paraId="53E9AF05">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具有履行合同所必需的设备和专业技术能力</w:t>
            </w:r>
          </w:p>
        </w:tc>
        <w:tc>
          <w:tcPr>
            <w:tcW w:w="6289" w:type="dxa"/>
            <w:vAlign w:val="center"/>
          </w:tcPr>
          <w:p w14:paraId="6E63F7BF">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提供具有履行合同所必需的设备和专业技术能力的书面承诺函（可根据采购项目特点自行填写）</w:t>
            </w:r>
          </w:p>
        </w:tc>
      </w:tr>
      <w:tr w14:paraId="45B6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25" w:hRule="atLeast"/>
          <w:jc w:val="center"/>
        </w:trPr>
        <w:tc>
          <w:tcPr>
            <w:tcW w:w="914" w:type="dxa"/>
            <w:vAlign w:val="center"/>
          </w:tcPr>
          <w:p w14:paraId="56C0AAD9">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4</w:t>
            </w:r>
          </w:p>
        </w:tc>
        <w:tc>
          <w:tcPr>
            <w:tcW w:w="2311" w:type="dxa"/>
            <w:vAlign w:val="center"/>
          </w:tcPr>
          <w:p w14:paraId="7C3E8E71">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有依法缴纳税收和社会保障资金的良好记录</w:t>
            </w:r>
          </w:p>
        </w:tc>
        <w:tc>
          <w:tcPr>
            <w:tcW w:w="6289" w:type="dxa"/>
            <w:vAlign w:val="center"/>
          </w:tcPr>
          <w:p w14:paraId="68EC5B3B">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①供应商须提供响应截止日前六个月（近半年）内任意3个月的纳税证明资料（税收部门出具的完成税收缴纳证明）（注意：申报表、征集单、银行的缴纳回执单等不予认可）如依法免税或无需纳税的，应提供税收部门开具的相关证明材料证明其依法免税。（加盖单位公章）;</w:t>
            </w:r>
          </w:p>
          <w:p w14:paraId="224D77AD">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②供应商须提供响应截止日前六个月（近半年）内任意3个月的税收部门或社保机构出具的完成社保缴纳证明。如依法不需要缴纳社会保险费或拟缴纳暂未缴纳的，应提供相应文件予以证明。（注意：申报表、征集单、银行的缴纳回执单等不予认可。如委托其他机构代缴代扣，还需同时提供供应商与机构签署的服务合同或代缴协议，其中应明确写明第三方为供应商代缴其社会保险，否则不予认可）（加盖单位公章）</w:t>
            </w:r>
          </w:p>
        </w:tc>
      </w:tr>
      <w:tr w14:paraId="4095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2D70F0F1">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5</w:t>
            </w:r>
          </w:p>
        </w:tc>
        <w:tc>
          <w:tcPr>
            <w:tcW w:w="2311" w:type="dxa"/>
            <w:vAlign w:val="center"/>
          </w:tcPr>
          <w:p w14:paraId="6F4D76D8">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参加政府采购活动前三年内，在经营活动中没有重大违法记录</w:t>
            </w:r>
          </w:p>
        </w:tc>
        <w:tc>
          <w:tcPr>
            <w:tcW w:w="6289" w:type="dxa"/>
            <w:vAlign w:val="center"/>
          </w:tcPr>
          <w:p w14:paraId="7034EDA7">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提供符合招标文件要求的《资格承诺函》，或提供相应的证明材料。参加政府采购活动前3年内在经营活动中没有重大违法记录的书面承诺函;</w:t>
            </w:r>
          </w:p>
        </w:tc>
      </w:tr>
      <w:tr w14:paraId="204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38C85F7">
            <w:pPr>
              <w:spacing w:beforeLines="0" w:afterLines="0" w:line="360" w:lineRule="auto"/>
              <w:ind w:firstLine="0"/>
              <w:jc w:val="center"/>
              <w:rPr>
                <w:rFonts w:hint="default" w:ascii="Times New Roman" w:hAnsi="Times New Roman" w:cs="Times New Roman" w:eastAsiaTheme="minorEastAsia"/>
                <w:bCs/>
                <w:sz w:val="24"/>
                <w:szCs w:val="24"/>
                <w:highlight w:val="none"/>
                <w:lang w:val="en-US"/>
              </w:rPr>
            </w:pPr>
            <w:r>
              <w:rPr>
                <w:rFonts w:hint="default" w:ascii="Times New Roman" w:hAnsi="Times New Roman" w:cs="Times New Roman" w:eastAsiaTheme="minorEastAsia"/>
                <w:bCs/>
                <w:sz w:val="24"/>
                <w:szCs w:val="24"/>
                <w:highlight w:val="none"/>
                <w:lang w:val="en-US" w:eastAsia="zh-CN"/>
              </w:rPr>
              <w:t>6</w:t>
            </w:r>
          </w:p>
        </w:tc>
        <w:tc>
          <w:tcPr>
            <w:tcW w:w="2311" w:type="dxa"/>
            <w:vAlign w:val="center"/>
          </w:tcPr>
          <w:p w14:paraId="7E36057B">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投标人信用记录</w:t>
            </w:r>
          </w:p>
        </w:tc>
        <w:tc>
          <w:tcPr>
            <w:tcW w:w="6289" w:type="dxa"/>
            <w:vAlign w:val="center"/>
          </w:tcPr>
          <w:p w14:paraId="14F8C078">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eastAsia" w:cs="Times New Roman" w:eastAsiaTheme="minorEastAsia"/>
                <w:bCs/>
                <w:sz w:val="24"/>
                <w:szCs w:val="24"/>
                <w:highlight w:val="none"/>
                <w:lang w:val="zh-CN"/>
              </w:rPr>
              <w:t>提供</w:t>
            </w:r>
            <w:r>
              <w:rPr>
                <w:rFonts w:hint="default" w:ascii="Times New Roman" w:hAnsi="Times New Roman" w:cs="Times New Roman" w:eastAsiaTheme="minorEastAsia"/>
                <w:bCs/>
                <w:sz w:val="24"/>
                <w:szCs w:val="24"/>
                <w:highlight w:val="none"/>
                <w:lang w:val="zh-CN"/>
              </w:rPr>
              <w:t>信用查询记录未被“信用中国”（www.creditchina.gov.cn）、中国政府采购网（www.ccgp.gov.cn）列入失信被执行人、重大税收违法案件当事人名单、政府采购严重违法失信行为记录名单</w:t>
            </w:r>
            <w:r>
              <w:rPr>
                <w:rFonts w:hint="eastAsia" w:cs="Times New Roman" w:eastAsiaTheme="minorEastAsia"/>
                <w:bCs/>
                <w:sz w:val="24"/>
                <w:szCs w:val="24"/>
                <w:highlight w:val="none"/>
                <w:lang w:val="zh-CN"/>
              </w:rPr>
              <w:t>截图</w:t>
            </w:r>
            <w:r>
              <w:rPr>
                <w:rFonts w:hint="default" w:ascii="Times New Roman" w:hAnsi="Times New Roman" w:cs="Times New Roman" w:eastAsiaTheme="minorEastAsia"/>
                <w:bCs/>
                <w:sz w:val="24"/>
                <w:szCs w:val="24"/>
                <w:highlight w:val="none"/>
                <w:lang w:val="zh-CN"/>
              </w:rPr>
              <w:t>。</w:t>
            </w:r>
          </w:p>
        </w:tc>
      </w:tr>
      <w:tr w14:paraId="2DC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76B8DE4">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eastAsia" w:cs="Times New Roman" w:eastAsiaTheme="minorEastAsia"/>
                <w:bCs/>
                <w:sz w:val="24"/>
                <w:szCs w:val="24"/>
                <w:highlight w:val="none"/>
                <w:lang w:val="en-US" w:eastAsia="zh-CN"/>
              </w:rPr>
              <w:t>7</w:t>
            </w:r>
          </w:p>
        </w:tc>
        <w:tc>
          <w:tcPr>
            <w:tcW w:w="2311" w:type="dxa"/>
            <w:vAlign w:val="center"/>
          </w:tcPr>
          <w:p w14:paraId="5B00FD47">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落实政府采购政策需满足的资格要求</w:t>
            </w:r>
          </w:p>
        </w:tc>
        <w:tc>
          <w:tcPr>
            <w:tcW w:w="6289" w:type="dxa"/>
            <w:vAlign w:val="center"/>
          </w:tcPr>
          <w:p w14:paraId="16413DAE">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本项目专门面向中小企业预留份额</w:t>
            </w:r>
            <w:r>
              <w:rPr>
                <w:rFonts w:hint="default" w:ascii="Times New Roman" w:hAnsi="Times New Roman" w:cs="Times New Roman" w:eastAsiaTheme="minorEastAsia"/>
                <w:bCs/>
                <w:sz w:val="24"/>
                <w:szCs w:val="24"/>
                <w:highlight w:val="none"/>
                <w:lang w:val="zh-CN" w:eastAsia="zh-CN"/>
              </w:rPr>
              <w:t>3</w:t>
            </w:r>
            <w:r>
              <w:rPr>
                <w:rFonts w:hint="default" w:ascii="Times New Roman" w:hAnsi="Times New Roman" w:cs="Times New Roman" w:eastAsiaTheme="minorEastAsia"/>
                <w:bCs/>
                <w:sz w:val="24"/>
                <w:szCs w:val="24"/>
                <w:highlight w:val="none"/>
                <w:lang w:val="zh-CN"/>
              </w:rPr>
              <w:t>0.00%</w:t>
            </w:r>
            <w:r>
              <w:rPr>
                <w:rFonts w:hint="eastAsia" w:cs="Times New Roman" w:eastAsiaTheme="minorEastAsia"/>
                <w:bCs/>
                <w:sz w:val="24"/>
                <w:szCs w:val="24"/>
                <w:highlight w:val="none"/>
                <w:lang w:val="zh-CN"/>
              </w:rPr>
              <w:t>，（</w:t>
            </w:r>
            <w:r>
              <w:rPr>
                <w:rFonts w:hint="default" w:ascii="Times New Roman" w:hAnsi="Times New Roman" w:cs="Times New Roman" w:eastAsiaTheme="minorEastAsia"/>
                <w:bCs/>
                <w:sz w:val="24"/>
                <w:szCs w:val="24"/>
                <w:highlight w:val="none"/>
                <w:lang w:val="zh-CN"/>
              </w:rPr>
              <w:t>其中专门面向小微企业预留份额：60.00%）</w:t>
            </w:r>
            <w:r>
              <w:rPr>
                <w:rFonts w:hint="eastAsia" w:cs="Times New Roman" w:eastAsiaTheme="minorEastAsia"/>
                <w:bCs/>
                <w:sz w:val="24"/>
                <w:szCs w:val="24"/>
                <w:highlight w:val="none"/>
                <w:lang w:val="zh-CN"/>
              </w:rPr>
              <w:t>；</w:t>
            </w:r>
          </w:p>
          <w:p w14:paraId="0F3559FF">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提供中小企业声明函及《分包意向协议》，并在分包意向协议中进行相关比例说明，约定获得采购合同的供应商将采购项目中的30%分包给一家或多家中小企业，其中小微企业承担部分不低于60%。</w:t>
            </w:r>
          </w:p>
        </w:tc>
      </w:tr>
      <w:tr w14:paraId="0C35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6FF77080">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eastAsia" w:cs="Times New Roman" w:eastAsiaTheme="minorEastAsia"/>
                <w:bCs/>
                <w:sz w:val="24"/>
                <w:szCs w:val="24"/>
                <w:highlight w:val="none"/>
                <w:lang w:val="en-US" w:eastAsia="zh-CN"/>
              </w:rPr>
              <w:t>8</w:t>
            </w:r>
          </w:p>
        </w:tc>
        <w:tc>
          <w:tcPr>
            <w:tcW w:w="2311" w:type="dxa"/>
            <w:vAlign w:val="center"/>
          </w:tcPr>
          <w:p w14:paraId="62156E66">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特定资质</w:t>
            </w:r>
          </w:p>
        </w:tc>
        <w:tc>
          <w:tcPr>
            <w:tcW w:w="6289" w:type="dxa"/>
            <w:vAlign w:val="center"/>
          </w:tcPr>
          <w:p w14:paraId="45C9D5D3">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具备电子与智能化工程专业承包贰级及以上资质；</w:t>
            </w:r>
          </w:p>
        </w:tc>
      </w:tr>
      <w:tr w14:paraId="7DC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466914E0">
            <w:pPr>
              <w:spacing w:line="360" w:lineRule="auto"/>
              <w:jc w:val="center"/>
              <w:rPr>
                <w:rFonts w:hint="default" w:ascii="Times New Roman" w:hAnsi="Times New Roman" w:cs="Times New Roman" w:eastAsiaTheme="minorEastAsia"/>
                <w:bCs/>
                <w:sz w:val="24"/>
                <w:szCs w:val="24"/>
                <w:highlight w:val="none"/>
                <w:lang w:val="en-US" w:eastAsia="zh-CN"/>
              </w:rPr>
            </w:pPr>
            <w:r>
              <w:rPr>
                <w:rFonts w:hint="eastAsia" w:cs="Times New Roman" w:eastAsiaTheme="minorEastAsia"/>
                <w:bCs/>
                <w:sz w:val="24"/>
                <w:szCs w:val="24"/>
                <w:highlight w:val="none"/>
                <w:lang w:val="en-US" w:eastAsia="zh-CN"/>
              </w:rPr>
              <w:t>9</w:t>
            </w:r>
          </w:p>
        </w:tc>
        <w:tc>
          <w:tcPr>
            <w:tcW w:w="2311" w:type="dxa"/>
            <w:vAlign w:val="top"/>
          </w:tcPr>
          <w:p w14:paraId="47E559F1">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投标保证金</w:t>
            </w:r>
          </w:p>
        </w:tc>
        <w:tc>
          <w:tcPr>
            <w:tcW w:w="6289" w:type="dxa"/>
            <w:vAlign w:val="center"/>
          </w:tcPr>
          <w:p w14:paraId="4E4581B4">
            <w:p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投标保证金缴纳凭证或金融机构、担保机构出具的保函</w:t>
            </w:r>
          </w:p>
        </w:tc>
      </w:tr>
      <w:tr w14:paraId="1824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37AF15AB">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en-US"/>
              </w:rPr>
            </w:pPr>
            <w:r>
              <w:rPr>
                <w:rFonts w:hint="eastAsia" w:cs="Times New Roman" w:eastAsiaTheme="minorEastAsia"/>
                <w:bCs/>
                <w:sz w:val="24"/>
                <w:szCs w:val="24"/>
                <w:highlight w:val="none"/>
                <w:lang w:val="en-US" w:eastAsia="zh-CN"/>
              </w:rPr>
              <w:t>10</w:t>
            </w:r>
          </w:p>
        </w:tc>
        <w:tc>
          <w:tcPr>
            <w:tcW w:w="2311" w:type="dxa"/>
            <w:vAlign w:val="top"/>
          </w:tcPr>
          <w:p w14:paraId="6A1F1F3E">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其他</w:t>
            </w:r>
          </w:p>
        </w:tc>
        <w:tc>
          <w:tcPr>
            <w:tcW w:w="6289" w:type="dxa"/>
            <w:vAlign w:val="center"/>
          </w:tcPr>
          <w:p w14:paraId="1595C4A9">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法人参加需提供：</w:t>
            </w:r>
            <w:r>
              <w:rPr>
                <w:rFonts w:hint="eastAsia" w:cs="Times New Roman" w:eastAsiaTheme="minorEastAsia"/>
                <w:bCs/>
                <w:sz w:val="24"/>
                <w:szCs w:val="24"/>
                <w:highlight w:val="none"/>
                <w:lang w:val="zh-CN"/>
              </w:rPr>
              <w:t>法定代表人身份证明</w:t>
            </w:r>
            <w:r>
              <w:rPr>
                <w:rFonts w:hint="default" w:ascii="Times New Roman" w:hAnsi="Times New Roman" w:cs="Times New Roman" w:eastAsiaTheme="minorEastAsia"/>
                <w:bCs/>
                <w:sz w:val="24"/>
                <w:szCs w:val="24"/>
                <w:highlight w:val="none"/>
                <w:lang w:val="zh-CN"/>
              </w:rPr>
              <w:t>原件及本人身份证原件扫描件；</w:t>
            </w:r>
          </w:p>
          <w:p w14:paraId="22B6B505">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被授权人参加需提供：法人代表授权委托书原件及被授权人《居民身份证》原件扫描件；</w:t>
            </w:r>
          </w:p>
        </w:tc>
      </w:tr>
    </w:tbl>
    <w:p w14:paraId="2BA357EC">
      <w:pPr>
        <w:widowControl/>
        <w:spacing w:beforeLines="0" w:afterLines="0" w:line="360" w:lineRule="auto"/>
        <w:jc w:val="left"/>
        <w:rPr>
          <w:rFonts w:hint="default" w:ascii="Times New Roman" w:hAnsi="Times New Roman" w:cs="Times New Roman" w:eastAsiaTheme="minorEastAsia"/>
          <w:b/>
          <w:sz w:val="28"/>
          <w:szCs w:val="28"/>
          <w:highlight w:val="none"/>
          <w:lang w:val="zh-CN"/>
        </w:rPr>
      </w:pPr>
      <w:r>
        <w:rPr>
          <w:rFonts w:hint="default" w:ascii="Times New Roman" w:hAnsi="Times New Roman" w:cs="Times New Roman" w:eastAsiaTheme="minorEastAsia"/>
          <w:b/>
          <w:sz w:val="28"/>
          <w:szCs w:val="28"/>
          <w:highlight w:val="none"/>
          <w:lang w:val="zh-CN"/>
        </w:rPr>
        <w:br w:type="page"/>
      </w:r>
    </w:p>
    <w:p w14:paraId="3CC11AE1">
      <w:pPr>
        <w:pStyle w:val="3"/>
        <w:spacing w:before="0" w:beforeLines="0" w:after="0" w:afterLines="0" w:line="360" w:lineRule="auto"/>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五</w:t>
      </w:r>
      <w:r>
        <w:rPr>
          <w:rFonts w:hint="default" w:ascii="Times New Roman" w:hAnsi="Times New Roman" w:cs="Times New Roman" w:eastAsiaTheme="minorEastAsia"/>
          <w:sz w:val="32"/>
          <w:szCs w:val="32"/>
          <w:highlight w:val="none"/>
        </w:rPr>
        <w:t xml:space="preserve">章 </w:t>
      </w:r>
      <w:r>
        <w:rPr>
          <w:rFonts w:hint="default" w:ascii="Times New Roman" w:hAnsi="Times New Roman" w:cs="Times New Roman" w:eastAsiaTheme="minorEastAsia"/>
          <w:sz w:val="32"/>
          <w:szCs w:val="32"/>
          <w:highlight w:val="none"/>
          <w:lang w:eastAsia="zh-CN"/>
        </w:rPr>
        <w:t>评标程序</w:t>
      </w:r>
    </w:p>
    <w:p w14:paraId="56A9B9FA">
      <w:pPr>
        <w:pStyle w:val="10"/>
        <w:tabs>
          <w:tab w:val="clear" w:pos="567"/>
        </w:tabs>
        <w:spacing w:before="0" w:beforeLines="0" w:afterLines="0" w:line="360" w:lineRule="auto"/>
        <w:ind w:firstLine="0" w:firstLineChars="0"/>
        <w:rPr>
          <w:rFonts w:hint="default" w:ascii="Times New Roman" w:hAnsi="Times New Roman" w:cs="Times New Roman" w:eastAsiaTheme="minorEastAsia"/>
          <w:sz w:val="28"/>
          <w:szCs w:val="28"/>
          <w:highlight w:val="none"/>
          <w:lang w:eastAsia="zh-CN"/>
        </w:rPr>
      </w:pPr>
    </w:p>
    <w:p w14:paraId="590C6EEE">
      <w:pPr>
        <w:pStyle w:val="10"/>
        <w:tabs>
          <w:tab w:val="clear" w:pos="567"/>
        </w:tabs>
        <w:spacing w:before="0"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一、投标文件的符合性审查</w:t>
      </w:r>
    </w:p>
    <w:p w14:paraId="28208C92">
      <w:pPr>
        <w:pStyle w:val="10"/>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1.评标委员会对资格审查合格的投标人的投标文件进行符合性审查，以确定其是否满足招标文件的实质性要求。</w:t>
      </w:r>
    </w:p>
    <w:p w14:paraId="13681AA3">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2.评标委员会根据《符合性审查要求》中规定的审查因素和审查内容，对投标人的投标文件是否实质上响应招标文件进行符合性审查。投标人有任何一项不符合《符合性审查要求》的，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5E0C67A2">
      <w:pPr>
        <w:spacing w:beforeLines="0" w:afterLines="0" w:line="360" w:lineRule="auto"/>
        <w:rPr>
          <w:rFonts w:hint="default" w:ascii="Times New Roman" w:hAnsi="Times New Roman" w:cs="Times New Roman" w:eastAsiaTheme="minorEastAsia"/>
          <w:b/>
          <w:bCs/>
          <w:i/>
          <w:iCs/>
          <w:sz w:val="28"/>
          <w:szCs w:val="28"/>
          <w:highlight w:val="none"/>
        </w:rPr>
      </w:pPr>
      <w:r>
        <w:rPr>
          <w:rFonts w:hint="default" w:ascii="Times New Roman" w:hAnsi="Times New Roman" w:cs="Times New Roman" w:eastAsiaTheme="minorEastAsia"/>
          <w:sz w:val="28"/>
          <w:szCs w:val="28"/>
          <w:highlight w:val="none"/>
          <w:lang w:val="en-US" w:eastAsia="zh-CN"/>
        </w:rPr>
        <w:t xml:space="preserve">    3.符合性审查要求</w:t>
      </w:r>
    </w:p>
    <w:tbl>
      <w:tblPr>
        <w:tblStyle w:val="26"/>
        <w:tblpPr w:leftFromText="180" w:rightFromText="180" w:vertAnchor="text" w:horzAnchor="page" w:tblpX="815" w:tblpY="288"/>
        <w:tblOverlap w:val="never"/>
        <w:tblW w:w="10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007"/>
        <w:gridCol w:w="1983"/>
      </w:tblGrid>
      <w:tr w14:paraId="5D35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DD04F43">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序号</w:t>
            </w:r>
          </w:p>
        </w:tc>
        <w:tc>
          <w:tcPr>
            <w:tcW w:w="8007" w:type="dxa"/>
            <w:noWrap w:val="0"/>
            <w:vAlign w:val="center"/>
          </w:tcPr>
          <w:p w14:paraId="7570266A">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审查项目</w:t>
            </w:r>
          </w:p>
        </w:tc>
        <w:tc>
          <w:tcPr>
            <w:tcW w:w="1983" w:type="dxa"/>
            <w:noWrap w:val="0"/>
            <w:vAlign w:val="center"/>
          </w:tcPr>
          <w:p w14:paraId="56403C8B">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审查情况</w:t>
            </w:r>
          </w:p>
          <w:p w14:paraId="74005B3C">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（是否符合）</w:t>
            </w:r>
          </w:p>
        </w:tc>
      </w:tr>
      <w:tr w14:paraId="55DF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82B47D8">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1</w:t>
            </w:r>
          </w:p>
        </w:tc>
        <w:tc>
          <w:tcPr>
            <w:tcW w:w="8007" w:type="dxa"/>
            <w:noWrap w:val="0"/>
            <w:vAlign w:val="center"/>
          </w:tcPr>
          <w:p w14:paraId="7892F8D1">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投标文件载明的采购项目服务时间未超过招标文件规定期限的；</w:t>
            </w:r>
          </w:p>
        </w:tc>
        <w:tc>
          <w:tcPr>
            <w:tcW w:w="1983" w:type="dxa"/>
            <w:noWrap w:val="0"/>
            <w:vAlign w:val="center"/>
          </w:tcPr>
          <w:p w14:paraId="4CEE7BEC">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2B40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E3D87EE">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2</w:t>
            </w:r>
          </w:p>
        </w:tc>
        <w:tc>
          <w:tcPr>
            <w:tcW w:w="8007" w:type="dxa"/>
            <w:noWrap w:val="0"/>
            <w:vAlign w:val="center"/>
          </w:tcPr>
          <w:p w14:paraId="70B9A4B5">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投标文件中投标报价</w:t>
            </w:r>
            <w:r>
              <w:rPr>
                <w:rFonts w:hint="default" w:ascii="Times New Roman" w:hAnsi="Times New Roman" w:eastAsia="宋体" w:cs="Times New Roman"/>
                <w:bCs/>
                <w:sz w:val="24"/>
                <w:szCs w:val="24"/>
                <w:highlight w:val="none"/>
                <w:lang w:val="zh-CN" w:eastAsia="zh-CN"/>
              </w:rPr>
              <w:t>未超出最高限价</w:t>
            </w:r>
            <w:r>
              <w:rPr>
                <w:rFonts w:hint="eastAsia" w:ascii="Times New Roman" w:hAnsi="Times New Roman" w:eastAsia="宋体" w:cs="Times New Roman"/>
                <w:bCs/>
                <w:sz w:val="24"/>
                <w:szCs w:val="24"/>
                <w:highlight w:val="none"/>
                <w:lang w:val="zh-CN" w:eastAsia="zh-CN"/>
              </w:rPr>
              <w:t>；</w:t>
            </w:r>
          </w:p>
        </w:tc>
        <w:tc>
          <w:tcPr>
            <w:tcW w:w="1983" w:type="dxa"/>
            <w:noWrap w:val="0"/>
            <w:vAlign w:val="center"/>
          </w:tcPr>
          <w:p w14:paraId="36805C9D">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29FE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9EBB518">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3</w:t>
            </w:r>
          </w:p>
        </w:tc>
        <w:tc>
          <w:tcPr>
            <w:tcW w:w="8007" w:type="dxa"/>
            <w:noWrap w:val="0"/>
            <w:vAlign w:val="center"/>
          </w:tcPr>
          <w:p w14:paraId="017A93E5">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投标文件未附有采购人和招标方不能接受的条件的；</w:t>
            </w:r>
          </w:p>
        </w:tc>
        <w:tc>
          <w:tcPr>
            <w:tcW w:w="1983" w:type="dxa"/>
            <w:noWrap w:val="0"/>
            <w:vAlign w:val="center"/>
          </w:tcPr>
          <w:p w14:paraId="54EDFFEA">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1E31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F046D30">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4</w:t>
            </w:r>
          </w:p>
        </w:tc>
        <w:tc>
          <w:tcPr>
            <w:tcW w:w="8007" w:type="dxa"/>
            <w:noWrap w:val="0"/>
            <w:vAlign w:val="center"/>
          </w:tcPr>
          <w:p w14:paraId="3B6C7B45">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在评标过程中，未发现投标人以他人名义投标、串通投标、以行贿手段谋取成交或者以其他弄虚作假方式投标的；</w:t>
            </w:r>
          </w:p>
        </w:tc>
        <w:tc>
          <w:tcPr>
            <w:tcW w:w="1983" w:type="dxa"/>
            <w:noWrap w:val="0"/>
            <w:vAlign w:val="center"/>
          </w:tcPr>
          <w:p w14:paraId="43E4C53F">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5C49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B73A6B3">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5</w:t>
            </w:r>
          </w:p>
        </w:tc>
        <w:tc>
          <w:tcPr>
            <w:tcW w:w="8007" w:type="dxa"/>
            <w:noWrap w:val="0"/>
            <w:vAlign w:val="center"/>
          </w:tcPr>
          <w:p w14:paraId="1776DEAD">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其他</w:t>
            </w:r>
            <w:r>
              <w:rPr>
                <w:rFonts w:hint="eastAsia" w:ascii="Times New Roman" w:hAnsi="Times New Roman" w:eastAsia="宋体" w:cs="Times New Roman"/>
                <w:bCs/>
                <w:sz w:val="24"/>
                <w:szCs w:val="24"/>
                <w:highlight w:val="none"/>
                <w:lang w:val="en-US" w:eastAsia="zh-CN"/>
              </w:rPr>
              <w:t>是否</w:t>
            </w:r>
            <w:r>
              <w:rPr>
                <w:rFonts w:hint="eastAsia" w:ascii="Times New Roman" w:hAnsi="Times New Roman" w:eastAsia="宋体" w:cs="Times New Roman"/>
                <w:bCs/>
                <w:sz w:val="24"/>
                <w:szCs w:val="24"/>
                <w:highlight w:val="none"/>
                <w:lang w:val="zh-CN" w:eastAsia="zh-CN"/>
              </w:rPr>
              <w:t>符合法律、规章、规范性文件和招标文件规定的；</w:t>
            </w:r>
          </w:p>
        </w:tc>
        <w:tc>
          <w:tcPr>
            <w:tcW w:w="1983" w:type="dxa"/>
            <w:noWrap w:val="0"/>
            <w:vAlign w:val="center"/>
          </w:tcPr>
          <w:p w14:paraId="79478E9B">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bl>
    <w:p w14:paraId="1D9DB2D8">
      <w:pPr>
        <w:pStyle w:val="24"/>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p>
    <w:p w14:paraId="0DE04515">
      <w:pPr>
        <w:pStyle w:val="24"/>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二、投标文件的澄清、说明或补正</w:t>
      </w:r>
    </w:p>
    <w:p w14:paraId="5593B899">
      <w:pPr>
        <w:pStyle w:val="24"/>
        <w:spacing w:beforeLines="0" w:after="0" w:afterLines="0" w:line="360" w:lineRule="auto"/>
        <w:ind w:left="0" w:leftChars="0" w:firstLine="0" w:firstLineChars="0"/>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w:t>
      </w:r>
      <w:r>
        <w:rPr>
          <w:rFonts w:hint="default" w:ascii="Times New Roman" w:hAnsi="Times New Roman" w:cs="Times New Roman" w:eastAsiaTheme="minorEastAsia"/>
          <w:color w:val="auto"/>
          <w:sz w:val="28"/>
          <w:szCs w:val="28"/>
          <w:highlight w:val="none"/>
          <w:lang w:val="en-US" w:eastAsia="zh-CN"/>
        </w:rPr>
        <w:t>补正不得超出投标文件的范围或者改变投标文件的实质性内容。</w:t>
      </w:r>
    </w:p>
    <w:p w14:paraId="63A4B7AC">
      <w:pPr>
        <w:tabs>
          <w:tab w:val="left" w:pos="567"/>
        </w:tabs>
        <w:spacing w:beforeLines="0" w:afterLines="0" w:line="360" w:lineRule="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val="en-US" w:eastAsia="zh-CN"/>
        </w:rPr>
        <w:t xml:space="preserve">    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cs="Times New Roman" w:eastAsiaTheme="minorEastAsia"/>
          <w:b/>
          <w:bCs/>
          <w:color w:val="auto"/>
          <w:sz w:val="28"/>
          <w:szCs w:val="28"/>
          <w:highlight w:val="none"/>
          <w:lang w:val="en-US" w:eastAsia="zh-CN"/>
        </w:rPr>
        <w:t>无效投标</w:t>
      </w:r>
      <w:r>
        <w:rPr>
          <w:rFonts w:hint="default" w:ascii="Times New Roman" w:hAnsi="Times New Roman" w:cs="Times New Roman" w:eastAsiaTheme="minorEastAsia"/>
          <w:color w:val="auto"/>
          <w:sz w:val="28"/>
          <w:szCs w:val="28"/>
          <w:highlight w:val="none"/>
          <w:lang w:val="en-US" w:eastAsia="zh-CN"/>
        </w:rPr>
        <w:t>处理。</w:t>
      </w:r>
    </w:p>
    <w:p w14:paraId="2C9EE142">
      <w:pPr>
        <w:tabs>
          <w:tab w:val="left" w:pos="1050"/>
        </w:tabs>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rPr>
        <w:t>投标文件报价出现前后不一致的，</w:t>
      </w:r>
      <w:r>
        <w:rPr>
          <w:rFonts w:hint="default" w:ascii="Times New Roman" w:hAnsi="Times New Roman" w:cs="Times New Roman" w:eastAsiaTheme="minorEastAsia"/>
          <w:sz w:val="28"/>
          <w:szCs w:val="28"/>
          <w:highlight w:val="none"/>
          <w:lang w:eastAsia="zh-CN"/>
        </w:rPr>
        <w:t>除招标文件《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须知前附表》另有规定外，</w:t>
      </w:r>
      <w:r>
        <w:rPr>
          <w:rFonts w:hint="default" w:ascii="Times New Roman" w:hAnsi="Times New Roman" w:cs="Times New Roman" w:eastAsiaTheme="minorEastAsia"/>
          <w:sz w:val="28"/>
          <w:szCs w:val="28"/>
          <w:highlight w:val="none"/>
        </w:rPr>
        <w:t>按照下列规定修正：</w:t>
      </w:r>
    </w:p>
    <w:p w14:paraId="066E3D9A">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（1）投标文件中开标一览表（报价表）内容与投标文件中相应内容不一致的，以开标一览表（报价表）为准；</w:t>
      </w:r>
    </w:p>
    <w:p w14:paraId="0DB727E7">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（2）大写金额和小写金额不一致的，以大写金额为准；</w:t>
      </w:r>
    </w:p>
    <w:p w14:paraId="53FDFD29">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（3）单价金额小数点或者百分比有明显错位的，以开标一览表的总价为准，并修改单价；</w:t>
      </w:r>
    </w:p>
    <w:p w14:paraId="1911D7B8">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（4）总价金额与按单价汇总金额不一致的，以单价金额计算结果为准。</w:t>
      </w:r>
    </w:p>
    <w:p w14:paraId="4A8C88BD">
      <w:pPr>
        <w:spacing w:beforeLines="0" w:afterLines="0" w:line="360" w:lineRule="auto"/>
        <w:ind w:left="11" w:leftChars="0" w:hanging="11" w:hangingChars="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同时出现两种以上不一致的，按照前款规定的顺序修正。</w:t>
      </w:r>
      <w:r>
        <w:rPr>
          <w:rFonts w:hint="default" w:ascii="Times New Roman" w:hAnsi="Times New Roman" w:cs="Times New Roman" w:eastAsiaTheme="minorEastAsia"/>
          <w:sz w:val="28"/>
          <w:szCs w:val="28"/>
          <w:highlight w:val="none"/>
          <w:lang w:eastAsia="zh-CN"/>
        </w:rPr>
        <w:t>修正后的报价经投标人确认后产生约束力，投标人不确认的，其</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lang w:eastAsia="zh-CN"/>
        </w:rPr>
        <w:t>。</w:t>
      </w:r>
    </w:p>
    <w:p w14:paraId="7D0AD14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三、投标文件的</w:t>
      </w:r>
      <w:r>
        <w:rPr>
          <w:rFonts w:hint="default" w:ascii="Times New Roman" w:hAnsi="Times New Roman" w:cs="Times New Roman" w:eastAsiaTheme="minorEastAsia"/>
          <w:b/>
          <w:bCs/>
          <w:sz w:val="28"/>
          <w:szCs w:val="28"/>
          <w:highlight w:val="none"/>
        </w:rPr>
        <w:t>比较与评价</w:t>
      </w:r>
    </w:p>
    <w:p w14:paraId="56245319">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w:t>
      </w:r>
      <w:r>
        <w:rPr>
          <w:rFonts w:hint="default" w:ascii="Times New Roman" w:hAnsi="Times New Roman" w:cs="Times New Roman" w:eastAsiaTheme="minorEastAsia"/>
          <w:sz w:val="28"/>
          <w:szCs w:val="28"/>
          <w:highlight w:val="none"/>
        </w:rPr>
        <w:t>评标委员会将</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规定</w:t>
      </w:r>
      <w:r>
        <w:rPr>
          <w:rFonts w:hint="default" w:ascii="Times New Roman" w:hAnsi="Times New Roman" w:cs="Times New Roman" w:eastAsiaTheme="minorEastAsia"/>
          <w:sz w:val="28"/>
          <w:szCs w:val="28"/>
          <w:highlight w:val="none"/>
        </w:rPr>
        <w:t>的评标方法和标准，对</w:t>
      </w:r>
      <w:r>
        <w:rPr>
          <w:rFonts w:hint="default" w:ascii="Times New Roman" w:hAnsi="Times New Roman" w:cs="Times New Roman" w:eastAsiaTheme="minorEastAsia"/>
          <w:sz w:val="28"/>
          <w:szCs w:val="28"/>
          <w:highlight w:val="none"/>
          <w:lang w:eastAsia="zh-CN"/>
        </w:rPr>
        <w:t>符合性审查合格的投标文件进行商务和技术评估，综合比较与评价；未通过符合性审查的投标文件不得进入比较与评价。</w:t>
      </w:r>
    </w:p>
    <w:p w14:paraId="32EF6DC6">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2.评标方法和评标标准</w:t>
      </w:r>
    </w:p>
    <w:p w14:paraId="0F1DE9CA">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（1）本项目采用的评标方法为：</w:t>
      </w:r>
    </w:p>
    <w:p w14:paraId="0FE2D6EE">
      <w:pPr>
        <w:spacing w:beforeLines="0" w:afterLines="0" w:line="360" w:lineRule="auto"/>
        <w:ind w:hanging="1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8" w:name="OLE_LINK5"/>
      <w:r>
        <w:rPr>
          <w:rFonts w:hint="default" w:ascii="Times New Roman" w:hAnsi="Times New Roman" w:cs="Times New Roman" w:eastAsiaTheme="minorEastAsia"/>
          <w:b/>
          <w:bCs/>
          <w:sz w:val="28"/>
          <w:szCs w:val="28"/>
          <w:highlight w:val="none"/>
          <w:lang w:val="en-US" w:eastAsia="zh-CN"/>
        </w:rPr>
        <w:t xml:space="preserve"> </w:t>
      </w:r>
      <w:bookmarkEnd w:id="8"/>
      <w:r>
        <w:rPr>
          <w:rFonts w:hint="default" w:ascii="Times New Roman" w:hAnsi="Times New Roman" w:cs="Times New Roman" w:eastAsiaTheme="minorEastAsia"/>
          <w:b/>
          <w:bCs/>
          <w:sz w:val="28"/>
          <w:szCs w:val="28"/>
          <w:highlight w:val="none"/>
          <w:lang w:val="en-US" w:eastAsia="zh-CN"/>
        </w:rPr>
        <w:sym w:font="Wingdings 2" w:char="0052"/>
      </w:r>
      <w:r>
        <w:rPr>
          <w:rFonts w:hint="default" w:ascii="Times New Roman" w:hAnsi="Times New Roman" w:cs="Times New Roman" w:eastAsiaTheme="minorEastAsia"/>
          <w:b/>
          <w:bCs/>
          <w:sz w:val="28"/>
          <w:szCs w:val="28"/>
          <w:highlight w:val="none"/>
          <w:lang w:val="en-US" w:eastAsia="zh-CN"/>
        </w:rPr>
        <w:t>综合评分法，指投标文件满足</w:t>
      </w:r>
      <w:r>
        <w:rPr>
          <w:rFonts w:hint="default" w:ascii="Times New Roman" w:hAnsi="Times New Roman" w:cs="Times New Roman" w:eastAsiaTheme="minorEastAsia"/>
          <w:b/>
          <w:bCs/>
          <w:sz w:val="28"/>
          <w:szCs w:val="28"/>
          <w:highlight w:val="none"/>
        </w:rPr>
        <w:t>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要求，且按照评审因素的量化指标评审得分最高的投标</w:t>
      </w:r>
      <w:r>
        <w:rPr>
          <w:rFonts w:hint="default" w:ascii="Times New Roman" w:hAnsi="Times New Roman" w:cs="Times New Roman" w:eastAsiaTheme="minorEastAsia"/>
          <w:b/>
          <w:bCs/>
          <w:sz w:val="28"/>
          <w:szCs w:val="28"/>
          <w:highlight w:val="none"/>
          <w:u w:val="none"/>
          <w:lang w:eastAsia="zh-CN"/>
        </w:rPr>
        <w:t>人为</w:t>
      </w:r>
      <w:r>
        <w:rPr>
          <w:rFonts w:hint="default" w:ascii="Times New Roman" w:hAnsi="Times New Roman" w:cs="Times New Roman" w:eastAsiaTheme="minorEastAsia"/>
          <w:b/>
          <w:bCs/>
          <w:sz w:val="28"/>
          <w:szCs w:val="28"/>
          <w:highlight w:val="none"/>
        </w:rPr>
        <w:t>中标候选人的评标方法。</w:t>
      </w:r>
    </w:p>
    <w:p w14:paraId="47BC7BA0">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sym w:font="Wingdings 2" w:char="00A3"/>
      </w:r>
      <w:r>
        <w:rPr>
          <w:rFonts w:hint="default" w:ascii="Times New Roman" w:hAnsi="Times New Roman" w:cs="Times New Roman" w:eastAsiaTheme="minorEastAsia"/>
          <w:b/>
          <w:bCs/>
          <w:sz w:val="28"/>
          <w:szCs w:val="28"/>
          <w:highlight w:val="none"/>
        </w:rPr>
        <w:t>最低评标价法，是指投标文件满足招标文件全部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要求，且投标报价最低的投标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为中标候选人的评标方法。</w:t>
      </w:r>
    </w:p>
    <w:p w14:paraId="48B1443C">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bookmarkStart w:id="9" w:name="OLE_LINK6"/>
      <w:r>
        <w:rPr>
          <w:rFonts w:hint="default" w:ascii="Times New Roman" w:hAnsi="Times New Roman" w:cs="Times New Roman" w:eastAsiaTheme="minorEastAsia"/>
          <w:sz w:val="28"/>
          <w:szCs w:val="28"/>
          <w:highlight w:val="none"/>
          <w:lang w:eastAsia="zh-CN"/>
        </w:rPr>
        <w:t>（单一产品或核心产品品牌相同）</w:t>
      </w:r>
      <w:bookmarkEnd w:id="9"/>
      <w:r>
        <w:rPr>
          <w:rFonts w:hint="default" w:ascii="Times New Roman" w:hAnsi="Times New Roman" w:cs="Times New Roman" w:eastAsiaTheme="minorEastAsia"/>
          <w:sz w:val="28"/>
          <w:szCs w:val="28"/>
          <w:highlight w:val="none"/>
        </w:rPr>
        <w:t>的不同投标</w:t>
      </w:r>
      <w:r>
        <w:rPr>
          <w:rFonts w:hint="default" w:ascii="Times New Roman" w:hAnsi="Times New Roman" w:cs="Times New Roman" w:eastAsiaTheme="minorEastAsia"/>
          <w:sz w:val="28"/>
          <w:szCs w:val="28"/>
          <w:highlight w:val="none"/>
          <w:u w:val="none"/>
          <w:lang w:eastAsia="zh-CN"/>
        </w:rPr>
        <w:t>人参加同一</w:t>
      </w:r>
      <w:r>
        <w:rPr>
          <w:rFonts w:hint="default" w:cs="Times New Roman" w:eastAsiaTheme="minorEastAsia"/>
          <w:sz w:val="28"/>
          <w:szCs w:val="28"/>
          <w:highlight w:val="none"/>
          <w:u w:val="none"/>
          <w:lang w:eastAsia="zh-CN"/>
        </w:rPr>
        <w:t>合同项下投标</w:t>
      </w:r>
      <w:r>
        <w:rPr>
          <w:rFonts w:hint="default" w:ascii="Times New Roman" w:hAnsi="Times New Roman" w:cs="Times New Roman" w:eastAsiaTheme="minorEastAsia"/>
          <w:sz w:val="28"/>
          <w:szCs w:val="28"/>
          <w:highlight w:val="none"/>
          <w:u w:val="none"/>
          <w:lang w:val="en-US" w:eastAsia="zh-CN"/>
        </w:rPr>
        <w:t>的，</w:t>
      </w:r>
      <w:r>
        <w:rPr>
          <w:rFonts w:hint="default" w:ascii="Times New Roman" w:hAnsi="Times New Roman" w:cs="Times New Roman" w:eastAsiaTheme="minorEastAsia"/>
          <w:sz w:val="28"/>
          <w:szCs w:val="28"/>
          <w:highlight w:val="none"/>
        </w:rPr>
        <w:t>以其中通过资格审查、符合性审查且报价最低的参加评标；报价相同的，由采购人或者采购人委托评标委员会按照</w:t>
      </w:r>
      <w:r>
        <w:rPr>
          <w:rFonts w:hint="default" w:ascii="Times New Roman" w:hAnsi="Times New Roman" w:cs="Times New Roman" w:eastAsiaTheme="minorEastAsia"/>
          <w:sz w:val="28"/>
          <w:szCs w:val="28"/>
          <w:highlight w:val="none"/>
          <w:lang w:eastAsia="zh-CN"/>
        </w:rPr>
        <w:t>下述方法确定一个参加评标的投标人，其他</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5C655FE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10" w:name="OLE_LINK7"/>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26B2EE5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其他方式，具体要求：</w:t>
      </w:r>
      <w:bookmarkEnd w:id="10"/>
      <w:r>
        <w:rPr>
          <w:rFonts w:hint="default" w:ascii="Times New Roman" w:hAnsi="Times New Roman" w:cs="Times New Roman" w:eastAsiaTheme="minorEastAsia"/>
          <w:sz w:val="28"/>
          <w:szCs w:val="28"/>
          <w:highlight w:val="none"/>
          <w:lang w:val="en-US" w:eastAsia="zh-CN"/>
        </w:rPr>
        <w:t xml:space="preserve"> </w:t>
      </w:r>
    </w:p>
    <w:p w14:paraId="2E28FE8F">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cs="Times New Roman" w:eastAsiaTheme="minorEastAsia"/>
          <w:sz w:val="28"/>
          <w:szCs w:val="28"/>
          <w:highlight w:val="none"/>
          <w:lang w:val="en-US" w:eastAsia="zh-CN"/>
        </w:rPr>
        <w:t>使用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r>
        <w:rPr>
          <w:rFonts w:hint="default" w:ascii="Times New Roman" w:hAnsi="Times New Roman" w:cs="Times New Roman" w:eastAsiaTheme="minorEastAsia"/>
          <w:sz w:val="28"/>
          <w:szCs w:val="28"/>
          <w:highlight w:val="none"/>
          <w:lang w:eastAsia="zh-CN"/>
        </w:rPr>
        <w:t>（单一产品或核心产品品牌相同）</w:t>
      </w:r>
      <w:r>
        <w:rPr>
          <w:rFonts w:hint="default" w:ascii="Times New Roman" w:hAnsi="Times New Roman" w:cs="Times New Roman" w:eastAsiaTheme="minorEastAsia"/>
          <w:sz w:val="28"/>
          <w:szCs w:val="28"/>
          <w:highlight w:val="none"/>
        </w:rPr>
        <w:t>且通过资格审查、符合性审查的不同投标</w:t>
      </w:r>
      <w:r>
        <w:rPr>
          <w:rFonts w:hint="default"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，按一家投标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计算，评审后得分最高的同品牌投标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推荐资格；评审得分相同的，由采购人或者采购人委托评标委员会按照</w:t>
      </w:r>
      <w:r>
        <w:rPr>
          <w:rFonts w:hint="default" w:ascii="Times New Roman" w:hAnsi="Times New Roman" w:cs="Times New Roman" w:eastAsiaTheme="minorEastAsia"/>
          <w:sz w:val="28"/>
          <w:szCs w:val="28"/>
          <w:highlight w:val="none"/>
          <w:lang w:eastAsia="zh-CN"/>
        </w:rPr>
        <w:t>下述方法</w:t>
      </w:r>
      <w:r>
        <w:rPr>
          <w:rFonts w:hint="default" w:ascii="Times New Roman" w:hAnsi="Times New Roman" w:cs="Times New Roman" w:eastAsiaTheme="minorEastAsia"/>
          <w:sz w:val="28"/>
          <w:szCs w:val="28"/>
          <w:highlight w:val="none"/>
        </w:rPr>
        <w:t>确定一个投标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推荐资格；未规定的采取随机抽取方式确定，其他同品牌投标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不作为中标候选人。</w:t>
      </w:r>
    </w:p>
    <w:p w14:paraId="7A2158E6">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53A12D04">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52"/>
      </w:r>
      <w:r>
        <w:rPr>
          <w:rFonts w:hint="default" w:ascii="Times New Roman" w:hAnsi="Times New Roman" w:cs="Times New Roman" w:eastAsiaTheme="minorEastAsia"/>
          <w:sz w:val="28"/>
          <w:szCs w:val="28"/>
          <w:highlight w:val="none"/>
          <w:lang w:val="en-US" w:eastAsia="zh-CN"/>
        </w:rPr>
        <w:t>其他方式，具体要求：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cs="Times New Roman" w:eastAsiaTheme="minorEastAsia"/>
          <w:sz w:val="28"/>
          <w:szCs w:val="28"/>
          <w:highlight w:val="none"/>
          <w:lang w:val="en-US" w:eastAsia="zh-CN"/>
        </w:rPr>
        <w:t>。</w:t>
      </w:r>
    </w:p>
    <w:p w14:paraId="74B1DA60">
      <w:pPr>
        <w:spacing w:beforeLines="0" w:afterLines="0" w:line="360" w:lineRule="auto"/>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四、确定中标候选人名单</w:t>
      </w:r>
    </w:p>
    <w:p w14:paraId="39E810CB">
      <w:pPr>
        <w:spacing w:before="0" w:beforeLines="0" w:afterLines="0" w:line="360" w:lineRule="auto"/>
        <w:ind w:firstLine="560" w:firstLineChars="20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1.采用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，评标委员会在审查投标文件满足招标文件全部实质性要求后，按投标报价从低到高顺序确定中标候选人。</w:t>
      </w:r>
      <w:bookmarkStart w:id="11" w:name="OLE_LINK8"/>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bookmarkEnd w:id="11"/>
    <w:p w14:paraId="2F161CF9">
      <w:pPr>
        <w:spacing w:before="0"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，评标委员会对满足招标文件全部实质性要求的投标文件，按照招标文件规定的评审因素的量化指标进行评审打分，以评审得分从高到低顺序确定中标候选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p w14:paraId="550025EF">
      <w:pPr>
        <w:pStyle w:val="10"/>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评标委员会每位成员独立对每个有效投标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的投标文件进行评价、打分；然后汇总每个投标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的得分，计算得分平均值，以平均值由高到低进行排序，按排序顺序推荐中标候选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。分值计算保留小数点后两位，第三位四舍五入。</w:t>
      </w:r>
    </w:p>
    <w:p w14:paraId="0EFCE936">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五</w:t>
      </w:r>
      <w:r>
        <w:rPr>
          <w:rFonts w:hint="default" w:ascii="Times New Roman" w:hAnsi="Times New Roman" w:cs="Times New Roman" w:eastAsiaTheme="minorEastAsia"/>
          <w:b/>
          <w:bCs/>
          <w:sz w:val="28"/>
          <w:szCs w:val="28"/>
          <w:highlight w:val="none"/>
        </w:rPr>
        <w:t>、采购人或者采购代理机构核对评标结果</w:t>
      </w:r>
    </w:p>
    <w:p w14:paraId="1764FDD8">
      <w:pPr>
        <w:spacing w:beforeLines="0" w:afterLines="0" w:line="360" w:lineRule="auto"/>
        <w:ind w:firstLine="640"/>
        <w:rPr>
          <w:rFonts w:hint="default" w:ascii="Times New Roman" w:hAnsi="Times New Roman" w:cs="Times New Roman"/>
          <w:sz w:val="32"/>
          <w:szCs w:val="32"/>
          <w:highlight w:val="none"/>
        </w:rPr>
      </w:pPr>
      <w:r>
        <w:rPr>
          <w:rFonts w:hint="default" w:ascii="Times New Roman" w:hAnsi="Times New Roman" w:cs="Times New Roman" w:eastAsiaTheme="minorEastAsia"/>
          <w:sz w:val="28"/>
          <w:szCs w:val="28"/>
          <w:highlight w:val="none"/>
          <w:lang w:val="en-US" w:eastAsia="zh-CN"/>
        </w:rPr>
        <w:t>采购人或者采购代理机构要核对评标结果，发现有《政府采购货物和服务招标管理办法》（财政部令第87号）第六十四条规定情形的，应要求评标委员会复核或者书面说明理由，评标委员会拒绝的，应予记录并向本级财政部门报告。</w:t>
      </w:r>
    </w:p>
    <w:p w14:paraId="718A069B">
      <w:pPr>
        <w:numPr>
          <w:ilvl w:val="0"/>
          <w:numId w:val="4"/>
        </w:num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rPr>
        <w:t>评审标准</w:t>
      </w:r>
      <w:r>
        <w:rPr>
          <w:rFonts w:hint="default" w:ascii="Times New Roman" w:hAnsi="Times New Roman" w:cs="Times New Roman" w:eastAsiaTheme="minorEastAsia"/>
          <w:b/>
          <w:bCs/>
          <w:sz w:val="28"/>
          <w:szCs w:val="28"/>
          <w:highlight w:val="none"/>
          <w:lang w:eastAsia="zh-CN"/>
        </w:rPr>
        <w:t>（适用综合评分法）</w:t>
      </w:r>
    </w:p>
    <w:p w14:paraId="5153A0A7">
      <w:pPr>
        <w:pStyle w:val="10"/>
        <w:numPr>
          <w:ilvl w:val="0"/>
          <w:numId w:val="0"/>
        </w:numPr>
        <w:ind w:leftChars="0" w:firstLine="2530" w:firstLineChars="900"/>
        <w:rPr>
          <w:rFonts w:hint="default"/>
        </w:rPr>
      </w:pPr>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价格评分标准（30分）</w:t>
      </w:r>
    </w:p>
    <w:tbl>
      <w:tblPr>
        <w:tblStyle w:val="25"/>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142"/>
        <w:gridCol w:w="935"/>
        <w:gridCol w:w="6981"/>
        <w:gridCol w:w="546"/>
      </w:tblGrid>
      <w:tr w14:paraId="1D20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5" w:type="dxa"/>
            <w:noWrap w:val="0"/>
            <w:vAlign w:val="center"/>
          </w:tcPr>
          <w:p w14:paraId="33AC6EA5">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序号</w:t>
            </w:r>
          </w:p>
        </w:tc>
        <w:tc>
          <w:tcPr>
            <w:tcW w:w="1142" w:type="dxa"/>
            <w:noWrap w:val="0"/>
            <w:vAlign w:val="center"/>
          </w:tcPr>
          <w:p w14:paraId="108ABD09">
            <w:pPr>
              <w:spacing w:line="360" w:lineRule="auto"/>
              <w:ind w:firstLine="28"/>
              <w:jc w:val="both"/>
              <w:rPr>
                <w:rFonts w:hint="eastAsia" w:ascii="宋体" w:hAnsi="宋体" w:eastAsia="宋体" w:cs="宋体"/>
                <w:b/>
                <w:sz w:val="21"/>
                <w:szCs w:val="21"/>
              </w:rPr>
            </w:pPr>
            <w:r>
              <w:rPr>
                <w:rFonts w:hint="eastAsia" w:ascii="宋体" w:hAnsi="宋体" w:eastAsia="宋体" w:cs="宋体"/>
                <w:b/>
                <w:sz w:val="21"/>
                <w:szCs w:val="21"/>
              </w:rPr>
              <w:t>评分因素</w:t>
            </w:r>
          </w:p>
          <w:p w14:paraId="24FD238E">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及权重</w:t>
            </w:r>
          </w:p>
        </w:tc>
        <w:tc>
          <w:tcPr>
            <w:tcW w:w="935" w:type="dxa"/>
            <w:noWrap w:val="0"/>
            <w:vAlign w:val="center"/>
          </w:tcPr>
          <w:p w14:paraId="7CADC4B9">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分值</w:t>
            </w:r>
          </w:p>
        </w:tc>
        <w:tc>
          <w:tcPr>
            <w:tcW w:w="6981" w:type="dxa"/>
            <w:noWrap w:val="0"/>
            <w:vAlign w:val="center"/>
          </w:tcPr>
          <w:p w14:paraId="679B35FC">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评分标准</w:t>
            </w:r>
          </w:p>
        </w:tc>
        <w:tc>
          <w:tcPr>
            <w:tcW w:w="546" w:type="dxa"/>
            <w:noWrap w:val="0"/>
            <w:vAlign w:val="center"/>
          </w:tcPr>
          <w:p w14:paraId="4DAE5425">
            <w:pPr>
              <w:pStyle w:val="45"/>
              <w:spacing w:line="360" w:lineRule="auto"/>
              <w:jc w:val="both"/>
              <w:rPr>
                <w:rFonts w:hint="eastAsia" w:ascii="宋体" w:hAnsi="宋体" w:eastAsia="宋体" w:cs="宋体"/>
                <w:sz w:val="18"/>
                <w:szCs w:val="18"/>
              </w:rPr>
            </w:pPr>
            <w:r>
              <w:rPr>
                <w:rFonts w:hint="eastAsia" w:ascii="宋体" w:hAnsi="宋体" w:eastAsia="宋体" w:cs="宋体"/>
                <w:sz w:val="21"/>
                <w:szCs w:val="21"/>
              </w:rPr>
              <w:t>说明</w:t>
            </w:r>
          </w:p>
        </w:tc>
      </w:tr>
      <w:tr w14:paraId="7857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5" w:type="dxa"/>
            <w:noWrap w:val="0"/>
            <w:vAlign w:val="center"/>
          </w:tcPr>
          <w:p w14:paraId="06723278">
            <w:pPr>
              <w:spacing w:line="360" w:lineRule="auto"/>
              <w:ind w:firstLine="28" w:firstLineChars="0"/>
              <w:jc w:val="both"/>
              <w:rPr>
                <w:rFonts w:hint="eastAsia" w:ascii="宋体" w:hAnsi="宋体" w:eastAsia="宋体" w:cs="宋体"/>
                <w:sz w:val="18"/>
                <w:szCs w:val="18"/>
              </w:rPr>
            </w:pPr>
            <w:r>
              <w:rPr>
                <w:rFonts w:hint="eastAsia" w:ascii="宋体" w:hAnsi="宋体" w:eastAsia="宋体" w:cs="宋体"/>
                <w:sz w:val="21"/>
                <w:szCs w:val="21"/>
              </w:rPr>
              <w:t>1</w:t>
            </w:r>
          </w:p>
        </w:tc>
        <w:tc>
          <w:tcPr>
            <w:tcW w:w="1142" w:type="dxa"/>
            <w:noWrap w:val="0"/>
            <w:vAlign w:val="center"/>
          </w:tcPr>
          <w:p w14:paraId="3A2A64F1">
            <w:pPr>
              <w:spacing w:line="360" w:lineRule="auto"/>
              <w:ind w:firstLine="237" w:firstLineChars="113"/>
              <w:jc w:val="both"/>
              <w:rPr>
                <w:rFonts w:hint="eastAsia" w:ascii="宋体" w:hAnsi="宋体" w:eastAsia="宋体" w:cs="宋体"/>
                <w:sz w:val="21"/>
                <w:szCs w:val="21"/>
              </w:rPr>
            </w:pPr>
            <w:r>
              <w:rPr>
                <w:rFonts w:hint="eastAsia" w:ascii="宋体" w:hAnsi="宋体" w:eastAsia="宋体" w:cs="宋体"/>
                <w:sz w:val="21"/>
                <w:szCs w:val="21"/>
              </w:rPr>
              <w:t>投标</w:t>
            </w:r>
          </w:p>
          <w:p w14:paraId="26AEC3E8">
            <w:pPr>
              <w:spacing w:line="360" w:lineRule="auto"/>
              <w:ind w:firstLine="237" w:firstLineChars="113"/>
              <w:jc w:val="both"/>
              <w:rPr>
                <w:rFonts w:hint="eastAsia" w:ascii="宋体" w:hAnsi="宋体" w:eastAsia="宋体" w:cs="宋体"/>
                <w:sz w:val="21"/>
                <w:szCs w:val="21"/>
              </w:rPr>
            </w:pPr>
            <w:r>
              <w:rPr>
                <w:rFonts w:hint="eastAsia" w:ascii="宋体" w:hAnsi="宋体" w:eastAsia="宋体" w:cs="宋体"/>
                <w:sz w:val="21"/>
                <w:szCs w:val="21"/>
              </w:rPr>
              <w:t>报价</w:t>
            </w:r>
          </w:p>
          <w:p w14:paraId="0FFD639F">
            <w:pPr>
              <w:spacing w:line="360" w:lineRule="auto"/>
              <w:ind w:firstLine="28" w:firstLineChars="0"/>
              <w:jc w:val="both"/>
              <w:rPr>
                <w:rFonts w:hint="eastAsia" w:ascii="宋体" w:hAnsi="宋体" w:eastAsia="宋体" w:cs="宋体"/>
                <w:kern w:val="0"/>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935" w:type="dxa"/>
            <w:noWrap w:val="0"/>
            <w:vAlign w:val="center"/>
          </w:tcPr>
          <w:p w14:paraId="20200A67">
            <w:pPr>
              <w:spacing w:line="360" w:lineRule="auto"/>
              <w:jc w:val="both"/>
              <w:rPr>
                <w:rFonts w:hint="eastAsia" w:ascii="宋体" w:hAnsi="宋体" w:eastAsia="宋体" w:cs="宋体"/>
                <w:kern w:val="0"/>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6981" w:type="dxa"/>
            <w:noWrap w:val="0"/>
            <w:vAlign w:val="center"/>
          </w:tcPr>
          <w:p w14:paraId="049A5624">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各供应商的价格得分的计算公式：价格分应当采用低价优先法计算，即满足招标文件要求且投标价格最低的投标报价为评标基准价，其价格分为满分。其他投标人的价格分统一按照下列公式计算：</w:t>
            </w:r>
          </w:p>
          <w:p w14:paraId="3FAF9A0B">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投标报价得分=(评标基准价／投标报价)×100×30%</w:t>
            </w:r>
          </w:p>
          <w:p w14:paraId="053C9FA3">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评标总得分＝F1×A1＋F2×A2＋……＋Fn×An</w:t>
            </w:r>
          </w:p>
          <w:p w14:paraId="09E7E70C">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F1、F2……Fn分别为各项评审因素的得分；</w:t>
            </w:r>
          </w:p>
          <w:p w14:paraId="7A181095">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A1、A2、……An 分别为各项评审因素所占的权重(A1＋A2＋……＋An＝1)。</w:t>
            </w:r>
          </w:p>
          <w:p w14:paraId="59DAEC5A">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评标过程中，不得去掉报价中的最高报价和最低报价。</w:t>
            </w:r>
          </w:p>
          <w:p w14:paraId="66C2FE01">
            <w:pPr>
              <w:spacing w:line="360" w:lineRule="auto"/>
              <w:jc w:val="both"/>
              <w:rPr>
                <w:rFonts w:hint="eastAsia" w:ascii="宋体" w:hAnsi="宋体" w:eastAsia="宋体" w:cs="宋体"/>
                <w:sz w:val="18"/>
                <w:szCs w:val="18"/>
              </w:rPr>
            </w:pPr>
            <w:r>
              <w:rPr>
                <w:rFonts w:hint="eastAsia" w:ascii="宋体" w:hAnsi="宋体" w:eastAsia="宋体" w:cs="宋体"/>
                <w:kern w:val="0"/>
                <w:sz w:val="21"/>
                <w:szCs w:val="21"/>
              </w:rPr>
              <w:t>因落实政府采购政策进行价格调整的，以调整后的价格计算评标基准价和投标报价。</w:t>
            </w:r>
          </w:p>
        </w:tc>
        <w:tc>
          <w:tcPr>
            <w:tcW w:w="546" w:type="dxa"/>
            <w:noWrap w:val="0"/>
            <w:vAlign w:val="center"/>
          </w:tcPr>
          <w:p w14:paraId="5C8F339E">
            <w:pPr>
              <w:spacing w:line="360" w:lineRule="auto"/>
              <w:jc w:val="both"/>
              <w:rPr>
                <w:rFonts w:hint="eastAsia" w:ascii="宋体" w:hAnsi="宋体" w:eastAsia="宋体" w:cs="宋体"/>
                <w:sz w:val="18"/>
                <w:szCs w:val="18"/>
              </w:rPr>
            </w:pPr>
          </w:p>
        </w:tc>
      </w:tr>
    </w:tbl>
    <w:p w14:paraId="39F2CEF3">
      <w:pPr>
        <w:pStyle w:val="24"/>
        <w:spacing w:line="360" w:lineRule="auto"/>
        <w:rPr>
          <w:rFonts w:hint="default" w:ascii="Times New Roman" w:hAnsi="Times New Roman" w:cs="Times New Roman"/>
          <w:highlight w:val="none"/>
        </w:rPr>
      </w:pPr>
    </w:p>
    <w:p w14:paraId="729A8125">
      <w:pPr>
        <w:pStyle w:val="24"/>
        <w:spacing w:line="360" w:lineRule="auto"/>
        <w:rPr>
          <w:rFonts w:hint="default" w:ascii="Times New Roman" w:hAnsi="Times New Roman" w:cs="Times New Roman"/>
          <w:highlight w:val="none"/>
        </w:rPr>
      </w:pPr>
    </w:p>
    <w:p w14:paraId="6741234B">
      <w:pPr>
        <w:rPr>
          <w:rFonts w:hint="default" w:ascii="Times New Roman" w:hAnsi="Times New Roman" w:cs="Times New Roman"/>
          <w:highlight w:val="none"/>
        </w:rPr>
      </w:pPr>
    </w:p>
    <w:p w14:paraId="6105B8E0">
      <w:pPr>
        <w:rPr>
          <w:rFonts w:hint="default" w:ascii="Times New Roman" w:hAnsi="Times New Roman" w:cs="Times New Roman"/>
          <w:highlight w:val="none"/>
        </w:rPr>
      </w:pPr>
    </w:p>
    <w:p w14:paraId="468DD516">
      <w:pPr>
        <w:rPr>
          <w:rFonts w:hint="default" w:ascii="Times New Roman" w:hAnsi="Times New Roman" w:cs="Times New Roman"/>
          <w:highlight w:val="none"/>
        </w:rPr>
      </w:pPr>
    </w:p>
    <w:p w14:paraId="27657F3D">
      <w:pPr>
        <w:rPr>
          <w:rFonts w:hint="default" w:ascii="Times New Roman" w:hAnsi="Times New Roman" w:cs="Times New Roman"/>
          <w:highlight w:val="none"/>
        </w:rPr>
      </w:pPr>
    </w:p>
    <w:p w14:paraId="3935FF05">
      <w:pPr>
        <w:rPr>
          <w:rFonts w:hint="default" w:ascii="Times New Roman" w:hAnsi="Times New Roman" w:cs="Times New Roman"/>
          <w:highlight w:val="none"/>
        </w:rPr>
      </w:pPr>
    </w:p>
    <w:p w14:paraId="749D37F4">
      <w:pPr>
        <w:rPr>
          <w:rFonts w:hint="default" w:ascii="Times New Roman" w:hAnsi="Times New Roman" w:cs="Times New Roman"/>
          <w:highlight w:val="none"/>
        </w:rPr>
      </w:pPr>
    </w:p>
    <w:p w14:paraId="54864E9E">
      <w:pPr>
        <w:rPr>
          <w:rFonts w:hint="default" w:ascii="Times New Roman" w:hAnsi="Times New Roman" w:cs="Times New Roman"/>
          <w:highlight w:val="none"/>
        </w:rPr>
      </w:pPr>
    </w:p>
    <w:p w14:paraId="7FCD027D">
      <w:pPr>
        <w:rPr>
          <w:rFonts w:hint="default" w:ascii="Times New Roman" w:hAnsi="Times New Roman" w:cs="Times New Roman"/>
          <w:highlight w:val="none"/>
        </w:rPr>
      </w:pPr>
    </w:p>
    <w:p w14:paraId="189B8353">
      <w:pPr>
        <w:rPr>
          <w:rFonts w:hint="default" w:ascii="Times New Roman" w:hAnsi="Times New Roman" w:cs="Times New Roman"/>
          <w:highlight w:val="none"/>
        </w:rPr>
      </w:pPr>
    </w:p>
    <w:p w14:paraId="30FB10EE">
      <w:pPr>
        <w:rPr>
          <w:rFonts w:hint="default" w:ascii="Times New Roman" w:hAnsi="Times New Roman" w:cs="Times New Roman"/>
          <w:highlight w:val="none"/>
        </w:rPr>
      </w:pPr>
    </w:p>
    <w:p w14:paraId="7BACBA39">
      <w:pPr>
        <w:rPr>
          <w:rFonts w:hint="default" w:ascii="Times New Roman" w:hAnsi="Times New Roman" w:cs="Times New Roman"/>
          <w:highlight w:val="none"/>
        </w:rPr>
      </w:pPr>
    </w:p>
    <w:p w14:paraId="072AC9D1">
      <w:pPr>
        <w:rPr>
          <w:rFonts w:hint="default" w:ascii="Times New Roman" w:hAnsi="Times New Roman" w:cs="Times New Roman"/>
          <w:highlight w:val="none"/>
        </w:rPr>
      </w:pPr>
    </w:p>
    <w:p w14:paraId="73C2B9B1">
      <w:pPr>
        <w:rPr>
          <w:rFonts w:hint="default" w:ascii="Times New Roman" w:hAnsi="Times New Roman" w:cs="Times New Roman"/>
          <w:highlight w:val="none"/>
        </w:rPr>
      </w:pPr>
    </w:p>
    <w:p w14:paraId="370B71D4">
      <w:pPr>
        <w:rPr>
          <w:rFonts w:hint="default" w:ascii="Times New Roman" w:hAnsi="Times New Roman" w:cs="Times New Roman"/>
          <w:highlight w:val="none"/>
        </w:rPr>
      </w:pPr>
    </w:p>
    <w:p w14:paraId="3ABD6C2B">
      <w:pPr>
        <w:rPr>
          <w:rFonts w:hint="default" w:ascii="Times New Roman" w:hAnsi="Times New Roman" w:cs="Times New Roman"/>
          <w:highlight w:val="none"/>
        </w:rPr>
      </w:pPr>
    </w:p>
    <w:p w14:paraId="602CFFCD">
      <w:pPr>
        <w:rPr>
          <w:rFonts w:hint="default" w:ascii="Times New Roman" w:hAnsi="Times New Roman" w:cs="Times New Roman"/>
          <w:highlight w:val="none"/>
        </w:rPr>
      </w:pPr>
    </w:p>
    <w:p w14:paraId="700CFD0F">
      <w:pPr>
        <w:rPr>
          <w:rFonts w:hint="default" w:ascii="Times New Roman" w:hAnsi="Times New Roman" w:cs="Times New Roman"/>
          <w:highlight w:val="none"/>
        </w:rPr>
      </w:pPr>
    </w:p>
    <w:p w14:paraId="134E92FD">
      <w:pPr>
        <w:rPr>
          <w:rFonts w:hint="default" w:ascii="Times New Roman" w:hAnsi="Times New Roman" w:cs="Times New Roman"/>
          <w:highlight w:val="none"/>
        </w:rPr>
      </w:pPr>
    </w:p>
    <w:p w14:paraId="12F0E820">
      <w:pPr>
        <w:rPr>
          <w:rFonts w:hint="default" w:ascii="Times New Roman" w:hAnsi="Times New Roman" w:cs="Times New Roman"/>
          <w:highlight w:val="none"/>
        </w:rPr>
      </w:pPr>
    </w:p>
    <w:p w14:paraId="021FE4F9">
      <w:pPr>
        <w:rPr>
          <w:rFonts w:hint="default" w:ascii="Times New Roman" w:hAnsi="Times New Roman" w:cs="Times New Roman"/>
          <w:highlight w:val="none"/>
        </w:rPr>
      </w:pPr>
    </w:p>
    <w:p w14:paraId="0A16AA99">
      <w:pPr>
        <w:rPr>
          <w:rFonts w:hint="default" w:ascii="Times New Roman" w:hAnsi="Times New Roman" w:cs="Times New Roman"/>
          <w:highlight w:val="none"/>
        </w:rPr>
      </w:pPr>
    </w:p>
    <w:p w14:paraId="572A71BD">
      <w:pPr>
        <w:rPr>
          <w:rFonts w:hint="default" w:ascii="Times New Roman" w:hAnsi="Times New Roman" w:cs="Times New Roman"/>
          <w:highlight w:val="none"/>
        </w:rPr>
      </w:pPr>
    </w:p>
    <w:p w14:paraId="01882901">
      <w:pPr>
        <w:rPr>
          <w:rFonts w:hint="default" w:ascii="Times New Roman" w:hAnsi="Times New Roman" w:cs="Times New Roman"/>
          <w:highlight w:val="none"/>
        </w:rPr>
      </w:pPr>
    </w:p>
    <w:p w14:paraId="7BD0FE86">
      <w:pPr>
        <w:rPr>
          <w:rFonts w:hint="default" w:ascii="Times New Roman" w:hAnsi="Times New Roman" w:cs="Times New Roman"/>
          <w:highlight w:val="none"/>
        </w:rPr>
      </w:pPr>
    </w:p>
    <w:p w14:paraId="620F93B4">
      <w:pPr>
        <w:rPr>
          <w:rFonts w:hint="default" w:ascii="Times New Roman" w:hAnsi="Times New Roman" w:cs="Times New Roman"/>
          <w:highlight w:val="none"/>
        </w:rPr>
      </w:pPr>
    </w:p>
    <w:p w14:paraId="5644B0B9">
      <w:pPr>
        <w:rPr>
          <w:rFonts w:hint="eastAsia"/>
        </w:rPr>
      </w:pPr>
    </w:p>
    <w:p w14:paraId="7040EE68">
      <w:pPr>
        <w:numPr>
          <w:ilvl w:val="0"/>
          <w:numId w:val="3"/>
        </w:numPr>
        <w:ind w:left="0" w:leftChars="0"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技术及商务部分（70分）</w:t>
      </w:r>
    </w:p>
    <w:tbl>
      <w:tblPr>
        <w:tblStyle w:val="25"/>
        <w:tblW w:w="0" w:type="auto"/>
        <w:tblInd w:w="0" w:type="dxa"/>
        <w:tblLayout w:type="autofit"/>
        <w:tblCellMar>
          <w:top w:w="0" w:type="dxa"/>
          <w:left w:w="108" w:type="dxa"/>
          <w:bottom w:w="0" w:type="dxa"/>
          <w:right w:w="108" w:type="dxa"/>
        </w:tblCellMar>
      </w:tblPr>
      <w:tblGrid>
        <w:gridCol w:w="1564"/>
        <w:gridCol w:w="1045"/>
        <w:gridCol w:w="6684"/>
      </w:tblGrid>
      <w:tr w14:paraId="3DE0E9CF">
        <w:tblPrEx>
          <w:tblCellMar>
            <w:top w:w="0" w:type="dxa"/>
            <w:left w:w="108" w:type="dxa"/>
            <w:bottom w:w="0" w:type="dxa"/>
            <w:right w:w="108" w:type="dxa"/>
          </w:tblCellMar>
        </w:tblPrEx>
        <w:trPr>
          <w:trHeight w:val="66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6A22">
            <w:pPr>
              <w:jc w:val="center"/>
              <w:rPr>
                <w:color w:val="000000"/>
                <w:sz w:val="24"/>
                <w:szCs w:val="24"/>
              </w:rPr>
            </w:pPr>
            <w:r>
              <w:rPr>
                <w:rFonts w:hint="eastAsia"/>
                <w:color w:val="000000"/>
                <w:sz w:val="24"/>
                <w:szCs w:val="24"/>
              </w:rPr>
              <w:t>项目</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7C0">
            <w:pPr>
              <w:jc w:val="center"/>
              <w:rPr>
                <w:color w:val="000000"/>
                <w:sz w:val="24"/>
                <w:szCs w:val="24"/>
              </w:rPr>
            </w:pPr>
            <w:r>
              <w:rPr>
                <w:rFonts w:hint="eastAsia"/>
                <w:color w:val="000000"/>
                <w:sz w:val="24"/>
                <w:szCs w:val="24"/>
              </w:rPr>
              <w:t>满分分值</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8BB9">
            <w:pPr>
              <w:jc w:val="center"/>
              <w:rPr>
                <w:color w:val="000000"/>
                <w:sz w:val="24"/>
                <w:szCs w:val="24"/>
              </w:rPr>
            </w:pPr>
            <w:r>
              <w:rPr>
                <w:rFonts w:hint="eastAsia"/>
                <w:color w:val="000000"/>
                <w:sz w:val="24"/>
                <w:szCs w:val="24"/>
              </w:rPr>
              <w:t>评审标准</w:t>
            </w:r>
          </w:p>
        </w:tc>
      </w:tr>
      <w:tr w14:paraId="3373196C">
        <w:tblPrEx>
          <w:tblCellMar>
            <w:top w:w="0" w:type="dxa"/>
            <w:left w:w="108" w:type="dxa"/>
            <w:bottom w:w="0" w:type="dxa"/>
            <w:right w:w="108" w:type="dxa"/>
          </w:tblCellMar>
        </w:tblPrEx>
        <w:trPr>
          <w:trHeight w:val="98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8D7A">
            <w:pPr>
              <w:jc w:val="center"/>
              <w:rPr>
                <w:rFonts w:hint="eastAsia" w:eastAsia="宋体"/>
                <w:color w:val="000000"/>
                <w:sz w:val="24"/>
                <w:szCs w:val="24"/>
                <w:lang w:eastAsia="zh-CN"/>
              </w:rPr>
            </w:pPr>
            <w:r>
              <w:rPr>
                <w:rFonts w:hint="eastAsia"/>
                <w:color w:val="000000"/>
                <w:sz w:val="24"/>
                <w:szCs w:val="24"/>
                <w:lang w:val="en-US" w:eastAsia="zh-CN"/>
              </w:rPr>
              <w:t>履约能力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7502">
            <w:pPr>
              <w:jc w:val="center"/>
              <w:rPr>
                <w:rFonts w:hint="eastAsia" w:eastAsia="宋体"/>
                <w:color w:val="000000"/>
                <w:sz w:val="24"/>
                <w:szCs w:val="24"/>
                <w:lang w:val="en-US" w:eastAsia="zh-CN"/>
              </w:rPr>
            </w:pPr>
            <w:r>
              <w:rPr>
                <w:rFonts w:hint="eastAsia"/>
                <w:color w:val="000000"/>
                <w:sz w:val="24"/>
                <w:szCs w:val="24"/>
              </w:rPr>
              <w:t>3</w:t>
            </w:r>
            <w:r>
              <w:rPr>
                <w:rFonts w:hint="eastAsia"/>
                <w:color w:val="000000"/>
                <w:sz w:val="24"/>
                <w:szCs w:val="24"/>
                <w:lang w:val="en-US"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B8F2">
            <w:pPr>
              <w:rPr>
                <w:color w:val="000000"/>
                <w:sz w:val="24"/>
                <w:szCs w:val="24"/>
              </w:rPr>
            </w:pPr>
            <w:r>
              <w:rPr>
                <w:rFonts w:hint="eastAsia"/>
                <w:color w:val="000000"/>
                <w:sz w:val="24"/>
                <w:szCs w:val="24"/>
              </w:rPr>
              <w:t>投标人提供近三年（2023年1月1日至今）业绩，每提供1个得1分，满分3分。（业绩需同时提供中标通知书及合同关键页相关资料扫描件加盖公章。)不提供不得分。</w:t>
            </w:r>
          </w:p>
        </w:tc>
      </w:tr>
      <w:tr w14:paraId="65C00BE7">
        <w:tblPrEx>
          <w:tblCellMar>
            <w:top w:w="0" w:type="dxa"/>
            <w:left w:w="108" w:type="dxa"/>
            <w:bottom w:w="0" w:type="dxa"/>
            <w:right w:w="108" w:type="dxa"/>
          </w:tblCellMar>
        </w:tblPrEx>
        <w:trPr>
          <w:trHeight w:val="272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139">
            <w:pPr>
              <w:jc w:val="center"/>
              <w:rPr>
                <w:color w:val="000000"/>
                <w:sz w:val="24"/>
                <w:szCs w:val="24"/>
              </w:rPr>
            </w:pPr>
            <w:r>
              <w:rPr>
                <w:rFonts w:hint="eastAsia"/>
                <w:color w:val="000000"/>
                <w:sz w:val="24"/>
                <w:szCs w:val="24"/>
              </w:rPr>
              <w:t>企业综合实力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E25D">
            <w:pPr>
              <w:jc w:val="center"/>
              <w:rPr>
                <w:rFonts w:hint="eastAsia" w:eastAsia="宋体"/>
                <w:color w:val="000000"/>
                <w:sz w:val="24"/>
                <w:szCs w:val="24"/>
                <w:lang w:eastAsia="zh-CN"/>
              </w:rPr>
            </w:pPr>
            <w:r>
              <w:rPr>
                <w:rFonts w:hint="eastAsia"/>
                <w:color w:val="000000"/>
                <w:sz w:val="24"/>
                <w:szCs w:val="24"/>
              </w:rPr>
              <w:t>5</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F0E2">
            <w:pPr>
              <w:rPr>
                <w:color w:val="000000"/>
                <w:sz w:val="24"/>
                <w:szCs w:val="24"/>
              </w:rPr>
            </w:pPr>
            <w:r>
              <w:rPr>
                <w:rFonts w:hint="eastAsia"/>
                <w:color w:val="000000"/>
                <w:sz w:val="24"/>
                <w:szCs w:val="24"/>
              </w:rPr>
              <w:t>1、具有ITSS信息技术服务运行维护符合性证书，一级或二级得1分，三级得0.5分，四级得0.3分，不提供不得分，满分1分；</w:t>
            </w:r>
            <w:r>
              <w:rPr>
                <w:rFonts w:hint="eastAsia"/>
                <w:color w:val="000000"/>
                <w:sz w:val="24"/>
                <w:szCs w:val="24"/>
              </w:rPr>
              <w:br w:type="textWrapping"/>
            </w:r>
            <w:r>
              <w:rPr>
                <w:rFonts w:hint="eastAsia"/>
                <w:color w:val="000000"/>
                <w:sz w:val="24"/>
                <w:szCs w:val="24"/>
              </w:rPr>
              <w:t>2、具有信息系统建设和服务能力等级证书，CS1或者CS2得0.3分，CS3得0.5分，CS4或CS5得1分，不提供不得分，满分1分；</w:t>
            </w:r>
            <w:r>
              <w:rPr>
                <w:rFonts w:hint="eastAsia"/>
                <w:color w:val="000000"/>
                <w:sz w:val="24"/>
                <w:szCs w:val="24"/>
              </w:rPr>
              <w:br w:type="textWrapping"/>
            </w:r>
            <w:r>
              <w:rPr>
                <w:rFonts w:hint="eastAsia"/>
                <w:color w:val="000000"/>
                <w:sz w:val="24"/>
                <w:szCs w:val="24"/>
              </w:rPr>
              <w:t>3、具有质量管理体系认证证书、职业健康安全管理体系认证证书、环境管理体系认证书、信息安全管理体系证书、IT服务管理体系认证证书、知识产权合规管理体系认证证书，每提供一个得0.5分，最多得3分。</w:t>
            </w:r>
            <w:r>
              <w:rPr>
                <w:rFonts w:hint="eastAsia"/>
                <w:color w:val="000000"/>
                <w:sz w:val="24"/>
                <w:szCs w:val="24"/>
              </w:rPr>
              <w:br w:type="textWrapping"/>
            </w:r>
            <w:r>
              <w:rPr>
                <w:rFonts w:hint="eastAsia"/>
                <w:color w:val="000000"/>
                <w:sz w:val="24"/>
                <w:szCs w:val="24"/>
              </w:rPr>
              <w:t>注：以上所有证书需提供扫描件加盖公章，否则不得分。</w:t>
            </w:r>
          </w:p>
        </w:tc>
      </w:tr>
      <w:tr w14:paraId="64867291">
        <w:tblPrEx>
          <w:tblCellMar>
            <w:top w:w="0" w:type="dxa"/>
            <w:left w:w="108" w:type="dxa"/>
            <w:bottom w:w="0" w:type="dxa"/>
            <w:right w:w="108" w:type="dxa"/>
          </w:tblCellMar>
        </w:tblPrEx>
        <w:trPr>
          <w:trHeight w:val="128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9C26">
            <w:pPr>
              <w:jc w:val="center"/>
              <w:rPr>
                <w:color w:val="000000"/>
                <w:sz w:val="24"/>
                <w:szCs w:val="24"/>
              </w:rPr>
            </w:pPr>
            <w:r>
              <w:rPr>
                <w:rFonts w:hint="eastAsia"/>
                <w:color w:val="000000"/>
                <w:sz w:val="24"/>
                <w:szCs w:val="24"/>
              </w:rPr>
              <w:t>技术参数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219D">
            <w:pPr>
              <w:jc w:val="center"/>
              <w:rPr>
                <w:rFonts w:hint="eastAsia" w:eastAsia="宋体"/>
                <w:color w:val="000000"/>
                <w:sz w:val="24"/>
                <w:szCs w:val="24"/>
                <w:lang w:eastAsia="zh-CN"/>
              </w:rPr>
            </w:pPr>
            <w:r>
              <w:rPr>
                <w:rFonts w:hint="eastAsia"/>
                <w:color w:val="000000"/>
                <w:sz w:val="24"/>
                <w:szCs w:val="24"/>
                <w:lang w:val="en-US" w:eastAsia="zh-CN"/>
              </w:rPr>
              <w:t>11</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CA2">
            <w:pPr>
              <w:rPr>
                <w:color w:val="000000"/>
                <w:sz w:val="24"/>
                <w:szCs w:val="24"/>
              </w:rPr>
            </w:pPr>
            <w:r>
              <w:rPr>
                <w:rFonts w:hint="eastAsia"/>
                <w:color w:val="000000"/>
                <w:sz w:val="24"/>
                <w:szCs w:val="24"/>
              </w:rPr>
              <w:t>投标供应商根据招标清单中的技术参数进行应答。评审专家根据参数响应度进行评审，完全满足或优于招标文件要求得</w:t>
            </w:r>
            <w:r>
              <w:rPr>
                <w:rFonts w:hint="eastAsia"/>
                <w:color w:val="000000"/>
                <w:sz w:val="24"/>
                <w:szCs w:val="24"/>
                <w:lang w:val="en-US" w:eastAsia="zh-CN"/>
              </w:rPr>
              <w:t>11</w:t>
            </w:r>
            <w:r>
              <w:rPr>
                <w:rFonts w:hint="eastAsia"/>
                <w:color w:val="000000"/>
                <w:sz w:val="24"/>
                <w:szCs w:val="24"/>
              </w:rPr>
              <w:t>分；</w:t>
            </w:r>
            <w:r>
              <w:rPr>
                <w:rFonts w:hint="eastAsia"/>
                <w:color w:val="000000"/>
                <w:sz w:val="24"/>
                <w:szCs w:val="24"/>
              </w:rPr>
              <w:br w:type="textWrapping"/>
            </w:r>
            <w:r>
              <w:rPr>
                <w:rFonts w:hint="eastAsia"/>
                <w:color w:val="000000"/>
                <w:sz w:val="24"/>
                <w:szCs w:val="24"/>
              </w:rPr>
              <w:t>1.标注“▲”项，每有1项负偏离的扣</w:t>
            </w:r>
            <w:r>
              <w:rPr>
                <w:rFonts w:hint="eastAsia"/>
                <w:color w:val="000000"/>
                <w:sz w:val="24"/>
                <w:szCs w:val="24"/>
                <w:lang w:val="en-US" w:eastAsia="zh-CN"/>
              </w:rPr>
              <w:t>0.5</w:t>
            </w:r>
            <w:r>
              <w:rPr>
                <w:rFonts w:hint="eastAsia"/>
                <w:color w:val="000000"/>
                <w:sz w:val="24"/>
                <w:szCs w:val="24"/>
              </w:rPr>
              <w:t>分；（“▲”项未提供相应证明材料视为负偏离。）</w:t>
            </w:r>
            <w:r>
              <w:rPr>
                <w:rFonts w:hint="eastAsia"/>
                <w:color w:val="000000"/>
                <w:sz w:val="24"/>
                <w:szCs w:val="24"/>
              </w:rPr>
              <w:br w:type="textWrapping"/>
            </w:r>
            <w:r>
              <w:rPr>
                <w:rFonts w:hint="eastAsia"/>
                <w:color w:val="000000"/>
                <w:sz w:val="24"/>
                <w:szCs w:val="24"/>
              </w:rPr>
              <w:t>2.未标注“▲”项，每有1项技术要求负偏离的扣0.5分；（审核依据为投标人技术偏离表及对技术参数响应内容真实性承诺函，提供虚假材料的由投标供应商承担全部责任。）</w:t>
            </w:r>
            <w:r>
              <w:rPr>
                <w:rFonts w:hint="eastAsia"/>
                <w:color w:val="000000"/>
                <w:sz w:val="24"/>
                <w:szCs w:val="24"/>
              </w:rPr>
              <w:br w:type="textWrapping"/>
            </w:r>
            <w:r>
              <w:rPr>
                <w:rFonts w:hint="eastAsia"/>
                <w:color w:val="000000"/>
                <w:sz w:val="24"/>
                <w:szCs w:val="24"/>
              </w:rPr>
              <w:t>以上两项内容扣分累计不超过</w:t>
            </w:r>
            <w:r>
              <w:rPr>
                <w:rFonts w:hint="eastAsia"/>
                <w:color w:val="000000"/>
                <w:sz w:val="24"/>
                <w:szCs w:val="24"/>
                <w:lang w:val="en-US" w:eastAsia="zh-CN"/>
              </w:rPr>
              <w:t>11</w:t>
            </w:r>
            <w:r>
              <w:rPr>
                <w:rFonts w:hint="eastAsia"/>
                <w:color w:val="000000"/>
                <w:sz w:val="24"/>
                <w:szCs w:val="24"/>
              </w:rPr>
              <w:t>分。</w:t>
            </w:r>
            <w:r>
              <w:rPr>
                <w:rFonts w:hint="eastAsia"/>
                <w:color w:val="000000"/>
                <w:sz w:val="24"/>
                <w:szCs w:val="24"/>
              </w:rPr>
              <w:br w:type="textWrapping"/>
            </w:r>
            <w:r>
              <w:rPr>
                <w:rFonts w:hint="eastAsia"/>
                <w:color w:val="000000"/>
                <w:sz w:val="24"/>
                <w:szCs w:val="24"/>
              </w:rPr>
              <w:t>注：</w:t>
            </w:r>
            <w:r>
              <w:rPr>
                <w:rFonts w:hint="eastAsia"/>
                <w:color w:val="000000"/>
                <w:sz w:val="24"/>
                <w:szCs w:val="24"/>
              </w:rPr>
              <w:br w:type="textWrapping"/>
            </w:r>
            <w:r>
              <w:rPr>
                <w:rFonts w:hint="eastAsia"/>
                <w:color w:val="000000"/>
                <w:sz w:val="24"/>
                <w:szCs w:val="24"/>
              </w:rPr>
              <w:t>1、技术参数中要求提供相应证明材料(包括但不限于国家认证认可的第三方检测机构出具的检测报告、官网截图、鉴定证书、厂家公开发布的产品彩页、技术白皮书产品说明书等。</w:t>
            </w:r>
            <w:r>
              <w:rPr>
                <w:rFonts w:hint="eastAsia"/>
                <w:color w:val="000000"/>
                <w:sz w:val="24"/>
                <w:szCs w:val="24"/>
              </w:rPr>
              <w:br w:type="textWrapping"/>
            </w:r>
            <w:r>
              <w:rPr>
                <w:rFonts w:hint="eastAsia"/>
                <w:color w:val="000000"/>
                <w:sz w:val="24"/>
                <w:szCs w:val="24"/>
              </w:rPr>
              <w:t>2、要求提供证明材料的，需在技术条款偏离表“备注”栏中说明证明材料在投标文件中的具体位置及页码。未按要求提供证明材料或提供的证明资料显示不符合参数要求的、模糊不清无法判断或未显示出是否满足参数要求的，均视为负偏离。只注明符合、满足等无具体内容表述的，均视为负偏离。</w:t>
            </w:r>
          </w:p>
        </w:tc>
      </w:tr>
      <w:tr w14:paraId="5766D9F3">
        <w:tblPrEx>
          <w:tblCellMar>
            <w:top w:w="0" w:type="dxa"/>
            <w:left w:w="108" w:type="dxa"/>
            <w:bottom w:w="0" w:type="dxa"/>
            <w:right w:w="108" w:type="dxa"/>
          </w:tblCellMar>
        </w:tblPrEx>
        <w:trPr>
          <w:trHeight w:val="1335" w:hRule="atLeast"/>
        </w:trPr>
        <w:tc>
          <w:tcPr>
            <w:tcW w:w="1564" w:type="dxa"/>
            <w:vMerge w:val="restart"/>
            <w:tcBorders>
              <w:top w:val="single" w:color="000000" w:sz="4" w:space="0"/>
              <w:left w:val="single" w:color="000000" w:sz="4" w:space="0"/>
              <w:right w:val="single" w:color="000000" w:sz="4" w:space="0"/>
            </w:tcBorders>
            <w:shd w:val="clear" w:color="auto" w:fill="auto"/>
            <w:vAlign w:val="center"/>
          </w:tcPr>
          <w:p w14:paraId="47D38A9A">
            <w:pPr>
              <w:jc w:val="center"/>
              <w:rPr>
                <w:rFonts w:hint="eastAsia"/>
                <w:color w:val="000000"/>
                <w:sz w:val="24"/>
                <w:szCs w:val="24"/>
              </w:rPr>
            </w:pPr>
          </w:p>
          <w:p w14:paraId="6296B7C6">
            <w:pPr>
              <w:jc w:val="center"/>
              <w:rPr>
                <w:rFonts w:hint="eastAsia"/>
                <w:color w:val="000000"/>
                <w:sz w:val="24"/>
                <w:szCs w:val="24"/>
              </w:rPr>
            </w:pPr>
          </w:p>
          <w:p w14:paraId="7D3F7703">
            <w:pPr>
              <w:jc w:val="center"/>
              <w:rPr>
                <w:rFonts w:hint="eastAsia"/>
                <w:color w:val="000000"/>
                <w:sz w:val="24"/>
                <w:szCs w:val="24"/>
              </w:rPr>
            </w:pPr>
          </w:p>
          <w:p w14:paraId="4DD9C459">
            <w:pPr>
              <w:jc w:val="center"/>
              <w:rPr>
                <w:rFonts w:hint="eastAsia"/>
                <w:color w:val="000000"/>
                <w:sz w:val="24"/>
                <w:szCs w:val="24"/>
              </w:rPr>
            </w:pPr>
          </w:p>
          <w:p w14:paraId="02D6BF09">
            <w:pPr>
              <w:jc w:val="center"/>
              <w:rPr>
                <w:rFonts w:hint="eastAsia"/>
                <w:color w:val="000000"/>
                <w:sz w:val="24"/>
                <w:szCs w:val="24"/>
              </w:rPr>
            </w:pPr>
          </w:p>
          <w:p w14:paraId="53848342">
            <w:pPr>
              <w:jc w:val="center"/>
              <w:rPr>
                <w:rFonts w:hint="eastAsia"/>
                <w:color w:val="000000"/>
                <w:sz w:val="24"/>
                <w:szCs w:val="24"/>
              </w:rPr>
            </w:pPr>
          </w:p>
          <w:p w14:paraId="2EA1D402">
            <w:pPr>
              <w:jc w:val="center"/>
              <w:rPr>
                <w:rFonts w:hint="eastAsia"/>
                <w:color w:val="000000"/>
                <w:sz w:val="24"/>
                <w:szCs w:val="24"/>
              </w:rPr>
            </w:pPr>
          </w:p>
          <w:p w14:paraId="12639E22">
            <w:pPr>
              <w:jc w:val="center"/>
              <w:rPr>
                <w:rFonts w:hint="eastAsia"/>
                <w:color w:val="000000"/>
                <w:sz w:val="24"/>
                <w:szCs w:val="24"/>
              </w:rPr>
            </w:pPr>
          </w:p>
          <w:p w14:paraId="0632048F">
            <w:pPr>
              <w:jc w:val="center"/>
              <w:rPr>
                <w:rFonts w:hint="eastAsia"/>
                <w:color w:val="000000"/>
                <w:sz w:val="24"/>
                <w:szCs w:val="24"/>
              </w:rPr>
            </w:pPr>
          </w:p>
          <w:p w14:paraId="14797C2A">
            <w:pPr>
              <w:jc w:val="center"/>
              <w:rPr>
                <w:rFonts w:hint="eastAsia"/>
                <w:color w:val="000000"/>
                <w:sz w:val="24"/>
                <w:szCs w:val="24"/>
              </w:rPr>
            </w:pPr>
          </w:p>
          <w:p w14:paraId="1F439556">
            <w:pPr>
              <w:jc w:val="center"/>
              <w:rPr>
                <w:rFonts w:hint="eastAsia"/>
                <w:color w:val="000000"/>
                <w:sz w:val="24"/>
                <w:szCs w:val="24"/>
              </w:rPr>
            </w:pPr>
          </w:p>
          <w:p w14:paraId="3B1C487F">
            <w:pPr>
              <w:jc w:val="center"/>
              <w:rPr>
                <w:rFonts w:hint="eastAsia"/>
                <w:color w:val="000000"/>
                <w:sz w:val="24"/>
                <w:szCs w:val="24"/>
              </w:rPr>
            </w:pPr>
          </w:p>
          <w:p w14:paraId="63ADA8CA">
            <w:pPr>
              <w:jc w:val="center"/>
              <w:rPr>
                <w:rFonts w:hint="eastAsia"/>
                <w:color w:val="000000"/>
                <w:sz w:val="24"/>
                <w:szCs w:val="24"/>
              </w:rPr>
            </w:pPr>
          </w:p>
          <w:p w14:paraId="1922AF9A">
            <w:pPr>
              <w:jc w:val="center"/>
              <w:rPr>
                <w:rFonts w:hint="eastAsia"/>
                <w:color w:val="000000"/>
                <w:sz w:val="24"/>
                <w:szCs w:val="24"/>
              </w:rPr>
            </w:pPr>
          </w:p>
          <w:p w14:paraId="6653F302">
            <w:pPr>
              <w:jc w:val="center"/>
              <w:rPr>
                <w:rFonts w:hint="eastAsia"/>
                <w:color w:val="000000"/>
                <w:sz w:val="24"/>
                <w:szCs w:val="24"/>
              </w:rPr>
            </w:pPr>
          </w:p>
          <w:p w14:paraId="71602182">
            <w:pPr>
              <w:jc w:val="center"/>
              <w:rPr>
                <w:rFonts w:hint="eastAsia"/>
                <w:color w:val="000000"/>
                <w:sz w:val="24"/>
                <w:szCs w:val="24"/>
              </w:rPr>
            </w:pPr>
          </w:p>
          <w:p w14:paraId="2481F53D">
            <w:pPr>
              <w:jc w:val="center"/>
              <w:rPr>
                <w:rFonts w:hint="eastAsia"/>
                <w:color w:val="000000"/>
                <w:sz w:val="24"/>
                <w:szCs w:val="24"/>
              </w:rPr>
            </w:pPr>
          </w:p>
          <w:p w14:paraId="658B89BE">
            <w:pPr>
              <w:jc w:val="center"/>
              <w:rPr>
                <w:rFonts w:hint="eastAsia"/>
                <w:color w:val="000000"/>
                <w:sz w:val="24"/>
                <w:szCs w:val="24"/>
              </w:rPr>
            </w:pPr>
          </w:p>
          <w:p w14:paraId="2237985B">
            <w:pPr>
              <w:jc w:val="center"/>
              <w:rPr>
                <w:rFonts w:hint="eastAsia"/>
                <w:color w:val="000000"/>
                <w:sz w:val="24"/>
                <w:szCs w:val="24"/>
              </w:rPr>
            </w:pPr>
          </w:p>
          <w:p w14:paraId="75747C16">
            <w:pPr>
              <w:jc w:val="center"/>
              <w:rPr>
                <w:rFonts w:hint="eastAsia"/>
                <w:color w:val="000000"/>
                <w:sz w:val="24"/>
                <w:szCs w:val="24"/>
              </w:rPr>
            </w:pPr>
          </w:p>
          <w:p w14:paraId="416C78EB">
            <w:pPr>
              <w:jc w:val="center"/>
              <w:rPr>
                <w:rFonts w:hint="eastAsia"/>
                <w:color w:val="000000"/>
                <w:sz w:val="24"/>
                <w:szCs w:val="24"/>
              </w:rPr>
            </w:pPr>
          </w:p>
          <w:p w14:paraId="40D94843">
            <w:pPr>
              <w:jc w:val="center"/>
              <w:rPr>
                <w:rFonts w:hint="eastAsia"/>
                <w:color w:val="000000"/>
                <w:sz w:val="24"/>
                <w:szCs w:val="24"/>
              </w:rPr>
            </w:pPr>
          </w:p>
          <w:p w14:paraId="56F6E571">
            <w:pPr>
              <w:jc w:val="center"/>
              <w:rPr>
                <w:rFonts w:hint="eastAsia"/>
                <w:color w:val="000000"/>
                <w:sz w:val="24"/>
                <w:szCs w:val="24"/>
              </w:rPr>
            </w:pPr>
          </w:p>
          <w:p w14:paraId="27A5DA61">
            <w:pPr>
              <w:jc w:val="center"/>
              <w:rPr>
                <w:rFonts w:hint="eastAsia"/>
                <w:color w:val="000000"/>
                <w:sz w:val="24"/>
                <w:szCs w:val="24"/>
              </w:rPr>
            </w:pPr>
          </w:p>
          <w:p w14:paraId="5CF0300D">
            <w:pPr>
              <w:jc w:val="center"/>
              <w:rPr>
                <w:rFonts w:hint="eastAsia"/>
                <w:color w:val="000000"/>
                <w:sz w:val="24"/>
                <w:szCs w:val="24"/>
              </w:rPr>
            </w:pPr>
          </w:p>
          <w:p w14:paraId="5C4EC62F">
            <w:pPr>
              <w:jc w:val="center"/>
              <w:rPr>
                <w:rFonts w:hint="eastAsia"/>
                <w:color w:val="000000"/>
                <w:sz w:val="24"/>
                <w:szCs w:val="24"/>
              </w:rPr>
            </w:pPr>
          </w:p>
          <w:p w14:paraId="05E8CC9D">
            <w:pPr>
              <w:jc w:val="center"/>
              <w:rPr>
                <w:rFonts w:hint="eastAsia"/>
                <w:color w:val="000000"/>
                <w:sz w:val="24"/>
                <w:szCs w:val="24"/>
              </w:rPr>
            </w:pPr>
          </w:p>
          <w:p w14:paraId="4E4E69DB">
            <w:pPr>
              <w:jc w:val="center"/>
              <w:rPr>
                <w:rFonts w:hint="eastAsia"/>
                <w:color w:val="000000"/>
                <w:sz w:val="24"/>
                <w:szCs w:val="24"/>
              </w:rPr>
            </w:pPr>
          </w:p>
          <w:p w14:paraId="59E96DED">
            <w:pPr>
              <w:jc w:val="center"/>
              <w:rPr>
                <w:rFonts w:hint="eastAsia"/>
                <w:color w:val="000000"/>
                <w:sz w:val="24"/>
                <w:szCs w:val="24"/>
              </w:rPr>
            </w:pPr>
          </w:p>
          <w:p w14:paraId="7FC94DF3">
            <w:pPr>
              <w:jc w:val="center"/>
              <w:rPr>
                <w:rFonts w:hint="eastAsia"/>
                <w:color w:val="000000"/>
                <w:sz w:val="24"/>
                <w:szCs w:val="24"/>
              </w:rPr>
            </w:pPr>
          </w:p>
          <w:p w14:paraId="603949A4">
            <w:pPr>
              <w:jc w:val="center"/>
              <w:rPr>
                <w:rFonts w:hint="eastAsia"/>
                <w:color w:val="000000"/>
                <w:sz w:val="24"/>
                <w:szCs w:val="24"/>
              </w:rPr>
            </w:pPr>
          </w:p>
          <w:p w14:paraId="24442C5F">
            <w:pPr>
              <w:jc w:val="center"/>
              <w:rPr>
                <w:rFonts w:hint="eastAsia"/>
                <w:color w:val="000000"/>
                <w:sz w:val="24"/>
                <w:szCs w:val="24"/>
              </w:rPr>
            </w:pPr>
          </w:p>
          <w:p w14:paraId="5E39B2CD">
            <w:pPr>
              <w:jc w:val="center"/>
              <w:rPr>
                <w:rFonts w:hint="eastAsia"/>
                <w:color w:val="000000"/>
                <w:sz w:val="24"/>
                <w:szCs w:val="24"/>
              </w:rPr>
            </w:pPr>
          </w:p>
          <w:p w14:paraId="57FFCCD8">
            <w:pPr>
              <w:jc w:val="center"/>
              <w:rPr>
                <w:rFonts w:hint="eastAsia"/>
                <w:color w:val="000000"/>
                <w:sz w:val="24"/>
                <w:szCs w:val="24"/>
              </w:rPr>
            </w:pPr>
          </w:p>
          <w:p w14:paraId="02B40482">
            <w:pPr>
              <w:jc w:val="center"/>
              <w:rPr>
                <w:rFonts w:hint="eastAsia"/>
                <w:color w:val="000000"/>
                <w:sz w:val="24"/>
                <w:szCs w:val="24"/>
              </w:rPr>
            </w:pPr>
          </w:p>
          <w:p w14:paraId="5490A8EF">
            <w:pPr>
              <w:jc w:val="center"/>
              <w:rPr>
                <w:rFonts w:hint="eastAsia"/>
                <w:color w:val="000000"/>
                <w:sz w:val="24"/>
                <w:szCs w:val="24"/>
              </w:rPr>
            </w:pPr>
          </w:p>
          <w:p w14:paraId="46898623">
            <w:pPr>
              <w:jc w:val="center"/>
              <w:rPr>
                <w:rFonts w:hint="eastAsia"/>
                <w:color w:val="000000"/>
                <w:sz w:val="24"/>
                <w:szCs w:val="24"/>
              </w:rPr>
            </w:pPr>
          </w:p>
          <w:p w14:paraId="03D92C11">
            <w:pPr>
              <w:jc w:val="center"/>
              <w:rPr>
                <w:rFonts w:hint="eastAsia"/>
                <w:color w:val="000000"/>
                <w:sz w:val="24"/>
                <w:szCs w:val="24"/>
              </w:rPr>
            </w:pPr>
          </w:p>
          <w:p w14:paraId="3A261BA8">
            <w:pPr>
              <w:jc w:val="center"/>
              <w:rPr>
                <w:rFonts w:hint="eastAsia"/>
                <w:color w:val="000000"/>
                <w:sz w:val="24"/>
                <w:szCs w:val="24"/>
              </w:rPr>
            </w:pPr>
          </w:p>
          <w:p w14:paraId="602B956D">
            <w:pPr>
              <w:jc w:val="center"/>
              <w:rPr>
                <w:rFonts w:hint="eastAsia"/>
                <w:color w:val="000000"/>
                <w:sz w:val="24"/>
                <w:szCs w:val="24"/>
              </w:rPr>
            </w:pPr>
          </w:p>
          <w:p w14:paraId="2E87F8CC">
            <w:pPr>
              <w:jc w:val="center"/>
              <w:rPr>
                <w:rFonts w:hint="eastAsia"/>
                <w:color w:val="000000"/>
                <w:sz w:val="24"/>
                <w:szCs w:val="24"/>
              </w:rPr>
            </w:pPr>
          </w:p>
          <w:p w14:paraId="5C0E05D2">
            <w:pPr>
              <w:jc w:val="center"/>
              <w:rPr>
                <w:color w:val="000000"/>
                <w:sz w:val="24"/>
                <w:szCs w:val="24"/>
              </w:rPr>
            </w:pPr>
            <w:r>
              <w:rPr>
                <w:rFonts w:hint="eastAsia"/>
                <w:color w:val="000000"/>
                <w:sz w:val="24"/>
                <w:szCs w:val="24"/>
              </w:rPr>
              <w:t>性能指标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EB">
            <w:pPr>
              <w:jc w:val="center"/>
              <w:rPr>
                <w:rFonts w:hint="eastAsia" w:eastAsia="宋体"/>
                <w:color w:val="000000"/>
                <w:sz w:val="24"/>
                <w:szCs w:val="24"/>
                <w:lang w:eastAsia="zh-CN"/>
              </w:rPr>
            </w:pPr>
            <w:r>
              <w:rPr>
                <w:rFonts w:hint="eastAsia"/>
                <w:color w:val="000000"/>
                <w:sz w:val="24"/>
                <w:szCs w:val="24"/>
              </w:rPr>
              <w:t>3</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E44">
            <w:pPr>
              <w:rPr>
                <w:color w:val="000000"/>
                <w:sz w:val="24"/>
                <w:szCs w:val="24"/>
              </w:rPr>
            </w:pPr>
            <w:r>
              <w:rPr>
                <w:rFonts w:hint="eastAsia"/>
                <w:color w:val="000000"/>
                <w:sz w:val="24"/>
                <w:szCs w:val="24"/>
              </w:rPr>
              <w:t>投标人所投路口边缘计算单元具备以下功能，每有一种以下相关软件功能得0.5分，最多得3分。</w:t>
            </w:r>
            <w:r>
              <w:rPr>
                <w:rFonts w:hint="eastAsia"/>
                <w:color w:val="000000"/>
                <w:sz w:val="24"/>
                <w:szCs w:val="24"/>
              </w:rPr>
              <w:br w:type="textWrapping"/>
            </w:r>
            <w:r>
              <w:rPr>
                <w:rFonts w:hint="eastAsia"/>
                <w:color w:val="000000"/>
                <w:sz w:val="24"/>
                <w:szCs w:val="24"/>
              </w:rPr>
              <w:t>1、通过网口采集包括视频车检器、雷达、视频等多源检测设备的数据，输出显示全息感知数据(连续跟踪目标的位置、速度和加速度),可显示路口/路段包括机动车、非机动车、行人等交通参与者的实时感知数据。</w:t>
            </w:r>
            <w:r>
              <w:rPr>
                <w:rFonts w:hint="eastAsia"/>
                <w:color w:val="000000"/>
                <w:sz w:val="24"/>
                <w:szCs w:val="24"/>
              </w:rPr>
              <w:br w:type="textWrapping"/>
            </w:r>
            <w:r>
              <w:rPr>
                <w:rFonts w:hint="eastAsia"/>
                <w:color w:val="000000"/>
                <w:sz w:val="24"/>
                <w:szCs w:val="24"/>
              </w:rPr>
              <w:t>2、通过分析路口检测器流量数据，生成优化控制方案，向外接信号机下发优化控制方案，通过硬件I/0接口连接信号机，通过改变I/0信号改变各个相位的时间，实现信号配时动态优化调整及控制。</w:t>
            </w:r>
            <w:r>
              <w:rPr>
                <w:rFonts w:hint="eastAsia"/>
                <w:color w:val="000000"/>
                <w:sz w:val="24"/>
                <w:szCs w:val="24"/>
              </w:rPr>
              <w:br w:type="textWrapping"/>
            </w:r>
            <w:r>
              <w:rPr>
                <w:rFonts w:hint="eastAsia"/>
                <w:color w:val="000000"/>
                <w:sz w:val="24"/>
                <w:szCs w:val="24"/>
              </w:rPr>
              <w:t>3、能够接收相同方向/不同方向的视频车检器、摄像机采集的数据，通过客户端软件显示车辆排队长度及车流量等统计数据；通过100辆，车流量统计数量不少于90辆。</w:t>
            </w:r>
            <w:r>
              <w:rPr>
                <w:rFonts w:hint="eastAsia"/>
                <w:color w:val="000000"/>
                <w:sz w:val="24"/>
                <w:szCs w:val="24"/>
              </w:rPr>
              <w:br w:type="textWrapping"/>
            </w:r>
            <w:r>
              <w:rPr>
                <w:rFonts w:hint="eastAsia"/>
                <w:color w:val="000000"/>
                <w:sz w:val="24"/>
                <w:szCs w:val="24"/>
              </w:rPr>
              <w:t>4、对感知数据质量进行分析，上报数据可信度。在没有接收到所配置的外接感知设备的实时交通流数据的情况下，在到达预设的超时时间后自动降级，运行固定配时方案。</w:t>
            </w:r>
            <w:r>
              <w:rPr>
                <w:rFonts w:hint="eastAsia"/>
                <w:color w:val="000000"/>
                <w:sz w:val="24"/>
                <w:szCs w:val="24"/>
              </w:rPr>
              <w:br w:type="textWrapping"/>
            </w:r>
            <w:r>
              <w:rPr>
                <w:rFonts w:hint="eastAsia"/>
                <w:color w:val="000000"/>
                <w:sz w:val="24"/>
                <w:szCs w:val="24"/>
              </w:rPr>
              <w:t>5、具有步进及跳相序控制功能，可设置每个相位放行的最大绿灯时间。</w:t>
            </w:r>
            <w:r>
              <w:rPr>
                <w:rFonts w:hint="eastAsia"/>
                <w:color w:val="000000"/>
                <w:sz w:val="24"/>
                <w:szCs w:val="24"/>
              </w:rPr>
              <w:br w:type="textWrapping"/>
            </w:r>
            <w:r>
              <w:rPr>
                <w:rFonts w:hint="eastAsia"/>
                <w:color w:val="000000"/>
                <w:sz w:val="24"/>
                <w:szCs w:val="24"/>
              </w:rPr>
              <w:t>6、可对接不同品牌信号机，信号机进行信息采集，自动获取路口实时方案信息，并对信号机进行控制，实现信号配时动态优化调整。</w:t>
            </w:r>
            <w:r>
              <w:rPr>
                <w:rFonts w:hint="eastAsia"/>
                <w:color w:val="000000"/>
                <w:sz w:val="24"/>
                <w:szCs w:val="24"/>
              </w:rPr>
              <w:br w:type="textWrapping"/>
            </w:r>
            <w:r>
              <w:rPr>
                <w:rFonts w:hint="eastAsia"/>
                <w:color w:val="000000"/>
                <w:sz w:val="24"/>
                <w:szCs w:val="24"/>
              </w:rPr>
              <w:t>注：需提供第三方权威部门或具有CMA认证标识出具的加盖生产厂商公章的检验报告复印件（或扫描件）佐证，否则不得分。</w:t>
            </w:r>
          </w:p>
        </w:tc>
      </w:tr>
      <w:tr w14:paraId="773F84B4">
        <w:tblPrEx>
          <w:tblCellMar>
            <w:top w:w="0" w:type="dxa"/>
            <w:left w:w="108" w:type="dxa"/>
            <w:bottom w:w="0" w:type="dxa"/>
            <w:right w:w="108" w:type="dxa"/>
          </w:tblCellMar>
        </w:tblPrEx>
        <w:trPr>
          <w:trHeight w:val="2000" w:hRule="atLeast"/>
        </w:trPr>
        <w:tc>
          <w:tcPr>
            <w:tcW w:w="1564" w:type="dxa"/>
            <w:vMerge w:val="continue"/>
            <w:tcBorders>
              <w:left w:val="single" w:color="000000" w:sz="4" w:space="0"/>
              <w:right w:val="single" w:color="000000" w:sz="4" w:space="0"/>
            </w:tcBorders>
            <w:shd w:val="clear" w:color="auto" w:fill="auto"/>
            <w:vAlign w:val="center"/>
          </w:tcPr>
          <w:p w14:paraId="1FC4118D">
            <w:pPr>
              <w:jc w:val="center"/>
              <w:rPr>
                <w:color w:val="000000"/>
                <w:sz w:val="24"/>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12A2">
            <w:pPr>
              <w:jc w:val="center"/>
              <w:rPr>
                <w:rFonts w:hint="eastAsia" w:eastAsia="宋体"/>
                <w:color w:val="000000"/>
                <w:sz w:val="24"/>
                <w:szCs w:val="24"/>
                <w:lang w:eastAsia="zh-CN"/>
              </w:rPr>
            </w:pPr>
            <w:r>
              <w:rPr>
                <w:rFonts w:hint="eastAsia"/>
                <w:color w:val="000000"/>
                <w:sz w:val="24"/>
                <w:szCs w:val="24"/>
              </w:rPr>
              <w:t>1</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A478">
            <w:pPr>
              <w:rPr>
                <w:color w:val="000000"/>
                <w:sz w:val="24"/>
                <w:szCs w:val="24"/>
              </w:rPr>
            </w:pPr>
            <w:r>
              <w:rPr>
                <w:rFonts w:hint="eastAsia"/>
                <w:color w:val="000000"/>
                <w:sz w:val="24"/>
                <w:szCs w:val="24"/>
              </w:rPr>
              <w:t>投标人所投事故勘查绘图仪具备以下功能，每满足一项功能得0.5分，最多得1分。</w:t>
            </w:r>
            <w:r>
              <w:rPr>
                <w:rFonts w:hint="eastAsia"/>
                <w:color w:val="000000"/>
                <w:sz w:val="24"/>
                <w:szCs w:val="24"/>
              </w:rPr>
              <w:br w:type="textWrapping"/>
            </w:r>
            <w:r>
              <w:rPr>
                <w:rFonts w:hint="eastAsia"/>
                <w:color w:val="000000"/>
                <w:sz w:val="24"/>
                <w:szCs w:val="24"/>
              </w:rPr>
              <w:t>1、事故勘查仪扫描误差率：在±1.2cm范围内；</w:t>
            </w:r>
            <w:r>
              <w:rPr>
                <w:rFonts w:hint="eastAsia"/>
                <w:color w:val="000000"/>
                <w:sz w:val="24"/>
                <w:szCs w:val="24"/>
              </w:rPr>
              <w:br w:type="textWrapping"/>
            </w:r>
            <w:r>
              <w:rPr>
                <w:rFonts w:hint="eastAsia"/>
                <w:color w:val="000000"/>
                <w:sz w:val="24"/>
                <w:szCs w:val="24"/>
              </w:rPr>
              <w:t>2、事故勘查仪激光测距：不小于70m；</w:t>
            </w:r>
            <w:r>
              <w:rPr>
                <w:rFonts w:hint="eastAsia"/>
                <w:color w:val="000000"/>
                <w:sz w:val="24"/>
                <w:szCs w:val="24"/>
              </w:rPr>
              <w:br w:type="textWrapping"/>
            </w:r>
            <w:r>
              <w:rPr>
                <w:rFonts w:hint="eastAsia"/>
                <w:color w:val="000000"/>
                <w:sz w:val="24"/>
                <w:szCs w:val="24"/>
              </w:rPr>
              <w:t>注：需提供第三方权威部门或具有CMA认证标识出具的加盖生产厂商公章的检验报告复印件（或扫描件）佐证，否则不得分。</w:t>
            </w:r>
          </w:p>
        </w:tc>
      </w:tr>
      <w:tr w14:paraId="389745A2">
        <w:tblPrEx>
          <w:tblCellMar>
            <w:top w:w="0" w:type="dxa"/>
            <w:left w:w="108" w:type="dxa"/>
            <w:bottom w:w="0" w:type="dxa"/>
            <w:right w:w="108" w:type="dxa"/>
          </w:tblCellMar>
        </w:tblPrEx>
        <w:trPr>
          <w:trHeight w:val="4935" w:hRule="atLeast"/>
        </w:trPr>
        <w:tc>
          <w:tcPr>
            <w:tcW w:w="1564" w:type="dxa"/>
            <w:vMerge w:val="continue"/>
            <w:tcBorders>
              <w:left w:val="single" w:color="000000" w:sz="4" w:space="0"/>
              <w:right w:val="single" w:color="000000" w:sz="4" w:space="0"/>
            </w:tcBorders>
            <w:shd w:val="clear" w:color="auto" w:fill="auto"/>
            <w:vAlign w:val="center"/>
          </w:tcPr>
          <w:p w14:paraId="5AD2E9EC">
            <w:pPr>
              <w:jc w:val="center"/>
              <w:rPr>
                <w:color w:val="000000"/>
                <w:sz w:val="24"/>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D83A">
            <w:pPr>
              <w:jc w:val="center"/>
              <w:rPr>
                <w:rFonts w:hint="eastAsia" w:eastAsia="宋体"/>
                <w:color w:val="000000"/>
                <w:sz w:val="24"/>
                <w:szCs w:val="24"/>
                <w:lang w:eastAsia="zh-CN"/>
              </w:rPr>
            </w:pPr>
            <w:r>
              <w:rPr>
                <w:rFonts w:hint="eastAsia"/>
                <w:color w:val="000000"/>
                <w:sz w:val="24"/>
                <w:szCs w:val="24"/>
              </w:rPr>
              <w:t>4</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0C92">
            <w:pPr>
              <w:rPr>
                <w:color w:val="000000"/>
                <w:sz w:val="24"/>
                <w:szCs w:val="24"/>
              </w:rPr>
            </w:pPr>
            <w:r>
              <w:rPr>
                <w:rFonts w:hint="eastAsia"/>
                <w:color w:val="000000"/>
                <w:sz w:val="24"/>
                <w:szCs w:val="24"/>
              </w:rPr>
              <w:t>投标人所投车载主机一体机具备以下功能，每满足一项功能得0.5分，最多得4分。</w:t>
            </w:r>
            <w:r>
              <w:rPr>
                <w:rFonts w:hint="eastAsia"/>
                <w:color w:val="000000"/>
                <w:sz w:val="24"/>
                <w:szCs w:val="24"/>
              </w:rPr>
              <w:br w:type="textWrapping"/>
            </w:r>
            <w:r>
              <w:rPr>
                <w:rFonts w:hint="eastAsia"/>
                <w:color w:val="000000"/>
                <w:sz w:val="24"/>
                <w:szCs w:val="24"/>
              </w:rPr>
              <w:t>1、可以根据连续驾驶时长识别疲劳驾驶情况，对眨眼、打哈欠动作识别率在90%以上；眨眼和打哈欠动作结合识别准确率在90%以上，识别和报警总时间延迟小于2s,同时保存报警点驾驶员面部特征照片和视频信息，并实现本地存储和远程存储。</w:t>
            </w:r>
            <w:r>
              <w:rPr>
                <w:rFonts w:hint="eastAsia"/>
                <w:color w:val="000000"/>
                <w:sz w:val="24"/>
                <w:szCs w:val="24"/>
              </w:rPr>
              <w:br w:type="textWrapping"/>
            </w:r>
            <w:r>
              <w:rPr>
                <w:rFonts w:hint="eastAsia"/>
                <w:color w:val="000000"/>
                <w:sz w:val="24"/>
                <w:szCs w:val="24"/>
              </w:rPr>
              <w:t>2、通过视频分析技术，在全工况环境下，驾驶员使用不同形状电话做各种打电话动作，应能对驾驶员接打手持电话的动作、物品识别率在90%以上；动作和物品综合识别准确率在90%以上，识别和报警总时间延迟小于2s,同时保存报警点驾驶员面部特征照片和视频信息，并实现本地存储和远程存储。</w:t>
            </w:r>
            <w:r>
              <w:rPr>
                <w:rFonts w:hint="eastAsia"/>
                <w:color w:val="000000"/>
                <w:sz w:val="24"/>
                <w:szCs w:val="24"/>
              </w:rPr>
              <w:br w:type="textWrapping"/>
            </w:r>
            <w:r>
              <w:rPr>
                <w:rFonts w:hint="eastAsia"/>
                <w:color w:val="000000"/>
                <w:sz w:val="24"/>
                <w:szCs w:val="24"/>
              </w:rPr>
              <w:t>3、通过视频分析技术，在全工况环境下，驾驶员佩戴帽子、眼镜、墨镜、口罩做长时间不目视前方的动作，终端能够对相关动作进行识别和分析，能够区分车辆转向、倒车、驾驶员观察后视镜等情况与不目视前方状态，超过阈值时对驾驶员异常情况进行报警提示，识别准确率在90%以上，识别和报警总时间延时应小于2s,同时保存报警点驾驶员面部特征照片和视频信息，并实现本地存储和远程存储。</w:t>
            </w:r>
            <w:r>
              <w:rPr>
                <w:rFonts w:hint="eastAsia"/>
                <w:color w:val="000000"/>
                <w:sz w:val="24"/>
                <w:szCs w:val="24"/>
              </w:rPr>
              <w:br w:type="textWrapping"/>
            </w:r>
            <w:r>
              <w:rPr>
                <w:rFonts w:hint="eastAsia"/>
                <w:color w:val="000000"/>
                <w:sz w:val="24"/>
                <w:szCs w:val="24"/>
              </w:rPr>
              <w:t>4、全工况环境下，驾驶员使用不同香烟做各种抽烟动作，终端对香烟物品识别准确率在90%以上，抽烟动作识别准确率在90%以上，香烟物品与抽烟动作结合识别准确率在90%以上，动作识别和报警总时间延迟小于2s,同时保存报警点驾驶员面部特征照片和视频信息，并实现本地存储和远程存储。</w:t>
            </w:r>
            <w:r>
              <w:rPr>
                <w:rFonts w:hint="eastAsia"/>
                <w:color w:val="000000"/>
                <w:sz w:val="24"/>
                <w:szCs w:val="24"/>
              </w:rPr>
              <w:br w:type="textWrapping"/>
            </w:r>
            <w:r>
              <w:rPr>
                <w:rFonts w:hint="eastAsia"/>
                <w:color w:val="000000"/>
                <w:sz w:val="24"/>
                <w:szCs w:val="24"/>
              </w:rPr>
              <w:t>5、全工况环境下，驾驶员做双手同时脱离方向盘动作，终端对驾驶员双手同时脱离方向盘行为的识别准确率在90%以上，识别和报警总时间延迟应小于2s,同时保存报警点驾驶员面部特征照片和视频信息，并实现本地存储和远程存储。</w:t>
            </w:r>
            <w:r>
              <w:rPr>
                <w:rFonts w:hint="eastAsia"/>
                <w:color w:val="000000"/>
                <w:sz w:val="24"/>
                <w:szCs w:val="24"/>
              </w:rPr>
              <w:br w:type="textWrapping"/>
            </w:r>
            <w:r>
              <w:rPr>
                <w:rFonts w:hint="eastAsia"/>
                <w:color w:val="000000"/>
                <w:sz w:val="24"/>
                <w:szCs w:val="24"/>
              </w:rPr>
              <w:t>6、在车辆行驶过程中，终端应能针对潜在前撞状况，预警系统应实现对前车识别，并对驾驶员进行报警提示，同时至少保存报警点车外前部区域照片和视频信息，并实现本地存储和远程存储。</w:t>
            </w:r>
            <w:r>
              <w:rPr>
                <w:rFonts w:hint="eastAsia"/>
                <w:color w:val="000000"/>
                <w:sz w:val="24"/>
                <w:szCs w:val="24"/>
              </w:rPr>
              <w:br w:type="textWrapping"/>
            </w:r>
            <w:r>
              <w:rPr>
                <w:rFonts w:hint="eastAsia"/>
                <w:color w:val="000000"/>
                <w:sz w:val="24"/>
                <w:szCs w:val="24"/>
              </w:rPr>
              <w:t>7、潜在碰撞状况分析，包含但不限于下列状况：</w:t>
            </w:r>
            <w:r>
              <w:rPr>
                <w:rFonts w:hint="eastAsia"/>
                <w:color w:val="000000"/>
                <w:sz w:val="24"/>
                <w:szCs w:val="24"/>
              </w:rPr>
              <w:br w:type="textWrapping"/>
            </w:r>
            <w:r>
              <w:rPr>
                <w:rFonts w:hint="eastAsia"/>
                <w:color w:val="000000"/>
                <w:sz w:val="24"/>
                <w:szCs w:val="24"/>
              </w:rPr>
              <w:t>a)自车匀速靠近静止的前车，自车车速大于30km/h;</w:t>
            </w:r>
            <w:r>
              <w:rPr>
                <w:rFonts w:hint="eastAsia"/>
                <w:color w:val="000000"/>
                <w:sz w:val="24"/>
                <w:szCs w:val="24"/>
              </w:rPr>
              <w:br w:type="textWrapping"/>
            </w:r>
            <w:r>
              <w:rPr>
                <w:rFonts w:hint="eastAsia"/>
                <w:color w:val="000000"/>
                <w:sz w:val="24"/>
                <w:szCs w:val="24"/>
              </w:rPr>
              <w:t>b)自车匀速靠近匀速行进的前车，前车车速小于自车车速，自车车速大于50km/h;自车跟随前车匀速行驶，前车突然持续减速，自车车速大于30km/h。</w:t>
            </w:r>
            <w:r>
              <w:rPr>
                <w:rFonts w:hint="eastAsia"/>
                <w:color w:val="000000"/>
                <w:sz w:val="24"/>
                <w:szCs w:val="24"/>
              </w:rPr>
              <w:br w:type="textWrapping"/>
            </w:r>
            <w:r>
              <w:rPr>
                <w:rFonts w:hint="eastAsia"/>
                <w:color w:val="000000"/>
                <w:sz w:val="24"/>
                <w:szCs w:val="24"/>
              </w:rPr>
              <w:t>8、应具有区分护栏、标志和桥梁等路边静止对象和正在同车道行进的前车、反向车道车辆等功能。</w:t>
            </w:r>
            <w:r>
              <w:rPr>
                <w:rFonts w:hint="eastAsia"/>
                <w:color w:val="000000"/>
                <w:sz w:val="24"/>
                <w:szCs w:val="24"/>
              </w:rPr>
              <w:br w:type="textWrapping"/>
            </w:r>
            <w:r>
              <w:rPr>
                <w:rFonts w:hint="eastAsia"/>
                <w:color w:val="000000"/>
                <w:sz w:val="24"/>
                <w:szCs w:val="24"/>
              </w:rPr>
              <w:t>注：需提供第三方权威部门或具有CMA认证标识出具的加盖生产厂商公章的检验报告复印件（或扫描件）佐证，否则不得分。</w:t>
            </w:r>
          </w:p>
        </w:tc>
      </w:tr>
      <w:tr w14:paraId="2DDBC9D9">
        <w:tblPrEx>
          <w:tblCellMar>
            <w:top w:w="0" w:type="dxa"/>
            <w:left w:w="108" w:type="dxa"/>
            <w:bottom w:w="0" w:type="dxa"/>
            <w:right w:w="108" w:type="dxa"/>
          </w:tblCellMar>
        </w:tblPrEx>
        <w:trPr>
          <w:trHeight w:val="2000" w:hRule="atLeast"/>
        </w:trPr>
        <w:tc>
          <w:tcPr>
            <w:tcW w:w="1564" w:type="dxa"/>
            <w:vMerge w:val="continue"/>
            <w:tcBorders>
              <w:left w:val="single" w:color="000000" w:sz="4" w:space="0"/>
              <w:right w:val="single" w:color="000000" w:sz="4" w:space="0"/>
            </w:tcBorders>
            <w:shd w:val="clear" w:color="auto" w:fill="auto"/>
            <w:vAlign w:val="center"/>
          </w:tcPr>
          <w:p w14:paraId="1E5736CA">
            <w:pPr>
              <w:jc w:val="center"/>
              <w:rPr>
                <w:color w:val="000000"/>
                <w:sz w:val="24"/>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C2E">
            <w:pPr>
              <w:jc w:val="center"/>
              <w:rPr>
                <w:rFonts w:hint="eastAsia" w:eastAsia="宋体"/>
                <w:color w:val="000000"/>
                <w:sz w:val="24"/>
                <w:szCs w:val="24"/>
                <w:lang w:eastAsia="zh-CN"/>
              </w:rPr>
            </w:pPr>
            <w:r>
              <w:rPr>
                <w:rFonts w:hint="eastAsia"/>
                <w:color w:val="000000"/>
                <w:sz w:val="24"/>
                <w:szCs w:val="24"/>
                <w:lang w:val="en-US" w:eastAsia="zh-CN"/>
              </w:rPr>
              <w:t>2</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E69">
            <w:pPr>
              <w:rPr>
                <w:color w:val="000000"/>
                <w:sz w:val="24"/>
                <w:szCs w:val="24"/>
              </w:rPr>
            </w:pPr>
            <w:r>
              <w:rPr>
                <w:rFonts w:hint="eastAsia"/>
                <w:color w:val="000000"/>
                <w:sz w:val="24"/>
                <w:szCs w:val="24"/>
              </w:rPr>
              <w:t>投标人所投视频存储治理具备以下功能，每满足一项功能得0.5分，最多得</w:t>
            </w:r>
            <w:r>
              <w:rPr>
                <w:rFonts w:hint="eastAsia"/>
                <w:color w:val="000000"/>
                <w:sz w:val="24"/>
                <w:szCs w:val="24"/>
                <w:lang w:val="en-US" w:eastAsia="zh-CN"/>
              </w:rPr>
              <w:t>2</w:t>
            </w:r>
            <w:r>
              <w:rPr>
                <w:rFonts w:hint="eastAsia"/>
                <w:color w:val="000000"/>
                <w:sz w:val="24"/>
                <w:szCs w:val="24"/>
              </w:rPr>
              <w:t>分。</w:t>
            </w:r>
            <w:r>
              <w:rPr>
                <w:rFonts w:hint="eastAsia"/>
                <w:color w:val="000000"/>
                <w:sz w:val="24"/>
                <w:szCs w:val="24"/>
              </w:rPr>
              <w:br w:type="textWrapping"/>
            </w:r>
            <w:r>
              <w:rPr>
                <w:rFonts w:hint="eastAsia"/>
                <w:color w:val="000000"/>
                <w:sz w:val="24"/>
                <w:szCs w:val="24"/>
              </w:rPr>
              <w:t>1、经压缩后输出图像画面信息不应有明显的缺损，图像画面应连贯，视频画面不应出现画屏、卡顿、呼吸效应等现象。</w:t>
            </w:r>
            <w:r>
              <w:rPr>
                <w:rFonts w:hint="eastAsia"/>
                <w:color w:val="000000"/>
                <w:sz w:val="24"/>
                <w:szCs w:val="24"/>
              </w:rPr>
              <w:br w:type="textWrapping"/>
            </w:r>
            <w:r>
              <w:rPr>
                <w:rFonts w:hint="eastAsia"/>
                <w:color w:val="000000"/>
                <w:sz w:val="24"/>
                <w:szCs w:val="24"/>
              </w:rPr>
              <w:t>2、经压缩后的视频图像编码格式与压缩前保持一致(至少支持H.264、H.265);压缩后的视频图像分辨率保持不变;压缩后的视频图像输出帧率保持不变(至少支持25fps);压缩后的视频图像质量可继续进行AI分析。</w:t>
            </w:r>
            <w:r>
              <w:rPr>
                <w:rFonts w:hint="eastAsia"/>
                <w:color w:val="000000"/>
                <w:sz w:val="24"/>
                <w:szCs w:val="24"/>
              </w:rPr>
              <w:br w:type="textWrapping"/>
            </w:r>
            <w:r>
              <w:rPr>
                <w:rFonts w:hint="eastAsia"/>
                <w:color w:val="000000"/>
                <w:sz w:val="24"/>
                <w:szCs w:val="24"/>
              </w:rPr>
              <w:t>3、单台设备支持接入不少于350路1080P视频；支持混合接入不同分辨率的IP摄像机；支持对不同分辨率的实时视频进行压缩处理。</w:t>
            </w:r>
            <w:r>
              <w:rPr>
                <w:rFonts w:hint="eastAsia"/>
                <w:color w:val="000000"/>
                <w:sz w:val="24"/>
                <w:szCs w:val="24"/>
              </w:rPr>
              <w:br w:type="textWrapping"/>
            </w:r>
            <w:r>
              <w:rPr>
                <w:rFonts w:hint="eastAsia"/>
                <w:color w:val="000000"/>
                <w:sz w:val="24"/>
                <w:szCs w:val="24"/>
              </w:rPr>
              <w:t>4、支持不少于16路压缩视频故障自动迁移管理；支持批量导入、导出所有监控点信息；</w:t>
            </w:r>
            <w:r>
              <w:rPr>
                <w:rFonts w:hint="eastAsia"/>
                <w:color w:val="000000"/>
                <w:sz w:val="24"/>
                <w:szCs w:val="24"/>
              </w:rPr>
              <w:br w:type="textWrapping"/>
            </w:r>
            <w:r>
              <w:rPr>
                <w:rFonts w:hint="eastAsia"/>
                <w:color w:val="000000"/>
                <w:sz w:val="24"/>
                <w:szCs w:val="24"/>
              </w:rPr>
              <w:t>注：需提供第三方权威部门或具有CMA认证标识出具的加盖生产厂商公章的检验报告复印件（或扫描件）佐证，否则不得分。</w:t>
            </w:r>
          </w:p>
        </w:tc>
      </w:tr>
      <w:tr w14:paraId="6116CEC5">
        <w:tblPrEx>
          <w:tblCellMar>
            <w:top w:w="0" w:type="dxa"/>
            <w:left w:w="108" w:type="dxa"/>
            <w:bottom w:w="0" w:type="dxa"/>
            <w:right w:w="108" w:type="dxa"/>
          </w:tblCellMar>
        </w:tblPrEx>
        <w:trPr>
          <w:trHeight w:val="2000" w:hRule="atLeast"/>
        </w:trPr>
        <w:tc>
          <w:tcPr>
            <w:tcW w:w="1564" w:type="dxa"/>
            <w:vMerge w:val="continue"/>
            <w:tcBorders>
              <w:left w:val="single" w:color="000000" w:sz="4" w:space="0"/>
              <w:bottom w:val="single" w:color="000000" w:sz="4" w:space="0"/>
              <w:right w:val="single" w:color="000000" w:sz="4" w:space="0"/>
            </w:tcBorders>
            <w:shd w:val="clear" w:color="auto" w:fill="auto"/>
            <w:vAlign w:val="center"/>
          </w:tcPr>
          <w:p w14:paraId="63DB4C4B">
            <w:pPr>
              <w:jc w:val="center"/>
              <w:rPr>
                <w:color w:val="000000"/>
                <w:sz w:val="24"/>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781">
            <w:pPr>
              <w:jc w:val="center"/>
              <w:rPr>
                <w:rFonts w:hint="eastAsia" w:eastAsia="宋体"/>
                <w:color w:val="000000"/>
                <w:sz w:val="24"/>
                <w:szCs w:val="24"/>
                <w:lang w:eastAsia="zh-CN"/>
              </w:rPr>
            </w:pPr>
            <w:r>
              <w:rPr>
                <w:rFonts w:hint="eastAsia"/>
                <w:color w:val="000000"/>
                <w:sz w:val="24"/>
                <w:szCs w:val="24"/>
              </w:rPr>
              <w:t>2</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BD0A">
            <w:pPr>
              <w:rPr>
                <w:color w:val="000000"/>
                <w:sz w:val="24"/>
                <w:szCs w:val="24"/>
              </w:rPr>
            </w:pPr>
            <w:r>
              <w:rPr>
                <w:rFonts w:hint="eastAsia"/>
                <w:color w:val="000000"/>
                <w:sz w:val="24"/>
                <w:szCs w:val="24"/>
              </w:rPr>
              <w:t>投标人所投机动车违法识别一体机具备以下功能，每满足一项功能得0.5分，最多得2分。</w:t>
            </w:r>
            <w:r>
              <w:rPr>
                <w:rFonts w:hint="eastAsia"/>
                <w:color w:val="000000"/>
                <w:sz w:val="24"/>
                <w:szCs w:val="24"/>
              </w:rPr>
              <w:br w:type="textWrapping"/>
            </w:r>
            <w:r>
              <w:rPr>
                <w:rFonts w:hint="eastAsia"/>
                <w:color w:val="000000"/>
                <w:sz w:val="24"/>
                <w:szCs w:val="24"/>
              </w:rPr>
              <w:t>1、支持自动识别机动车遇行人正在通过人行横道时未停车让行的，触发预警事件并展示。</w:t>
            </w:r>
            <w:r>
              <w:rPr>
                <w:rFonts w:hint="eastAsia"/>
                <w:color w:val="000000"/>
                <w:sz w:val="24"/>
                <w:szCs w:val="24"/>
              </w:rPr>
              <w:br w:type="textWrapping"/>
            </w:r>
            <w:r>
              <w:rPr>
                <w:rFonts w:hint="eastAsia"/>
                <w:color w:val="000000"/>
                <w:sz w:val="24"/>
                <w:szCs w:val="24"/>
              </w:rPr>
              <w:t>2、支持自动识别机动车违反禁止标线指示的，触发预警事件并展示。</w:t>
            </w:r>
            <w:r>
              <w:rPr>
                <w:rFonts w:hint="eastAsia"/>
                <w:color w:val="000000"/>
                <w:sz w:val="24"/>
                <w:szCs w:val="24"/>
              </w:rPr>
              <w:br w:type="textWrapping"/>
            </w:r>
            <w:r>
              <w:rPr>
                <w:rFonts w:hint="eastAsia"/>
                <w:color w:val="000000"/>
                <w:sz w:val="24"/>
                <w:szCs w:val="24"/>
              </w:rPr>
              <w:t>3、支持自动识别机动车违法停车，并在机动车停车达到一定时限内可生成违停提示事件并展示。</w:t>
            </w:r>
            <w:r>
              <w:rPr>
                <w:rFonts w:hint="eastAsia"/>
                <w:color w:val="000000"/>
                <w:sz w:val="24"/>
                <w:szCs w:val="24"/>
              </w:rPr>
              <w:br w:type="textWrapping"/>
            </w:r>
            <w:r>
              <w:rPr>
                <w:rFonts w:hint="eastAsia"/>
                <w:color w:val="000000"/>
                <w:sz w:val="24"/>
                <w:szCs w:val="24"/>
              </w:rPr>
              <w:t>4、支持自动识别机动车通过路口遇停止信号时，越过停止线，停在路口内的，触发预警事件并展示。</w:t>
            </w:r>
            <w:r>
              <w:rPr>
                <w:rFonts w:hint="eastAsia"/>
                <w:color w:val="000000"/>
                <w:sz w:val="24"/>
                <w:szCs w:val="24"/>
              </w:rPr>
              <w:br w:type="textWrapping"/>
            </w:r>
            <w:r>
              <w:rPr>
                <w:rFonts w:hint="eastAsia"/>
                <w:color w:val="000000"/>
                <w:sz w:val="24"/>
                <w:szCs w:val="24"/>
              </w:rPr>
              <w:t>注：需提供第三方权威部门或具有CMA认证标识出具的加盖生产厂商公章的检验报告复印件（或扫描件）佐证，否则不得分。</w:t>
            </w:r>
          </w:p>
        </w:tc>
      </w:tr>
      <w:tr w14:paraId="2C3785E1">
        <w:tblPrEx>
          <w:tblCellMar>
            <w:top w:w="0" w:type="dxa"/>
            <w:left w:w="108" w:type="dxa"/>
            <w:bottom w:w="0" w:type="dxa"/>
            <w:right w:w="108" w:type="dxa"/>
          </w:tblCellMar>
        </w:tblPrEx>
        <w:trPr>
          <w:trHeight w:val="370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6DD">
            <w:pPr>
              <w:jc w:val="center"/>
              <w:rPr>
                <w:color w:val="000000"/>
                <w:sz w:val="24"/>
                <w:szCs w:val="24"/>
              </w:rPr>
            </w:pPr>
            <w:r>
              <w:rPr>
                <w:rFonts w:hint="eastAsia"/>
                <w:color w:val="000000"/>
                <w:sz w:val="24"/>
                <w:szCs w:val="24"/>
              </w:rPr>
              <w:t>项目团队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6A53">
            <w:pPr>
              <w:jc w:val="center"/>
              <w:rPr>
                <w:rFonts w:hint="eastAsia" w:eastAsia="宋体"/>
                <w:color w:val="000000"/>
                <w:sz w:val="24"/>
                <w:szCs w:val="24"/>
                <w:lang w:eastAsia="zh-CN"/>
              </w:rPr>
            </w:pPr>
            <w:r>
              <w:rPr>
                <w:rFonts w:hint="eastAsia"/>
                <w:color w:val="000000"/>
                <w:sz w:val="24"/>
                <w:szCs w:val="24"/>
              </w:rPr>
              <w:t>7</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40F">
            <w:pPr>
              <w:rPr>
                <w:color w:val="000000"/>
                <w:sz w:val="24"/>
                <w:szCs w:val="24"/>
              </w:rPr>
            </w:pPr>
            <w:r>
              <w:rPr>
                <w:rFonts w:hint="eastAsia"/>
                <w:color w:val="000000"/>
                <w:sz w:val="24"/>
                <w:szCs w:val="24"/>
              </w:rPr>
              <w:t>1、项目经理：提供信息系统项目管理师及系统规划与管理师职业资格证书（中华人民共和国人力资源和社会保障部颁发）得2分；</w:t>
            </w:r>
            <w:r>
              <w:rPr>
                <w:rFonts w:hint="eastAsia"/>
                <w:color w:val="000000"/>
                <w:sz w:val="24"/>
                <w:szCs w:val="24"/>
              </w:rPr>
              <w:br w:type="textWrapping"/>
            </w:r>
            <w:r>
              <w:rPr>
                <w:rFonts w:hint="eastAsia"/>
                <w:color w:val="000000"/>
                <w:sz w:val="24"/>
                <w:szCs w:val="24"/>
              </w:rPr>
              <w:t>承担过电子与智能化工程业绩，每提供一个得0.5分，最多得1分。（以中标通知书或施工合同为准）</w:t>
            </w:r>
            <w:r>
              <w:rPr>
                <w:rFonts w:hint="eastAsia"/>
                <w:color w:val="000000"/>
                <w:sz w:val="24"/>
                <w:szCs w:val="24"/>
              </w:rPr>
              <w:br w:type="textWrapping"/>
            </w:r>
            <w:r>
              <w:rPr>
                <w:rFonts w:hint="eastAsia"/>
                <w:color w:val="000000"/>
                <w:sz w:val="24"/>
                <w:szCs w:val="24"/>
              </w:rPr>
              <w:t>2、技术负责人：提供交通工程专业高级（或交通信息化高级）及以上职称及信息系统项目管理师职业资格证书得1分。</w:t>
            </w:r>
            <w:r>
              <w:rPr>
                <w:rFonts w:hint="eastAsia"/>
                <w:color w:val="000000"/>
                <w:sz w:val="24"/>
                <w:szCs w:val="24"/>
              </w:rPr>
              <w:br w:type="textWrapping"/>
            </w:r>
            <w:r>
              <w:rPr>
                <w:rFonts w:hint="eastAsia"/>
                <w:color w:val="000000"/>
                <w:sz w:val="24"/>
                <w:szCs w:val="24"/>
              </w:rPr>
              <w:t>3、团队人员：实施团队中配备高空作业、低压电工等特种作业人员，具备交通信息化、机电安装、建筑施工安全、计算机等专业中级（或以上）技术职称人员；以上人员证书齐全得3分，缺一专业扣0.5分。</w:t>
            </w:r>
            <w:r>
              <w:rPr>
                <w:rFonts w:hint="eastAsia"/>
                <w:color w:val="000000"/>
                <w:sz w:val="24"/>
                <w:szCs w:val="24"/>
              </w:rPr>
              <w:br w:type="textWrapping"/>
            </w:r>
            <w:r>
              <w:rPr>
                <w:rFonts w:hint="eastAsia"/>
                <w:color w:val="000000"/>
                <w:sz w:val="24"/>
                <w:szCs w:val="24"/>
              </w:rPr>
              <w:t>注：以上人员不得兼任，须提供人员身份证、资格证书或职称证书复印件（或扫描件）加盖公章并同时提供人员社保缴纳证明（投标截止时间前半年内任意三月），否则不得分。</w:t>
            </w:r>
          </w:p>
        </w:tc>
      </w:tr>
      <w:tr w14:paraId="40470A05">
        <w:tblPrEx>
          <w:tblCellMar>
            <w:top w:w="0" w:type="dxa"/>
            <w:left w:w="108" w:type="dxa"/>
            <w:bottom w:w="0" w:type="dxa"/>
            <w:right w:w="108" w:type="dxa"/>
          </w:tblCellMar>
        </w:tblPrEx>
        <w:trPr>
          <w:trHeight w:val="236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594">
            <w:pPr>
              <w:jc w:val="center"/>
              <w:rPr>
                <w:color w:val="000000"/>
                <w:sz w:val="24"/>
                <w:szCs w:val="24"/>
              </w:rPr>
            </w:pPr>
            <w:r>
              <w:rPr>
                <w:rFonts w:hint="eastAsia"/>
                <w:color w:val="000000"/>
                <w:sz w:val="24"/>
                <w:szCs w:val="24"/>
              </w:rPr>
              <w:t>技术方案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B7C">
            <w:pPr>
              <w:jc w:val="center"/>
              <w:rPr>
                <w:rFonts w:hint="eastAsia" w:eastAsia="宋体"/>
                <w:color w:val="000000"/>
                <w:sz w:val="24"/>
                <w:szCs w:val="24"/>
                <w:lang w:eastAsia="zh-CN"/>
              </w:rPr>
            </w:pPr>
            <w:r>
              <w:rPr>
                <w:rFonts w:hint="eastAsia"/>
                <w:color w:val="000000"/>
                <w:sz w:val="24"/>
                <w:szCs w:val="24"/>
                <w:lang w:val="en-US" w:eastAsia="zh-CN"/>
              </w:rPr>
              <w:t>6</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A364">
            <w:pPr>
              <w:rPr>
                <w:color w:val="000000"/>
                <w:sz w:val="24"/>
                <w:szCs w:val="24"/>
              </w:rPr>
            </w:pPr>
            <w:r>
              <w:rPr>
                <w:rFonts w:hint="eastAsia"/>
                <w:color w:val="000000"/>
                <w:sz w:val="24"/>
                <w:szCs w:val="24"/>
              </w:rPr>
              <w:t>提供完整的技术方案：要求对项目背景和项目需求有深刻的理解和分析，并针对项目需求分提供详细、完整、合理的技术方案，方案应至少包含项目现状和需求分析、总体架构、网络架构、软件部署架构等内容。方案包括上述全部内容且符合项目需求得</w:t>
            </w:r>
            <w:r>
              <w:rPr>
                <w:rFonts w:hint="eastAsia"/>
                <w:color w:val="000000"/>
                <w:sz w:val="24"/>
                <w:szCs w:val="24"/>
                <w:lang w:val="en-US" w:eastAsia="zh-CN"/>
              </w:rPr>
              <w:t>6</w:t>
            </w:r>
            <w:r>
              <w:rPr>
                <w:rFonts w:hint="eastAsia"/>
                <w:color w:val="000000"/>
                <w:sz w:val="24"/>
                <w:szCs w:val="24"/>
              </w:rPr>
              <w:t>分。缺少一项扣1分，有一项存在缺陷的扣</w:t>
            </w:r>
            <w:r>
              <w:rPr>
                <w:rFonts w:hint="eastAsia"/>
                <w:color w:val="000000"/>
                <w:sz w:val="24"/>
                <w:szCs w:val="24"/>
                <w:lang w:val="en-US" w:eastAsia="zh-CN"/>
              </w:rPr>
              <w:t>0.5</w:t>
            </w:r>
            <w:r>
              <w:rPr>
                <w:rFonts w:hint="eastAsia"/>
                <w:color w:val="000000"/>
                <w:sz w:val="24"/>
                <w:szCs w:val="24"/>
              </w:rPr>
              <w:t>分，扣完为止。</w:t>
            </w:r>
            <w:r>
              <w:rPr>
                <w:rFonts w:hint="eastAsia"/>
                <w:color w:val="000000"/>
                <w:sz w:val="24"/>
                <w:szCs w:val="24"/>
              </w:rPr>
              <w:br w:type="textWrapping"/>
            </w:r>
            <w:r>
              <w:rPr>
                <w:rFonts w:hint="eastAsia"/>
                <w:color w:val="000000"/>
                <w:sz w:val="24"/>
                <w:szCs w:val="24"/>
              </w:rPr>
              <w:t>注：方案内容有缺陷指：（1）方案内容存在不适用项目实际情况的情形；（2）方案内容凭空编造；（3）方案内容前后不一致、前后逻辑混乱、涉及的规范及标准错误、地点区域错误；（4）方案内容不符合采购需求、不利于项目实施等。</w:t>
            </w:r>
          </w:p>
        </w:tc>
      </w:tr>
      <w:tr w14:paraId="5D1F14B1">
        <w:tblPrEx>
          <w:tblCellMar>
            <w:top w:w="0" w:type="dxa"/>
            <w:left w:w="108" w:type="dxa"/>
            <w:bottom w:w="0" w:type="dxa"/>
            <w:right w:w="108" w:type="dxa"/>
          </w:tblCellMar>
        </w:tblPrEx>
        <w:trPr>
          <w:trHeight w:val="202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1BB">
            <w:pPr>
              <w:jc w:val="center"/>
              <w:rPr>
                <w:color w:val="000000"/>
                <w:sz w:val="24"/>
                <w:szCs w:val="24"/>
              </w:rPr>
            </w:pPr>
            <w:r>
              <w:rPr>
                <w:rFonts w:hint="eastAsia"/>
                <w:color w:val="000000"/>
                <w:sz w:val="24"/>
                <w:szCs w:val="24"/>
              </w:rPr>
              <w:t>项目管理方案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433A">
            <w:pPr>
              <w:jc w:val="center"/>
              <w:rPr>
                <w:rFonts w:hint="eastAsia" w:eastAsia="宋体"/>
                <w:color w:val="000000"/>
                <w:sz w:val="24"/>
                <w:szCs w:val="24"/>
                <w:lang w:eastAsia="zh-CN"/>
              </w:rPr>
            </w:pPr>
            <w:r>
              <w:rPr>
                <w:rFonts w:hint="eastAsia"/>
                <w:color w:val="000000"/>
                <w:sz w:val="24"/>
                <w:szCs w:val="24"/>
              </w:rPr>
              <w:t>10</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ECEC">
            <w:pPr>
              <w:rPr>
                <w:color w:val="000000"/>
                <w:sz w:val="24"/>
                <w:szCs w:val="24"/>
              </w:rPr>
            </w:pPr>
            <w:r>
              <w:rPr>
                <w:rFonts w:hint="eastAsia"/>
                <w:color w:val="000000"/>
                <w:sz w:val="24"/>
                <w:szCs w:val="24"/>
              </w:rPr>
              <w:t>投标人提供施工组织管理、项目进度管理、项目质量管理、项目安全管理、施工关键技术方案。</w:t>
            </w:r>
            <w:r>
              <w:rPr>
                <w:rFonts w:hint="eastAsia"/>
                <w:color w:val="000000"/>
                <w:sz w:val="24"/>
                <w:szCs w:val="24"/>
              </w:rPr>
              <w:br w:type="textWrapping"/>
            </w:r>
            <w:r>
              <w:rPr>
                <w:rFonts w:hint="eastAsia"/>
                <w:color w:val="000000"/>
                <w:sz w:val="24"/>
                <w:szCs w:val="24"/>
              </w:rPr>
              <w:t>方案包括上述全部内容且符合项目需求得10分。缺少一项扣</w:t>
            </w:r>
            <w:r>
              <w:rPr>
                <w:rFonts w:hint="eastAsia"/>
                <w:color w:val="000000"/>
                <w:sz w:val="24"/>
                <w:szCs w:val="24"/>
                <w:lang w:val="en-US" w:eastAsia="zh-CN"/>
              </w:rPr>
              <w:t>2</w:t>
            </w:r>
            <w:r>
              <w:rPr>
                <w:rFonts w:hint="eastAsia"/>
                <w:color w:val="000000"/>
                <w:sz w:val="24"/>
                <w:szCs w:val="24"/>
              </w:rPr>
              <w:t>分，有一项存在缺陷的扣1分，扣完为止。</w:t>
            </w:r>
            <w:r>
              <w:rPr>
                <w:rFonts w:hint="eastAsia"/>
                <w:color w:val="000000"/>
                <w:sz w:val="24"/>
                <w:szCs w:val="24"/>
              </w:rPr>
              <w:br w:type="textWrapping"/>
            </w:r>
            <w:r>
              <w:rPr>
                <w:rFonts w:hint="eastAsia"/>
                <w:color w:val="000000"/>
                <w:sz w:val="24"/>
                <w:szCs w:val="24"/>
              </w:rPr>
              <w:t>注：方案内容有缺陷指：（1）方案内容存在不适用项目实际情况的情形；（2）方案内容凭空编造；（3）方案内容前后不一致、前后逻辑混乱、涉及的规范及标准错误、地点区域错误；（4）方案内容不符合采购需求、不利于项目实施等。</w:t>
            </w:r>
          </w:p>
        </w:tc>
      </w:tr>
      <w:tr w14:paraId="13797803">
        <w:tblPrEx>
          <w:tblCellMar>
            <w:top w:w="0" w:type="dxa"/>
            <w:left w:w="108" w:type="dxa"/>
            <w:bottom w:w="0" w:type="dxa"/>
            <w:right w:w="108" w:type="dxa"/>
          </w:tblCellMar>
        </w:tblPrEx>
        <w:trPr>
          <w:trHeight w:val="236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6FE">
            <w:pPr>
              <w:jc w:val="center"/>
              <w:rPr>
                <w:color w:val="000000"/>
                <w:sz w:val="24"/>
                <w:szCs w:val="24"/>
              </w:rPr>
            </w:pPr>
            <w:r>
              <w:rPr>
                <w:rFonts w:hint="eastAsia"/>
                <w:color w:val="000000"/>
                <w:sz w:val="24"/>
                <w:szCs w:val="24"/>
              </w:rPr>
              <w:t>售后服务方案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05D6">
            <w:pPr>
              <w:jc w:val="center"/>
              <w:rPr>
                <w:rFonts w:hint="eastAsia" w:eastAsia="宋体"/>
                <w:color w:val="000000"/>
                <w:sz w:val="24"/>
                <w:szCs w:val="24"/>
                <w:lang w:eastAsia="zh-CN"/>
              </w:rPr>
            </w:pPr>
            <w:r>
              <w:rPr>
                <w:rFonts w:hint="eastAsia"/>
                <w:color w:val="000000"/>
                <w:sz w:val="24"/>
                <w:szCs w:val="24"/>
              </w:rPr>
              <w:t>8</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B8FD">
            <w:pPr>
              <w:rPr>
                <w:color w:val="000000"/>
                <w:sz w:val="24"/>
                <w:szCs w:val="24"/>
              </w:rPr>
            </w:pPr>
            <w:r>
              <w:rPr>
                <w:rFonts w:hint="eastAsia"/>
                <w:color w:val="000000"/>
                <w:sz w:val="24"/>
                <w:szCs w:val="24"/>
              </w:rPr>
              <w:t>1、投标人承诺提供现场驻场支撑能力，可以迅速解决系统运行期间的所有技术故障问题及现场指导支撑需求得2分；</w:t>
            </w:r>
            <w:r>
              <w:rPr>
                <w:rFonts w:hint="eastAsia"/>
                <w:color w:val="000000"/>
                <w:sz w:val="24"/>
                <w:szCs w:val="24"/>
              </w:rPr>
              <w:br w:type="textWrapping"/>
            </w:r>
            <w:r>
              <w:rPr>
                <w:rFonts w:hint="eastAsia"/>
                <w:color w:val="000000"/>
                <w:sz w:val="24"/>
                <w:szCs w:val="24"/>
              </w:rPr>
              <w:t>投标人根据自身服务能力、售后人员配备、售后服务时间安排等方面编制整体售后服务方案，方案全部内容符合项目需求得6分。缺少一项扣1分，有一项存在缺陷的扣1分，扣完为止。</w:t>
            </w:r>
            <w:r>
              <w:rPr>
                <w:rFonts w:hint="eastAsia"/>
                <w:color w:val="000000"/>
                <w:sz w:val="24"/>
                <w:szCs w:val="24"/>
              </w:rPr>
              <w:br w:type="textWrapping"/>
            </w:r>
            <w:r>
              <w:rPr>
                <w:rFonts w:hint="eastAsia"/>
                <w:color w:val="000000"/>
                <w:sz w:val="24"/>
                <w:szCs w:val="24"/>
              </w:rPr>
              <w:t>注：方案内容有缺陷指：（1）方案内容存在不适用项目实际情况的情形；（2）方案内容凭空编造；（3）方案内容前后不一致、前后逻辑混乱、涉及的规范及标准错误、地点区域错误；（4）方案内容不符合采购需求、不利于项目实施等。</w:t>
            </w:r>
          </w:p>
        </w:tc>
      </w:tr>
      <w:tr w14:paraId="72956B6F">
        <w:tblPrEx>
          <w:tblCellMar>
            <w:top w:w="0" w:type="dxa"/>
            <w:left w:w="108" w:type="dxa"/>
            <w:bottom w:w="0" w:type="dxa"/>
            <w:right w:w="108" w:type="dxa"/>
          </w:tblCellMar>
        </w:tblPrEx>
        <w:trPr>
          <w:trHeight w:val="2020"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41C">
            <w:pPr>
              <w:jc w:val="center"/>
              <w:rPr>
                <w:color w:val="000000"/>
                <w:sz w:val="24"/>
                <w:szCs w:val="24"/>
              </w:rPr>
            </w:pPr>
            <w:r>
              <w:rPr>
                <w:rFonts w:hint="eastAsia"/>
                <w:color w:val="000000"/>
                <w:sz w:val="24"/>
                <w:szCs w:val="24"/>
              </w:rPr>
              <w:t>技术支持与培训</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48C7">
            <w:pPr>
              <w:jc w:val="center"/>
              <w:rPr>
                <w:rFonts w:hint="eastAsia" w:eastAsia="宋体"/>
                <w:color w:val="000000"/>
                <w:sz w:val="24"/>
                <w:szCs w:val="24"/>
                <w:lang w:eastAsia="zh-CN"/>
              </w:rPr>
            </w:pPr>
            <w:r>
              <w:rPr>
                <w:rFonts w:hint="eastAsia"/>
                <w:color w:val="000000"/>
                <w:sz w:val="24"/>
                <w:szCs w:val="24"/>
              </w:rPr>
              <w:t>8</w:t>
            </w:r>
            <w:r>
              <w:rPr>
                <w:rFonts w:hint="eastAsia"/>
                <w:color w:val="000000"/>
                <w:sz w:val="24"/>
                <w:szCs w:val="24"/>
                <w:lang w:eastAsia="zh-CN"/>
              </w:rPr>
              <w:t>分</w:t>
            </w:r>
          </w:p>
        </w:tc>
        <w:tc>
          <w:tcPr>
            <w:tcW w:w="6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D5A1">
            <w:pPr>
              <w:rPr>
                <w:color w:val="000000"/>
                <w:sz w:val="24"/>
                <w:szCs w:val="24"/>
              </w:rPr>
            </w:pPr>
            <w:r>
              <w:rPr>
                <w:rFonts w:hint="eastAsia"/>
                <w:color w:val="000000"/>
                <w:sz w:val="24"/>
                <w:szCs w:val="24"/>
              </w:rPr>
              <w:t>投标人提供详细完整的地训方案，使用户达到能熟悉设备、独立管理、常见故障处理、日常测试维护等工作。方案应符合本项的实际需求，包含但不限于项目培训目标、培训体系、培训方法、培训内容等。方案包括上述全部内容且符合项目需求得8分，缺少一项扣1分，有一项存在缺陷的扣1分，扣完为止。</w:t>
            </w:r>
            <w:r>
              <w:rPr>
                <w:rFonts w:hint="eastAsia"/>
                <w:color w:val="000000"/>
                <w:sz w:val="24"/>
                <w:szCs w:val="24"/>
              </w:rPr>
              <w:br w:type="textWrapping"/>
            </w:r>
            <w:r>
              <w:rPr>
                <w:rFonts w:hint="eastAsia"/>
                <w:color w:val="000000"/>
                <w:sz w:val="24"/>
                <w:szCs w:val="24"/>
              </w:rPr>
              <w:t>注：方案内容有缺陷指：（1）方案内容存在不适用项目实际情况的情形；（2）方案内容凭空编造；（3）方案内容前后不一致、前后逻辑混乱、涉及的规范及标准错误、地点。</w:t>
            </w:r>
          </w:p>
        </w:tc>
      </w:tr>
    </w:tbl>
    <w:p w14:paraId="25EE32C2">
      <w:pPr>
        <w:pStyle w:val="10"/>
        <w:kinsoku w:val="0"/>
        <w:overflowPunct w:val="0"/>
        <w:spacing w:before="0"/>
        <w:ind w:left="0"/>
        <w:jc w:val="center"/>
        <w:rPr>
          <w:rFonts w:hint="eastAsia" w:ascii="宋体" w:hAnsi="宋体" w:eastAsia="宋体" w:cs="宋体"/>
          <w:sz w:val="32"/>
          <w:szCs w:val="32"/>
          <w:highlight w:val="none"/>
        </w:rPr>
        <w:sectPr>
          <w:footerReference r:id="rId4" w:type="default"/>
          <w:pgSz w:w="11849" w:h="16781"/>
          <w:pgMar w:top="1134" w:right="1134" w:bottom="1134" w:left="1134" w:header="851" w:footer="992" w:gutter="0"/>
          <w:pgNumType w:fmt="decimal" w:start="1"/>
          <w:cols w:space="720" w:num="1"/>
          <w:docGrid w:type="lines" w:linePitch="333" w:charSpace="0"/>
        </w:sectPr>
      </w:pPr>
    </w:p>
    <w:p w14:paraId="42B5AF3E">
      <w:pPr>
        <w:pStyle w:val="11"/>
        <w:rPr>
          <w:rFonts w:hint="eastAsia"/>
        </w:rPr>
      </w:pPr>
    </w:p>
    <w:p w14:paraId="712EECF4">
      <w:pPr>
        <w:pStyle w:val="10"/>
        <w:kinsoku w:val="0"/>
        <w:overflowPunct w:val="0"/>
        <w:spacing w:before="0"/>
        <w:ind w:left="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eastAsia="zh-CN"/>
        </w:rPr>
        <w:t>六</w:t>
      </w:r>
      <w:r>
        <w:rPr>
          <w:rFonts w:hint="eastAsia" w:ascii="宋体" w:hAnsi="宋体" w:eastAsia="宋体" w:cs="宋体"/>
          <w:sz w:val="32"/>
          <w:szCs w:val="32"/>
          <w:highlight w:val="none"/>
        </w:rPr>
        <w:t xml:space="preserve">章 </w:t>
      </w:r>
      <w:r>
        <w:rPr>
          <w:rFonts w:hint="eastAsia" w:ascii="宋体" w:hAnsi="宋体" w:eastAsia="宋体" w:cs="宋体"/>
          <w:spacing w:val="-3"/>
          <w:sz w:val="36"/>
          <w:szCs w:val="36"/>
        </w:rPr>
        <w:t xml:space="preserve"> </w:t>
      </w:r>
      <w:r>
        <w:rPr>
          <w:rFonts w:hint="eastAsia" w:ascii="宋体" w:hAnsi="宋体" w:eastAsia="宋体" w:cs="宋体"/>
          <w:sz w:val="32"/>
          <w:szCs w:val="32"/>
          <w:highlight w:val="none"/>
        </w:rPr>
        <w:t>合同条款及合同格式（仅供参考）</w:t>
      </w:r>
    </w:p>
    <w:p w14:paraId="7B0EB807">
      <w:pPr>
        <w:pStyle w:val="10"/>
        <w:kinsoku w:val="0"/>
        <w:overflowPunct w:val="0"/>
        <w:spacing w:before="0"/>
        <w:ind w:left="0"/>
        <w:jc w:val="center"/>
        <w:rPr>
          <w:rFonts w:hint="eastAsia" w:ascii="宋体" w:hAnsi="宋体" w:eastAsia="宋体" w:cs="宋体"/>
          <w:sz w:val="32"/>
          <w:szCs w:val="32"/>
          <w:highlight w:val="none"/>
        </w:rPr>
      </w:pPr>
    </w:p>
    <w:p w14:paraId="1E0D5342">
      <w:pPr>
        <w:pStyle w:val="10"/>
        <w:kinsoku w:val="0"/>
        <w:overflowPunct w:val="0"/>
        <w:spacing w:before="0"/>
        <w:ind w:left="0"/>
        <w:jc w:val="center"/>
        <w:rPr>
          <w:rFonts w:hint="eastAsia" w:ascii="宋体" w:hAnsi="宋体" w:eastAsia="宋体" w:cs="宋体"/>
          <w:sz w:val="32"/>
          <w:szCs w:val="32"/>
          <w:highlight w:val="none"/>
        </w:rPr>
      </w:pPr>
    </w:p>
    <w:p w14:paraId="1C832C44">
      <w:pPr>
        <w:pStyle w:val="10"/>
        <w:kinsoku w:val="0"/>
        <w:overflowPunct w:val="0"/>
        <w:spacing w:before="0"/>
        <w:ind w:left="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采 购 合 同</w:t>
      </w:r>
    </w:p>
    <w:p w14:paraId="70252136">
      <w:pPr>
        <w:pStyle w:val="10"/>
        <w:kinsoku w:val="0"/>
        <w:overflowPunct w:val="0"/>
        <w:spacing w:before="0"/>
        <w:ind w:left="0"/>
        <w:rPr>
          <w:rFonts w:hint="eastAsia" w:ascii="宋体" w:hAnsi="宋体" w:eastAsia="宋体" w:cs="宋体"/>
          <w:b/>
          <w:bCs/>
          <w:color w:val="auto"/>
          <w:sz w:val="32"/>
          <w:szCs w:val="32"/>
          <w:highlight w:val="none"/>
        </w:rPr>
      </w:pPr>
    </w:p>
    <w:p w14:paraId="2522C8DF">
      <w:pPr>
        <w:pStyle w:val="10"/>
        <w:kinsoku w:val="0"/>
        <w:overflowPunct w:val="0"/>
        <w:spacing w:before="0"/>
        <w:ind w:left="0"/>
        <w:rPr>
          <w:rFonts w:hint="eastAsia" w:ascii="宋体" w:hAnsi="宋体" w:eastAsia="宋体" w:cs="宋体"/>
          <w:b/>
          <w:bCs/>
          <w:color w:val="auto"/>
          <w:sz w:val="32"/>
          <w:szCs w:val="32"/>
          <w:highlight w:val="none"/>
        </w:rPr>
      </w:pPr>
    </w:p>
    <w:p w14:paraId="64DE4E78">
      <w:pPr>
        <w:pStyle w:val="10"/>
        <w:kinsoku w:val="0"/>
        <w:overflowPunct w:val="0"/>
        <w:spacing w:before="0"/>
        <w:ind w:left="0"/>
        <w:rPr>
          <w:rFonts w:hint="eastAsia" w:ascii="宋体" w:hAnsi="宋体" w:eastAsia="宋体" w:cs="宋体"/>
          <w:b/>
          <w:bCs/>
          <w:color w:val="auto"/>
          <w:sz w:val="32"/>
          <w:szCs w:val="32"/>
          <w:highlight w:val="none"/>
        </w:rPr>
      </w:pPr>
    </w:p>
    <w:p w14:paraId="0E53FBCD">
      <w:pPr>
        <w:pStyle w:val="10"/>
        <w:kinsoku w:val="0"/>
        <w:overflowPunct w:val="0"/>
        <w:spacing w:before="0"/>
        <w:ind w:left="0"/>
        <w:rPr>
          <w:rFonts w:hint="eastAsia" w:ascii="宋体" w:hAnsi="宋体" w:eastAsia="宋体" w:cs="宋体"/>
          <w:b/>
          <w:bCs/>
          <w:color w:val="auto"/>
          <w:sz w:val="32"/>
          <w:szCs w:val="32"/>
          <w:highlight w:val="none"/>
        </w:rPr>
      </w:pPr>
    </w:p>
    <w:p w14:paraId="7E9C004F">
      <w:pPr>
        <w:pStyle w:val="53"/>
        <w:kinsoku w:val="0"/>
        <w:overflowPunct w:val="0"/>
        <w:spacing w:line="356" w:lineRule="auto"/>
        <w:ind w:right="6304"/>
        <w:jc w:val="both"/>
        <w:outlineLvl w:val="9"/>
        <w:rPr>
          <w:rFonts w:hint="eastAsia" w:ascii="宋体" w:hAnsi="宋体" w:eastAsia="宋体" w:cs="宋体"/>
          <w:color w:val="auto"/>
          <w:highlight w:val="none"/>
        </w:rPr>
      </w:pPr>
    </w:p>
    <w:p w14:paraId="0D883E97">
      <w:pPr>
        <w:pStyle w:val="53"/>
        <w:kinsoku w:val="0"/>
        <w:overflowPunct w:val="0"/>
        <w:spacing w:line="356" w:lineRule="auto"/>
        <w:ind w:right="6304"/>
        <w:jc w:val="both"/>
        <w:outlineLvl w:val="9"/>
        <w:rPr>
          <w:rFonts w:hint="eastAsia" w:ascii="宋体" w:hAnsi="宋体" w:eastAsia="宋体" w:cs="宋体"/>
          <w:color w:val="auto"/>
          <w:highlight w:val="none"/>
        </w:rPr>
      </w:pPr>
    </w:p>
    <w:p w14:paraId="2BA32E88">
      <w:pPr>
        <w:pStyle w:val="53"/>
        <w:kinsoku w:val="0"/>
        <w:overflowPunct w:val="0"/>
        <w:spacing w:line="356" w:lineRule="auto"/>
        <w:ind w:right="6304"/>
        <w:jc w:val="both"/>
        <w:outlineLvl w:val="9"/>
        <w:rPr>
          <w:rFonts w:hint="eastAsia" w:ascii="宋体" w:hAnsi="宋体" w:eastAsia="宋体" w:cs="宋体"/>
          <w:color w:val="auto"/>
          <w:highlight w:val="none"/>
        </w:rPr>
      </w:pPr>
    </w:p>
    <w:p w14:paraId="151B328B">
      <w:pPr>
        <w:pStyle w:val="53"/>
        <w:kinsoku w:val="0"/>
        <w:overflowPunct w:val="0"/>
        <w:spacing w:line="356" w:lineRule="auto"/>
        <w:ind w:right="6304"/>
        <w:jc w:val="both"/>
        <w:outlineLvl w:val="9"/>
        <w:rPr>
          <w:rFonts w:hint="eastAsia" w:ascii="宋体" w:hAnsi="宋体" w:eastAsia="宋体" w:cs="宋体"/>
          <w:color w:val="auto"/>
          <w:highlight w:val="none"/>
        </w:rPr>
      </w:pPr>
    </w:p>
    <w:p w14:paraId="7B65BD1C">
      <w:pPr>
        <w:pStyle w:val="53"/>
        <w:kinsoku w:val="0"/>
        <w:overflowPunct w:val="0"/>
        <w:spacing w:line="356" w:lineRule="auto"/>
        <w:ind w:left="0" w:right="6304"/>
        <w:jc w:val="both"/>
        <w:outlineLvl w:val="9"/>
        <w:rPr>
          <w:rFonts w:hint="eastAsia" w:ascii="宋体" w:hAnsi="宋体" w:eastAsia="宋体" w:cs="宋体"/>
          <w:color w:val="auto"/>
          <w:highlight w:val="none"/>
        </w:rPr>
      </w:pPr>
    </w:p>
    <w:p w14:paraId="78AAC354">
      <w:pPr>
        <w:pStyle w:val="53"/>
        <w:kinsoku w:val="0"/>
        <w:overflowPunct w:val="0"/>
        <w:spacing w:line="356" w:lineRule="auto"/>
        <w:ind w:left="0" w:right="6304"/>
        <w:jc w:val="both"/>
        <w:outlineLvl w:val="9"/>
        <w:rPr>
          <w:rFonts w:hint="eastAsia" w:ascii="宋体" w:hAnsi="宋体" w:eastAsia="宋体" w:cs="宋体"/>
          <w:color w:val="auto"/>
          <w:highlight w:val="none"/>
        </w:rPr>
      </w:pPr>
    </w:p>
    <w:p w14:paraId="7B2042FA">
      <w:pPr>
        <w:pStyle w:val="53"/>
        <w:kinsoku w:val="0"/>
        <w:overflowPunct w:val="0"/>
        <w:spacing w:line="356" w:lineRule="auto"/>
        <w:ind w:left="0" w:right="6304"/>
        <w:jc w:val="both"/>
        <w:outlineLvl w:val="9"/>
        <w:rPr>
          <w:rFonts w:hint="eastAsia" w:ascii="宋体" w:hAnsi="宋体" w:eastAsia="宋体" w:cs="宋体"/>
          <w:color w:val="auto"/>
          <w:highlight w:val="none"/>
        </w:rPr>
      </w:pPr>
    </w:p>
    <w:p w14:paraId="6843AF84">
      <w:pPr>
        <w:pStyle w:val="53"/>
        <w:kinsoku w:val="0"/>
        <w:overflowPunct w:val="0"/>
        <w:spacing w:line="356" w:lineRule="auto"/>
        <w:ind w:left="0" w:right="6304"/>
        <w:jc w:val="both"/>
        <w:outlineLvl w:val="9"/>
        <w:rPr>
          <w:rFonts w:hint="eastAsia" w:ascii="宋体" w:hAnsi="宋体" w:eastAsia="宋体" w:cs="宋体"/>
          <w:color w:val="auto"/>
          <w:highlight w:val="none"/>
        </w:rPr>
      </w:pPr>
    </w:p>
    <w:p w14:paraId="6A5B4B66">
      <w:pPr>
        <w:pStyle w:val="53"/>
        <w:kinsoku w:val="0"/>
        <w:overflowPunct w:val="0"/>
        <w:spacing w:line="356" w:lineRule="auto"/>
        <w:ind w:left="0" w:right="6304"/>
        <w:jc w:val="both"/>
        <w:outlineLvl w:val="9"/>
        <w:rPr>
          <w:rFonts w:hint="eastAsia" w:ascii="宋体" w:hAnsi="宋体" w:eastAsia="宋体" w:cs="宋体"/>
          <w:color w:val="auto"/>
          <w:highlight w:val="none"/>
        </w:rPr>
      </w:pPr>
    </w:p>
    <w:p w14:paraId="4DCD7D55">
      <w:pPr>
        <w:pStyle w:val="53"/>
        <w:kinsoku w:val="0"/>
        <w:overflowPunct w:val="0"/>
        <w:spacing w:line="356" w:lineRule="auto"/>
        <w:ind w:left="0" w:right="6304"/>
        <w:jc w:val="both"/>
        <w:outlineLvl w:val="9"/>
        <w:rPr>
          <w:rFonts w:hint="eastAsia" w:ascii="宋体" w:hAnsi="宋体" w:eastAsia="宋体" w:cs="宋体"/>
          <w:color w:val="auto"/>
          <w:highlight w:val="none"/>
        </w:rPr>
      </w:pPr>
    </w:p>
    <w:p w14:paraId="3DA61B09">
      <w:pPr>
        <w:pStyle w:val="53"/>
        <w:kinsoku w:val="0"/>
        <w:overflowPunct w:val="0"/>
        <w:spacing w:line="356" w:lineRule="auto"/>
        <w:ind w:right="6304"/>
        <w:jc w:val="both"/>
        <w:outlineLvl w:val="9"/>
        <w:rPr>
          <w:rFonts w:hint="eastAsia" w:ascii="宋体" w:hAnsi="宋体" w:eastAsia="宋体" w:cs="宋体"/>
          <w:color w:val="auto"/>
          <w:highlight w:val="none"/>
        </w:rPr>
      </w:pPr>
    </w:p>
    <w:p w14:paraId="4B482F75">
      <w:pPr>
        <w:pStyle w:val="53"/>
        <w:kinsoku w:val="0"/>
        <w:overflowPunct w:val="0"/>
        <w:spacing w:line="720" w:lineRule="auto"/>
        <w:ind w:left="0" w:leftChars="0" w:right="6304" w:firstLine="0" w:firstLineChars="0"/>
        <w:jc w:val="both"/>
        <w:outlineLvl w:val="9"/>
        <w:rPr>
          <w:rFonts w:hint="eastAsia" w:ascii="宋体" w:hAnsi="宋体" w:eastAsia="宋体" w:cs="宋体"/>
          <w:color w:val="auto"/>
          <w:w w:val="99"/>
          <w:sz w:val="24"/>
          <w:szCs w:val="24"/>
          <w:highlight w:val="none"/>
        </w:rPr>
      </w:pPr>
      <w:r>
        <w:rPr>
          <w:rFonts w:hint="eastAsia" w:ascii="宋体" w:hAnsi="宋体" w:eastAsia="宋体" w:cs="宋体"/>
          <w:color w:val="auto"/>
          <w:sz w:val="24"/>
          <w:szCs w:val="24"/>
          <w:highlight w:val="none"/>
        </w:rPr>
        <w:t>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购</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人</w:t>
      </w:r>
      <w:r>
        <w:rPr>
          <w:rFonts w:hint="eastAsia" w:ascii="宋体" w:hAnsi="宋体" w:eastAsia="宋体" w:cs="宋体"/>
          <w:color w:val="auto"/>
          <w:sz w:val="24"/>
          <w:szCs w:val="24"/>
          <w:highlight w:val="none"/>
        </w:rPr>
        <w:t>：</w:t>
      </w:r>
      <w:r>
        <w:rPr>
          <w:rFonts w:hint="eastAsia" w:ascii="宋体" w:hAnsi="宋体" w:eastAsia="宋体" w:cs="宋体"/>
          <w:color w:val="auto"/>
          <w:w w:val="99"/>
          <w:sz w:val="24"/>
          <w:szCs w:val="24"/>
          <w:highlight w:val="none"/>
        </w:rPr>
        <w:t xml:space="preserve"> </w:t>
      </w:r>
    </w:p>
    <w:p w14:paraId="2438B54F">
      <w:pPr>
        <w:pStyle w:val="53"/>
        <w:kinsoku w:val="0"/>
        <w:overflowPunct w:val="0"/>
        <w:spacing w:line="720" w:lineRule="auto"/>
        <w:ind w:left="0" w:leftChars="0" w:right="6304" w:firstLine="0" w:firstLineChars="0"/>
        <w:jc w:val="both"/>
        <w:outlineLvl w:val="9"/>
        <w:rPr>
          <w:rFonts w:hint="eastAsia" w:ascii="宋体" w:hAnsi="宋体" w:eastAsia="宋体" w:cs="宋体"/>
          <w:color w:val="auto"/>
          <w:w w:val="99"/>
          <w:sz w:val="24"/>
          <w:szCs w:val="24"/>
          <w:highlight w:val="none"/>
        </w:rPr>
      </w:pPr>
      <w:r>
        <w:rPr>
          <w:rFonts w:hint="eastAsia" w:ascii="宋体" w:hAnsi="宋体" w:eastAsia="宋体" w:cs="宋体"/>
          <w:color w:val="auto"/>
          <w:sz w:val="24"/>
          <w:szCs w:val="24"/>
          <w:highlight w:val="none"/>
        </w:rPr>
        <w:t>供</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应</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商</w:t>
      </w:r>
      <w:r>
        <w:rPr>
          <w:rFonts w:hint="eastAsia" w:ascii="宋体" w:hAnsi="宋体" w:eastAsia="宋体" w:cs="宋体"/>
          <w:color w:val="auto"/>
          <w:sz w:val="24"/>
          <w:szCs w:val="24"/>
          <w:highlight w:val="none"/>
        </w:rPr>
        <w:t>：</w:t>
      </w:r>
      <w:r>
        <w:rPr>
          <w:rFonts w:hint="eastAsia" w:ascii="宋体" w:hAnsi="宋体" w:eastAsia="宋体" w:cs="宋体"/>
          <w:color w:val="auto"/>
          <w:w w:val="99"/>
          <w:sz w:val="24"/>
          <w:szCs w:val="24"/>
          <w:highlight w:val="none"/>
        </w:rPr>
        <w:t xml:space="preserve"> </w:t>
      </w:r>
    </w:p>
    <w:p w14:paraId="7ECCD7DB">
      <w:pPr>
        <w:pStyle w:val="10"/>
        <w:kinsoku w:val="0"/>
        <w:overflowPunct w:val="0"/>
        <w:spacing w:before="47" w:line="72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pacing w:val="1"/>
          <w:sz w:val="24"/>
          <w:szCs w:val="24"/>
          <w:highlight w:val="none"/>
        </w:rPr>
        <w:t>签订日期：×年×月×日</w:t>
      </w:r>
    </w:p>
    <w:p w14:paraId="73AFFC60">
      <w:pPr>
        <w:pStyle w:val="10"/>
        <w:kinsoku w:val="0"/>
        <w:overflowPunct w:val="0"/>
        <w:spacing w:before="47"/>
        <w:ind w:left="0"/>
        <w:jc w:val="both"/>
        <w:rPr>
          <w:rFonts w:hint="eastAsia" w:ascii="宋体" w:hAnsi="宋体" w:eastAsia="宋体" w:cs="宋体"/>
          <w:bCs/>
          <w:color w:val="auto"/>
          <w:highlight w:val="none"/>
        </w:rPr>
      </w:pPr>
    </w:p>
    <w:p w14:paraId="6E7A18EA">
      <w:pPr>
        <w:pStyle w:val="10"/>
        <w:kinsoku w:val="0"/>
        <w:overflowPunct w:val="0"/>
        <w:spacing w:before="47"/>
        <w:ind w:left="0"/>
        <w:jc w:val="both"/>
        <w:rPr>
          <w:rFonts w:hint="eastAsia" w:ascii="宋体" w:hAnsi="宋体" w:eastAsia="宋体" w:cs="宋体"/>
          <w:bCs/>
          <w:color w:val="auto"/>
          <w:highlight w:val="none"/>
        </w:rPr>
      </w:pPr>
      <w:r>
        <w:rPr>
          <w:rFonts w:hint="eastAsia" w:ascii="宋体" w:hAnsi="宋体" w:eastAsia="宋体" w:cs="宋体"/>
          <w:bCs/>
          <w:color w:val="auto"/>
          <w:highlight w:val="none"/>
        </w:rPr>
        <w:t>注：本合同仅作为参考文本，合同签订双方可根据项目的具体要求进行签订。</w:t>
      </w:r>
    </w:p>
    <w:p w14:paraId="22353CB3">
      <w:pPr>
        <w:pStyle w:val="10"/>
        <w:kinsoku w:val="0"/>
        <w:overflowPunct w:val="0"/>
        <w:spacing w:before="34" w:line="357" w:lineRule="auto"/>
        <w:ind w:right="126" w:firstLine="480"/>
        <w:rPr>
          <w:rFonts w:hint="eastAsia" w:ascii="宋体" w:hAnsi="宋体" w:eastAsia="宋体" w:cs="宋体"/>
          <w:bCs/>
          <w:color w:val="auto"/>
          <w:highlight w:val="none"/>
        </w:rPr>
      </w:pPr>
    </w:p>
    <w:p w14:paraId="012E0694">
      <w:pPr>
        <w:numPr>
          <w:ilvl w:val="0"/>
          <w:numId w:val="5"/>
        </w:num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术语定义</w:t>
      </w:r>
    </w:p>
    <w:p w14:paraId="28F73EE6">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本政府采购合同下列术语应解释为：</w:t>
      </w:r>
    </w:p>
    <w:p w14:paraId="48CE90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1“政府采购合同”指供需双方依照政府采购程序、按照采购文件、响应文件确定的事项所达成的协议，包括附件、附录和上述文件所提到的构成政府采购合同的所有文件。</w:t>
      </w:r>
    </w:p>
    <w:p w14:paraId="30D2FE4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2 “政府采购合同价”指根据合同约定供方在正确地完全履行政府采购合同义务后需方应支付给供方的价格。</w:t>
      </w:r>
    </w:p>
    <w:p w14:paraId="072EBF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3 “服务”指政府采购合同服务清单（同响应文件中报价一览表及其附表，下同）所约定的服务内容。</w:t>
      </w:r>
    </w:p>
    <w:p w14:paraId="7551EED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5 “需方”指项目基本内容及要求中所述取得产品和服务的采购单位。</w:t>
      </w:r>
    </w:p>
    <w:p w14:paraId="1A1170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6 “供方”指项目基本内容及要求中所述提供产品和服务的中标供应商。</w:t>
      </w:r>
    </w:p>
    <w:p w14:paraId="6991A5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7 “检验”指需方按照政府采购合同约定的标准对供方所提供服务进行的检测和查验。</w:t>
      </w:r>
    </w:p>
    <w:p w14:paraId="5E495D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8 “验收书”指采购单位或采购代理机构根据合同履约验收意见书形成反映采购单位和组织验收机构意见的文件。</w:t>
      </w:r>
    </w:p>
    <w:p w14:paraId="489093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1.9“天”指日历天数（如无特别说明）。</w:t>
      </w:r>
    </w:p>
    <w:p w14:paraId="1BB0CD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10“第三人”是指本政府采购合同双方以外的任何中国境内外的自然人、法人或其它经济组织。</w:t>
      </w:r>
    </w:p>
    <w:p w14:paraId="789EB66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11“法律、法规”是指由中国各级政府及有关部门制定的法律、行政法规、地方性法规、规章及其它规范性文件的有关规定。</w:t>
      </w:r>
    </w:p>
    <w:p w14:paraId="17C61C0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12“采购文件”指采购人或采购代理机构发布的采购文件。</w:t>
      </w:r>
    </w:p>
    <w:p w14:paraId="2C8B90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13“响应文件”指供方按照采购代理机构采购文件的要求编制和递交，并最终被评标委员会接受的响应文件。</w:t>
      </w:r>
    </w:p>
    <w:p w14:paraId="04BFB97E">
      <w:pPr>
        <w:adjustRightInd w:val="0"/>
        <w:snapToGrid w:val="0"/>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2.技术规范与服务内容</w:t>
      </w:r>
    </w:p>
    <w:p w14:paraId="2B9D1989">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2.1所响应服务的技术规范应与采购文件规定的技术规范（如果有的话）相一致。若无相应说明，则以国家有关部门最新颁布的相应标准及规范为准。</w:t>
      </w:r>
    </w:p>
    <w:p w14:paraId="27F25FFF">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所响应服务的服务内容应与采购文件规定服务内容及响应文件中的项目要求及投标响应表一致。</w:t>
      </w:r>
    </w:p>
    <w:p w14:paraId="152092A0">
      <w:pPr>
        <w:adjustRightInd w:val="0"/>
        <w:snapToGrid w:val="0"/>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3.知识产权</w:t>
      </w:r>
    </w:p>
    <w:p w14:paraId="4AF7ED63">
      <w:pPr>
        <w:adjustRightInd w:val="0"/>
        <w:snapToGrid w:val="0"/>
        <w:spacing w:line="360" w:lineRule="auto"/>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5C68DA54">
      <w:pPr>
        <w:adjustRightInd w:val="0"/>
        <w:snapToGrid w:val="0"/>
        <w:spacing w:line="360" w:lineRule="auto"/>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3.2供方应保证所供服务符合国家的有关规定。</w:t>
      </w:r>
    </w:p>
    <w:p w14:paraId="507B2213">
      <w:pPr>
        <w:tabs>
          <w:tab w:val="left" w:pos="360"/>
        </w:tabs>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6E925669">
      <w:pPr>
        <w:adjustRightInd w:val="0"/>
        <w:snapToGrid w:val="0"/>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4.完成方式</w:t>
      </w:r>
    </w:p>
    <w:p w14:paraId="1C52BAE2">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供方按照合同约定的时间、地点完成服务。</w:t>
      </w:r>
    </w:p>
    <w:p w14:paraId="6C81416F">
      <w:pPr>
        <w:adjustRightInd w:val="0"/>
        <w:snapToGrid w:val="0"/>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5.付款</w:t>
      </w:r>
    </w:p>
    <w:p w14:paraId="13D19A6E">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5.1政府采购合同以人民币付款。</w:t>
      </w:r>
    </w:p>
    <w:p w14:paraId="4383AB4E">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5.2在供方按照政府采购合同的规定履行服务后，需方按照合同约定的方式和条件付款。</w:t>
      </w:r>
    </w:p>
    <w:p w14:paraId="1B2EB27F">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6.服务质量</w:t>
      </w:r>
    </w:p>
    <w:p w14:paraId="2AD48AC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6.1供方应保证政府采购合同项下所供服务是由供方提供的，并完全符合强制性的国家技术质量规范和政府采购合同规定的质量、性能和技术规范等要求。</w:t>
      </w:r>
    </w:p>
    <w:p w14:paraId="75BE4A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6.2供方提供的服务质量应满足行业一般标准，符合合同约定。</w:t>
      </w:r>
    </w:p>
    <w:p w14:paraId="47CA53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6.3需方有权对供方的服务质量进行监督，发现服务存在不符合合同标准的情形的，可以要求供方改正服务方式、替换服务人员等补救方式，供方应按需方要求改正，并赔偿需方实际损失。</w:t>
      </w:r>
    </w:p>
    <w:p w14:paraId="75B993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对于委托开发等最终以产品形式交付需方使用的服务，供方需按照采购文件要求对产品提供售后服务及质量保证，供方响应文件承诺的售后服务及质量保证优于采购文件要求的，以响应文件承诺的售后服务及质量保证为准。</w:t>
      </w:r>
    </w:p>
    <w:p w14:paraId="0B5140A5">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7.技术服务和保修责任</w:t>
      </w:r>
    </w:p>
    <w:p w14:paraId="5D790EB0">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7.1本条适用于委托开发等最终以产品形式交付需方使用的服务。</w:t>
      </w:r>
    </w:p>
    <w:p w14:paraId="1E947AFB">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7.2供方对交付的产品的保修期，以采购文件中的规定为准，如果响应文件中的承诺优于采购文件规定，则以响应文件为准。</w:t>
      </w:r>
    </w:p>
    <w:p w14:paraId="302645BE">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7.3供方应按如下内容提供售后服务：</w:t>
      </w:r>
    </w:p>
    <w:p w14:paraId="79689771">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7.3.1产品经过试运行期，所有性能指标达到技术规范书的要求时，可按采购文件、响应文件内容进行初验。在试运行期间，由于产品质量等造成某些指标达不到要求，供方须更换或进行修复，试运行期重新计算。</w:t>
      </w:r>
    </w:p>
    <w:p w14:paraId="620FAE1D">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32D7747E">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7.3.3保修期间供方要保修除消耗品以外的所有产品。如果系统、设备等发生故障，供方要调查故障原因并修复直至满足最终验收指标和性能的要求，或者修理、更换整个或部分有缺陷的材料。</w:t>
      </w:r>
    </w:p>
    <w:p w14:paraId="2F1ADB1E">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7.3.4保修期内，供方提供电话、电子邮件、Web、现场服务等方式的技术支持，对用户的现场服务要求，供方必须按响应文件做出的承诺进行响应。</w:t>
      </w:r>
    </w:p>
    <w:p w14:paraId="06495554">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7.3.5保修期内，供方应对出现故障无法修复的产品或无法正常运行的系统，提供替代产品以保证系统的正常工作。</w:t>
      </w:r>
    </w:p>
    <w:p w14:paraId="30D844A6">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7.3.6保修期内，供方应投标时的承诺提供相关服务。</w:t>
      </w:r>
    </w:p>
    <w:p w14:paraId="68505B16">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0223C36">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7B18D059">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4C1D6861">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42379C9E">
      <w:pPr>
        <w:adjustRightInd w:val="0"/>
        <w:snapToGrid w:val="0"/>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8.检验和验收</w:t>
      </w:r>
    </w:p>
    <w:p w14:paraId="02D78CA1">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8.1完成服务后，需方或采购代理机构（由具体项目决定）应在政府采购合同规定的时间内组织验收，并在“验收书”上签字。“验收书”将作为申请付款文件的一部分。</w:t>
      </w:r>
    </w:p>
    <w:p w14:paraId="09253AB7">
      <w:pPr>
        <w:adjustRightInd w:val="0"/>
        <w:snapToGrid w:val="0"/>
        <w:spacing w:line="360" w:lineRule="auto"/>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8.2对于委托开发等最终以产品形式交付需方使用的服务，保修期自验收书签署之日起计算。</w:t>
      </w:r>
    </w:p>
    <w:p w14:paraId="186C3718">
      <w:pPr>
        <w:tabs>
          <w:tab w:val="left" w:pos="360"/>
        </w:tabs>
        <w:adjustRightInd w:val="0"/>
        <w:snapToGrid w:val="0"/>
        <w:spacing w:line="360" w:lineRule="auto"/>
        <w:ind w:firstLine="525" w:firstLineChars="21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9.违约责任</w:t>
      </w:r>
    </w:p>
    <w:p w14:paraId="5F723DA6">
      <w:pPr>
        <w:adjustRightInd w:val="0"/>
        <w:snapToGrid w:val="0"/>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43DDCB7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9.1.1在需方同意延长的期限内提供服务并承担由此给需方造成的一切损失；</w:t>
      </w:r>
    </w:p>
    <w:p w14:paraId="72E869B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9.1.2在需方规定的时间内，用符合政府采购合同规定的服务以达到政府采购合同规定的要求，供方应承担由此发生的一切费用和风险。此时，相关服务的期限也应相应延长；</w:t>
      </w:r>
    </w:p>
    <w:p w14:paraId="3E1492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9.1.3需方有权部分或全部解除政府采购合同并要求供方赔偿由此造成的损失。此时需方可采取必要的补救措施，相关费用由供方承担。</w:t>
      </w:r>
    </w:p>
    <w:p w14:paraId="04F1D2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193A0D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9.3延期服务的违约责任</w:t>
      </w:r>
    </w:p>
    <w:p w14:paraId="2F6988C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3B8361E6">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9.4以上各项交付的违约金并不影响违约方履行政府采购合同的各项义务。</w:t>
      </w:r>
    </w:p>
    <w:p w14:paraId="0CD04BBD">
      <w:pPr>
        <w:adjustRightInd w:val="0"/>
        <w:snapToGrid w:val="0"/>
        <w:spacing w:line="360" w:lineRule="auto"/>
        <w:ind w:left="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10.不可抗力</w:t>
      </w:r>
    </w:p>
    <w:p w14:paraId="634A8EB4">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0CFA8317">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10.2本条所述的“不可抗力”系指那些双方无法控制，不可预见的事件，但不包括双方的违约或疏忽。这些事件包括但不限于：战争、严重火灾、洪水、台风、地震。</w:t>
      </w:r>
    </w:p>
    <w:p w14:paraId="68EB8243">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3EA50475">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11.争端的解决</w:t>
      </w:r>
    </w:p>
    <w:p w14:paraId="60F91EC0">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11.1需方和供方应通过友好协商，解决在执行本政府采购合同过程中所发生的或与本政府采购合同有关的一切争端。</w:t>
      </w:r>
    </w:p>
    <w:p w14:paraId="0515D533">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11.2如果协商不成，双方中的任何一方可向需方所在地的人民法院提起诉讼。</w:t>
      </w:r>
    </w:p>
    <w:p w14:paraId="768E2251">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11.3因政府采购合同部分履行引发诉讼的，在诉讼期间，除正在进行诉讼的部分外，本政府采购合同的其它部分应继续执行。</w:t>
      </w:r>
    </w:p>
    <w:p w14:paraId="5D3B5415">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12.违约终止政府采购合同</w:t>
      </w:r>
    </w:p>
    <w:p w14:paraId="1A1C985B">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12.1在需方因供方违约而按政府采购合同约定采取的任何补救措施不起作用的情况下，需方可在下列情况下向供方发出书面通知，提出终止部分或全部政府采购合同。</w:t>
      </w:r>
    </w:p>
    <w:p w14:paraId="73740021">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12.1.1如果供方未能在政府采购合同规定的限期或需方同意延长的限期内提供部分或全部服务；</w:t>
      </w:r>
    </w:p>
    <w:p w14:paraId="53C01869">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12.1.2如果供方未能履行政府采购合同规定的其它任何义务。</w:t>
      </w:r>
    </w:p>
    <w:p w14:paraId="2688964A">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12.1.3未经需方事先书面同意，供方部分转让和分包或全部转让和分包其应履行的政府采购合同义务。</w:t>
      </w:r>
    </w:p>
    <w:p w14:paraId="08B41790">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620425B0">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13.政府采购法对政府采购合同变更终止的规定</w:t>
      </w:r>
    </w:p>
    <w:p w14:paraId="5F000497">
      <w:pPr>
        <w:adjustRightInd w:val="0"/>
        <w:snapToGrid w:val="0"/>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5A3CC49A">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14.政府采购合同转让和分包</w:t>
      </w:r>
    </w:p>
    <w:p w14:paraId="17EA1DAC">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除采购文件规定,并经需方事先书面同意外，供方不得部分转让和分包或全部转让和分包其应履行的政府采购合同义务。</w:t>
      </w:r>
    </w:p>
    <w:p w14:paraId="5A4085DA">
      <w:pPr>
        <w:adjustRightInd w:val="0"/>
        <w:snapToGrid w:val="0"/>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15.适用法律：</w:t>
      </w:r>
      <w:r>
        <w:rPr>
          <w:rFonts w:hint="eastAsia" w:ascii="宋体" w:hAnsi="宋体" w:eastAsia="宋体" w:cs="宋体"/>
          <w:color w:val="auto"/>
          <w:sz w:val="24"/>
          <w:szCs w:val="24"/>
          <w:highlight w:val="none"/>
        </w:rPr>
        <w:t>本政府采购合同按照中华人民共和国的现行法律进行解释。</w:t>
      </w:r>
    </w:p>
    <w:p w14:paraId="77E4B62A">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16.政府采购合同生效</w:t>
      </w:r>
    </w:p>
    <w:p w14:paraId="11DAC919">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16.1本政府采购合同在供需双方法定代表人或其授权代理人签字和加盖公章后生效。</w:t>
      </w:r>
    </w:p>
    <w:p w14:paraId="43D75F6D">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16.2本政府采购合同一式五份，需方执二份，供方、采购代理机构、财政部门各执一份。 </w:t>
      </w:r>
    </w:p>
    <w:p w14:paraId="45855127">
      <w:pPr>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17.政府采购合同附件</w:t>
      </w:r>
    </w:p>
    <w:p w14:paraId="6DD5BA90">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下列文件构成本政府采购合同不可分割的组成部分，与本政府采购合同具有同等法律效力：</w:t>
      </w:r>
    </w:p>
    <w:p w14:paraId="2C80D661">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17.1采购文件；</w:t>
      </w:r>
    </w:p>
    <w:p w14:paraId="7FD08C5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17.2采购文件的更正公告、变更公告；</w:t>
      </w:r>
    </w:p>
    <w:p w14:paraId="46FC667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17.3成交供应商提交的响应文件；        </w:t>
      </w:r>
    </w:p>
    <w:p w14:paraId="3434414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17.4政府采购合同条款；</w:t>
      </w:r>
    </w:p>
    <w:p w14:paraId="7315C923">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17.5成交通知书；</w:t>
      </w:r>
    </w:p>
    <w:p w14:paraId="03039BAB">
      <w:pPr>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17.6政府采购合同的其它附件。</w:t>
      </w:r>
      <w:bookmarkStart w:id="12" w:name="_Toc4485697"/>
      <w:bookmarkStart w:id="13" w:name="_Toc533340224"/>
    </w:p>
    <w:p w14:paraId="6E6D995C">
      <w:pPr>
        <w:rPr>
          <w:rFonts w:hint="eastAsia" w:ascii="宋体" w:hAnsi="宋体" w:eastAsia="宋体" w:cs="宋体"/>
          <w:color w:val="auto"/>
          <w:sz w:val="24"/>
          <w:szCs w:val="24"/>
          <w:highlight w:val="none"/>
        </w:rPr>
      </w:pPr>
    </w:p>
    <w:p w14:paraId="2AECE72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合同格式</w:t>
      </w:r>
      <w:bookmarkEnd w:id="12"/>
      <w:bookmarkEnd w:id="13"/>
      <w:r>
        <w:rPr>
          <w:rFonts w:hint="eastAsia" w:ascii="宋体" w:hAnsi="宋体" w:eastAsia="宋体" w:cs="宋体"/>
          <w:color w:val="auto"/>
          <w:sz w:val="24"/>
          <w:szCs w:val="24"/>
          <w:highlight w:val="none"/>
        </w:rPr>
        <w:t xml:space="preserve">                    </w:t>
      </w:r>
    </w:p>
    <w:p w14:paraId="17F6A905">
      <w:pPr>
        <w:spacing w:before="333" w:beforeLines="100" w:after="333" w:afterLines="100"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政府采购合同格式</w:t>
      </w:r>
    </w:p>
    <w:p w14:paraId="36B711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政府采购合同编号：</w:t>
      </w:r>
    </w:p>
    <w:p w14:paraId="0450AD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20731387">
      <w:pPr>
        <w:adjustRightInd w:val="0"/>
        <w:snapToGrid w:val="0"/>
        <w:spacing w:line="360" w:lineRule="auto"/>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(需方名称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（以下简称需方）和</w:t>
      </w:r>
      <w:r>
        <w:rPr>
          <w:rFonts w:hint="eastAsia" w:ascii="宋体" w:hAnsi="宋体" w:eastAsia="宋体" w:cs="宋体"/>
          <w:color w:val="auto"/>
          <w:sz w:val="24"/>
          <w:szCs w:val="24"/>
          <w:highlight w:val="none"/>
          <w:u w:val="single"/>
        </w:rPr>
        <w:t xml:space="preserve">   (供方名称)    </w:t>
      </w:r>
      <w:r>
        <w:rPr>
          <w:rFonts w:hint="eastAsia" w:ascii="宋体" w:hAnsi="宋体" w:eastAsia="宋体" w:cs="宋体"/>
          <w:color w:val="auto"/>
          <w:sz w:val="24"/>
          <w:szCs w:val="24"/>
          <w:highlight w:val="none"/>
        </w:rPr>
        <w:t xml:space="preserve"> （以下简称供方）根据《中华人民共和国合同法》和有关法律法规，遵循平等、自愿、公平和诚实信用原则，同意按照下面的条款和条件订立本政府采购合同，共同信守。</w:t>
      </w:r>
    </w:p>
    <w:p w14:paraId="37FA001F">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一、政府采购合同文件</w:t>
      </w:r>
    </w:p>
    <w:p w14:paraId="1C7CA46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本政府采购合同所附下列文件是构成本政府采购合同不可分割的部分：</w:t>
      </w:r>
    </w:p>
    <w:p w14:paraId="68E84DA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1.采购文件（采购文件编号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AD0C1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2.采购文件的更正公告、变更公告；</w:t>
      </w:r>
    </w:p>
    <w:p w14:paraId="0316186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3.成交供应商提交的响应文件；</w:t>
      </w:r>
    </w:p>
    <w:p w14:paraId="3E1D116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4.政府采购合同条款；</w:t>
      </w:r>
    </w:p>
    <w:p w14:paraId="47B90E5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5.成交通知书；</w:t>
      </w:r>
    </w:p>
    <w:p w14:paraId="3FB590F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6.政府采购合同的其它附件。</w:t>
      </w:r>
    </w:p>
    <w:p w14:paraId="70ADB243">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二、政府采购合同范围和条件</w:t>
      </w:r>
    </w:p>
    <w:p w14:paraId="03FE3AE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本政府采购合同的范围和条件与上述政府采购合同文件的规定相一致。</w:t>
      </w:r>
    </w:p>
    <w:p w14:paraId="26912495">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三、政府采购合同标的</w:t>
      </w:r>
    </w:p>
    <w:p w14:paraId="418F433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本政府采购合同的标的为采购文件中所列相关服务。</w:t>
      </w:r>
    </w:p>
    <w:p w14:paraId="537015A6">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四、政府采购合同金额</w:t>
      </w:r>
    </w:p>
    <w:p w14:paraId="6517441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根据上述政府采购合同文件要求，政府采购合同的总金额（年利率）为人民币</w:t>
      </w:r>
      <w:r>
        <w:rPr>
          <w:rFonts w:hint="eastAsia" w:ascii="宋体" w:hAnsi="宋体" w:eastAsia="宋体" w:cs="宋体"/>
          <w:color w:val="auto"/>
          <w:sz w:val="24"/>
          <w:szCs w:val="24"/>
          <w:highlight w:val="none"/>
          <w:u w:val="single"/>
        </w:rPr>
        <w:t xml:space="preserve">  （大写）                </w:t>
      </w:r>
      <w:r>
        <w:rPr>
          <w:rFonts w:hint="eastAsia" w:ascii="宋体" w:hAnsi="宋体" w:eastAsia="宋体" w:cs="宋体"/>
          <w:color w:val="auto"/>
          <w:sz w:val="24"/>
          <w:szCs w:val="24"/>
          <w:highlight w:val="none"/>
        </w:rPr>
        <w:t xml:space="preserve"> 元。</w:t>
      </w:r>
    </w:p>
    <w:p w14:paraId="375D101D">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五、付款方式及条件</w:t>
      </w:r>
    </w:p>
    <w:p w14:paraId="0F4D1D6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六、服务时间和服务地点</w:t>
      </w:r>
      <w:r>
        <w:rPr>
          <w:rFonts w:hint="eastAsia" w:ascii="宋体" w:hAnsi="宋体" w:eastAsia="宋体" w:cs="宋体"/>
          <w:color w:val="auto"/>
          <w:sz w:val="24"/>
          <w:szCs w:val="24"/>
          <w:highlight w:val="none"/>
        </w:rPr>
        <w:t xml:space="preserve">   </w:t>
      </w:r>
    </w:p>
    <w:p w14:paraId="5338DA84">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1.服务时间：</w:t>
      </w:r>
      <w:r>
        <w:rPr>
          <w:rFonts w:hint="eastAsia" w:ascii="宋体" w:hAnsi="宋体" w:eastAsia="宋体" w:cs="宋体"/>
          <w:color w:val="auto"/>
          <w:sz w:val="24"/>
          <w:szCs w:val="24"/>
          <w:highlight w:val="none"/>
          <w:u w:val="single"/>
        </w:rPr>
        <w:t xml:space="preserve">        </w:t>
      </w:r>
    </w:p>
    <w:p w14:paraId="018A4263">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2.服务地点：</w:t>
      </w:r>
      <w:r>
        <w:rPr>
          <w:rFonts w:hint="eastAsia" w:ascii="宋体" w:hAnsi="宋体" w:eastAsia="宋体" w:cs="宋体"/>
          <w:color w:val="auto"/>
          <w:sz w:val="24"/>
          <w:szCs w:val="24"/>
          <w:highlight w:val="none"/>
          <w:u w:val="single"/>
        </w:rPr>
        <w:t xml:space="preserve">        </w:t>
      </w:r>
    </w:p>
    <w:p w14:paraId="63886A4D">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七、验收要求</w:t>
      </w:r>
    </w:p>
    <w:p w14:paraId="69D5F4B2">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供方完全履行合同义务后，需方或需方的最终用户按照上述政府采购合同文件列明的标准进行验收，验收不合格的，供方需按照第八条的约定承担相应违约责任。</w:t>
      </w:r>
    </w:p>
    <w:p w14:paraId="5B083805">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八、违约责任</w:t>
      </w:r>
    </w:p>
    <w:p w14:paraId="0DCB1A6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1.供方逾期提供服务的，每逾期一天向需方支付合同金额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日的，需方有权单方面解除本协议。</w:t>
      </w:r>
    </w:p>
    <w:p w14:paraId="3EB29F5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2.供方提供的服务不符合约定的，需方有权向供方书面提出整改意见，供方需无条件整改至符合约定，自需方向供方提出书面意见之日起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日内，供方仍未整改或整改后服务仍不符合约定的，需方有权单方面解除本协议。</w:t>
      </w:r>
    </w:p>
    <w:p w14:paraId="42375B1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3.需方逾期付款的，每逾期一天向供方支付逾期金额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日的，供方有权单方面解除本协议。</w:t>
      </w:r>
    </w:p>
    <w:p w14:paraId="33532C88">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九、争议解决</w:t>
      </w:r>
    </w:p>
    <w:p w14:paraId="57BBB68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双方因履行本协议而产生的争议，应友好协商解决，协商不成的，任何一方可向需方所在地的人民法院提起诉讼。</w:t>
      </w:r>
    </w:p>
    <w:p w14:paraId="0BCC3A7A">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十、合同生效</w:t>
      </w:r>
    </w:p>
    <w:p w14:paraId="4EFE063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本政府采购合同经双方授权代表签字盖章后生效。</w:t>
      </w:r>
    </w:p>
    <w:p w14:paraId="0BCB1A5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需方（公章）:                       供方(公章):</w:t>
      </w:r>
    </w:p>
    <w:p w14:paraId="00D4C40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       法定代表人或授权代表人(签字):</w:t>
      </w:r>
    </w:p>
    <w:p w14:paraId="76E06F8E">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14:paraId="0C9AF7F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u w:val="single"/>
        </w:rPr>
        <w:t xml:space="preserve">                        </w:t>
      </w:r>
    </w:p>
    <w:p w14:paraId="752CF996">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3E63580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7D6A6D6F">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44A93204">
      <w:pPr>
        <w:adjustRightInd w:val="0"/>
        <w:snapToGrid w:val="0"/>
        <w:spacing w:line="360" w:lineRule="auto"/>
        <w:ind w:firstLine="480" w:firstLineChars="200"/>
        <w:rPr>
          <w:sz w:val="28"/>
          <w:szCs w:val="28"/>
        </w:rPr>
        <w:sectPr>
          <w:footerReference r:id="rId5" w:type="default"/>
          <w:pgSz w:w="11907" w:h="16840"/>
          <w:pgMar w:top="1165" w:right="1130" w:bottom="1060" w:left="1700" w:header="830" w:footer="886" w:gutter="0"/>
          <w:pgNumType w:fmt="decimal"/>
          <w:cols w:space="720" w:num="1"/>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年      月    </w:t>
      </w:r>
    </w:p>
    <w:p w14:paraId="2834DBDC">
      <w:pPr>
        <w:pStyle w:val="3"/>
        <w:spacing w:line="360" w:lineRule="auto"/>
        <w:jc w:val="both"/>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p>
    <w:p w14:paraId="25EF9E08">
      <w:pPr>
        <w:pStyle w:val="7"/>
        <w:spacing w:line="360" w:lineRule="auto"/>
        <w:rPr>
          <w:rFonts w:hint="default" w:ascii="Times New Roman" w:hAnsi="Times New Roman" w:cs="Times New Roman"/>
          <w:highlight w:val="none"/>
        </w:rPr>
      </w:pPr>
    </w:p>
    <w:p w14:paraId="4624CE8D">
      <w:pPr>
        <w:spacing w:line="360" w:lineRule="auto"/>
        <w:jc w:val="center"/>
        <w:rPr>
          <w:rFonts w:hint="default" w:ascii="Times New Roman" w:hAnsi="Times New Roman" w:cs="Times New Roman"/>
          <w:bCs/>
          <w:sz w:val="32"/>
          <w:szCs w:val="32"/>
          <w:highlight w:val="none"/>
        </w:rPr>
      </w:pPr>
    </w:p>
    <w:p w14:paraId="2DB37DAA">
      <w:pPr>
        <w:spacing w:line="360" w:lineRule="auto"/>
        <w:rPr>
          <w:rFonts w:hint="default" w:ascii="Times New Roman" w:hAnsi="Times New Roman" w:cs="Times New Roman"/>
          <w:b/>
          <w:sz w:val="32"/>
          <w:szCs w:val="32"/>
          <w:highlight w:val="none"/>
        </w:rPr>
      </w:pPr>
      <w:r>
        <w:rPr>
          <w:rFonts w:hint="default" w:ascii="Times New Roman" w:hAnsi="Times New Roman" w:cs="Times New Roman"/>
          <w:highlight w:val="none"/>
        </w:rPr>
        <w:t xml:space="preserve">     </w:t>
      </w:r>
      <w:r>
        <w:rPr>
          <w:rFonts w:hint="default" w:ascii="Times New Roman" w:hAnsi="Times New Roman" w:cs="Times New Roman"/>
          <w:b/>
          <w:sz w:val="32"/>
          <w:szCs w:val="32"/>
          <w:highlight w:val="none"/>
        </w:rPr>
        <w:t xml:space="preserve">                                       </w:t>
      </w:r>
    </w:p>
    <w:p w14:paraId="7C1A80F0">
      <w:pPr>
        <w:spacing w:line="360" w:lineRule="auto"/>
        <w:jc w:val="center"/>
        <w:rPr>
          <w:rFonts w:hint="default" w:ascii="Times New Roman" w:hAnsi="Times New Roman" w:cs="Times New Roman"/>
          <w:b/>
          <w:sz w:val="84"/>
          <w:highlight w:val="none"/>
        </w:rPr>
      </w:pPr>
      <w:r>
        <w:rPr>
          <w:rFonts w:hint="default" w:ascii="Times New Roman" w:hAnsi="Times New Roman" w:cs="Times New Roman"/>
          <w:b/>
          <w:sz w:val="84"/>
          <w:highlight w:val="none"/>
        </w:rPr>
        <w:t>投标文件</w:t>
      </w:r>
    </w:p>
    <w:p w14:paraId="3064D95A">
      <w:pPr>
        <w:spacing w:line="360" w:lineRule="auto"/>
        <w:rPr>
          <w:rFonts w:hint="default" w:ascii="Times New Roman" w:hAnsi="Times New Roman" w:cs="Times New Roman"/>
          <w:highlight w:val="none"/>
        </w:rPr>
      </w:pPr>
    </w:p>
    <w:p w14:paraId="75041EA8">
      <w:pPr>
        <w:pStyle w:val="24"/>
        <w:spacing w:beforeLines="0" w:after="0" w:afterLines="0" w:line="360" w:lineRule="auto"/>
        <w:ind w:left="0" w:leftChars="0"/>
        <w:rPr>
          <w:rFonts w:hint="default" w:ascii="Times New Roman" w:hAnsi="Times New Roman" w:cs="Times New Roman"/>
          <w:highlight w:val="none"/>
        </w:rPr>
      </w:pPr>
    </w:p>
    <w:p w14:paraId="65535700">
      <w:pPr>
        <w:pStyle w:val="24"/>
        <w:spacing w:beforeLines="0" w:after="0" w:afterLines="0" w:line="360" w:lineRule="auto"/>
        <w:ind w:left="0" w:leftChars="0"/>
        <w:rPr>
          <w:rFonts w:hint="default" w:ascii="Times New Roman" w:hAnsi="Times New Roman" w:cs="Times New Roman"/>
          <w:highlight w:val="none"/>
        </w:rPr>
      </w:pPr>
    </w:p>
    <w:p w14:paraId="275FCF98">
      <w:pPr>
        <w:pStyle w:val="24"/>
        <w:spacing w:beforeLines="0" w:after="0" w:afterLines="0" w:line="360" w:lineRule="auto"/>
        <w:ind w:left="0" w:leftChars="0"/>
        <w:rPr>
          <w:rFonts w:hint="default" w:ascii="Times New Roman" w:hAnsi="Times New Roman" w:cs="Times New Roman"/>
          <w:highlight w:val="none"/>
        </w:rPr>
      </w:pPr>
    </w:p>
    <w:p w14:paraId="1AC1EDC2">
      <w:pPr>
        <w:pStyle w:val="24"/>
        <w:spacing w:beforeLines="0" w:after="0" w:afterLines="0" w:line="360" w:lineRule="auto"/>
        <w:ind w:left="0" w:leftChars="0"/>
        <w:rPr>
          <w:rFonts w:hint="default" w:ascii="Times New Roman" w:hAnsi="Times New Roman" w:cs="Times New Roman"/>
          <w:highlight w:val="none"/>
        </w:rPr>
      </w:pPr>
    </w:p>
    <w:p w14:paraId="0D553119">
      <w:pPr>
        <w:pStyle w:val="24"/>
        <w:spacing w:beforeLines="0" w:after="0" w:afterLines="0" w:line="360" w:lineRule="auto"/>
        <w:ind w:left="0" w:leftChars="0"/>
        <w:rPr>
          <w:rFonts w:hint="default" w:ascii="Times New Roman" w:hAnsi="Times New Roman" w:cs="Times New Roman"/>
          <w:highlight w:val="none"/>
        </w:rPr>
      </w:pPr>
    </w:p>
    <w:p w14:paraId="1C6DAEAC">
      <w:pPr>
        <w:spacing w:beforeLines="0" w:afterLines="0" w:line="360" w:lineRule="auto"/>
        <w:ind w:left="1310" w:leftChars="0" w:hanging="1310" w:hangingChars="466"/>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rPr>
        <w:t>项目名称：</w:t>
      </w:r>
      <w:r>
        <w:rPr>
          <w:rFonts w:hint="default" w:ascii="Times New Roman" w:hAnsi="Times New Roman" w:cs="Times New Roman" w:eastAsiaTheme="minorEastAsia"/>
          <w:b/>
          <w:bCs w:val="0"/>
          <w:sz w:val="28"/>
          <w:szCs w:val="28"/>
          <w:highlight w:val="none"/>
          <w:u w:val="single"/>
        </w:rPr>
        <w:t xml:space="preserve">                             </w:t>
      </w:r>
    </w:p>
    <w:p w14:paraId="6AC70E00">
      <w:pPr>
        <w:widowControl/>
        <w:spacing w:beforeLines="0" w:afterLines="0" w:line="360" w:lineRule="auto"/>
        <w:ind w:left="0" w:leftChars="0" w:firstLine="0" w:firstLineChars="0"/>
        <w:jc w:val="left"/>
        <w:rPr>
          <w:rStyle w:val="28"/>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lang w:eastAsia="zh-CN"/>
        </w:rPr>
        <w:t>采购包</w:t>
      </w:r>
      <w:r>
        <w:rPr>
          <w:rStyle w:val="28"/>
          <w:rFonts w:hint="default" w:ascii="Times New Roman" w:hAnsi="Times New Roman" w:cs="Times New Roman" w:eastAsiaTheme="minorEastAsia"/>
          <w:b/>
          <w:sz w:val="28"/>
          <w:szCs w:val="28"/>
          <w:highlight w:val="none"/>
          <w:lang w:eastAsia="zh-CN"/>
        </w:rPr>
        <w:t>（如有</w:t>
      </w:r>
      <w:r>
        <w:rPr>
          <w:rStyle w:val="28"/>
          <w:rFonts w:hint="default" w:ascii="Times New Roman" w:hAnsi="Times New Roman" w:cs="Times New Roman" w:eastAsiaTheme="minorEastAsia"/>
          <w:b/>
          <w:sz w:val="28"/>
          <w:szCs w:val="28"/>
          <w:highlight w:val="none"/>
        </w:rPr>
        <w:t>）：</w:t>
      </w:r>
      <w:r>
        <w:rPr>
          <w:rFonts w:hint="default" w:ascii="Times New Roman" w:hAnsi="Times New Roman" w:cs="Times New Roman" w:eastAsiaTheme="minorEastAsia"/>
          <w:b/>
          <w:bCs w:val="0"/>
          <w:sz w:val="28"/>
          <w:szCs w:val="28"/>
          <w:highlight w:val="none"/>
          <w:u w:val="single"/>
        </w:rPr>
        <w:t xml:space="preserve">                          </w:t>
      </w:r>
      <w:r>
        <w:rPr>
          <w:rStyle w:val="28"/>
          <w:rFonts w:hint="default" w:ascii="Times New Roman" w:hAnsi="Times New Roman" w:cs="Times New Roman" w:eastAsiaTheme="minorEastAsia"/>
          <w:b/>
          <w:sz w:val="28"/>
          <w:szCs w:val="28"/>
          <w:highlight w:val="none"/>
        </w:rPr>
        <w:t xml:space="preserve"> </w:t>
      </w:r>
    </w:p>
    <w:p w14:paraId="7B5A7A93">
      <w:pPr>
        <w:spacing w:beforeLines="0" w:afterLines="0" w:line="360" w:lineRule="auto"/>
        <w:ind w:firstLine="1124" w:firstLineChars="400"/>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rPr>
        <w:t>投标</w:t>
      </w:r>
      <w:r>
        <w:rPr>
          <w:rFonts w:hint="default" w:ascii="Times New Roman" w:hAnsi="Times New Roman" w:cs="Times New Roman" w:eastAsiaTheme="minorEastAsia"/>
          <w:b/>
          <w:bCs w:val="0"/>
          <w:sz w:val="28"/>
          <w:szCs w:val="28"/>
          <w:highlight w:val="none"/>
          <w:lang w:eastAsia="zh-CN"/>
        </w:rPr>
        <w:t>人</w:t>
      </w:r>
      <w:r>
        <w:rPr>
          <w:rFonts w:hint="default" w:ascii="Times New Roman" w:hAnsi="Times New Roman" w:cs="Times New Roman" w:eastAsiaTheme="minorEastAsia"/>
          <w:b/>
          <w:bCs w:val="0"/>
          <w:sz w:val="28"/>
          <w:szCs w:val="28"/>
          <w:highlight w:val="none"/>
        </w:rPr>
        <w:t>：</w:t>
      </w:r>
      <w:r>
        <w:rPr>
          <w:rFonts w:hint="default" w:ascii="Times New Roman" w:hAnsi="Times New Roman" w:cs="Times New Roman" w:eastAsiaTheme="minorEastAsia"/>
          <w:b/>
          <w:bCs w:val="0"/>
          <w:sz w:val="28"/>
          <w:szCs w:val="28"/>
          <w:highlight w:val="none"/>
          <w:u w:val="single"/>
        </w:rPr>
        <w:t xml:space="preserve">                 </w:t>
      </w:r>
    </w:p>
    <w:p w14:paraId="5941EE5B">
      <w:pPr>
        <w:spacing w:beforeLines="0" w:afterLines="0" w:line="360" w:lineRule="auto"/>
        <w:rPr>
          <w:rFonts w:hint="default" w:ascii="Times New Roman" w:hAnsi="Times New Roman" w:cs="Times New Roman" w:eastAsiaTheme="minorEastAsia"/>
          <w:b/>
          <w:sz w:val="28"/>
          <w:szCs w:val="28"/>
          <w:highlight w:val="none"/>
        </w:rPr>
      </w:pPr>
    </w:p>
    <w:p w14:paraId="2760F4CB">
      <w:pPr>
        <w:pStyle w:val="2"/>
        <w:spacing w:before="0" w:beforeLines="0" w:after="0" w:afterLines="0" w:line="360" w:lineRule="auto"/>
        <w:jc w:val="center"/>
        <w:rPr>
          <w:rFonts w:hint="default" w:ascii="Times New Roman" w:hAnsi="Times New Roman" w:cs="Times New Roman" w:eastAsiaTheme="minorEastAsia"/>
          <w:b/>
          <w:bCs w:val="0"/>
          <w:sz w:val="28"/>
          <w:szCs w:val="28"/>
          <w:highlight w:val="none"/>
        </w:rPr>
      </w:pPr>
      <w:r>
        <w:rPr>
          <w:rFonts w:hint="default" w:ascii="Times New Roman" w:hAnsi="Times New Roman" w:cs="Times New Roman" w:eastAsiaTheme="minorEastAsia"/>
          <w:b/>
          <w:bCs w:val="0"/>
          <w:sz w:val="28"/>
          <w:szCs w:val="28"/>
          <w:highlight w:val="none"/>
        </w:rPr>
        <w:br w:type="page"/>
      </w:r>
    </w:p>
    <w:p w14:paraId="1827BBF6">
      <w:pPr>
        <w:pStyle w:val="2"/>
        <w:spacing w:before="0" w:beforeLines="0" w:after="0" w:afterLines="0" w:line="360" w:lineRule="auto"/>
        <w:jc w:val="both"/>
        <w:rPr>
          <w:rFonts w:hint="eastAsia"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一</w:t>
      </w:r>
      <w:r>
        <w:rPr>
          <w:rFonts w:hint="default" w:ascii="Times New Roman" w:hAnsi="Times New Roman" w:cs="Times New Roman" w:eastAsiaTheme="minorEastAsia"/>
          <w:sz w:val="28"/>
          <w:szCs w:val="28"/>
          <w:highlight w:val="none"/>
        </w:rPr>
        <w:t>、资格证明文件</w:t>
      </w:r>
    </w:p>
    <w:p w14:paraId="41ECEA73">
      <w:pPr>
        <w:pStyle w:val="52"/>
        <w:tabs>
          <w:tab w:val="center" w:pos="4201"/>
          <w:tab w:val="right" w:leader="dot" w:pos="9298"/>
        </w:tabs>
        <w:spacing w:line="360" w:lineRule="auto"/>
        <w:ind w:firstLine="0" w:firstLineChars="0"/>
        <w:rPr>
          <w:rFonts w:hint="eastAsia" w:hAnsi="宋体" w:cs="宋体"/>
          <w:color w:val="000000"/>
          <w:sz w:val="28"/>
          <w:szCs w:val="28"/>
          <w:lang w:bidi="zh-CN"/>
        </w:rPr>
      </w:pPr>
      <w:bookmarkStart w:id="14" w:name="OLE_LINK12"/>
      <w:r>
        <w:rPr>
          <w:rFonts w:hint="eastAsia" w:hAnsi="宋体" w:cs="宋体"/>
          <w:color w:val="000000"/>
          <w:sz w:val="28"/>
          <w:szCs w:val="28"/>
          <w:lang w:bidi="zh-CN"/>
        </w:rPr>
        <w:t>具有独立承担民事责任的能力，</w:t>
      </w:r>
      <w:r>
        <w:rPr>
          <w:rFonts w:hint="default"/>
          <w:sz w:val="28"/>
          <w:szCs w:val="28"/>
          <w:highlight w:val="none"/>
          <w:lang w:val="zh-CN"/>
        </w:rPr>
        <w:t>法人或者其他组织的营业执照等证明文件</w:t>
      </w:r>
      <w:r>
        <w:rPr>
          <w:rFonts w:hint="eastAsia"/>
          <w:sz w:val="28"/>
          <w:szCs w:val="28"/>
          <w:highlight w:val="none"/>
          <w:lang w:val="zh-CN"/>
        </w:rPr>
        <w:t>；</w:t>
      </w:r>
    </w:p>
    <w:p w14:paraId="4336543E">
      <w:pPr>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br w:type="page"/>
      </w:r>
    </w:p>
    <w:p w14:paraId="2C1FA47C">
      <w:pPr>
        <w:pStyle w:val="14"/>
        <w:spacing w:before="0" w:beforeLines="0" w:after="0" w:afterLines="0" w:line="360" w:lineRule="auto"/>
        <w:jc w:val="both"/>
        <w:rPr>
          <w:rFonts w:hint="default" w:ascii="Times New Roman" w:hAnsi="Times New Roman" w:cs="Times New Roman" w:eastAsiaTheme="minorEastAsia"/>
          <w:b/>
          <w:kern w:val="0"/>
          <w:sz w:val="28"/>
          <w:szCs w:val="28"/>
          <w:highlight w:val="none"/>
          <w:u w:val="none"/>
          <w:lang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t>2.</w:t>
      </w:r>
      <w:r>
        <w:rPr>
          <w:rFonts w:hint="default" w:ascii="Times New Roman" w:hAnsi="Times New Roman" w:cs="Times New Roman" w:eastAsiaTheme="minorEastAsia"/>
          <w:b/>
          <w:kern w:val="0"/>
          <w:sz w:val="28"/>
          <w:szCs w:val="28"/>
          <w:highlight w:val="none"/>
          <w:u w:val="none"/>
          <w:shd w:val="clear"/>
          <w:lang w:val="en-US" w:eastAsia="zh-CN"/>
        </w:rPr>
        <w:t>投标人资格承诺书</w:t>
      </w:r>
    </w:p>
    <w:bookmarkEnd w:id="14"/>
    <w:p w14:paraId="51CFE2C9">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bookmarkStart w:id="15" w:name="OLE_LINK13"/>
    </w:p>
    <w:p w14:paraId="260A10B1">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投标人资格承诺书</w:t>
      </w:r>
      <w:r>
        <w:rPr>
          <w:rFonts w:hint="default" w:ascii="Times New Roman" w:hAnsi="Times New Roman" w:cs="Times New Roman" w:eastAsiaTheme="minorEastAsia"/>
          <w:b/>
          <w:bCs/>
          <w:sz w:val="28"/>
          <w:szCs w:val="28"/>
          <w:highlight w:val="none"/>
          <w:u w:val="single"/>
          <w:lang w:val="en-US" w:eastAsia="zh-CN"/>
        </w:rPr>
        <w:t>（仅供参考）</w:t>
      </w:r>
    </w:p>
    <w:bookmarkEnd w:id="15"/>
    <w:p w14:paraId="71E639B7">
      <w:pPr>
        <w:spacing w:line="360" w:lineRule="auto"/>
        <w:rPr>
          <w:rFonts w:hint="default" w:ascii="Times New Roman" w:hAnsi="Times New Roman" w:cs="Times New Roman"/>
          <w:highlight w:val="none"/>
        </w:rPr>
      </w:pPr>
    </w:p>
    <w:p w14:paraId="55CD51D4">
      <w:pPr>
        <w:spacing w:beforeLines="0" w:afterLines="0" w:line="360" w:lineRule="auto"/>
        <w:rPr>
          <w:rFonts w:hint="default" w:ascii="Times New Roman" w:hAnsi="Times New Roman" w:cs="Times New Roman" w:eastAsiaTheme="minorEastAsia"/>
          <w:sz w:val="28"/>
          <w:szCs w:val="28"/>
          <w:highlight w:val="none"/>
          <w:u w:val="single"/>
        </w:rPr>
      </w:pPr>
      <w:bookmarkStart w:id="16" w:name="OLE_LINK17"/>
      <w:r>
        <w:rPr>
          <w:rFonts w:hint="default" w:ascii="Times New Roman" w:hAnsi="Times New Roman" w:cs="Times New Roman" w:eastAsiaTheme="minorEastAsia"/>
          <w:sz w:val="28"/>
          <w:szCs w:val="28"/>
          <w:highlight w:val="none"/>
          <w:u w:val="single"/>
        </w:rPr>
        <w:t>致：（采购人/采购代理机构）</w:t>
      </w:r>
    </w:p>
    <w:p w14:paraId="06E4724D">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在参与本次（项目名称）</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投标中，我单位承诺：</w:t>
      </w:r>
    </w:p>
    <w:p w14:paraId="04DD4022">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（一）</w:t>
      </w:r>
      <w:r>
        <w:rPr>
          <w:rFonts w:hint="default" w:ascii="Times New Roman" w:hAnsi="Times New Roman" w:cs="Times New Roman" w:eastAsiaTheme="minorEastAsia"/>
          <w:sz w:val="28"/>
          <w:szCs w:val="28"/>
          <w:highlight w:val="none"/>
          <w:u w:val="single"/>
          <w:lang w:eastAsia="zh-CN"/>
        </w:rPr>
        <w:t>具有良好的商业信誉和健全的财务会计制度；</w:t>
      </w:r>
    </w:p>
    <w:p w14:paraId="2389A8ED">
      <w:pPr>
        <w:spacing w:beforeLines="0" w:afterLines="0" w:line="360" w:lineRule="auto"/>
        <w:rPr>
          <w:rFonts w:hint="default" w:ascii="Times New Roman" w:hAnsi="Times New Roman" w:cs="Times New Roman" w:eastAsiaTheme="minorEastAsia"/>
          <w:b/>
          <w:bCs/>
          <w:i/>
          <w:iCs/>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（二）</w:t>
      </w:r>
      <w:r>
        <w:rPr>
          <w:rFonts w:hint="default" w:ascii="Times New Roman" w:hAnsi="Times New Roman" w:cs="Times New Roman" w:eastAsiaTheme="minorEastAsia"/>
          <w:sz w:val="28"/>
          <w:szCs w:val="28"/>
          <w:highlight w:val="none"/>
          <w:u w:val="single"/>
          <w:lang w:eastAsia="zh-CN"/>
        </w:rPr>
        <w:t>具有履行合同所必需的设备和专业技术能力</w:t>
      </w:r>
      <w:r>
        <w:rPr>
          <w:rFonts w:hint="default" w:ascii="Times New Roman" w:hAnsi="Times New Roman" w:cs="Times New Roman" w:eastAsiaTheme="minorEastAsia"/>
          <w:b/>
          <w:bCs/>
          <w:i/>
          <w:iCs/>
          <w:sz w:val="28"/>
          <w:szCs w:val="28"/>
          <w:highlight w:val="none"/>
          <w:u w:val="single"/>
          <w:lang w:eastAsia="zh-CN"/>
        </w:rPr>
        <w:t>（选择适用，可根据采购需求确定是否需要证明材料）；</w:t>
      </w:r>
    </w:p>
    <w:p w14:paraId="7CA5810E">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（三）有依法缴纳税收和社会保障资金的良好记录；</w:t>
      </w:r>
    </w:p>
    <w:p w14:paraId="50D845C5">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14:paraId="69524520">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u w:val="single"/>
          <w:lang w:val="en-US" w:eastAsia="zh-CN"/>
        </w:rPr>
        <w:t xml:space="preserve">    （五）我单位不属于政府采购法律、行政法规规定的公益一类事业单位、或使用事业编制且由财政拨款保障的群团组织（仅适用于政府购买服务项目）；</w:t>
      </w:r>
    </w:p>
    <w:p w14:paraId="747B722C">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（六）我单位不存在为采购项目提供整体设计、规范编制或者项目管理、监理、检测等服务后，再参加该采购项目的其他采购活动的情形（单一来源采购项目除外）；</w:t>
      </w:r>
    </w:p>
    <w:p w14:paraId="28AB0587">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（七）与我单位存在“单位负责人为同一人或者存在直接控股、管理关系”的其他法人单位信息如下：</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7AC6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34074266">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序号</w:t>
            </w:r>
          </w:p>
        </w:tc>
        <w:tc>
          <w:tcPr>
            <w:tcW w:w="3096" w:type="dxa"/>
            <w:vAlign w:val="center"/>
          </w:tcPr>
          <w:p w14:paraId="1CC2C60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单位名称</w:t>
            </w:r>
          </w:p>
        </w:tc>
        <w:tc>
          <w:tcPr>
            <w:tcW w:w="3096" w:type="dxa"/>
            <w:vAlign w:val="center"/>
          </w:tcPr>
          <w:p w14:paraId="585F95F5">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相互管理</w:t>
            </w:r>
          </w:p>
        </w:tc>
      </w:tr>
      <w:tr w14:paraId="0BC6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79D2EAB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val="en-US" w:eastAsia="zh-CN"/>
              </w:rPr>
            </w:pPr>
            <w:r>
              <w:rPr>
                <w:rFonts w:hint="default" w:ascii="Times New Roman" w:hAnsi="Times New Roman" w:cs="Times New Roman" w:eastAsiaTheme="minorEastAsia"/>
                <w:sz w:val="28"/>
                <w:szCs w:val="28"/>
                <w:highlight w:val="none"/>
                <w:u w:val="single"/>
                <w:vertAlign w:val="baseline"/>
                <w:lang w:val="en-US" w:eastAsia="zh-CN"/>
              </w:rPr>
              <w:t>1</w:t>
            </w:r>
          </w:p>
        </w:tc>
        <w:tc>
          <w:tcPr>
            <w:tcW w:w="3096" w:type="dxa"/>
            <w:vAlign w:val="center"/>
          </w:tcPr>
          <w:p w14:paraId="3F52F404">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3325ACBA">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r w14:paraId="744B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0A2A15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bookmarkStart w:id="17" w:name="OLE_LINK18"/>
            <w:r>
              <w:rPr>
                <w:rFonts w:hint="default" w:ascii="Times New Roman" w:hAnsi="Times New Roman" w:cs="Times New Roman" w:eastAsiaTheme="minorEastAsia"/>
                <w:sz w:val="28"/>
                <w:szCs w:val="28"/>
                <w:highlight w:val="none"/>
                <w:u w:val="single"/>
                <w:vertAlign w:val="baseline"/>
              </w:rPr>
              <w:t>…</w:t>
            </w:r>
            <w:bookmarkEnd w:id="17"/>
            <w:r>
              <w:rPr>
                <w:rFonts w:hint="default" w:ascii="Times New Roman" w:hAnsi="Times New Roman" w:cs="Times New Roman" w:eastAsiaTheme="minorEastAsia"/>
                <w:sz w:val="28"/>
                <w:szCs w:val="28"/>
                <w:highlight w:val="none"/>
                <w:u w:val="single"/>
                <w:vertAlign w:val="baseline"/>
              </w:rPr>
              <w:t>…</w:t>
            </w:r>
          </w:p>
        </w:tc>
        <w:tc>
          <w:tcPr>
            <w:tcW w:w="3096" w:type="dxa"/>
            <w:vAlign w:val="center"/>
          </w:tcPr>
          <w:p w14:paraId="180EF143">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2BCC07D9">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bl>
    <w:p w14:paraId="55363450">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上述承诺真实有效，否则我方负全部责任。</w:t>
      </w:r>
    </w:p>
    <w:p w14:paraId="424A5F87">
      <w:pPr>
        <w:spacing w:beforeLines="0" w:afterLines="0" w:line="360" w:lineRule="auto"/>
        <w:rPr>
          <w:rFonts w:hint="default" w:ascii="Times New Roman" w:hAnsi="Times New Roman" w:cs="Times New Roman" w:eastAsiaTheme="minorEastAsia"/>
          <w:sz w:val="28"/>
          <w:szCs w:val="28"/>
          <w:highlight w:val="none"/>
          <w:u w:val="single"/>
        </w:rPr>
      </w:pPr>
    </w:p>
    <w:p w14:paraId="4910111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18" w:name="OLE_LINK14"/>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w:t>
      </w:r>
    </w:p>
    <w:p w14:paraId="760817E5">
      <w:pPr>
        <w:spacing w:beforeLines="0" w:afterLines="0" w:line="360" w:lineRule="auto"/>
        <w:rPr>
          <w:rFonts w:hint="default" w:ascii="Times New Roman" w:hAnsi="Times New Roman" w:cs="Times New Roman" w:eastAsiaTheme="minorEastAsia"/>
          <w:i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日期：</w:t>
      </w:r>
      <w:bookmarkEnd w:id="16"/>
    </w:p>
    <w:bookmarkEnd w:id="18"/>
    <w:p w14:paraId="26397A40">
      <w:pPr>
        <w:widowControl/>
        <w:numPr>
          <w:ilvl w:val="-1"/>
          <w:numId w:val="0"/>
        </w:numPr>
        <w:spacing w:beforeLines="-2147483648" w:afterLines="-2147483648" w:line="360" w:lineRule="auto"/>
        <w:jc w:val="left"/>
        <w:outlineLvl w:val="9"/>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br w:type="page"/>
      </w:r>
    </w:p>
    <w:p w14:paraId="6B46BCBA">
      <w:pPr>
        <w:widowControl/>
        <w:numPr>
          <w:ilvl w:val="-1"/>
          <w:numId w:val="0"/>
        </w:numPr>
        <w:spacing w:beforeLines="0" w:afterLines="0" w:line="360" w:lineRule="auto"/>
        <w:jc w:val="left"/>
        <w:outlineLvl w:val="2"/>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t>3.落实政府采购政策需满足的资格要求（如有，如中小企业声明函、残疾人福利性单位声明函、属于监狱企业的证明文件、政府强制采购等）</w:t>
      </w:r>
    </w:p>
    <w:p w14:paraId="5EB1952E">
      <w:pPr>
        <w:spacing w:beforeLines="0" w:afterLines="0" w:line="360" w:lineRule="auto"/>
        <w:jc w:val="center"/>
        <w:rPr>
          <w:rFonts w:hint="default" w:ascii="Times New Roman" w:hAnsi="Times New Roman" w:cs="Times New Roman" w:eastAsiaTheme="minorEastAsia"/>
          <w:b/>
          <w:sz w:val="28"/>
          <w:szCs w:val="28"/>
          <w:highlight w:val="none"/>
        </w:rPr>
      </w:pPr>
    </w:p>
    <w:p w14:paraId="54835C51">
      <w:pPr>
        <w:spacing w:beforeLines="0" w:afterLines="0" w:line="360" w:lineRule="auto"/>
        <w:jc w:val="center"/>
        <w:rPr>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sz w:val="28"/>
          <w:szCs w:val="28"/>
          <w:highlight w:val="none"/>
        </w:rPr>
        <w:t>中小企业声明函（货物）</w:t>
      </w:r>
    </w:p>
    <w:p w14:paraId="128C45F1">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70620841">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highlight w:val="none"/>
          <w:u w:val="single"/>
        </w:rPr>
        <w:t>（单位名称）</w:t>
      </w:r>
      <w:r>
        <w:rPr>
          <w:rFonts w:hint="default" w:ascii="Times New Roman" w:hAnsi="Times New Roman" w:cs="Times New Roman" w:eastAsiaTheme="minorEastAsia"/>
          <w:sz w:val="28"/>
          <w:szCs w:val="28"/>
          <w:highlight w:val="none"/>
        </w:rPr>
        <w:t>的</w:t>
      </w:r>
      <w:r>
        <w:rPr>
          <w:rFonts w:hint="default" w:ascii="Times New Roman" w:hAnsi="Times New Roman" w:cs="Times New Roman" w:eastAsiaTheme="minorEastAsia"/>
          <w:i/>
          <w:iCs/>
          <w:sz w:val="28"/>
          <w:szCs w:val="28"/>
          <w:highlight w:val="none"/>
          <w:u w:val="single"/>
        </w:rPr>
        <w:t>（项目名称）</w:t>
      </w:r>
      <w:r>
        <w:rPr>
          <w:rFonts w:hint="default" w:ascii="Times New Roman" w:hAnsi="Times New Roman" w:cs="Times New Roman" w:eastAsiaTheme="minorEastAsia"/>
          <w:sz w:val="28"/>
          <w:szCs w:val="28"/>
          <w:highlight w:val="none"/>
        </w:rPr>
        <w:t>采购活动，提供的货物全部由符合政策要求的中小企业制造。相关企业（含联合体中的中小企业、签订分包意向协议的中小企业）的具体情况如下：</w:t>
      </w:r>
    </w:p>
    <w:p w14:paraId="6BB784FD">
      <w:pPr>
        <w:spacing w:beforeLines="0" w:afterLines="0" w:line="360" w:lineRule="auto"/>
        <w:ind w:firstLine="560" w:firstLineChars="200"/>
        <w:rPr>
          <w:rFonts w:hint="default" w:ascii="Times New Roman" w:hAnsi="Times New Roman" w:cs="Times New Roman" w:eastAsiaTheme="minorEastAsia"/>
          <w:sz w:val="28"/>
          <w:szCs w:val="28"/>
          <w:highlight w:val="none"/>
        </w:rPr>
      </w:pPr>
      <w:bookmarkStart w:id="19" w:name="OLE_LINK15"/>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b/>
          <w:bCs/>
          <w:i/>
          <w:iCs w:val="0"/>
          <w:sz w:val="28"/>
          <w:szCs w:val="28"/>
          <w:highlight w:val="none"/>
          <w:u w:val="single"/>
        </w:rPr>
        <w:t>（标的名称）</w:t>
      </w:r>
      <w:r>
        <w:rPr>
          <w:rFonts w:hint="default" w:ascii="Times New Roman" w:hAnsi="Times New Roman" w:cs="Times New Roman" w:eastAsiaTheme="minorEastAsia"/>
          <w:sz w:val="28"/>
          <w:szCs w:val="28"/>
          <w:highlight w:val="none"/>
        </w:rPr>
        <w:t>，属于</w:t>
      </w:r>
      <w:r>
        <w:rPr>
          <w:rFonts w:hint="default" w:ascii="Times New Roman" w:hAnsi="Times New Roman" w:cs="Times New Roman" w:eastAsiaTheme="minorEastAsia"/>
          <w:b/>
          <w:i/>
          <w:iCs w:val="0"/>
          <w:sz w:val="28"/>
          <w:szCs w:val="28"/>
          <w:highlight w:val="none"/>
          <w:u w:val="single"/>
        </w:rPr>
        <w:t>（采购文件中明确的所属行业）</w:t>
      </w:r>
      <w:r>
        <w:rPr>
          <w:rFonts w:hint="default" w:ascii="Times New Roman" w:hAnsi="Times New Roman" w:cs="Times New Roman" w:eastAsiaTheme="minorEastAsia"/>
          <w:sz w:val="28"/>
          <w:szCs w:val="28"/>
          <w:highlight w:val="none"/>
        </w:rPr>
        <w:t>；制造商为</w:t>
      </w:r>
      <w:r>
        <w:rPr>
          <w:rFonts w:hint="default" w:ascii="Times New Roman" w:hAnsi="Times New Roman" w:cs="Times New Roman" w:eastAsiaTheme="minorEastAsia"/>
          <w:iCs/>
          <w:sz w:val="28"/>
          <w:szCs w:val="28"/>
          <w:highlight w:val="none"/>
          <w:u w:val="single"/>
        </w:rPr>
        <w:t>（企业名称）</w:t>
      </w:r>
      <w:r>
        <w:rPr>
          <w:rFonts w:hint="default" w:ascii="Times New Roman" w:hAnsi="Times New Roman" w:cs="Times New Roman" w:eastAsiaTheme="minorEastAsia"/>
          <w:sz w:val="28"/>
          <w:szCs w:val="28"/>
          <w:highlight w:val="none"/>
        </w:rPr>
        <w:t>，从业人员</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人，营业收入为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万元，资产总额为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万元，属于</w:t>
      </w:r>
      <w:r>
        <w:rPr>
          <w:rFonts w:hint="default" w:ascii="Times New Roman" w:hAnsi="Times New Roman" w:cs="Times New Roman" w:eastAsiaTheme="minorEastAsia"/>
          <w:b/>
          <w:i/>
          <w:iCs w:val="0"/>
          <w:sz w:val="28"/>
          <w:szCs w:val="28"/>
          <w:highlight w:val="none"/>
          <w:u w:val="single"/>
        </w:rPr>
        <w:t>（中型企业、小型企业、微型企业）</w:t>
      </w:r>
      <w:r>
        <w:rPr>
          <w:rFonts w:hint="default" w:ascii="Times New Roman" w:hAnsi="Times New Roman" w:cs="Times New Roman" w:eastAsiaTheme="minorEastAsia"/>
          <w:sz w:val="28"/>
          <w:szCs w:val="28"/>
          <w:highlight w:val="none"/>
        </w:rPr>
        <w:t>；</w:t>
      </w:r>
    </w:p>
    <w:bookmarkEnd w:id="19"/>
    <w:p w14:paraId="4E7642B7">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i/>
          <w:iCs w:val="0"/>
          <w:sz w:val="28"/>
          <w:szCs w:val="28"/>
          <w:highlight w:val="none"/>
          <w:u w:val="single"/>
        </w:rPr>
        <w:t>（标的名称）</w:t>
      </w:r>
      <w:r>
        <w:rPr>
          <w:rFonts w:hint="default" w:ascii="Times New Roman" w:hAnsi="Times New Roman" w:cs="Times New Roman" w:eastAsiaTheme="minorEastAsia"/>
          <w:sz w:val="28"/>
          <w:szCs w:val="28"/>
          <w:highlight w:val="none"/>
        </w:rPr>
        <w:t>，属于</w:t>
      </w:r>
      <w:r>
        <w:rPr>
          <w:rFonts w:hint="default" w:ascii="Times New Roman" w:hAnsi="Times New Roman" w:cs="Times New Roman" w:eastAsiaTheme="minorEastAsia"/>
          <w:b/>
          <w:i/>
          <w:iCs w:val="0"/>
          <w:sz w:val="28"/>
          <w:szCs w:val="28"/>
          <w:highlight w:val="none"/>
          <w:u w:val="single"/>
        </w:rPr>
        <w:t>（采购文件中明确的所属行业）</w:t>
      </w:r>
      <w:r>
        <w:rPr>
          <w:rFonts w:hint="default" w:ascii="Times New Roman" w:hAnsi="Times New Roman" w:cs="Times New Roman" w:eastAsiaTheme="minorEastAsia"/>
          <w:sz w:val="28"/>
          <w:szCs w:val="28"/>
          <w:highlight w:val="none"/>
        </w:rPr>
        <w:t>；制造商为</w:t>
      </w:r>
      <w:r>
        <w:rPr>
          <w:rFonts w:hint="default" w:ascii="Times New Roman" w:hAnsi="Times New Roman" w:cs="Times New Roman" w:eastAsiaTheme="minorEastAsia"/>
          <w:iCs/>
          <w:sz w:val="28"/>
          <w:szCs w:val="28"/>
          <w:highlight w:val="none"/>
          <w:u w:val="single"/>
        </w:rPr>
        <w:t>（企业名称）</w:t>
      </w:r>
      <w:r>
        <w:rPr>
          <w:rFonts w:hint="default" w:ascii="Times New Roman" w:hAnsi="Times New Roman" w:cs="Times New Roman" w:eastAsiaTheme="minorEastAsia"/>
          <w:sz w:val="28"/>
          <w:szCs w:val="28"/>
          <w:highlight w:val="none"/>
        </w:rPr>
        <w:t>，从业人员</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人，营业收入为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万元，资产总额为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万元，属于</w:t>
      </w:r>
      <w:r>
        <w:rPr>
          <w:rFonts w:hint="default" w:ascii="Times New Roman" w:hAnsi="Times New Roman" w:cs="Times New Roman" w:eastAsiaTheme="minorEastAsia"/>
          <w:b/>
          <w:i/>
          <w:iCs w:val="0"/>
          <w:sz w:val="28"/>
          <w:szCs w:val="28"/>
          <w:highlight w:val="none"/>
          <w:u w:val="single"/>
        </w:rPr>
        <w:t>（中型企业、小型企业、微型企业）</w:t>
      </w:r>
      <w:r>
        <w:rPr>
          <w:rFonts w:hint="default" w:ascii="Times New Roman" w:hAnsi="Times New Roman" w:cs="Times New Roman" w:eastAsiaTheme="minorEastAsia"/>
          <w:sz w:val="28"/>
          <w:szCs w:val="28"/>
          <w:highlight w:val="none"/>
        </w:rPr>
        <w:t>；</w:t>
      </w:r>
    </w:p>
    <w:p w14:paraId="2AE1B17E">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w:t>
      </w:r>
    </w:p>
    <w:p w14:paraId="509A1B3F">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以上企业，不属于大企业的分支机构，不存在控股股东为大企业的情形，也不存在与大企业的负责人为同一人的情形。</w:t>
      </w:r>
    </w:p>
    <w:p w14:paraId="3A091CDF">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本企业对上述声明内容的真实性负责。如有虚假，将依法承担相应责任。</w:t>
      </w:r>
    </w:p>
    <w:p w14:paraId="5C95365B">
      <w:pPr>
        <w:spacing w:beforeLines="0" w:afterLines="0" w:line="360" w:lineRule="auto"/>
        <w:rPr>
          <w:rFonts w:hint="default" w:ascii="Times New Roman" w:hAnsi="Times New Roman" w:cs="Times New Roman" w:eastAsiaTheme="minorEastAsia"/>
          <w:sz w:val="28"/>
          <w:szCs w:val="28"/>
          <w:highlight w:val="none"/>
        </w:rPr>
      </w:pPr>
    </w:p>
    <w:p w14:paraId="00709CD2">
      <w:pPr>
        <w:pStyle w:val="24"/>
        <w:spacing w:line="360" w:lineRule="auto"/>
        <w:rPr>
          <w:rFonts w:hint="default" w:ascii="Times New Roman" w:hAnsi="Times New Roman" w:cs="Times New Roman"/>
          <w:highlight w:val="none"/>
        </w:rPr>
      </w:pPr>
    </w:p>
    <w:p w14:paraId="2D1846C6">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20" w:name="OLE_LINK16"/>
      <w:r>
        <w:rPr>
          <w:rFonts w:hint="default" w:ascii="Times New Roman" w:hAnsi="Times New Roman" w:cs="Times New Roman" w:eastAsiaTheme="minorEastAsia"/>
          <w:sz w:val="28"/>
          <w:szCs w:val="28"/>
          <w:highlight w:val="none"/>
          <w:lang w:eastAsia="zh-CN"/>
        </w:rPr>
        <w:t>企业名称（盖章）：</w:t>
      </w:r>
    </w:p>
    <w:p w14:paraId="1948D099">
      <w:pPr>
        <w:pStyle w:val="24"/>
        <w:spacing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p w14:paraId="577C2A36">
      <w:pPr>
        <w:numPr>
          <w:ilvl w:val="0"/>
          <w:numId w:val="6"/>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14:paraId="7A7DFB61">
      <w:pPr>
        <w:numPr>
          <w:ilvl w:val="0"/>
          <w:numId w:val="6"/>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14:paraId="29663AAE">
      <w:pPr>
        <w:numPr>
          <w:ilvl w:val="0"/>
          <w:numId w:val="6"/>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14:paraId="3967F03D">
      <w:pPr>
        <w:spacing w:beforeLines="0" w:afterLines="0" w:line="360" w:lineRule="auto"/>
        <w:jc w:val="center"/>
        <w:rPr>
          <w:rFonts w:hint="default" w:ascii="Times New Roman" w:hAnsi="Times New Roman" w:cs="Times New Roman" w:eastAsiaTheme="minorEastAsia"/>
          <w:b/>
          <w:sz w:val="28"/>
          <w:szCs w:val="28"/>
          <w:highlight w:val="none"/>
        </w:rPr>
      </w:pPr>
    </w:p>
    <w:bookmarkEnd w:id="20"/>
    <w:p w14:paraId="12F9C7F3">
      <w:pPr>
        <w:spacing w:beforeLines="0" w:afterLines="0" w:line="360" w:lineRule="auto"/>
        <w:jc w:val="center"/>
        <w:rPr>
          <w:rFonts w:hint="default" w:ascii="Times New Roman" w:hAnsi="Times New Roman" w:cs="Times New Roman" w:eastAsiaTheme="minorEastAsia"/>
          <w:b/>
          <w:spacing w:val="6"/>
          <w:sz w:val="28"/>
          <w:szCs w:val="28"/>
          <w:highlight w:val="none"/>
        </w:rPr>
      </w:pPr>
      <w:r>
        <w:rPr>
          <w:rFonts w:hint="default" w:ascii="Times New Roman" w:hAnsi="Times New Roman" w:cs="Times New Roman" w:eastAsiaTheme="minorEastAsia"/>
          <w:b/>
          <w:sz w:val="28"/>
          <w:szCs w:val="28"/>
          <w:highlight w:val="none"/>
        </w:rPr>
        <w:t>残疾人福利性单位声明函</w:t>
      </w:r>
    </w:p>
    <w:p w14:paraId="5185C543">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5E8AD3C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rPr>
        <w:t>单位的______项目采购活动提供本单位制造的货物，或者提供其他残疾人福利性单位制造的货物（不包括使用非残疾人福利性单位注册商标的货物）。</w:t>
      </w:r>
    </w:p>
    <w:p w14:paraId="072F9B7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本单位对上述声明的真实性负责。如有虚假，将依法承担相应责任。</w:t>
      </w:r>
    </w:p>
    <w:p w14:paraId="456DE96B">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13EEA884">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60273C7F">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21" w:name="OLE_LINK20"/>
      <w:r>
        <w:rPr>
          <w:rFonts w:hint="default" w:ascii="Times New Roman" w:hAnsi="Times New Roman" w:cs="Times New Roman" w:eastAsiaTheme="minorEastAsia"/>
          <w:sz w:val="28"/>
          <w:szCs w:val="28"/>
          <w:highlight w:val="none"/>
          <w:lang w:eastAsia="zh-CN"/>
        </w:rPr>
        <w:t>单位名称（盖章）：</w:t>
      </w:r>
    </w:p>
    <w:p w14:paraId="0818931E">
      <w:pPr>
        <w:pStyle w:val="24"/>
        <w:spacing w:beforeLines="0" w:after="0" w:afterLines="0" w:line="360" w:lineRule="auto"/>
        <w:ind w:left="0" w:leftChars="0"/>
        <w:rPr>
          <w:rFonts w:hint="default" w:ascii="Times New Roman" w:hAnsi="Times New Roman" w:cs="Times New Roman"/>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bookmarkEnd w:id="21"/>
    <w:p w14:paraId="418441F9">
      <w:pPr>
        <w:spacing w:line="360" w:lineRule="auto"/>
        <w:jc w:val="both"/>
        <w:outlineLvl w:val="2"/>
        <w:rPr>
          <w:rFonts w:hint="default" w:ascii="Times New Roman" w:hAnsi="Times New Roman" w:cs="Times New Roman"/>
          <w:highlight w:val="none"/>
        </w:rPr>
      </w:pPr>
    </w:p>
    <w:p w14:paraId="0F2A6411">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4.其他落实政府采购政策资格要求（如有）</w:t>
      </w:r>
    </w:p>
    <w:p w14:paraId="278C9F72">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5.</w:t>
      </w:r>
      <w:r>
        <w:rPr>
          <w:rFonts w:hint="default" w:ascii="Times New Roman" w:hAnsi="Times New Roman" w:cs="Times New Roman" w:eastAsiaTheme="minorEastAsia"/>
          <w:b/>
          <w:bCs/>
          <w:sz w:val="28"/>
          <w:szCs w:val="28"/>
          <w:highlight w:val="none"/>
          <w:u w:val="single"/>
          <w:lang w:val="en-US"/>
        </w:rPr>
        <w:t>法律、行政法规规定的其他条件（如有）</w:t>
      </w:r>
    </w:p>
    <w:p w14:paraId="70EE973B">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6.本项目的特定资格要求（如有）</w:t>
      </w:r>
    </w:p>
    <w:p w14:paraId="4341B5E4">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7.投标保证金证明（如有）</w:t>
      </w:r>
    </w:p>
    <w:p w14:paraId="76E9FB56">
      <w:pPr>
        <w:spacing w:beforeLines="0" w:afterLines="0" w:line="360" w:lineRule="auto"/>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8.联合协议（如有，适用接受联合体投标，且投标人组成联合体投标）</w:t>
      </w:r>
    </w:p>
    <w:p w14:paraId="7CF073F1">
      <w:pPr>
        <w:spacing w:beforeLines="0" w:afterLines="0" w:line="360" w:lineRule="auto"/>
        <w:jc w:val="both"/>
        <w:outlineLvl w:val="9"/>
        <w:rPr>
          <w:rFonts w:hint="default" w:ascii="Times New Roman" w:hAnsi="Times New Roman" w:cs="Times New Roman" w:eastAsiaTheme="minorEastAsia"/>
          <w:b/>
          <w:bCs/>
          <w:sz w:val="28"/>
          <w:szCs w:val="28"/>
          <w:highlight w:val="none"/>
          <w:u w:val="single"/>
          <w:lang w:val="en-US" w:eastAsia="zh-CN"/>
        </w:rPr>
      </w:pPr>
    </w:p>
    <w:p w14:paraId="23862D1F">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br w:type="page"/>
      </w:r>
    </w:p>
    <w:p w14:paraId="5B29A930">
      <w:pPr>
        <w:spacing w:beforeLines="0" w:afterLines="0" w:line="360" w:lineRule="auto"/>
        <w:jc w:val="center"/>
        <w:outlineLvl w:val="9"/>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联合协议</w:t>
      </w:r>
      <w:bookmarkStart w:id="22" w:name="OLE_LINK22"/>
      <w:r>
        <w:rPr>
          <w:rFonts w:hint="default" w:ascii="Times New Roman" w:hAnsi="Times New Roman" w:cs="Times New Roman" w:eastAsiaTheme="minorEastAsia"/>
          <w:b/>
          <w:bCs/>
          <w:i/>
          <w:iCs/>
          <w:sz w:val="28"/>
          <w:szCs w:val="28"/>
          <w:highlight w:val="none"/>
          <w:lang w:val="en-US" w:eastAsia="zh-CN"/>
        </w:rPr>
        <w:t>（仅供参考）</w:t>
      </w:r>
      <w:bookmarkEnd w:id="22"/>
    </w:p>
    <w:p w14:paraId="29CF867B">
      <w:pPr>
        <w:spacing w:beforeLines="0" w:afterLines="0" w:line="360" w:lineRule="auto"/>
        <w:outlineLvl w:val="9"/>
        <w:rPr>
          <w:rFonts w:hint="default" w:ascii="Times New Roman" w:hAnsi="Times New Roman" w:cs="Times New Roman" w:eastAsiaTheme="minorEastAsia"/>
          <w:sz w:val="28"/>
          <w:szCs w:val="28"/>
          <w:highlight w:val="none"/>
          <w:lang w:val="en-US" w:eastAsia="zh-CN"/>
        </w:rPr>
      </w:pPr>
    </w:p>
    <w:p w14:paraId="363BE44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    及      就（项目名称）的投标事宜，经各方充分协商一致，达成如下联合协议。</w:t>
      </w:r>
    </w:p>
    <w:p w14:paraId="551934C2">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一、由     牵头，    、     参加，组成联合体共同进行招标项目的投标工作。</w:t>
      </w:r>
    </w:p>
    <w:p w14:paraId="1D1BC2BF">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二、联合体中标后，联合体各方共同与采购人签订合同，就采购合同约定的事项对采购人承担连带责任。</w:t>
      </w:r>
    </w:p>
    <w:p w14:paraId="6FF02422">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三、联合体各方均同意由牵头人代表其他联合体成员单位按招标文件要求出具《授权委托书》。</w:t>
      </w:r>
    </w:p>
    <w:p w14:paraId="5EFDDEA5">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四、牵头人为项目的总负责单位，组织各参加方进行项目实施工作。</w:t>
      </w:r>
    </w:p>
    <w:p w14:paraId="79DF147C">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bookmarkStart w:id="23" w:name="OLE_LINK23"/>
      <w:r>
        <w:rPr>
          <w:rFonts w:hint="default" w:ascii="Times New Roman" w:hAnsi="Times New Roman" w:cs="Times New Roman" w:eastAsiaTheme="minorEastAsia"/>
          <w:sz w:val="28"/>
          <w:szCs w:val="28"/>
          <w:highlight w:val="none"/>
          <w:lang w:val="en-US" w:eastAsia="zh-CN"/>
        </w:rPr>
        <w:t xml:space="preserve">    五、     负责     ，具体工作范围、内容以投标文件及合同为准。</w:t>
      </w:r>
    </w:p>
    <w:bookmarkEnd w:id="23"/>
    <w:p w14:paraId="379CFBB2">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六、     负责     ，具体工作范围、内容以投标文件及合同为准。</w:t>
      </w:r>
    </w:p>
    <w:p w14:paraId="35111D6E">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七、     负责     ，具体工作范围、内容以投标文件及合同为准。</w:t>
      </w:r>
    </w:p>
    <w:p w14:paraId="29AC3D4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八、本项目联合协议合同总额为      元，联合体各成员按照如下比例分摊：</w:t>
      </w:r>
    </w:p>
    <w:p w14:paraId="354B966F">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w:t>
      </w:r>
      <w:bookmarkStart w:id="24" w:name="OLE_LINK27"/>
      <w:r>
        <w:rPr>
          <w:rFonts w:hint="default" w:ascii="Times New Roman" w:hAnsi="Times New Roman" w:cs="Times New Roman" w:eastAsiaTheme="minorEastAsia"/>
          <w:b w:val="0"/>
          <w:sz w:val="28"/>
          <w:szCs w:val="28"/>
          <w:highlight w:val="none"/>
          <w:lang w:val="en-US" w:eastAsia="zh-CN"/>
        </w:rPr>
        <w:t>1.     为</w:t>
      </w:r>
      <w:bookmarkStart w:id="25" w:name="OLE_LINK24"/>
      <w:r>
        <w:rPr>
          <w:rFonts w:hint="default" w:ascii="Times New Roman" w:hAnsi="Times New Roman" w:cs="Times New Roman" w:eastAsiaTheme="minorEastAsia"/>
          <w:b w:val="0"/>
          <w:sz w:val="28"/>
          <w:szCs w:val="28"/>
          <w:highlight w:val="none"/>
          <w:lang w:val="en-US" w:eastAsia="zh-CN"/>
        </w:rPr>
        <w:sym w:font="Wingdings 2" w:char="00A3"/>
      </w:r>
      <w:bookmarkEnd w:id="25"/>
      <w:r>
        <w:rPr>
          <w:rFonts w:hint="default" w:ascii="Times New Roman" w:hAnsi="Times New Roman" w:cs="Times New Roman" w:eastAsiaTheme="minorEastAsia"/>
          <w:b w:val="0"/>
          <w:sz w:val="28"/>
          <w:szCs w:val="28"/>
          <w:highlight w:val="none"/>
          <w:lang w:val="en-US" w:eastAsia="zh-CN"/>
        </w:rPr>
        <w:t>大型企业</w:t>
      </w:r>
      <w:bookmarkStart w:id="26" w:name="OLE_LINK25"/>
      <w:r>
        <w:rPr>
          <w:rFonts w:hint="default" w:ascii="Times New Roman" w:hAnsi="Times New Roman" w:cs="Times New Roman" w:eastAsiaTheme="minorEastAsia"/>
          <w:b w:val="0"/>
          <w:sz w:val="28"/>
          <w:szCs w:val="28"/>
          <w:highlight w:val="none"/>
          <w:lang w:val="en-US" w:eastAsia="zh-CN"/>
        </w:rPr>
        <w:sym w:font="Wingdings 2" w:char="00A3"/>
      </w:r>
      <w:bookmarkEnd w:id="26"/>
      <w:r>
        <w:rPr>
          <w:rFonts w:hint="default" w:ascii="Times New Roman" w:hAnsi="Times New Roman" w:cs="Times New Roman" w:eastAsiaTheme="minorEastAsia"/>
          <w:b w:val="0"/>
          <w:sz w:val="28"/>
          <w:szCs w:val="28"/>
          <w:highlight w:val="none"/>
          <w:lang w:val="en-US" w:eastAsia="zh-CN"/>
        </w:rPr>
        <w:t>中型企业</w:t>
      </w:r>
      <w:bookmarkStart w:id="27" w:name="OLE_LINK26"/>
      <w:r>
        <w:rPr>
          <w:rFonts w:hint="default" w:ascii="Times New Roman" w:hAnsi="Times New Roman" w:cs="Times New Roman" w:eastAsiaTheme="minorEastAsia"/>
          <w:b w:val="0"/>
          <w:sz w:val="28"/>
          <w:szCs w:val="28"/>
          <w:highlight w:val="none"/>
          <w:lang w:val="en-US" w:eastAsia="zh-CN"/>
        </w:rPr>
        <w:sym w:font="Wingdings 2" w:char="00A3"/>
      </w:r>
      <w:bookmarkEnd w:id="27"/>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bookmarkEnd w:id="24"/>
    <w:p w14:paraId="2684B4E8">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2.     为</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大型企业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中型企业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p w14:paraId="79F194BF">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w:t>
      </w:r>
      <w:bookmarkStart w:id="28" w:name="OLE_LINK28"/>
      <w:r>
        <w:rPr>
          <w:rFonts w:hint="default" w:ascii="Times New Roman" w:hAnsi="Times New Roman" w:cs="Times New Roman" w:eastAsiaTheme="minorEastAsia"/>
          <w:b w:val="0"/>
          <w:sz w:val="28"/>
          <w:szCs w:val="28"/>
          <w:highlight w:val="none"/>
          <w:lang w:val="en-US" w:eastAsia="zh-CN"/>
        </w:rPr>
        <w:t>…</w:t>
      </w:r>
      <w:bookmarkEnd w:id="28"/>
      <w:r>
        <w:rPr>
          <w:rFonts w:hint="default" w:ascii="Times New Roman" w:hAnsi="Times New Roman" w:cs="Times New Roman" w:eastAsiaTheme="minorEastAsia"/>
          <w:b w:val="0"/>
          <w:sz w:val="28"/>
          <w:szCs w:val="28"/>
          <w:highlight w:val="none"/>
          <w:lang w:val="en-US" w:eastAsia="zh-CN"/>
        </w:rPr>
        <w:t>…） 为</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大型企业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中型企业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p w14:paraId="68DA5B4C">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九、以联合体形式参加政府采购活动的，联合体各方不得再单独参加或者与其他供应商另外组成联合体参加同一政府采购活动。</w:t>
      </w:r>
    </w:p>
    <w:p w14:paraId="0B15FBE6">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十、其他约定（如有）</w:t>
      </w:r>
    </w:p>
    <w:p w14:paraId="05CE2C9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本协议自各方盖章后生效，采购合同履行完毕后自动失效。如未中标，本协议自动终止。</w:t>
      </w:r>
    </w:p>
    <w:p w14:paraId="6ED573B3">
      <w:pPr>
        <w:spacing w:beforeLines="0" w:afterLines="0" w:line="360" w:lineRule="auto"/>
        <w:jc w:val="left"/>
        <w:outlineLvl w:val="9"/>
        <w:rPr>
          <w:rFonts w:hint="default" w:ascii="Times New Roman" w:hAnsi="Times New Roman" w:cs="Times New Roman" w:eastAsiaTheme="minorEastAsia"/>
          <w:sz w:val="28"/>
          <w:szCs w:val="28"/>
          <w:highlight w:val="none"/>
          <w:u w:val="single"/>
          <w:lang w:val="en-US" w:eastAsia="zh-CN"/>
        </w:rPr>
      </w:pPr>
    </w:p>
    <w:p w14:paraId="7AF00B3C">
      <w:pPr>
        <w:spacing w:beforeLines="0" w:afterLines="0" w:line="360" w:lineRule="auto"/>
        <w:jc w:val="left"/>
        <w:outlineLvl w:val="9"/>
        <w:rPr>
          <w:rFonts w:hint="default" w:ascii="Times New Roman" w:hAnsi="Times New Roman" w:cs="Times New Roman" w:eastAsiaTheme="minorEastAsia"/>
          <w:sz w:val="28"/>
          <w:szCs w:val="28"/>
          <w:highlight w:val="none"/>
          <w:u w:val="single"/>
          <w:lang w:val="en-US" w:eastAsia="zh-CN"/>
        </w:rPr>
      </w:pPr>
    </w:p>
    <w:p w14:paraId="77D41040">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联合体牵头人（盖章）：             </w:t>
      </w:r>
      <w:bookmarkStart w:id="29" w:name="OLE_LINK30"/>
      <w:r>
        <w:rPr>
          <w:rFonts w:hint="default" w:ascii="Times New Roman" w:hAnsi="Times New Roman" w:cs="Times New Roman" w:eastAsiaTheme="minorEastAsia"/>
          <w:sz w:val="28"/>
          <w:szCs w:val="28"/>
          <w:highlight w:val="none"/>
          <w:lang w:val="en-US" w:eastAsia="zh-CN"/>
        </w:rPr>
        <w:t>联合体成员（盖章）：</w:t>
      </w:r>
    </w:p>
    <w:p w14:paraId="5A6E02B4">
      <w:pPr>
        <w:numPr>
          <w:ilvl w:val="-1"/>
          <w:numId w:val="0"/>
        </w:numPr>
        <w:spacing w:beforeLines="0" w:afterLines="0" w:line="360" w:lineRule="auto"/>
        <w:ind w:firstLine="0"/>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    年   月    日            日期：    年   月    日</w:t>
      </w:r>
    </w:p>
    <w:bookmarkEnd w:id="29"/>
    <w:p w14:paraId="32038404">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p>
    <w:p w14:paraId="039AC2B8">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联合体成员（盖章）：</w:t>
      </w:r>
    </w:p>
    <w:p w14:paraId="28664B99">
      <w:pPr>
        <w:numPr>
          <w:ilvl w:val="-1"/>
          <w:numId w:val="0"/>
        </w:numPr>
        <w:spacing w:beforeLines="0" w:afterLines="0" w:line="360" w:lineRule="auto"/>
        <w:ind w:firstLine="0"/>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日期：    年   月    日      </w:t>
      </w:r>
    </w:p>
    <w:p w14:paraId="619C6267">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p>
    <w:p w14:paraId="7B3615EF">
      <w:pPr>
        <w:spacing w:beforeLines="0" w:afterLines="0" w:line="360" w:lineRule="auto"/>
        <w:jc w:val="left"/>
        <w:outlineLvl w:val="9"/>
        <w:rPr>
          <w:rFonts w:hint="default" w:ascii="Times New Roman" w:hAnsi="Times New Roman" w:cs="Times New Roman" w:eastAsiaTheme="minorEastAsia"/>
          <w:b/>
          <w:bCs/>
          <w:sz w:val="28"/>
          <w:szCs w:val="28"/>
          <w:highlight w:val="none"/>
        </w:rPr>
      </w:pPr>
      <w:r>
        <w:rPr>
          <w:rFonts w:hint="eastAsia"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lang w:val="en-US" w:eastAsia="zh-CN"/>
        </w:rPr>
        <w:t>.其他（如有）</w:t>
      </w:r>
    </w:p>
    <w:p w14:paraId="1D90F7D4">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p>
    <w:p w14:paraId="5F077450">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br w:type="page"/>
      </w:r>
    </w:p>
    <w:p w14:paraId="4C804090">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t>二、符合性审查证明文件</w:t>
      </w:r>
    </w:p>
    <w:p w14:paraId="5FD714D8">
      <w:pPr>
        <w:spacing w:beforeLines="0" w:afterLines="0" w:line="360" w:lineRule="auto"/>
        <w:jc w:val="both"/>
        <w:outlineLvl w:val="2"/>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shd w:val="clear"/>
          <w:lang w:val="en-US" w:eastAsia="zh-CN"/>
        </w:rPr>
        <w:t>1.投标函</w:t>
      </w:r>
    </w:p>
    <w:p w14:paraId="071AC019">
      <w:pPr>
        <w:pStyle w:val="2"/>
        <w:spacing w:before="0" w:beforeLines="0" w:after="0" w:afterLines="0" w:line="360" w:lineRule="auto"/>
        <w:jc w:val="center"/>
        <w:rPr>
          <w:rFonts w:hint="default" w:ascii="Times New Roman" w:hAnsi="Times New Roman" w:cs="Times New Roman" w:eastAsiaTheme="minorEastAsia"/>
          <w:i/>
          <w:iCs/>
          <w:sz w:val="28"/>
          <w:szCs w:val="28"/>
          <w:highlight w:val="none"/>
          <w:u w:val="single"/>
          <w:lang w:eastAsia="zh-CN"/>
        </w:rPr>
      </w:pPr>
      <w:r>
        <w:rPr>
          <w:rFonts w:hint="default" w:ascii="Times New Roman" w:hAnsi="Times New Roman" w:cs="Times New Roman" w:eastAsiaTheme="minorEastAsia"/>
          <w:sz w:val="28"/>
          <w:szCs w:val="28"/>
          <w:highlight w:val="none"/>
        </w:rPr>
        <w:t>投标函</w:t>
      </w:r>
      <w:r>
        <w:rPr>
          <w:rFonts w:hint="default" w:ascii="Times New Roman" w:hAnsi="Times New Roman" w:cs="Times New Roman" w:eastAsiaTheme="minorEastAsia"/>
          <w:i/>
          <w:iCs/>
          <w:sz w:val="28"/>
          <w:szCs w:val="28"/>
          <w:highlight w:val="none"/>
          <w:lang w:eastAsia="zh-CN"/>
        </w:rPr>
        <w:t>（实质性格式）</w:t>
      </w:r>
    </w:p>
    <w:p w14:paraId="2B7B5ADC">
      <w:pPr>
        <w:spacing w:beforeLines="0" w:afterLines="0" w:line="360" w:lineRule="auto"/>
        <w:rPr>
          <w:rFonts w:hint="default" w:ascii="Times New Roman" w:hAnsi="Times New Roman" w:cs="Times New Roman" w:eastAsiaTheme="minorEastAsia"/>
          <w:sz w:val="28"/>
          <w:szCs w:val="28"/>
          <w:highlight w:val="none"/>
        </w:rPr>
      </w:pPr>
      <w:bookmarkStart w:id="30" w:name="OLE_LINK35"/>
      <w:r>
        <w:rPr>
          <w:rFonts w:hint="default" w:ascii="Times New Roman" w:hAnsi="Times New Roman" w:cs="Times New Roman" w:eastAsiaTheme="minorEastAsia"/>
          <w:sz w:val="28"/>
          <w:szCs w:val="28"/>
          <w:highlight w:val="none"/>
        </w:rPr>
        <w:t>致：（采购人/采购代理机构）</w:t>
      </w:r>
    </w:p>
    <w:p w14:paraId="5F9D3E3B">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我方</w:t>
      </w:r>
      <w:r>
        <w:rPr>
          <w:rFonts w:hint="default" w:ascii="Times New Roman" w:hAnsi="Times New Roman" w:cs="Times New Roman" w:eastAsiaTheme="minorEastAsia"/>
          <w:sz w:val="28"/>
          <w:szCs w:val="28"/>
          <w:highlight w:val="none"/>
          <w:lang w:eastAsia="zh-CN"/>
        </w:rPr>
        <w:t>已详细审查全部招标文件和采购公告，自愿</w:t>
      </w:r>
      <w:r>
        <w:rPr>
          <w:rFonts w:hint="default" w:ascii="Times New Roman" w:hAnsi="Times New Roman" w:cs="Times New Roman" w:eastAsiaTheme="minorEastAsia"/>
          <w:sz w:val="28"/>
          <w:szCs w:val="28"/>
          <w:highlight w:val="none"/>
        </w:rPr>
        <w:t>参加（项目名称）    的投标,并做出如下承诺：</w:t>
      </w:r>
    </w:p>
    <w:p w14:paraId="2EC631A8">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一、</w:t>
      </w:r>
      <w:r>
        <w:rPr>
          <w:rFonts w:hint="default" w:ascii="Times New Roman" w:hAnsi="Times New Roman" w:cs="Times New Roman" w:eastAsiaTheme="minorEastAsia"/>
          <w:sz w:val="28"/>
          <w:szCs w:val="28"/>
          <w:highlight w:val="none"/>
          <w:lang w:eastAsia="zh-CN"/>
        </w:rPr>
        <w:t>本投标有效期为自提交投标文件的截止之日起</w:t>
      </w:r>
      <w:r>
        <w:rPr>
          <w:rFonts w:hint="default" w:ascii="Times New Roman" w:hAnsi="Times New Roman" w:cs="Times New Roman" w:eastAsiaTheme="minorEastAsia"/>
          <w:sz w:val="28"/>
          <w:szCs w:val="28"/>
          <w:highlight w:val="none"/>
          <w:lang w:val="en-US" w:eastAsia="zh-CN"/>
        </w:rPr>
        <w:t xml:space="preserve">    个日历日。</w:t>
      </w:r>
    </w:p>
    <w:p w14:paraId="7B30BA9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二、</w:t>
      </w:r>
      <w:r>
        <w:rPr>
          <w:rFonts w:hint="default" w:ascii="Times New Roman" w:hAnsi="Times New Roman" w:cs="Times New Roman" w:eastAsiaTheme="minorEastAsia"/>
          <w:bCs/>
          <w:sz w:val="28"/>
          <w:szCs w:val="28"/>
          <w:highlight w:val="none"/>
        </w:rPr>
        <w:t>我方授权(姓名和职务)代表我方（投标</w:t>
      </w:r>
      <w:r>
        <w:rPr>
          <w:rFonts w:hint="default" w:ascii="Times New Roman" w:hAnsi="Times New Roman" w:cs="Times New Roman" w:eastAsiaTheme="minorEastAsia"/>
          <w:bCs/>
          <w:sz w:val="28"/>
          <w:szCs w:val="28"/>
          <w:highlight w:val="none"/>
          <w:lang w:eastAsia="zh-CN"/>
        </w:rPr>
        <w:t>人</w:t>
      </w:r>
      <w:r>
        <w:rPr>
          <w:rFonts w:hint="default" w:ascii="Times New Roman" w:hAnsi="Times New Roman" w:cs="Times New Roman" w:eastAsiaTheme="minorEastAsia"/>
          <w:bCs/>
          <w:sz w:val="28"/>
          <w:szCs w:val="28"/>
          <w:highlight w:val="none"/>
        </w:rPr>
        <w:t>名称）全权处理本项目投标的有关事宜。</w:t>
      </w:r>
    </w:p>
    <w:p w14:paraId="61A89522">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三、我方提供的全部文件资料均是真实、准确的，并对此承担一切法律后果。</w:t>
      </w:r>
    </w:p>
    <w:p w14:paraId="271B38AD">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四、我方承诺按照招标文件的要求提交投标保证金，如我方中标，支付相关代理费用，并在法律规定的期限内签订政府采购合同，按照招标文件提交履约保证金，在合同约定的期限内完成合同规定的全部义务。</w:t>
      </w:r>
    </w:p>
    <w:p w14:paraId="3D917240">
      <w:pPr>
        <w:spacing w:beforeLines="0" w:afterLines="0" w:line="360" w:lineRule="auto"/>
        <w:ind w:firstLine="6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五、（其他条款，如有）</w:t>
      </w:r>
    </w:p>
    <w:p w14:paraId="43D19823">
      <w:pPr>
        <w:pStyle w:val="10"/>
        <w:spacing w:line="360" w:lineRule="auto"/>
        <w:rPr>
          <w:rFonts w:hint="default" w:ascii="Times New Roman" w:hAnsi="Times New Roman"/>
          <w:highlight w:val="none"/>
        </w:rPr>
      </w:pPr>
    </w:p>
    <w:p w14:paraId="13CD6C9A">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4AF611B9">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地址：                </w:t>
      </w:r>
    </w:p>
    <w:p w14:paraId="62721D72">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电话：                    </w:t>
      </w:r>
      <w:r>
        <w:rPr>
          <w:rFonts w:hint="default" w:ascii="Times New Roman" w:hAnsi="Times New Roman" w:cs="Times New Roman" w:eastAsiaTheme="minorEastAsia"/>
          <w:sz w:val="28"/>
          <w:szCs w:val="28"/>
          <w:highlight w:val="none"/>
          <w:lang w:eastAsia="zh-CN"/>
        </w:rPr>
        <w:t>电子</w:t>
      </w:r>
      <w:r>
        <w:rPr>
          <w:rFonts w:hint="default" w:ascii="Times New Roman" w:hAnsi="Times New Roman" w:cs="Times New Roman" w:eastAsiaTheme="minorEastAsia"/>
          <w:sz w:val="28"/>
          <w:szCs w:val="28"/>
          <w:highlight w:val="none"/>
        </w:rPr>
        <w:t xml:space="preserve">传真：                </w:t>
      </w:r>
    </w:p>
    <w:p w14:paraId="0BDF75DB">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电子邮件：                </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邮政编码</w:t>
      </w:r>
      <w:r>
        <w:rPr>
          <w:rFonts w:hint="default" w:ascii="Times New Roman" w:hAnsi="Times New Roman" w:cs="Times New Roman" w:eastAsiaTheme="minorEastAsia"/>
          <w:sz w:val="28"/>
          <w:szCs w:val="28"/>
          <w:highlight w:val="none"/>
        </w:rPr>
        <w:t xml:space="preserve">：                </w:t>
      </w:r>
    </w:p>
    <w:p w14:paraId="04450611">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bookmarkEnd w:id="30"/>
    <w:p w14:paraId="434C34AE">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2BFF70BE">
      <w:pPr>
        <w:widowControl/>
        <w:spacing w:beforeLines="-2147483648" w:afterLines="-2147483648" w:line="360" w:lineRule="auto"/>
        <w:jc w:val="left"/>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br w:type="page"/>
      </w:r>
    </w:p>
    <w:p w14:paraId="1E57F2B8">
      <w:pPr>
        <w:widowControl w:val="0"/>
        <w:spacing w:beforeLines="0" w:afterLines="0" w:line="360" w:lineRule="auto"/>
        <w:jc w:val="both"/>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2.授权委托书</w:t>
      </w:r>
      <w:r>
        <w:rPr>
          <w:rFonts w:hint="default" w:ascii="Times New Roman" w:hAnsi="Times New Roman" w:cs="Times New Roman" w:eastAsiaTheme="minorEastAsia"/>
          <w:b/>
          <w:bCs/>
          <w:i/>
          <w:iCs/>
          <w:sz w:val="28"/>
          <w:szCs w:val="28"/>
          <w:highlight w:val="none"/>
          <w:lang w:val="en-US" w:eastAsia="zh-CN"/>
        </w:rPr>
        <w:t>（法人参加需提供：</w:t>
      </w:r>
      <w:r>
        <w:rPr>
          <w:rFonts w:hint="eastAsia" w:cs="Times New Roman" w:eastAsiaTheme="minorEastAsia"/>
          <w:b/>
          <w:bCs/>
          <w:i/>
          <w:iCs/>
          <w:sz w:val="28"/>
          <w:szCs w:val="28"/>
          <w:highlight w:val="none"/>
          <w:lang w:val="en-US" w:eastAsia="zh-CN"/>
        </w:rPr>
        <w:t>法定代表人身份证明</w:t>
      </w:r>
      <w:r>
        <w:rPr>
          <w:rFonts w:hint="default" w:ascii="Times New Roman" w:hAnsi="Times New Roman" w:cs="Times New Roman" w:eastAsiaTheme="minorEastAsia"/>
          <w:b/>
          <w:bCs/>
          <w:i/>
          <w:iCs/>
          <w:sz w:val="28"/>
          <w:szCs w:val="28"/>
          <w:highlight w:val="none"/>
          <w:lang w:val="en-US" w:eastAsia="zh-CN"/>
        </w:rPr>
        <w:t>原件及本人身份证原件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960C70E">
      <w:pPr>
        <w:widowControl w:val="0"/>
        <w:spacing w:beforeLines="0" w:afterLines="0" w:line="360" w:lineRule="auto"/>
        <w:jc w:val="both"/>
        <w:rPr>
          <w:rFonts w:hint="default" w:ascii="Times New Roman" w:hAnsi="Times New Roman" w:cs="Times New Roman" w:eastAsiaTheme="minorEastAsia"/>
          <w:i/>
          <w:iCs/>
          <w:sz w:val="28"/>
          <w:szCs w:val="28"/>
          <w:highlight w:val="none"/>
        </w:rPr>
      </w:pPr>
      <w:r>
        <w:rPr>
          <w:rFonts w:hint="default" w:ascii="Times New Roman" w:hAnsi="Times New Roman" w:cs="Times New Roman" w:eastAsiaTheme="minorEastAsia"/>
          <w:b/>
          <w:bCs/>
          <w:i/>
          <w:iCs/>
          <w:sz w:val="28"/>
          <w:szCs w:val="28"/>
          <w:highlight w:val="none"/>
          <w:lang w:val="en-US" w:eastAsia="zh-CN"/>
        </w:rPr>
        <w:t>被授权人参加需提供：法人代表授权委托书原件及被授权人《居民身份证》原件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6844B14">
      <w:pPr>
        <w:spacing w:beforeLines="0" w:afterLines="0" w:line="360" w:lineRule="auto"/>
        <w:ind w:firstLine="0"/>
        <w:jc w:val="center"/>
        <w:outlineLvl w:val="2"/>
        <w:rPr>
          <w:rFonts w:hint="default" w:ascii="Times New Roman" w:hAnsi="Times New Roman" w:cs="Times New Roman" w:eastAsiaTheme="minorEastAsia"/>
          <w:b/>
          <w:bCs/>
          <w:i/>
          <w:iCs/>
          <w:sz w:val="28"/>
          <w:szCs w:val="28"/>
          <w:highlight w:val="none"/>
          <w:u w:val="single"/>
          <w:shd w:val="clear"/>
          <w:lang w:eastAsia="zh-CN"/>
        </w:rPr>
      </w:pPr>
      <w:r>
        <w:rPr>
          <w:rFonts w:hint="default" w:ascii="Times New Roman" w:hAnsi="Times New Roman" w:cs="Times New Roman" w:eastAsiaTheme="minorEastAsia"/>
          <w:b/>
          <w:bCs/>
          <w:sz w:val="28"/>
          <w:szCs w:val="28"/>
          <w:highlight w:val="none"/>
          <w:u w:val="single"/>
          <w:shd w:val="clear"/>
          <w:lang w:eastAsia="zh-CN"/>
        </w:rPr>
        <w:t>授权委托书</w:t>
      </w:r>
      <w:r>
        <w:rPr>
          <w:rFonts w:hint="default" w:ascii="Times New Roman" w:hAnsi="Times New Roman" w:cs="Times New Roman" w:eastAsiaTheme="minorEastAsia"/>
          <w:b/>
          <w:bCs/>
          <w:i/>
          <w:iCs/>
          <w:sz w:val="28"/>
          <w:szCs w:val="28"/>
          <w:highlight w:val="none"/>
          <w:u w:val="single"/>
          <w:shd w:val="clear"/>
          <w:lang w:eastAsia="zh-CN"/>
        </w:rPr>
        <w:t>（实质性格式）</w:t>
      </w:r>
    </w:p>
    <w:p w14:paraId="688B5CA3">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eastAsia="zh-CN"/>
        </w:rPr>
      </w:pPr>
    </w:p>
    <w:p w14:paraId="2BCF2BBF">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val="en-US" w:eastAsia="zh-CN"/>
        </w:rPr>
      </w:pPr>
      <w:r>
        <w:rPr>
          <w:rFonts w:hint="default" w:ascii="Times New Roman" w:hAnsi="Times New Roman" w:cs="Times New Roman" w:eastAsiaTheme="minorEastAsia"/>
          <w:b w:val="0"/>
          <w:sz w:val="28"/>
          <w:szCs w:val="28"/>
          <w:highlight w:val="none"/>
          <w:shd w:val="clear"/>
          <w:lang w:val="en-US" w:eastAsia="zh-CN"/>
        </w:rPr>
        <w:t xml:space="preserve">    本人     （姓名）系     （投标人）的法定代表人（单位负责人等），现委托     （姓名）为我方代理人。代理人根据授权，以我方名义签署、澄清确认、提交、撤回、修改（采购项目）    投标文件和处理有关事宜，其法律后果由我方承担。</w:t>
      </w:r>
    </w:p>
    <w:p w14:paraId="6BCF0C6B">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委托期限：自本授权委托书签署之日起至投标有效期届满之日止。</w:t>
      </w:r>
    </w:p>
    <w:p w14:paraId="052B0B58">
      <w:pPr>
        <w:spacing w:beforeLines="0" w:afterLines="0" w:line="360" w:lineRule="auto"/>
        <w:ind w:firstLine="0"/>
        <w:jc w:val="left"/>
        <w:outlineLvl w:val="2"/>
        <w:rPr>
          <w:rFonts w:hint="default" w:ascii="Times New Roman" w:hAnsi="Times New Roman" w:cs="Times New Roman" w:eastAsiaTheme="minorEastAsia"/>
          <w:sz w:val="28"/>
          <w:szCs w:val="28"/>
          <w:highlight w:val="none"/>
          <w:u w:val="single"/>
          <w:lang w:val="en-US" w:eastAsia="zh-CN"/>
        </w:rPr>
      </w:pPr>
    </w:p>
    <w:p w14:paraId="21F5DCD1">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投标人（加盖公章）：</w:t>
      </w:r>
    </w:p>
    <w:p w14:paraId="39339EDB">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法定代表人（单位负责人等）（签字或签章）：</w:t>
      </w:r>
    </w:p>
    <w:p w14:paraId="66545EBC">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委托代理人（签字或签章）：</w:t>
      </w:r>
    </w:p>
    <w:p w14:paraId="7D2875CF">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w:t>
      </w:r>
    </w:p>
    <w:p w14:paraId="78E3D937">
      <w:pPr>
        <w:spacing w:beforeLines="0" w:afterLines="0" w:line="360" w:lineRule="auto"/>
        <w:jc w:val="left"/>
        <w:outlineLvl w:val="2"/>
        <w:rPr>
          <w:rFonts w:hint="default" w:ascii="Times New Roman" w:hAnsi="Times New Roman" w:cs="Times New Roman" w:eastAsiaTheme="minorEastAsia"/>
          <w:b w:val="0"/>
          <w:sz w:val="28"/>
          <w:szCs w:val="28"/>
          <w:highlight w:val="none"/>
          <w:u w:val="single"/>
          <w:shd w:val="clear"/>
          <w:lang w:eastAsia="zh-CN"/>
        </w:rPr>
      </w:pPr>
    </w:p>
    <w:p w14:paraId="3F4AF4D8">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bookmarkStart w:id="31" w:name="OLE_LINK36"/>
      <w:bookmarkStart w:id="32" w:name="OLE_LINK37"/>
      <w:r>
        <w:rPr>
          <w:rFonts w:hint="default" w:ascii="Times New Roman" w:hAnsi="Times New Roman" w:cs="Times New Roman" w:eastAsiaTheme="minorEastAsia"/>
          <w:b w:val="0"/>
          <w:sz w:val="28"/>
          <w:szCs w:val="28"/>
          <w:highlight w:val="none"/>
          <w:shd w:val="clear"/>
          <w:lang w:val="en-US" w:eastAsia="zh-CN"/>
        </w:rPr>
        <w:t>附：法定代表人（单位负责人等）及委托代理人身份证明文</w:t>
      </w:r>
      <w:bookmarkEnd w:id="31"/>
      <w:r>
        <w:rPr>
          <w:rFonts w:hint="default" w:ascii="Times New Roman" w:hAnsi="Times New Roman" w:cs="Times New Roman" w:eastAsiaTheme="minorEastAsia"/>
          <w:b w:val="0"/>
          <w:sz w:val="28"/>
          <w:szCs w:val="28"/>
          <w:highlight w:val="none"/>
          <w:shd w:val="clear"/>
          <w:lang w:val="en-US" w:eastAsia="zh-CN"/>
        </w:rPr>
        <w:t>件</w:t>
      </w:r>
    </w:p>
    <w:p w14:paraId="26255585">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06CBB952">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63FDCA6D">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39E4DE1C">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7A8D91A0">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56D030E7">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58484801">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125825EB">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464B29D1">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23B999EC">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1A6B65B4">
      <w:pPr>
        <w:pStyle w:val="14"/>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bookmarkEnd w:id="32"/>
    <w:p w14:paraId="2F093332">
      <w:pPr>
        <w:pStyle w:val="14"/>
        <w:spacing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p>
    <w:p w14:paraId="3082FB34">
      <w:pPr>
        <w:pStyle w:val="14"/>
        <w:spacing w:beforeLines="0" w:afterLines="0" w:line="360" w:lineRule="auto"/>
        <w:ind w:firstLine="0" w:firstLineChars="0"/>
        <w:jc w:val="center"/>
        <w:rPr>
          <w:rFonts w:hint="default" w:ascii="Times New Roman" w:hAnsi="Times New Roman" w:cs="Times New Roman" w:eastAsiaTheme="minorEastAsia"/>
          <w:b/>
          <w:bCs/>
          <w:i/>
          <w:iCs/>
          <w:sz w:val="28"/>
          <w:szCs w:val="28"/>
          <w:highlight w:val="none"/>
          <w:lang w:eastAsia="zh-CN"/>
        </w:rPr>
      </w:pPr>
      <w:r>
        <w:rPr>
          <w:rFonts w:hint="default" w:ascii="Times New Roman" w:hAnsi="Times New Roman" w:cs="Times New Roman" w:eastAsiaTheme="minorEastAsia"/>
          <w:b/>
          <w:bCs/>
          <w:sz w:val="28"/>
          <w:szCs w:val="28"/>
          <w:highlight w:val="none"/>
          <w:lang w:eastAsia="zh-CN"/>
        </w:rPr>
        <w:t>法定代表人（单位负责人等）</w:t>
      </w:r>
      <w:r>
        <w:rPr>
          <w:rFonts w:hint="eastAsia" w:ascii="Times New Roman" w:hAnsi="Times New Roman" w:cs="Times New Roman" w:eastAsiaTheme="minorEastAsia"/>
          <w:b/>
          <w:bCs/>
          <w:sz w:val="28"/>
          <w:szCs w:val="28"/>
          <w:highlight w:val="none"/>
          <w:lang w:eastAsia="zh-CN"/>
        </w:rPr>
        <w:t>身份</w:t>
      </w:r>
      <w:r>
        <w:rPr>
          <w:rFonts w:hint="default" w:ascii="Times New Roman" w:hAnsi="Times New Roman" w:cs="Times New Roman" w:eastAsiaTheme="minorEastAsia"/>
          <w:b/>
          <w:bCs/>
          <w:sz w:val="28"/>
          <w:szCs w:val="28"/>
          <w:highlight w:val="none"/>
          <w:lang w:eastAsia="zh-CN"/>
        </w:rPr>
        <w:t>证明</w:t>
      </w:r>
      <w:r>
        <w:rPr>
          <w:rFonts w:hint="default" w:ascii="Times New Roman" w:hAnsi="Times New Roman" w:cs="Times New Roman" w:eastAsiaTheme="minorEastAsia"/>
          <w:b/>
          <w:bCs/>
          <w:i/>
          <w:iCs/>
          <w:sz w:val="28"/>
          <w:szCs w:val="28"/>
          <w:highlight w:val="none"/>
          <w:lang w:eastAsia="zh-CN"/>
        </w:rPr>
        <w:t>（仅供参考）</w:t>
      </w:r>
    </w:p>
    <w:p w14:paraId="60A7E062">
      <w:pPr>
        <w:pStyle w:val="24"/>
        <w:spacing w:line="360" w:lineRule="auto"/>
        <w:jc w:val="center"/>
        <w:outlineLvl w:val="2"/>
        <w:rPr>
          <w:rFonts w:hint="default" w:ascii="Times New Roman" w:hAnsi="Times New Roman" w:eastAsia="仿宋_GB2312" w:cs="Times New Roman"/>
          <w:b w:val="0"/>
          <w:sz w:val="21"/>
          <w:szCs w:val="24"/>
          <w:highlight w:val="none"/>
          <w:shd w:val="clear"/>
          <w:lang w:eastAsia="zh-CN"/>
        </w:rPr>
      </w:pPr>
    </w:p>
    <w:p w14:paraId="6D5A9798">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致：（采购人/采购代理机构）</w:t>
      </w:r>
    </w:p>
    <w:p w14:paraId="2AC250CA">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兹证明，姓名：      性别：       年龄：     职务：    ，系（投标人名称）           的法定代表人（单位负责人等）。</w:t>
      </w:r>
    </w:p>
    <w:p w14:paraId="379BBD12">
      <w:pPr>
        <w:spacing w:beforeLines="0" w:afterLines="0" w:line="360" w:lineRule="auto"/>
        <w:ind w:firstLine="600"/>
        <w:rPr>
          <w:rFonts w:hint="default" w:ascii="Times New Roman" w:hAnsi="Times New Roman" w:cs="Times New Roman" w:eastAsiaTheme="minorEastAsia"/>
          <w:sz w:val="28"/>
          <w:szCs w:val="28"/>
          <w:highlight w:val="none"/>
          <w:lang w:eastAsia="zh-CN"/>
        </w:rPr>
      </w:pPr>
    </w:p>
    <w:p w14:paraId="56180A11">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sz w:val="28"/>
          <w:szCs w:val="28"/>
          <w:highlight w:val="none"/>
          <w:shd w:val="clear"/>
          <w:lang w:val="en-US" w:eastAsia="zh-CN"/>
        </w:rPr>
        <w:t xml:space="preserve">    附：法定代表人（单位负责人等）身份证明文件</w:t>
      </w:r>
    </w:p>
    <w:p w14:paraId="0C979697">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p>
    <w:p w14:paraId="22E26DB3">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70F555E8">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法定代表人（单位负责人等）（签字或盖章）</w:t>
      </w:r>
      <w:r>
        <w:rPr>
          <w:rFonts w:hint="default" w:ascii="Times New Roman" w:hAnsi="Times New Roman" w:cs="Times New Roman" w:eastAsiaTheme="minorEastAsia"/>
          <w:sz w:val="28"/>
          <w:szCs w:val="28"/>
          <w:highlight w:val="none"/>
        </w:rPr>
        <w:t xml:space="preserve"> </w:t>
      </w:r>
    </w:p>
    <w:p w14:paraId="09A65F01">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p w14:paraId="727A58CB">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br w:type="page"/>
      </w:r>
    </w:p>
    <w:p w14:paraId="2587109E">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2E4A8E1E">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61A3BBA8">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2BC64876">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3.开标一览表</w:t>
      </w:r>
    </w:p>
    <w:p w14:paraId="29C495C1">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p>
    <w:p w14:paraId="44EE084C">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开标一览表</w:t>
      </w:r>
      <w:r>
        <w:rPr>
          <w:rFonts w:hint="default" w:ascii="Times New Roman" w:hAnsi="Times New Roman" w:cs="Times New Roman" w:eastAsiaTheme="minorEastAsia"/>
          <w:b/>
          <w:bCs/>
          <w:i/>
          <w:iCs/>
          <w:sz w:val="28"/>
          <w:szCs w:val="28"/>
          <w:highlight w:val="none"/>
          <w:shd w:val="clear"/>
          <w:lang w:val="en-US" w:eastAsia="zh-CN"/>
        </w:rPr>
        <w:t>（实质性格式）</w:t>
      </w:r>
    </w:p>
    <w:p w14:paraId="053A714B">
      <w:pPr>
        <w:pStyle w:val="10"/>
        <w:spacing w:before="124" w:line="221" w:lineRule="auto"/>
        <w:ind w:left="3647"/>
        <w:rPr>
          <w:sz w:val="36"/>
          <w:szCs w:val="36"/>
        </w:rPr>
      </w:pPr>
      <w:r>
        <w:rPr>
          <w:b/>
          <w:bCs/>
          <w:spacing w:val="-6"/>
          <w:sz w:val="36"/>
          <w:szCs w:val="36"/>
        </w:rPr>
        <w:t>开标一览表</w:t>
      </w:r>
    </w:p>
    <w:p w14:paraId="2D4B19F9">
      <w:pPr>
        <w:spacing w:line="321" w:lineRule="auto"/>
        <w:rPr>
          <w:rFonts w:ascii="Arial"/>
          <w:sz w:val="21"/>
        </w:rPr>
      </w:pPr>
    </w:p>
    <w:p w14:paraId="784578D5">
      <w:pPr>
        <w:pStyle w:val="10"/>
        <w:spacing w:before="81" w:line="211" w:lineRule="auto"/>
        <w:ind w:left="34"/>
        <w:rPr>
          <w:sz w:val="25"/>
          <w:szCs w:val="25"/>
        </w:rPr>
      </w:pPr>
    </w:p>
    <w:p w14:paraId="1BF379D0">
      <w:pPr>
        <w:pStyle w:val="10"/>
        <w:spacing w:before="182" w:line="217" w:lineRule="auto"/>
        <w:ind w:left="253"/>
        <w:rPr>
          <w:rFonts w:ascii="Arial" w:hAnsi="Arial" w:eastAsia="Arial" w:cs="Arial"/>
          <w:sz w:val="24"/>
          <w:szCs w:val="24"/>
        </w:rPr>
      </w:pPr>
      <w:r>
        <w:rPr>
          <w:spacing w:val="-1"/>
          <w:sz w:val="24"/>
          <w:szCs w:val="24"/>
        </w:rPr>
        <w:t>项目编号：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w:t>
      </w:r>
    </w:p>
    <w:p w14:paraId="625931B8">
      <w:pPr>
        <w:spacing w:line="147" w:lineRule="exact"/>
      </w:pPr>
    </w:p>
    <w:tbl>
      <w:tblPr>
        <w:tblStyle w:val="40"/>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6"/>
        <w:gridCol w:w="1988"/>
        <w:gridCol w:w="1988"/>
      </w:tblGrid>
      <w:tr w14:paraId="0182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6F1CC981">
            <w:pPr>
              <w:pStyle w:val="43"/>
              <w:spacing w:line="410" w:lineRule="auto"/>
            </w:pPr>
          </w:p>
          <w:p w14:paraId="68909C7A">
            <w:pPr>
              <w:spacing w:before="78" w:line="222" w:lineRule="auto"/>
              <w:ind w:left="113"/>
              <w:rPr>
                <w:rFonts w:ascii="宋体" w:hAnsi="宋体" w:eastAsia="宋体" w:cs="宋体"/>
                <w:sz w:val="24"/>
                <w:szCs w:val="24"/>
              </w:rPr>
            </w:pPr>
            <w:r>
              <w:rPr>
                <w:rFonts w:ascii="宋体" w:hAnsi="宋体" w:eastAsia="宋体" w:cs="宋体"/>
                <w:b/>
                <w:bCs/>
                <w:spacing w:val="-5"/>
                <w:sz w:val="24"/>
                <w:szCs w:val="24"/>
              </w:rPr>
              <w:t>包号</w:t>
            </w:r>
          </w:p>
        </w:tc>
        <w:tc>
          <w:tcPr>
            <w:tcW w:w="3706" w:type="dxa"/>
            <w:vMerge w:val="restart"/>
            <w:tcBorders>
              <w:bottom w:val="nil"/>
            </w:tcBorders>
            <w:vAlign w:val="top"/>
          </w:tcPr>
          <w:p w14:paraId="0A395DE3">
            <w:pPr>
              <w:pStyle w:val="43"/>
              <w:spacing w:line="410" w:lineRule="auto"/>
            </w:pPr>
          </w:p>
          <w:p w14:paraId="6D05FFA3">
            <w:pPr>
              <w:spacing w:before="78" w:line="221" w:lineRule="auto"/>
              <w:ind w:left="1263"/>
              <w:rPr>
                <w:rFonts w:ascii="宋体" w:hAnsi="宋体" w:eastAsia="宋体" w:cs="宋体"/>
                <w:sz w:val="24"/>
                <w:szCs w:val="24"/>
              </w:rPr>
            </w:pPr>
            <w:r>
              <w:rPr>
                <w:rFonts w:ascii="宋体" w:hAnsi="宋体" w:eastAsia="宋体" w:cs="宋体"/>
                <w:b/>
                <w:bCs/>
                <w:spacing w:val="-4"/>
                <w:sz w:val="24"/>
                <w:szCs w:val="24"/>
              </w:rPr>
              <w:t>投标人名称</w:t>
            </w:r>
          </w:p>
        </w:tc>
        <w:tc>
          <w:tcPr>
            <w:tcW w:w="3976" w:type="dxa"/>
            <w:gridSpan w:val="2"/>
            <w:vAlign w:val="top"/>
          </w:tcPr>
          <w:p w14:paraId="2234C9F0">
            <w:pPr>
              <w:spacing w:before="150" w:line="219" w:lineRule="auto"/>
              <w:ind w:left="1516"/>
              <w:rPr>
                <w:rFonts w:ascii="宋体" w:hAnsi="宋体" w:eastAsia="宋体" w:cs="宋体"/>
                <w:sz w:val="24"/>
                <w:szCs w:val="24"/>
              </w:rPr>
            </w:pPr>
            <w:r>
              <w:rPr>
                <w:rFonts w:ascii="宋体" w:hAnsi="宋体" w:eastAsia="宋体" w:cs="宋体"/>
                <w:b/>
                <w:bCs/>
                <w:spacing w:val="-5"/>
                <w:sz w:val="24"/>
                <w:szCs w:val="24"/>
              </w:rPr>
              <w:t>投标报价</w:t>
            </w:r>
          </w:p>
        </w:tc>
      </w:tr>
      <w:tr w14:paraId="19CF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671A9342">
            <w:pPr>
              <w:pStyle w:val="43"/>
            </w:pPr>
          </w:p>
        </w:tc>
        <w:tc>
          <w:tcPr>
            <w:tcW w:w="3706" w:type="dxa"/>
            <w:vMerge w:val="continue"/>
            <w:tcBorders>
              <w:top w:val="nil"/>
            </w:tcBorders>
            <w:vAlign w:val="top"/>
          </w:tcPr>
          <w:p w14:paraId="46D60576">
            <w:pPr>
              <w:pStyle w:val="43"/>
            </w:pPr>
          </w:p>
        </w:tc>
        <w:tc>
          <w:tcPr>
            <w:tcW w:w="1988" w:type="dxa"/>
            <w:vAlign w:val="top"/>
          </w:tcPr>
          <w:p w14:paraId="45631B9B">
            <w:pPr>
              <w:spacing w:before="217" w:line="221" w:lineRule="auto"/>
              <w:ind w:left="765"/>
              <w:rPr>
                <w:rFonts w:ascii="宋体" w:hAnsi="宋体" w:eastAsia="宋体" w:cs="宋体"/>
                <w:sz w:val="24"/>
                <w:szCs w:val="24"/>
              </w:rPr>
            </w:pPr>
            <w:r>
              <w:rPr>
                <w:rFonts w:ascii="宋体" w:hAnsi="宋体" w:eastAsia="宋体" w:cs="宋体"/>
                <w:b/>
                <w:bCs/>
                <w:spacing w:val="-6"/>
                <w:sz w:val="24"/>
                <w:szCs w:val="24"/>
              </w:rPr>
              <w:t>大写</w:t>
            </w:r>
          </w:p>
        </w:tc>
        <w:tc>
          <w:tcPr>
            <w:tcW w:w="1988" w:type="dxa"/>
            <w:vAlign w:val="top"/>
          </w:tcPr>
          <w:p w14:paraId="4E65CE64">
            <w:pPr>
              <w:spacing w:before="217" w:line="222" w:lineRule="auto"/>
              <w:ind w:left="768"/>
              <w:rPr>
                <w:rFonts w:ascii="宋体" w:hAnsi="宋体" w:eastAsia="宋体" w:cs="宋体"/>
                <w:sz w:val="24"/>
                <w:szCs w:val="24"/>
              </w:rPr>
            </w:pPr>
            <w:r>
              <w:rPr>
                <w:rFonts w:ascii="宋体" w:hAnsi="宋体" w:eastAsia="宋体" w:cs="宋体"/>
                <w:b/>
                <w:bCs/>
                <w:spacing w:val="-7"/>
                <w:sz w:val="24"/>
                <w:szCs w:val="24"/>
              </w:rPr>
              <w:t>小写</w:t>
            </w:r>
          </w:p>
        </w:tc>
      </w:tr>
      <w:tr w14:paraId="7688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73665880">
            <w:pPr>
              <w:pStyle w:val="43"/>
            </w:pPr>
          </w:p>
        </w:tc>
        <w:tc>
          <w:tcPr>
            <w:tcW w:w="3706" w:type="dxa"/>
            <w:vAlign w:val="top"/>
          </w:tcPr>
          <w:p w14:paraId="438FF5F0">
            <w:pPr>
              <w:pStyle w:val="43"/>
            </w:pPr>
          </w:p>
        </w:tc>
        <w:tc>
          <w:tcPr>
            <w:tcW w:w="1988" w:type="dxa"/>
            <w:vAlign w:val="top"/>
          </w:tcPr>
          <w:p w14:paraId="44F6E1D6">
            <w:pPr>
              <w:pStyle w:val="43"/>
            </w:pPr>
          </w:p>
        </w:tc>
        <w:tc>
          <w:tcPr>
            <w:tcW w:w="1988" w:type="dxa"/>
            <w:vAlign w:val="top"/>
          </w:tcPr>
          <w:p w14:paraId="2803CACF">
            <w:pPr>
              <w:pStyle w:val="43"/>
            </w:pPr>
          </w:p>
        </w:tc>
      </w:tr>
    </w:tbl>
    <w:p w14:paraId="6F4DBF1E">
      <w:pPr>
        <w:pStyle w:val="10"/>
        <w:spacing w:before="315" w:line="219" w:lineRule="auto"/>
        <w:ind w:left="9"/>
        <w:rPr>
          <w:sz w:val="24"/>
          <w:szCs w:val="24"/>
        </w:rPr>
      </w:pPr>
      <w:r>
        <w:rPr>
          <w:sz w:val="24"/>
          <w:szCs w:val="24"/>
        </w:rPr>
        <w:t>注：</w:t>
      </w:r>
      <w:r>
        <w:rPr>
          <w:rFonts w:ascii="Arial" w:hAnsi="Arial" w:eastAsia="Arial" w:cs="Arial"/>
          <w:sz w:val="24"/>
          <w:szCs w:val="24"/>
        </w:rPr>
        <w:t>1.</w:t>
      </w:r>
      <w:r>
        <w:rPr>
          <w:sz w:val="24"/>
          <w:szCs w:val="24"/>
        </w:rPr>
        <w:t>此表中，每包的投标报价应和《投标分项报价表》中的总价相一致。</w:t>
      </w:r>
    </w:p>
    <w:p w14:paraId="4C354B48">
      <w:pPr>
        <w:pStyle w:val="10"/>
        <w:spacing w:before="28" w:line="219" w:lineRule="auto"/>
        <w:ind w:left="498"/>
        <w:rPr>
          <w:sz w:val="24"/>
          <w:szCs w:val="24"/>
        </w:rPr>
      </w:pPr>
      <w:r>
        <w:rPr>
          <w:rFonts w:ascii="Arial" w:hAnsi="Arial" w:eastAsia="Arial" w:cs="Arial"/>
          <w:spacing w:val="-2"/>
          <w:sz w:val="24"/>
          <w:szCs w:val="24"/>
        </w:rPr>
        <w:t>2.</w:t>
      </w:r>
      <w:r>
        <w:rPr>
          <w:spacing w:val="-2"/>
          <w:sz w:val="24"/>
          <w:szCs w:val="24"/>
        </w:rPr>
        <w:t>本表必须按包分别填写。</w:t>
      </w:r>
    </w:p>
    <w:p w14:paraId="5A52C437">
      <w:pPr>
        <w:spacing w:line="285" w:lineRule="auto"/>
        <w:rPr>
          <w:rFonts w:ascii="Arial"/>
          <w:sz w:val="21"/>
        </w:rPr>
      </w:pPr>
    </w:p>
    <w:p w14:paraId="28BE90B4">
      <w:pPr>
        <w:spacing w:line="285" w:lineRule="auto"/>
        <w:rPr>
          <w:rFonts w:ascii="Arial"/>
          <w:sz w:val="21"/>
        </w:rPr>
      </w:pPr>
    </w:p>
    <w:p w14:paraId="05C7DAA7">
      <w:pPr>
        <w:spacing w:line="285" w:lineRule="auto"/>
        <w:rPr>
          <w:rFonts w:ascii="Arial"/>
          <w:sz w:val="21"/>
        </w:rPr>
      </w:pPr>
    </w:p>
    <w:p w14:paraId="0C08ECAE">
      <w:pPr>
        <w:pStyle w:val="10"/>
        <w:spacing w:before="79" w:line="217" w:lineRule="auto"/>
        <w:ind w:left="12"/>
        <w:rPr>
          <w:rFonts w:ascii="Arial" w:hAnsi="Arial" w:eastAsia="Arial" w:cs="Arial"/>
          <w:sz w:val="24"/>
          <w:szCs w:val="24"/>
        </w:rPr>
      </w:pPr>
      <w:r>
        <w:rPr>
          <w:spacing w:val="-7"/>
          <w:sz w:val="24"/>
          <w:szCs w:val="24"/>
        </w:rPr>
        <w:t>投标人名称（加盖公章</w:t>
      </w:r>
      <w:r>
        <w:rPr>
          <w:sz w:val="24"/>
          <w:szCs w:val="24"/>
        </w:rPr>
        <w:t>）：</w:t>
      </w:r>
      <w:r>
        <w:rPr>
          <w:rFonts w:ascii="Arial" w:hAnsi="Arial" w:eastAsia="Arial" w:cs="Arial"/>
          <w:spacing w:val="-7"/>
          <w:sz w:val="24"/>
          <w:szCs w:val="24"/>
        </w:rPr>
        <w:t>___________</w:t>
      </w:r>
    </w:p>
    <w:p w14:paraId="4EE7FE53">
      <w:pPr>
        <w:pStyle w:val="10"/>
        <w:spacing w:before="210" w:line="217" w:lineRule="auto"/>
        <w:ind w:left="51"/>
        <w:rPr>
          <w:sz w:val="24"/>
          <w:szCs w:val="24"/>
        </w:rPr>
        <w:sectPr>
          <w:headerReference r:id="rId6" w:type="default"/>
          <w:footerReference r:id="rId7" w:type="default"/>
          <w:pgSz w:w="11907" w:h="16840"/>
          <w:pgMar w:top="1165" w:right="1133" w:bottom="1057" w:left="1700" w:header="830" w:footer="886" w:gutter="0"/>
          <w:pgNumType w:fmt="decimal"/>
          <w:cols w:space="720" w:num="1"/>
        </w:sect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0CF97DC">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p>
    <w:p w14:paraId="2BDA92BC">
      <w:pPr>
        <w:pStyle w:val="10"/>
        <w:spacing w:before="78" w:line="219" w:lineRule="auto"/>
        <w:ind w:left="124"/>
        <w:rPr>
          <w:sz w:val="24"/>
          <w:szCs w:val="24"/>
        </w:rPr>
      </w:pPr>
      <w:r>
        <w:rPr>
          <w:rFonts w:ascii="Arial" w:hAnsi="Arial" w:eastAsia="Arial" w:cs="Arial"/>
          <w:sz w:val="24"/>
          <w:szCs w:val="24"/>
        </w:rPr>
        <w:t xml:space="preserve">4   </w:t>
      </w:r>
      <w:r>
        <w:rPr>
          <w:sz w:val="24"/>
          <w:szCs w:val="24"/>
        </w:rPr>
        <w:t>投标分项报价表（实质性格式）</w:t>
      </w:r>
    </w:p>
    <w:p w14:paraId="49C7F4A5">
      <w:pPr>
        <w:spacing w:line="363" w:lineRule="auto"/>
        <w:rPr>
          <w:rFonts w:ascii="Arial"/>
          <w:sz w:val="21"/>
        </w:rPr>
      </w:pPr>
    </w:p>
    <w:p w14:paraId="26F509E8">
      <w:pPr>
        <w:pStyle w:val="10"/>
        <w:spacing w:before="117" w:line="219" w:lineRule="auto"/>
        <w:ind w:left="5869"/>
        <w:rPr>
          <w:sz w:val="36"/>
          <w:szCs w:val="36"/>
        </w:rPr>
      </w:pPr>
      <w:r>
        <w:rPr>
          <w:b/>
          <w:bCs/>
          <w:spacing w:val="-5"/>
          <w:sz w:val="36"/>
          <w:szCs w:val="36"/>
        </w:rPr>
        <w:t>投标分项报价表</w:t>
      </w:r>
    </w:p>
    <w:p w14:paraId="24EFD7CA">
      <w:pPr>
        <w:spacing w:line="408" w:lineRule="auto"/>
        <w:rPr>
          <w:rFonts w:ascii="Arial"/>
          <w:sz w:val="21"/>
        </w:rPr>
      </w:pPr>
    </w:p>
    <w:p w14:paraId="138ED02D">
      <w:pPr>
        <w:pStyle w:val="10"/>
        <w:spacing w:before="81" w:line="212" w:lineRule="auto"/>
        <w:ind w:left="146"/>
        <w:rPr>
          <w:sz w:val="25"/>
          <w:szCs w:val="25"/>
        </w:rPr>
      </w:pPr>
      <w:r>
        <w:rPr>
          <w:b/>
          <w:bCs/>
          <w:i/>
          <w:iCs/>
          <w:color w:val="FF0000"/>
          <w:spacing w:val="-12"/>
          <w:sz w:val="25"/>
          <w:szCs w:val="25"/>
        </w:rPr>
        <w:t>（格式示例一，适用于设备采购）</w:t>
      </w:r>
    </w:p>
    <w:p w14:paraId="401CC3F6">
      <w:pPr>
        <w:pStyle w:val="10"/>
        <w:spacing w:before="264" w:line="188" w:lineRule="auto"/>
        <w:ind w:left="126"/>
        <w:rPr>
          <w:sz w:val="24"/>
          <w:szCs w:val="24"/>
        </w:rPr>
      </w:pPr>
      <w:r>
        <w:rPr>
          <w:sz w:val="24"/>
          <w:szCs w:val="24"/>
        </w:rPr>
        <w:t>项目编号</w:t>
      </w:r>
      <w:r>
        <w:rPr>
          <w:rFonts w:ascii="Arial" w:hAnsi="Arial" w:eastAsia="Arial" w:cs="Arial"/>
          <w:sz w:val="24"/>
          <w:szCs w:val="24"/>
        </w:rPr>
        <w:t>/</w:t>
      </w:r>
      <w:r>
        <w:rPr>
          <w:sz w:val="24"/>
          <w:szCs w:val="24"/>
        </w:rPr>
        <w:t>包号：            项目名称：          报价单位：人民币元</w:t>
      </w:r>
    </w:p>
    <w:tbl>
      <w:tblPr>
        <w:tblStyle w:val="40"/>
        <w:tblW w:w="14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209"/>
        <w:gridCol w:w="1115"/>
        <w:gridCol w:w="1229"/>
        <w:gridCol w:w="1412"/>
        <w:gridCol w:w="1412"/>
        <w:gridCol w:w="1412"/>
        <w:gridCol w:w="1413"/>
        <w:gridCol w:w="961"/>
        <w:gridCol w:w="971"/>
        <w:gridCol w:w="1203"/>
      </w:tblGrid>
      <w:tr w14:paraId="0745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3" w:hRule="atLeast"/>
        </w:trPr>
        <w:tc>
          <w:tcPr>
            <w:tcW w:w="888" w:type="dxa"/>
            <w:vAlign w:val="top"/>
          </w:tcPr>
          <w:p w14:paraId="5CEAB581">
            <w:pPr>
              <w:pStyle w:val="43"/>
              <w:spacing w:line="301" w:lineRule="auto"/>
            </w:pPr>
          </w:p>
          <w:p w14:paraId="50465C10">
            <w:pPr>
              <w:spacing w:before="78" w:line="222" w:lineRule="auto"/>
              <w:ind w:left="210"/>
              <w:rPr>
                <w:rFonts w:ascii="宋体" w:hAnsi="宋体" w:eastAsia="宋体" w:cs="宋体"/>
                <w:sz w:val="24"/>
                <w:szCs w:val="24"/>
              </w:rPr>
            </w:pPr>
            <w:r>
              <w:rPr>
                <w:rFonts w:ascii="宋体" w:hAnsi="宋体" w:eastAsia="宋体" w:cs="宋体"/>
                <w:b/>
                <w:bCs/>
                <w:spacing w:val="-5"/>
                <w:sz w:val="24"/>
                <w:szCs w:val="24"/>
              </w:rPr>
              <w:t>序号</w:t>
            </w:r>
          </w:p>
        </w:tc>
        <w:tc>
          <w:tcPr>
            <w:tcW w:w="2209" w:type="dxa"/>
            <w:vAlign w:val="top"/>
          </w:tcPr>
          <w:p w14:paraId="384535E5">
            <w:pPr>
              <w:pStyle w:val="43"/>
              <w:spacing w:line="302" w:lineRule="auto"/>
            </w:pPr>
            <w:r>
              <w:drawing>
                <wp:anchor distT="0" distB="0" distL="0" distR="0" simplePos="0" relativeHeight="251660288" behindDoc="0" locked="0" layoutInCell="1" allowOverlap="1">
                  <wp:simplePos x="0" y="0"/>
                  <wp:positionH relativeFrom="rightMargin">
                    <wp:posOffset>-778510</wp:posOffset>
                  </wp:positionH>
                  <wp:positionV relativeFrom="topMargin">
                    <wp:posOffset>-3175</wp:posOffset>
                  </wp:positionV>
                  <wp:extent cx="839470" cy="1016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8"/>
                          <a:stretch>
                            <a:fillRect/>
                          </a:stretch>
                        </pic:blipFill>
                        <pic:spPr>
                          <a:xfrm>
                            <a:off x="0" y="0"/>
                            <a:ext cx="839613" cy="10363"/>
                          </a:xfrm>
                          <a:prstGeom prst="rect">
                            <a:avLst/>
                          </a:prstGeom>
                        </pic:spPr>
                      </pic:pic>
                    </a:graphicData>
                  </a:graphic>
                </wp:anchor>
              </w:drawing>
            </w:r>
          </w:p>
          <w:p w14:paraId="364433A7">
            <w:pPr>
              <w:spacing w:before="78" w:line="221" w:lineRule="auto"/>
              <w:ind w:left="634"/>
              <w:rPr>
                <w:rFonts w:ascii="宋体" w:hAnsi="宋体" w:eastAsia="宋体" w:cs="宋体"/>
                <w:sz w:val="24"/>
                <w:szCs w:val="24"/>
              </w:rPr>
            </w:pPr>
            <w:r>
              <w:rPr>
                <w:rFonts w:ascii="宋体" w:hAnsi="宋体" w:eastAsia="宋体" w:cs="宋体"/>
                <w:b/>
                <w:bCs/>
                <w:spacing w:val="-5"/>
                <w:sz w:val="24"/>
                <w:szCs w:val="24"/>
              </w:rPr>
              <w:t>分项名称</w:t>
            </w:r>
          </w:p>
        </w:tc>
        <w:tc>
          <w:tcPr>
            <w:tcW w:w="1115" w:type="dxa"/>
            <w:vAlign w:val="top"/>
          </w:tcPr>
          <w:p w14:paraId="21F2BB8B">
            <w:pPr>
              <w:pStyle w:val="43"/>
              <w:spacing w:line="302" w:lineRule="auto"/>
            </w:pPr>
          </w:p>
          <w:p w14:paraId="07A942F0">
            <w:pPr>
              <w:spacing w:before="78" w:line="221" w:lineRule="auto"/>
              <w:ind w:left="203"/>
              <w:rPr>
                <w:rFonts w:ascii="宋体" w:hAnsi="宋体" w:eastAsia="宋体" w:cs="宋体"/>
                <w:sz w:val="24"/>
                <w:szCs w:val="24"/>
              </w:rPr>
            </w:pPr>
            <w:r>
              <w:rPr>
                <w:rFonts w:ascii="宋体" w:hAnsi="宋体" w:eastAsia="宋体" w:cs="宋体"/>
                <w:b/>
                <w:bCs/>
                <w:spacing w:val="-6"/>
                <w:sz w:val="24"/>
                <w:szCs w:val="24"/>
              </w:rPr>
              <w:t>制造商</w:t>
            </w:r>
          </w:p>
        </w:tc>
        <w:tc>
          <w:tcPr>
            <w:tcW w:w="1229" w:type="dxa"/>
            <w:vAlign w:val="top"/>
          </w:tcPr>
          <w:p w14:paraId="0A828E84">
            <w:pPr>
              <w:pStyle w:val="43"/>
              <w:spacing w:before="226" w:line="220" w:lineRule="auto"/>
              <w:ind w:left="215"/>
              <w:rPr>
                <w:rFonts w:ascii="宋体" w:hAnsi="宋体" w:eastAsia="宋体" w:cs="宋体"/>
                <w:sz w:val="24"/>
                <w:szCs w:val="24"/>
              </w:rPr>
            </w:pPr>
            <w:r>
              <w:drawing>
                <wp:anchor distT="0" distB="0" distL="0" distR="0" simplePos="0" relativeHeight="251661312" behindDoc="0" locked="0" layoutInCell="1" allowOverlap="1">
                  <wp:simplePos x="0" y="0"/>
                  <wp:positionH relativeFrom="rightMargin">
                    <wp:posOffset>-590550</wp:posOffset>
                  </wp:positionH>
                  <wp:positionV relativeFrom="topMargin">
                    <wp:posOffset>-3175</wp:posOffset>
                  </wp:positionV>
                  <wp:extent cx="610870" cy="1016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9"/>
                          <a:stretch>
                            <a:fillRect/>
                          </a:stretch>
                        </pic:blipFill>
                        <pic:spPr>
                          <a:xfrm>
                            <a:off x="0" y="0"/>
                            <a:ext cx="611002" cy="10363"/>
                          </a:xfrm>
                          <a:prstGeom prst="rect">
                            <a:avLst/>
                          </a:prstGeom>
                        </pic:spPr>
                      </pic:pic>
                    </a:graphicData>
                  </a:graphic>
                </wp:anchor>
              </w:drawing>
            </w:r>
            <w:r>
              <w:rPr>
                <w:rFonts w:ascii="宋体" w:hAnsi="宋体" w:eastAsia="宋体" w:cs="宋体"/>
                <w:b/>
                <w:bCs/>
                <w:spacing w:val="1"/>
                <w:sz w:val="24"/>
                <w:szCs w:val="24"/>
              </w:rPr>
              <w:t>产地</w:t>
            </w:r>
            <w:r>
              <w:rPr>
                <w:b/>
                <w:bCs/>
                <w:spacing w:val="1"/>
                <w:sz w:val="24"/>
                <w:szCs w:val="24"/>
              </w:rPr>
              <w:t>/</w:t>
            </w:r>
            <w:r>
              <w:rPr>
                <w:rFonts w:ascii="宋体" w:hAnsi="宋体" w:eastAsia="宋体" w:cs="宋体"/>
                <w:b/>
                <w:bCs/>
                <w:spacing w:val="1"/>
                <w:sz w:val="24"/>
                <w:szCs w:val="24"/>
              </w:rPr>
              <w:t>国</w:t>
            </w:r>
          </w:p>
          <w:p w14:paraId="6095F738">
            <w:pPr>
              <w:spacing w:before="25" w:line="221" w:lineRule="auto"/>
              <w:ind w:left="501"/>
              <w:rPr>
                <w:rFonts w:ascii="宋体" w:hAnsi="宋体" w:eastAsia="宋体" w:cs="宋体"/>
                <w:sz w:val="24"/>
                <w:szCs w:val="24"/>
              </w:rPr>
            </w:pPr>
            <w:r>
              <w:rPr>
                <w:rFonts w:ascii="宋体" w:hAnsi="宋体" w:eastAsia="宋体" w:cs="宋体"/>
                <w:b/>
                <w:bCs/>
                <w:spacing w:val="-3"/>
                <w:sz w:val="24"/>
                <w:szCs w:val="24"/>
              </w:rPr>
              <w:t>别</w:t>
            </w:r>
          </w:p>
        </w:tc>
        <w:tc>
          <w:tcPr>
            <w:tcW w:w="1412" w:type="dxa"/>
            <w:vAlign w:val="top"/>
          </w:tcPr>
          <w:p w14:paraId="4709D1DA">
            <w:pPr>
              <w:pStyle w:val="43"/>
              <w:spacing w:before="1" w:line="150" w:lineRule="auto"/>
              <w:ind w:left="237" w:right="221" w:hanging="216"/>
              <w:rPr>
                <w:rFonts w:ascii="宋体" w:hAnsi="宋体" w:eastAsia="宋体" w:cs="宋体"/>
                <w:sz w:val="24"/>
                <w:szCs w:val="24"/>
              </w:rPr>
            </w:pPr>
            <w:r>
              <w:rPr>
                <w:spacing w:val="-8"/>
                <w:position w:val="32"/>
                <w:sz w:val="24"/>
                <w:szCs w:val="24"/>
              </w:rPr>
              <w:t>__</w:t>
            </w:r>
            <w:r>
              <w:rPr>
                <w:spacing w:val="21"/>
                <w:position w:val="32"/>
                <w:sz w:val="24"/>
                <w:szCs w:val="24"/>
              </w:rPr>
              <w:t xml:space="preserve"> </w:t>
            </w:r>
            <w:r>
              <w:rPr>
                <w:rFonts w:ascii="宋体" w:hAnsi="宋体" w:eastAsia="宋体" w:cs="宋体"/>
                <w:b/>
                <w:bCs/>
                <w:spacing w:val="-8"/>
                <w:sz w:val="24"/>
                <w:szCs w:val="24"/>
              </w:rPr>
              <w:t>制造商</w:t>
            </w:r>
            <w:r>
              <w:rPr>
                <w:rFonts w:ascii="宋体" w:hAnsi="宋体" w:eastAsia="宋体" w:cs="宋体"/>
                <w:sz w:val="24"/>
                <w:szCs w:val="24"/>
              </w:rPr>
              <w:t xml:space="preserve">  </w:t>
            </w:r>
            <w:r>
              <w:rPr>
                <w:rFonts w:ascii="宋体" w:hAnsi="宋体" w:eastAsia="宋体" w:cs="宋体"/>
                <w:b/>
                <w:bCs/>
                <w:spacing w:val="-6"/>
                <w:sz w:val="24"/>
                <w:szCs w:val="24"/>
              </w:rPr>
              <w:t>统一信用</w:t>
            </w:r>
          </w:p>
          <w:p w14:paraId="193B881E">
            <w:pPr>
              <w:spacing w:line="206" w:lineRule="auto"/>
              <w:ind w:left="471"/>
              <w:rPr>
                <w:rFonts w:ascii="宋体" w:hAnsi="宋体" w:eastAsia="宋体" w:cs="宋体"/>
                <w:sz w:val="24"/>
                <w:szCs w:val="24"/>
              </w:rPr>
            </w:pPr>
            <w:r>
              <w:rPr>
                <w:rFonts w:ascii="宋体" w:hAnsi="宋体" w:eastAsia="宋体" w:cs="宋体"/>
                <w:b/>
                <w:bCs/>
                <w:spacing w:val="-5"/>
                <w:sz w:val="24"/>
                <w:szCs w:val="24"/>
              </w:rPr>
              <w:t>代码</w:t>
            </w:r>
          </w:p>
        </w:tc>
        <w:tc>
          <w:tcPr>
            <w:tcW w:w="1412" w:type="dxa"/>
            <w:vAlign w:val="top"/>
          </w:tcPr>
          <w:p w14:paraId="3CB1B0E6">
            <w:pPr>
              <w:spacing w:before="226" w:line="242" w:lineRule="auto"/>
              <w:ind w:left="474" w:right="339" w:hanging="119"/>
              <w:rPr>
                <w:rFonts w:ascii="宋体" w:hAnsi="宋体" w:eastAsia="宋体" w:cs="宋体"/>
                <w:sz w:val="24"/>
                <w:szCs w:val="24"/>
              </w:rPr>
            </w:pPr>
            <w:r>
              <w:rPr>
                <w:rFonts w:ascii="宋体" w:hAnsi="宋体" w:eastAsia="宋体" w:cs="宋体"/>
                <w:b/>
                <w:bCs/>
                <w:spacing w:val="-6"/>
                <w:sz w:val="24"/>
                <w:szCs w:val="24"/>
              </w:rPr>
              <w:t>制造商</w:t>
            </w:r>
            <w:r>
              <w:rPr>
                <w:rFonts w:ascii="宋体" w:hAnsi="宋体" w:eastAsia="宋体" w:cs="宋体"/>
                <w:spacing w:val="1"/>
                <w:sz w:val="24"/>
                <w:szCs w:val="24"/>
              </w:rPr>
              <w:t xml:space="preserve"> </w:t>
            </w:r>
            <w:r>
              <w:rPr>
                <w:rFonts w:ascii="宋体" w:hAnsi="宋体" w:eastAsia="宋体" w:cs="宋体"/>
                <w:b/>
                <w:bCs/>
                <w:spacing w:val="-6"/>
                <w:sz w:val="24"/>
                <w:szCs w:val="24"/>
              </w:rPr>
              <w:t>规模</w:t>
            </w:r>
          </w:p>
        </w:tc>
        <w:tc>
          <w:tcPr>
            <w:tcW w:w="1412" w:type="dxa"/>
            <w:vAlign w:val="top"/>
          </w:tcPr>
          <w:p w14:paraId="063D9DCC">
            <w:pPr>
              <w:pStyle w:val="43"/>
              <w:spacing w:line="302" w:lineRule="auto"/>
            </w:pPr>
          </w:p>
          <w:p w14:paraId="5ADEAAF0">
            <w:pPr>
              <w:spacing w:before="78" w:line="220" w:lineRule="auto"/>
              <w:ind w:left="492"/>
              <w:rPr>
                <w:rFonts w:ascii="宋体" w:hAnsi="宋体" w:eastAsia="宋体" w:cs="宋体"/>
                <w:sz w:val="24"/>
                <w:szCs w:val="24"/>
              </w:rPr>
            </w:pPr>
            <w:r>
              <w:rPr>
                <w:rFonts w:ascii="宋体" w:hAnsi="宋体" w:eastAsia="宋体" w:cs="宋体"/>
                <w:b/>
                <w:bCs/>
                <w:spacing w:val="-10"/>
                <w:sz w:val="24"/>
                <w:szCs w:val="24"/>
              </w:rPr>
              <w:t>品牌</w:t>
            </w:r>
          </w:p>
        </w:tc>
        <w:tc>
          <w:tcPr>
            <w:tcW w:w="1413" w:type="dxa"/>
            <w:vAlign w:val="top"/>
          </w:tcPr>
          <w:p w14:paraId="3B5A418E">
            <w:pPr>
              <w:pStyle w:val="43"/>
              <w:spacing w:line="302" w:lineRule="auto"/>
            </w:pPr>
          </w:p>
          <w:p w14:paraId="72673653">
            <w:pPr>
              <w:spacing w:before="78" w:line="220" w:lineRule="auto"/>
              <w:ind w:left="120"/>
              <w:rPr>
                <w:rFonts w:ascii="宋体" w:hAnsi="宋体" w:eastAsia="宋体" w:cs="宋体"/>
                <w:sz w:val="24"/>
                <w:szCs w:val="24"/>
              </w:rPr>
            </w:pPr>
            <w:r>
              <w:rPr>
                <w:rFonts w:ascii="宋体" w:hAnsi="宋体" w:eastAsia="宋体" w:cs="宋体"/>
                <w:b/>
                <w:bCs/>
                <w:spacing w:val="-6"/>
                <w:sz w:val="24"/>
                <w:szCs w:val="24"/>
              </w:rPr>
              <w:t>规格、型号</w:t>
            </w:r>
          </w:p>
        </w:tc>
        <w:tc>
          <w:tcPr>
            <w:tcW w:w="961" w:type="dxa"/>
            <w:vAlign w:val="top"/>
          </w:tcPr>
          <w:p w14:paraId="7702490C">
            <w:pPr>
              <w:spacing w:before="225" w:line="219" w:lineRule="auto"/>
              <w:ind w:left="251"/>
              <w:rPr>
                <w:rFonts w:ascii="宋体" w:hAnsi="宋体" w:eastAsia="宋体" w:cs="宋体"/>
                <w:sz w:val="24"/>
                <w:szCs w:val="24"/>
              </w:rPr>
            </w:pPr>
            <w:r>
              <w:rPr>
                <w:rFonts w:ascii="宋体" w:hAnsi="宋体" w:eastAsia="宋体" w:cs="宋体"/>
                <w:b/>
                <w:bCs/>
                <w:spacing w:val="-6"/>
                <w:sz w:val="24"/>
                <w:szCs w:val="24"/>
              </w:rPr>
              <w:t>单价</w:t>
            </w:r>
          </w:p>
          <w:p w14:paraId="1E4B8FB5">
            <w:pPr>
              <w:spacing w:before="27" w:line="221" w:lineRule="auto"/>
              <w:ind w:left="136"/>
              <w:rPr>
                <w:rFonts w:ascii="宋体" w:hAnsi="宋体" w:eastAsia="宋体" w:cs="宋体"/>
                <w:sz w:val="24"/>
                <w:szCs w:val="24"/>
              </w:rPr>
            </w:pPr>
            <w:r>
              <w:rPr>
                <w:rFonts w:ascii="宋体" w:hAnsi="宋体" w:eastAsia="宋体" w:cs="宋体"/>
                <w:b/>
                <w:bCs/>
                <w:spacing w:val="-12"/>
                <w:sz w:val="24"/>
                <w:szCs w:val="24"/>
              </w:rPr>
              <w:t>（元）</w:t>
            </w:r>
          </w:p>
        </w:tc>
        <w:tc>
          <w:tcPr>
            <w:tcW w:w="971" w:type="dxa"/>
            <w:vAlign w:val="top"/>
          </w:tcPr>
          <w:p w14:paraId="7C811F6A">
            <w:pPr>
              <w:pStyle w:val="43"/>
              <w:spacing w:line="302" w:lineRule="auto"/>
            </w:pPr>
          </w:p>
          <w:p w14:paraId="35BA7A9D">
            <w:pPr>
              <w:spacing w:before="78" w:line="220" w:lineRule="auto"/>
              <w:ind w:left="255"/>
              <w:rPr>
                <w:rFonts w:ascii="宋体" w:hAnsi="宋体" w:eastAsia="宋体" w:cs="宋体"/>
                <w:sz w:val="24"/>
                <w:szCs w:val="24"/>
              </w:rPr>
            </w:pPr>
            <w:r>
              <w:rPr>
                <w:rFonts w:ascii="宋体" w:hAnsi="宋体" w:eastAsia="宋体" w:cs="宋体"/>
                <w:b/>
                <w:bCs/>
                <w:spacing w:val="-6"/>
                <w:sz w:val="24"/>
                <w:szCs w:val="24"/>
              </w:rPr>
              <w:t>数量</w:t>
            </w:r>
          </w:p>
        </w:tc>
        <w:tc>
          <w:tcPr>
            <w:tcW w:w="1203" w:type="dxa"/>
            <w:vAlign w:val="top"/>
          </w:tcPr>
          <w:p w14:paraId="72AB35F6">
            <w:pPr>
              <w:pStyle w:val="43"/>
              <w:spacing w:line="302" w:lineRule="auto"/>
            </w:pPr>
          </w:p>
          <w:p w14:paraId="778DAB4A">
            <w:pPr>
              <w:spacing w:before="78" w:line="219" w:lineRule="auto"/>
              <w:ind w:right="3"/>
              <w:jc w:val="right"/>
              <w:rPr>
                <w:rFonts w:ascii="宋体" w:hAnsi="宋体" w:eastAsia="宋体" w:cs="宋体"/>
                <w:sz w:val="24"/>
                <w:szCs w:val="24"/>
              </w:rPr>
            </w:pPr>
            <w:r>
              <w:rPr>
                <w:rFonts w:ascii="宋体" w:hAnsi="宋体" w:eastAsia="宋体" w:cs="宋体"/>
                <w:b/>
                <w:bCs/>
                <w:spacing w:val="-28"/>
                <w:sz w:val="24"/>
                <w:szCs w:val="24"/>
              </w:rPr>
              <w:t>合价（元）</w:t>
            </w:r>
          </w:p>
        </w:tc>
      </w:tr>
      <w:tr w14:paraId="3D68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88" w:type="dxa"/>
            <w:vAlign w:val="top"/>
          </w:tcPr>
          <w:p w14:paraId="04B99292">
            <w:pPr>
              <w:pStyle w:val="43"/>
              <w:spacing w:before="217" w:line="199" w:lineRule="auto"/>
              <w:ind w:left="391"/>
              <w:rPr>
                <w:sz w:val="24"/>
                <w:szCs w:val="24"/>
              </w:rPr>
            </w:pPr>
          </w:p>
        </w:tc>
        <w:tc>
          <w:tcPr>
            <w:tcW w:w="2209" w:type="dxa"/>
            <w:vAlign w:val="top"/>
          </w:tcPr>
          <w:p w14:paraId="5F9E14FC">
            <w:pPr>
              <w:pStyle w:val="43"/>
              <w:spacing w:before="37" w:line="223" w:lineRule="auto"/>
              <w:ind w:left="752" w:right="223" w:hanging="520"/>
              <w:rPr>
                <w:rFonts w:ascii="宋体" w:hAnsi="宋体" w:eastAsia="宋体" w:cs="宋体"/>
                <w:sz w:val="24"/>
                <w:szCs w:val="24"/>
              </w:rPr>
            </w:pPr>
          </w:p>
        </w:tc>
        <w:tc>
          <w:tcPr>
            <w:tcW w:w="1115" w:type="dxa"/>
            <w:vAlign w:val="top"/>
          </w:tcPr>
          <w:p w14:paraId="77730ED1">
            <w:pPr>
              <w:pStyle w:val="43"/>
            </w:pPr>
          </w:p>
        </w:tc>
        <w:tc>
          <w:tcPr>
            <w:tcW w:w="1229" w:type="dxa"/>
            <w:vAlign w:val="top"/>
          </w:tcPr>
          <w:p w14:paraId="0AC220A9">
            <w:pPr>
              <w:pStyle w:val="43"/>
            </w:pPr>
          </w:p>
        </w:tc>
        <w:tc>
          <w:tcPr>
            <w:tcW w:w="1412" w:type="dxa"/>
            <w:vAlign w:val="top"/>
          </w:tcPr>
          <w:p w14:paraId="29155DC5">
            <w:pPr>
              <w:pStyle w:val="43"/>
            </w:pPr>
          </w:p>
        </w:tc>
        <w:tc>
          <w:tcPr>
            <w:tcW w:w="1412" w:type="dxa"/>
            <w:vAlign w:val="top"/>
          </w:tcPr>
          <w:p w14:paraId="5433437F">
            <w:pPr>
              <w:pStyle w:val="43"/>
            </w:pPr>
          </w:p>
        </w:tc>
        <w:tc>
          <w:tcPr>
            <w:tcW w:w="1412" w:type="dxa"/>
            <w:vAlign w:val="top"/>
          </w:tcPr>
          <w:p w14:paraId="23D4FA31">
            <w:pPr>
              <w:pStyle w:val="43"/>
            </w:pPr>
          </w:p>
        </w:tc>
        <w:tc>
          <w:tcPr>
            <w:tcW w:w="1413" w:type="dxa"/>
            <w:vAlign w:val="top"/>
          </w:tcPr>
          <w:p w14:paraId="6E0ED7F0">
            <w:pPr>
              <w:pStyle w:val="43"/>
            </w:pPr>
          </w:p>
        </w:tc>
        <w:tc>
          <w:tcPr>
            <w:tcW w:w="961" w:type="dxa"/>
            <w:vAlign w:val="top"/>
          </w:tcPr>
          <w:p w14:paraId="5729B924">
            <w:pPr>
              <w:pStyle w:val="43"/>
            </w:pPr>
          </w:p>
        </w:tc>
        <w:tc>
          <w:tcPr>
            <w:tcW w:w="971" w:type="dxa"/>
            <w:vAlign w:val="top"/>
          </w:tcPr>
          <w:p w14:paraId="1098D51F">
            <w:pPr>
              <w:pStyle w:val="43"/>
            </w:pPr>
          </w:p>
        </w:tc>
        <w:tc>
          <w:tcPr>
            <w:tcW w:w="1203" w:type="dxa"/>
            <w:vAlign w:val="top"/>
          </w:tcPr>
          <w:p w14:paraId="10C74999">
            <w:pPr>
              <w:pStyle w:val="43"/>
            </w:pPr>
          </w:p>
        </w:tc>
      </w:tr>
      <w:tr w14:paraId="19530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8" w:type="dxa"/>
            <w:vAlign w:val="top"/>
          </w:tcPr>
          <w:p w14:paraId="7B0EDA1D">
            <w:pPr>
              <w:pStyle w:val="43"/>
              <w:spacing w:before="46" w:line="198" w:lineRule="auto"/>
              <w:ind w:left="278"/>
              <w:rPr>
                <w:sz w:val="24"/>
                <w:szCs w:val="24"/>
              </w:rPr>
            </w:pPr>
          </w:p>
        </w:tc>
        <w:tc>
          <w:tcPr>
            <w:tcW w:w="2209" w:type="dxa"/>
            <w:vAlign w:val="top"/>
          </w:tcPr>
          <w:p w14:paraId="254AD9E6">
            <w:pPr>
              <w:pStyle w:val="43"/>
              <w:spacing w:before="194" w:line="80" w:lineRule="exact"/>
              <w:ind w:left="889"/>
              <w:rPr>
                <w:sz w:val="24"/>
                <w:szCs w:val="24"/>
              </w:rPr>
            </w:pPr>
          </w:p>
        </w:tc>
        <w:tc>
          <w:tcPr>
            <w:tcW w:w="1115" w:type="dxa"/>
            <w:vAlign w:val="top"/>
          </w:tcPr>
          <w:p w14:paraId="5285B93B">
            <w:pPr>
              <w:pStyle w:val="43"/>
            </w:pPr>
          </w:p>
        </w:tc>
        <w:tc>
          <w:tcPr>
            <w:tcW w:w="1229" w:type="dxa"/>
            <w:vAlign w:val="top"/>
          </w:tcPr>
          <w:p w14:paraId="1C2356DC">
            <w:pPr>
              <w:pStyle w:val="43"/>
            </w:pPr>
          </w:p>
        </w:tc>
        <w:tc>
          <w:tcPr>
            <w:tcW w:w="1412" w:type="dxa"/>
            <w:vAlign w:val="top"/>
          </w:tcPr>
          <w:p w14:paraId="3F8C6F95">
            <w:pPr>
              <w:pStyle w:val="43"/>
            </w:pPr>
          </w:p>
        </w:tc>
        <w:tc>
          <w:tcPr>
            <w:tcW w:w="1412" w:type="dxa"/>
            <w:vAlign w:val="top"/>
          </w:tcPr>
          <w:p w14:paraId="08338A64">
            <w:pPr>
              <w:pStyle w:val="43"/>
            </w:pPr>
          </w:p>
        </w:tc>
        <w:tc>
          <w:tcPr>
            <w:tcW w:w="1412" w:type="dxa"/>
            <w:vAlign w:val="top"/>
          </w:tcPr>
          <w:p w14:paraId="17AD059B">
            <w:pPr>
              <w:pStyle w:val="43"/>
            </w:pPr>
          </w:p>
        </w:tc>
        <w:tc>
          <w:tcPr>
            <w:tcW w:w="1413" w:type="dxa"/>
            <w:vAlign w:val="top"/>
          </w:tcPr>
          <w:p w14:paraId="46BF994E">
            <w:pPr>
              <w:pStyle w:val="43"/>
            </w:pPr>
          </w:p>
        </w:tc>
        <w:tc>
          <w:tcPr>
            <w:tcW w:w="961" w:type="dxa"/>
            <w:vAlign w:val="top"/>
          </w:tcPr>
          <w:p w14:paraId="08DD1F4E">
            <w:pPr>
              <w:pStyle w:val="43"/>
            </w:pPr>
          </w:p>
        </w:tc>
        <w:tc>
          <w:tcPr>
            <w:tcW w:w="971" w:type="dxa"/>
            <w:vAlign w:val="top"/>
          </w:tcPr>
          <w:p w14:paraId="55F27868">
            <w:pPr>
              <w:pStyle w:val="43"/>
            </w:pPr>
          </w:p>
        </w:tc>
        <w:tc>
          <w:tcPr>
            <w:tcW w:w="1203" w:type="dxa"/>
            <w:vAlign w:val="top"/>
          </w:tcPr>
          <w:p w14:paraId="2AEE32AC">
            <w:pPr>
              <w:pStyle w:val="43"/>
            </w:pPr>
          </w:p>
        </w:tc>
      </w:tr>
      <w:tr w14:paraId="77B9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8" w:type="dxa"/>
            <w:vAlign w:val="top"/>
          </w:tcPr>
          <w:p w14:paraId="76777A82">
            <w:pPr>
              <w:pStyle w:val="43"/>
              <w:spacing w:before="45" w:line="199" w:lineRule="auto"/>
              <w:ind w:left="278"/>
              <w:rPr>
                <w:sz w:val="24"/>
                <w:szCs w:val="24"/>
              </w:rPr>
            </w:pPr>
          </w:p>
        </w:tc>
        <w:tc>
          <w:tcPr>
            <w:tcW w:w="2209" w:type="dxa"/>
            <w:vAlign w:val="top"/>
          </w:tcPr>
          <w:p w14:paraId="23B0C50D">
            <w:pPr>
              <w:pStyle w:val="43"/>
              <w:spacing w:before="195" w:line="79" w:lineRule="exact"/>
              <w:ind w:left="889"/>
              <w:rPr>
                <w:sz w:val="24"/>
                <w:szCs w:val="24"/>
              </w:rPr>
            </w:pPr>
          </w:p>
        </w:tc>
        <w:tc>
          <w:tcPr>
            <w:tcW w:w="1115" w:type="dxa"/>
            <w:vAlign w:val="top"/>
          </w:tcPr>
          <w:p w14:paraId="7D631518">
            <w:pPr>
              <w:pStyle w:val="43"/>
            </w:pPr>
          </w:p>
        </w:tc>
        <w:tc>
          <w:tcPr>
            <w:tcW w:w="1229" w:type="dxa"/>
            <w:vAlign w:val="top"/>
          </w:tcPr>
          <w:p w14:paraId="6C4DA10E">
            <w:pPr>
              <w:pStyle w:val="43"/>
            </w:pPr>
          </w:p>
        </w:tc>
        <w:tc>
          <w:tcPr>
            <w:tcW w:w="1412" w:type="dxa"/>
            <w:vAlign w:val="top"/>
          </w:tcPr>
          <w:p w14:paraId="19CA2E21">
            <w:pPr>
              <w:pStyle w:val="43"/>
            </w:pPr>
          </w:p>
        </w:tc>
        <w:tc>
          <w:tcPr>
            <w:tcW w:w="1412" w:type="dxa"/>
            <w:vAlign w:val="top"/>
          </w:tcPr>
          <w:p w14:paraId="141E59FC">
            <w:pPr>
              <w:pStyle w:val="43"/>
            </w:pPr>
          </w:p>
        </w:tc>
        <w:tc>
          <w:tcPr>
            <w:tcW w:w="1412" w:type="dxa"/>
            <w:vAlign w:val="top"/>
          </w:tcPr>
          <w:p w14:paraId="71AFDF34">
            <w:pPr>
              <w:pStyle w:val="43"/>
            </w:pPr>
          </w:p>
        </w:tc>
        <w:tc>
          <w:tcPr>
            <w:tcW w:w="1413" w:type="dxa"/>
            <w:vAlign w:val="top"/>
          </w:tcPr>
          <w:p w14:paraId="4081CCC6">
            <w:pPr>
              <w:pStyle w:val="43"/>
            </w:pPr>
          </w:p>
        </w:tc>
        <w:tc>
          <w:tcPr>
            <w:tcW w:w="961" w:type="dxa"/>
            <w:vAlign w:val="top"/>
          </w:tcPr>
          <w:p w14:paraId="482D3A62">
            <w:pPr>
              <w:pStyle w:val="43"/>
            </w:pPr>
          </w:p>
        </w:tc>
        <w:tc>
          <w:tcPr>
            <w:tcW w:w="971" w:type="dxa"/>
            <w:vAlign w:val="top"/>
          </w:tcPr>
          <w:p w14:paraId="5BFB7772">
            <w:pPr>
              <w:pStyle w:val="43"/>
            </w:pPr>
          </w:p>
        </w:tc>
        <w:tc>
          <w:tcPr>
            <w:tcW w:w="1203" w:type="dxa"/>
            <w:vAlign w:val="top"/>
          </w:tcPr>
          <w:p w14:paraId="6D81CD69">
            <w:pPr>
              <w:pStyle w:val="43"/>
            </w:pPr>
          </w:p>
        </w:tc>
      </w:tr>
      <w:tr w14:paraId="4655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696984F5">
            <w:pPr>
              <w:pStyle w:val="43"/>
              <w:spacing w:before="58" w:line="201" w:lineRule="auto"/>
              <w:ind w:left="382"/>
              <w:rPr>
                <w:sz w:val="24"/>
                <w:szCs w:val="24"/>
              </w:rPr>
            </w:pPr>
          </w:p>
        </w:tc>
        <w:tc>
          <w:tcPr>
            <w:tcW w:w="2209" w:type="dxa"/>
            <w:vAlign w:val="top"/>
          </w:tcPr>
          <w:p w14:paraId="17429A38">
            <w:pPr>
              <w:spacing w:before="36" w:line="207" w:lineRule="auto"/>
              <w:ind w:left="634"/>
              <w:rPr>
                <w:rFonts w:ascii="宋体" w:hAnsi="宋体" w:eastAsia="宋体" w:cs="宋体"/>
                <w:sz w:val="24"/>
                <w:szCs w:val="24"/>
              </w:rPr>
            </w:pPr>
          </w:p>
        </w:tc>
        <w:tc>
          <w:tcPr>
            <w:tcW w:w="1115" w:type="dxa"/>
            <w:vAlign w:val="top"/>
          </w:tcPr>
          <w:p w14:paraId="2EB618CA">
            <w:pPr>
              <w:pStyle w:val="43"/>
            </w:pPr>
          </w:p>
        </w:tc>
        <w:tc>
          <w:tcPr>
            <w:tcW w:w="1229" w:type="dxa"/>
            <w:vAlign w:val="top"/>
          </w:tcPr>
          <w:p w14:paraId="62C8E499">
            <w:pPr>
              <w:pStyle w:val="43"/>
            </w:pPr>
          </w:p>
        </w:tc>
        <w:tc>
          <w:tcPr>
            <w:tcW w:w="1412" w:type="dxa"/>
            <w:vAlign w:val="top"/>
          </w:tcPr>
          <w:p w14:paraId="17666296">
            <w:pPr>
              <w:pStyle w:val="43"/>
            </w:pPr>
          </w:p>
        </w:tc>
        <w:tc>
          <w:tcPr>
            <w:tcW w:w="1412" w:type="dxa"/>
            <w:vAlign w:val="top"/>
          </w:tcPr>
          <w:p w14:paraId="43D4049E">
            <w:pPr>
              <w:pStyle w:val="43"/>
            </w:pPr>
          </w:p>
        </w:tc>
        <w:tc>
          <w:tcPr>
            <w:tcW w:w="1412" w:type="dxa"/>
            <w:vAlign w:val="top"/>
          </w:tcPr>
          <w:p w14:paraId="59D4F182">
            <w:pPr>
              <w:pStyle w:val="43"/>
            </w:pPr>
          </w:p>
        </w:tc>
        <w:tc>
          <w:tcPr>
            <w:tcW w:w="1413" w:type="dxa"/>
            <w:vAlign w:val="top"/>
          </w:tcPr>
          <w:p w14:paraId="69DCAE04">
            <w:pPr>
              <w:pStyle w:val="43"/>
            </w:pPr>
          </w:p>
        </w:tc>
        <w:tc>
          <w:tcPr>
            <w:tcW w:w="961" w:type="dxa"/>
            <w:vAlign w:val="top"/>
          </w:tcPr>
          <w:p w14:paraId="1B288D9B">
            <w:pPr>
              <w:pStyle w:val="43"/>
            </w:pPr>
          </w:p>
        </w:tc>
        <w:tc>
          <w:tcPr>
            <w:tcW w:w="971" w:type="dxa"/>
            <w:vAlign w:val="top"/>
          </w:tcPr>
          <w:p w14:paraId="23374ACA">
            <w:pPr>
              <w:pStyle w:val="43"/>
            </w:pPr>
          </w:p>
        </w:tc>
        <w:tc>
          <w:tcPr>
            <w:tcW w:w="1203" w:type="dxa"/>
            <w:vAlign w:val="top"/>
          </w:tcPr>
          <w:p w14:paraId="499C163C">
            <w:pPr>
              <w:pStyle w:val="43"/>
            </w:pPr>
          </w:p>
        </w:tc>
      </w:tr>
      <w:tr w14:paraId="5612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7F7E618B">
            <w:pPr>
              <w:pStyle w:val="43"/>
              <w:spacing w:before="59" w:line="201" w:lineRule="auto"/>
              <w:ind w:left="383"/>
              <w:rPr>
                <w:sz w:val="24"/>
                <w:szCs w:val="24"/>
              </w:rPr>
            </w:pPr>
          </w:p>
        </w:tc>
        <w:tc>
          <w:tcPr>
            <w:tcW w:w="2209" w:type="dxa"/>
            <w:vAlign w:val="top"/>
          </w:tcPr>
          <w:p w14:paraId="617DA563">
            <w:pPr>
              <w:spacing w:before="38" w:line="206" w:lineRule="auto"/>
              <w:ind w:left="632"/>
              <w:rPr>
                <w:rFonts w:ascii="宋体" w:hAnsi="宋体" w:eastAsia="宋体" w:cs="宋体"/>
                <w:sz w:val="24"/>
                <w:szCs w:val="24"/>
              </w:rPr>
            </w:pPr>
          </w:p>
        </w:tc>
        <w:tc>
          <w:tcPr>
            <w:tcW w:w="1115" w:type="dxa"/>
            <w:vAlign w:val="top"/>
          </w:tcPr>
          <w:p w14:paraId="73A8FCA8">
            <w:pPr>
              <w:pStyle w:val="43"/>
            </w:pPr>
          </w:p>
        </w:tc>
        <w:tc>
          <w:tcPr>
            <w:tcW w:w="1229" w:type="dxa"/>
            <w:vAlign w:val="top"/>
          </w:tcPr>
          <w:p w14:paraId="4813D89E">
            <w:pPr>
              <w:pStyle w:val="43"/>
            </w:pPr>
          </w:p>
        </w:tc>
        <w:tc>
          <w:tcPr>
            <w:tcW w:w="1412" w:type="dxa"/>
            <w:vAlign w:val="top"/>
          </w:tcPr>
          <w:p w14:paraId="0FC9992C">
            <w:pPr>
              <w:pStyle w:val="43"/>
            </w:pPr>
          </w:p>
        </w:tc>
        <w:tc>
          <w:tcPr>
            <w:tcW w:w="1412" w:type="dxa"/>
            <w:vAlign w:val="top"/>
          </w:tcPr>
          <w:p w14:paraId="1A673367">
            <w:pPr>
              <w:pStyle w:val="43"/>
            </w:pPr>
          </w:p>
        </w:tc>
        <w:tc>
          <w:tcPr>
            <w:tcW w:w="1412" w:type="dxa"/>
            <w:vAlign w:val="top"/>
          </w:tcPr>
          <w:p w14:paraId="64459FCC">
            <w:pPr>
              <w:pStyle w:val="43"/>
            </w:pPr>
          </w:p>
        </w:tc>
        <w:tc>
          <w:tcPr>
            <w:tcW w:w="1413" w:type="dxa"/>
            <w:vAlign w:val="top"/>
          </w:tcPr>
          <w:p w14:paraId="377F8F8A">
            <w:pPr>
              <w:pStyle w:val="43"/>
            </w:pPr>
          </w:p>
        </w:tc>
        <w:tc>
          <w:tcPr>
            <w:tcW w:w="961" w:type="dxa"/>
            <w:vAlign w:val="top"/>
          </w:tcPr>
          <w:p w14:paraId="0B74B148">
            <w:pPr>
              <w:pStyle w:val="43"/>
            </w:pPr>
          </w:p>
        </w:tc>
        <w:tc>
          <w:tcPr>
            <w:tcW w:w="971" w:type="dxa"/>
            <w:vAlign w:val="top"/>
          </w:tcPr>
          <w:p w14:paraId="4085F17E">
            <w:pPr>
              <w:pStyle w:val="43"/>
            </w:pPr>
          </w:p>
        </w:tc>
        <w:tc>
          <w:tcPr>
            <w:tcW w:w="1203" w:type="dxa"/>
            <w:vAlign w:val="top"/>
          </w:tcPr>
          <w:p w14:paraId="3747EF21">
            <w:pPr>
              <w:pStyle w:val="43"/>
            </w:pPr>
          </w:p>
        </w:tc>
      </w:tr>
      <w:tr w14:paraId="3245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B50B8C7">
            <w:pPr>
              <w:pStyle w:val="43"/>
              <w:spacing w:before="62" w:line="199" w:lineRule="auto"/>
              <w:ind w:left="376"/>
              <w:rPr>
                <w:sz w:val="24"/>
                <w:szCs w:val="24"/>
              </w:rPr>
            </w:pPr>
          </w:p>
        </w:tc>
        <w:tc>
          <w:tcPr>
            <w:tcW w:w="2209" w:type="dxa"/>
            <w:vAlign w:val="top"/>
          </w:tcPr>
          <w:p w14:paraId="111ED336">
            <w:pPr>
              <w:spacing w:before="38" w:line="206" w:lineRule="auto"/>
              <w:ind w:left="155"/>
              <w:rPr>
                <w:rFonts w:ascii="宋体" w:hAnsi="宋体" w:eastAsia="宋体" w:cs="宋体"/>
                <w:sz w:val="24"/>
                <w:szCs w:val="24"/>
              </w:rPr>
            </w:pPr>
          </w:p>
        </w:tc>
        <w:tc>
          <w:tcPr>
            <w:tcW w:w="1115" w:type="dxa"/>
            <w:vAlign w:val="top"/>
          </w:tcPr>
          <w:p w14:paraId="2CC4AC98">
            <w:pPr>
              <w:pStyle w:val="43"/>
            </w:pPr>
          </w:p>
        </w:tc>
        <w:tc>
          <w:tcPr>
            <w:tcW w:w="1229" w:type="dxa"/>
            <w:vAlign w:val="top"/>
          </w:tcPr>
          <w:p w14:paraId="08B874BF">
            <w:pPr>
              <w:pStyle w:val="43"/>
            </w:pPr>
          </w:p>
        </w:tc>
        <w:tc>
          <w:tcPr>
            <w:tcW w:w="1412" w:type="dxa"/>
            <w:vAlign w:val="top"/>
          </w:tcPr>
          <w:p w14:paraId="2EDB2FAE">
            <w:pPr>
              <w:pStyle w:val="43"/>
            </w:pPr>
          </w:p>
        </w:tc>
        <w:tc>
          <w:tcPr>
            <w:tcW w:w="1412" w:type="dxa"/>
            <w:vAlign w:val="top"/>
          </w:tcPr>
          <w:p w14:paraId="60C74EDF">
            <w:pPr>
              <w:pStyle w:val="43"/>
            </w:pPr>
          </w:p>
        </w:tc>
        <w:tc>
          <w:tcPr>
            <w:tcW w:w="1412" w:type="dxa"/>
            <w:vAlign w:val="top"/>
          </w:tcPr>
          <w:p w14:paraId="4BC6A64B">
            <w:pPr>
              <w:pStyle w:val="43"/>
            </w:pPr>
          </w:p>
        </w:tc>
        <w:tc>
          <w:tcPr>
            <w:tcW w:w="1413" w:type="dxa"/>
            <w:vAlign w:val="top"/>
          </w:tcPr>
          <w:p w14:paraId="3156F2A2">
            <w:pPr>
              <w:pStyle w:val="43"/>
            </w:pPr>
          </w:p>
        </w:tc>
        <w:tc>
          <w:tcPr>
            <w:tcW w:w="961" w:type="dxa"/>
            <w:vAlign w:val="top"/>
          </w:tcPr>
          <w:p w14:paraId="7E938D2E">
            <w:pPr>
              <w:pStyle w:val="43"/>
            </w:pPr>
          </w:p>
        </w:tc>
        <w:tc>
          <w:tcPr>
            <w:tcW w:w="971" w:type="dxa"/>
            <w:vAlign w:val="top"/>
          </w:tcPr>
          <w:p w14:paraId="7BBD67BC">
            <w:pPr>
              <w:pStyle w:val="43"/>
            </w:pPr>
          </w:p>
        </w:tc>
        <w:tc>
          <w:tcPr>
            <w:tcW w:w="1203" w:type="dxa"/>
            <w:vAlign w:val="top"/>
          </w:tcPr>
          <w:p w14:paraId="70E82660">
            <w:pPr>
              <w:pStyle w:val="43"/>
            </w:pPr>
          </w:p>
        </w:tc>
      </w:tr>
      <w:tr w14:paraId="724F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7677ED4">
            <w:pPr>
              <w:pStyle w:val="43"/>
              <w:spacing w:before="62" w:line="199" w:lineRule="auto"/>
              <w:ind w:left="383"/>
              <w:rPr>
                <w:sz w:val="24"/>
                <w:szCs w:val="24"/>
              </w:rPr>
            </w:pPr>
          </w:p>
        </w:tc>
        <w:tc>
          <w:tcPr>
            <w:tcW w:w="2209" w:type="dxa"/>
            <w:vAlign w:val="top"/>
          </w:tcPr>
          <w:p w14:paraId="31974622">
            <w:pPr>
              <w:spacing w:before="39" w:line="205" w:lineRule="auto"/>
              <w:ind w:left="872"/>
              <w:rPr>
                <w:rFonts w:ascii="宋体" w:hAnsi="宋体" w:eastAsia="宋体" w:cs="宋体"/>
                <w:sz w:val="24"/>
                <w:szCs w:val="24"/>
              </w:rPr>
            </w:pPr>
          </w:p>
        </w:tc>
        <w:tc>
          <w:tcPr>
            <w:tcW w:w="1115" w:type="dxa"/>
            <w:vAlign w:val="top"/>
          </w:tcPr>
          <w:p w14:paraId="2E84ECCA">
            <w:pPr>
              <w:pStyle w:val="43"/>
            </w:pPr>
          </w:p>
        </w:tc>
        <w:tc>
          <w:tcPr>
            <w:tcW w:w="1229" w:type="dxa"/>
            <w:vAlign w:val="top"/>
          </w:tcPr>
          <w:p w14:paraId="2059F10B">
            <w:pPr>
              <w:pStyle w:val="43"/>
            </w:pPr>
          </w:p>
        </w:tc>
        <w:tc>
          <w:tcPr>
            <w:tcW w:w="1412" w:type="dxa"/>
            <w:vAlign w:val="top"/>
          </w:tcPr>
          <w:p w14:paraId="63353F68">
            <w:pPr>
              <w:pStyle w:val="43"/>
            </w:pPr>
          </w:p>
        </w:tc>
        <w:tc>
          <w:tcPr>
            <w:tcW w:w="1412" w:type="dxa"/>
            <w:vAlign w:val="top"/>
          </w:tcPr>
          <w:p w14:paraId="01318061">
            <w:pPr>
              <w:pStyle w:val="43"/>
            </w:pPr>
          </w:p>
        </w:tc>
        <w:tc>
          <w:tcPr>
            <w:tcW w:w="1412" w:type="dxa"/>
            <w:vAlign w:val="top"/>
          </w:tcPr>
          <w:p w14:paraId="6EAEA198">
            <w:pPr>
              <w:pStyle w:val="43"/>
            </w:pPr>
          </w:p>
        </w:tc>
        <w:tc>
          <w:tcPr>
            <w:tcW w:w="1413" w:type="dxa"/>
            <w:vAlign w:val="top"/>
          </w:tcPr>
          <w:p w14:paraId="4B6ED83F">
            <w:pPr>
              <w:pStyle w:val="43"/>
            </w:pPr>
          </w:p>
        </w:tc>
        <w:tc>
          <w:tcPr>
            <w:tcW w:w="961" w:type="dxa"/>
            <w:vAlign w:val="top"/>
          </w:tcPr>
          <w:p w14:paraId="04434C48">
            <w:pPr>
              <w:pStyle w:val="43"/>
            </w:pPr>
          </w:p>
        </w:tc>
        <w:tc>
          <w:tcPr>
            <w:tcW w:w="971" w:type="dxa"/>
            <w:vAlign w:val="top"/>
          </w:tcPr>
          <w:p w14:paraId="14B6CF02">
            <w:pPr>
              <w:pStyle w:val="43"/>
            </w:pPr>
          </w:p>
        </w:tc>
        <w:tc>
          <w:tcPr>
            <w:tcW w:w="1203" w:type="dxa"/>
            <w:vAlign w:val="top"/>
          </w:tcPr>
          <w:p w14:paraId="38B8BA37">
            <w:pPr>
              <w:pStyle w:val="43"/>
            </w:pPr>
          </w:p>
        </w:tc>
      </w:tr>
      <w:tr w14:paraId="69F4E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25DA6E3">
            <w:pPr>
              <w:pStyle w:val="43"/>
              <w:spacing w:before="60" w:line="202" w:lineRule="auto"/>
              <w:ind w:left="381"/>
              <w:rPr>
                <w:sz w:val="24"/>
                <w:szCs w:val="24"/>
              </w:rPr>
            </w:pPr>
          </w:p>
        </w:tc>
        <w:tc>
          <w:tcPr>
            <w:tcW w:w="2209" w:type="dxa"/>
            <w:vAlign w:val="top"/>
          </w:tcPr>
          <w:p w14:paraId="59C80DD9">
            <w:pPr>
              <w:spacing w:before="39" w:line="205" w:lineRule="auto"/>
              <w:ind w:left="631"/>
              <w:rPr>
                <w:rFonts w:ascii="宋体" w:hAnsi="宋体" w:eastAsia="宋体" w:cs="宋体"/>
                <w:sz w:val="24"/>
                <w:szCs w:val="24"/>
              </w:rPr>
            </w:pPr>
          </w:p>
        </w:tc>
        <w:tc>
          <w:tcPr>
            <w:tcW w:w="1115" w:type="dxa"/>
            <w:vAlign w:val="top"/>
          </w:tcPr>
          <w:p w14:paraId="5EB33EAC">
            <w:pPr>
              <w:pStyle w:val="43"/>
            </w:pPr>
          </w:p>
        </w:tc>
        <w:tc>
          <w:tcPr>
            <w:tcW w:w="1229" w:type="dxa"/>
            <w:vAlign w:val="top"/>
          </w:tcPr>
          <w:p w14:paraId="6AEEDB76">
            <w:pPr>
              <w:pStyle w:val="43"/>
            </w:pPr>
          </w:p>
        </w:tc>
        <w:tc>
          <w:tcPr>
            <w:tcW w:w="1412" w:type="dxa"/>
            <w:vAlign w:val="top"/>
          </w:tcPr>
          <w:p w14:paraId="5AF027E2">
            <w:pPr>
              <w:pStyle w:val="43"/>
            </w:pPr>
          </w:p>
        </w:tc>
        <w:tc>
          <w:tcPr>
            <w:tcW w:w="1412" w:type="dxa"/>
            <w:vAlign w:val="top"/>
          </w:tcPr>
          <w:p w14:paraId="4569F6F4">
            <w:pPr>
              <w:pStyle w:val="43"/>
            </w:pPr>
          </w:p>
        </w:tc>
        <w:tc>
          <w:tcPr>
            <w:tcW w:w="1412" w:type="dxa"/>
            <w:vAlign w:val="top"/>
          </w:tcPr>
          <w:p w14:paraId="1B857E0B">
            <w:pPr>
              <w:pStyle w:val="43"/>
            </w:pPr>
          </w:p>
        </w:tc>
        <w:tc>
          <w:tcPr>
            <w:tcW w:w="1413" w:type="dxa"/>
            <w:vAlign w:val="top"/>
          </w:tcPr>
          <w:p w14:paraId="5E167C93">
            <w:pPr>
              <w:pStyle w:val="43"/>
            </w:pPr>
          </w:p>
        </w:tc>
        <w:tc>
          <w:tcPr>
            <w:tcW w:w="961" w:type="dxa"/>
            <w:vAlign w:val="top"/>
          </w:tcPr>
          <w:p w14:paraId="1FFEFCAB">
            <w:pPr>
              <w:pStyle w:val="43"/>
            </w:pPr>
          </w:p>
        </w:tc>
        <w:tc>
          <w:tcPr>
            <w:tcW w:w="971" w:type="dxa"/>
            <w:vAlign w:val="top"/>
          </w:tcPr>
          <w:p w14:paraId="25907456">
            <w:pPr>
              <w:pStyle w:val="43"/>
            </w:pPr>
          </w:p>
        </w:tc>
        <w:tc>
          <w:tcPr>
            <w:tcW w:w="1203" w:type="dxa"/>
            <w:vAlign w:val="top"/>
          </w:tcPr>
          <w:p w14:paraId="69408F83">
            <w:pPr>
              <w:pStyle w:val="43"/>
            </w:pPr>
          </w:p>
        </w:tc>
      </w:tr>
      <w:tr w14:paraId="1A55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36B73F35">
            <w:pPr>
              <w:pStyle w:val="43"/>
              <w:spacing w:before="61" w:line="199" w:lineRule="auto"/>
              <w:ind w:left="384"/>
              <w:rPr>
                <w:sz w:val="24"/>
                <w:szCs w:val="24"/>
              </w:rPr>
            </w:pPr>
          </w:p>
        </w:tc>
        <w:tc>
          <w:tcPr>
            <w:tcW w:w="2209" w:type="dxa"/>
            <w:vAlign w:val="top"/>
          </w:tcPr>
          <w:p w14:paraId="499C2C31">
            <w:pPr>
              <w:spacing w:before="38" w:line="206" w:lineRule="auto"/>
              <w:ind w:left="872"/>
              <w:rPr>
                <w:rFonts w:ascii="宋体" w:hAnsi="宋体" w:eastAsia="宋体" w:cs="宋体"/>
                <w:sz w:val="24"/>
                <w:szCs w:val="24"/>
              </w:rPr>
            </w:pPr>
          </w:p>
        </w:tc>
        <w:tc>
          <w:tcPr>
            <w:tcW w:w="1115" w:type="dxa"/>
            <w:vAlign w:val="top"/>
          </w:tcPr>
          <w:p w14:paraId="242443FD">
            <w:pPr>
              <w:pStyle w:val="43"/>
            </w:pPr>
          </w:p>
        </w:tc>
        <w:tc>
          <w:tcPr>
            <w:tcW w:w="1229" w:type="dxa"/>
            <w:vAlign w:val="top"/>
          </w:tcPr>
          <w:p w14:paraId="7DBE067B">
            <w:pPr>
              <w:pStyle w:val="43"/>
            </w:pPr>
          </w:p>
        </w:tc>
        <w:tc>
          <w:tcPr>
            <w:tcW w:w="1412" w:type="dxa"/>
            <w:vAlign w:val="top"/>
          </w:tcPr>
          <w:p w14:paraId="13B0DB99">
            <w:pPr>
              <w:pStyle w:val="43"/>
            </w:pPr>
          </w:p>
        </w:tc>
        <w:tc>
          <w:tcPr>
            <w:tcW w:w="1412" w:type="dxa"/>
            <w:vAlign w:val="top"/>
          </w:tcPr>
          <w:p w14:paraId="5DD58D48">
            <w:pPr>
              <w:pStyle w:val="43"/>
            </w:pPr>
          </w:p>
        </w:tc>
        <w:tc>
          <w:tcPr>
            <w:tcW w:w="1412" w:type="dxa"/>
            <w:vAlign w:val="top"/>
          </w:tcPr>
          <w:p w14:paraId="70596D51">
            <w:pPr>
              <w:pStyle w:val="43"/>
            </w:pPr>
          </w:p>
        </w:tc>
        <w:tc>
          <w:tcPr>
            <w:tcW w:w="1413" w:type="dxa"/>
            <w:vAlign w:val="top"/>
          </w:tcPr>
          <w:p w14:paraId="3F6BC6C8">
            <w:pPr>
              <w:pStyle w:val="43"/>
            </w:pPr>
          </w:p>
        </w:tc>
        <w:tc>
          <w:tcPr>
            <w:tcW w:w="961" w:type="dxa"/>
            <w:vAlign w:val="top"/>
          </w:tcPr>
          <w:p w14:paraId="17F33DEF">
            <w:pPr>
              <w:pStyle w:val="43"/>
            </w:pPr>
          </w:p>
        </w:tc>
        <w:tc>
          <w:tcPr>
            <w:tcW w:w="971" w:type="dxa"/>
            <w:vAlign w:val="top"/>
          </w:tcPr>
          <w:p w14:paraId="7035F0E2">
            <w:pPr>
              <w:pStyle w:val="43"/>
            </w:pPr>
          </w:p>
        </w:tc>
        <w:tc>
          <w:tcPr>
            <w:tcW w:w="1203" w:type="dxa"/>
            <w:vAlign w:val="top"/>
          </w:tcPr>
          <w:p w14:paraId="1B7D389E">
            <w:pPr>
              <w:pStyle w:val="43"/>
            </w:pPr>
          </w:p>
        </w:tc>
      </w:tr>
      <w:tr w14:paraId="2E9E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8" w:type="dxa"/>
            <w:vAlign w:val="top"/>
          </w:tcPr>
          <w:p w14:paraId="0EEE4D01">
            <w:pPr>
              <w:pStyle w:val="43"/>
              <w:spacing w:before="214" w:line="202" w:lineRule="auto"/>
              <w:ind w:left="381"/>
              <w:rPr>
                <w:sz w:val="24"/>
                <w:szCs w:val="24"/>
              </w:rPr>
            </w:pPr>
          </w:p>
        </w:tc>
        <w:tc>
          <w:tcPr>
            <w:tcW w:w="2209" w:type="dxa"/>
            <w:vAlign w:val="top"/>
          </w:tcPr>
          <w:p w14:paraId="0B4088CE">
            <w:pPr>
              <w:spacing w:before="26" w:line="204" w:lineRule="auto"/>
              <w:ind w:left="1004"/>
              <w:rPr>
                <w:rFonts w:ascii="宋体" w:hAnsi="宋体" w:eastAsia="宋体" w:cs="宋体"/>
                <w:sz w:val="24"/>
                <w:szCs w:val="24"/>
              </w:rPr>
            </w:pPr>
          </w:p>
        </w:tc>
        <w:tc>
          <w:tcPr>
            <w:tcW w:w="1115" w:type="dxa"/>
            <w:vAlign w:val="top"/>
          </w:tcPr>
          <w:p w14:paraId="10FDA2B0">
            <w:pPr>
              <w:pStyle w:val="43"/>
            </w:pPr>
          </w:p>
        </w:tc>
        <w:tc>
          <w:tcPr>
            <w:tcW w:w="1229" w:type="dxa"/>
            <w:vAlign w:val="top"/>
          </w:tcPr>
          <w:p w14:paraId="7F25C030">
            <w:pPr>
              <w:pStyle w:val="43"/>
            </w:pPr>
          </w:p>
        </w:tc>
        <w:tc>
          <w:tcPr>
            <w:tcW w:w="1412" w:type="dxa"/>
            <w:vAlign w:val="top"/>
          </w:tcPr>
          <w:p w14:paraId="7E9EEB6A">
            <w:pPr>
              <w:pStyle w:val="43"/>
            </w:pPr>
          </w:p>
        </w:tc>
        <w:tc>
          <w:tcPr>
            <w:tcW w:w="1412" w:type="dxa"/>
            <w:vAlign w:val="top"/>
          </w:tcPr>
          <w:p w14:paraId="2C338E2C">
            <w:pPr>
              <w:pStyle w:val="43"/>
            </w:pPr>
          </w:p>
        </w:tc>
        <w:tc>
          <w:tcPr>
            <w:tcW w:w="1412" w:type="dxa"/>
            <w:vAlign w:val="top"/>
          </w:tcPr>
          <w:p w14:paraId="41476C8E">
            <w:pPr>
              <w:pStyle w:val="43"/>
            </w:pPr>
          </w:p>
        </w:tc>
        <w:tc>
          <w:tcPr>
            <w:tcW w:w="1413" w:type="dxa"/>
            <w:vAlign w:val="top"/>
          </w:tcPr>
          <w:p w14:paraId="7FC3B751">
            <w:pPr>
              <w:pStyle w:val="43"/>
            </w:pPr>
          </w:p>
        </w:tc>
        <w:tc>
          <w:tcPr>
            <w:tcW w:w="961" w:type="dxa"/>
            <w:vAlign w:val="top"/>
          </w:tcPr>
          <w:p w14:paraId="35035E0B">
            <w:pPr>
              <w:pStyle w:val="43"/>
            </w:pPr>
          </w:p>
        </w:tc>
        <w:tc>
          <w:tcPr>
            <w:tcW w:w="971" w:type="dxa"/>
            <w:vAlign w:val="top"/>
          </w:tcPr>
          <w:p w14:paraId="54E19647">
            <w:pPr>
              <w:pStyle w:val="43"/>
            </w:pPr>
          </w:p>
        </w:tc>
        <w:tc>
          <w:tcPr>
            <w:tcW w:w="1203" w:type="dxa"/>
            <w:vAlign w:val="top"/>
          </w:tcPr>
          <w:p w14:paraId="2E825262">
            <w:pPr>
              <w:pStyle w:val="43"/>
            </w:pPr>
          </w:p>
        </w:tc>
      </w:tr>
      <w:tr w14:paraId="28460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22" w:type="dxa"/>
            <w:gridSpan w:val="10"/>
            <w:vAlign w:val="top"/>
          </w:tcPr>
          <w:p w14:paraId="3D97AC6A">
            <w:pPr>
              <w:spacing w:before="41" w:line="207" w:lineRule="auto"/>
              <w:ind w:left="5923"/>
              <w:rPr>
                <w:rFonts w:ascii="宋体" w:hAnsi="宋体" w:eastAsia="宋体" w:cs="宋体"/>
                <w:sz w:val="24"/>
                <w:szCs w:val="24"/>
              </w:rPr>
            </w:pPr>
            <w:r>
              <w:rPr>
                <w:rFonts w:ascii="宋体" w:hAnsi="宋体" w:eastAsia="宋体" w:cs="宋体"/>
                <w:b/>
                <w:bCs/>
                <w:spacing w:val="-7"/>
                <w:sz w:val="24"/>
                <w:szCs w:val="24"/>
              </w:rPr>
              <w:t>总价（元）</w:t>
            </w:r>
          </w:p>
        </w:tc>
        <w:tc>
          <w:tcPr>
            <w:tcW w:w="1203" w:type="dxa"/>
            <w:vAlign w:val="top"/>
          </w:tcPr>
          <w:p w14:paraId="37ABFB6E">
            <w:pPr>
              <w:pStyle w:val="43"/>
            </w:pPr>
          </w:p>
        </w:tc>
      </w:tr>
    </w:tbl>
    <w:p w14:paraId="0E72CBC3">
      <w:pPr>
        <w:pStyle w:val="10"/>
        <w:spacing w:before="276" w:line="212" w:lineRule="auto"/>
        <w:ind w:left="151"/>
        <w:rPr>
          <w:sz w:val="25"/>
          <w:szCs w:val="25"/>
        </w:rPr>
      </w:pPr>
      <w:r>
        <w:rPr>
          <w:b/>
          <w:bCs/>
          <w:i/>
          <w:iCs/>
          <w:color w:val="FF0000"/>
          <w:spacing w:val="-14"/>
          <w:sz w:val="25"/>
          <w:szCs w:val="25"/>
        </w:rPr>
        <w:t>说明：制造商规模请填写</w:t>
      </w:r>
      <w:r>
        <w:rPr>
          <w:color w:val="FF0000"/>
          <w:spacing w:val="-7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中型</w:t>
      </w:r>
      <w:r>
        <w:rPr>
          <w:color w:val="FF0000"/>
          <w:spacing w:val="-8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小型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微型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或</w:t>
      </w:r>
      <w:r>
        <w:rPr>
          <w:color w:val="FF0000"/>
          <w:spacing w:val="-82"/>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其他</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，中小企业的定义见第二章《投标人须知》。</w:t>
      </w:r>
    </w:p>
    <w:p w14:paraId="22137D23">
      <w:pPr>
        <w:spacing w:line="212" w:lineRule="auto"/>
        <w:rPr>
          <w:sz w:val="25"/>
          <w:szCs w:val="25"/>
        </w:rPr>
      </w:pPr>
    </w:p>
    <w:p w14:paraId="5A1E8B6D">
      <w:pPr>
        <w:spacing w:line="212" w:lineRule="auto"/>
        <w:rPr>
          <w:sz w:val="25"/>
          <w:szCs w:val="25"/>
        </w:rPr>
      </w:pPr>
    </w:p>
    <w:p w14:paraId="243F66E0">
      <w:pPr>
        <w:spacing w:line="212" w:lineRule="auto"/>
        <w:rPr>
          <w:sz w:val="25"/>
          <w:szCs w:val="25"/>
        </w:rPr>
      </w:pPr>
    </w:p>
    <w:p w14:paraId="7C777286">
      <w:pPr>
        <w:spacing w:line="212" w:lineRule="auto"/>
        <w:rPr>
          <w:sz w:val="25"/>
          <w:szCs w:val="25"/>
        </w:rPr>
      </w:pPr>
    </w:p>
    <w:p w14:paraId="31CA0B7F">
      <w:pPr>
        <w:spacing w:line="212" w:lineRule="auto"/>
        <w:rPr>
          <w:sz w:val="25"/>
          <w:szCs w:val="25"/>
        </w:rPr>
      </w:pPr>
    </w:p>
    <w:p w14:paraId="3EA022EF">
      <w:pPr>
        <w:spacing w:line="212" w:lineRule="auto"/>
        <w:rPr>
          <w:sz w:val="25"/>
          <w:szCs w:val="25"/>
        </w:rPr>
      </w:pPr>
    </w:p>
    <w:p w14:paraId="582475E9">
      <w:pPr>
        <w:spacing w:line="212" w:lineRule="auto"/>
        <w:rPr>
          <w:sz w:val="25"/>
          <w:szCs w:val="25"/>
        </w:rPr>
      </w:pPr>
    </w:p>
    <w:p w14:paraId="5D9D6265">
      <w:pPr>
        <w:spacing w:line="212" w:lineRule="auto"/>
        <w:rPr>
          <w:sz w:val="25"/>
          <w:szCs w:val="25"/>
        </w:rPr>
      </w:pPr>
    </w:p>
    <w:p w14:paraId="2302A627">
      <w:pPr>
        <w:spacing w:line="212" w:lineRule="auto"/>
        <w:rPr>
          <w:sz w:val="25"/>
          <w:szCs w:val="25"/>
        </w:rPr>
      </w:pPr>
    </w:p>
    <w:p w14:paraId="3ED4597B">
      <w:pPr>
        <w:spacing w:line="212" w:lineRule="auto"/>
        <w:rPr>
          <w:sz w:val="25"/>
          <w:szCs w:val="25"/>
        </w:rPr>
      </w:pPr>
    </w:p>
    <w:p w14:paraId="7FE95C19">
      <w:pPr>
        <w:spacing w:line="212" w:lineRule="auto"/>
        <w:rPr>
          <w:sz w:val="25"/>
          <w:szCs w:val="25"/>
        </w:rPr>
      </w:pPr>
    </w:p>
    <w:p w14:paraId="09225B15">
      <w:pPr>
        <w:pStyle w:val="10"/>
        <w:spacing w:before="81" w:line="211" w:lineRule="auto"/>
        <w:ind w:left="146"/>
        <w:rPr>
          <w:sz w:val="25"/>
          <w:szCs w:val="25"/>
        </w:rPr>
      </w:pPr>
      <w:r>
        <w:rPr>
          <w:b/>
          <w:bCs/>
          <w:i/>
          <w:iCs/>
          <w:color w:val="FF0000"/>
          <w:spacing w:val="-12"/>
          <w:sz w:val="25"/>
          <w:szCs w:val="25"/>
        </w:rPr>
        <w:t>（格式示例二，适用于多种设备报价）</w:t>
      </w:r>
    </w:p>
    <w:p w14:paraId="0BCCCCD6">
      <w:pPr>
        <w:pStyle w:val="10"/>
        <w:spacing w:before="265" w:line="188" w:lineRule="auto"/>
        <w:ind w:left="126"/>
        <w:rPr>
          <w:sz w:val="24"/>
          <w:szCs w:val="24"/>
        </w:rPr>
      </w:pPr>
      <w:r>
        <w:rPr>
          <w:sz w:val="24"/>
          <w:szCs w:val="24"/>
        </w:rPr>
        <w:t>项目编号</w:t>
      </w:r>
      <w:r>
        <w:rPr>
          <w:rFonts w:ascii="Arial" w:hAnsi="Arial" w:eastAsia="Arial" w:cs="Arial"/>
          <w:sz w:val="24"/>
          <w:szCs w:val="24"/>
        </w:rPr>
        <w:t>/</w:t>
      </w:r>
      <w:r>
        <w:rPr>
          <w:sz w:val="24"/>
          <w:szCs w:val="24"/>
        </w:rPr>
        <w:t>包号：         项目名称：          报价单位：人民币元</w:t>
      </w:r>
    </w:p>
    <w:tbl>
      <w:tblPr>
        <w:tblStyle w:val="40"/>
        <w:tblW w:w="14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276"/>
        <w:gridCol w:w="1608"/>
        <w:gridCol w:w="1146"/>
        <w:gridCol w:w="1521"/>
        <w:gridCol w:w="1521"/>
        <w:gridCol w:w="1521"/>
        <w:gridCol w:w="1521"/>
        <w:gridCol w:w="1243"/>
        <w:gridCol w:w="1007"/>
        <w:gridCol w:w="1254"/>
      </w:tblGrid>
      <w:tr w14:paraId="6558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607" w:type="dxa"/>
            <w:textDirection w:val="tbRlV"/>
            <w:vAlign w:val="top"/>
          </w:tcPr>
          <w:p w14:paraId="1F302CB3">
            <w:pPr>
              <w:spacing w:before="253" w:line="210" w:lineRule="auto"/>
              <w:ind w:left="226"/>
              <w:rPr>
                <w:rFonts w:ascii="宋体" w:hAnsi="宋体" w:eastAsia="宋体" w:cs="宋体"/>
                <w:sz w:val="24"/>
                <w:szCs w:val="24"/>
              </w:rPr>
            </w:pPr>
            <w:r>
              <w:rPr>
                <w:rFonts w:ascii="宋体" w:hAnsi="宋体" w:eastAsia="宋体" w:cs="宋体"/>
                <w:b/>
                <w:bCs/>
                <w:spacing w:val="33"/>
                <w:sz w:val="24"/>
                <w:szCs w:val="24"/>
              </w:rPr>
              <w:t>序号</w:t>
            </w:r>
          </w:p>
        </w:tc>
        <w:tc>
          <w:tcPr>
            <w:tcW w:w="1276" w:type="dxa"/>
            <w:vAlign w:val="top"/>
          </w:tcPr>
          <w:p w14:paraId="18941EF5">
            <w:pPr>
              <w:pStyle w:val="43"/>
              <w:spacing w:line="302" w:lineRule="auto"/>
            </w:pPr>
          </w:p>
          <w:p w14:paraId="1A337D8C">
            <w:pPr>
              <w:spacing w:before="78" w:line="220" w:lineRule="auto"/>
              <w:ind w:left="115"/>
              <w:rPr>
                <w:rFonts w:ascii="宋体" w:hAnsi="宋体" w:eastAsia="宋体" w:cs="宋体"/>
                <w:sz w:val="24"/>
                <w:szCs w:val="24"/>
              </w:rPr>
            </w:pPr>
            <w:r>
              <w:rPr>
                <w:rFonts w:ascii="宋体" w:hAnsi="宋体" w:eastAsia="宋体" w:cs="宋体"/>
                <w:b/>
                <w:bCs/>
                <w:spacing w:val="-5"/>
                <w:sz w:val="24"/>
                <w:szCs w:val="24"/>
              </w:rPr>
              <w:t>分项名称</w:t>
            </w:r>
          </w:p>
        </w:tc>
        <w:tc>
          <w:tcPr>
            <w:tcW w:w="1608" w:type="dxa"/>
            <w:vAlign w:val="top"/>
          </w:tcPr>
          <w:p w14:paraId="4EF8A353">
            <w:pPr>
              <w:pStyle w:val="43"/>
              <w:spacing w:line="302" w:lineRule="auto"/>
            </w:pPr>
            <w:r>
              <w:drawing>
                <wp:anchor distT="0" distB="0" distL="0" distR="0" simplePos="0" relativeHeight="251662336" behindDoc="0" locked="0" layoutInCell="1" allowOverlap="1">
                  <wp:simplePos x="0" y="0"/>
                  <wp:positionH relativeFrom="rightMargin">
                    <wp:posOffset>-1028700</wp:posOffset>
                  </wp:positionH>
                  <wp:positionV relativeFrom="topMargin">
                    <wp:posOffset>-3175</wp:posOffset>
                  </wp:positionV>
                  <wp:extent cx="610870" cy="1016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20"/>
                          <a:stretch>
                            <a:fillRect/>
                          </a:stretch>
                        </pic:blipFill>
                        <pic:spPr>
                          <a:xfrm>
                            <a:off x="0" y="0"/>
                            <a:ext cx="611002" cy="10363"/>
                          </a:xfrm>
                          <a:prstGeom prst="rect">
                            <a:avLst/>
                          </a:prstGeom>
                        </pic:spPr>
                      </pic:pic>
                    </a:graphicData>
                  </a:graphic>
                </wp:anchor>
              </w:drawing>
            </w:r>
          </w:p>
          <w:p w14:paraId="17B5138F">
            <w:pPr>
              <w:spacing w:before="78" w:line="221" w:lineRule="auto"/>
              <w:ind w:left="112"/>
              <w:rPr>
                <w:rFonts w:ascii="宋体" w:hAnsi="宋体" w:eastAsia="宋体" w:cs="宋体"/>
                <w:sz w:val="24"/>
                <w:szCs w:val="24"/>
              </w:rPr>
            </w:pPr>
            <w:r>
              <w:rPr>
                <w:rFonts w:ascii="宋体" w:hAnsi="宋体" w:eastAsia="宋体" w:cs="宋体"/>
                <w:b/>
                <w:bCs/>
                <w:spacing w:val="-6"/>
                <w:sz w:val="24"/>
                <w:szCs w:val="24"/>
              </w:rPr>
              <w:t>制造商</w:t>
            </w:r>
          </w:p>
        </w:tc>
        <w:tc>
          <w:tcPr>
            <w:tcW w:w="1146" w:type="dxa"/>
            <w:vAlign w:val="top"/>
          </w:tcPr>
          <w:p w14:paraId="0B619189">
            <w:pPr>
              <w:pStyle w:val="43"/>
              <w:spacing w:before="227" w:line="242" w:lineRule="auto"/>
              <w:ind w:left="115" w:right="227" w:hanging="2"/>
              <w:rPr>
                <w:rFonts w:ascii="宋体" w:hAnsi="宋体" w:eastAsia="宋体" w:cs="宋体"/>
                <w:sz w:val="24"/>
                <w:szCs w:val="24"/>
              </w:rPr>
            </w:pPr>
            <w:r>
              <w:drawing>
                <wp:anchor distT="0" distB="0" distL="0" distR="0" simplePos="0" relativeHeight="251664384" behindDoc="0" locked="0" layoutInCell="1" allowOverlap="1">
                  <wp:simplePos x="0" y="0"/>
                  <wp:positionH relativeFrom="rightMargin">
                    <wp:posOffset>-308610</wp:posOffset>
                  </wp:positionH>
                  <wp:positionV relativeFrom="topMargin">
                    <wp:posOffset>-3175</wp:posOffset>
                  </wp:positionV>
                  <wp:extent cx="306070" cy="1016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1"/>
                          <a:stretch>
                            <a:fillRect/>
                          </a:stretch>
                        </pic:blipFill>
                        <pic:spPr>
                          <a:xfrm>
                            <a:off x="0" y="0"/>
                            <a:ext cx="306186" cy="10363"/>
                          </a:xfrm>
                          <a:prstGeom prst="rect">
                            <a:avLst/>
                          </a:prstGeom>
                        </pic:spPr>
                      </pic:pic>
                    </a:graphicData>
                  </a:graphic>
                </wp:anchor>
              </w:drawing>
            </w:r>
            <w:r>
              <w:rPr>
                <w:rFonts w:ascii="宋体" w:hAnsi="宋体" w:eastAsia="宋体" w:cs="宋体"/>
                <w:b/>
                <w:bCs/>
                <w:spacing w:val="1"/>
                <w:sz w:val="24"/>
                <w:szCs w:val="24"/>
              </w:rPr>
              <w:t>产地</w:t>
            </w:r>
            <w:r>
              <w:rPr>
                <w:b/>
                <w:bCs/>
                <w:spacing w:val="1"/>
                <w:sz w:val="24"/>
                <w:szCs w:val="24"/>
              </w:rPr>
              <w:t>/</w:t>
            </w:r>
            <w:r>
              <w:rPr>
                <w:rFonts w:ascii="宋体" w:hAnsi="宋体" w:eastAsia="宋体" w:cs="宋体"/>
                <w:b/>
                <w:bCs/>
                <w:spacing w:val="1"/>
                <w:sz w:val="24"/>
                <w:szCs w:val="24"/>
              </w:rPr>
              <w:t>国</w:t>
            </w:r>
            <w:r>
              <w:rPr>
                <w:rFonts w:ascii="宋体" w:hAnsi="宋体" w:eastAsia="宋体" w:cs="宋体"/>
                <w:sz w:val="24"/>
                <w:szCs w:val="24"/>
              </w:rPr>
              <w:t xml:space="preserve"> </w:t>
            </w:r>
            <w:r>
              <w:rPr>
                <w:rFonts w:ascii="宋体" w:hAnsi="宋体" w:eastAsia="宋体" w:cs="宋体"/>
                <w:b/>
                <w:bCs/>
                <w:spacing w:val="-3"/>
                <w:sz w:val="24"/>
                <w:szCs w:val="24"/>
              </w:rPr>
              <w:t>别</w:t>
            </w:r>
          </w:p>
        </w:tc>
        <w:tc>
          <w:tcPr>
            <w:tcW w:w="1521" w:type="dxa"/>
            <w:vAlign w:val="top"/>
          </w:tcPr>
          <w:p w14:paraId="6AF62E27">
            <w:pPr>
              <w:spacing w:before="70" w:line="221" w:lineRule="auto"/>
              <w:ind w:left="406"/>
              <w:rPr>
                <w:rFonts w:ascii="宋体" w:hAnsi="宋体" w:eastAsia="宋体" w:cs="宋体"/>
                <w:sz w:val="24"/>
                <w:szCs w:val="24"/>
              </w:rPr>
            </w:pPr>
            <w:r>
              <w:drawing>
                <wp:anchor distT="0" distB="0" distL="0" distR="0" simplePos="0" relativeHeight="251663360" behindDoc="0" locked="0" layoutInCell="1" allowOverlap="1">
                  <wp:simplePos x="0" y="0"/>
                  <wp:positionH relativeFrom="rightMargin">
                    <wp:posOffset>-971550</wp:posOffset>
                  </wp:positionH>
                  <wp:positionV relativeFrom="topMargin">
                    <wp:posOffset>-3175</wp:posOffset>
                  </wp:positionV>
                  <wp:extent cx="460375" cy="1016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2"/>
                          <a:stretch>
                            <a:fillRect/>
                          </a:stretch>
                        </pic:blipFill>
                        <pic:spPr>
                          <a:xfrm>
                            <a:off x="0" y="0"/>
                            <a:ext cx="460118" cy="10363"/>
                          </a:xfrm>
                          <a:prstGeom prst="rect">
                            <a:avLst/>
                          </a:prstGeom>
                        </pic:spPr>
                      </pic:pic>
                    </a:graphicData>
                  </a:graphic>
                </wp:anchor>
              </w:drawing>
            </w:r>
            <w:r>
              <w:rPr>
                <w:rFonts w:ascii="宋体" w:hAnsi="宋体" w:eastAsia="宋体" w:cs="宋体"/>
                <w:b/>
                <w:bCs/>
                <w:spacing w:val="-6"/>
                <w:sz w:val="24"/>
                <w:szCs w:val="24"/>
              </w:rPr>
              <w:t>制造商</w:t>
            </w:r>
          </w:p>
          <w:p w14:paraId="3147143C">
            <w:pPr>
              <w:spacing w:before="24" w:line="219" w:lineRule="auto"/>
              <w:ind w:left="171"/>
              <w:rPr>
                <w:rFonts w:ascii="宋体" w:hAnsi="宋体" w:eastAsia="宋体" w:cs="宋体"/>
                <w:sz w:val="24"/>
                <w:szCs w:val="24"/>
              </w:rPr>
            </w:pPr>
            <w:r>
              <w:rPr>
                <w:rFonts w:ascii="宋体" w:hAnsi="宋体" w:eastAsia="宋体" w:cs="宋体"/>
                <w:b/>
                <w:bCs/>
                <w:spacing w:val="-5"/>
                <w:sz w:val="24"/>
                <w:szCs w:val="24"/>
              </w:rPr>
              <w:t>统一信用代</w:t>
            </w:r>
          </w:p>
          <w:p w14:paraId="79B075F3">
            <w:pPr>
              <w:spacing w:before="27" w:line="206" w:lineRule="auto"/>
              <w:ind w:left="644"/>
              <w:rPr>
                <w:rFonts w:ascii="宋体" w:hAnsi="宋体" w:eastAsia="宋体" w:cs="宋体"/>
                <w:sz w:val="24"/>
                <w:szCs w:val="24"/>
              </w:rPr>
            </w:pPr>
            <w:r>
              <w:rPr>
                <w:rFonts w:ascii="宋体" w:hAnsi="宋体" w:eastAsia="宋体" w:cs="宋体"/>
                <w:b/>
                <w:bCs/>
                <w:spacing w:val="-3"/>
                <w:sz w:val="24"/>
                <w:szCs w:val="24"/>
              </w:rPr>
              <w:t>码</w:t>
            </w:r>
          </w:p>
        </w:tc>
        <w:tc>
          <w:tcPr>
            <w:tcW w:w="1521" w:type="dxa"/>
            <w:vAlign w:val="top"/>
          </w:tcPr>
          <w:p w14:paraId="161A6B8F">
            <w:pPr>
              <w:spacing w:before="226" w:line="242" w:lineRule="auto"/>
              <w:ind w:left="526" w:right="397" w:hanging="120"/>
              <w:rPr>
                <w:rFonts w:ascii="宋体" w:hAnsi="宋体" w:eastAsia="宋体" w:cs="宋体"/>
                <w:sz w:val="24"/>
                <w:szCs w:val="24"/>
              </w:rPr>
            </w:pPr>
            <w:r>
              <w:rPr>
                <w:rFonts w:ascii="宋体" w:hAnsi="宋体" w:eastAsia="宋体" w:cs="宋体"/>
                <w:b/>
                <w:bCs/>
                <w:spacing w:val="-6"/>
                <w:sz w:val="24"/>
                <w:szCs w:val="24"/>
              </w:rPr>
              <w:t>制造商</w:t>
            </w:r>
            <w:r>
              <w:rPr>
                <w:rFonts w:ascii="宋体" w:hAnsi="宋体" w:eastAsia="宋体" w:cs="宋体"/>
                <w:spacing w:val="1"/>
                <w:sz w:val="24"/>
                <w:szCs w:val="24"/>
              </w:rPr>
              <w:t xml:space="preserve"> </w:t>
            </w:r>
            <w:r>
              <w:rPr>
                <w:rFonts w:ascii="宋体" w:hAnsi="宋体" w:eastAsia="宋体" w:cs="宋体"/>
                <w:b/>
                <w:bCs/>
                <w:spacing w:val="-6"/>
                <w:sz w:val="24"/>
                <w:szCs w:val="24"/>
              </w:rPr>
              <w:t>规模</w:t>
            </w:r>
          </w:p>
        </w:tc>
        <w:tc>
          <w:tcPr>
            <w:tcW w:w="1521" w:type="dxa"/>
            <w:vAlign w:val="top"/>
          </w:tcPr>
          <w:p w14:paraId="2C708DFA">
            <w:pPr>
              <w:pStyle w:val="43"/>
              <w:spacing w:line="302" w:lineRule="auto"/>
            </w:pPr>
          </w:p>
          <w:p w14:paraId="2925D895">
            <w:pPr>
              <w:spacing w:before="78" w:line="220" w:lineRule="auto"/>
              <w:ind w:left="548"/>
              <w:rPr>
                <w:rFonts w:ascii="宋体" w:hAnsi="宋体" w:eastAsia="宋体" w:cs="宋体"/>
                <w:sz w:val="24"/>
                <w:szCs w:val="24"/>
              </w:rPr>
            </w:pPr>
            <w:r>
              <w:rPr>
                <w:rFonts w:ascii="宋体" w:hAnsi="宋体" w:eastAsia="宋体" w:cs="宋体"/>
                <w:b/>
                <w:bCs/>
                <w:spacing w:val="-10"/>
                <w:sz w:val="24"/>
                <w:szCs w:val="24"/>
              </w:rPr>
              <w:t>品牌</w:t>
            </w:r>
          </w:p>
        </w:tc>
        <w:tc>
          <w:tcPr>
            <w:tcW w:w="1521" w:type="dxa"/>
            <w:vAlign w:val="top"/>
          </w:tcPr>
          <w:p w14:paraId="614E59ED">
            <w:pPr>
              <w:pStyle w:val="43"/>
              <w:spacing w:line="302" w:lineRule="auto"/>
            </w:pPr>
          </w:p>
          <w:p w14:paraId="40E7C51D">
            <w:pPr>
              <w:spacing w:before="78" w:line="220" w:lineRule="auto"/>
              <w:ind w:left="117"/>
              <w:rPr>
                <w:rFonts w:ascii="宋体" w:hAnsi="宋体" w:eastAsia="宋体" w:cs="宋体"/>
                <w:sz w:val="24"/>
                <w:szCs w:val="24"/>
              </w:rPr>
            </w:pPr>
            <w:r>
              <w:rPr>
                <w:rFonts w:ascii="宋体" w:hAnsi="宋体" w:eastAsia="宋体" w:cs="宋体"/>
                <w:b/>
                <w:bCs/>
                <w:spacing w:val="-4"/>
                <w:sz w:val="24"/>
                <w:szCs w:val="24"/>
              </w:rPr>
              <w:t>规格、型号</w:t>
            </w:r>
          </w:p>
        </w:tc>
        <w:tc>
          <w:tcPr>
            <w:tcW w:w="1243" w:type="dxa"/>
            <w:vAlign w:val="top"/>
          </w:tcPr>
          <w:p w14:paraId="23F60020">
            <w:pPr>
              <w:pStyle w:val="43"/>
              <w:spacing w:line="302" w:lineRule="auto"/>
            </w:pPr>
          </w:p>
          <w:p w14:paraId="12B368D6">
            <w:pPr>
              <w:spacing w:before="78" w:line="219" w:lineRule="auto"/>
              <w:jc w:val="right"/>
              <w:rPr>
                <w:rFonts w:ascii="宋体" w:hAnsi="宋体" w:eastAsia="宋体" w:cs="宋体"/>
                <w:sz w:val="24"/>
                <w:szCs w:val="24"/>
              </w:rPr>
            </w:pPr>
            <w:r>
              <w:rPr>
                <w:rFonts w:ascii="宋体" w:hAnsi="宋体" w:eastAsia="宋体" w:cs="宋体"/>
                <w:b/>
                <w:bCs/>
                <w:spacing w:val="-19"/>
                <w:sz w:val="24"/>
                <w:szCs w:val="24"/>
              </w:rPr>
              <w:t>单价（元）</w:t>
            </w:r>
          </w:p>
        </w:tc>
        <w:tc>
          <w:tcPr>
            <w:tcW w:w="1007" w:type="dxa"/>
            <w:vAlign w:val="top"/>
          </w:tcPr>
          <w:p w14:paraId="764253D5">
            <w:pPr>
              <w:pStyle w:val="43"/>
              <w:spacing w:line="302" w:lineRule="auto"/>
            </w:pPr>
          </w:p>
          <w:p w14:paraId="26C44C91">
            <w:pPr>
              <w:spacing w:before="78" w:line="220" w:lineRule="auto"/>
              <w:ind w:left="119"/>
              <w:rPr>
                <w:rFonts w:ascii="宋体" w:hAnsi="宋体" w:eastAsia="宋体" w:cs="宋体"/>
                <w:sz w:val="24"/>
                <w:szCs w:val="24"/>
              </w:rPr>
            </w:pPr>
            <w:r>
              <w:rPr>
                <w:rFonts w:ascii="宋体" w:hAnsi="宋体" w:eastAsia="宋体" w:cs="宋体"/>
                <w:b/>
                <w:bCs/>
                <w:spacing w:val="-6"/>
                <w:sz w:val="24"/>
                <w:szCs w:val="24"/>
              </w:rPr>
              <w:t>数量</w:t>
            </w:r>
          </w:p>
        </w:tc>
        <w:tc>
          <w:tcPr>
            <w:tcW w:w="1254" w:type="dxa"/>
            <w:vAlign w:val="top"/>
          </w:tcPr>
          <w:p w14:paraId="43539FBC">
            <w:pPr>
              <w:pStyle w:val="43"/>
              <w:spacing w:line="302" w:lineRule="auto"/>
            </w:pPr>
          </w:p>
          <w:p w14:paraId="748B0924">
            <w:pPr>
              <w:spacing w:before="78" w:line="219" w:lineRule="auto"/>
              <w:jc w:val="right"/>
              <w:rPr>
                <w:rFonts w:ascii="宋体" w:hAnsi="宋体" w:eastAsia="宋体" w:cs="宋体"/>
                <w:sz w:val="24"/>
                <w:szCs w:val="24"/>
              </w:rPr>
            </w:pPr>
            <w:r>
              <w:rPr>
                <w:rFonts w:ascii="宋体" w:hAnsi="宋体" w:eastAsia="宋体" w:cs="宋体"/>
                <w:b/>
                <w:bCs/>
                <w:spacing w:val="-18"/>
                <w:sz w:val="24"/>
                <w:szCs w:val="24"/>
              </w:rPr>
              <w:t>合价（元）</w:t>
            </w:r>
          </w:p>
        </w:tc>
      </w:tr>
      <w:tr w14:paraId="09C9E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07" w:type="dxa"/>
            <w:vAlign w:val="top"/>
          </w:tcPr>
          <w:p w14:paraId="75BD8BE7">
            <w:pPr>
              <w:pStyle w:val="43"/>
              <w:spacing w:before="46" w:line="198" w:lineRule="auto"/>
              <w:ind w:left="134"/>
              <w:rPr>
                <w:sz w:val="24"/>
                <w:szCs w:val="24"/>
              </w:rPr>
            </w:pPr>
            <w:r>
              <w:rPr>
                <w:sz w:val="24"/>
                <w:szCs w:val="24"/>
              </w:rPr>
              <w:t>1</w:t>
            </w:r>
          </w:p>
        </w:tc>
        <w:tc>
          <w:tcPr>
            <w:tcW w:w="1276" w:type="dxa"/>
            <w:vAlign w:val="top"/>
          </w:tcPr>
          <w:p w14:paraId="665E30E7">
            <w:pPr>
              <w:pStyle w:val="43"/>
            </w:pPr>
          </w:p>
        </w:tc>
        <w:tc>
          <w:tcPr>
            <w:tcW w:w="1608" w:type="dxa"/>
            <w:vAlign w:val="top"/>
          </w:tcPr>
          <w:p w14:paraId="668C8B52">
            <w:pPr>
              <w:pStyle w:val="43"/>
            </w:pPr>
          </w:p>
        </w:tc>
        <w:tc>
          <w:tcPr>
            <w:tcW w:w="1146" w:type="dxa"/>
            <w:vAlign w:val="top"/>
          </w:tcPr>
          <w:p w14:paraId="1CF0E87E">
            <w:pPr>
              <w:pStyle w:val="43"/>
            </w:pPr>
          </w:p>
        </w:tc>
        <w:tc>
          <w:tcPr>
            <w:tcW w:w="1521" w:type="dxa"/>
            <w:vAlign w:val="top"/>
          </w:tcPr>
          <w:p w14:paraId="3CE7D234">
            <w:pPr>
              <w:pStyle w:val="43"/>
            </w:pPr>
          </w:p>
        </w:tc>
        <w:tc>
          <w:tcPr>
            <w:tcW w:w="1521" w:type="dxa"/>
            <w:vAlign w:val="top"/>
          </w:tcPr>
          <w:p w14:paraId="1CE41BDD">
            <w:pPr>
              <w:pStyle w:val="43"/>
            </w:pPr>
          </w:p>
        </w:tc>
        <w:tc>
          <w:tcPr>
            <w:tcW w:w="1521" w:type="dxa"/>
            <w:vAlign w:val="top"/>
          </w:tcPr>
          <w:p w14:paraId="6307A61B">
            <w:pPr>
              <w:pStyle w:val="43"/>
            </w:pPr>
          </w:p>
        </w:tc>
        <w:tc>
          <w:tcPr>
            <w:tcW w:w="1521" w:type="dxa"/>
            <w:vAlign w:val="top"/>
          </w:tcPr>
          <w:p w14:paraId="162061CD">
            <w:pPr>
              <w:pStyle w:val="43"/>
            </w:pPr>
          </w:p>
        </w:tc>
        <w:tc>
          <w:tcPr>
            <w:tcW w:w="1243" w:type="dxa"/>
            <w:vAlign w:val="top"/>
          </w:tcPr>
          <w:p w14:paraId="73EEA494">
            <w:pPr>
              <w:pStyle w:val="43"/>
            </w:pPr>
          </w:p>
        </w:tc>
        <w:tc>
          <w:tcPr>
            <w:tcW w:w="1007" w:type="dxa"/>
            <w:vAlign w:val="top"/>
          </w:tcPr>
          <w:p w14:paraId="414F683A">
            <w:pPr>
              <w:pStyle w:val="43"/>
            </w:pPr>
          </w:p>
        </w:tc>
        <w:tc>
          <w:tcPr>
            <w:tcW w:w="1254" w:type="dxa"/>
            <w:vAlign w:val="top"/>
          </w:tcPr>
          <w:p w14:paraId="1B8AD85A">
            <w:pPr>
              <w:pStyle w:val="43"/>
            </w:pPr>
          </w:p>
        </w:tc>
      </w:tr>
      <w:tr w14:paraId="2605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7" w:type="dxa"/>
            <w:vAlign w:val="top"/>
          </w:tcPr>
          <w:p w14:paraId="6C2DA681">
            <w:pPr>
              <w:pStyle w:val="43"/>
              <w:spacing w:before="44" w:line="199" w:lineRule="auto"/>
              <w:ind w:left="125"/>
              <w:rPr>
                <w:sz w:val="24"/>
                <w:szCs w:val="24"/>
              </w:rPr>
            </w:pPr>
            <w:r>
              <w:rPr>
                <w:spacing w:val="1"/>
                <w:sz w:val="24"/>
                <w:szCs w:val="24"/>
              </w:rPr>
              <w:t>2</w:t>
            </w:r>
          </w:p>
        </w:tc>
        <w:tc>
          <w:tcPr>
            <w:tcW w:w="1276" w:type="dxa"/>
            <w:vAlign w:val="top"/>
          </w:tcPr>
          <w:p w14:paraId="2AA596B3">
            <w:pPr>
              <w:pStyle w:val="43"/>
            </w:pPr>
          </w:p>
        </w:tc>
        <w:tc>
          <w:tcPr>
            <w:tcW w:w="1608" w:type="dxa"/>
            <w:vAlign w:val="top"/>
          </w:tcPr>
          <w:p w14:paraId="15523DC2">
            <w:pPr>
              <w:pStyle w:val="43"/>
            </w:pPr>
          </w:p>
        </w:tc>
        <w:tc>
          <w:tcPr>
            <w:tcW w:w="1146" w:type="dxa"/>
            <w:vAlign w:val="top"/>
          </w:tcPr>
          <w:p w14:paraId="539BC574">
            <w:pPr>
              <w:pStyle w:val="43"/>
            </w:pPr>
          </w:p>
        </w:tc>
        <w:tc>
          <w:tcPr>
            <w:tcW w:w="1521" w:type="dxa"/>
            <w:vAlign w:val="top"/>
          </w:tcPr>
          <w:p w14:paraId="39545E38">
            <w:pPr>
              <w:pStyle w:val="43"/>
            </w:pPr>
          </w:p>
        </w:tc>
        <w:tc>
          <w:tcPr>
            <w:tcW w:w="1521" w:type="dxa"/>
            <w:vAlign w:val="top"/>
          </w:tcPr>
          <w:p w14:paraId="62F1BEEF">
            <w:pPr>
              <w:pStyle w:val="43"/>
            </w:pPr>
          </w:p>
        </w:tc>
        <w:tc>
          <w:tcPr>
            <w:tcW w:w="1521" w:type="dxa"/>
            <w:vAlign w:val="top"/>
          </w:tcPr>
          <w:p w14:paraId="1100FC1A">
            <w:pPr>
              <w:pStyle w:val="43"/>
            </w:pPr>
          </w:p>
        </w:tc>
        <w:tc>
          <w:tcPr>
            <w:tcW w:w="1521" w:type="dxa"/>
            <w:vAlign w:val="top"/>
          </w:tcPr>
          <w:p w14:paraId="6B0056CD">
            <w:pPr>
              <w:pStyle w:val="43"/>
            </w:pPr>
          </w:p>
        </w:tc>
        <w:tc>
          <w:tcPr>
            <w:tcW w:w="1243" w:type="dxa"/>
            <w:vAlign w:val="top"/>
          </w:tcPr>
          <w:p w14:paraId="6F812667">
            <w:pPr>
              <w:pStyle w:val="43"/>
            </w:pPr>
          </w:p>
        </w:tc>
        <w:tc>
          <w:tcPr>
            <w:tcW w:w="1007" w:type="dxa"/>
            <w:vAlign w:val="top"/>
          </w:tcPr>
          <w:p w14:paraId="274EC013">
            <w:pPr>
              <w:pStyle w:val="43"/>
            </w:pPr>
          </w:p>
        </w:tc>
        <w:tc>
          <w:tcPr>
            <w:tcW w:w="1254" w:type="dxa"/>
            <w:vAlign w:val="top"/>
          </w:tcPr>
          <w:p w14:paraId="370E2CD7">
            <w:pPr>
              <w:pStyle w:val="43"/>
            </w:pPr>
          </w:p>
        </w:tc>
      </w:tr>
      <w:tr w14:paraId="68A7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07" w:type="dxa"/>
            <w:vAlign w:val="top"/>
          </w:tcPr>
          <w:p w14:paraId="6427BEF7">
            <w:pPr>
              <w:pStyle w:val="43"/>
              <w:spacing w:before="46" w:line="198" w:lineRule="auto"/>
              <w:ind w:left="126"/>
              <w:rPr>
                <w:sz w:val="24"/>
                <w:szCs w:val="24"/>
              </w:rPr>
            </w:pPr>
            <w:r>
              <w:rPr>
                <w:sz w:val="24"/>
                <w:szCs w:val="24"/>
              </w:rPr>
              <w:t>3</w:t>
            </w:r>
          </w:p>
        </w:tc>
        <w:tc>
          <w:tcPr>
            <w:tcW w:w="1276" w:type="dxa"/>
            <w:vAlign w:val="top"/>
          </w:tcPr>
          <w:p w14:paraId="34D1E0D8">
            <w:pPr>
              <w:pStyle w:val="43"/>
            </w:pPr>
          </w:p>
        </w:tc>
        <w:tc>
          <w:tcPr>
            <w:tcW w:w="1608" w:type="dxa"/>
            <w:vAlign w:val="top"/>
          </w:tcPr>
          <w:p w14:paraId="2BD886AD">
            <w:pPr>
              <w:pStyle w:val="43"/>
            </w:pPr>
          </w:p>
        </w:tc>
        <w:tc>
          <w:tcPr>
            <w:tcW w:w="1146" w:type="dxa"/>
            <w:vAlign w:val="top"/>
          </w:tcPr>
          <w:p w14:paraId="6DE7866A">
            <w:pPr>
              <w:pStyle w:val="43"/>
            </w:pPr>
          </w:p>
        </w:tc>
        <w:tc>
          <w:tcPr>
            <w:tcW w:w="1521" w:type="dxa"/>
            <w:vAlign w:val="top"/>
          </w:tcPr>
          <w:p w14:paraId="0652165F">
            <w:pPr>
              <w:pStyle w:val="43"/>
            </w:pPr>
          </w:p>
        </w:tc>
        <w:tc>
          <w:tcPr>
            <w:tcW w:w="1521" w:type="dxa"/>
            <w:vAlign w:val="top"/>
          </w:tcPr>
          <w:p w14:paraId="28E60A03">
            <w:pPr>
              <w:pStyle w:val="43"/>
            </w:pPr>
          </w:p>
        </w:tc>
        <w:tc>
          <w:tcPr>
            <w:tcW w:w="1521" w:type="dxa"/>
            <w:vAlign w:val="top"/>
          </w:tcPr>
          <w:p w14:paraId="550265BA">
            <w:pPr>
              <w:pStyle w:val="43"/>
            </w:pPr>
          </w:p>
        </w:tc>
        <w:tc>
          <w:tcPr>
            <w:tcW w:w="1521" w:type="dxa"/>
            <w:vAlign w:val="top"/>
          </w:tcPr>
          <w:p w14:paraId="24811279">
            <w:pPr>
              <w:pStyle w:val="43"/>
            </w:pPr>
          </w:p>
        </w:tc>
        <w:tc>
          <w:tcPr>
            <w:tcW w:w="1243" w:type="dxa"/>
            <w:vAlign w:val="top"/>
          </w:tcPr>
          <w:p w14:paraId="33FA3994">
            <w:pPr>
              <w:pStyle w:val="43"/>
            </w:pPr>
          </w:p>
        </w:tc>
        <w:tc>
          <w:tcPr>
            <w:tcW w:w="1007" w:type="dxa"/>
            <w:vAlign w:val="top"/>
          </w:tcPr>
          <w:p w14:paraId="660AD152">
            <w:pPr>
              <w:pStyle w:val="43"/>
            </w:pPr>
          </w:p>
        </w:tc>
        <w:tc>
          <w:tcPr>
            <w:tcW w:w="1254" w:type="dxa"/>
            <w:vAlign w:val="top"/>
          </w:tcPr>
          <w:p w14:paraId="603ECADC">
            <w:pPr>
              <w:pStyle w:val="43"/>
            </w:pPr>
          </w:p>
        </w:tc>
      </w:tr>
      <w:tr w14:paraId="37B5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07" w:type="dxa"/>
            <w:vAlign w:val="top"/>
          </w:tcPr>
          <w:p w14:paraId="63645DEA">
            <w:pPr>
              <w:pStyle w:val="43"/>
              <w:spacing w:before="48" w:line="197" w:lineRule="auto"/>
              <w:ind w:left="119"/>
              <w:rPr>
                <w:sz w:val="24"/>
                <w:szCs w:val="24"/>
              </w:rPr>
            </w:pPr>
            <w:r>
              <w:rPr>
                <w:spacing w:val="7"/>
                <w:sz w:val="24"/>
                <w:szCs w:val="24"/>
              </w:rPr>
              <w:t>4</w:t>
            </w:r>
          </w:p>
        </w:tc>
        <w:tc>
          <w:tcPr>
            <w:tcW w:w="1276" w:type="dxa"/>
            <w:vAlign w:val="top"/>
          </w:tcPr>
          <w:p w14:paraId="22FA61A3">
            <w:pPr>
              <w:pStyle w:val="43"/>
            </w:pPr>
          </w:p>
        </w:tc>
        <w:tc>
          <w:tcPr>
            <w:tcW w:w="1608" w:type="dxa"/>
            <w:vAlign w:val="top"/>
          </w:tcPr>
          <w:p w14:paraId="72F3ACE9">
            <w:pPr>
              <w:pStyle w:val="43"/>
            </w:pPr>
          </w:p>
        </w:tc>
        <w:tc>
          <w:tcPr>
            <w:tcW w:w="1146" w:type="dxa"/>
            <w:vAlign w:val="top"/>
          </w:tcPr>
          <w:p w14:paraId="790772D8">
            <w:pPr>
              <w:pStyle w:val="43"/>
            </w:pPr>
          </w:p>
        </w:tc>
        <w:tc>
          <w:tcPr>
            <w:tcW w:w="1521" w:type="dxa"/>
            <w:vAlign w:val="top"/>
          </w:tcPr>
          <w:p w14:paraId="334C2111">
            <w:pPr>
              <w:pStyle w:val="43"/>
            </w:pPr>
          </w:p>
        </w:tc>
        <w:tc>
          <w:tcPr>
            <w:tcW w:w="1521" w:type="dxa"/>
            <w:vAlign w:val="top"/>
          </w:tcPr>
          <w:p w14:paraId="48F13124">
            <w:pPr>
              <w:pStyle w:val="43"/>
            </w:pPr>
          </w:p>
        </w:tc>
        <w:tc>
          <w:tcPr>
            <w:tcW w:w="1521" w:type="dxa"/>
            <w:vAlign w:val="top"/>
          </w:tcPr>
          <w:p w14:paraId="630E163F">
            <w:pPr>
              <w:pStyle w:val="43"/>
            </w:pPr>
          </w:p>
        </w:tc>
        <w:tc>
          <w:tcPr>
            <w:tcW w:w="1521" w:type="dxa"/>
            <w:vAlign w:val="top"/>
          </w:tcPr>
          <w:p w14:paraId="1A64D642">
            <w:pPr>
              <w:pStyle w:val="43"/>
            </w:pPr>
          </w:p>
        </w:tc>
        <w:tc>
          <w:tcPr>
            <w:tcW w:w="1243" w:type="dxa"/>
            <w:vAlign w:val="top"/>
          </w:tcPr>
          <w:p w14:paraId="3DC1D33D">
            <w:pPr>
              <w:pStyle w:val="43"/>
            </w:pPr>
          </w:p>
        </w:tc>
        <w:tc>
          <w:tcPr>
            <w:tcW w:w="1007" w:type="dxa"/>
            <w:vAlign w:val="top"/>
          </w:tcPr>
          <w:p w14:paraId="18DDAF99">
            <w:pPr>
              <w:pStyle w:val="43"/>
            </w:pPr>
          </w:p>
        </w:tc>
        <w:tc>
          <w:tcPr>
            <w:tcW w:w="1254" w:type="dxa"/>
            <w:vAlign w:val="top"/>
          </w:tcPr>
          <w:p w14:paraId="55772BBB">
            <w:pPr>
              <w:pStyle w:val="43"/>
            </w:pPr>
          </w:p>
        </w:tc>
      </w:tr>
      <w:tr w14:paraId="46E5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7" w:type="dxa"/>
            <w:vAlign w:val="top"/>
          </w:tcPr>
          <w:p w14:paraId="283F83DF">
            <w:pPr>
              <w:pStyle w:val="43"/>
              <w:spacing w:before="196" w:line="76" w:lineRule="exact"/>
              <w:ind w:left="135"/>
              <w:rPr>
                <w:sz w:val="24"/>
                <w:szCs w:val="24"/>
              </w:rPr>
            </w:pPr>
            <w:r>
              <w:rPr>
                <w:position w:val="1"/>
                <w:sz w:val="24"/>
                <w:szCs w:val="24"/>
              </w:rPr>
              <w:t>…</w:t>
            </w:r>
          </w:p>
        </w:tc>
        <w:tc>
          <w:tcPr>
            <w:tcW w:w="1276" w:type="dxa"/>
            <w:vAlign w:val="top"/>
          </w:tcPr>
          <w:p w14:paraId="5F78CF3A">
            <w:pPr>
              <w:pStyle w:val="43"/>
            </w:pPr>
          </w:p>
        </w:tc>
        <w:tc>
          <w:tcPr>
            <w:tcW w:w="1608" w:type="dxa"/>
            <w:vAlign w:val="top"/>
          </w:tcPr>
          <w:p w14:paraId="2F180AEE">
            <w:pPr>
              <w:pStyle w:val="43"/>
            </w:pPr>
          </w:p>
        </w:tc>
        <w:tc>
          <w:tcPr>
            <w:tcW w:w="1146" w:type="dxa"/>
            <w:vAlign w:val="top"/>
          </w:tcPr>
          <w:p w14:paraId="5C71C972">
            <w:pPr>
              <w:pStyle w:val="43"/>
            </w:pPr>
          </w:p>
        </w:tc>
        <w:tc>
          <w:tcPr>
            <w:tcW w:w="1521" w:type="dxa"/>
            <w:vAlign w:val="top"/>
          </w:tcPr>
          <w:p w14:paraId="68290342">
            <w:pPr>
              <w:pStyle w:val="43"/>
            </w:pPr>
          </w:p>
        </w:tc>
        <w:tc>
          <w:tcPr>
            <w:tcW w:w="1521" w:type="dxa"/>
            <w:vAlign w:val="top"/>
          </w:tcPr>
          <w:p w14:paraId="106FBAA7">
            <w:pPr>
              <w:pStyle w:val="43"/>
            </w:pPr>
          </w:p>
        </w:tc>
        <w:tc>
          <w:tcPr>
            <w:tcW w:w="1521" w:type="dxa"/>
            <w:vAlign w:val="top"/>
          </w:tcPr>
          <w:p w14:paraId="11DD8AC7">
            <w:pPr>
              <w:pStyle w:val="43"/>
            </w:pPr>
          </w:p>
        </w:tc>
        <w:tc>
          <w:tcPr>
            <w:tcW w:w="1521" w:type="dxa"/>
            <w:vAlign w:val="top"/>
          </w:tcPr>
          <w:p w14:paraId="0A41772A">
            <w:pPr>
              <w:pStyle w:val="43"/>
            </w:pPr>
          </w:p>
        </w:tc>
        <w:tc>
          <w:tcPr>
            <w:tcW w:w="1243" w:type="dxa"/>
            <w:vAlign w:val="top"/>
          </w:tcPr>
          <w:p w14:paraId="2426D252">
            <w:pPr>
              <w:pStyle w:val="43"/>
            </w:pPr>
          </w:p>
        </w:tc>
        <w:tc>
          <w:tcPr>
            <w:tcW w:w="1007" w:type="dxa"/>
            <w:vAlign w:val="top"/>
          </w:tcPr>
          <w:p w14:paraId="5332C202">
            <w:pPr>
              <w:pStyle w:val="43"/>
            </w:pPr>
          </w:p>
        </w:tc>
        <w:tc>
          <w:tcPr>
            <w:tcW w:w="1254" w:type="dxa"/>
            <w:vAlign w:val="top"/>
          </w:tcPr>
          <w:p w14:paraId="33D3B647">
            <w:pPr>
              <w:pStyle w:val="43"/>
            </w:pPr>
          </w:p>
        </w:tc>
      </w:tr>
      <w:tr w14:paraId="02BC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2971" w:type="dxa"/>
            <w:gridSpan w:val="10"/>
            <w:vAlign w:val="top"/>
          </w:tcPr>
          <w:p w14:paraId="0510D372">
            <w:pPr>
              <w:spacing w:before="42" w:line="206" w:lineRule="auto"/>
              <w:ind w:left="11673"/>
              <w:rPr>
                <w:rFonts w:ascii="宋体" w:hAnsi="宋体" w:eastAsia="宋体" w:cs="宋体"/>
                <w:sz w:val="24"/>
                <w:szCs w:val="24"/>
              </w:rPr>
            </w:pPr>
            <w:r>
              <w:rPr>
                <w:rFonts w:ascii="宋体" w:hAnsi="宋体" w:eastAsia="宋体" w:cs="宋体"/>
                <w:b/>
                <w:bCs/>
                <w:spacing w:val="-7"/>
                <w:sz w:val="24"/>
                <w:szCs w:val="24"/>
              </w:rPr>
              <w:t>总价（元）</w:t>
            </w:r>
          </w:p>
        </w:tc>
        <w:tc>
          <w:tcPr>
            <w:tcW w:w="1254" w:type="dxa"/>
            <w:vAlign w:val="top"/>
          </w:tcPr>
          <w:p w14:paraId="7649D935">
            <w:pPr>
              <w:pStyle w:val="43"/>
            </w:pPr>
          </w:p>
        </w:tc>
      </w:tr>
    </w:tbl>
    <w:p w14:paraId="6A1496FF">
      <w:pPr>
        <w:pStyle w:val="10"/>
        <w:spacing w:before="275" w:line="212" w:lineRule="auto"/>
        <w:ind w:left="151"/>
        <w:rPr>
          <w:sz w:val="25"/>
          <w:szCs w:val="25"/>
        </w:rPr>
        <w:sectPr>
          <w:footerReference r:id="rId8" w:type="default"/>
          <w:pgSz w:w="16840" w:h="11907"/>
          <w:pgMar w:top="1165" w:right="1304" w:bottom="1059" w:left="1305" w:header="830" w:footer="885" w:gutter="0"/>
          <w:pgNumType w:fmt="decimal"/>
          <w:cols w:space="720" w:num="1"/>
        </w:sectPr>
      </w:pPr>
      <w:r>
        <w:rPr>
          <w:b/>
          <w:bCs/>
          <w:i/>
          <w:iCs/>
          <w:color w:val="FF0000"/>
          <w:spacing w:val="-14"/>
          <w:sz w:val="25"/>
          <w:szCs w:val="25"/>
        </w:rPr>
        <w:t>说明：制造商规模请填写</w:t>
      </w:r>
      <w:r>
        <w:rPr>
          <w:color w:val="FF0000"/>
          <w:spacing w:val="-7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中型</w:t>
      </w:r>
      <w:r>
        <w:rPr>
          <w:color w:val="FF0000"/>
          <w:spacing w:val="-8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小型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微型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或</w:t>
      </w:r>
      <w:r>
        <w:rPr>
          <w:color w:val="FF0000"/>
          <w:spacing w:val="-82"/>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其他</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，中小企业的定义见第二章《投标人须知》</w:t>
      </w:r>
    </w:p>
    <w:p w14:paraId="73E745E1">
      <w:pPr>
        <w:pStyle w:val="10"/>
        <w:spacing w:before="287" w:line="220" w:lineRule="auto"/>
        <w:ind w:left="131"/>
        <w:rPr>
          <w:sz w:val="24"/>
          <w:szCs w:val="24"/>
        </w:rPr>
      </w:pPr>
      <w:r>
        <w:rPr>
          <w:rFonts w:ascii="Arial" w:hAnsi="Arial" w:eastAsia="Arial" w:cs="Arial"/>
          <w:spacing w:val="-1"/>
          <w:sz w:val="24"/>
          <w:szCs w:val="24"/>
        </w:rPr>
        <w:t xml:space="preserve">5   </w:t>
      </w:r>
      <w:r>
        <w:rPr>
          <w:spacing w:val="-1"/>
          <w:sz w:val="24"/>
          <w:szCs w:val="24"/>
        </w:rPr>
        <w:t>合同条款偏离表（实质性格式）</w:t>
      </w:r>
    </w:p>
    <w:p w14:paraId="0288C61D">
      <w:pPr>
        <w:spacing w:line="248" w:lineRule="auto"/>
        <w:rPr>
          <w:rFonts w:ascii="Arial"/>
          <w:sz w:val="21"/>
        </w:rPr>
      </w:pPr>
    </w:p>
    <w:p w14:paraId="0C13954D">
      <w:pPr>
        <w:spacing w:line="248" w:lineRule="auto"/>
        <w:rPr>
          <w:rFonts w:ascii="Arial"/>
          <w:sz w:val="21"/>
        </w:rPr>
      </w:pPr>
    </w:p>
    <w:p w14:paraId="0CE1E79C">
      <w:pPr>
        <w:pStyle w:val="10"/>
        <w:spacing w:before="117" w:line="220" w:lineRule="auto"/>
        <w:ind w:left="3400"/>
        <w:rPr>
          <w:sz w:val="36"/>
          <w:szCs w:val="36"/>
        </w:rPr>
      </w:pPr>
      <w:r>
        <w:rPr>
          <w:b/>
          <w:bCs/>
          <w:spacing w:val="-5"/>
          <w:sz w:val="36"/>
          <w:szCs w:val="36"/>
        </w:rPr>
        <w:t>合同条款偏离表</w:t>
      </w:r>
    </w:p>
    <w:p w14:paraId="6C286AB1">
      <w:pPr>
        <w:spacing w:line="296" w:lineRule="auto"/>
        <w:rPr>
          <w:rFonts w:ascii="Arial"/>
          <w:sz w:val="21"/>
        </w:rPr>
      </w:pPr>
    </w:p>
    <w:p w14:paraId="21EB2207">
      <w:pPr>
        <w:spacing w:line="297" w:lineRule="auto"/>
        <w:rPr>
          <w:rFonts w:ascii="Arial"/>
          <w:sz w:val="21"/>
        </w:rPr>
      </w:pPr>
    </w:p>
    <w:p w14:paraId="6569B3ED">
      <w:pPr>
        <w:pStyle w:val="10"/>
        <w:spacing w:before="78" w:line="217" w:lineRule="auto"/>
        <w:ind w:left="486"/>
        <w:rPr>
          <w:rFonts w:ascii="Arial" w:hAnsi="Arial" w:eastAsia="Arial" w:cs="Arial"/>
          <w:sz w:val="24"/>
          <w:szCs w:val="24"/>
        </w:rPr>
      </w:pPr>
      <w:r>
        <w:rPr>
          <w:spacing w:val="-1"/>
          <w:sz w:val="24"/>
          <w:szCs w:val="24"/>
        </w:rPr>
        <w:t>项目编号</w:t>
      </w:r>
      <w:r>
        <w:rPr>
          <w:rFonts w:ascii="Arial" w:hAnsi="Arial" w:eastAsia="Arial" w:cs="Arial"/>
          <w:spacing w:val="-1"/>
          <w:sz w:val="24"/>
          <w:szCs w:val="24"/>
        </w:rPr>
        <w:t>/</w:t>
      </w:r>
      <w:r>
        <w:rPr>
          <w:spacing w:val="-1"/>
          <w:sz w:val="24"/>
          <w:szCs w:val="24"/>
        </w:rPr>
        <w:t>包号：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____________</w:t>
      </w:r>
    </w:p>
    <w:p w14:paraId="5921CBF1">
      <w:pPr>
        <w:spacing w:line="147" w:lineRule="exact"/>
      </w:pPr>
    </w:p>
    <w:tbl>
      <w:tblPr>
        <w:tblStyle w:val="40"/>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D5F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59932C62">
            <w:pPr>
              <w:pStyle w:val="43"/>
              <w:spacing w:line="270" w:lineRule="auto"/>
            </w:pPr>
          </w:p>
          <w:p w14:paraId="69F200B3">
            <w:pPr>
              <w:spacing w:before="78" w:line="222" w:lineRule="auto"/>
              <w:ind w:left="344"/>
              <w:rPr>
                <w:rFonts w:ascii="宋体" w:hAnsi="宋体" w:eastAsia="宋体" w:cs="宋体"/>
                <w:sz w:val="24"/>
                <w:szCs w:val="24"/>
              </w:rPr>
            </w:pPr>
            <w:r>
              <w:rPr>
                <w:rFonts w:ascii="宋体" w:hAnsi="宋体" w:eastAsia="宋体" w:cs="宋体"/>
                <w:spacing w:val="-3"/>
                <w:sz w:val="24"/>
                <w:szCs w:val="24"/>
              </w:rPr>
              <w:t>序号</w:t>
            </w:r>
          </w:p>
        </w:tc>
        <w:tc>
          <w:tcPr>
            <w:tcW w:w="1771" w:type="dxa"/>
            <w:vAlign w:val="top"/>
          </w:tcPr>
          <w:p w14:paraId="7036EF22">
            <w:pPr>
              <w:spacing w:before="193" w:line="243" w:lineRule="auto"/>
              <w:ind w:left="296" w:right="163" w:hanging="124"/>
              <w:rPr>
                <w:rFonts w:ascii="宋体" w:hAnsi="宋体" w:eastAsia="宋体" w:cs="宋体"/>
                <w:sz w:val="24"/>
                <w:szCs w:val="24"/>
              </w:rPr>
            </w:pPr>
            <w:r>
              <w:rPr>
                <w:rFonts w:ascii="宋体" w:hAnsi="宋体" w:eastAsia="宋体" w:cs="宋体"/>
                <w:spacing w:val="-2"/>
                <w:sz w:val="24"/>
                <w:szCs w:val="24"/>
              </w:rPr>
              <w:t>招标文件条目</w:t>
            </w:r>
            <w:r>
              <w:rPr>
                <w:rFonts w:ascii="宋体" w:hAnsi="宋体" w:eastAsia="宋体" w:cs="宋体"/>
                <w:sz w:val="24"/>
                <w:szCs w:val="24"/>
              </w:rPr>
              <w:t xml:space="preserve"> </w:t>
            </w:r>
            <w:r>
              <w:rPr>
                <w:rFonts w:ascii="宋体" w:hAnsi="宋体" w:eastAsia="宋体" w:cs="宋体"/>
                <w:spacing w:val="-5"/>
                <w:sz w:val="24"/>
                <w:szCs w:val="24"/>
              </w:rPr>
              <w:t>号（页码）</w:t>
            </w:r>
          </w:p>
        </w:tc>
        <w:tc>
          <w:tcPr>
            <w:tcW w:w="1675" w:type="dxa"/>
            <w:vAlign w:val="top"/>
          </w:tcPr>
          <w:p w14:paraId="791DF37C">
            <w:pPr>
              <w:pStyle w:val="43"/>
              <w:spacing w:line="270" w:lineRule="auto"/>
            </w:pPr>
          </w:p>
          <w:p w14:paraId="4DD9C822">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招标文件要求</w:t>
            </w:r>
          </w:p>
        </w:tc>
        <w:tc>
          <w:tcPr>
            <w:tcW w:w="1675" w:type="dxa"/>
            <w:vAlign w:val="top"/>
          </w:tcPr>
          <w:p w14:paraId="306ED6BD">
            <w:pPr>
              <w:pStyle w:val="43"/>
              <w:spacing w:line="270" w:lineRule="auto"/>
            </w:pPr>
          </w:p>
          <w:p w14:paraId="557E1EB8">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投标文件内容</w:t>
            </w:r>
          </w:p>
        </w:tc>
        <w:tc>
          <w:tcPr>
            <w:tcW w:w="1876" w:type="dxa"/>
            <w:vAlign w:val="top"/>
          </w:tcPr>
          <w:p w14:paraId="196B11C9">
            <w:pPr>
              <w:pStyle w:val="43"/>
              <w:spacing w:line="270" w:lineRule="auto"/>
            </w:pPr>
          </w:p>
          <w:p w14:paraId="18242308">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138" w:type="dxa"/>
            <w:vAlign w:val="top"/>
          </w:tcPr>
          <w:p w14:paraId="47262123">
            <w:pPr>
              <w:pStyle w:val="43"/>
              <w:spacing w:line="270" w:lineRule="auto"/>
            </w:pPr>
          </w:p>
          <w:p w14:paraId="49A93D37">
            <w:pPr>
              <w:spacing w:before="78" w:line="220" w:lineRule="auto"/>
              <w:ind w:left="336"/>
              <w:rPr>
                <w:rFonts w:ascii="宋体" w:hAnsi="宋体" w:eastAsia="宋体" w:cs="宋体"/>
                <w:sz w:val="24"/>
                <w:szCs w:val="24"/>
              </w:rPr>
            </w:pPr>
            <w:r>
              <w:rPr>
                <w:rFonts w:ascii="宋体" w:hAnsi="宋体" w:eastAsia="宋体" w:cs="宋体"/>
                <w:spacing w:val="-4"/>
                <w:sz w:val="24"/>
                <w:szCs w:val="24"/>
              </w:rPr>
              <w:t>说明</w:t>
            </w:r>
          </w:p>
        </w:tc>
      </w:tr>
      <w:tr w14:paraId="6444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vAlign w:val="top"/>
          </w:tcPr>
          <w:p w14:paraId="49116203">
            <w:pPr>
              <w:spacing w:before="38" w:line="219" w:lineRule="auto"/>
              <w:ind w:left="116"/>
              <w:rPr>
                <w:rFonts w:ascii="宋体" w:hAnsi="宋体" w:eastAsia="宋体" w:cs="宋体"/>
                <w:sz w:val="24"/>
                <w:szCs w:val="24"/>
              </w:rPr>
            </w:pPr>
            <w:r>
              <w:rPr>
                <w:rFonts w:ascii="宋体" w:hAnsi="宋体" w:eastAsia="宋体" w:cs="宋体"/>
                <w:b/>
                <w:bCs/>
                <w:spacing w:val="-2"/>
                <w:sz w:val="24"/>
                <w:szCs w:val="24"/>
              </w:rPr>
              <w:t>对本项目合同条款的偏离情况</w:t>
            </w:r>
            <w:r>
              <w:rPr>
                <w:rFonts w:ascii="宋体" w:hAnsi="宋体" w:eastAsia="宋体" w:cs="宋体"/>
                <w:spacing w:val="-2"/>
                <w:sz w:val="24"/>
                <w:szCs w:val="24"/>
              </w:rPr>
              <w:t>（应进行选择，未选择</w:t>
            </w:r>
            <w:r>
              <w:rPr>
                <w:rFonts w:ascii="宋体" w:hAnsi="宋体" w:eastAsia="宋体" w:cs="宋体"/>
                <w:b/>
                <w:bCs/>
                <w:spacing w:val="-2"/>
                <w:sz w:val="24"/>
                <w:szCs w:val="24"/>
              </w:rPr>
              <w:t>投标无效</w:t>
            </w:r>
            <w:r>
              <w:rPr>
                <w:rFonts w:ascii="宋体" w:hAnsi="宋体" w:eastAsia="宋体" w:cs="宋体"/>
                <w:spacing w:val="-60"/>
                <w:sz w:val="24"/>
                <w:szCs w:val="24"/>
              </w:rPr>
              <w:t>）：</w:t>
            </w:r>
          </w:p>
          <w:p w14:paraId="5C64AE96">
            <w:pPr>
              <w:pStyle w:val="43"/>
              <w:spacing w:before="26" w:line="229" w:lineRule="auto"/>
              <w:ind w:left="118" w:right="115" w:firstLine="11"/>
              <w:rPr>
                <w:rFonts w:ascii="宋体" w:hAnsi="宋体" w:eastAsia="宋体" w:cs="宋体"/>
                <w:sz w:val="24"/>
                <w:szCs w:val="24"/>
              </w:rPr>
            </w:pPr>
            <w:r>
              <w:rPr>
                <w:rFonts w:hint="eastAsia" w:eastAsia="宋体"/>
                <w:b/>
                <w:bCs/>
                <w:sz w:val="24"/>
                <w:szCs w:val="24"/>
                <w:lang w:eastAsia="zh-CN"/>
              </w:rPr>
              <w:t>☑</w:t>
            </w:r>
            <w:r>
              <w:rPr>
                <w:rFonts w:ascii="宋体" w:hAnsi="宋体" w:eastAsia="宋体" w:cs="宋体"/>
                <w:b/>
                <w:bCs/>
                <w:sz w:val="24"/>
                <w:szCs w:val="24"/>
              </w:rPr>
              <w:t>无偏离</w:t>
            </w:r>
            <w:r>
              <w:rPr>
                <w:rFonts w:ascii="宋体" w:hAnsi="宋体" w:eastAsia="宋体" w:cs="宋体"/>
                <w:sz w:val="24"/>
                <w:szCs w:val="24"/>
              </w:rPr>
              <w:t>（如无偏离，仅选择无偏离即可；无偏离即为对合同条款中的所有要求，均视</w:t>
            </w:r>
            <w:r>
              <w:rPr>
                <w:rFonts w:ascii="宋体" w:hAnsi="宋体" w:eastAsia="宋体" w:cs="宋体"/>
                <w:spacing w:val="-11"/>
                <w:sz w:val="24"/>
                <w:szCs w:val="24"/>
              </w:rPr>
              <w:t>作供应商已对之理解和响应。）</w:t>
            </w:r>
          </w:p>
          <w:p w14:paraId="62C08D31">
            <w:pPr>
              <w:pStyle w:val="43"/>
              <w:spacing w:before="25" w:line="223" w:lineRule="auto"/>
              <w:ind w:left="137" w:right="133" w:hanging="7"/>
              <w:rPr>
                <w:rFonts w:ascii="宋体" w:hAnsi="宋体" w:eastAsia="宋体" w:cs="宋体"/>
                <w:sz w:val="24"/>
                <w:szCs w:val="24"/>
              </w:rPr>
            </w:pPr>
            <w:r>
              <w:rPr>
                <w:rFonts w:hint="eastAsia" w:eastAsia="宋体"/>
                <w:b/>
                <w:bCs/>
                <w:spacing w:val="-1"/>
                <w:sz w:val="24"/>
                <w:szCs w:val="24"/>
                <w:lang w:eastAsia="zh-CN"/>
              </w:rPr>
              <w:t>☑</w:t>
            </w:r>
            <w:r>
              <w:rPr>
                <w:rFonts w:ascii="宋体" w:hAnsi="宋体" w:eastAsia="宋体" w:cs="宋体"/>
                <w:b/>
                <w:bCs/>
                <w:spacing w:val="-1"/>
                <w:sz w:val="24"/>
                <w:szCs w:val="24"/>
              </w:rPr>
              <w:t>有偏离</w:t>
            </w:r>
            <w:r>
              <w:rPr>
                <w:rFonts w:ascii="宋体" w:hAnsi="宋体" w:eastAsia="宋体" w:cs="宋体"/>
                <w:spacing w:val="-1"/>
                <w:sz w:val="24"/>
                <w:szCs w:val="24"/>
              </w:rPr>
              <w:t>（如有偏离，则应在本表中对偏离项逐一列明，否则</w:t>
            </w:r>
            <w:r>
              <w:rPr>
                <w:rFonts w:ascii="宋体" w:hAnsi="宋体" w:eastAsia="宋体" w:cs="宋体"/>
                <w:b/>
                <w:bCs/>
                <w:spacing w:val="-1"/>
                <w:sz w:val="24"/>
                <w:szCs w:val="24"/>
              </w:rPr>
              <w:t>投标无效</w:t>
            </w:r>
            <w:r>
              <w:rPr>
                <w:rFonts w:ascii="宋体" w:hAnsi="宋体" w:eastAsia="宋体" w:cs="宋体"/>
                <w:spacing w:val="-1"/>
                <w:sz w:val="24"/>
                <w:szCs w:val="24"/>
              </w:rPr>
              <w:t>；对合同条款中</w:t>
            </w:r>
            <w:r>
              <w:rPr>
                <w:rFonts w:ascii="宋体" w:hAnsi="宋体" w:eastAsia="宋体" w:cs="宋体"/>
                <w:spacing w:val="-5"/>
                <w:sz w:val="24"/>
                <w:szCs w:val="24"/>
              </w:rPr>
              <w:t>的所有要求，除本表列明的偏离外，均视作供应商已对之理</w:t>
            </w:r>
            <w:r>
              <w:rPr>
                <w:rFonts w:ascii="宋体" w:hAnsi="宋体" w:eastAsia="宋体" w:cs="宋体"/>
                <w:spacing w:val="-6"/>
                <w:sz w:val="24"/>
                <w:szCs w:val="24"/>
              </w:rPr>
              <w:t>解和响应。）</w:t>
            </w:r>
          </w:p>
        </w:tc>
      </w:tr>
      <w:tr w14:paraId="7859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268F0BA1">
            <w:pPr>
              <w:pStyle w:val="43"/>
            </w:pPr>
          </w:p>
        </w:tc>
        <w:tc>
          <w:tcPr>
            <w:tcW w:w="1771" w:type="dxa"/>
            <w:vAlign w:val="top"/>
          </w:tcPr>
          <w:p w14:paraId="77BB017A">
            <w:pPr>
              <w:pStyle w:val="43"/>
            </w:pPr>
          </w:p>
        </w:tc>
        <w:tc>
          <w:tcPr>
            <w:tcW w:w="1675" w:type="dxa"/>
            <w:vAlign w:val="top"/>
          </w:tcPr>
          <w:p w14:paraId="2C381800">
            <w:pPr>
              <w:pStyle w:val="43"/>
            </w:pPr>
          </w:p>
        </w:tc>
        <w:tc>
          <w:tcPr>
            <w:tcW w:w="1675" w:type="dxa"/>
            <w:vAlign w:val="top"/>
          </w:tcPr>
          <w:p w14:paraId="201A6758">
            <w:pPr>
              <w:pStyle w:val="43"/>
            </w:pPr>
          </w:p>
        </w:tc>
        <w:tc>
          <w:tcPr>
            <w:tcW w:w="1876" w:type="dxa"/>
            <w:vAlign w:val="top"/>
          </w:tcPr>
          <w:p w14:paraId="3B046B7F">
            <w:pPr>
              <w:pStyle w:val="43"/>
            </w:pPr>
          </w:p>
        </w:tc>
        <w:tc>
          <w:tcPr>
            <w:tcW w:w="1138" w:type="dxa"/>
            <w:vAlign w:val="top"/>
          </w:tcPr>
          <w:p w14:paraId="17BECBE1">
            <w:pPr>
              <w:pStyle w:val="43"/>
            </w:pPr>
          </w:p>
        </w:tc>
      </w:tr>
      <w:tr w14:paraId="06D1D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442F5C48">
            <w:pPr>
              <w:pStyle w:val="43"/>
            </w:pPr>
          </w:p>
        </w:tc>
        <w:tc>
          <w:tcPr>
            <w:tcW w:w="1771" w:type="dxa"/>
            <w:vAlign w:val="top"/>
          </w:tcPr>
          <w:p w14:paraId="640E13D9">
            <w:pPr>
              <w:pStyle w:val="43"/>
            </w:pPr>
          </w:p>
        </w:tc>
        <w:tc>
          <w:tcPr>
            <w:tcW w:w="1675" w:type="dxa"/>
            <w:vAlign w:val="top"/>
          </w:tcPr>
          <w:p w14:paraId="2E75601D">
            <w:pPr>
              <w:pStyle w:val="43"/>
            </w:pPr>
          </w:p>
        </w:tc>
        <w:tc>
          <w:tcPr>
            <w:tcW w:w="1675" w:type="dxa"/>
            <w:vAlign w:val="top"/>
          </w:tcPr>
          <w:p w14:paraId="487C8DDE">
            <w:pPr>
              <w:pStyle w:val="43"/>
            </w:pPr>
          </w:p>
        </w:tc>
        <w:tc>
          <w:tcPr>
            <w:tcW w:w="1876" w:type="dxa"/>
            <w:vAlign w:val="top"/>
          </w:tcPr>
          <w:p w14:paraId="7A29DFD8">
            <w:pPr>
              <w:pStyle w:val="43"/>
            </w:pPr>
          </w:p>
        </w:tc>
        <w:tc>
          <w:tcPr>
            <w:tcW w:w="1138" w:type="dxa"/>
            <w:vAlign w:val="top"/>
          </w:tcPr>
          <w:p w14:paraId="4EC9B77C">
            <w:pPr>
              <w:pStyle w:val="43"/>
            </w:pPr>
          </w:p>
        </w:tc>
      </w:tr>
      <w:tr w14:paraId="47D4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73295D53">
            <w:pPr>
              <w:pStyle w:val="43"/>
            </w:pPr>
          </w:p>
        </w:tc>
        <w:tc>
          <w:tcPr>
            <w:tcW w:w="1771" w:type="dxa"/>
            <w:vAlign w:val="top"/>
          </w:tcPr>
          <w:p w14:paraId="795AAEF6">
            <w:pPr>
              <w:pStyle w:val="43"/>
            </w:pPr>
          </w:p>
        </w:tc>
        <w:tc>
          <w:tcPr>
            <w:tcW w:w="1675" w:type="dxa"/>
            <w:vAlign w:val="top"/>
          </w:tcPr>
          <w:p w14:paraId="493551F3">
            <w:pPr>
              <w:pStyle w:val="43"/>
            </w:pPr>
          </w:p>
        </w:tc>
        <w:tc>
          <w:tcPr>
            <w:tcW w:w="1675" w:type="dxa"/>
            <w:vAlign w:val="top"/>
          </w:tcPr>
          <w:p w14:paraId="4FF06E17">
            <w:pPr>
              <w:pStyle w:val="43"/>
            </w:pPr>
          </w:p>
        </w:tc>
        <w:tc>
          <w:tcPr>
            <w:tcW w:w="1876" w:type="dxa"/>
            <w:vAlign w:val="top"/>
          </w:tcPr>
          <w:p w14:paraId="696792A7">
            <w:pPr>
              <w:pStyle w:val="43"/>
            </w:pPr>
          </w:p>
        </w:tc>
        <w:tc>
          <w:tcPr>
            <w:tcW w:w="1138" w:type="dxa"/>
            <w:vAlign w:val="top"/>
          </w:tcPr>
          <w:p w14:paraId="6160889B">
            <w:pPr>
              <w:pStyle w:val="43"/>
            </w:pPr>
          </w:p>
        </w:tc>
      </w:tr>
      <w:tr w14:paraId="0C9E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3263B035">
            <w:pPr>
              <w:pStyle w:val="43"/>
            </w:pPr>
          </w:p>
        </w:tc>
        <w:tc>
          <w:tcPr>
            <w:tcW w:w="1771" w:type="dxa"/>
            <w:vAlign w:val="top"/>
          </w:tcPr>
          <w:p w14:paraId="6BC5C84A">
            <w:pPr>
              <w:pStyle w:val="43"/>
            </w:pPr>
          </w:p>
        </w:tc>
        <w:tc>
          <w:tcPr>
            <w:tcW w:w="1675" w:type="dxa"/>
            <w:vAlign w:val="top"/>
          </w:tcPr>
          <w:p w14:paraId="26191857">
            <w:pPr>
              <w:pStyle w:val="43"/>
            </w:pPr>
          </w:p>
        </w:tc>
        <w:tc>
          <w:tcPr>
            <w:tcW w:w="1675" w:type="dxa"/>
            <w:vAlign w:val="top"/>
          </w:tcPr>
          <w:p w14:paraId="03AC1033">
            <w:pPr>
              <w:pStyle w:val="43"/>
            </w:pPr>
          </w:p>
        </w:tc>
        <w:tc>
          <w:tcPr>
            <w:tcW w:w="1876" w:type="dxa"/>
            <w:vAlign w:val="top"/>
          </w:tcPr>
          <w:p w14:paraId="1A88A891">
            <w:pPr>
              <w:pStyle w:val="43"/>
            </w:pPr>
          </w:p>
        </w:tc>
        <w:tc>
          <w:tcPr>
            <w:tcW w:w="1138" w:type="dxa"/>
            <w:vAlign w:val="top"/>
          </w:tcPr>
          <w:p w14:paraId="54DBA363">
            <w:pPr>
              <w:pStyle w:val="43"/>
            </w:pPr>
          </w:p>
        </w:tc>
      </w:tr>
    </w:tbl>
    <w:p w14:paraId="669FD07A">
      <w:pPr>
        <w:pStyle w:val="10"/>
        <w:spacing w:before="314" w:line="220" w:lineRule="auto"/>
        <w:ind w:left="122"/>
        <w:rPr>
          <w:sz w:val="24"/>
          <w:szCs w:val="24"/>
        </w:rPr>
      </w:pPr>
      <w:r>
        <w:rPr>
          <w:spacing w:val="9"/>
          <w:sz w:val="24"/>
          <w:szCs w:val="24"/>
        </w:rPr>
        <w:t>注：</w:t>
      </w:r>
      <w:r>
        <w:rPr>
          <w:rFonts w:ascii="Arial" w:hAnsi="Arial" w:eastAsia="Arial" w:cs="Arial"/>
          <w:spacing w:val="9"/>
          <w:sz w:val="24"/>
          <w:szCs w:val="24"/>
        </w:rPr>
        <w:t>“</w:t>
      </w:r>
      <w:r>
        <w:rPr>
          <w:spacing w:val="9"/>
          <w:sz w:val="24"/>
          <w:szCs w:val="24"/>
        </w:rPr>
        <w:t>偏离情况</w:t>
      </w:r>
      <w:r>
        <w:rPr>
          <w:rFonts w:ascii="Arial" w:hAnsi="Arial" w:eastAsia="Arial" w:cs="Arial"/>
          <w:spacing w:val="9"/>
          <w:sz w:val="24"/>
          <w:szCs w:val="24"/>
        </w:rPr>
        <w:t>”</w:t>
      </w:r>
      <w:r>
        <w:rPr>
          <w:spacing w:val="9"/>
          <w:sz w:val="24"/>
          <w:szCs w:val="24"/>
        </w:rPr>
        <w:t>列应据实填写</w:t>
      </w:r>
      <w:r>
        <w:rPr>
          <w:rFonts w:ascii="Arial" w:hAnsi="Arial" w:eastAsia="Arial" w:cs="Arial"/>
          <w:spacing w:val="9"/>
          <w:sz w:val="24"/>
          <w:szCs w:val="24"/>
        </w:rPr>
        <w:t>“</w:t>
      </w:r>
      <w:r>
        <w:rPr>
          <w:spacing w:val="9"/>
          <w:sz w:val="24"/>
          <w:szCs w:val="24"/>
        </w:rPr>
        <w:t>正偏离</w:t>
      </w:r>
      <w:r>
        <w:rPr>
          <w:rFonts w:ascii="Arial" w:hAnsi="Arial" w:eastAsia="Arial" w:cs="Arial"/>
          <w:spacing w:val="9"/>
          <w:sz w:val="24"/>
          <w:szCs w:val="24"/>
        </w:rPr>
        <w:t>”</w:t>
      </w:r>
      <w:r>
        <w:rPr>
          <w:spacing w:val="9"/>
          <w:sz w:val="24"/>
          <w:szCs w:val="24"/>
        </w:rPr>
        <w:t>或</w:t>
      </w:r>
      <w:r>
        <w:rPr>
          <w:rFonts w:ascii="Arial" w:hAnsi="Arial" w:eastAsia="Arial" w:cs="Arial"/>
          <w:spacing w:val="9"/>
          <w:sz w:val="24"/>
          <w:szCs w:val="24"/>
        </w:rPr>
        <w:t>“</w:t>
      </w:r>
      <w:r>
        <w:rPr>
          <w:rFonts w:ascii="Arial" w:hAnsi="Arial" w:eastAsia="Arial" w:cs="Arial"/>
          <w:spacing w:val="-48"/>
          <w:sz w:val="24"/>
          <w:szCs w:val="24"/>
        </w:rPr>
        <w:t xml:space="preserve"> </w:t>
      </w:r>
      <w:r>
        <w:rPr>
          <w:spacing w:val="9"/>
          <w:sz w:val="24"/>
          <w:szCs w:val="24"/>
        </w:rPr>
        <w:t>负偏离</w:t>
      </w:r>
      <w:r>
        <w:rPr>
          <w:rFonts w:ascii="Arial" w:hAnsi="Arial" w:eastAsia="Arial" w:cs="Arial"/>
          <w:spacing w:val="9"/>
          <w:sz w:val="24"/>
          <w:szCs w:val="24"/>
        </w:rPr>
        <w:t>”</w:t>
      </w:r>
      <w:r>
        <w:rPr>
          <w:spacing w:val="9"/>
          <w:sz w:val="24"/>
          <w:szCs w:val="24"/>
        </w:rPr>
        <w:t>。</w:t>
      </w:r>
    </w:p>
    <w:p w14:paraId="7186DC89">
      <w:pPr>
        <w:spacing w:line="277" w:lineRule="auto"/>
        <w:rPr>
          <w:rFonts w:ascii="Arial"/>
          <w:sz w:val="21"/>
        </w:rPr>
      </w:pPr>
    </w:p>
    <w:p w14:paraId="5331EF8D">
      <w:pPr>
        <w:spacing w:line="277" w:lineRule="auto"/>
        <w:rPr>
          <w:rFonts w:ascii="Arial"/>
          <w:sz w:val="21"/>
        </w:rPr>
      </w:pPr>
    </w:p>
    <w:p w14:paraId="70960C94">
      <w:pPr>
        <w:spacing w:line="277" w:lineRule="auto"/>
        <w:rPr>
          <w:rFonts w:ascii="Arial"/>
          <w:sz w:val="21"/>
        </w:rPr>
      </w:pPr>
    </w:p>
    <w:p w14:paraId="2FADA1C4">
      <w:pPr>
        <w:pStyle w:val="10"/>
        <w:spacing w:before="78" w:line="189" w:lineRule="auto"/>
        <w:ind w:left="125"/>
        <w:rPr>
          <w:sz w:val="24"/>
          <w:szCs w:val="24"/>
        </w:rPr>
      </w:pPr>
      <w:r>
        <w:rPr>
          <w:spacing w:val="-14"/>
          <w:sz w:val="24"/>
          <w:szCs w:val="24"/>
        </w:rPr>
        <w:t>投标人名称（加盖公章</w:t>
      </w:r>
      <w:r>
        <w:rPr>
          <w:spacing w:val="-5"/>
          <w:sz w:val="24"/>
          <w:szCs w:val="24"/>
        </w:rPr>
        <w:t>）：</w:t>
      </w:r>
    </w:p>
    <w:p w14:paraId="59D1693E">
      <w:pPr>
        <w:spacing w:line="20" w:lineRule="exact"/>
        <w:ind w:left="3351"/>
        <w:rPr>
          <w:rFonts w:ascii="Arial" w:hAnsi="Arial" w:eastAsia="Arial" w:cs="Arial"/>
          <w:sz w:val="24"/>
          <w:szCs w:val="24"/>
        </w:rPr>
      </w:pPr>
      <w:r>
        <w:rPr>
          <w:rFonts w:ascii="Arial" w:hAnsi="Arial" w:eastAsia="Arial" w:cs="Arial"/>
          <w:spacing w:val="-2"/>
          <w:position w:val="5"/>
          <w:sz w:val="24"/>
          <w:szCs w:val="24"/>
        </w:rPr>
        <w:t>___________</w:t>
      </w:r>
    </w:p>
    <w:p w14:paraId="338BC15D">
      <w:pPr>
        <w:pStyle w:val="10"/>
        <w:spacing w:before="226"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6E49C219">
      <w:pPr>
        <w:spacing w:line="219" w:lineRule="auto"/>
        <w:rPr>
          <w:sz w:val="24"/>
          <w:szCs w:val="24"/>
        </w:rPr>
        <w:sectPr>
          <w:headerReference r:id="rId9" w:type="default"/>
          <w:footerReference r:id="rId10" w:type="default"/>
          <w:pgSz w:w="11907" w:h="16840"/>
          <w:pgMar w:top="1165" w:right="1020" w:bottom="1060" w:left="1588" w:header="830" w:footer="886" w:gutter="0"/>
          <w:pgNumType w:fmt="decimal"/>
          <w:cols w:space="720" w:num="1"/>
        </w:sectPr>
      </w:pPr>
    </w:p>
    <w:p w14:paraId="0CB2BE7E">
      <w:pPr>
        <w:pStyle w:val="10"/>
        <w:spacing w:before="288" w:line="219" w:lineRule="auto"/>
        <w:ind w:left="312"/>
        <w:rPr>
          <w:sz w:val="24"/>
          <w:szCs w:val="24"/>
        </w:rPr>
      </w:pPr>
      <w:r>
        <w:rPr>
          <w:rFonts w:ascii="Arial" w:hAnsi="Arial" w:eastAsia="Arial" w:cs="Arial"/>
          <w:spacing w:val="-1"/>
          <w:sz w:val="24"/>
          <w:szCs w:val="24"/>
        </w:rPr>
        <w:t xml:space="preserve">6   </w:t>
      </w:r>
      <w:r>
        <w:rPr>
          <w:spacing w:val="-1"/>
          <w:sz w:val="24"/>
          <w:szCs w:val="24"/>
        </w:rPr>
        <w:t>采购需求偏离表（实质性格式）</w:t>
      </w:r>
    </w:p>
    <w:p w14:paraId="6567AB40">
      <w:pPr>
        <w:pStyle w:val="10"/>
        <w:spacing w:before="198" w:line="219" w:lineRule="auto"/>
        <w:ind w:left="3579"/>
        <w:rPr>
          <w:sz w:val="36"/>
          <w:szCs w:val="36"/>
        </w:rPr>
      </w:pPr>
      <w:r>
        <w:rPr>
          <w:b/>
          <w:bCs/>
          <w:spacing w:val="-5"/>
          <w:sz w:val="36"/>
          <w:szCs w:val="36"/>
        </w:rPr>
        <w:t>采购需求偏离表</w:t>
      </w:r>
    </w:p>
    <w:p w14:paraId="03FCEC2F">
      <w:pPr>
        <w:pStyle w:val="10"/>
        <w:spacing w:before="256" w:line="219" w:lineRule="auto"/>
        <w:ind w:left="668"/>
        <w:rPr>
          <w:rFonts w:ascii="Arial" w:hAnsi="Arial" w:eastAsia="Arial" w:cs="Arial"/>
          <w:sz w:val="24"/>
          <w:szCs w:val="24"/>
        </w:rPr>
      </w:pPr>
      <w:r>
        <w:rPr>
          <w:sz w:val="24"/>
          <w:szCs w:val="24"/>
        </w:rPr>
        <w:t>项目编号</w:t>
      </w:r>
      <w:r>
        <w:rPr>
          <w:rFonts w:ascii="Arial" w:hAnsi="Arial" w:eastAsia="Arial" w:cs="Arial"/>
          <w:sz w:val="24"/>
          <w:szCs w:val="24"/>
        </w:rPr>
        <w:t>/</w:t>
      </w:r>
      <w:r>
        <w:rPr>
          <w:sz w:val="24"/>
          <w:szCs w:val="24"/>
        </w:rPr>
        <w:t>包号：</w:t>
      </w:r>
      <w:r>
        <w:rPr>
          <w:rFonts w:ascii="Arial" w:hAnsi="Arial" w:eastAsia="Arial" w:cs="Arial"/>
          <w:sz w:val="24"/>
          <w:szCs w:val="24"/>
        </w:rPr>
        <w:t>___________</w:t>
      </w:r>
      <w:r>
        <w:rPr>
          <w:rFonts w:ascii="Arial" w:hAnsi="Arial" w:eastAsia="Arial" w:cs="Arial"/>
          <w:spacing w:val="-1"/>
          <w:sz w:val="24"/>
          <w:szCs w:val="24"/>
        </w:rPr>
        <w:t xml:space="preserve">________         </w:t>
      </w:r>
      <w:r>
        <w:rPr>
          <w:spacing w:val="-1"/>
          <w:sz w:val="24"/>
          <w:szCs w:val="24"/>
        </w:rPr>
        <w:t>项目名称：</w:t>
      </w:r>
      <w:r>
        <w:rPr>
          <w:rFonts w:ascii="Arial" w:hAnsi="Arial" w:eastAsia="Arial" w:cs="Arial"/>
          <w:spacing w:val="-1"/>
          <w:sz w:val="24"/>
          <w:szCs w:val="24"/>
        </w:rPr>
        <w:t>___________</w:t>
      </w:r>
    </w:p>
    <w:p w14:paraId="58B9E6AB">
      <w:pPr>
        <w:spacing w:line="146" w:lineRule="exact"/>
      </w:pPr>
    </w:p>
    <w:tbl>
      <w:tblPr>
        <w:tblStyle w:val="40"/>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7272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top"/>
          </w:tcPr>
          <w:p w14:paraId="716A090C">
            <w:pPr>
              <w:pStyle w:val="43"/>
              <w:spacing w:line="330" w:lineRule="auto"/>
            </w:pPr>
          </w:p>
          <w:p w14:paraId="32BD89D9">
            <w:pPr>
              <w:spacing w:before="78" w:line="222" w:lineRule="auto"/>
              <w:ind w:left="154"/>
              <w:rPr>
                <w:rFonts w:ascii="宋体" w:hAnsi="宋体" w:eastAsia="宋体" w:cs="宋体"/>
                <w:sz w:val="24"/>
                <w:szCs w:val="24"/>
              </w:rPr>
            </w:pPr>
            <w:r>
              <w:rPr>
                <w:rFonts w:ascii="宋体" w:hAnsi="宋体" w:eastAsia="宋体" w:cs="宋体"/>
                <w:spacing w:val="-3"/>
                <w:sz w:val="24"/>
                <w:szCs w:val="24"/>
              </w:rPr>
              <w:t>序号</w:t>
            </w:r>
          </w:p>
        </w:tc>
        <w:tc>
          <w:tcPr>
            <w:tcW w:w="1481" w:type="dxa"/>
            <w:vAlign w:val="top"/>
          </w:tcPr>
          <w:p w14:paraId="35B0D9B3">
            <w:pPr>
              <w:pStyle w:val="43"/>
              <w:spacing w:before="257" w:line="230" w:lineRule="auto"/>
              <w:ind w:left="219" w:right="138" w:hanging="71"/>
              <w:rPr>
                <w:sz w:val="24"/>
                <w:szCs w:val="24"/>
              </w:rPr>
            </w:pPr>
            <w:r>
              <w:rPr>
                <w:rFonts w:ascii="宋体" w:hAnsi="宋体" w:eastAsia="宋体" w:cs="宋体"/>
                <w:spacing w:val="-3"/>
                <w:sz w:val="24"/>
                <w:szCs w:val="24"/>
              </w:rPr>
              <w:t>招标文件条</w:t>
            </w:r>
            <w:r>
              <w:rPr>
                <w:rFonts w:ascii="宋体" w:hAnsi="宋体" w:eastAsia="宋体" w:cs="宋体"/>
                <w:spacing w:val="3"/>
                <w:sz w:val="24"/>
                <w:szCs w:val="24"/>
              </w:rPr>
              <w:t xml:space="preserve"> </w:t>
            </w:r>
            <w:r>
              <w:rPr>
                <w:rFonts w:ascii="宋体" w:hAnsi="宋体" w:eastAsia="宋体" w:cs="宋体"/>
                <w:spacing w:val="-5"/>
                <w:sz w:val="24"/>
                <w:szCs w:val="24"/>
              </w:rPr>
              <w:t>目号</w:t>
            </w:r>
            <w:r>
              <w:rPr>
                <w:spacing w:val="-5"/>
                <w:sz w:val="24"/>
                <w:szCs w:val="24"/>
              </w:rPr>
              <w:t>(</w:t>
            </w:r>
            <w:r>
              <w:rPr>
                <w:rFonts w:ascii="宋体" w:hAnsi="宋体" w:eastAsia="宋体" w:cs="宋体"/>
                <w:spacing w:val="-5"/>
                <w:sz w:val="24"/>
                <w:szCs w:val="24"/>
              </w:rPr>
              <w:t>页码</w:t>
            </w:r>
            <w:r>
              <w:rPr>
                <w:spacing w:val="-5"/>
                <w:sz w:val="24"/>
                <w:szCs w:val="24"/>
              </w:rPr>
              <w:t>)</w:t>
            </w:r>
          </w:p>
        </w:tc>
        <w:tc>
          <w:tcPr>
            <w:tcW w:w="2383" w:type="dxa"/>
            <w:vAlign w:val="top"/>
          </w:tcPr>
          <w:p w14:paraId="02DC9575">
            <w:pPr>
              <w:pStyle w:val="43"/>
              <w:spacing w:line="330" w:lineRule="auto"/>
            </w:pPr>
          </w:p>
          <w:p w14:paraId="1CD39AB1">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招标文件要求</w:t>
            </w:r>
          </w:p>
        </w:tc>
        <w:tc>
          <w:tcPr>
            <w:tcW w:w="2125" w:type="dxa"/>
            <w:vAlign w:val="top"/>
          </w:tcPr>
          <w:p w14:paraId="6B30DBB1">
            <w:pPr>
              <w:pStyle w:val="43"/>
              <w:spacing w:line="330" w:lineRule="auto"/>
            </w:pPr>
          </w:p>
          <w:p w14:paraId="3C0FDD35">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投标响应内容</w:t>
            </w:r>
          </w:p>
        </w:tc>
        <w:tc>
          <w:tcPr>
            <w:tcW w:w="1874" w:type="dxa"/>
            <w:vAlign w:val="top"/>
          </w:tcPr>
          <w:p w14:paraId="4C32F837">
            <w:pPr>
              <w:pStyle w:val="43"/>
              <w:spacing w:line="330" w:lineRule="auto"/>
            </w:pPr>
          </w:p>
          <w:p w14:paraId="421C0611">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014" w:type="dxa"/>
            <w:vAlign w:val="top"/>
          </w:tcPr>
          <w:p w14:paraId="4A45FB02">
            <w:pPr>
              <w:pStyle w:val="43"/>
              <w:spacing w:line="330" w:lineRule="auto"/>
            </w:pPr>
          </w:p>
          <w:p w14:paraId="03E0F853">
            <w:pPr>
              <w:spacing w:before="78" w:line="220" w:lineRule="auto"/>
              <w:ind w:left="276"/>
              <w:rPr>
                <w:rFonts w:ascii="宋体" w:hAnsi="宋体" w:eastAsia="宋体" w:cs="宋体"/>
                <w:sz w:val="24"/>
                <w:szCs w:val="24"/>
              </w:rPr>
            </w:pPr>
            <w:r>
              <w:rPr>
                <w:rFonts w:ascii="宋体" w:hAnsi="宋体" w:eastAsia="宋体" w:cs="宋体"/>
                <w:spacing w:val="-4"/>
                <w:sz w:val="24"/>
                <w:szCs w:val="24"/>
              </w:rPr>
              <w:t>说明</w:t>
            </w:r>
          </w:p>
        </w:tc>
      </w:tr>
      <w:tr w14:paraId="6BEE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0FCA2C5">
            <w:pPr>
              <w:pStyle w:val="43"/>
            </w:pPr>
          </w:p>
        </w:tc>
        <w:tc>
          <w:tcPr>
            <w:tcW w:w="1481" w:type="dxa"/>
            <w:vAlign w:val="top"/>
          </w:tcPr>
          <w:p w14:paraId="1A56B089">
            <w:pPr>
              <w:pStyle w:val="43"/>
            </w:pPr>
          </w:p>
        </w:tc>
        <w:tc>
          <w:tcPr>
            <w:tcW w:w="2383" w:type="dxa"/>
            <w:vAlign w:val="top"/>
          </w:tcPr>
          <w:p w14:paraId="47B29407">
            <w:pPr>
              <w:pStyle w:val="43"/>
            </w:pPr>
          </w:p>
        </w:tc>
        <w:tc>
          <w:tcPr>
            <w:tcW w:w="2125" w:type="dxa"/>
            <w:vAlign w:val="top"/>
          </w:tcPr>
          <w:p w14:paraId="60916498">
            <w:pPr>
              <w:pStyle w:val="43"/>
            </w:pPr>
          </w:p>
        </w:tc>
        <w:tc>
          <w:tcPr>
            <w:tcW w:w="1874" w:type="dxa"/>
            <w:vAlign w:val="top"/>
          </w:tcPr>
          <w:p w14:paraId="090DFB61">
            <w:pPr>
              <w:pStyle w:val="43"/>
            </w:pPr>
          </w:p>
        </w:tc>
        <w:tc>
          <w:tcPr>
            <w:tcW w:w="1014" w:type="dxa"/>
            <w:vAlign w:val="top"/>
          </w:tcPr>
          <w:p w14:paraId="40C470AD">
            <w:pPr>
              <w:pStyle w:val="43"/>
            </w:pPr>
          </w:p>
        </w:tc>
      </w:tr>
      <w:tr w14:paraId="0B25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8B08277">
            <w:pPr>
              <w:pStyle w:val="43"/>
            </w:pPr>
          </w:p>
        </w:tc>
        <w:tc>
          <w:tcPr>
            <w:tcW w:w="1481" w:type="dxa"/>
            <w:vAlign w:val="top"/>
          </w:tcPr>
          <w:p w14:paraId="47220EFF">
            <w:pPr>
              <w:pStyle w:val="43"/>
            </w:pPr>
          </w:p>
        </w:tc>
        <w:tc>
          <w:tcPr>
            <w:tcW w:w="2383" w:type="dxa"/>
            <w:vAlign w:val="top"/>
          </w:tcPr>
          <w:p w14:paraId="60C1ED32">
            <w:pPr>
              <w:pStyle w:val="43"/>
            </w:pPr>
          </w:p>
        </w:tc>
        <w:tc>
          <w:tcPr>
            <w:tcW w:w="2125" w:type="dxa"/>
            <w:vAlign w:val="top"/>
          </w:tcPr>
          <w:p w14:paraId="5523182B">
            <w:pPr>
              <w:pStyle w:val="43"/>
            </w:pPr>
          </w:p>
        </w:tc>
        <w:tc>
          <w:tcPr>
            <w:tcW w:w="1874" w:type="dxa"/>
            <w:vAlign w:val="top"/>
          </w:tcPr>
          <w:p w14:paraId="58F426C6">
            <w:pPr>
              <w:pStyle w:val="43"/>
            </w:pPr>
          </w:p>
        </w:tc>
        <w:tc>
          <w:tcPr>
            <w:tcW w:w="1014" w:type="dxa"/>
            <w:vAlign w:val="top"/>
          </w:tcPr>
          <w:p w14:paraId="37FA9648">
            <w:pPr>
              <w:pStyle w:val="43"/>
            </w:pPr>
          </w:p>
        </w:tc>
      </w:tr>
      <w:tr w14:paraId="36AC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7415603">
            <w:pPr>
              <w:pStyle w:val="43"/>
            </w:pPr>
          </w:p>
        </w:tc>
        <w:tc>
          <w:tcPr>
            <w:tcW w:w="1481" w:type="dxa"/>
            <w:vAlign w:val="top"/>
          </w:tcPr>
          <w:p w14:paraId="39FE2604">
            <w:pPr>
              <w:pStyle w:val="43"/>
            </w:pPr>
          </w:p>
        </w:tc>
        <w:tc>
          <w:tcPr>
            <w:tcW w:w="2383" w:type="dxa"/>
            <w:vAlign w:val="top"/>
          </w:tcPr>
          <w:p w14:paraId="20A39D49">
            <w:pPr>
              <w:pStyle w:val="43"/>
            </w:pPr>
          </w:p>
        </w:tc>
        <w:tc>
          <w:tcPr>
            <w:tcW w:w="2125" w:type="dxa"/>
            <w:vAlign w:val="top"/>
          </w:tcPr>
          <w:p w14:paraId="2364AE1E">
            <w:pPr>
              <w:pStyle w:val="43"/>
            </w:pPr>
          </w:p>
        </w:tc>
        <w:tc>
          <w:tcPr>
            <w:tcW w:w="1874" w:type="dxa"/>
            <w:vAlign w:val="top"/>
          </w:tcPr>
          <w:p w14:paraId="5981D121">
            <w:pPr>
              <w:pStyle w:val="43"/>
            </w:pPr>
          </w:p>
        </w:tc>
        <w:tc>
          <w:tcPr>
            <w:tcW w:w="1014" w:type="dxa"/>
            <w:vAlign w:val="top"/>
          </w:tcPr>
          <w:p w14:paraId="03FF3A5D">
            <w:pPr>
              <w:pStyle w:val="43"/>
            </w:pPr>
          </w:p>
        </w:tc>
      </w:tr>
      <w:tr w14:paraId="68955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AE6455">
            <w:pPr>
              <w:pStyle w:val="43"/>
            </w:pPr>
          </w:p>
        </w:tc>
        <w:tc>
          <w:tcPr>
            <w:tcW w:w="1481" w:type="dxa"/>
            <w:vAlign w:val="top"/>
          </w:tcPr>
          <w:p w14:paraId="006070B5">
            <w:pPr>
              <w:pStyle w:val="43"/>
            </w:pPr>
          </w:p>
        </w:tc>
        <w:tc>
          <w:tcPr>
            <w:tcW w:w="2383" w:type="dxa"/>
            <w:vAlign w:val="top"/>
          </w:tcPr>
          <w:p w14:paraId="7E162F6D">
            <w:pPr>
              <w:pStyle w:val="43"/>
            </w:pPr>
          </w:p>
        </w:tc>
        <w:tc>
          <w:tcPr>
            <w:tcW w:w="2125" w:type="dxa"/>
            <w:vAlign w:val="top"/>
          </w:tcPr>
          <w:p w14:paraId="7A198ED8">
            <w:pPr>
              <w:pStyle w:val="43"/>
            </w:pPr>
          </w:p>
        </w:tc>
        <w:tc>
          <w:tcPr>
            <w:tcW w:w="1874" w:type="dxa"/>
            <w:vAlign w:val="top"/>
          </w:tcPr>
          <w:p w14:paraId="737A8611">
            <w:pPr>
              <w:pStyle w:val="43"/>
            </w:pPr>
          </w:p>
        </w:tc>
        <w:tc>
          <w:tcPr>
            <w:tcW w:w="1014" w:type="dxa"/>
            <w:vAlign w:val="top"/>
          </w:tcPr>
          <w:p w14:paraId="3F6CF1ED">
            <w:pPr>
              <w:pStyle w:val="43"/>
            </w:pPr>
          </w:p>
        </w:tc>
      </w:tr>
      <w:tr w14:paraId="2A45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4E529E1">
            <w:pPr>
              <w:pStyle w:val="43"/>
            </w:pPr>
          </w:p>
        </w:tc>
        <w:tc>
          <w:tcPr>
            <w:tcW w:w="1481" w:type="dxa"/>
            <w:vAlign w:val="top"/>
          </w:tcPr>
          <w:p w14:paraId="380C1B13">
            <w:pPr>
              <w:pStyle w:val="43"/>
            </w:pPr>
          </w:p>
        </w:tc>
        <w:tc>
          <w:tcPr>
            <w:tcW w:w="2383" w:type="dxa"/>
            <w:vAlign w:val="top"/>
          </w:tcPr>
          <w:p w14:paraId="1EF7B6F5">
            <w:pPr>
              <w:pStyle w:val="43"/>
            </w:pPr>
          </w:p>
        </w:tc>
        <w:tc>
          <w:tcPr>
            <w:tcW w:w="2125" w:type="dxa"/>
            <w:vAlign w:val="top"/>
          </w:tcPr>
          <w:p w14:paraId="54144B38">
            <w:pPr>
              <w:pStyle w:val="43"/>
            </w:pPr>
          </w:p>
        </w:tc>
        <w:tc>
          <w:tcPr>
            <w:tcW w:w="1874" w:type="dxa"/>
            <w:vAlign w:val="top"/>
          </w:tcPr>
          <w:p w14:paraId="2BD29050">
            <w:pPr>
              <w:pStyle w:val="43"/>
            </w:pPr>
          </w:p>
        </w:tc>
        <w:tc>
          <w:tcPr>
            <w:tcW w:w="1014" w:type="dxa"/>
            <w:vAlign w:val="top"/>
          </w:tcPr>
          <w:p w14:paraId="704040EC">
            <w:pPr>
              <w:pStyle w:val="43"/>
            </w:pPr>
          </w:p>
        </w:tc>
      </w:tr>
      <w:tr w14:paraId="4869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3872054A">
            <w:pPr>
              <w:pStyle w:val="43"/>
            </w:pPr>
          </w:p>
        </w:tc>
        <w:tc>
          <w:tcPr>
            <w:tcW w:w="1481" w:type="dxa"/>
            <w:vAlign w:val="top"/>
          </w:tcPr>
          <w:p w14:paraId="49BA7176">
            <w:pPr>
              <w:pStyle w:val="43"/>
            </w:pPr>
          </w:p>
        </w:tc>
        <w:tc>
          <w:tcPr>
            <w:tcW w:w="2383" w:type="dxa"/>
            <w:vAlign w:val="top"/>
          </w:tcPr>
          <w:p w14:paraId="0067C398">
            <w:pPr>
              <w:pStyle w:val="43"/>
            </w:pPr>
          </w:p>
        </w:tc>
        <w:tc>
          <w:tcPr>
            <w:tcW w:w="2125" w:type="dxa"/>
            <w:vAlign w:val="top"/>
          </w:tcPr>
          <w:p w14:paraId="7DB2CC60">
            <w:pPr>
              <w:pStyle w:val="43"/>
            </w:pPr>
          </w:p>
        </w:tc>
        <w:tc>
          <w:tcPr>
            <w:tcW w:w="1874" w:type="dxa"/>
            <w:vAlign w:val="top"/>
          </w:tcPr>
          <w:p w14:paraId="13756845">
            <w:pPr>
              <w:pStyle w:val="43"/>
            </w:pPr>
          </w:p>
        </w:tc>
        <w:tc>
          <w:tcPr>
            <w:tcW w:w="1014" w:type="dxa"/>
            <w:vAlign w:val="top"/>
          </w:tcPr>
          <w:p w14:paraId="5232D01A">
            <w:pPr>
              <w:pStyle w:val="43"/>
            </w:pPr>
          </w:p>
        </w:tc>
      </w:tr>
    </w:tbl>
    <w:p w14:paraId="5A98D0B7">
      <w:pPr>
        <w:spacing w:line="264" w:lineRule="auto"/>
        <w:rPr>
          <w:rFonts w:ascii="Arial"/>
          <w:sz w:val="21"/>
        </w:rPr>
      </w:pPr>
    </w:p>
    <w:p w14:paraId="3DF75FF8">
      <w:pPr>
        <w:spacing w:line="264" w:lineRule="auto"/>
        <w:rPr>
          <w:rFonts w:ascii="Arial"/>
          <w:sz w:val="21"/>
        </w:rPr>
      </w:pPr>
    </w:p>
    <w:p w14:paraId="77ACA3C7">
      <w:pPr>
        <w:spacing w:line="264" w:lineRule="auto"/>
        <w:rPr>
          <w:rFonts w:ascii="Arial"/>
          <w:sz w:val="21"/>
        </w:rPr>
      </w:pPr>
    </w:p>
    <w:p w14:paraId="22457177">
      <w:pPr>
        <w:pStyle w:val="10"/>
        <w:spacing w:before="78" w:line="224" w:lineRule="auto"/>
        <w:ind w:left="304"/>
        <w:rPr>
          <w:sz w:val="24"/>
          <w:szCs w:val="24"/>
        </w:rPr>
      </w:pPr>
      <w:r>
        <w:rPr>
          <w:spacing w:val="-17"/>
          <w:sz w:val="24"/>
          <w:szCs w:val="24"/>
        </w:rPr>
        <w:t>注：</w:t>
      </w:r>
    </w:p>
    <w:p w14:paraId="1842B4A3">
      <w:pPr>
        <w:pStyle w:val="10"/>
        <w:spacing w:before="20" w:line="229" w:lineRule="auto"/>
        <w:ind w:left="330" w:right="377" w:hanging="9"/>
        <w:rPr>
          <w:sz w:val="24"/>
          <w:szCs w:val="24"/>
        </w:rPr>
      </w:pPr>
      <w:r>
        <w:rPr>
          <w:rFonts w:ascii="Arial" w:hAnsi="Arial" w:eastAsia="Arial" w:cs="Arial"/>
          <w:sz w:val="24"/>
          <w:szCs w:val="24"/>
        </w:rPr>
        <w:t>1.</w:t>
      </w:r>
      <w:r>
        <w:rPr>
          <w:rFonts w:ascii="Arial" w:hAnsi="Arial" w:eastAsia="Arial" w:cs="Arial"/>
          <w:spacing w:val="63"/>
          <w:sz w:val="24"/>
          <w:szCs w:val="24"/>
        </w:rPr>
        <w:t xml:space="preserve"> </w:t>
      </w:r>
      <w:r>
        <w:rPr>
          <w:sz w:val="24"/>
          <w:szCs w:val="24"/>
        </w:rPr>
        <w:t>对招标文件中的所有商务、技术要求，除本表所列明的所有偏</w:t>
      </w:r>
      <w:r>
        <w:rPr>
          <w:spacing w:val="-1"/>
          <w:sz w:val="24"/>
          <w:szCs w:val="24"/>
        </w:rPr>
        <w:t>离外，均视作供应商</w:t>
      </w:r>
      <w:r>
        <w:rPr>
          <w:sz w:val="24"/>
          <w:szCs w:val="24"/>
        </w:rPr>
        <w:t xml:space="preserve"> </w:t>
      </w:r>
      <w:r>
        <w:rPr>
          <w:spacing w:val="-1"/>
          <w:sz w:val="24"/>
          <w:szCs w:val="24"/>
        </w:rPr>
        <w:t>已对之理解和响应。此表中若无任何文字说</w:t>
      </w:r>
      <w:r>
        <w:rPr>
          <w:spacing w:val="-2"/>
          <w:sz w:val="24"/>
          <w:szCs w:val="24"/>
        </w:rPr>
        <w:t>明，内容为空白的，</w:t>
      </w:r>
      <w:r>
        <w:rPr>
          <w:b/>
          <w:bCs/>
          <w:spacing w:val="-2"/>
          <w:sz w:val="24"/>
          <w:szCs w:val="24"/>
        </w:rPr>
        <w:t>投标无效。</w:t>
      </w:r>
    </w:p>
    <w:p w14:paraId="30D5F291">
      <w:pPr>
        <w:pStyle w:val="10"/>
        <w:spacing w:before="25" w:line="220" w:lineRule="auto"/>
        <w:ind w:left="312"/>
        <w:rPr>
          <w:sz w:val="24"/>
          <w:szCs w:val="24"/>
        </w:rPr>
      </w:pPr>
      <w:r>
        <w:rPr>
          <w:rFonts w:ascii="Arial" w:hAnsi="Arial" w:eastAsia="Arial" w:cs="Arial"/>
          <w:spacing w:val="10"/>
          <w:sz w:val="24"/>
          <w:szCs w:val="24"/>
        </w:rPr>
        <w:t>2.“</w:t>
      </w:r>
      <w:r>
        <w:rPr>
          <w:spacing w:val="10"/>
          <w:sz w:val="24"/>
          <w:szCs w:val="24"/>
        </w:rPr>
        <w:t>偏离情况</w:t>
      </w:r>
      <w:r>
        <w:rPr>
          <w:rFonts w:ascii="Arial" w:hAnsi="Arial" w:eastAsia="Arial" w:cs="Arial"/>
          <w:spacing w:val="10"/>
          <w:sz w:val="24"/>
          <w:szCs w:val="24"/>
        </w:rPr>
        <w:t>”</w:t>
      </w:r>
      <w:r>
        <w:rPr>
          <w:spacing w:val="10"/>
          <w:sz w:val="24"/>
          <w:szCs w:val="24"/>
        </w:rPr>
        <w:t>列应据实填写</w:t>
      </w:r>
      <w:r>
        <w:rPr>
          <w:rFonts w:ascii="Arial" w:hAnsi="Arial" w:eastAsia="Arial" w:cs="Arial"/>
          <w:spacing w:val="10"/>
          <w:sz w:val="24"/>
          <w:szCs w:val="24"/>
        </w:rPr>
        <w:t>“</w:t>
      </w:r>
      <w:r>
        <w:rPr>
          <w:spacing w:val="10"/>
          <w:sz w:val="24"/>
          <w:szCs w:val="24"/>
        </w:rPr>
        <w:t>无偏离</w:t>
      </w:r>
      <w:r>
        <w:rPr>
          <w:rFonts w:ascii="Arial" w:hAnsi="Arial" w:eastAsia="Arial" w:cs="Arial"/>
          <w:spacing w:val="10"/>
          <w:sz w:val="24"/>
          <w:szCs w:val="24"/>
        </w:rPr>
        <w:t>”</w:t>
      </w:r>
      <w:r>
        <w:rPr>
          <w:rFonts w:ascii="Arial" w:hAnsi="Arial" w:eastAsia="Arial" w:cs="Arial"/>
          <w:spacing w:val="-41"/>
          <w:sz w:val="24"/>
          <w:szCs w:val="24"/>
        </w:rPr>
        <w:t xml:space="preserve"> </w:t>
      </w:r>
      <w:r>
        <w:rPr>
          <w:spacing w:val="10"/>
          <w:sz w:val="24"/>
          <w:szCs w:val="24"/>
        </w:rPr>
        <w:t>、</w:t>
      </w:r>
      <w:r>
        <w:rPr>
          <w:rFonts w:ascii="Arial" w:hAnsi="Arial" w:eastAsia="Arial" w:cs="Arial"/>
          <w:spacing w:val="10"/>
          <w:sz w:val="24"/>
          <w:szCs w:val="24"/>
        </w:rPr>
        <w:t>“</w:t>
      </w:r>
      <w:r>
        <w:rPr>
          <w:spacing w:val="10"/>
          <w:sz w:val="24"/>
          <w:szCs w:val="24"/>
        </w:rPr>
        <w:t>正偏离</w:t>
      </w:r>
      <w:r>
        <w:rPr>
          <w:rFonts w:ascii="Arial" w:hAnsi="Arial" w:eastAsia="Arial" w:cs="Arial"/>
          <w:spacing w:val="10"/>
          <w:sz w:val="24"/>
          <w:szCs w:val="24"/>
        </w:rPr>
        <w:t>”</w:t>
      </w:r>
      <w:r>
        <w:rPr>
          <w:spacing w:val="10"/>
          <w:sz w:val="24"/>
          <w:szCs w:val="24"/>
        </w:rPr>
        <w:t>或</w:t>
      </w:r>
      <w:r>
        <w:rPr>
          <w:rFonts w:ascii="Arial" w:hAnsi="Arial" w:eastAsia="Arial" w:cs="Arial"/>
          <w:spacing w:val="10"/>
          <w:sz w:val="24"/>
          <w:szCs w:val="24"/>
        </w:rPr>
        <w:t>“</w:t>
      </w:r>
      <w:r>
        <w:rPr>
          <w:rFonts w:ascii="Arial" w:hAnsi="Arial" w:eastAsia="Arial" w:cs="Arial"/>
          <w:spacing w:val="-47"/>
          <w:sz w:val="24"/>
          <w:szCs w:val="24"/>
        </w:rPr>
        <w:t xml:space="preserve"> </w:t>
      </w:r>
      <w:r>
        <w:rPr>
          <w:spacing w:val="10"/>
          <w:sz w:val="24"/>
          <w:szCs w:val="24"/>
        </w:rPr>
        <w:t>负偏离</w:t>
      </w:r>
      <w:r>
        <w:rPr>
          <w:rFonts w:ascii="Arial" w:hAnsi="Arial" w:eastAsia="Arial" w:cs="Arial"/>
          <w:spacing w:val="10"/>
          <w:sz w:val="24"/>
          <w:szCs w:val="24"/>
        </w:rPr>
        <w:t>”</w:t>
      </w:r>
      <w:r>
        <w:rPr>
          <w:spacing w:val="10"/>
          <w:sz w:val="24"/>
          <w:szCs w:val="24"/>
        </w:rPr>
        <w:t>。</w:t>
      </w:r>
    </w:p>
    <w:p w14:paraId="567A2E66">
      <w:pPr>
        <w:spacing w:line="249" w:lineRule="auto"/>
        <w:rPr>
          <w:rFonts w:ascii="Arial"/>
          <w:sz w:val="21"/>
        </w:rPr>
      </w:pPr>
    </w:p>
    <w:p w14:paraId="54802449">
      <w:pPr>
        <w:spacing w:line="249" w:lineRule="auto"/>
        <w:rPr>
          <w:rFonts w:ascii="Arial"/>
          <w:sz w:val="21"/>
        </w:rPr>
      </w:pPr>
    </w:p>
    <w:p w14:paraId="6B741E0C">
      <w:pPr>
        <w:spacing w:line="249" w:lineRule="auto"/>
        <w:rPr>
          <w:rFonts w:ascii="Arial"/>
          <w:sz w:val="21"/>
        </w:rPr>
      </w:pPr>
    </w:p>
    <w:p w14:paraId="76EAE096">
      <w:pPr>
        <w:spacing w:line="250" w:lineRule="auto"/>
        <w:rPr>
          <w:rFonts w:ascii="Arial"/>
          <w:sz w:val="21"/>
        </w:rPr>
      </w:pPr>
    </w:p>
    <w:p w14:paraId="6C5F0F32">
      <w:pPr>
        <w:spacing w:line="250" w:lineRule="auto"/>
        <w:rPr>
          <w:rFonts w:ascii="Arial"/>
          <w:sz w:val="21"/>
        </w:rPr>
      </w:pPr>
    </w:p>
    <w:p w14:paraId="2ABC785D">
      <w:pPr>
        <w:pStyle w:val="10"/>
        <w:spacing w:before="79" w:line="188" w:lineRule="auto"/>
        <w:ind w:left="307"/>
        <w:rPr>
          <w:sz w:val="24"/>
          <w:szCs w:val="24"/>
        </w:rPr>
      </w:pPr>
      <w:r>
        <w:rPr>
          <w:spacing w:val="-14"/>
          <w:sz w:val="24"/>
          <w:szCs w:val="24"/>
        </w:rPr>
        <w:t>投标人名称（加盖公章</w:t>
      </w:r>
      <w:r>
        <w:rPr>
          <w:spacing w:val="-5"/>
          <w:sz w:val="24"/>
          <w:szCs w:val="24"/>
        </w:rPr>
        <w:t>）：</w:t>
      </w:r>
    </w:p>
    <w:p w14:paraId="2D19BB4E">
      <w:pPr>
        <w:spacing w:line="19" w:lineRule="exact"/>
        <w:ind w:left="3533"/>
        <w:rPr>
          <w:rFonts w:ascii="Arial" w:hAnsi="Arial" w:eastAsia="Arial" w:cs="Arial"/>
          <w:sz w:val="24"/>
          <w:szCs w:val="24"/>
        </w:rPr>
      </w:pPr>
      <w:r>
        <w:rPr>
          <w:rFonts w:ascii="Arial" w:hAnsi="Arial" w:eastAsia="Arial" w:cs="Arial"/>
          <w:spacing w:val="-2"/>
          <w:position w:val="5"/>
          <w:sz w:val="24"/>
          <w:szCs w:val="24"/>
        </w:rPr>
        <w:t>___________</w:t>
      </w:r>
    </w:p>
    <w:p w14:paraId="1934AD3A">
      <w:pPr>
        <w:pStyle w:val="10"/>
        <w:spacing w:before="229" w:line="217" w:lineRule="auto"/>
        <w:ind w:left="346"/>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6219C3B2">
      <w:pPr>
        <w:spacing w:line="217" w:lineRule="auto"/>
        <w:rPr>
          <w:sz w:val="24"/>
          <w:szCs w:val="24"/>
        </w:rPr>
        <w:sectPr>
          <w:headerReference r:id="rId11" w:type="default"/>
          <w:footerReference r:id="rId12" w:type="default"/>
          <w:pgSz w:w="11907" w:h="16840"/>
          <w:pgMar w:top="1165" w:right="839" w:bottom="1060" w:left="1406" w:header="830" w:footer="886" w:gutter="0"/>
          <w:pgNumType w:fmt="decimal"/>
          <w:cols w:space="720" w:num="1"/>
        </w:sectPr>
      </w:pPr>
    </w:p>
    <w:p w14:paraId="03A58F74">
      <w:pPr>
        <w:pStyle w:val="10"/>
        <w:spacing w:before="288" w:line="219" w:lineRule="auto"/>
        <w:ind w:left="16"/>
        <w:rPr>
          <w:sz w:val="24"/>
          <w:szCs w:val="24"/>
        </w:rPr>
      </w:pPr>
      <w:r>
        <w:rPr>
          <w:rFonts w:ascii="Arial" w:hAnsi="Arial" w:eastAsia="Arial" w:cs="Arial"/>
          <w:spacing w:val="-4"/>
          <w:sz w:val="24"/>
          <w:szCs w:val="24"/>
        </w:rPr>
        <w:t>7</w:t>
      </w:r>
      <w:r>
        <w:rPr>
          <w:rFonts w:ascii="Arial" w:hAnsi="Arial" w:eastAsia="Arial" w:cs="Arial"/>
          <w:spacing w:val="13"/>
          <w:sz w:val="24"/>
          <w:szCs w:val="24"/>
        </w:rPr>
        <w:t xml:space="preserve">   </w:t>
      </w:r>
      <w:r>
        <w:rPr>
          <w:rFonts w:ascii="Arial" w:hAnsi="Arial" w:eastAsia="Arial" w:cs="Arial"/>
          <w:spacing w:val="1"/>
          <w:sz w:val="24"/>
          <w:szCs w:val="24"/>
        </w:rPr>
        <w:t xml:space="preserve">   </w:t>
      </w:r>
      <w:r>
        <w:rPr>
          <w:spacing w:val="1"/>
          <w:sz w:val="24"/>
          <w:szCs w:val="24"/>
        </w:rPr>
        <w:t>拟分包情况说明</w:t>
      </w:r>
    </w:p>
    <w:p w14:paraId="47856E86">
      <w:pPr>
        <w:spacing w:line="428" w:lineRule="auto"/>
        <w:rPr>
          <w:rFonts w:ascii="Arial"/>
          <w:sz w:val="21"/>
        </w:rPr>
      </w:pPr>
    </w:p>
    <w:p w14:paraId="19AAD54A">
      <w:pPr>
        <w:pStyle w:val="10"/>
        <w:spacing w:before="117" w:line="219" w:lineRule="auto"/>
        <w:ind w:left="3285"/>
        <w:rPr>
          <w:sz w:val="36"/>
          <w:szCs w:val="36"/>
        </w:rPr>
      </w:pPr>
      <w:r>
        <w:rPr>
          <w:b/>
          <w:bCs/>
          <w:spacing w:val="-5"/>
          <w:sz w:val="36"/>
          <w:szCs w:val="36"/>
        </w:rPr>
        <w:t>拟分包情况说明</w:t>
      </w:r>
    </w:p>
    <w:p w14:paraId="09F42834">
      <w:pPr>
        <w:pStyle w:val="10"/>
        <w:spacing w:before="255" w:line="219" w:lineRule="auto"/>
        <w:ind w:left="9"/>
        <w:rPr>
          <w:sz w:val="24"/>
          <w:szCs w:val="24"/>
        </w:rPr>
      </w:pPr>
      <w:r>
        <w:rPr>
          <w:spacing w:val="-10"/>
          <w:sz w:val="24"/>
          <w:szCs w:val="24"/>
        </w:rPr>
        <w:t>致</w:t>
      </w:r>
      <w:r>
        <w:rPr>
          <w:sz w:val="24"/>
          <w:szCs w:val="24"/>
        </w:rPr>
        <w:t>：</w:t>
      </w:r>
      <w:r>
        <w:rPr>
          <w:sz w:val="24"/>
          <w:szCs w:val="24"/>
          <w:u w:val="single" w:color="auto"/>
        </w:rPr>
        <w:t>（</w:t>
      </w:r>
      <w:r>
        <w:rPr>
          <w:spacing w:val="-10"/>
          <w:sz w:val="24"/>
          <w:szCs w:val="24"/>
          <w:u w:val="single" w:color="auto"/>
        </w:rPr>
        <w:t>采购人或采购代理机构）</w:t>
      </w:r>
    </w:p>
    <w:p w14:paraId="515551A6">
      <w:pPr>
        <w:pStyle w:val="10"/>
        <w:spacing w:before="183" w:line="352" w:lineRule="auto"/>
        <w:ind w:left="9" w:right="68" w:firstLine="481"/>
        <w:jc w:val="both"/>
        <w:rPr>
          <w:sz w:val="24"/>
          <w:szCs w:val="24"/>
        </w:rPr>
      </w:pPr>
      <w:r>
        <w:rPr>
          <w:spacing w:val="-2"/>
          <w:sz w:val="24"/>
          <w:szCs w:val="24"/>
        </w:rPr>
        <w:t>我单位参加贵单位组织采购的项目编号为</w:t>
      </w:r>
      <w:r>
        <w:rPr>
          <w:rFonts w:ascii="Arial" w:hAnsi="Arial" w:eastAsia="Arial" w:cs="Arial"/>
          <w:spacing w:val="-2"/>
          <w:sz w:val="24"/>
          <w:szCs w:val="24"/>
        </w:rPr>
        <w:t>______</w:t>
      </w:r>
      <w:r>
        <w:rPr>
          <w:rFonts w:ascii="Arial" w:hAnsi="Arial" w:eastAsia="Arial" w:cs="Arial"/>
          <w:spacing w:val="-38"/>
          <w:sz w:val="24"/>
          <w:szCs w:val="24"/>
        </w:rPr>
        <w:t xml:space="preserve"> </w:t>
      </w:r>
      <w:r>
        <w:rPr>
          <w:spacing w:val="-2"/>
          <w:sz w:val="24"/>
          <w:szCs w:val="24"/>
        </w:rPr>
        <w:t>的</w:t>
      </w:r>
      <w:r>
        <w:rPr>
          <w:rFonts w:ascii="Arial" w:hAnsi="Arial" w:eastAsia="Arial" w:cs="Arial"/>
          <w:spacing w:val="-2"/>
          <w:sz w:val="24"/>
          <w:szCs w:val="24"/>
        </w:rPr>
        <w:t>________</w:t>
      </w:r>
      <w:r>
        <w:rPr>
          <w:spacing w:val="-2"/>
          <w:sz w:val="24"/>
          <w:szCs w:val="24"/>
        </w:rPr>
        <w:t>项目（填写采购项目</w:t>
      </w:r>
      <w:r>
        <w:rPr>
          <w:sz w:val="24"/>
          <w:szCs w:val="24"/>
        </w:rPr>
        <w:t xml:space="preserve"> </w:t>
      </w:r>
      <w:r>
        <w:rPr>
          <w:spacing w:val="-1"/>
          <w:sz w:val="24"/>
          <w:szCs w:val="24"/>
        </w:rPr>
        <w:t>名称）中</w:t>
      </w:r>
      <w:r>
        <w:rPr>
          <w:rFonts w:ascii="Arial" w:hAnsi="Arial" w:eastAsia="Arial" w:cs="Arial"/>
          <w:spacing w:val="-1"/>
          <w:sz w:val="24"/>
          <w:szCs w:val="24"/>
        </w:rPr>
        <w:t>___</w:t>
      </w:r>
      <w:r>
        <w:rPr>
          <w:spacing w:val="-1"/>
          <w:sz w:val="24"/>
          <w:szCs w:val="24"/>
        </w:rPr>
        <w:t>包（填写包号）的投标。拟签订分包合同的单</w:t>
      </w:r>
      <w:r>
        <w:rPr>
          <w:spacing w:val="-2"/>
          <w:sz w:val="24"/>
          <w:szCs w:val="24"/>
        </w:rPr>
        <w:t>位情况如下表所示，我单位</w:t>
      </w:r>
      <w:r>
        <w:rPr>
          <w:sz w:val="24"/>
          <w:szCs w:val="24"/>
        </w:rPr>
        <w:t xml:space="preserve"> </w:t>
      </w:r>
      <w:r>
        <w:rPr>
          <w:spacing w:val="-2"/>
          <w:sz w:val="24"/>
          <w:szCs w:val="24"/>
        </w:rPr>
        <w:t>承诺一旦在该项目中获得采购合同将按下表所列情况进行分包，同时承诺分包承担主体</w:t>
      </w:r>
      <w:r>
        <w:rPr>
          <w:spacing w:val="18"/>
          <w:sz w:val="24"/>
          <w:szCs w:val="24"/>
        </w:rPr>
        <w:t xml:space="preserve"> </w:t>
      </w:r>
      <w:r>
        <w:rPr>
          <w:spacing w:val="-6"/>
          <w:sz w:val="24"/>
          <w:szCs w:val="24"/>
        </w:rPr>
        <w:t>不再次分包。</w:t>
      </w:r>
    </w:p>
    <w:tbl>
      <w:tblPr>
        <w:tblStyle w:val="40"/>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284B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1" w:type="dxa"/>
            <w:textDirection w:val="tbRlV"/>
            <w:vAlign w:val="top"/>
          </w:tcPr>
          <w:p w14:paraId="206F2972">
            <w:pPr>
              <w:spacing w:before="107" w:line="210" w:lineRule="auto"/>
              <w:ind w:left="195"/>
              <w:rPr>
                <w:rFonts w:ascii="宋体" w:hAnsi="宋体" w:eastAsia="宋体" w:cs="宋体"/>
                <w:sz w:val="24"/>
                <w:szCs w:val="24"/>
              </w:rPr>
            </w:pPr>
            <w:r>
              <w:rPr>
                <w:rFonts w:ascii="宋体" w:hAnsi="宋体" w:eastAsia="宋体" w:cs="宋体"/>
                <w:spacing w:val="36"/>
                <w:sz w:val="24"/>
                <w:szCs w:val="24"/>
              </w:rPr>
              <w:t>序号</w:t>
            </w:r>
          </w:p>
        </w:tc>
        <w:tc>
          <w:tcPr>
            <w:tcW w:w="1286" w:type="dxa"/>
            <w:vAlign w:val="top"/>
          </w:tcPr>
          <w:p w14:paraId="5FC912AC">
            <w:pPr>
              <w:spacing w:before="195" w:line="220" w:lineRule="auto"/>
              <w:ind w:left="170"/>
              <w:rPr>
                <w:rFonts w:ascii="宋体" w:hAnsi="宋体" w:eastAsia="宋体" w:cs="宋体"/>
                <w:sz w:val="24"/>
                <w:szCs w:val="24"/>
              </w:rPr>
            </w:pPr>
            <w:r>
              <w:rPr>
                <w:rFonts w:ascii="宋体" w:hAnsi="宋体" w:eastAsia="宋体" w:cs="宋体"/>
                <w:spacing w:val="-3"/>
                <w:sz w:val="24"/>
                <w:szCs w:val="24"/>
              </w:rPr>
              <w:t>分包承担</w:t>
            </w:r>
          </w:p>
          <w:p w14:paraId="7EF86265">
            <w:pPr>
              <w:spacing w:before="25" w:line="222" w:lineRule="auto"/>
              <w:ind w:left="169"/>
              <w:rPr>
                <w:rFonts w:ascii="宋体" w:hAnsi="宋体" w:eastAsia="宋体" w:cs="宋体"/>
                <w:sz w:val="24"/>
                <w:szCs w:val="24"/>
              </w:rPr>
            </w:pPr>
            <w:r>
              <w:rPr>
                <w:rFonts w:ascii="宋体" w:hAnsi="宋体" w:eastAsia="宋体" w:cs="宋体"/>
                <w:spacing w:val="-3"/>
                <w:sz w:val="24"/>
                <w:szCs w:val="24"/>
              </w:rPr>
              <w:t>主体名称</w:t>
            </w:r>
          </w:p>
        </w:tc>
        <w:tc>
          <w:tcPr>
            <w:tcW w:w="1512" w:type="dxa"/>
            <w:vAlign w:val="top"/>
          </w:tcPr>
          <w:p w14:paraId="6C18780C">
            <w:pPr>
              <w:spacing w:before="42" w:line="220" w:lineRule="auto"/>
              <w:ind w:left="283"/>
              <w:rPr>
                <w:rFonts w:ascii="宋体" w:hAnsi="宋体" w:eastAsia="宋体" w:cs="宋体"/>
                <w:sz w:val="24"/>
                <w:szCs w:val="24"/>
              </w:rPr>
            </w:pPr>
            <w:r>
              <w:rPr>
                <w:rFonts w:ascii="宋体" w:hAnsi="宋体" w:eastAsia="宋体" w:cs="宋体"/>
                <w:spacing w:val="-3"/>
                <w:sz w:val="24"/>
                <w:szCs w:val="24"/>
              </w:rPr>
              <w:t>分包承担</w:t>
            </w:r>
          </w:p>
          <w:p w14:paraId="18A3FDAD">
            <w:pPr>
              <w:spacing w:before="23" w:line="220" w:lineRule="auto"/>
              <w:ind w:left="282"/>
              <w:rPr>
                <w:rFonts w:ascii="宋体" w:hAnsi="宋体" w:eastAsia="宋体" w:cs="宋体"/>
                <w:sz w:val="24"/>
                <w:szCs w:val="24"/>
              </w:rPr>
            </w:pPr>
            <w:r>
              <w:rPr>
                <w:rFonts w:ascii="宋体" w:hAnsi="宋体" w:eastAsia="宋体" w:cs="宋体"/>
                <w:spacing w:val="-3"/>
                <w:sz w:val="24"/>
                <w:szCs w:val="24"/>
              </w:rPr>
              <w:t>主体类型</w:t>
            </w:r>
          </w:p>
          <w:p w14:paraId="1852AB5C">
            <w:pPr>
              <w:spacing w:before="26" w:line="207" w:lineRule="auto"/>
              <w:ind w:left="287"/>
              <w:rPr>
                <w:rFonts w:ascii="宋体" w:hAnsi="宋体" w:eastAsia="宋体" w:cs="宋体"/>
                <w:sz w:val="24"/>
                <w:szCs w:val="24"/>
              </w:rPr>
            </w:pPr>
            <w:r>
              <w:rPr>
                <w:rFonts w:ascii="宋体" w:hAnsi="宋体" w:eastAsia="宋体" w:cs="宋体"/>
                <w:spacing w:val="-6"/>
                <w:sz w:val="24"/>
                <w:szCs w:val="24"/>
              </w:rPr>
              <w:t>（选择）</w:t>
            </w:r>
          </w:p>
        </w:tc>
        <w:tc>
          <w:tcPr>
            <w:tcW w:w="1124" w:type="dxa"/>
            <w:vAlign w:val="top"/>
          </w:tcPr>
          <w:p w14:paraId="236DAF2D">
            <w:pPr>
              <w:pStyle w:val="43"/>
              <w:spacing w:line="271" w:lineRule="auto"/>
            </w:pPr>
          </w:p>
          <w:p w14:paraId="2F24C85A">
            <w:pPr>
              <w:spacing w:before="78" w:line="219" w:lineRule="auto"/>
              <w:ind w:left="99"/>
              <w:rPr>
                <w:rFonts w:ascii="宋体" w:hAnsi="宋体" w:eastAsia="宋体" w:cs="宋体"/>
                <w:sz w:val="24"/>
                <w:szCs w:val="24"/>
              </w:rPr>
            </w:pPr>
            <w:r>
              <w:rPr>
                <w:rFonts w:ascii="宋体" w:hAnsi="宋体" w:eastAsia="宋体" w:cs="宋体"/>
                <w:spacing w:val="-4"/>
                <w:sz w:val="24"/>
                <w:szCs w:val="24"/>
              </w:rPr>
              <w:t>资质等级</w:t>
            </w:r>
          </w:p>
        </w:tc>
        <w:tc>
          <w:tcPr>
            <w:tcW w:w="1560" w:type="dxa"/>
            <w:vAlign w:val="top"/>
          </w:tcPr>
          <w:p w14:paraId="2DB038E0">
            <w:pPr>
              <w:spacing w:before="195" w:line="242" w:lineRule="auto"/>
              <w:ind w:left="307" w:right="298" w:firstLine="119"/>
              <w:rPr>
                <w:rFonts w:ascii="宋体" w:hAnsi="宋体" w:eastAsia="宋体" w:cs="宋体"/>
                <w:sz w:val="24"/>
                <w:szCs w:val="24"/>
              </w:rPr>
            </w:pPr>
            <w:r>
              <w:rPr>
                <w:rFonts w:ascii="宋体" w:hAnsi="宋体" w:eastAsia="宋体" w:cs="宋体"/>
                <w:spacing w:val="-4"/>
                <w:sz w:val="24"/>
                <w:szCs w:val="24"/>
              </w:rPr>
              <w:t>拟分包</w:t>
            </w:r>
            <w:r>
              <w:rPr>
                <w:rFonts w:ascii="宋体" w:hAnsi="宋体" w:eastAsia="宋体" w:cs="宋体"/>
                <w:sz w:val="24"/>
                <w:szCs w:val="24"/>
              </w:rPr>
              <w:t xml:space="preserve">  </w:t>
            </w:r>
            <w:r>
              <w:rPr>
                <w:rFonts w:ascii="宋体" w:hAnsi="宋体" w:eastAsia="宋体" w:cs="宋体"/>
                <w:spacing w:val="-3"/>
                <w:sz w:val="24"/>
                <w:szCs w:val="24"/>
              </w:rPr>
              <w:t>合同内容</w:t>
            </w:r>
          </w:p>
        </w:tc>
        <w:tc>
          <w:tcPr>
            <w:tcW w:w="1497" w:type="dxa"/>
            <w:vAlign w:val="top"/>
          </w:tcPr>
          <w:p w14:paraId="5C6ABB13">
            <w:pPr>
              <w:spacing w:before="42" w:line="219" w:lineRule="auto"/>
              <w:ind w:left="397"/>
              <w:rPr>
                <w:rFonts w:ascii="宋体" w:hAnsi="宋体" w:eastAsia="宋体" w:cs="宋体"/>
                <w:sz w:val="24"/>
                <w:szCs w:val="24"/>
              </w:rPr>
            </w:pPr>
            <w:r>
              <w:rPr>
                <w:rFonts w:ascii="宋体" w:hAnsi="宋体" w:eastAsia="宋体" w:cs="宋体"/>
                <w:spacing w:val="-3"/>
                <w:sz w:val="24"/>
                <w:szCs w:val="24"/>
              </w:rPr>
              <w:t>拟分包</w:t>
            </w:r>
          </w:p>
          <w:p w14:paraId="7E4F29ED">
            <w:pPr>
              <w:spacing w:before="23" w:line="224" w:lineRule="auto"/>
              <w:ind w:left="43" w:right="39" w:firstLine="234"/>
              <w:rPr>
                <w:rFonts w:ascii="宋体" w:hAnsi="宋体" w:eastAsia="宋体" w:cs="宋体"/>
                <w:sz w:val="24"/>
                <w:szCs w:val="24"/>
              </w:rPr>
            </w:pPr>
            <w:r>
              <w:rPr>
                <w:rFonts w:ascii="宋体" w:hAnsi="宋体" w:eastAsia="宋体" w:cs="宋体"/>
                <w:spacing w:val="-3"/>
                <w:sz w:val="24"/>
                <w:szCs w:val="24"/>
              </w:rPr>
              <w:t>合同金额</w:t>
            </w:r>
            <w:r>
              <w:rPr>
                <w:rFonts w:ascii="宋体" w:hAnsi="宋体" w:eastAsia="宋体" w:cs="宋体"/>
                <w:sz w:val="24"/>
                <w:szCs w:val="24"/>
              </w:rPr>
              <w:t xml:space="preserve">   </w:t>
            </w:r>
            <w:r>
              <w:rPr>
                <w:rFonts w:ascii="宋体" w:hAnsi="宋体" w:eastAsia="宋体" w:cs="宋体"/>
                <w:spacing w:val="-6"/>
                <w:sz w:val="24"/>
                <w:szCs w:val="24"/>
              </w:rPr>
              <w:t>（人民币元）</w:t>
            </w:r>
          </w:p>
        </w:tc>
        <w:tc>
          <w:tcPr>
            <w:tcW w:w="1569" w:type="dxa"/>
            <w:vAlign w:val="top"/>
          </w:tcPr>
          <w:p w14:paraId="59503262">
            <w:pPr>
              <w:pStyle w:val="43"/>
              <w:spacing w:before="194" w:line="243" w:lineRule="auto"/>
              <w:ind w:left="91" w:right="75" w:firstLine="139"/>
              <w:rPr>
                <w:rFonts w:ascii="宋体" w:hAnsi="宋体" w:eastAsia="宋体" w:cs="宋体"/>
                <w:sz w:val="24"/>
                <w:szCs w:val="24"/>
              </w:rPr>
            </w:pPr>
            <w:r>
              <w:rPr>
                <w:rFonts w:ascii="宋体" w:hAnsi="宋体" w:eastAsia="宋体" w:cs="宋体"/>
                <w:b/>
                <w:bCs/>
                <w:spacing w:val="-12"/>
                <w:sz w:val="24"/>
                <w:szCs w:val="24"/>
              </w:rPr>
              <w:t>占合同金额</w:t>
            </w:r>
            <w:r>
              <w:rPr>
                <w:rFonts w:ascii="宋体" w:hAnsi="宋体" w:eastAsia="宋体" w:cs="宋体"/>
                <w:spacing w:val="1"/>
                <w:sz w:val="24"/>
                <w:szCs w:val="24"/>
              </w:rPr>
              <w:t xml:space="preserve">  </w:t>
            </w:r>
            <w:r>
              <w:rPr>
                <w:rFonts w:ascii="宋体" w:hAnsi="宋体" w:eastAsia="宋体" w:cs="宋体"/>
                <w:b/>
                <w:bCs/>
                <w:spacing w:val="-5"/>
                <w:sz w:val="24"/>
                <w:szCs w:val="24"/>
              </w:rPr>
              <w:t>的比例（</w:t>
            </w:r>
            <w:r>
              <w:rPr>
                <w:b/>
                <w:bCs/>
                <w:spacing w:val="-5"/>
                <w:sz w:val="24"/>
                <w:szCs w:val="24"/>
              </w:rPr>
              <w:t>%</w:t>
            </w:r>
            <w:r>
              <w:rPr>
                <w:rFonts w:ascii="宋体" w:hAnsi="宋体" w:eastAsia="宋体" w:cs="宋体"/>
                <w:b/>
                <w:bCs/>
                <w:spacing w:val="-5"/>
                <w:sz w:val="24"/>
                <w:szCs w:val="24"/>
              </w:rPr>
              <w:t>）</w:t>
            </w:r>
          </w:p>
        </w:tc>
      </w:tr>
      <w:tr w14:paraId="277C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1" w:type="dxa"/>
            <w:vAlign w:val="top"/>
          </w:tcPr>
          <w:p w14:paraId="384E5CEE">
            <w:pPr>
              <w:pStyle w:val="43"/>
              <w:spacing w:line="299" w:lineRule="auto"/>
            </w:pPr>
          </w:p>
          <w:p w14:paraId="559EB06B">
            <w:pPr>
              <w:pStyle w:val="43"/>
              <w:spacing w:before="69" w:line="199" w:lineRule="auto"/>
              <w:ind w:left="177"/>
              <w:rPr>
                <w:sz w:val="24"/>
                <w:szCs w:val="24"/>
              </w:rPr>
            </w:pPr>
            <w:r>
              <w:rPr>
                <w:sz w:val="24"/>
                <w:szCs w:val="24"/>
              </w:rPr>
              <w:t>1</w:t>
            </w:r>
          </w:p>
        </w:tc>
        <w:tc>
          <w:tcPr>
            <w:tcW w:w="1286" w:type="dxa"/>
            <w:vAlign w:val="top"/>
          </w:tcPr>
          <w:p w14:paraId="59F38F25">
            <w:pPr>
              <w:pStyle w:val="43"/>
            </w:pPr>
          </w:p>
        </w:tc>
        <w:tc>
          <w:tcPr>
            <w:tcW w:w="1512" w:type="dxa"/>
            <w:vAlign w:val="top"/>
          </w:tcPr>
          <w:p w14:paraId="6F16B4BD">
            <w:pPr>
              <w:pStyle w:val="43"/>
              <w:spacing w:before="36"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180EF521">
            <w:pPr>
              <w:pStyle w:val="43"/>
              <w:spacing w:before="23" w:line="223"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rFonts w:ascii="宋体" w:hAnsi="宋体" w:eastAsia="宋体" w:cs="宋体"/>
                <w:spacing w:val="2"/>
                <w:sz w:val="24"/>
                <w:szCs w:val="24"/>
              </w:rPr>
              <w:t xml:space="preserve"> </w:t>
            </w:r>
            <w:r>
              <w:rPr>
                <w:spacing w:val="19"/>
                <w:sz w:val="24"/>
                <w:szCs w:val="24"/>
              </w:rPr>
              <w:t>□</w:t>
            </w:r>
            <w:r>
              <w:rPr>
                <w:rFonts w:ascii="宋体" w:hAnsi="宋体" w:eastAsia="宋体" w:cs="宋体"/>
                <w:spacing w:val="19"/>
                <w:sz w:val="24"/>
                <w:szCs w:val="24"/>
              </w:rPr>
              <w:t>其他</w:t>
            </w:r>
          </w:p>
        </w:tc>
        <w:tc>
          <w:tcPr>
            <w:tcW w:w="1124" w:type="dxa"/>
            <w:vAlign w:val="top"/>
          </w:tcPr>
          <w:p w14:paraId="62A67990">
            <w:pPr>
              <w:pStyle w:val="43"/>
            </w:pPr>
          </w:p>
        </w:tc>
        <w:tc>
          <w:tcPr>
            <w:tcW w:w="1560" w:type="dxa"/>
            <w:vAlign w:val="top"/>
          </w:tcPr>
          <w:p w14:paraId="08A4EF42">
            <w:pPr>
              <w:pStyle w:val="43"/>
            </w:pPr>
          </w:p>
        </w:tc>
        <w:tc>
          <w:tcPr>
            <w:tcW w:w="1497" w:type="dxa"/>
            <w:vAlign w:val="top"/>
          </w:tcPr>
          <w:p w14:paraId="13DF3D6B">
            <w:pPr>
              <w:pStyle w:val="43"/>
            </w:pPr>
          </w:p>
        </w:tc>
        <w:tc>
          <w:tcPr>
            <w:tcW w:w="1569" w:type="dxa"/>
            <w:vAlign w:val="top"/>
          </w:tcPr>
          <w:p w14:paraId="536140C3">
            <w:pPr>
              <w:pStyle w:val="43"/>
            </w:pPr>
          </w:p>
        </w:tc>
      </w:tr>
      <w:tr w14:paraId="020A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vAlign w:val="top"/>
          </w:tcPr>
          <w:p w14:paraId="2E399F99">
            <w:pPr>
              <w:pStyle w:val="43"/>
              <w:spacing w:line="300" w:lineRule="auto"/>
            </w:pPr>
          </w:p>
          <w:p w14:paraId="42BCF92C">
            <w:pPr>
              <w:pStyle w:val="43"/>
              <w:spacing w:before="69" w:line="201" w:lineRule="auto"/>
              <w:ind w:left="168"/>
              <w:rPr>
                <w:sz w:val="24"/>
                <w:szCs w:val="24"/>
              </w:rPr>
            </w:pPr>
            <w:r>
              <w:rPr>
                <w:spacing w:val="1"/>
                <w:sz w:val="24"/>
                <w:szCs w:val="24"/>
              </w:rPr>
              <w:t>2</w:t>
            </w:r>
          </w:p>
        </w:tc>
        <w:tc>
          <w:tcPr>
            <w:tcW w:w="1286" w:type="dxa"/>
            <w:vAlign w:val="top"/>
          </w:tcPr>
          <w:p w14:paraId="5A75CAE9">
            <w:pPr>
              <w:pStyle w:val="43"/>
            </w:pPr>
          </w:p>
        </w:tc>
        <w:tc>
          <w:tcPr>
            <w:tcW w:w="1512" w:type="dxa"/>
            <w:vAlign w:val="top"/>
          </w:tcPr>
          <w:p w14:paraId="67181F46">
            <w:pPr>
              <w:pStyle w:val="43"/>
              <w:spacing w:before="38"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0978890E">
            <w:pPr>
              <w:pStyle w:val="43"/>
              <w:spacing w:before="25" w:line="222"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rFonts w:ascii="宋体" w:hAnsi="宋体" w:eastAsia="宋体" w:cs="宋体"/>
                <w:spacing w:val="2"/>
                <w:sz w:val="24"/>
                <w:szCs w:val="24"/>
              </w:rPr>
              <w:t xml:space="preserve"> </w:t>
            </w:r>
            <w:r>
              <w:rPr>
                <w:spacing w:val="19"/>
                <w:sz w:val="24"/>
                <w:szCs w:val="24"/>
              </w:rPr>
              <w:t>□</w:t>
            </w:r>
            <w:r>
              <w:rPr>
                <w:rFonts w:ascii="宋体" w:hAnsi="宋体" w:eastAsia="宋体" w:cs="宋体"/>
                <w:spacing w:val="19"/>
                <w:sz w:val="24"/>
                <w:szCs w:val="24"/>
              </w:rPr>
              <w:t>其他</w:t>
            </w:r>
          </w:p>
        </w:tc>
        <w:tc>
          <w:tcPr>
            <w:tcW w:w="1124" w:type="dxa"/>
            <w:vAlign w:val="top"/>
          </w:tcPr>
          <w:p w14:paraId="5157C222">
            <w:pPr>
              <w:pStyle w:val="43"/>
            </w:pPr>
          </w:p>
        </w:tc>
        <w:tc>
          <w:tcPr>
            <w:tcW w:w="1560" w:type="dxa"/>
            <w:vAlign w:val="top"/>
          </w:tcPr>
          <w:p w14:paraId="3A6B6D73">
            <w:pPr>
              <w:pStyle w:val="43"/>
            </w:pPr>
          </w:p>
        </w:tc>
        <w:tc>
          <w:tcPr>
            <w:tcW w:w="1497" w:type="dxa"/>
            <w:vAlign w:val="top"/>
          </w:tcPr>
          <w:p w14:paraId="1C8C41AF">
            <w:pPr>
              <w:pStyle w:val="43"/>
            </w:pPr>
          </w:p>
        </w:tc>
        <w:tc>
          <w:tcPr>
            <w:tcW w:w="1569" w:type="dxa"/>
            <w:vAlign w:val="top"/>
          </w:tcPr>
          <w:p w14:paraId="715D75FA">
            <w:pPr>
              <w:pStyle w:val="43"/>
            </w:pPr>
          </w:p>
        </w:tc>
      </w:tr>
      <w:tr w14:paraId="3EC1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9C95992">
            <w:pPr>
              <w:pStyle w:val="43"/>
              <w:spacing w:line="295" w:lineRule="auto"/>
            </w:pPr>
          </w:p>
          <w:p w14:paraId="0AFF1352">
            <w:pPr>
              <w:pStyle w:val="43"/>
              <w:spacing w:before="69" w:line="80" w:lineRule="exact"/>
              <w:ind w:left="135"/>
              <w:rPr>
                <w:sz w:val="24"/>
                <w:szCs w:val="24"/>
              </w:rPr>
            </w:pPr>
            <w:r>
              <w:rPr>
                <w:position w:val="1"/>
                <w:sz w:val="24"/>
                <w:szCs w:val="24"/>
              </w:rPr>
              <w:t>…</w:t>
            </w:r>
          </w:p>
        </w:tc>
        <w:tc>
          <w:tcPr>
            <w:tcW w:w="1286" w:type="dxa"/>
            <w:vAlign w:val="top"/>
          </w:tcPr>
          <w:p w14:paraId="6DD77E7F">
            <w:pPr>
              <w:pStyle w:val="43"/>
            </w:pPr>
          </w:p>
        </w:tc>
        <w:tc>
          <w:tcPr>
            <w:tcW w:w="1512" w:type="dxa"/>
            <w:vAlign w:val="top"/>
          </w:tcPr>
          <w:p w14:paraId="395DED07">
            <w:pPr>
              <w:pStyle w:val="43"/>
            </w:pPr>
          </w:p>
        </w:tc>
        <w:tc>
          <w:tcPr>
            <w:tcW w:w="1124" w:type="dxa"/>
            <w:vAlign w:val="top"/>
          </w:tcPr>
          <w:p w14:paraId="5AD53EF8">
            <w:pPr>
              <w:pStyle w:val="43"/>
            </w:pPr>
          </w:p>
        </w:tc>
        <w:tc>
          <w:tcPr>
            <w:tcW w:w="1560" w:type="dxa"/>
            <w:vAlign w:val="top"/>
          </w:tcPr>
          <w:p w14:paraId="41BA9B59">
            <w:pPr>
              <w:pStyle w:val="43"/>
            </w:pPr>
          </w:p>
        </w:tc>
        <w:tc>
          <w:tcPr>
            <w:tcW w:w="1497" w:type="dxa"/>
            <w:vAlign w:val="top"/>
          </w:tcPr>
          <w:p w14:paraId="0170713B">
            <w:pPr>
              <w:pStyle w:val="43"/>
            </w:pPr>
          </w:p>
        </w:tc>
        <w:tc>
          <w:tcPr>
            <w:tcW w:w="1569" w:type="dxa"/>
            <w:vAlign w:val="top"/>
          </w:tcPr>
          <w:p w14:paraId="62846ED2">
            <w:pPr>
              <w:pStyle w:val="43"/>
            </w:pPr>
          </w:p>
        </w:tc>
      </w:tr>
      <w:tr w14:paraId="0A53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vAlign w:val="top"/>
          </w:tcPr>
          <w:p w14:paraId="2B539920">
            <w:pPr>
              <w:spacing w:before="193" w:line="222" w:lineRule="auto"/>
              <w:ind w:left="5170"/>
              <w:rPr>
                <w:rFonts w:ascii="宋体" w:hAnsi="宋体" w:eastAsia="宋体" w:cs="宋体"/>
                <w:sz w:val="24"/>
                <w:szCs w:val="24"/>
              </w:rPr>
            </w:pPr>
            <w:r>
              <w:rPr>
                <w:rFonts w:ascii="宋体" w:hAnsi="宋体" w:eastAsia="宋体" w:cs="宋体"/>
                <w:spacing w:val="-15"/>
                <w:sz w:val="24"/>
                <w:szCs w:val="24"/>
              </w:rPr>
              <w:t>合计：</w:t>
            </w:r>
          </w:p>
        </w:tc>
        <w:tc>
          <w:tcPr>
            <w:tcW w:w="1497" w:type="dxa"/>
            <w:vAlign w:val="top"/>
          </w:tcPr>
          <w:p w14:paraId="73C5F7FE">
            <w:pPr>
              <w:pStyle w:val="43"/>
            </w:pPr>
          </w:p>
        </w:tc>
        <w:tc>
          <w:tcPr>
            <w:tcW w:w="1569" w:type="dxa"/>
            <w:vAlign w:val="top"/>
          </w:tcPr>
          <w:p w14:paraId="380DB0A5">
            <w:pPr>
              <w:pStyle w:val="43"/>
            </w:pPr>
          </w:p>
        </w:tc>
      </w:tr>
    </w:tbl>
    <w:p w14:paraId="1C2A2CCE">
      <w:pPr>
        <w:spacing w:line="375" w:lineRule="auto"/>
        <w:rPr>
          <w:rFonts w:ascii="Arial"/>
          <w:sz w:val="21"/>
        </w:rPr>
      </w:pPr>
    </w:p>
    <w:p w14:paraId="08A4DF38">
      <w:pPr>
        <w:pStyle w:val="10"/>
        <w:spacing w:before="78" w:line="222" w:lineRule="auto"/>
        <w:ind w:left="9"/>
        <w:rPr>
          <w:sz w:val="24"/>
          <w:szCs w:val="24"/>
        </w:rPr>
      </w:pPr>
      <w:r>
        <w:rPr>
          <w:spacing w:val="-17"/>
          <w:sz w:val="24"/>
          <w:szCs w:val="24"/>
        </w:rPr>
        <w:t>注：</w:t>
      </w:r>
    </w:p>
    <w:p w14:paraId="3E3EE810">
      <w:pPr>
        <w:pStyle w:val="10"/>
        <w:spacing w:before="176" w:line="289" w:lineRule="auto"/>
        <w:ind w:left="30" w:right="152" w:hanging="4"/>
        <w:rPr>
          <w:sz w:val="24"/>
          <w:szCs w:val="24"/>
        </w:rPr>
      </w:pPr>
      <w:r>
        <w:rPr>
          <w:rFonts w:ascii="Arial" w:hAnsi="Arial" w:eastAsia="Arial" w:cs="Arial"/>
          <w:sz w:val="24"/>
          <w:szCs w:val="24"/>
        </w:rPr>
        <w:t xml:space="preserve">1.  </w:t>
      </w:r>
      <w:r>
        <w:rPr>
          <w:sz w:val="24"/>
          <w:szCs w:val="24"/>
        </w:rPr>
        <w:t>如本项目（包）允许分包，且投标人拟进行分包时，</w:t>
      </w:r>
      <w:r>
        <w:rPr>
          <w:spacing w:val="-1"/>
          <w:sz w:val="24"/>
          <w:szCs w:val="24"/>
        </w:rPr>
        <w:t>必须提供；如未提供，或提供</w:t>
      </w:r>
      <w:r>
        <w:rPr>
          <w:sz w:val="24"/>
          <w:szCs w:val="24"/>
        </w:rPr>
        <w:t xml:space="preserve"> </w:t>
      </w:r>
      <w:r>
        <w:rPr>
          <w:spacing w:val="-2"/>
          <w:sz w:val="24"/>
          <w:szCs w:val="24"/>
        </w:rPr>
        <w:t>了但未填写分包承担主体名称、拟分包合同内容、拟分包合同金额，投标无效。</w:t>
      </w:r>
    </w:p>
    <w:p w14:paraId="5A51F730">
      <w:pPr>
        <w:pStyle w:val="10"/>
        <w:spacing w:before="181" w:line="314" w:lineRule="auto"/>
        <w:ind w:left="11" w:firstLine="6"/>
        <w:rPr>
          <w:sz w:val="24"/>
          <w:szCs w:val="24"/>
        </w:rPr>
      </w:pPr>
      <w:r>
        <w:rPr>
          <w:rFonts w:ascii="Arial" w:hAnsi="Arial" w:eastAsia="Arial" w:cs="Arial"/>
          <w:spacing w:val="-5"/>
          <w:sz w:val="24"/>
          <w:szCs w:val="24"/>
        </w:rPr>
        <w:t>2.</w:t>
      </w:r>
      <w:r>
        <w:rPr>
          <w:spacing w:val="-5"/>
          <w:sz w:val="24"/>
          <w:szCs w:val="24"/>
        </w:rPr>
        <w:t>如本招标文件《投标人须知资料表》载明本项目分包承担主体应具备的相应资质条件，</w:t>
      </w:r>
      <w:r>
        <w:rPr>
          <w:spacing w:val="2"/>
          <w:sz w:val="24"/>
          <w:szCs w:val="24"/>
        </w:rPr>
        <w:t xml:space="preserve"> </w:t>
      </w:r>
      <w:r>
        <w:rPr>
          <w:spacing w:val="-2"/>
          <w:sz w:val="24"/>
          <w:szCs w:val="24"/>
        </w:rPr>
        <w:t>则投标人须在本表中列明分包承担主体的资质等级，并后附资质证书电子件，否则</w:t>
      </w:r>
      <w:r>
        <w:rPr>
          <w:b/>
          <w:bCs/>
          <w:spacing w:val="-2"/>
          <w:sz w:val="24"/>
          <w:szCs w:val="24"/>
        </w:rPr>
        <w:t>投标</w:t>
      </w:r>
      <w:r>
        <w:rPr>
          <w:spacing w:val="8"/>
          <w:sz w:val="24"/>
          <w:szCs w:val="24"/>
        </w:rPr>
        <w:t xml:space="preserve"> </w:t>
      </w:r>
      <w:r>
        <w:rPr>
          <w:b/>
          <w:bCs/>
          <w:spacing w:val="-6"/>
          <w:sz w:val="24"/>
          <w:szCs w:val="24"/>
        </w:rPr>
        <w:t>无效</w:t>
      </w:r>
      <w:r>
        <w:rPr>
          <w:spacing w:val="-6"/>
          <w:sz w:val="24"/>
          <w:szCs w:val="24"/>
        </w:rPr>
        <w:t>。</w:t>
      </w:r>
    </w:p>
    <w:p w14:paraId="72D754B1">
      <w:pPr>
        <w:pStyle w:val="10"/>
        <w:spacing w:before="179" w:line="216" w:lineRule="auto"/>
        <w:ind w:left="18"/>
        <w:rPr>
          <w:sz w:val="24"/>
          <w:szCs w:val="24"/>
        </w:rPr>
      </w:pPr>
      <w:r>
        <w:rPr>
          <w:rFonts w:ascii="Arial" w:hAnsi="Arial" w:eastAsia="Arial" w:cs="Arial"/>
          <w:spacing w:val="2"/>
          <w:sz w:val="24"/>
          <w:szCs w:val="24"/>
        </w:rPr>
        <w:t>3.</w:t>
      </w:r>
      <w:r>
        <w:rPr>
          <w:rFonts w:ascii="Arial" w:hAnsi="Arial" w:eastAsia="Arial" w:cs="Arial"/>
          <w:spacing w:val="73"/>
          <w:sz w:val="24"/>
          <w:szCs w:val="24"/>
        </w:rPr>
        <w:t xml:space="preserve"> </w:t>
      </w:r>
      <w:r>
        <w:rPr>
          <w:spacing w:val="2"/>
          <w:sz w:val="24"/>
          <w:szCs w:val="24"/>
        </w:rPr>
        <w:t>投标人</w:t>
      </w:r>
      <w:r>
        <w:rPr>
          <w:rFonts w:ascii="Arial" w:hAnsi="Arial" w:eastAsia="Arial" w:cs="Arial"/>
          <w:spacing w:val="2"/>
          <w:sz w:val="24"/>
          <w:szCs w:val="24"/>
        </w:rPr>
        <w:t>“</w:t>
      </w:r>
      <w:r>
        <w:rPr>
          <w:spacing w:val="2"/>
          <w:sz w:val="24"/>
          <w:szCs w:val="24"/>
        </w:rPr>
        <w:t>为落实政府采购政策</w:t>
      </w:r>
      <w:r>
        <w:rPr>
          <w:rFonts w:ascii="Arial" w:hAnsi="Arial" w:eastAsia="Arial" w:cs="Arial"/>
          <w:spacing w:val="2"/>
          <w:sz w:val="24"/>
          <w:szCs w:val="24"/>
        </w:rPr>
        <w:t>”</w:t>
      </w:r>
      <w:r>
        <w:rPr>
          <w:spacing w:val="2"/>
          <w:sz w:val="24"/>
          <w:szCs w:val="24"/>
        </w:rPr>
        <w:t>而向中小企业分包时请仔细阅读资格证明文件格式</w:t>
      </w:r>
    </w:p>
    <w:p w14:paraId="1844A791">
      <w:pPr>
        <w:pStyle w:val="10"/>
        <w:spacing w:before="186" w:line="289" w:lineRule="auto"/>
        <w:ind w:left="9" w:right="165" w:firstLine="9"/>
        <w:rPr>
          <w:sz w:val="24"/>
          <w:szCs w:val="24"/>
        </w:rPr>
      </w:pPr>
      <w:r>
        <w:rPr>
          <w:rFonts w:ascii="Arial" w:hAnsi="Arial" w:eastAsia="Arial" w:cs="Arial"/>
          <w:spacing w:val="1"/>
          <w:sz w:val="24"/>
          <w:szCs w:val="24"/>
        </w:rPr>
        <w:t>2-1</w:t>
      </w:r>
      <w:r>
        <w:rPr>
          <w:rFonts w:ascii="Arial" w:hAnsi="Arial" w:eastAsia="Arial" w:cs="Arial"/>
          <w:spacing w:val="26"/>
          <w:w w:val="101"/>
          <w:sz w:val="24"/>
          <w:szCs w:val="24"/>
        </w:rPr>
        <w:t xml:space="preserve"> </w:t>
      </w:r>
      <w:r>
        <w:rPr>
          <w:spacing w:val="1"/>
          <w:sz w:val="24"/>
          <w:szCs w:val="24"/>
        </w:rPr>
        <w:t>中说明，并建议按要求在资格证明文件中提供相关全部文件；投标人非</w:t>
      </w:r>
      <w:r>
        <w:rPr>
          <w:rFonts w:ascii="Arial" w:hAnsi="Arial" w:eastAsia="Arial" w:cs="Arial"/>
          <w:spacing w:val="1"/>
          <w:sz w:val="24"/>
          <w:szCs w:val="24"/>
        </w:rPr>
        <w:t>“</w:t>
      </w:r>
      <w:r>
        <w:rPr>
          <w:spacing w:val="1"/>
          <w:sz w:val="24"/>
          <w:szCs w:val="24"/>
        </w:rPr>
        <w:t>为落</w:t>
      </w:r>
      <w:r>
        <w:rPr>
          <w:sz w:val="24"/>
          <w:szCs w:val="24"/>
        </w:rPr>
        <w:t>实政 府采购政策</w:t>
      </w:r>
      <w:r>
        <w:rPr>
          <w:rFonts w:ascii="Arial" w:hAnsi="Arial" w:eastAsia="Arial" w:cs="Arial"/>
          <w:sz w:val="24"/>
          <w:szCs w:val="24"/>
        </w:rPr>
        <w:t>”</w:t>
      </w:r>
      <w:r>
        <w:rPr>
          <w:sz w:val="24"/>
          <w:szCs w:val="24"/>
        </w:rPr>
        <w:t>而向中小企业分包时，建议在本册提供。</w:t>
      </w:r>
    </w:p>
    <w:p w14:paraId="04A0E11E">
      <w:pPr>
        <w:spacing w:line="261" w:lineRule="auto"/>
        <w:rPr>
          <w:rFonts w:ascii="Arial"/>
          <w:sz w:val="21"/>
        </w:rPr>
      </w:pPr>
    </w:p>
    <w:p w14:paraId="2DA8DD4F">
      <w:pPr>
        <w:pStyle w:val="10"/>
        <w:spacing w:before="79" w:line="217" w:lineRule="auto"/>
        <w:ind w:left="6084"/>
        <w:rPr>
          <w:rFonts w:ascii="Arial" w:hAnsi="Arial" w:eastAsia="Arial" w:cs="Arial"/>
          <w:sz w:val="24"/>
          <w:szCs w:val="24"/>
        </w:rPr>
      </w:pPr>
      <w:r>
        <w:rPr>
          <w:spacing w:val="-11"/>
          <w:w w:val="98"/>
          <w:sz w:val="24"/>
          <w:szCs w:val="24"/>
        </w:rPr>
        <w:t>投标人名称（盖章</w:t>
      </w:r>
      <w:r>
        <w:rPr>
          <w:spacing w:val="4"/>
          <w:sz w:val="24"/>
          <w:szCs w:val="24"/>
        </w:rPr>
        <w:t>）：</w:t>
      </w:r>
      <w:r>
        <w:rPr>
          <w:rFonts w:ascii="Arial" w:hAnsi="Arial" w:eastAsia="Arial" w:cs="Arial"/>
          <w:spacing w:val="-11"/>
          <w:w w:val="98"/>
          <w:sz w:val="24"/>
          <w:szCs w:val="24"/>
        </w:rPr>
        <w:t>______</w:t>
      </w:r>
    </w:p>
    <w:p w14:paraId="6B3A2CF2">
      <w:pPr>
        <w:pStyle w:val="10"/>
        <w:spacing w:before="184" w:line="217" w:lineRule="auto"/>
        <w:ind w:right="18"/>
        <w:jc w:val="right"/>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31AC1248">
      <w:pPr>
        <w:spacing w:line="217" w:lineRule="auto"/>
        <w:rPr>
          <w:sz w:val="24"/>
          <w:szCs w:val="24"/>
        </w:rPr>
        <w:sectPr>
          <w:headerReference r:id="rId13" w:type="default"/>
          <w:footerReference r:id="rId14" w:type="default"/>
          <w:pgSz w:w="11907" w:h="16840"/>
          <w:pgMar w:top="1165" w:right="1064" w:bottom="1060" w:left="1700" w:header="830" w:footer="886" w:gutter="0"/>
          <w:pgNumType w:fmt="decimal"/>
          <w:cols w:space="720" w:num="1"/>
        </w:sectPr>
      </w:pPr>
    </w:p>
    <w:p w14:paraId="7C910512">
      <w:pPr>
        <w:pStyle w:val="10"/>
        <w:spacing w:before="288" w:line="219" w:lineRule="auto"/>
        <w:ind w:left="15"/>
        <w:rPr>
          <w:sz w:val="24"/>
          <w:szCs w:val="24"/>
        </w:rPr>
      </w:pPr>
    </w:p>
    <w:p w14:paraId="00E4B5BF">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31382FF2">
      <w:pPr>
        <w:spacing w:beforeLines="0" w:afterLines="0" w:line="360" w:lineRule="auto"/>
        <w:jc w:val="center"/>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分包意向协议</w:t>
      </w:r>
      <w:r>
        <w:rPr>
          <w:rFonts w:hint="default" w:ascii="Times New Roman" w:hAnsi="Times New Roman" w:cs="Times New Roman" w:eastAsiaTheme="minorEastAsia"/>
          <w:b/>
          <w:bCs/>
          <w:i/>
          <w:iCs/>
          <w:sz w:val="28"/>
          <w:szCs w:val="28"/>
          <w:highlight w:val="none"/>
          <w:lang w:val="en-US" w:eastAsia="zh-CN"/>
        </w:rPr>
        <w:t>（仅供参考）</w:t>
      </w:r>
    </w:p>
    <w:p w14:paraId="7F1C8011">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6E1B1461">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val="en-US" w:eastAsia="zh-CN"/>
        </w:rPr>
        <w:t xml:space="preserve">    甲方（投标人）：</w:t>
      </w:r>
      <w:r>
        <w:rPr>
          <w:rFonts w:hint="eastAsia" w:ascii="Times New Roman" w:hAnsi="Times New Roman" w:cs="Times New Roman" w:eastAsiaTheme="minorEastAsia"/>
          <w:sz w:val="28"/>
          <w:szCs w:val="28"/>
          <w:highlight w:val="none"/>
          <w:u w:val="single"/>
          <w:lang w:val="en-US" w:eastAsia="zh-CN"/>
        </w:rPr>
        <w:t xml:space="preserve">         </w:t>
      </w:r>
    </w:p>
    <w:p w14:paraId="25A2030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乙方（拟分包单位，可与多个乙方分别签订或整合签订）：</w:t>
      </w:r>
    </w:p>
    <w:p w14:paraId="46ABE6C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甲方承诺，一旦在</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（采购项目名称）招标采购项目中获得采购合同，将按照下属约定将合同项下部分内容分包给乙方：</w:t>
      </w:r>
    </w:p>
    <w:p w14:paraId="755CF6C8">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val="en-US" w:eastAsia="zh-CN"/>
        </w:rPr>
        <w:t xml:space="preserve">    1.分包内容：</w:t>
      </w:r>
      <w:r>
        <w:rPr>
          <w:rFonts w:hint="eastAsia" w:ascii="Times New Roman" w:hAnsi="Times New Roman" w:cs="Times New Roman" w:eastAsiaTheme="minorEastAsia"/>
          <w:sz w:val="28"/>
          <w:szCs w:val="28"/>
          <w:highlight w:val="none"/>
          <w:u w:val="single"/>
          <w:lang w:val="en-US" w:eastAsia="zh-CN"/>
        </w:rPr>
        <w:t xml:space="preserve">        </w:t>
      </w:r>
    </w:p>
    <w:p w14:paraId="2C32792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2.分包金额：</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，该金额占该采购包合同金额的比例为</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w:t>
      </w:r>
    </w:p>
    <w:p w14:paraId="6B47782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乙方承诺将在上述情况下</w:t>
      </w:r>
      <w:r>
        <w:rPr>
          <w:rFonts w:hint="default" w:cs="Times New Roman" w:eastAsiaTheme="minorEastAsia"/>
          <w:sz w:val="28"/>
          <w:szCs w:val="28"/>
          <w:highlight w:val="none"/>
          <w:lang w:val="en-US" w:eastAsia="zh-CN"/>
        </w:rPr>
        <w:t>与</w:t>
      </w:r>
      <w:r>
        <w:rPr>
          <w:rFonts w:hint="default" w:ascii="Times New Roman" w:hAnsi="Times New Roman" w:cs="Times New Roman" w:eastAsiaTheme="minorEastAsia"/>
          <w:sz w:val="28"/>
          <w:szCs w:val="28"/>
          <w:highlight w:val="none"/>
          <w:lang w:val="en-US" w:eastAsia="zh-CN"/>
        </w:rPr>
        <w:t>甲方签订分包合同，且乙方不再次分包。</w:t>
      </w:r>
    </w:p>
    <w:p w14:paraId="5998A58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本协议自双方盖章之日起生效，如甲方未在该项目/采购包中标，本协议自动终止。</w:t>
      </w:r>
    </w:p>
    <w:p w14:paraId="494EDF76">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6F76C3B0">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0353235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33" w:name="OLE_LINK29"/>
      <w:r>
        <w:rPr>
          <w:rFonts w:hint="default" w:ascii="Times New Roman" w:hAnsi="Times New Roman" w:cs="Times New Roman" w:eastAsiaTheme="minorEastAsia"/>
          <w:sz w:val="28"/>
          <w:szCs w:val="28"/>
          <w:highlight w:val="none"/>
          <w:lang w:val="en-US" w:eastAsia="zh-CN"/>
        </w:rPr>
        <w:t xml:space="preserve"> 甲方（盖章）：                      乙方（盖章）：</w:t>
      </w:r>
    </w:p>
    <w:p w14:paraId="54517DBB">
      <w:pPr>
        <w:numPr>
          <w:ilvl w:val="-1"/>
          <w:numId w:val="0"/>
        </w:numPr>
        <w:spacing w:beforeLines="0" w:afterLines="0" w:line="360" w:lineRule="auto"/>
        <w:ind w:firstLine="0"/>
        <w:rPr>
          <w:rFonts w:hint="default" w:ascii="Times New Roman" w:hAnsi="Times New Roman" w:cs="Times New Roman" w:eastAsiaTheme="minorEastAsia"/>
          <w:b w:val="0"/>
          <w:sz w:val="28"/>
          <w:szCs w:val="28"/>
          <w:highlight w:val="none"/>
          <w:shd w:val="clear" w:color="auto" w:fill="FFFFFF"/>
        </w:rPr>
      </w:pPr>
      <w:bookmarkStart w:id="34" w:name="OLE_LINK21"/>
      <w:r>
        <w:rPr>
          <w:rFonts w:hint="default" w:ascii="Times New Roman" w:hAnsi="Times New Roman" w:cs="Times New Roman" w:eastAsiaTheme="minorEastAsia"/>
          <w:sz w:val="28"/>
          <w:szCs w:val="28"/>
          <w:highlight w:val="none"/>
          <w:lang w:val="en-US" w:eastAsia="zh-CN"/>
        </w:rPr>
        <w:t>日期：    年   月    日            日期：    年   月    日</w:t>
      </w:r>
      <w:bookmarkEnd w:id="33"/>
      <w:bookmarkEnd w:id="34"/>
    </w:p>
    <w:p w14:paraId="6B57CF1F">
      <w:pPr>
        <w:pStyle w:val="14"/>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b/>
          <w:bCs/>
          <w:sz w:val="28"/>
          <w:szCs w:val="28"/>
          <w:highlight w:val="none"/>
          <w:shd w:val="clear" w:color="auto" w:fill="FFFFFF"/>
          <w:lang w:val="en-US" w:eastAsia="zh-CN"/>
        </w:rPr>
      </w:pPr>
      <w:r>
        <w:rPr>
          <w:rFonts w:hint="default" w:ascii="Times New Roman" w:hAnsi="Times New Roman" w:cs="Times New Roman" w:eastAsiaTheme="minorEastAsia"/>
          <w:b/>
          <w:bCs/>
          <w:kern w:val="2"/>
          <w:sz w:val="28"/>
          <w:szCs w:val="28"/>
          <w:shd w:val="clear" w:fill="FFFFFF"/>
          <w:lang w:val="en-US" w:eastAsia="zh-CN" w:bidi="ar-SA"/>
        </w:rPr>
        <w:t>9.</w:t>
      </w:r>
      <w:r>
        <w:rPr>
          <w:rFonts w:hint="default" w:ascii="Times New Roman" w:hAnsi="Times New Roman" w:cs="Times New Roman" w:eastAsiaTheme="minorEastAsia"/>
          <w:b/>
          <w:bCs/>
          <w:sz w:val="28"/>
          <w:szCs w:val="28"/>
          <w:highlight w:val="none"/>
          <w:shd w:val="clear" w:color="auto" w:fill="FFFFFF"/>
          <w:lang w:val="en-US" w:eastAsia="zh-CN"/>
        </w:rPr>
        <w:t>其他符合性审查证明文件（如符合实质性要求有的证明文件等）</w:t>
      </w:r>
    </w:p>
    <w:p w14:paraId="23138B77">
      <w:pPr>
        <w:pStyle w:val="14"/>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p>
    <w:p w14:paraId="09B92C5E">
      <w:pPr>
        <w:pStyle w:val="14"/>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b/>
          <w:bCs/>
          <w:sz w:val="28"/>
          <w:szCs w:val="28"/>
          <w:highlight w:val="none"/>
          <w:shd w:val="clear"/>
          <w:lang w:val="en-US" w:eastAsia="zh-CN"/>
        </w:rPr>
        <w:t>三、</w:t>
      </w:r>
      <w:r>
        <w:rPr>
          <w:rFonts w:hint="default" w:ascii="Times New Roman" w:hAnsi="Times New Roman" w:cs="Times New Roman" w:eastAsiaTheme="minorEastAsia"/>
          <w:b/>
          <w:bCs/>
          <w:sz w:val="28"/>
          <w:szCs w:val="28"/>
          <w:highlight w:val="none"/>
          <w:lang w:val="en-US" w:eastAsia="zh-CN"/>
        </w:rPr>
        <w:t>招标文件要求提供或投标人认为应附的其他材料</w:t>
      </w:r>
    </w:p>
    <w:sectPr>
      <w:headerReference r:id="rId15" w:type="default"/>
      <w:footerReference r:id="rId16" w:type="default"/>
      <w:pgSz w:w="11906" w:h="16838"/>
      <w:pgMar w:top="1383" w:right="1417" w:bottom="1383"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ong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A195">
    <w:pPr>
      <w:spacing w:line="189" w:lineRule="auto"/>
      <w:rPr>
        <w:rFonts w:hint="eastAsia" w:ascii="Arial" w:hAnsi="Arial" w:eastAsia="宋体" w:cs="Arial"/>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2DCE">
    <w:pPr>
      <w:spacing w:line="189" w:lineRule="auto"/>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91CB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C91CB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90C3">
    <w:pPr>
      <w:tabs>
        <w:tab w:val="left" w:pos="4914"/>
      </w:tabs>
      <w:spacing w:line="189" w:lineRule="auto"/>
      <w:ind w:left="4435"/>
      <w:rPr>
        <w:rFonts w:hint="default" w:ascii="Arial" w:hAnsi="Arial" w:eastAsia="宋体" w:cs="Arial"/>
        <w:sz w:val="18"/>
        <w:szCs w:val="18"/>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EFE20">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4EFE20">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D59">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D5F9A">
                          <w:pPr>
                            <w:pStyle w:val="16"/>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1D5F9A">
                    <w:pPr>
                      <w:pStyle w:val="16"/>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D734">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365F1">
                          <w:pPr>
                            <w:pStyle w:val="16"/>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6365F1">
                    <w:pPr>
                      <w:pStyle w:val="16"/>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84D2">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6B1F6">
                          <w:pPr>
                            <w:pStyle w:val="16"/>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26B1F6">
                    <w:pPr>
                      <w:pStyle w:val="16"/>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5A66E">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C2B04">
                          <w:pPr>
                            <w:pStyle w:val="16"/>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9C2B04">
                    <w:pPr>
                      <w:pStyle w:val="16"/>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56EC">
    <w:pPr>
      <w:pStyle w:val="1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EA90F">
                          <w:pPr>
                            <w:pStyle w:val="1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A5EA90F">
                    <w:pPr>
                      <w:pStyle w:val="16"/>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DD9D">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732E8">
                          <w:pPr>
                            <w:pStyle w:val="16"/>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04732E8">
                    <w:pPr>
                      <w:pStyle w:val="16"/>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8B17">
    <w:pPr>
      <w:pStyle w:val="10"/>
      <w:pBdr>
        <w:bottom w:val="none" w:color="auto" w:sz="0" w:space="0"/>
      </w:pBdr>
      <w:spacing w:before="48" w:line="219" w:lineRule="auto"/>
      <w:jc w:val="right"/>
      <w:rPr>
        <w:sz w:val="18"/>
        <w:szCs w:val="18"/>
      </w:rPr>
    </w:pPr>
    <w:r>
      <w:rPr>
        <w:rFonts w:hint="default"/>
        <w:spacing w:val="-1"/>
        <w:sz w:val="18"/>
        <w:szCs w:val="18"/>
        <w:lang w:val="en-US"/>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val="en-US" w:eastAsia="zh-CN"/>
      </w:rPr>
      <w:t>新疆中泰正信项目管理有限公司</w:t>
    </w:r>
    <w:r>
      <w:rPr>
        <w:rFonts w:hint="eastAsia"/>
        <w:spacing w:val="-1"/>
        <w:sz w:val="18"/>
        <w:szCs w:val="18"/>
        <w:lang w:eastAsia="zh-CN"/>
      </w:rPr>
      <w:t>政府采购公开招标</w:t>
    </w:r>
    <w:r>
      <w:rPr>
        <w:spacing w:val="-1"/>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7DB">
    <w:pPr>
      <w:pStyle w:val="10"/>
      <w:spacing w:before="48" w:line="219" w:lineRule="auto"/>
      <w:jc w:val="right"/>
      <w:rPr>
        <w:rFonts w:hint="eastAsia" w:eastAsia="宋体"/>
        <w:sz w:val="18"/>
        <w:szCs w:val="18"/>
        <w:lang w:eastAsia="zh-CN"/>
      </w:rPr>
    </w:pPr>
    <w:r>
      <w:drawing>
        <wp:anchor distT="0" distB="0" distL="0" distR="0" simplePos="0" relativeHeight="25166540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0" name="IM 44"/>
          <wp:cNvGraphicFramePr/>
          <a:graphic xmlns:a="http://schemas.openxmlformats.org/drawingml/2006/main">
            <a:graphicData uri="http://schemas.openxmlformats.org/drawingml/2006/picture">
              <pic:pic xmlns:pic="http://schemas.openxmlformats.org/drawingml/2006/picture">
                <pic:nvPicPr>
                  <pic:cNvPr id="10" name="IM 44"/>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新疆中泰正信项目管理有限公司政府采购公开招标文件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A986">
    <w:pPr>
      <w:pStyle w:val="10"/>
      <w:spacing w:before="48" w:line="219" w:lineRule="auto"/>
      <w:jc w:val="right"/>
      <w:rPr>
        <w:rFonts w:hint="eastAsia" w:eastAsia="宋体"/>
        <w:sz w:val="18"/>
        <w:szCs w:val="18"/>
        <w:lang w:eastAsia="zh-CN"/>
      </w:rPr>
    </w:pPr>
    <w:r>
      <w:drawing>
        <wp:anchor distT="0" distB="0" distL="0" distR="0" simplePos="0" relativeHeight="25166643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新疆中泰正信项目管理有限公司政府采购公开招标文件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5129">
    <w:pPr>
      <w:pStyle w:val="10"/>
      <w:spacing w:before="48" w:line="219" w:lineRule="auto"/>
      <w:jc w:val="right"/>
      <w:rPr>
        <w:rFonts w:hint="eastAsia" w:eastAsia="宋体"/>
        <w:sz w:val="18"/>
        <w:szCs w:val="18"/>
        <w:lang w:eastAsia="zh-CN"/>
      </w:rPr>
    </w:pPr>
    <w:r>
      <w:drawing>
        <wp:anchor distT="0" distB="0" distL="0" distR="0" simplePos="0" relativeHeight="25166745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新疆中泰正信项目管理有限公司政府采购公开招标文件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F2D5">
    <w:pPr>
      <w:pStyle w:val="17"/>
    </w:pPr>
    <w:r>
      <w:rPr>
        <w:rFonts w:hint="eastAsia"/>
        <w:spacing w:val="-1"/>
        <w:sz w:val="18"/>
        <w:szCs w:val="18"/>
        <w:lang w:val="en-US" w:eastAsia="zh-CN"/>
      </w:rPr>
      <w:t xml:space="preserve">                                                      </w:t>
    </w:r>
    <w:r>
      <w:rPr>
        <w:rFonts w:hint="eastAsia"/>
        <w:spacing w:val="-1"/>
        <w:sz w:val="18"/>
        <w:szCs w:val="18"/>
        <w:lang w:eastAsia="zh-CN"/>
      </w:rPr>
      <w:t>新疆中泰正信项目管理有限公司政府采购公开招标文件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B9947"/>
    <w:multiLevelType w:val="singleLevel"/>
    <w:tmpl w:val="D1AB9947"/>
    <w:lvl w:ilvl="0" w:tentative="0">
      <w:start w:val="6"/>
      <w:numFmt w:val="chineseCounting"/>
      <w:suff w:val="nothing"/>
      <w:lvlText w:val="%1、"/>
      <w:lvlJc w:val="left"/>
      <w:rPr>
        <w:rFonts w:hint="eastAsia"/>
      </w:rPr>
    </w:lvl>
  </w:abstractNum>
  <w:abstractNum w:abstractNumId="1">
    <w:nsid w:val="DB4B92F6"/>
    <w:multiLevelType w:val="singleLevel"/>
    <w:tmpl w:val="DB4B92F6"/>
    <w:lvl w:ilvl="0" w:tentative="0">
      <w:start w:val="1"/>
      <w:numFmt w:val="chineseCounting"/>
      <w:suff w:val="nothing"/>
      <w:lvlText w:val="%1、"/>
      <w:lvlJc w:val="left"/>
      <w:rPr>
        <w:rFonts w:hint="eastAsia"/>
      </w:rPr>
    </w:lvl>
  </w:abstractNum>
  <w:abstractNum w:abstractNumId="2">
    <w:nsid w:val="16FD167A"/>
    <w:multiLevelType w:val="multilevel"/>
    <w:tmpl w:val="16FD167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4">
    <w:nsid w:val="67469E83"/>
    <w:multiLevelType w:val="singleLevel"/>
    <w:tmpl w:val="67469E83"/>
    <w:lvl w:ilvl="0" w:tentative="0">
      <w:start w:val="1"/>
      <w:numFmt w:val="decimal"/>
      <w:suff w:val="nothing"/>
      <w:lvlText w:val="（%1）"/>
      <w:lvlJc w:val="left"/>
    </w:lvl>
  </w:abstractNum>
  <w:abstractNum w:abstractNumId="5">
    <w:nsid w:val="6789B3D8"/>
    <w:multiLevelType w:val="singleLevel"/>
    <w:tmpl w:val="6789B3D8"/>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86BF0"/>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3BE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0507A"/>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0827C0"/>
    <w:rsid w:val="011265D4"/>
    <w:rsid w:val="013E6E1F"/>
    <w:rsid w:val="0147778C"/>
    <w:rsid w:val="01536131"/>
    <w:rsid w:val="018823E2"/>
    <w:rsid w:val="018C152A"/>
    <w:rsid w:val="018F6A3E"/>
    <w:rsid w:val="0197670B"/>
    <w:rsid w:val="01A544B3"/>
    <w:rsid w:val="01C901A1"/>
    <w:rsid w:val="01D12DF8"/>
    <w:rsid w:val="01DD41C2"/>
    <w:rsid w:val="01F340A4"/>
    <w:rsid w:val="01F93068"/>
    <w:rsid w:val="0224362A"/>
    <w:rsid w:val="022C0405"/>
    <w:rsid w:val="02301FCF"/>
    <w:rsid w:val="02467A44"/>
    <w:rsid w:val="027D172A"/>
    <w:rsid w:val="027F0C8A"/>
    <w:rsid w:val="0288005D"/>
    <w:rsid w:val="02975C2C"/>
    <w:rsid w:val="029E4766"/>
    <w:rsid w:val="02B31439"/>
    <w:rsid w:val="02CF57C0"/>
    <w:rsid w:val="02E4100B"/>
    <w:rsid w:val="02E64D83"/>
    <w:rsid w:val="030557CC"/>
    <w:rsid w:val="030E51FC"/>
    <w:rsid w:val="0332621A"/>
    <w:rsid w:val="034F7FF4"/>
    <w:rsid w:val="035C5045"/>
    <w:rsid w:val="036C34DA"/>
    <w:rsid w:val="039D18E6"/>
    <w:rsid w:val="03AD28E2"/>
    <w:rsid w:val="03AF33C7"/>
    <w:rsid w:val="03C31BA3"/>
    <w:rsid w:val="03CC65BF"/>
    <w:rsid w:val="03D746CC"/>
    <w:rsid w:val="03F04E05"/>
    <w:rsid w:val="04033E94"/>
    <w:rsid w:val="040C0819"/>
    <w:rsid w:val="040E27E3"/>
    <w:rsid w:val="04126E2F"/>
    <w:rsid w:val="04153AA4"/>
    <w:rsid w:val="04243DB5"/>
    <w:rsid w:val="04520BEF"/>
    <w:rsid w:val="04534146"/>
    <w:rsid w:val="04730898"/>
    <w:rsid w:val="04754611"/>
    <w:rsid w:val="04797268"/>
    <w:rsid w:val="0482288A"/>
    <w:rsid w:val="04874344"/>
    <w:rsid w:val="04934A97"/>
    <w:rsid w:val="04A62A1C"/>
    <w:rsid w:val="04A87A50"/>
    <w:rsid w:val="04B54A0D"/>
    <w:rsid w:val="04B70785"/>
    <w:rsid w:val="04C14DAD"/>
    <w:rsid w:val="04C307C7"/>
    <w:rsid w:val="04C53E4B"/>
    <w:rsid w:val="04CA6D21"/>
    <w:rsid w:val="04EE7963"/>
    <w:rsid w:val="05397915"/>
    <w:rsid w:val="05432019"/>
    <w:rsid w:val="054E2A1E"/>
    <w:rsid w:val="055108BB"/>
    <w:rsid w:val="056D52E8"/>
    <w:rsid w:val="05777F14"/>
    <w:rsid w:val="05804295"/>
    <w:rsid w:val="05836A03"/>
    <w:rsid w:val="05A72BE0"/>
    <w:rsid w:val="05AC22B4"/>
    <w:rsid w:val="05AD1B88"/>
    <w:rsid w:val="05AF5AB7"/>
    <w:rsid w:val="05C70C5A"/>
    <w:rsid w:val="05CD5D86"/>
    <w:rsid w:val="05D215EF"/>
    <w:rsid w:val="05EC37DD"/>
    <w:rsid w:val="05ED1043"/>
    <w:rsid w:val="05F257ED"/>
    <w:rsid w:val="06255A88"/>
    <w:rsid w:val="066421C7"/>
    <w:rsid w:val="06654211"/>
    <w:rsid w:val="0667442D"/>
    <w:rsid w:val="066F1F5D"/>
    <w:rsid w:val="069C7C11"/>
    <w:rsid w:val="069F7723"/>
    <w:rsid w:val="06A05249"/>
    <w:rsid w:val="06CF0F7F"/>
    <w:rsid w:val="06D14BB8"/>
    <w:rsid w:val="06DE5C00"/>
    <w:rsid w:val="07027CB2"/>
    <w:rsid w:val="072D4D2F"/>
    <w:rsid w:val="073E6F3C"/>
    <w:rsid w:val="07405339"/>
    <w:rsid w:val="07441979"/>
    <w:rsid w:val="075336DE"/>
    <w:rsid w:val="07671ACA"/>
    <w:rsid w:val="07687960"/>
    <w:rsid w:val="078C182C"/>
    <w:rsid w:val="0793326B"/>
    <w:rsid w:val="07937C68"/>
    <w:rsid w:val="07A50D69"/>
    <w:rsid w:val="07AA2823"/>
    <w:rsid w:val="07B40FAC"/>
    <w:rsid w:val="07BC75F7"/>
    <w:rsid w:val="07C644D1"/>
    <w:rsid w:val="07E55609"/>
    <w:rsid w:val="07E75618"/>
    <w:rsid w:val="07EA0E72"/>
    <w:rsid w:val="07FF02EE"/>
    <w:rsid w:val="08135A38"/>
    <w:rsid w:val="08167EB9"/>
    <w:rsid w:val="08234384"/>
    <w:rsid w:val="08404F36"/>
    <w:rsid w:val="08597DA5"/>
    <w:rsid w:val="085D7896"/>
    <w:rsid w:val="086C1A35"/>
    <w:rsid w:val="087E15BA"/>
    <w:rsid w:val="08832305"/>
    <w:rsid w:val="08AC24CE"/>
    <w:rsid w:val="08DC7725"/>
    <w:rsid w:val="08E07822"/>
    <w:rsid w:val="08ED62FB"/>
    <w:rsid w:val="08F5187C"/>
    <w:rsid w:val="08FF26FB"/>
    <w:rsid w:val="090146C5"/>
    <w:rsid w:val="09187C60"/>
    <w:rsid w:val="091D21CC"/>
    <w:rsid w:val="091F4B4B"/>
    <w:rsid w:val="09212671"/>
    <w:rsid w:val="092B5268"/>
    <w:rsid w:val="09391199"/>
    <w:rsid w:val="09645F3F"/>
    <w:rsid w:val="096F17B4"/>
    <w:rsid w:val="097F55EA"/>
    <w:rsid w:val="09953447"/>
    <w:rsid w:val="09972933"/>
    <w:rsid w:val="09A03EDE"/>
    <w:rsid w:val="09AC33EF"/>
    <w:rsid w:val="09D516AE"/>
    <w:rsid w:val="09E75808"/>
    <w:rsid w:val="0A043E59"/>
    <w:rsid w:val="0A0855DF"/>
    <w:rsid w:val="0A0A73CC"/>
    <w:rsid w:val="0A107ED7"/>
    <w:rsid w:val="0A12645E"/>
    <w:rsid w:val="0A216BB3"/>
    <w:rsid w:val="0A261F09"/>
    <w:rsid w:val="0A2A3A6B"/>
    <w:rsid w:val="0A363205"/>
    <w:rsid w:val="0A4520A0"/>
    <w:rsid w:val="0A4E6440"/>
    <w:rsid w:val="0A544CC8"/>
    <w:rsid w:val="0A5D3B7D"/>
    <w:rsid w:val="0A5F652B"/>
    <w:rsid w:val="0A686C9B"/>
    <w:rsid w:val="0A6D7B38"/>
    <w:rsid w:val="0A8D01BA"/>
    <w:rsid w:val="0A9D041D"/>
    <w:rsid w:val="0AB241FB"/>
    <w:rsid w:val="0AC736EC"/>
    <w:rsid w:val="0AD520B3"/>
    <w:rsid w:val="0B114967"/>
    <w:rsid w:val="0B1F7084"/>
    <w:rsid w:val="0B2226D0"/>
    <w:rsid w:val="0B2D61F5"/>
    <w:rsid w:val="0B361AA6"/>
    <w:rsid w:val="0B457ECA"/>
    <w:rsid w:val="0B552993"/>
    <w:rsid w:val="0B59666F"/>
    <w:rsid w:val="0B9F3D21"/>
    <w:rsid w:val="0BA92503"/>
    <w:rsid w:val="0BD9237C"/>
    <w:rsid w:val="0BDB744F"/>
    <w:rsid w:val="0BEA58E4"/>
    <w:rsid w:val="0BF56037"/>
    <w:rsid w:val="0C112E71"/>
    <w:rsid w:val="0C3923C8"/>
    <w:rsid w:val="0C50326D"/>
    <w:rsid w:val="0C5F718D"/>
    <w:rsid w:val="0C7A1229"/>
    <w:rsid w:val="0C9F186A"/>
    <w:rsid w:val="0CA2050C"/>
    <w:rsid w:val="0CA60ED7"/>
    <w:rsid w:val="0CAA625A"/>
    <w:rsid w:val="0CB87DFC"/>
    <w:rsid w:val="0CC15EA2"/>
    <w:rsid w:val="0CCD5339"/>
    <w:rsid w:val="0CF27873"/>
    <w:rsid w:val="0D006A41"/>
    <w:rsid w:val="0D1129FD"/>
    <w:rsid w:val="0D1644B7"/>
    <w:rsid w:val="0D224C0A"/>
    <w:rsid w:val="0D5279EB"/>
    <w:rsid w:val="0D5A25F6"/>
    <w:rsid w:val="0D6E071F"/>
    <w:rsid w:val="0D725B91"/>
    <w:rsid w:val="0D8250BC"/>
    <w:rsid w:val="0D870F11"/>
    <w:rsid w:val="0D921B4A"/>
    <w:rsid w:val="0DA970D9"/>
    <w:rsid w:val="0DB14818"/>
    <w:rsid w:val="0DB60C93"/>
    <w:rsid w:val="0DB735A4"/>
    <w:rsid w:val="0DC95E8B"/>
    <w:rsid w:val="0DDE3227"/>
    <w:rsid w:val="0DFE7E9F"/>
    <w:rsid w:val="0E0464E0"/>
    <w:rsid w:val="0E415DA1"/>
    <w:rsid w:val="0E440BB0"/>
    <w:rsid w:val="0E543124"/>
    <w:rsid w:val="0E6F48A6"/>
    <w:rsid w:val="0E707BF7"/>
    <w:rsid w:val="0E7C2FD9"/>
    <w:rsid w:val="0EA21BDD"/>
    <w:rsid w:val="0EB50F32"/>
    <w:rsid w:val="0EB87144"/>
    <w:rsid w:val="0EB9159E"/>
    <w:rsid w:val="0EC0482A"/>
    <w:rsid w:val="0EE303C9"/>
    <w:rsid w:val="0EE505E5"/>
    <w:rsid w:val="0EEE7499"/>
    <w:rsid w:val="0F0721DA"/>
    <w:rsid w:val="0F1862C4"/>
    <w:rsid w:val="0F3341F4"/>
    <w:rsid w:val="0F3E6E18"/>
    <w:rsid w:val="0F4D1D8B"/>
    <w:rsid w:val="0F5D63CD"/>
    <w:rsid w:val="0F6634D4"/>
    <w:rsid w:val="0F73799F"/>
    <w:rsid w:val="0F9D1A23"/>
    <w:rsid w:val="0FA63AAE"/>
    <w:rsid w:val="0FA664BF"/>
    <w:rsid w:val="0FA67D74"/>
    <w:rsid w:val="0FC365A2"/>
    <w:rsid w:val="0FC41FA8"/>
    <w:rsid w:val="0FC4644C"/>
    <w:rsid w:val="0FC760A3"/>
    <w:rsid w:val="0FD02A96"/>
    <w:rsid w:val="0FD348E1"/>
    <w:rsid w:val="0FE73EE9"/>
    <w:rsid w:val="0FED3BB2"/>
    <w:rsid w:val="0FFA4FC9"/>
    <w:rsid w:val="101F6E5E"/>
    <w:rsid w:val="10475ACA"/>
    <w:rsid w:val="105B0B5E"/>
    <w:rsid w:val="105F391B"/>
    <w:rsid w:val="10635C65"/>
    <w:rsid w:val="10686EC2"/>
    <w:rsid w:val="10771710"/>
    <w:rsid w:val="107A79E7"/>
    <w:rsid w:val="108C51BC"/>
    <w:rsid w:val="10A110B4"/>
    <w:rsid w:val="10B61896"/>
    <w:rsid w:val="10B65D95"/>
    <w:rsid w:val="10C1325E"/>
    <w:rsid w:val="10CD7582"/>
    <w:rsid w:val="10DB1C9F"/>
    <w:rsid w:val="10DF26A3"/>
    <w:rsid w:val="10E21D72"/>
    <w:rsid w:val="10E33830"/>
    <w:rsid w:val="10E458CA"/>
    <w:rsid w:val="11082369"/>
    <w:rsid w:val="11205904"/>
    <w:rsid w:val="11344FBA"/>
    <w:rsid w:val="11475A92"/>
    <w:rsid w:val="11550ABC"/>
    <w:rsid w:val="11643A43"/>
    <w:rsid w:val="1164596F"/>
    <w:rsid w:val="11B06C88"/>
    <w:rsid w:val="11EC7608"/>
    <w:rsid w:val="12042B30"/>
    <w:rsid w:val="120B2110"/>
    <w:rsid w:val="120C0F58"/>
    <w:rsid w:val="120E0E57"/>
    <w:rsid w:val="121216F1"/>
    <w:rsid w:val="12152F8F"/>
    <w:rsid w:val="12212740"/>
    <w:rsid w:val="12486EC1"/>
    <w:rsid w:val="1249414E"/>
    <w:rsid w:val="124B30E2"/>
    <w:rsid w:val="12614426"/>
    <w:rsid w:val="129B31C9"/>
    <w:rsid w:val="12A62454"/>
    <w:rsid w:val="12C21D05"/>
    <w:rsid w:val="12CF75E2"/>
    <w:rsid w:val="12F17558"/>
    <w:rsid w:val="12FB3D0F"/>
    <w:rsid w:val="13051003"/>
    <w:rsid w:val="131B635F"/>
    <w:rsid w:val="136E2BA5"/>
    <w:rsid w:val="13963C5C"/>
    <w:rsid w:val="13990439"/>
    <w:rsid w:val="139D148E"/>
    <w:rsid w:val="13B668C3"/>
    <w:rsid w:val="13BF7656"/>
    <w:rsid w:val="13C54541"/>
    <w:rsid w:val="13D9323B"/>
    <w:rsid w:val="13DF1289"/>
    <w:rsid w:val="13DF3855"/>
    <w:rsid w:val="13EA35C5"/>
    <w:rsid w:val="13EA69CF"/>
    <w:rsid w:val="13EC7D20"/>
    <w:rsid w:val="13EE3A98"/>
    <w:rsid w:val="13F82B68"/>
    <w:rsid w:val="13FA068E"/>
    <w:rsid w:val="14050106"/>
    <w:rsid w:val="141259D8"/>
    <w:rsid w:val="141F1EA3"/>
    <w:rsid w:val="1424570B"/>
    <w:rsid w:val="1425602A"/>
    <w:rsid w:val="14261483"/>
    <w:rsid w:val="142A7E88"/>
    <w:rsid w:val="142B6A9A"/>
    <w:rsid w:val="1438617E"/>
    <w:rsid w:val="143F0797"/>
    <w:rsid w:val="14470E31"/>
    <w:rsid w:val="145B57FC"/>
    <w:rsid w:val="14710FC6"/>
    <w:rsid w:val="1473140B"/>
    <w:rsid w:val="14740441"/>
    <w:rsid w:val="147525EE"/>
    <w:rsid w:val="14816EF4"/>
    <w:rsid w:val="148646E7"/>
    <w:rsid w:val="14916BA5"/>
    <w:rsid w:val="14A8037D"/>
    <w:rsid w:val="14BA5827"/>
    <w:rsid w:val="14BE482C"/>
    <w:rsid w:val="14E16E52"/>
    <w:rsid w:val="14E60C13"/>
    <w:rsid w:val="14ED1B04"/>
    <w:rsid w:val="14F7697C"/>
    <w:rsid w:val="14FE784E"/>
    <w:rsid w:val="153C0833"/>
    <w:rsid w:val="15567B46"/>
    <w:rsid w:val="155E69FB"/>
    <w:rsid w:val="157062A4"/>
    <w:rsid w:val="158521DA"/>
    <w:rsid w:val="15B47667"/>
    <w:rsid w:val="15BB3E4D"/>
    <w:rsid w:val="15C54CCC"/>
    <w:rsid w:val="15CB499D"/>
    <w:rsid w:val="15DF5D8E"/>
    <w:rsid w:val="15E11B06"/>
    <w:rsid w:val="15F24D42"/>
    <w:rsid w:val="15F6718A"/>
    <w:rsid w:val="15FF1F8C"/>
    <w:rsid w:val="16096967"/>
    <w:rsid w:val="16110B93"/>
    <w:rsid w:val="161E5E30"/>
    <w:rsid w:val="163D4862"/>
    <w:rsid w:val="166B7621"/>
    <w:rsid w:val="168E50BE"/>
    <w:rsid w:val="169326D4"/>
    <w:rsid w:val="169C5A2D"/>
    <w:rsid w:val="169D71E8"/>
    <w:rsid w:val="16A900BB"/>
    <w:rsid w:val="16B35411"/>
    <w:rsid w:val="16C259D6"/>
    <w:rsid w:val="16D178F5"/>
    <w:rsid w:val="16D35CC0"/>
    <w:rsid w:val="16DB3138"/>
    <w:rsid w:val="16E616BF"/>
    <w:rsid w:val="16ED0036"/>
    <w:rsid w:val="16F564C3"/>
    <w:rsid w:val="16F75359"/>
    <w:rsid w:val="17013AE2"/>
    <w:rsid w:val="1706734A"/>
    <w:rsid w:val="170B670F"/>
    <w:rsid w:val="170D3106"/>
    <w:rsid w:val="17141A67"/>
    <w:rsid w:val="172F2B7E"/>
    <w:rsid w:val="174D31CB"/>
    <w:rsid w:val="1756567F"/>
    <w:rsid w:val="179B7A92"/>
    <w:rsid w:val="17A87E47"/>
    <w:rsid w:val="17C23110"/>
    <w:rsid w:val="17C23271"/>
    <w:rsid w:val="17C4348D"/>
    <w:rsid w:val="17E07B9B"/>
    <w:rsid w:val="17ED4E8E"/>
    <w:rsid w:val="17F20599"/>
    <w:rsid w:val="17F378CF"/>
    <w:rsid w:val="17FA6D4D"/>
    <w:rsid w:val="180A7985"/>
    <w:rsid w:val="181B7ED6"/>
    <w:rsid w:val="183049C9"/>
    <w:rsid w:val="18567E5D"/>
    <w:rsid w:val="188350F6"/>
    <w:rsid w:val="188B534B"/>
    <w:rsid w:val="18905905"/>
    <w:rsid w:val="18B47385"/>
    <w:rsid w:val="18B51028"/>
    <w:rsid w:val="18CB25F9"/>
    <w:rsid w:val="18CC77BD"/>
    <w:rsid w:val="18E84F59"/>
    <w:rsid w:val="19035452"/>
    <w:rsid w:val="190F0738"/>
    <w:rsid w:val="19140EF5"/>
    <w:rsid w:val="191D2361"/>
    <w:rsid w:val="19297EBB"/>
    <w:rsid w:val="194505FE"/>
    <w:rsid w:val="195014AA"/>
    <w:rsid w:val="19670574"/>
    <w:rsid w:val="19766A09"/>
    <w:rsid w:val="1977008B"/>
    <w:rsid w:val="197B1F90"/>
    <w:rsid w:val="197F766C"/>
    <w:rsid w:val="198B3B37"/>
    <w:rsid w:val="19923117"/>
    <w:rsid w:val="199724DC"/>
    <w:rsid w:val="19A60971"/>
    <w:rsid w:val="19B45B4F"/>
    <w:rsid w:val="19B5733A"/>
    <w:rsid w:val="19C57C95"/>
    <w:rsid w:val="19F3263E"/>
    <w:rsid w:val="19F623FE"/>
    <w:rsid w:val="1A071055"/>
    <w:rsid w:val="1A165AF6"/>
    <w:rsid w:val="1A1E6CC4"/>
    <w:rsid w:val="1A667BFA"/>
    <w:rsid w:val="1A754AC3"/>
    <w:rsid w:val="1AF10274"/>
    <w:rsid w:val="1B0851B6"/>
    <w:rsid w:val="1B197D8B"/>
    <w:rsid w:val="1B293607"/>
    <w:rsid w:val="1B371B06"/>
    <w:rsid w:val="1B3853CA"/>
    <w:rsid w:val="1B4A239B"/>
    <w:rsid w:val="1B665EBA"/>
    <w:rsid w:val="1B8A66C7"/>
    <w:rsid w:val="1BA55384"/>
    <w:rsid w:val="1BAD6152"/>
    <w:rsid w:val="1BD071F5"/>
    <w:rsid w:val="1BF12290"/>
    <w:rsid w:val="1BF34C27"/>
    <w:rsid w:val="1BF613CE"/>
    <w:rsid w:val="1BFF416F"/>
    <w:rsid w:val="1C09740B"/>
    <w:rsid w:val="1C1C325F"/>
    <w:rsid w:val="1C1F5136"/>
    <w:rsid w:val="1C20344D"/>
    <w:rsid w:val="1C27223D"/>
    <w:rsid w:val="1C4D11BA"/>
    <w:rsid w:val="1C4D129D"/>
    <w:rsid w:val="1C4F52EF"/>
    <w:rsid w:val="1C6B037B"/>
    <w:rsid w:val="1C9135A4"/>
    <w:rsid w:val="1CA17753"/>
    <w:rsid w:val="1CB03FE0"/>
    <w:rsid w:val="1CDB6B83"/>
    <w:rsid w:val="1CDC4DD5"/>
    <w:rsid w:val="1CE65A14"/>
    <w:rsid w:val="1CFE521E"/>
    <w:rsid w:val="1D045D16"/>
    <w:rsid w:val="1D101429"/>
    <w:rsid w:val="1D3C246B"/>
    <w:rsid w:val="1D3C5874"/>
    <w:rsid w:val="1D3C768A"/>
    <w:rsid w:val="1D4806BC"/>
    <w:rsid w:val="1D556936"/>
    <w:rsid w:val="1D7C032C"/>
    <w:rsid w:val="1D892C79"/>
    <w:rsid w:val="1D8B05A9"/>
    <w:rsid w:val="1D954F84"/>
    <w:rsid w:val="1DAF4298"/>
    <w:rsid w:val="1DD2442A"/>
    <w:rsid w:val="1DFF7BBC"/>
    <w:rsid w:val="1E036392"/>
    <w:rsid w:val="1E1D56A5"/>
    <w:rsid w:val="1E2B73DD"/>
    <w:rsid w:val="1E312EFF"/>
    <w:rsid w:val="1E5F67A8"/>
    <w:rsid w:val="1E605592"/>
    <w:rsid w:val="1E65704C"/>
    <w:rsid w:val="1E6826AB"/>
    <w:rsid w:val="1E80114A"/>
    <w:rsid w:val="1E894AE9"/>
    <w:rsid w:val="1E93220F"/>
    <w:rsid w:val="1E9D1A25"/>
    <w:rsid w:val="1EE2244B"/>
    <w:rsid w:val="1EE53CE9"/>
    <w:rsid w:val="1EF53F2C"/>
    <w:rsid w:val="1F0C1276"/>
    <w:rsid w:val="1F1C7AB5"/>
    <w:rsid w:val="1F212F73"/>
    <w:rsid w:val="1F443106"/>
    <w:rsid w:val="1F552C1D"/>
    <w:rsid w:val="1F664E2A"/>
    <w:rsid w:val="1F6B7FA1"/>
    <w:rsid w:val="1F826B41"/>
    <w:rsid w:val="1FA72182"/>
    <w:rsid w:val="1FAC5786"/>
    <w:rsid w:val="1FCB7909"/>
    <w:rsid w:val="1FCF6E73"/>
    <w:rsid w:val="1FDC0AC8"/>
    <w:rsid w:val="1FDC2058"/>
    <w:rsid w:val="1FE12702"/>
    <w:rsid w:val="1FE62B24"/>
    <w:rsid w:val="1FF025B6"/>
    <w:rsid w:val="1FF64400"/>
    <w:rsid w:val="1FFC2999"/>
    <w:rsid w:val="20031C3F"/>
    <w:rsid w:val="200563F1"/>
    <w:rsid w:val="200D4F69"/>
    <w:rsid w:val="200F7270"/>
    <w:rsid w:val="20106605"/>
    <w:rsid w:val="20167FA8"/>
    <w:rsid w:val="2039253E"/>
    <w:rsid w:val="20416343"/>
    <w:rsid w:val="20466FF7"/>
    <w:rsid w:val="20692E24"/>
    <w:rsid w:val="206F7868"/>
    <w:rsid w:val="20735A50"/>
    <w:rsid w:val="20994D8B"/>
    <w:rsid w:val="20A7403F"/>
    <w:rsid w:val="20E24FCC"/>
    <w:rsid w:val="20E468E3"/>
    <w:rsid w:val="20EF7337"/>
    <w:rsid w:val="20F85F56"/>
    <w:rsid w:val="210B3804"/>
    <w:rsid w:val="212913C1"/>
    <w:rsid w:val="21336F8E"/>
    <w:rsid w:val="21511E4F"/>
    <w:rsid w:val="215869F4"/>
    <w:rsid w:val="21635AC5"/>
    <w:rsid w:val="217A4BBD"/>
    <w:rsid w:val="21A70165"/>
    <w:rsid w:val="21AC0FAC"/>
    <w:rsid w:val="21B225A8"/>
    <w:rsid w:val="21B87493"/>
    <w:rsid w:val="21BF0821"/>
    <w:rsid w:val="21D04698"/>
    <w:rsid w:val="21DC13D3"/>
    <w:rsid w:val="21F07200"/>
    <w:rsid w:val="21F221C9"/>
    <w:rsid w:val="21F62EBD"/>
    <w:rsid w:val="220402FD"/>
    <w:rsid w:val="220C4CDC"/>
    <w:rsid w:val="221A5FC5"/>
    <w:rsid w:val="221B5C2F"/>
    <w:rsid w:val="221E7C3E"/>
    <w:rsid w:val="222E1C63"/>
    <w:rsid w:val="223A10C5"/>
    <w:rsid w:val="22525B39"/>
    <w:rsid w:val="225673D8"/>
    <w:rsid w:val="229972C4"/>
    <w:rsid w:val="22A77705"/>
    <w:rsid w:val="22BE6D2B"/>
    <w:rsid w:val="22D12F02"/>
    <w:rsid w:val="22D327D6"/>
    <w:rsid w:val="23046E34"/>
    <w:rsid w:val="23221C49"/>
    <w:rsid w:val="2326370F"/>
    <w:rsid w:val="23442129"/>
    <w:rsid w:val="234611FA"/>
    <w:rsid w:val="23511E39"/>
    <w:rsid w:val="23571659"/>
    <w:rsid w:val="23627FFE"/>
    <w:rsid w:val="23637918"/>
    <w:rsid w:val="23664A1C"/>
    <w:rsid w:val="23700025"/>
    <w:rsid w:val="23724C32"/>
    <w:rsid w:val="2388614F"/>
    <w:rsid w:val="239E3A26"/>
    <w:rsid w:val="23A17E51"/>
    <w:rsid w:val="23C14C3E"/>
    <w:rsid w:val="23C95987"/>
    <w:rsid w:val="23E40A13"/>
    <w:rsid w:val="23ED78C8"/>
    <w:rsid w:val="24013373"/>
    <w:rsid w:val="241443C1"/>
    <w:rsid w:val="241E3F25"/>
    <w:rsid w:val="24294678"/>
    <w:rsid w:val="242C5960"/>
    <w:rsid w:val="242E02FA"/>
    <w:rsid w:val="2444412B"/>
    <w:rsid w:val="244D0366"/>
    <w:rsid w:val="248E1AB7"/>
    <w:rsid w:val="24AC1531"/>
    <w:rsid w:val="24E54A43"/>
    <w:rsid w:val="24F37DA3"/>
    <w:rsid w:val="24F53213"/>
    <w:rsid w:val="25034EC9"/>
    <w:rsid w:val="250A26FB"/>
    <w:rsid w:val="25185D98"/>
    <w:rsid w:val="251E295E"/>
    <w:rsid w:val="2527505B"/>
    <w:rsid w:val="25587434"/>
    <w:rsid w:val="25616BF7"/>
    <w:rsid w:val="25656BFC"/>
    <w:rsid w:val="25897AC4"/>
    <w:rsid w:val="25900E53"/>
    <w:rsid w:val="25902155"/>
    <w:rsid w:val="259A582D"/>
    <w:rsid w:val="25B863E4"/>
    <w:rsid w:val="25D83D42"/>
    <w:rsid w:val="25F0369F"/>
    <w:rsid w:val="25F478CC"/>
    <w:rsid w:val="2604714B"/>
    <w:rsid w:val="26103D41"/>
    <w:rsid w:val="26136E9E"/>
    <w:rsid w:val="261C6242"/>
    <w:rsid w:val="261F5032"/>
    <w:rsid w:val="2650413E"/>
    <w:rsid w:val="2657371E"/>
    <w:rsid w:val="265754CC"/>
    <w:rsid w:val="265E4AAD"/>
    <w:rsid w:val="26907B25"/>
    <w:rsid w:val="2698497A"/>
    <w:rsid w:val="26AA5F44"/>
    <w:rsid w:val="26BD6B08"/>
    <w:rsid w:val="26C66091"/>
    <w:rsid w:val="26D74864"/>
    <w:rsid w:val="26E1123A"/>
    <w:rsid w:val="26E2748C"/>
    <w:rsid w:val="26EFA9FA"/>
    <w:rsid w:val="26FB67A0"/>
    <w:rsid w:val="26FD2518"/>
    <w:rsid w:val="27035654"/>
    <w:rsid w:val="27085698"/>
    <w:rsid w:val="27301857"/>
    <w:rsid w:val="27391076"/>
    <w:rsid w:val="274E31B1"/>
    <w:rsid w:val="276500BD"/>
    <w:rsid w:val="276E6F72"/>
    <w:rsid w:val="277919F8"/>
    <w:rsid w:val="277D0F63"/>
    <w:rsid w:val="277F8B19"/>
    <w:rsid w:val="278850B6"/>
    <w:rsid w:val="27983FEE"/>
    <w:rsid w:val="279D33B3"/>
    <w:rsid w:val="279F738C"/>
    <w:rsid w:val="27D663B3"/>
    <w:rsid w:val="27DB5705"/>
    <w:rsid w:val="27E65454"/>
    <w:rsid w:val="27EE1E60"/>
    <w:rsid w:val="27EF4BF5"/>
    <w:rsid w:val="281E645D"/>
    <w:rsid w:val="28237BC7"/>
    <w:rsid w:val="286B1971"/>
    <w:rsid w:val="2878467C"/>
    <w:rsid w:val="2879797C"/>
    <w:rsid w:val="28834023"/>
    <w:rsid w:val="28943227"/>
    <w:rsid w:val="28B01215"/>
    <w:rsid w:val="28B03C18"/>
    <w:rsid w:val="28BF3AB9"/>
    <w:rsid w:val="28C01E2B"/>
    <w:rsid w:val="28C46940"/>
    <w:rsid w:val="28CD5F1A"/>
    <w:rsid w:val="28DB0637"/>
    <w:rsid w:val="28E6363A"/>
    <w:rsid w:val="28F11C08"/>
    <w:rsid w:val="29046EDC"/>
    <w:rsid w:val="291E7391"/>
    <w:rsid w:val="292F44DF"/>
    <w:rsid w:val="294B4E6E"/>
    <w:rsid w:val="29583A35"/>
    <w:rsid w:val="297A7E50"/>
    <w:rsid w:val="297E7214"/>
    <w:rsid w:val="29AA0009"/>
    <w:rsid w:val="29B449E4"/>
    <w:rsid w:val="29D10EA2"/>
    <w:rsid w:val="29E21551"/>
    <w:rsid w:val="2A155EC2"/>
    <w:rsid w:val="2A2C6C70"/>
    <w:rsid w:val="2A442896"/>
    <w:rsid w:val="2A683FD1"/>
    <w:rsid w:val="2A9E191C"/>
    <w:rsid w:val="2AA50EFC"/>
    <w:rsid w:val="2AAB228B"/>
    <w:rsid w:val="2ADB7170"/>
    <w:rsid w:val="2AE112B3"/>
    <w:rsid w:val="2AE9366F"/>
    <w:rsid w:val="2AEB029F"/>
    <w:rsid w:val="2AFC6642"/>
    <w:rsid w:val="2B0760E4"/>
    <w:rsid w:val="2B0A5203"/>
    <w:rsid w:val="2B221916"/>
    <w:rsid w:val="2B762899"/>
    <w:rsid w:val="2B9A4D4C"/>
    <w:rsid w:val="2BA271EA"/>
    <w:rsid w:val="2BB227A2"/>
    <w:rsid w:val="2BCE70A3"/>
    <w:rsid w:val="2BD919CC"/>
    <w:rsid w:val="2BEE6525"/>
    <w:rsid w:val="2C002302"/>
    <w:rsid w:val="2C0329B8"/>
    <w:rsid w:val="2C251BC9"/>
    <w:rsid w:val="2C317389"/>
    <w:rsid w:val="2C5A021C"/>
    <w:rsid w:val="2C617534"/>
    <w:rsid w:val="2C9A4365"/>
    <w:rsid w:val="2CA60F5C"/>
    <w:rsid w:val="2CB36F3E"/>
    <w:rsid w:val="2CC30841"/>
    <w:rsid w:val="2CD02638"/>
    <w:rsid w:val="2CE81CFA"/>
    <w:rsid w:val="2CEB4BC0"/>
    <w:rsid w:val="2CF2794B"/>
    <w:rsid w:val="2D014005"/>
    <w:rsid w:val="2D053ED4"/>
    <w:rsid w:val="2D18294D"/>
    <w:rsid w:val="2D216834"/>
    <w:rsid w:val="2D295360"/>
    <w:rsid w:val="2D4349FC"/>
    <w:rsid w:val="2D4A47B6"/>
    <w:rsid w:val="2D551D95"/>
    <w:rsid w:val="2D684463"/>
    <w:rsid w:val="2D6B7AAF"/>
    <w:rsid w:val="2D7623B6"/>
    <w:rsid w:val="2D8363D0"/>
    <w:rsid w:val="2D90387C"/>
    <w:rsid w:val="2D917516"/>
    <w:rsid w:val="2DA855FF"/>
    <w:rsid w:val="2DBE4083"/>
    <w:rsid w:val="2DBE5E99"/>
    <w:rsid w:val="2DBF0527"/>
    <w:rsid w:val="2DDC1CCB"/>
    <w:rsid w:val="2DE03FF9"/>
    <w:rsid w:val="2DF63BB8"/>
    <w:rsid w:val="2DF91630"/>
    <w:rsid w:val="2E2025E8"/>
    <w:rsid w:val="2E9F30A1"/>
    <w:rsid w:val="2EC13E2B"/>
    <w:rsid w:val="2ED24AAD"/>
    <w:rsid w:val="2EE20276"/>
    <w:rsid w:val="2EF97E0E"/>
    <w:rsid w:val="2EFA733D"/>
    <w:rsid w:val="2F340AA1"/>
    <w:rsid w:val="2F4A3E20"/>
    <w:rsid w:val="2F4E3708"/>
    <w:rsid w:val="2F7B66D0"/>
    <w:rsid w:val="2F807842"/>
    <w:rsid w:val="2F8A52E3"/>
    <w:rsid w:val="2FD00FEB"/>
    <w:rsid w:val="2FD44E34"/>
    <w:rsid w:val="2FEC3129"/>
    <w:rsid w:val="2FF33398"/>
    <w:rsid w:val="2FFB03B1"/>
    <w:rsid w:val="2FFF709B"/>
    <w:rsid w:val="30304946"/>
    <w:rsid w:val="3049300A"/>
    <w:rsid w:val="305024F2"/>
    <w:rsid w:val="305D413A"/>
    <w:rsid w:val="309B1C14"/>
    <w:rsid w:val="30AA08EF"/>
    <w:rsid w:val="30FE1366"/>
    <w:rsid w:val="30FF50DE"/>
    <w:rsid w:val="311C34A8"/>
    <w:rsid w:val="31292D3A"/>
    <w:rsid w:val="312A382C"/>
    <w:rsid w:val="312D45A2"/>
    <w:rsid w:val="31344D88"/>
    <w:rsid w:val="3143321D"/>
    <w:rsid w:val="31457719"/>
    <w:rsid w:val="315216B2"/>
    <w:rsid w:val="3155215F"/>
    <w:rsid w:val="31556AAC"/>
    <w:rsid w:val="31596B1C"/>
    <w:rsid w:val="31763FCB"/>
    <w:rsid w:val="31764F04"/>
    <w:rsid w:val="31CA36BD"/>
    <w:rsid w:val="31D65E3F"/>
    <w:rsid w:val="31D81ADA"/>
    <w:rsid w:val="31E3230A"/>
    <w:rsid w:val="31EB4ECF"/>
    <w:rsid w:val="31F43832"/>
    <w:rsid w:val="31F77B64"/>
    <w:rsid w:val="31FB58A6"/>
    <w:rsid w:val="320F1351"/>
    <w:rsid w:val="321C4287"/>
    <w:rsid w:val="324F174E"/>
    <w:rsid w:val="325F4087"/>
    <w:rsid w:val="3285463F"/>
    <w:rsid w:val="32AE7E18"/>
    <w:rsid w:val="32BC21C9"/>
    <w:rsid w:val="32C5265C"/>
    <w:rsid w:val="32DA44F0"/>
    <w:rsid w:val="32EE3061"/>
    <w:rsid w:val="32F426CD"/>
    <w:rsid w:val="32FD73FC"/>
    <w:rsid w:val="331C1F78"/>
    <w:rsid w:val="33464251"/>
    <w:rsid w:val="335D54C4"/>
    <w:rsid w:val="335E2586"/>
    <w:rsid w:val="33621166"/>
    <w:rsid w:val="33726570"/>
    <w:rsid w:val="337376BE"/>
    <w:rsid w:val="337F42B4"/>
    <w:rsid w:val="338709C6"/>
    <w:rsid w:val="33871B23"/>
    <w:rsid w:val="339029A4"/>
    <w:rsid w:val="33A15FD9"/>
    <w:rsid w:val="33A8380B"/>
    <w:rsid w:val="33B91574"/>
    <w:rsid w:val="33CA1115"/>
    <w:rsid w:val="33E34B07"/>
    <w:rsid w:val="33EC2F20"/>
    <w:rsid w:val="33FD65A8"/>
    <w:rsid w:val="3421711A"/>
    <w:rsid w:val="3422536C"/>
    <w:rsid w:val="342A1F36"/>
    <w:rsid w:val="343DAEEE"/>
    <w:rsid w:val="343E5F1E"/>
    <w:rsid w:val="344F6642"/>
    <w:rsid w:val="34502F77"/>
    <w:rsid w:val="347A51A8"/>
    <w:rsid w:val="347E631A"/>
    <w:rsid w:val="34821566"/>
    <w:rsid w:val="349719F9"/>
    <w:rsid w:val="34B921F7"/>
    <w:rsid w:val="34C446EB"/>
    <w:rsid w:val="34C603ED"/>
    <w:rsid w:val="34DA79F4"/>
    <w:rsid w:val="34F605A6"/>
    <w:rsid w:val="35232F33"/>
    <w:rsid w:val="3538296D"/>
    <w:rsid w:val="356F7390"/>
    <w:rsid w:val="357C0AAC"/>
    <w:rsid w:val="358A766C"/>
    <w:rsid w:val="359758E5"/>
    <w:rsid w:val="35B46497"/>
    <w:rsid w:val="35CF507F"/>
    <w:rsid w:val="35E3397E"/>
    <w:rsid w:val="35ED3C8B"/>
    <w:rsid w:val="35FE2075"/>
    <w:rsid w:val="360176FC"/>
    <w:rsid w:val="360D4480"/>
    <w:rsid w:val="363E3FB3"/>
    <w:rsid w:val="36624F0A"/>
    <w:rsid w:val="366A124C"/>
    <w:rsid w:val="367D2D2D"/>
    <w:rsid w:val="367E011C"/>
    <w:rsid w:val="369938DF"/>
    <w:rsid w:val="36AD060C"/>
    <w:rsid w:val="36D13079"/>
    <w:rsid w:val="36DD37CC"/>
    <w:rsid w:val="36F56D67"/>
    <w:rsid w:val="37033819"/>
    <w:rsid w:val="37165CDA"/>
    <w:rsid w:val="3725028A"/>
    <w:rsid w:val="378D51F2"/>
    <w:rsid w:val="37A8186B"/>
    <w:rsid w:val="37C16C4A"/>
    <w:rsid w:val="37C30C14"/>
    <w:rsid w:val="37D20E57"/>
    <w:rsid w:val="37DF5322"/>
    <w:rsid w:val="37F7266B"/>
    <w:rsid w:val="37F81519"/>
    <w:rsid w:val="37FC4126"/>
    <w:rsid w:val="380D1E8F"/>
    <w:rsid w:val="380F4F4D"/>
    <w:rsid w:val="381C20D2"/>
    <w:rsid w:val="381D7640"/>
    <w:rsid w:val="38426396"/>
    <w:rsid w:val="385201EA"/>
    <w:rsid w:val="385C4BC4"/>
    <w:rsid w:val="3862715F"/>
    <w:rsid w:val="38685317"/>
    <w:rsid w:val="387A4053"/>
    <w:rsid w:val="38AC16A8"/>
    <w:rsid w:val="38B22A36"/>
    <w:rsid w:val="38C03B65"/>
    <w:rsid w:val="38CF183A"/>
    <w:rsid w:val="38E62DEF"/>
    <w:rsid w:val="38E803A4"/>
    <w:rsid w:val="38EA6674"/>
    <w:rsid w:val="38F372D7"/>
    <w:rsid w:val="39131727"/>
    <w:rsid w:val="39186D3D"/>
    <w:rsid w:val="391D4903"/>
    <w:rsid w:val="392039A4"/>
    <w:rsid w:val="39322FCA"/>
    <w:rsid w:val="394A7201"/>
    <w:rsid w:val="394F1572"/>
    <w:rsid w:val="39616936"/>
    <w:rsid w:val="3962605C"/>
    <w:rsid w:val="396500E4"/>
    <w:rsid w:val="39673821"/>
    <w:rsid w:val="396F44FF"/>
    <w:rsid w:val="397321C6"/>
    <w:rsid w:val="398A4489"/>
    <w:rsid w:val="3991089E"/>
    <w:rsid w:val="39932928"/>
    <w:rsid w:val="39946D2C"/>
    <w:rsid w:val="399972E4"/>
    <w:rsid w:val="39A95DA7"/>
    <w:rsid w:val="39AC484E"/>
    <w:rsid w:val="39AE77D7"/>
    <w:rsid w:val="39CB0253"/>
    <w:rsid w:val="39DE350D"/>
    <w:rsid w:val="39EB4452"/>
    <w:rsid w:val="3A1F40FB"/>
    <w:rsid w:val="3A234547"/>
    <w:rsid w:val="3A27446B"/>
    <w:rsid w:val="3A341637"/>
    <w:rsid w:val="3A3E3010"/>
    <w:rsid w:val="3A486714"/>
    <w:rsid w:val="3A72247D"/>
    <w:rsid w:val="3A9D7939"/>
    <w:rsid w:val="3AB044EF"/>
    <w:rsid w:val="3ABA0584"/>
    <w:rsid w:val="3AF55386"/>
    <w:rsid w:val="3B106ED1"/>
    <w:rsid w:val="3B120FE1"/>
    <w:rsid w:val="3B136D3B"/>
    <w:rsid w:val="3B1B2B15"/>
    <w:rsid w:val="3B385475"/>
    <w:rsid w:val="3B604216"/>
    <w:rsid w:val="3B640BBC"/>
    <w:rsid w:val="3B6B4851"/>
    <w:rsid w:val="3B8561E0"/>
    <w:rsid w:val="3B89264E"/>
    <w:rsid w:val="3BB70A8F"/>
    <w:rsid w:val="3BCE07F5"/>
    <w:rsid w:val="3BD23926"/>
    <w:rsid w:val="3BD312AB"/>
    <w:rsid w:val="3C043F9B"/>
    <w:rsid w:val="3C123F18"/>
    <w:rsid w:val="3C3814A4"/>
    <w:rsid w:val="3C4B2BBB"/>
    <w:rsid w:val="3C500FA6"/>
    <w:rsid w:val="3C527533"/>
    <w:rsid w:val="3C6A50E3"/>
    <w:rsid w:val="3C6F45F5"/>
    <w:rsid w:val="3C777E46"/>
    <w:rsid w:val="3C7F70D3"/>
    <w:rsid w:val="3CAD1E92"/>
    <w:rsid w:val="3CBB2DD0"/>
    <w:rsid w:val="3CCD7E3F"/>
    <w:rsid w:val="3CD12DB5"/>
    <w:rsid w:val="3CEC78A9"/>
    <w:rsid w:val="3D0C6BB9"/>
    <w:rsid w:val="3D121CF5"/>
    <w:rsid w:val="3D5D7415"/>
    <w:rsid w:val="3D5E4F3B"/>
    <w:rsid w:val="3D7E2F32"/>
    <w:rsid w:val="3D853E18"/>
    <w:rsid w:val="3D8E52AA"/>
    <w:rsid w:val="3D981CB9"/>
    <w:rsid w:val="3DA05553"/>
    <w:rsid w:val="3DA26F90"/>
    <w:rsid w:val="3DAA5DD4"/>
    <w:rsid w:val="3DB159B2"/>
    <w:rsid w:val="3DBC7C53"/>
    <w:rsid w:val="3DD11BB1"/>
    <w:rsid w:val="3DFA2393"/>
    <w:rsid w:val="3DFC009D"/>
    <w:rsid w:val="3E073FF4"/>
    <w:rsid w:val="3E0B737B"/>
    <w:rsid w:val="3E2E3D2D"/>
    <w:rsid w:val="3E530E10"/>
    <w:rsid w:val="3E6622F9"/>
    <w:rsid w:val="3E7F49A7"/>
    <w:rsid w:val="3E835D8A"/>
    <w:rsid w:val="3E8409D1"/>
    <w:rsid w:val="3E8971C7"/>
    <w:rsid w:val="3E9A1FA2"/>
    <w:rsid w:val="3EA64DEB"/>
    <w:rsid w:val="3EAF0430"/>
    <w:rsid w:val="3EB65C36"/>
    <w:rsid w:val="3EDF5787"/>
    <w:rsid w:val="3EE851BA"/>
    <w:rsid w:val="3EEB606C"/>
    <w:rsid w:val="3EF21DDE"/>
    <w:rsid w:val="3F147FA7"/>
    <w:rsid w:val="3F163D1F"/>
    <w:rsid w:val="3F2008D9"/>
    <w:rsid w:val="3F312907"/>
    <w:rsid w:val="3F3B19D7"/>
    <w:rsid w:val="3F4C14EF"/>
    <w:rsid w:val="3F541A96"/>
    <w:rsid w:val="3F5879C6"/>
    <w:rsid w:val="3F6C7DE3"/>
    <w:rsid w:val="3F732F1F"/>
    <w:rsid w:val="3FA0183A"/>
    <w:rsid w:val="3FB05F21"/>
    <w:rsid w:val="3FB84BA2"/>
    <w:rsid w:val="3FC27A03"/>
    <w:rsid w:val="3FC45529"/>
    <w:rsid w:val="3FC6535B"/>
    <w:rsid w:val="3FCA3298"/>
    <w:rsid w:val="3FDA4D4C"/>
    <w:rsid w:val="3FE3021B"/>
    <w:rsid w:val="3FFD4EDF"/>
    <w:rsid w:val="400224F5"/>
    <w:rsid w:val="40046D4C"/>
    <w:rsid w:val="401364B0"/>
    <w:rsid w:val="402A69BE"/>
    <w:rsid w:val="40373B7D"/>
    <w:rsid w:val="40385F17"/>
    <w:rsid w:val="403B1067"/>
    <w:rsid w:val="403D7C34"/>
    <w:rsid w:val="404C551E"/>
    <w:rsid w:val="406E1CA9"/>
    <w:rsid w:val="408C3F57"/>
    <w:rsid w:val="409273D5"/>
    <w:rsid w:val="409C7159"/>
    <w:rsid w:val="40A8726B"/>
    <w:rsid w:val="40B61676"/>
    <w:rsid w:val="40C44B57"/>
    <w:rsid w:val="40C81049"/>
    <w:rsid w:val="40D12ACA"/>
    <w:rsid w:val="411425A0"/>
    <w:rsid w:val="411A73CB"/>
    <w:rsid w:val="413501A4"/>
    <w:rsid w:val="413C2AA7"/>
    <w:rsid w:val="4158761D"/>
    <w:rsid w:val="415A7BC3"/>
    <w:rsid w:val="415F7725"/>
    <w:rsid w:val="4162149D"/>
    <w:rsid w:val="416C3E2A"/>
    <w:rsid w:val="41720FB5"/>
    <w:rsid w:val="41722A91"/>
    <w:rsid w:val="417D62D7"/>
    <w:rsid w:val="418C0DF0"/>
    <w:rsid w:val="41AF2209"/>
    <w:rsid w:val="41C9151C"/>
    <w:rsid w:val="41E20DBB"/>
    <w:rsid w:val="420F5E8F"/>
    <w:rsid w:val="42114C71"/>
    <w:rsid w:val="421B789E"/>
    <w:rsid w:val="42264802"/>
    <w:rsid w:val="423A5154"/>
    <w:rsid w:val="424E37D0"/>
    <w:rsid w:val="42641245"/>
    <w:rsid w:val="42647EE0"/>
    <w:rsid w:val="42C41CEC"/>
    <w:rsid w:val="42E72782"/>
    <w:rsid w:val="43014B58"/>
    <w:rsid w:val="43022720"/>
    <w:rsid w:val="43090AF7"/>
    <w:rsid w:val="432B3EF8"/>
    <w:rsid w:val="434A3F97"/>
    <w:rsid w:val="434F77FF"/>
    <w:rsid w:val="435412BA"/>
    <w:rsid w:val="435661B0"/>
    <w:rsid w:val="435D72A6"/>
    <w:rsid w:val="43727992"/>
    <w:rsid w:val="4379487C"/>
    <w:rsid w:val="438A6A89"/>
    <w:rsid w:val="43B945E4"/>
    <w:rsid w:val="43DC2617"/>
    <w:rsid w:val="43EF2D90"/>
    <w:rsid w:val="43F54230"/>
    <w:rsid w:val="440343FF"/>
    <w:rsid w:val="4416305A"/>
    <w:rsid w:val="441F3676"/>
    <w:rsid w:val="44325EE6"/>
    <w:rsid w:val="44344EA9"/>
    <w:rsid w:val="445168C1"/>
    <w:rsid w:val="445E1615"/>
    <w:rsid w:val="44703ED1"/>
    <w:rsid w:val="44736E22"/>
    <w:rsid w:val="44801C3A"/>
    <w:rsid w:val="44974D76"/>
    <w:rsid w:val="44A771C7"/>
    <w:rsid w:val="44A93977"/>
    <w:rsid w:val="44B3525B"/>
    <w:rsid w:val="44DD0A3D"/>
    <w:rsid w:val="44DE662D"/>
    <w:rsid w:val="44EE129A"/>
    <w:rsid w:val="44FE09FA"/>
    <w:rsid w:val="4502744F"/>
    <w:rsid w:val="45316909"/>
    <w:rsid w:val="453A003B"/>
    <w:rsid w:val="453D6639"/>
    <w:rsid w:val="45543180"/>
    <w:rsid w:val="45605CF4"/>
    <w:rsid w:val="4570263D"/>
    <w:rsid w:val="458C7E7F"/>
    <w:rsid w:val="45997458"/>
    <w:rsid w:val="45B222C8"/>
    <w:rsid w:val="45B95404"/>
    <w:rsid w:val="45CF2E79"/>
    <w:rsid w:val="45DE4E6B"/>
    <w:rsid w:val="45E23B5A"/>
    <w:rsid w:val="45E85A95"/>
    <w:rsid w:val="45ED8FBB"/>
    <w:rsid w:val="45F054E5"/>
    <w:rsid w:val="45F4468E"/>
    <w:rsid w:val="45FE550D"/>
    <w:rsid w:val="46050649"/>
    <w:rsid w:val="46081EE8"/>
    <w:rsid w:val="461D76DD"/>
    <w:rsid w:val="46210897"/>
    <w:rsid w:val="46243BE7"/>
    <w:rsid w:val="462E5DF2"/>
    <w:rsid w:val="464B2231"/>
    <w:rsid w:val="464C0026"/>
    <w:rsid w:val="464E0242"/>
    <w:rsid w:val="465D2233"/>
    <w:rsid w:val="46641DBB"/>
    <w:rsid w:val="466E2692"/>
    <w:rsid w:val="46D87B0C"/>
    <w:rsid w:val="46D911A3"/>
    <w:rsid w:val="470A0C21"/>
    <w:rsid w:val="471274C2"/>
    <w:rsid w:val="47226FD9"/>
    <w:rsid w:val="472D60AA"/>
    <w:rsid w:val="472E597E"/>
    <w:rsid w:val="473D0E0D"/>
    <w:rsid w:val="474225B0"/>
    <w:rsid w:val="47474B1C"/>
    <w:rsid w:val="474779FD"/>
    <w:rsid w:val="474D694B"/>
    <w:rsid w:val="47543636"/>
    <w:rsid w:val="47653A95"/>
    <w:rsid w:val="476C2E00"/>
    <w:rsid w:val="47805554"/>
    <w:rsid w:val="479559FD"/>
    <w:rsid w:val="479B06F0"/>
    <w:rsid w:val="47A65E5C"/>
    <w:rsid w:val="47AA14A8"/>
    <w:rsid w:val="47B16CDB"/>
    <w:rsid w:val="47B95DF9"/>
    <w:rsid w:val="47CF0F0F"/>
    <w:rsid w:val="47DE602A"/>
    <w:rsid w:val="47E56984"/>
    <w:rsid w:val="47EA7AF7"/>
    <w:rsid w:val="47ECAF80"/>
    <w:rsid w:val="47F44E19"/>
    <w:rsid w:val="47F837F7"/>
    <w:rsid w:val="48195519"/>
    <w:rsid w:val="48233577"/>
    <w:rsid w:val="48313978"/>
    <w:rsid w:val="483C7BA6"/>
    <w:rsid w:val="484A4A39"/>
    <w:rsid w:val="4862077F"/>
    <w:rsid w:val="486C32C4"/>
    <w:rsid w:val="48702B41"/>
    <w:rsid w:val="48876B23"/>
    <w:rsid w:val="48981C49"/>
    <w:rsid w:val="489E1623"/>
    <w:rsid w:val="48A068BB"/>
    <w:rsid w:val="48B9571B"/>
    <w:rsid w:val="48E704DA"/>
    <w:rsid w:val="48E72B46"/>
    <w:rsid w:val="48F51616"/>
    <w:rsid w:val="48FC3F85"/>
    <w:rsid w:val="49084785"/>
    <w:rsid w:val="491017DF"/>
    <w:rsid w:val="49196E8E"/>
    <w:rsid w:val="491C63D6"/>
    <w:rsid w:val="49241BD3"/>
    <w:rsid w:val="4933371F"/>
    <w:rsid w:val="493F20C4"/>
    <w:rsid w:val="49690EEF"/>
    <w:rsid w:val="496B4C67"/>
    <w:rsid w:val="49871E26"/>
    <w:rsid w:val="49942410"/>
    <w:rsid w:val="49A168DB"/>
    <w:rsid w:val="49A870A3"/>
    <w:rsid w:val="49B303BC"/>
    <w:rsid w:val="49BE520E"/>
    <w:rsid w:val="49F96717"/>
    <w:rsid w:val="49FB6308"/>
    <w:rsid w:val="49FE1F7F"/>
    <w:rsid w:val="4A4F6337"/>
    <w:rsid w:val="4A871F75"/>
    <w:rsid w:val="4A900E74"/>
    <w:rsid w:val="4AA2659E"/>
    <w:rsid w:val="4AAE12AF"/>
    <w:rsid w:val="4AAF5028"/>
    <w:rsid w:val="4AB4263E"/>
    <w:rsid w:val="4AB921AD"/>
    <w:rsid w:val="4ABA5EA6"/>
    <w:rsid w:val="4ACA1E61"/>
    <w:rsid w:val="4AD3627A"/>
    <w:rsid w:val="4AE7656F"/>
    <w:rsid w:val="4AF33C1D"/>
    <w:rsid w:val="4AF869CF"/>
    <w:rsid w:val="4AF9142F"/>
    <w:rsid w:val="4AFD3FE5"/>
    <w:rsid w:val="4B0C433A"/>
    <w:rsid w:val="4B0E61F2"/>
    <w:rsid w:val="4B1834B6"/>
    <w:rsid w:val="4B2E0F3D"/>
    <w:rsid w:val="4B531E57"/>
    <w:rsid w:val="4B5A31E5"/>
    <w:rsid w:val="4B920BD1"/>
    <w:rsid w:val="4BE03B21"/>
    <w:rsid w:val="4BE9687B"/>
    <w:rsid w:val="4C047D9A"/>
    <w:rsid w:val="4C0513A3"/>
    <w:rsid w:val="4C101AF6"/>
    <w:rsid w:val="4C160AFB"/>
    <w:rsid w:val="4C1930A0"/>
    <w:rsid w:val="4C26756B"/>
    <w:rsid w:val="4C577725"/>
    <w:rsid w:val="4C5C34DD"/>
    <w:rsid w:val="4C6E1A57"/>
    <w:rsid w:val="4C727458"/>
    <w:rsid w:val="4C7B59CC"/>
    <w:rsid w:val="4CB86415"/>
    <w:rsid w:val="4CB92217"/>
    <w:rsid w:val="4CDF5D99"/>
    <w:rsid w:val="4CE60F89"/>
    <w:rsid w:val="4CE627DD"/>
    <w:rsid w:val="4D090A1F"/>
    <w:rsid w:val="4D16138E"/>
    <w:rsid w:val="4D1F6494"/>
    <w:rsid w:val="4D227D33"/>
    <w:rsid w:val="4D38421E"/>
    <w:rsid w:val="4D3865AB"/>
    <w:rsid w:val="4D3A5D2C"/>
    <w:rsid w:val="4D5036C3"/>
    <w:rsid w:val="4D686CC6"/>
    <w:rsid w:val="4D6EFFE4"/>
    <w:rsid w:val="4D890357"/>
    <w:rsid w:val="4D936409"/>
    <w:rsid w:val="4D941335"/>
    <w:rsid w:val="4DA14831"/>
    <w:rsid w:val="4DA407B0"/>
    <w:rsid w:val="4DB30ADD"/>
    <w:rsid w:val="4DD30CB1"/>
    <w:rsid w:val="4DF125F8"/>
    <w:rsid w:val="4E173610"/>
    <w:rsid w:val="4E1C4782"/>
    <w:rsid w:val="4E1E499E"/>
    <w:rsid w:val="4E381E3D"/>
    <w:rsid w:val="4E5E2FEC"/>
    <w:rsid w:val="4E685132"/>
    <w:rsid w:val="4E7E61B9"/>
    <w:rsid w:val="4E834801"/>
    <w:rsid w:val="4EA00700"/>
    <w:rsid w:val="4EA03605"/>
    <w:rsid w:val="4EA34327"/>
    <w:rsid w:val="4EAD187E"/>
    <w:rsid w:val="4EC372F3"/>
    <w:rsid w:val="4ECD188D"/>
    <w:rsid w:val="4ED67027"/>
    <w:rsid w:val="4ED824E8"/>
    <w:rsid w:val="4EE334F2"/>
    <w:rsid w:val="4EE57E01"/>
    <w:rsid w:val="4EEC23A6"/>
    <w:rsid w:val="4F073684"/>
    <w:rsid w:val="4F140DA5"/>
    <w:rsid w:val="4F334479"/>
    <w:rsid w:val="4F592159"/>
    <w:rsid w:val="4F870321"/>
    <w:rsid w:val="4F98252E"/>
    <w:rsid w:val="4F9842DC"/>
    <w:rsid w:val="4F9F235C"/>
    <w:rsid w:val="4FB01626"/>
    <w:rsid w:val="4FD25A40"/>
    <w:rsid w:val="4FDC3661"/>
    <w:rsid w:val="4FE156F9"/>
    <w:rsid w:val="5005604B"/>
    <w:rsid w:val="50167463"/>
    <w:rsid w:val="50277BFE"/>
    <w:rsid w:val="50463D38"/>
    <w:rsid w:val="5055599B"/>
    <w:rsid w:val="505B3C87"/>
    <w:rsid w:val="50682A22"/>
    <w:rsid w:val="50845547"/>
    <w:rsid w:val="508A1E77"/>
    <w:rsid w:val="50B5158D"/>
    <w:rsid w:val="50B62B5F"/>
    <w:rsid w:val="50B74C36"/>
    <w:rsid w:val="50BD6A7A"/>
    <w:rsid w:val="50C860AF"/>
    <w:rsid w:val="50D17AA6"/>
    <w:rsid w:val="50D907D2"/>
    <w:rsid w:val="50FE0903"/>
    <w:rsid w:val="51065994"/>
    <w:rsid w:val="510A2FB8"/>
    <w:rsid w:val="512A0A9E"/>
    <w:rsid w:val="513D513B"/>
    <w:rsid w:val="51711289"/>
    <w:rsid w:val="5187657C"/>
    <w:rsid w:val="51A01DEB"/>
    <w:rsid w:val="51A653CF"/>
    <w:rsid w:val="51BA094C"/>
    <w:rsid w:val="51BA7767"/>
    <w:rsid w:val="51FA302C"/>
    <w:rsid w:val="52043EAB"/>
    <w:rsid w:val="521757D0"/>
    <w:rsid w:val="52192A1A"/>
    <w:rsid w:val="521C7446"/>
    <w:rsid w:val="52262073"/>
    <w:rsid w:val="524D13AE"/>
    <w:rsid w:val="527C7EE5"/>
    <w:rsid w:val="52AA100F"/>
    <w:rsid w:val="52BD163A"/>
    <w:rsid w:val="52CD24EF"/>
    <w:rsid w:val="52D15F58"/>
    <w:rsid w:val="52D937EC"/>
    <w:rsid w:val="52E361B6"/>
    <w:rsid w:val="52EB7081"/>
    <w:rsid w:val="52ED26BB"/>
    <w:rsid w:val="53096F47"/>
    <w:rsid w:val="534266D4"/>
    <w:rsid w:val="53487DC7"/>
    <w:rsid w:val="534D4075"/>
    <w:rsid w:val="53542877"/>
    <w:rsid w:val="537F7C8D"/>
    <w:rsid w:val="5392138D"/>
    <w:rsid w:val="53964FD7"/>
    <w:rsid w:val="53B06098"/>
    <w:rsid w:val="53B316E5"/>
    <w:rsid w:val="53C95448"/>
    <w:rsid w:val="53CB30B0"/>
    <w:rsid w:val="53D26D34"/>
    <w:rsid w:val="53DC50DF"/>
    <w:rsid w:val="54085ED4"/>
    <w:rsid w:val="54127159"/>
    <w:rsid w:val="54293073"/>
    <w:rsid w:val="54316AAD"/>
    <w:rsid w:val="544D1B39"/>
    <w:rsid w:val="544D7D8B"/>
    <w:rsid w:val="546A5122"/>
    <w:rsid w:val="546E45C8"/>
    <w:rsid w:val="548B2CF9"/>
    <w:rsid w:val="548B3542"/>
    <w:rsid w:val="548B440F"/>
    <w:rsid w:val="54975AD9"/>
    <w:rsid w:val="549D01C5"/>
    <w:rsid w:val="54A148D9"/>
    <w:rsid w:val="54A84FC1"/>
    <w:rsid w:val="54AC2052"/>
    <w:rsid w:val="54CE1930"/>
    <w:rsid w:val="54CE2E6E"/>
    <w:rsid w:val="550003BB"/>
    <w:rsid w:val="550D57F6"/>
    <w:rsid w:val="551144DB"/>
    <w:rsid w:val="552D196B"/>
    <w:rsid w:val="554F368F"/>
    <w:rsid w:val="55652EB2"/>
    <w:rsid w:val="557405D2"/>
    <w:rsid w:val="558A2919"/>
    <w:rsid w:val="558C043F"/>
    <w:rsid w:val="558D3998"/>
    <w:rsid w:val="55A0196B"/>
    <w:rsid w:val="55A25EB5"/>
    <w:rsid w:val="55AA2FBB"/>
    <w:rsid w:val="55B10E2D"/>
    <w:rsid w:val="55C73392"/>
    <w:rsid w:val="55D55173"/>
    <w:rsid w:val="55F66200"/>
    <w:rsid w:val="56033763"/>
    <w:rsid w:val="560501F2"/>
    <w:rsid w:val="5606767B"/>
    <w:rsid w:val="56075B94"/>
    <w:rsid w:val="56175763"/>
    <w:rsid w:val="562B40FC"/>
    <w:rsid w:val="563C00B7"/>
    <w:rsid w:val="564D4072"/>
    <w:rsid w:val="567D5B8A"/>
    <w:rsid w:val="56821842"/>
    <w:rsid w:val="569C1BD0"/>
    <w:rsid w:val="56A143BE"/>
    <w:rsid w:val="56A43446"/>
    <w:rsid w:val="56A91FD0"/>
    <w:rsid w:val="56B379BE"/>
    <w:rsid w:val="56BA5480"/>
    <w:rsid w:val="56C836F9"/>
    <w:rsid w:val="56D93FE2"/>
    <w:rsid w:val="56E12A65"/>
    <w:rsid w:val="56F55413"/>
    <w:rsid w:val="57062473"/>
    <w:rsid w:val="574D4690"/>
    <w:rsid w:val="57550FB5"/>
    <w:rsid w:val="57573528"/>
    <w:rsid w:val="575B6A87"/>
    <w:rsid w:val="576424DD"/>
    <w:rsid w:val="577105B3"/>
    <w:rsid w:val="577C51AA"/>
    <w:rsid w:val="5789732C"/>
    <w:rsid w:val="57936D9A"/>
    <w:rsid w:val="57AA1051"/>
    <w:rsid w:val="57BE598B"/>
    <w:rsid w:val="57C9597B"/>
    <w:rsid w:val="57D12A81"/>
    <w:rsid w:val="5800267C"/>
    <w:rsid w:val="580C1D0B"/>
    <w:rsid w:val="581C3A31"/>
    <w:rsid w:val="581D1822"/>
    <w:rsid w:val="5853793A"/>
    <w:rsid w:val="586E6522"/>
    <w:rsid w:val="58721CF1"/>
    <w:rsid w:val="587F428B"/>
    <w:rsid w:val="5886243F"/>
    <w:rsid w:val="588C54C6"/>
    <w:rsid w:val="588F4582"/>
    <w:rsid w:val="58A11F60"/>
    <w:rsid w:val="58B008E9"/>
    <w:rsid w:val="58EF3626"/>
    <w:rsid w:val="590B3D71"/>
    <w:rsid w:val="59172746"/>
    <w:rsid w:val="591E4C5E"/>
    <w:rsid w:val="59231526"/>
    <w:rsid w:val="592D44A4"/>
    <w:rsid w:val="5932754F"/>
    <w:rsid w:val="5960230F"/>
    <w:rsid w:val="596C0CB3"/>
    <w:rsid w:val="596C2A61"/>
    <w:rsid w:val="5997069B"/>
    <w:rsid w:val="599C0E6D"/>
    <w:rsid w:val="599C1071"/>
    <w:rsid w:val="59AB4618"/>
    <w:rsid w:val="59D275CB"/>
    <w:rsid w:val="59D625D1"/>
    <w:rsid w:val="59EC3EFC"/>
    <w:rsid w:val="59EF5441"/>
    <w:rsid w:val="5A040EEC"/>
    <w:rsid w:val="5A262AF2"/>
    <w:rsid w:val="5A294338"/>
    <w:rsid w:val="5A386DE8"/>
    <w:rsid w:val="5A4408B4"/>
    <w:rsid w:val="5A443BC9"/>
    <w:rsid w:val="5A631A46"/>
    <w:rsid w:val="5A655703"/>
    <w:rsid w:val="5A717841"/>
    <w:rsid w:val="5A813F6F"/>
    <w:rsid w:val="5A88507C"/>
    <w:rsid w:val="5AA81722"/>
    <w:rsid w:val="5ABC1D3D"/>
    <w:rsid w:val="5AC02181"/>
    <w:rsid w:val="5AE34FA5"/>
    <w:rsid w:val="5B0122A1"/>
    <w:rsid w:val="5B0614B2"/>
    <w:rsid w:val="5B1318BC"/>
    <w:rsid w:val="5B1974D3"/>
    <w:rsid w:val="5B28211D"/>
    <w:rsid w:val="5B345801"/>
    <w:rsid w:val="5B487198"/>
    <w:rsid w:val="5B505B2C"/>
    <w:rsid w:val="5B523A71"/>
    <w:rsid w:val="5B6360E6"/>
    <w:rsid w:val="5B682E38"/>
    <w:rsid w:val="5B6B4F9B"/>
    <w:rsid w:val="5B903A80"/>
    <w:rsid w:val="5B947393"/>
    <w:rsid w:val="5BAA7871"/>
    <w:rsid w:val="5BAD375B"/>
    <w:rsid w:val="5BB21A87"/>
    <w:rsid w:val="5BB701E0"/>
    <w:rsid w:val="5BC36B85"/>
    <w:rsid w:val="5BC70423"/>
    <w:rsid w:val="5BF44F90"/>
    <w:rsid w:val="5BFC3B20"/>
    <w:rsid w:val="5C0E3BCB"/>
    <w:rsid w:val="5C2E4C8F"/>
    <w:rsid w:val="5C3F3891"/>
    <w:rsid w:val="5C4952DC"/>
    <w:rsid w:val="5C49708A"/>
    <w:rsid w:val="5C6E742D"/>
    <w:rsid w:val="5C7559A0"/>
    <w:rsid w:val="5C8D270B"/>
    <w:rsid w:val="5CD050B5"/>
    <w:rsid w:val="5CDD53FD"/>
    <w:rsid w:val="5CF029A4"/>
    <w:rsid w:val="5CFF490E"/>
    <w:rsid w:val="5D1256CE"/>
    <w:rsid w:val="5D211C7A"/>
    <w:rsid w:val="5D290C69"/>
    <w:rsid w:val="5D2C42B6"/>
    <w:rsid w:val="5D35760E"/>
    <w:rsid w:val="5D7D61D4"/>
    <w:rsid w:val="5D7E2D63"/>
    <w:rsid w:val="5D8772F7"/>
    <w:rsid w:val="5D916F3A"/>
    <w:rsid w:val="5D957D0C"/>
    <w:rsid w:val="5DA00667"/>
    <w:rsid w:val="5DA36C6E"/>
    <w:rsid w:val="5DA622BA"/>
    <w:rsid w:val="5DC851C2"/>
    <w:rsid w:val="5DD469F2"/>
    <w:rsid w:val="5DE765F7"/>
    <w:rsid w:val="5DF179D9"/>
    <w:rsid w:val="5E0B0912"/>
    <w:rsid w:val="5E4135CD"/>
    <w:rsid w:val="5E4A2CDD"/>
    <w:rsid w:val="5E522932"/>
    <w:rsid w:val="5E911DC4"/>
    <w:rsid w:val="5EB22C42"/>
    <w:rsid w:val="5EB97DCB"/>
    <w:rsid w:val="5EDD7F5D"/>
    <w:rsid w:val="5EDF003D"/>
    <w:rsid w:val="5EE66E12"/>
    <w:rsid w:val="5EEE084A"/>
    <w:rsid w:val="5EEF64E5"/>
    <w:rsid w:val="5EF5E5F9"/>
    <w:rsid w:val="5F1020E1"/>
    <w:rsid w:val="5F25CA5C"/>
    <w:rsid w:val="5F6146EB"/>
    <w:rsid w:val="5F6B8C57"/>
    <w:rsid w:val="5F70492E"/>
    <w:rsid w:val="5F876ADF"/>
    <w:rsid w:val="5F9F5A26"/>
    <w:rsid w:val="5FA57075"/>
    <w:rsid w:val="5FB52C88"/>
    <w:rsid w:val="5FB7255D"/>
    <w:rsid w:val="5FC67B8D"/>
    <w:rsid w:val="5FCF4F74"/>
    <w:rsid w:val="5FD45774"/>
    <w:rsid w:val="5FD6437E"/>
    <w:rsid w:val="5FE97712"/>
    <w:rsid w:val="5FF27A39"/>
    <w:rsid w:val="5FF67529"/>
    <w:rsid w:val="600532C8"/>
    <w:rsid w:val="60057733"/>
    <w:rsid w:val="60237BF2"/>
    <w:rsid w:val="603314FC"/>
    <w:rsid w:val="60363DC9"/>
    <w:rsid w:val="603D6F06"/>
    <w:rsid w:val="603E4A2C"/>
    <w:rsid w:val="607C6FD9"/>
    <w:rsid w:val="607E12CC"/>
    <w:rsid w:val="608E76FF"/>
    <w:rsid w:val="60A769DE"/>
    <w:rsid w:val="60B10A9B"/>
    <w:rsid w:val="60B3541A"/>
    <w:rsid w:val="60CB31F0"/>
    <w:rsid w:val="60F87065"/>
    <w:rsid w:val="60FF41BB"/>
    <w:rsid w:val="61216D71"/>
    <w:rsid w:val="6129748A"/>
    <w:rsid w:val="613167C1"/>
    <w:rsid w:val="61483DB4"/>
    <w:rsid w:val="615949C4"/>
    <w:rsid w:val="6164392E"/>
    <w:rsid w:val="616C7377"/>
    <w:rsid w:val="619C5EAE"/>
    <w:rsid w:val="619D39D4"/>
    <w:rsid w:val="61AA48CA"/>
    <w:rsid w:val="61AA7508"/>
    <w:rsid w:val="61B251CE"/>
    <w:rsid w:val="61C176C2"/>
    <w:rsid w:val="61C62F2B"/>
    <w:rsid w:val="61C80A51"/>
    <w:rsid w:val="61C91735"/>
    <w:rsid w:val="61CD6067"/>
    <w:rsid w:val="61E91E30"/>
    <w:rsid w:val="61FF01EB"/>
    <w:rsid w:val="62015D11"/>
    <w:rsid w:val="62042C5C"/>
    <w:rsid w:val="621674EE"/>
    <w:rsid w:val="62242ABB"/>
    <w:rsid w:val="62283FE9"/>
    <w:rsid w:val="622A34BA"/>
    <w:rsid w:val="622B0FE0"/>
    <w:rsid w:val="62312A9A"/>
    <w:rsid w:val="624002F3"/>
    <w:rsid w:val="624301C7"/>
    <w:rsid w:val="62465E1A"/>
    <w:rsid w:val="625642AF"/>
    <w:rsid w:val="6284369F"/>
    <w:rsid w:val="629E5C56"/>
    <w:rsid w:val="62D653F0"/>
    <w:rsid w:val="62D84B61"/>
    <w:rsid w:val="63063677"/>
    <w:rsid w:val="630E6937"/>
    <w:rsid w:val="63253C81"/>
    <w:rsid w:val="63275C4B"/>
    <w:rsid w:val="63375A83"/>
    <w:rsid w:val="63414F5F"/>
    <w:rsid w:val="63584057"/>
    <w:rsid w:val="63A859DC"/>
    <w:rsid w:val="63AE011A"/>
    <w:rsid w:val="63B079EF"/>
    <w:rsid w:val="63B15515"/>
    <w:rsid w:val="63BE65AF"/>
    <w:rsid w:val="63CC3D7A"/>
    <w:rsid w:val="63EB09A3"/>
    <w:rsid w:val="63ED0C43"/>
    <w:rsid w:val="63F773CC"/>
    <w:rsid w:val="642503DD"/>
    <w:rsid w:val="64337180"/>
    <w:rsid w:val="64395C36"/>
    <w:rsid w:val="64412D3D"/>
    <w:rsid w:val="644338BB"/>
    <w:rsid w:val="644D7933"/>
    <w:rsid w:val="646627A3"/>
    <w:rsid w:val="646709F5"/>
    <w:rsid w:val="647153D0"/>
    <w:rsid w:val="64815144"/>
    <w:rsid w:val="64B71356"/>
    <w:rsid w:val="64CD45D0"/>
    <w:rsid w:val="64FB0BF5"/>
    <w:rsid w:val="650C50F9"/>
    <w:rsid w:val="652A335A"/>
    <w:rsid w:val="65384140"/>
    <w:rsid w:val="65442AE4"/>
    <w:rsid w:val="654900FB"/>
    <w:rsid w:val="656211BC"/>
    <w:rsid w:val="658951C3"/>
    <w:rsid w:val="658A426F"/>
    <w:rsid w:val="659A2704"/>
    <w:rsid w:val="65C21C5B"/>
    <w:rsid w:val="65DF280D"/>
    <w:rsid w:val="66083B12"/>
    <w:rsid w:val="66240220"/>
    <w:rsid w:val="662621EA"/>
    <w:rsid w:val="662A7F2C"/>
    <w:rsid w:val="663E14A5"/>
    <w:rsid w:val="66421990"/>
    <w:rsid w:val="66482160"/>
    <w:rsid w:val="66552ACF"/>
    <w:rsid w:val="665E7BD6"/>
    <w:rsid w:val="6686712D"/>
    <w:rsid w:val="66B477F6"/>
    <w:rsid w:val="66D17D0C"/>
    <w:rsid w:val="66D9725C"/>
    <w:rsid w:val="66FF548B"/>
    <w:rsid w:val="6717678D"/>
    <w:rsid w:val="671D5DB9"/>
    <w:rsid w:val="6731565A"/>
    <w:rsid w:val="6740552D"/>
    <w:rsid w:val="6751631F"/>
    <w:rsid w:val="675C5FA0"/>
    <w:rsid w:val="67666951"/>
    <w:rsid w:val="677B2AD6"/>
    <w:rsid w:val="679D64DC"/>
    <w:rsid w:val="679F2254"/>
    <w:rsid w:val="67AA4CC9"/>
    <w:rsid w:val="67B954AC"/>
    <w:rsid w:val="67D233CD"/>
    <w:rsid w:val="67D60943"/>
    <w:rsid w:val="67E55DF3"/>
    <w:rsid w:val="680227E3"/>
    <w:rsid w:val="680E2F36"/>
    <w:rsid w:val="6865081C"/>
    <w:rsid w:val="687436E1"/>
    <w:rsid w:val="68774686"/>
    <w:rsid w:val="68782A9E"/>
    <w:rsid w:val="68C64CC0"/>
    <w:rsid w:val="68CA1553"/>
    <w:rsid w:val="68D83F4F"/>
    <w:rsid w:val="68E53078"/>
    <w:rsid w:val="68FF9CFD"/>
    <w:rsid w:val="690F51B7"/>
    <w:rsid w:val="6917406C"/>
    <w:rsid w:val="691D668F"/>
    <w:rsid w:val="692E65A9"/>
    <w:rsid w:val="692F7608"/>
    <w:rsid w:val="6935E3FF"/>
    <w:rsid w:val="693C5675"/>
    <w:rsid w:val="697414BE"/>
    <w:rsid w:val="699925C6"/>
    <w:rsid w:val="69A91D3B"/>
    <w:rsid w:val="69EE1271"/>
    <w:rsid w:val="69F557BF"/>
    <w:rsid w:val="69FE33CB"/>
    <w:rsid w:val="6A0B4E3E"/>
    <w:rsid w:val="6A136F29"/>
    <w:rsid w:val="6A1B7B8C"/>
    <w:rsid w:val="6A246A40"/>
    <w:rsid w:val="6A403639"/>
    <w:rsid w:val="6A5A6906"/>
    <w:rsid w:val="6A5B616F"/>
    <w:rsid w:val="6A681023"/>
    <w:rsid w:val="6A70612A"/>
    <w:rsid w:val="6A767EB0"/>
    <w:rsid w:val="6A7E12E7"/>
    <w:rsid w:val="6A8E65B0"/>
    <w:rsid w:val="6A927E4E"/>
    <w:rsid w:val="6AAD4C88"/>
    <w:rsid w:val="6AB468B2"/>
    <w:rsid w:val="6ABE1C62"/>
    <w:rsid w:val="6B064398"/>
    <w:rsid w:val="6B0A7CDD"/>
    <w:rsid w:val="6B0B082E"/>
    <w:rsid w:val="6B1B42E7"/>
    <w:rsid w:val="6B217424"/>
    <w:rsid w:val="6B2807B2"/>
    <w:rsid w:val="6B4F25BD"/>
    <w:rsid w:val="6B543355"/>
    <w:rsid w:val="6B5628C0"/>
    <w:rsid w:val="6B601CFA"/>
    <w:rsid w:val="6B89D77C"/>
    <w:rsid w:val="6B8A6D77"/>
    <w:rsid w:val="6B8F6870"/>
    <w:rsid w:val="6B916358"/>
    <w:rsid w:val="6B96396E"/>
    <w:rsid w:val="6B9E74FB"/>
    <w:rsid w:val="6BB41665"/>
    <w:rsid w:val="6BB82A0C"/>
    <w:rsid w:val="6BB97B5D"/>
    <w:rsid w:val="6BCE4EB6"/>
    <w:rsid w:val="6BCF5A5D"/>
    <w:rsid w:val="6BD050D2"/>
    <w:rsid w:val="6BD36970"/>
    <w:rsid w:val="6BDF1A3A"/>
    <w:rsid w:val="6BE871E4"/>
    <w:rsid w:val="6BF07522"/>
    <w:rsid w:val="6C045086"/>
    <w:rsid w:val="6C1A459F"/>
    <w:rsid w:val="6C213C41"/>
    <w:rsid w:val="6C2911BA"/>
    <w:rsid w:val="6C320541"/>
    <w:rsid w:val="6C360CAD"/>
    <w:rsid w:val="6C613F7C"/>
    <w:rsid w:val="6C621AA2"/>
    <w:rsid w:val="6C674B5D"/>
    <w:rsid w:val="6C7D68DC"/>
    <w:rsid w:val="6CAC317F"/>
    <w:rsid w:val="6CAD5413"/>
    <w:rsid w:val="6CD72490"/>
    <w:rsid w:val="6CF622E4"/>
    <w:rsid w:val="6D0F39D8"/>
    <w:rsid w:val="6D1645CB"/>
    <w:rsid w:val="6D21195D"/>
    <w:rsid w:val="6D301BA0"/>
    <w:rsid w:val="6D3A645A"/>
    <w:rsid w:val="6D5034E2"/>
    <w:rsid w:val="6D5D3185"/>
    <w:rsid w:val="6D7101EF"/>
    <w:rsid w:val="6D7E0B5E"/>
    <w:rsid w:val="6D881C30"/>
    <w:rsid w:val="6DA700B4"/>
    <w:rsid w:val="6DB93296"/>
    <w:rsid w:val="6DBE267F"/>
    <w:rsid w:val="6DC510DE"/>
    <w:rsid w:val="6DCB626F"/>
    <w:rsid w:val="6DD32D72"/>
    <w:rsid w:val="6DD8201C"/>
    <w:rsid w:val="6DDB402E"/>
    <w:rsid w:val="6DFB3F5C"/>
    <w:rsid w:val="6E044415"/>
    <w:rsid w:val="6E3B07FD"/>
    <w:rsid w:val="6E3DACCC"/>
    <w:rsid w:val="6E3F02ED"/>
    <w:rsid w:val="6E510020"/>
    <w:rsid w:val="6E6B2E90"/>
    <w:rsid w:val="6E6C6E8D"/>
    <w:rsid w:val="6E7B6E4B"/>
    <w:rsid w:val="6E906D9A"/>
    <w:rsid w:val="6EBA07C6"/>
    <w:rsid w:val="6EBD4657"/>
    <w:rsid w:val="6EBD7464"/>
    <w:rsid w:val="6EC1180A"/>
    <w:rsid w:val="6ED529FF"/>
    <w:rsid w:val="6EF833B6"/>
    <w:rsid w:val="6F0357BE"/>
    <w:rsid w:val="6F092237"/>
    <w:rsid w:val="6F374EF2"/>
    <w:rsid w:val="6F3800C2"/>
    <w:rsid w:val="6F3911E0"/>
    <w:rsid w:val="6F7264A0"/>
    <w:rsid w:val="6F7F7A45"/>
    <w:rsid w:val="6FA44A0C"/>
    <w:rsid w:val="6FA541DE"/>
    <w:rsid w:val="6FA56875"/>
    <w:rsid w:val="6FB85B43"/>
    <w:rsid w:val="6FBD4503"/>
    <w:rsid w:val="6FC67AA4"/>
    <w:rsid w:val="6FC7059A"/>
    <w:rsid w:val="6FEF5D43"/>
    <w:rsid w:val="70294DB1"/>
    <w:rsid w:val="7030431E"/>
    <w:rsid w:val="70364D64"/>
    <w:rsid w:val="7037034D"/>
    <w:rsid w:val="703F45D4"/>
    <w:rsid w:val="70497201"/>
    <w:rsid w:val="705F4C76"/>
    <w:rsid w:val="706E4EB9"/>
    <w:rsid w:val="70903082"/>
    <w:rsid w:val="709366CE"/>
    <w:rsid w:val="70A02B99"/>
    <w:rsid w:val="70B2124A"/>
    <w:rsid w:val="70B623BC"/>
    <w:rsid w:val="70D146FF"/>
    <w:rsid w:val="71347EB1"/>
    <w:rsid w:val="7135597E"/>
    <w:rsid w:val="713F488B"/>
    <w:rsid w:val="713FBCD3"/>
    <w:rsid w:val="71453E6C"/>
    <w:rsid w:val="714D7E0C"/>
    <w:rsid w:val="715C5648"/>
    <w:rsid w:val="716B13F9"/>
    <w:rsid w:val="71702B61"/>
    <w:rsid w:val="717113A2"/>
    <w:rsid w:val="71761774"/>
    <w:rsid w:val="717F1AE1"/>
    <w:rsid w:val="71802A62"/>
    <w:rsid w:val="71956476"/>
    <w:rsid w:val="719646C8"/>
    <w:rsid w:val="71B42DA0"/>
    <w:rsid w:val="71E14BC5"/>
    <w:rsid w:val="71F53BE0"/>
    <w:rsid w:val="72060785"/>
    <w:rsid w:val="720853C5"/>
    <w:rsid w:val="721101F2"/>
    <w:rsid w:val="721455EC"/>
    <w:rsid w:val="72190E55"/>
    <w:rsid w:val="723143F0"/>
    <w:rsid w:val="724C4D86"/>
    <w:rsid w:val="724E41C2"/>
    <w:rsid w:val="724E7767"/>
    <w:rsid w:val="724F2AC9"/>
    <w:rsid w:val="726613A4"/>
    <w:rsid w:val="72691DDC"/>
    <w:rsid w:val="727918F3"/>
    <w:rsid w:val="727D5888"/>
    <w:rsid w:val="72807126"/>
    <w:rsid w:val="72987FCC"/>
    <w:rsid w:val="72A526E9"/>
    <w:rsid w:val="72C139C6"/>
    <w:rsid w:val="72CE1C3F"/>
    <w:rsid w:val="72D54D7C"/>
    <w:rsid w:val="72E17BC5"/>
    <w:rsid w:val="72EE5E3E"/>
    <w:rsid w:val="72EF28EB"/>
    <w:rsid w:val="7303695D"/>
    <w:rsid w:val="731018FE"/>
    <w:rsid w:val="731E721E"/>
    <w:rsid w:val="734B3290"/>
    <w:rsid w:val="735A0468"/>
    <w:rsid w:val="735A1725"/>
    <w:rsid w:val="736B748E"/>
    <w:rsid w:val="737B753A"/>
    <w:rsid w:val="737C169B"/>
    <w:rsid w:val="7380242B"/>
    <w:rsid w:val="738A61FB"/>
    <w:rsid w:val="73973895"/>
    <w:rsid w:val="73B250BD"/>
    <w:rsid w:val="73B40E35"/>
    <w:rsid w:val="73B726D3"/>
    <w:rsid w:val="73CA0659"/>
    <w:rsid w:val="73FF850F"/>
    <w:rsid w:val="74247931"/>
    <w:rsid w:val="74303698"/>
    <w:rsid w:val="74516EE3"/>
    <w:rsid w:val="745443C6"/>
    <w:rsid w:val="74565543"/>
    <w:rsid w:val="745E0948"/>
    <w:rsid w:val="745F5B50"/>
    <w:rsid w:val="747D86D8"/>
    <w:rsid w:val="747F5FF7"/>
    <w:rsid w:val="74830E88"/>
    <w:rsid w:val="74856C75"/>
    <w:rsid w:val="7496678D"/>
    <w:rsid w:val="749C03BF"/>
    <w:rsid w:val="74AE6AE2"/>
    <w:rsid w:val="74BA6B1C"/>
    <w:rsid w:val="74C27582"/>
    <w:rsid w:val="74C72DEA"/>
    <w:rsid w:val="74CF1C9F"/>
    <w:rsid w:val="74F04129"/>
    <w:rsid w:val="750A0E63"/>
    <w:rsid w:val="751E2665"/>
    <w:rsid w:val="753366D1"/>
    <w:rsid w:val="753B5BA7"/>
    <w:rsid w:val="753D216C"/>
    <w:rsid w:val="75564988"/>
    <w:rsid w:val="757271FA"/>
    <w:rsid w:val="75786DB0"/>
    <w:rsid w:val="75887F9D"/>
    <w:rsid w:val="758D7B90"/>
    <w:rsid w:val="75F23E97"/>
    <w:rsid w:val="760E6BFA"/>
    <w:rsid w:val="76127D6E"/>
    <w:rsid w:val="761F52E4"/>
    <w:rsid w:val="76284EA7"/>
    <w:rsid w:val="76385C45"/>
    <w:rsid w:val="763B661C"/>
    <w:rsid w:val="7641171E"/>
    <w:rsid w:val="766528BB"/>
    <w:rsid w:val="76685F07"/>
    <w:rsid w:val="768371E5"/>
    <w:rsid w:val="76944474"/>
    <w:rsid w:val="7698298C"/>
    <w:rsid w:val="76A12CDB"/>
    <w:rsid w:val="76C021E7"/>
    <w:rsid w:val="76C43A85"/>
    <w:rsid w:val="76F23AC1"/>
    <w:rsid w:val="76F6685F"/>
    <w:rsid w:val="770A4F84"/>
    <w:rsid w:val="770C1201"/>
    <w:rsid w:val="7747AA4A"/>
    <w:rsid w:val="77533239"/>
    <w:rsid w:val="775F37AE"/>
    <w:rsid w:val="7769462C"/>
    <w:rsid w:val="77768023"/>
    <w:rsid w:val="777A2396"/>
    <w:rsid w:val="777E2AB0"/>
    <w:rsid w:val="77AD4519"/>
    <w:rsid w:val="77B92EBE"/>
    <w:rsid w:val="77C41687"/>
    <w:rsid w:val="77DC6BAC"/>
    <w:rsid w:val="77DF4603"/>
    <w:rsid w:val="77EB390A"/>
    <w:rsid w:val="77F0353E"/>
    <w:rsid w:val="77F7D2F0"/>
    <w:rsid w:val="77FF8832"/>
    <w:rsid w:val="781E299D"/>
    <w:rsid w:val="784D3606"/>
    <w:rsid w:val="78545B4C"/>
    <w:rsid w:val="7856695F"/>
    <w:rsid w:val="785D3E5E"/>
    <w:rsid w:val="7865310C"/>
    <w:rsid w:val="787364E6"/>
    <w:rsid w:val="78760DAF"/>
    <w:rsid w:val="7879089F"/>
    <w:rsid w:val="788C05D2"/>
    <w:rsid w:val="789E0306"/>
    <w:rsid w:val="789E4170"/>
    <w:rsid w:val="78A340B1"/>
    <w:rsid w:val="78BE2F29"/>
    <w:rsid w:val="78E0447A"/>
    <w:rsid w:val="78EF46BD"/>
    <w:rsid w:val="78F543CA"/>
    <w:rsid w:val="78FD502C"/>
    <w:rsid w:val="7924080B"/>
    <w:rsid w:val="793E41EE"/>
    <w:rsid w:val="79600FC2"/>
    <w:rsid w:val="79613412"/>
    <w:rsid w:val="796230E1"/>
    <w:rsid w:val="7996392F"/>
    <w:rsid w:val="79A8143C"/>
    <w:rsid w:val="79AE6327"/>
    <w:rsid w:val="79B31B8F"/>
    <w:rsid w:val="79D815F5"/>
    <w:rsid w:val="79E42E76"/>
    <w:rsid w:val="79FA5A10"/>
    <w:rsid w:val="7A013EC0"/>
    <w:rsid w:val="7A0A24E6"/>
    <w:rsid w:val="7A2C32EF"/>
    <w:rsid w:val="7A54262F"/>
    <w:rsid w:val="7A5C2227"/>
    <w:rsid w:val="7A613399"/>
    <w:rsid w:val="7A752EEF"/>
    <w:rsid w:val="7A792EE6"/>
    <w:rsid w:val="7A7E254E"/>
    <w:rsid w:val="7AA15E8B"/>
    <w:rsid w:val="7AA64004"/>
    <w:rsid w:val="7AAB73BC"/>
    <w:rsid w:val="7AB14320"/>
    <w:rsid w:val="7AC8601E"/>
    <w:rsid w:val="7ACB4CB6"/>
    <w:rsid w:val="7AD223DF"/>
    <w:rsid w:val="7AD24297"/>
    <w:rsid w:val="7AE91805"/>
    <w:rsid w:val="7AF375C9"/>
    <w:rsid w:val="7AF41C4A"/>
    <w:rsid w:val="7B1C36F3"/>
    <w:rsid w:val="7B2965AD"/>
    <w:rsid w:val="7B32705A"/>
    <w:rsid w:val="7B454A69"/>
    <w:rsid w:val="7B542EFE"/>
    <w:rsid w:val="7B6426FB"/>
    <w:rsid w:val="7B694BFB"/>
    <w:rsid w:val="7B755AFC"/>
    <w:rsid w:val="7B7A2288"/>
    <w:rsid w:val="7B7D4202"/>
    <w:rsid w:val="7B7FDDF2"/>
    <w:rsid w:val="7B9F061D"/>
    <w:rsid w:val="7BA615A2"/>
    <w:rsid w:val="7BB67714"/>
    <w:rsid w:val="7BBE2843"/>
    <w:rsid w:val="7BDF4EBD"/>
    <w:rsid w:val="7BEB1AB4"/>
    <w:rsid w:val="7BF2DA0A"/>
    <w:rsid w:val="7BF40D0B"/>
    <w:rsid w:val="7BFFE6B3"/>
    <w:rsid w:val="7C037670"/>
    <w:rsid w:val="7C262AEC"/>
    <w:rsid w:val="7C2D5C29"/>
    <w:rsid w:val="7C302B37"/>
    <w:rsid w:val="7C343506"/>
    <w:rsid w:val="7C4D62CB"/>
    <w:rsid w:val="7C502B4E"/>
    <w:rsid w:val="7C574A54"/>
    <w:rsid w:val="7C6A0F66"/>
    <w:rsid w:val="7C7C0244"/>
    <w:rsid w:val="7C8F0691"/>
    <w:rsid w:val="7CD43374"/>
    <w:rsid w:val="7CD460A4"/>
    <w:rsid w:val="7CD58213"/>
    <w:rsid w:val="7CE7227B"/>
    <w:rsid w:val="7CF91954"/>
    <w:rsid w:val="7CFDCF4F"/>
    <w:rsid w:val="7CFF06D7"/>
    <w:rsid w:val="7D1110A6"/>
    <w:rsid w:val="7D127334"/>
    <w:rsid w:val="7D256900"/>
    <w:rsid w:val="7D52198F"/>
    <w:rsid w:val="7D58777C"/>
    <w:rsid w:val="7D624BF2"/>
    <w:rsid w:val="7D9330EC"/>
    <w:rsid w:val="7DAE414F"/>
    <w:rsid w:val="7DAE4EA7"/>
    <w:rsid w:val="7DC93C6B"/>
    <w:rsid w:val="7DCA74A7"/>
    <w:rsid w:val="7DCC7DEE"/>
    <w:rsid w:val="7DCD20BE"/>
    <w:rsid w:val="7DD3DF10"/>
    <w:rsid w:val="7DD56C01"/>
    <w:rsid w:val="7DDC1500"/>
    <w:rsid w:val="7DDFC1BB"/>
    <w:rsid w:val="7DED1A9A"/>
    <w:rsid w:val="7DED5D95"/>
    <w:rsid w:val="7DFDBCF2"/>
    <w:rsid w:val="7E064983"/>
    <w:rsid w:val="7E160E13"/>
    <w:rsid w:val="7E2369FE"/>
    <w:rsid w:val="7E4F632A"/>
    <w:rsid w:val="7E751475"/>
    <w:rsid w:val="7E872C80"/>
    <w:rsid w:val="7EB20667"/>
    <w:rsid w:val="7EB4618D"/>
    <w:rsid w:val="7ED7B5EA"/>
    <w:rsid w:val="7EEA7E01"/>
    <w:rsid w:val="7F032C71"/>
    <w:rsid w:val="7F0864D9"/>
    <w:rsid w:val="7F25708B"/>
    <w:rsid w:val="7F376DBE"/>
    <w:rsid w:val="7F451F89"/>
    <w:rsid w:val="7F5D77C4"/>
    <w:rsid w:val="7F6000C3"/>
    <w:rsid w:val="7F6608C2"/>
    <w:rsid w:val="7F6F149C"/>
    <w:rsid w:val="7F9E16B9"/>
    <w:rsid w:val="7FB47354"/>
    <w:rsid w:val="7FB87EFF"/>
    <w:rsid w:val="7FC71EF0"/>
    <w:rsid w:val="7FD070D3"/>
    <w:rsid w:val="7FE64A6C"/>
    <w:rsid w:val="7FEC4B73"/>
    <w:rsid w:val="7FEF3DA5"/>
    <w:rsid w:val="7FF151BF"/>
    <w:rsid w:val="7FF6C021"/>
    <w:rsid w:val="7FF9A6DA"/>
    <w:rsid w:val="7FFB6C9E"/>
    <w:rsid w:val="7FFDCDF3"/>
    <w:rsid w:val="7FFE5188"/>
    <w:rsid w:val="86EE5EB7"/>
    <w:rsid w:val="9FFF9D58"/>
    <w:rsid w:val="A2FE80EA"/>
    <w:rsid w:val="A74E1550"/>
    <w:rsid w:val="AC4EB4CC"/>
    <w:rsid w:val="BA7B23C6"/>
    <w:rsid w:val="BDD177E2"/>
    <w:rsid w:val="BDEF5959"/>
    <w:rsid w:val="BE2FAC69"/>
    <w:rsid w:val="BEEF1076"/>
    <w:rsid w:val="BF670674"/>
    <w:rsid w:val="D1FE44EE"/>
    <w:rsid w:val="D3BBE141"/>
    <w:rsid w:val="D77FF384"/>
    <w:rsid w:val="D7B67769"/>
    <w:rsid w:val="D7FF0D12"/>
    <w:rsid w:val="D97C9267"/>
    <w:rsid w:val="DBD7461E"/>
    <w:rsid w:val="DD4F59B7"/>
    <w:rsid w:val="DFFF301F"/>
    <w:rsid w:val="E2A3E5E9"/>
    <w:rsid w:val="E6FF9275"/>
    <w:rsid w:val="ED77B0BB"/>
    <w:rsid w:val="EFBDFE73"/>
    <w:rsid w:val="EFDEB4D9"/>
    <w:rsid w:val="EFFD8E31"/>
    <w:rsid w:val="EFFF8EEF"/>
    <w:rsid w:val="F4F61BFB"/>
    <w:rsid w:val="F53F8D14"/>
    <w:rsid w:val="F767AC95"/>
    <w:rsid w:val="F77F9883"/>
    <w:rsid w:val="F7A7BADF"/>
    <w:rsid w:val="F97C87AE"/>
    <w:rsid w:val="F9FF8FCE"/>
    <w:rsid w:val="FA292A99"/>
    <w:rsid w:val="FA64EAD0"/>
    <w:rsid w:val="FA747CC0"/>
    <w:rsid w:val="FDB3E2CD"/>
    <w:rsid w:val="FE734873"/>
    <w:rsid w:val="FEDCA17C"/>
    <w:rsid w:val="FEFD9895"/>
    <w:rsid w:val="FF1FE0A8"/>
    <w:rsid w:val="FF7DDEFF"/>
    <w:rsid w:val="FFD4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3920" w:leftChars="1400"/>
    </w:pPr>
  </w:style>
  <w:style w:type="paragraph" w:styleId="7">
    <w:name w:val="Normal Indent"/>
    <w:basedOn w:val="1"/>
    <w:next w:val="1"/>
    <w:qFormat/>
    <w:uiPriority w:val="0"/>
    <w:pPr>
      <w:ind w:firstLine="420"/>
    </w:pPr>
    <w:rPr>
      <w:kern w:val="0"/>
      <w:sz w:val="20"/>
    </w:rPr>
  </w:style>
  <w:style w:type="paragraph" w:styleId="8">
    <w:name w:val="index 5"/>
    <w:basedOn w:val="1"/>
    <w:next w:val="1"/>
    <w:qFormat/>
    <w:uiPriority w:val="0"/>
    <w:pPr>
      <w:ind w:left="1680"/>
    </w:pPr>
  </w:style>
  <w:style w:type="paragraph" w:styleId="9">
    <w:name w:val="annotation text"/>
    <w:basedOn w:val="1"/>
    <w:link w:val="41"/>
    <w:qFormat/>
    <w:uiPriority w:val="0"/>
    <w:pPr>
      <w:jc w:val="left"/>
    </w:p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customStyle="1" w:styleId="11">
    <w:name w:val="_Style 2"/>
    <w:basedOn w:val="1"/>
    <w:qFormat/>
    <w:uiPriority w:val="99"/>
    <w:pPr>
      <w:ind w:firstLine="420" w:firstLineChars="200"/>
    </w:pPr>
    <w:rPr>
      <w:rFonts w:ascii="Calibri" w:hAnsi="Calibri" w:eastAsia="宋体" w:cs="Times New Roman"/>
    </w:rPr>
  </w:style>
  <w:style w:type="paragraph" w:styleId="12">
    <w:name w:val="Body Text Indent"/>
    <w:basedOn w:val="1"/>
    <w:next w:val="8"/>
    <w:qFormat/>
    <w:uiPriority w:val="0"/>
    <w:pPr>
      <w:ind w:firstLine="645"/>
    </w:pPr>
    <w:rPr>
      <w:rFonts w:ascii="Arial" w:hAnsi="Arial" w:eastAsia="仿宋_GB2312"/>
      <w:sz w:val="28"/>
    </w:rPr>
  </w:style>
  <w:style w:type="paragraph" w:styleId="13">
    <w:name w:val="List 2"/>
    <w:basedOn w:val="1"/>
    <w:qFormat/>
    <w:uiPriority w:val="0"/>
    <w:pPr>
      <w:ind w:left="100" w:leftChars="200" w:hanging="200" w:hangingChars="200"/>
    </w:pPr>
  </w:style>
  <w:style w:type="paragraph" w:styleId="14">
    <w:name w:val="Plain Text"/>
    <w:basedOn w:val="1"/>
    <w:qFormat/>
    <w:uiPriority w:val="0"/>
    <w:rPr>
      <w:rFonts w:ascii="宋体" w:hAnsi="Courier New"/>
      <w:szCs w:val="20"/>
    </w:rPr>
  </w:style>
  <w:style w:type="paragraph" w:styleId="15">
    <w:name w:val="Body Text Indent 2"/>
    <w:basedOn w:val="1"/>
    <w:qFormat/>
    <w:uiPriority w:val="0"/>
    <w:pPr>
      <w:spacing w:line="500" w:lineRule="exact"/>
      <w:ind w:firstLine="442" w:firstLineChars="200"/>
    </w:pPr>
    <w:rPr>
      <w:rFonts w:ascii="Calibri" w:hAnsi="Calibri" w:cs="黑体"/>
    </w:rPr>
  </w:style>
  <w:style w:type="paragraph" w:styleId="1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9"/>
    <w:next w:val="1"/>
    <w:qFormat/>
    <w:uiPriority w:val="0"/>
    <w:pPr>
      <w:spacing w:before="120" w:after="120"/>
    </w:pPr>
    <w:rPr>
      <w:rFonts w:eastAsia="宋体"/>
      <w:bCs/>
      <w:caps/>
      <w:sz w:val="30"/>
      <w:szCs w:val="30"/>
    </w:rPr>
  </w:style>
  <w:style w:type="paragraph" w:styleId="19">
    <w:name w:val="index 1"/>
    <w:basedOn w:val="1"/>
    <w:next w:val="1"/>
    <w:qFormat/>
    <w:uiPriority w:val="0"/>
    <w:rPr>
      <w:rFonts w:eastAsia="仿宋_GB2312"/>
      <w:b/>
      <w:sz w:val="24"/>
    </w:rPr>
  </w:style>
  <w:style w:type="paragraph" w:styleId="20">
    <w:name w:val="footnote text"/>
    <w:basedOn w:val="1"/>
    <w:qFormat/>
    <w:uiPriority w:val="0"/>
    <w:pPr>
      <w:snapToGrid w:val="0"/>
      <w:jc w:val="left"/>
    </w:pPr>
    <w:rPr>
      <w:sz w:val="18"/>
    </w:rPr>
  </w:style>
  <w:style w:type="paragraph" w:styleId="21">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9"/>
    <w:next w:val="9"/>
    <w:link w:val="42"/>
    <w:qFormat/>
    <w:uiPriority w:val="0"/>
    <w:rPr>
      <w:b/>
      <w:bCs/>
    </w:rPr>
  </w:style>
  <w:style w:type="paragraph" w:styleId="23">
    <w:name w:val="Body Text First Indent"/>
    <w:basedOn w:val="10"/>
    <w:qFormat/>
    <w:uiPriority w:val="0"/>
    <w:pPr>
      <w:ind w:firstLine="420"/>
    </w:pPr>
    <w:rPr>
      <w:rFonts w:eastAsia="楷体_GB2312"/>
      <w:sz w:val="32"/>
      <w:szCs w:val="20"/>
    </w:rPr>
  </w:style>
  <w:style w:type="paragraph" w:styleId="24">
    <w:name w:val="Body Text First Indent 2"/>
    <w:basedOn w:val="12"/>
    <w:next w:val="1"/>
    <w:qFormat/>
    <w:uiPriority w:val="0"/>
    <w:pPr>
      <w:spacing w:after="120"/>
      <w:ind w:left="420" w:leftChars="200" w:firstLine="420" w:firstLineChars="2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character" w:styleId="31">
    <w:name w:val="annotation reference"/>
    <w:basedOn w:val="27"/>
    <w:qFormat/>
    <w:uiPriority w:val="0"/>
    <w:rPr>
      <w:sz w:val="21"/>
      <w:szCs w:val="21"/>
    </w:rPr>
  </w:style>
  <w:style w:type="character" w:styleId="32">
    <w:name w:val="footnote reference"/>
    <w:qFormat/>
    <w:uiPriority w:val="0"/>
    <w:rPr>
      <w:vertAlign w:val="superscript"/>
    </w:rPr>
  </w:style>
  <w:style w:type="paragraph" w:customStyle="1" w:styleId="3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34">
    <w:name w:val="列表段落1"/>
    <w:basedOn w:val="1"/>
    <w:qFormat/>
    <w:uiPriority w:val="34"/>
    <w:pPr>
      <w:ind w:firstLine="420" w:firstLineChars="200"/>
    </w:pPr>
    <w:rPr>
      <w:rFonts w:ascii="Calibri" w:hAnsi="Calibri"/>
      <w:szCs w:val="22"/>
    </w:rPr>
  </w:style>
  <w:style w:type="paragraph" w:customStyle="1" w:styleId="35">
    <w:name w:val="正文_6"/>
    <w:qFormat/>
    <w:uiPriority w:val="0"/>
    <w:rPr>
      <w:rFonts w:ascii="Times New Roman" w:hAnsi="Times New Roman" w:eastAsia="宋体" w:cs="Times New Roman"/>
      <w:sz w:val="24"/>
      <w:szCs w:val="24"/>
      <w:lang w:val="en-US" w:eastAsia="zh-CN" w:bidi="ar-SA"/>
    </w:rPr>
  </w:style>
  <w:style w:type="paragraph" w:customStyle="1" w:styleId="36">
    <w:name w:val="样式 样式 行距: 1.5 倍行距 + 首行缩进:  2 字符"/>
    <w:basedOn w:val="1"/>
    <w:qFormat/>
    <w:uiPriority w:val="0"/>
    <w:rPr>
      <w:rFonts w:cs="宋体"/>
      <w:sz w:val="24"/>
    </w:rPr>
  </w:style>
  <w:style w:type="paragraph" w:customStyle="1" w:styleId="37">
    <w:name w:val="BodyTextIndent2"/>
    <w:basedOn w:val="1"/>
    <w:qFormat/>
    <w:uiPriority w:val="0"/>
    <w:pPr>
      <w:spacing w:line="360" w:lineRule="auto"/>
      <w:ind w:left="645"/>
      <w:textAlignment w:val="baseline"/>
    </w:pPr>
  </w:style>
  <w:style w:type="paragraph" w:customStyle="1" w:styleId="38">
    <w:name w:val="列出段落1"/>
    <w:basedOn w:val="1"/>
    <w:qFormat/>
    <w:uiPriority w:val="34"/>
    <w:pPr>
      <w:ind w:firstLine="420" w:firstLineChars="200"/>
    </w:pPr>
    <w:rPr>
      <w:rFonts w:ascii="Calibri" w:hAnsi="Calibri"/>
      <w:sz w:val="28"/>
      <w:szCs w:val="21"/>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40">
    <w:name w:val="Table Normal"/>
    <w:unhideWhenUsed/>
    <w:qFormat/>
    <w:uiPriority w:val="0"/>
    <w:tblPr>
      <w:tblCellMar>
        <w:top w:w="0" w:type="dxa"/>
        <w:left w:w="0" w:type="dxa"/>
        <w:bottom w:w="0" w:type="dxa"/>
        <w:right w:w="0" w:type="dxa"/>
      </w:tblCellMar>
    </w:tblPr>
  </w:style>
  <w:style w:type="character" w:customStyle="1" w:styleId="41">
    <w:name w:val="批注文字 字符"/>
    <w:basedOn w:val="27"/>
    <w:link w:val="9"/>
    <w:qFormat/>
    <w:uiPriority w:val="0"/>
    <w:rPr>
      <w:kern w:val="2"/>
      <w:sz w:val="21"/>
      <w:szCs w:val="24"/>
    </w:rPr>
  </w:style>
  <w:style w:type="character" w:customStyle="1" w:styleId="42">
    <w:name w:val="批注主题 字符"/>
    <w:basedOn w:val="41"/>
    <w:link w:val="22"/>
    <w:qFormat/>
    <w:uiPriority w:val="0"/>
    <w:rPr>
      <w:b/>
      <w:bCs/>
      <w:kern w:val="2"/>
      <w:sz w:val="21"/>
      <w:szCs w:val="24"/>
    </w:rPr>
  </w:style>
  <w:style w:type="paragraph" w:customStyle="1" w:styleId="43">
    <w:name w:val="Table Text"/>
    <w:basedOn w:val="1"/>
    <w:semiHidden/>
    <w:qFormat/>
    <w:uiPriority w:val="0"/>
    <w:rPr>
      <w:rFonts w:ascii="Arial" w:hAnsi="Arial" w:eastAsia="Arial" w:cs="Arial"/>
      <w:sz w:val="21"/>
      <w:szCs w:val="21"/>
      <w:lang w:val="en-US" w:eastAsia="en-US" w:bidi="ar-SA"/>
    </w:rPr>
  </w:style>
  <w:style w:type="paragraph" w:customStyle="1" w:styleId="4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45">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 w:type="paragraph" w:customStyle="1" w:styleId="46">
    <w:name w:val="List Paragraph"/>
    <w:basedOn w:val="1"/>
    <w:qFormat/>
    <w:uiPriority w:val="34"/>
    <w:pPr>
      <w:ind w:firstLine="420" w:firstLineChars="200"/>
    </w:pPr>
  </w:style>
  <w:style w:type="character" w:customStyle="1" w:styleId="47">
    <w:name w:val="NormalCharacter"/>
    <w:qFormat/>
    <w:uiPriority w:val="0"/>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font31"/>
    <w:basedOn w:val="27"/>
    <w:qFormat/>
    <w:uiPriority w:val="0"/>
    <w:rPr>
      <w:rFonts w:hint="eastAsia" w:ascii="宋体" w:hAnsi="宋体" w:eastAsia="宋体"/>
      <w:color w:val="000000"/>
      <w:sz w:val="22"/>
      <w:szCs w:val="22"/>
      <w:u w:val="none"/>
    </w:rPr>
  </w:style>
  <w:style w:type="character" w:customStyle="1" w:styleId="50">
    <w:name w:val="font11"/>
    <w:basedOn w:val="27"/>
    <w:qFormat/>
    <w:uiPriority w:val="0"/>
    <w:rPr>
      <w:rFonts w:hint="default" w:ascii="SimSong Regular" w:hAnsi="SimSong Regular"/>
      <w:color w:val="000000"/>
      <w:sz w:val="22"/>
      <w:szCs w:val="22"/>
      <w:u w:val="none"/>
    </w:rPr>
  </w:style>
  <w:style w:type="paragraph" w:customStyle="1" w:styleId="51">
    <w:name w:val="Table Paragraph"/>
    <w:basedOn w:val="1"/>
    <w:qFormat/>
    <w:uiPriority w:val="1"/>
  </w:style>
  <w:style w:type="paragraph" w:customStyle="1" w:styleId="5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3">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18055</Words>
  <Characters>19418</Characters>
  <Lines>202</Lines>
  <Paragraphs>56</Paragraphs>
  <TotalTime>0</TotalTime>
  <ScaleCrop>false</ScaleCrop>
  <LinksUpToDate>false</LinksUpToDate>
  <CharactersWithSpaces>20264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2023-05-12T09:38:00Z</dcterms:created>
  <dc:creator>lenovo</dc:creator>
  <cp:lastModifiedBy>Administrator</cp:lastModifiedBy>
  <cp:lastPrinted>2025-08-05T05:14:00Z</cp:lastPrinted>
  <dcterms:modified xsi:type="dcterms:W3CDTF">2026-06-08T08:22:38Z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0374E9175854466594612CC3D58BAD1D_13</vt:lpwstr>
  </property>
  <property fmtid="{D5CDD505-2E9C-101B-9397-08002B2CF9AE}" pid="4" name="KSOSaveFontToCloudKey">
    <vt:lpwstr>260772819_embed</vt:lpwstr>
  </property>
  <property fmtid="{D5CDD505-2E9C-101B-9397-08002B2CF9AE}" pid="5" name="KSOTemplateDocerSaveRecord">
    <vt:lpwstr>eyJoZGlkIjoiZWJjODdlZDNjYWE5MzM1NjU4YTNlZjA0MTc0YTE1N2MiLCJ1c2VySWQiOiI0MzY1MDMyNDIifQ==</vt:lpwstr>
  </property>
</Properties>
</file>