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9E747F">
      <w:pPr>
        <w:pStyle w:val="4"/>
        <w:keepNext w:val="0"/>
        <w:keepLines w:val="0"/>
        <w:pageBreakBefore w:val="0"/>
        <w:widowControl w:val="0"/>
        <w:kinsoku/>
        <w:wordWrap/>
        <w:overflowPunct/>
        <w:topLinePunct w:val="0"/>
        <w:autoSpaceDE w:val="0"/>
        <w:autoSpaceDN w:val="0"/>
        <w:bidi w:val="0"/>
        <w:adjustRightInd w:val="0"/>
        <w:snapToGrid/>
        <w:spacing w:line="960" w:lineRule="auto"/>
        <w:ind w:firstLine="0"/>
        <w:jc w:val="center"/>
        <w:textAlignment w:val="auto"/>
        <w:rPr>
          <w:rFonts w:hint="eastAsia" w:ascii="宋体" w:hAnsi="宋体" w:eastAsia="宋体" w:cs="宋体"/>
          <w:b/>
          <w:color w:val="auto"/>
          <w:sz w:val="48"/>
          <w:szCs w:val="72"/>
          <w:lang w:eastAsia="zh-CN"/>
        </w:rPr>
      </w:pPr>
      <w:r>
        <w:rPr>
          <w:rFonts w:hint="eastAsia" w:hAnsi="宋体" w:cs="宋体"/>
          <w:b/>
          <w:color w:val="auto"/>
          <w:sz w:val="48"/>
          <w:szCs w:val="72"/>
          <w:lang w:eastAsia="zh-CN"/>
        </w:rPr>
        <w:t>喀什市水上专项运动场地搭建服务项目</w:t>
      </w:r>
    </w:p>
    <w:p w14:paraId="79F8137B">
      <w:pPr>
        <w:pStyle w:val="4"/>
        <w:keepNext w:val="0"/>
        <w:keepLines w:val="0"/>
        <w:pageBreakBefore w:val="0"/>
        <w:widowControl w:val="0"/>
        <w:kinsoku/>
        <w:wordWrap/>
        <w:overflowPunct/>
        <w:topLinePunct w:val="0"/>
        <w:autoSpaceDE w:val="0"/>
        <w:autoSpaceDN w:val="0"/>
        <w:bidi w:val="0"/>
        <w:adjustRightInd w:val="0"/>
        <w:snapToGrid/>
        <w:spacing w:line="960" w:lineRule="auto"/>
        <w:ind w:firstLine="0"/>
        <w:jc w:val="center"/>
        <w:textAlignment w:val="auto"/>
        <w:rPr>
          <w:rFonts w:hint="default" w:ascii="宋体" w:hAnsi="宋体" w:eastAsia="宋体" w:cs="宋体"/>
          <w:b/>
          <w:color w:val="auto"/>
          <w:sz w:val="48"/>
          <w:szCs w:val="72"/>
          <w:lang w:val="en-US" w:eastAsia="zh-CN"/>
        </w:rPr>
      </w:pPr>
      <w:r>
        <w:rPr>
          <w:rFonts w:hint="eastAsia" w:ascii="宋体" w:hAnsi="宋体" w:eastAsia="宋体" w:cs="宋体"/>
          <w:b/>
          <w:color w:val="auto"/>
          <w:sz w:val="48"/>
          <w:szCs w:val="72"/>
          <w:lang w:eastAsia="zh-CN"/>
        </w:rPr>
        <w:t>项目编号：</w:t>
      </w:r>
      <w:r>
        <w:rPr>
          <w:rFonts w:hint="eastAsia" w:hAnsi="宋体" w:cs="宋体"/>
          <w:b/>
          <w:color w:val="auto"/>
          <w:sz w:val="48"/>
          <w:szCs w:val="72"/>
          <w:lang w:val="en-US" w:eastAsia="zh-CN"/>
        </w:rPr>
        <w:t>XJJC(CG)202607</w:t>
      </w:r>
    </w:p>
    <w:p w14:paraId="196B3B9B">
      <w:pPr>
        <w:pStyle w:val="49"/>
        <w:rPr>
          <w:rFonts w:hint="eastAsia"/>
          <w:color w:val="auto"/>
        </w:rPr>
      </w:pPr>
    </w:p>
    <w:p w14:paraId="5616D108">
      <w:pPr>
        <w:pStyle w:val="49"/>
        <w:rPr>
          <w:rFonts w:hint="eastAsia"/>
          <w:color w:val="auto"/>
        </w:rPr>
      </w:pPr>
    </w:p>
    <w:p w14:paraId="64C9E200">
      <w:pPr>
        <w:pStyle w:val="49"/>
        <w:rPr>
          <w:rFonts w:hint="eastAsia"/>
          <w:color w:val="auto"/>
        </w:rPr>
      </w:pPr>
    </w:p>
    <w:p w14:paraId="4E55029C">
      <w:pPr>
        <w:pStyle w:val="49"/>
        <w:rPr>
          <w:rFonts w:hint="eastAsia"/>
          <w:color w:val="auto"/>
        </w:rPr>
      </w:pPr>
    </w:p>
    <w:p w14:paraId="10432AFC">
      <w:pPr>
        <w:pStyle w:val="49"/>
        <w:rPr>
          <w:rFonts w:hint="eastAsia"/>
          <w:color w:val="auto"/>
        </w:rPr>
      </w:pPr>
    </w:p>
    <w:p w14:paraId="0935212D">
      <w:pPr>
        <w:pStyle w:val="49"/>
        <w:rPr>
          <w:rFonts w:hint="eastAsia"/>
          <w:color w:val="auto"/>
        </w:rPr>
      </w:pPr>
    </w:p>
    <w:p w14:paraId="6538D49A">
      <w:pPr>
        <w:pStyle w:val="4"/>
        <w:spacing w:line="720" w:lineRule="auto"/>
        <w:jc w:val="center"/>
        <w:rPr>
          <w:rFonts w:hint="eastAsia" w:hAnsi="宋体" w:cs="宋体"/>
          <w:b/>
          <w:color w:val="auto"/>
          <w:sz w:val="72"/>
          <w:szCs w:val="72"/>
        </w:rPr>
      </w:pPr>
      <w:r>
        <w:rPr>
          <w:rFonts w:hint="eastAsia" w:hAnsi="宋体" w:cs="宋体"/>
          <w:b/>
          <w:color w:val="auto"/>
          <w:sz w:val="72"/>
          <w:szCs w:val="72"/>
        </w:rPr>
        <w:t>磋</w:t>
      </w:r>
    </w:p>
    <w:p w14:paraId="5D076F78">
      <w:pPr>
        <w:pStyle w:val="4"/>
        <w:spacing w:line="720" w:lineRule="auto"/>
        <w:jc w:val="center"/>
        <w:rPr>
          <w:rFonts w:hint="eastAsia" w:hAnsi="宋体" w:cs="宋体"/>
          <w:b/>
          <w:color w:val="auto"/>
          <w:sz w:val="72"/>
          <w:szCs w:val="72"/>
        </w:rPr>
      </w:pPr>
      <w:r>
        <w:rPr>
          <w:rFonts w:hint="eastAsia" w:hAnsi="宋体" w:cs="宋体"/>
          <w:b/>
          <w:color w:val="auto"/>
          <w:sz w:val="72"/>
          <w:szCs w:val="72"/>
        </w:rPr>
        <w:t>商</w:t>
      </w:r>
    </w:p>
    <w:p w14:paraId="0DA807B9">
      <w:pPr>
        <w:pStyle w:val="4"/>
        <w:spacing w:line="720" w:lineRule="auto"/>
        <w:jc w:val="center"/>
        <w:rPr>
          <w:rFonts w:hint="eastAsia" w:hAnsi="宋体" w:cs="宋体"/>
          <w:b/>
          <w:color w:val="auto"/>
          <w:sz w:val="72"/>
          <w:szCs w:val="72"/>
        </w:rPr>
      </w:pPr>
      <w:r>
        <w:rPr>
          <w:rFonts w:hint="eastAsia" w:hAnsi="宋体" w:cs="宋体"/>
          <w:b/>
          <w:color w:val="auto"/>
          <w:sz w:val="72"/>
          <w:szCs w:val="72"/>
        </w:rPr>
        <w:t>文</w:t>
      </w:r>
    </w:p>
    <w:p w14:paraId="74FE8032">
      <w:pPr>
        <w:pStyle w:val="4"/>
        <w:spacing w:line="720" w:lineRule="auto"/>
        <w:jc w:val="center"/>
        <w:rPr>
          <w:rFonts w:hint="eastAsia" w:hAnsi="宋体" w:cs="宋体"/>
          <w:b/>
          <w:color w:val="auto"/>
          <w:sz w:val="72"/>
          <w:szCs w:val="72"/>
        </w:rPr>
      </w:pPr>
      <w:r>
        <w:rPr>
          <w:rFonts w:hint="eastAsia" w:hAnsi="宋体" w:cs="宋体"/>
          <w:b/>
          <w:color w:val="auto"/>
          <w:sz w:val="72"/>
          <w:szCs w:val="72"/>
        </w:rPr>
        <w:t>件</w:t>
      </w:r>
    </w:p>
    <w:p w14:paraId="66E6F4DA">
      <w:pPr>
        <w:spacing w:line="360" w:lineRule="auto"/>
        <w:jc w:val="left"/>
        <w:rPr>
          <w:rFonts w:hint="eastAsia" w:ascii="宋体" w:hAnsi="宋体" w:cs="宋体"/>
          <w:b/>
          <w:bCs/>
          <w:color w:val="auto"/>
          <w:sz w:val="30"/>
        </w:rPr>
      </w:pPr>
    </w:p>
    <w:p w14:paraId="046352EE">
      <w:pPr>
        <w:pStyle w:val="27"/>
        <w:rPr>
          <w:rFonts w:hint="eastAsia"/>
          <w:color w:val="auto"/>
        </w:rPr>
      </w:pPr>
    </w:p>
    <w:p w14:paraId="05807F86">
      <w:pPr>
        <w:pStyle w:val="27"/>
        <w:rPr>
          <w:rFonts w:hint="eastAsia"/>
          <w:color w:val="auto"/>
        </w:rPr>
      </w:pPr>
    </w:p>
    <w:p w14:paraId="09A2B7C2">
      <w:pPr>
        <w:pStyle w:val="27"/>
        <w:rPr>
          <w:rFonts w:hint="eastAsia"/>
          <w:color w:val="auto"/>
        </w:rPr>
      </w:pPr>
    </w:p>
    <w:p w14:paraId="234F24B6">
      <w:pPr>
        <w:pStyle w:val="27"/>
        <w:rPr>
          <w:rFonts w:hint="eastAsia"/>
          <w:color w:val="auto"/>
        </w:rPr>
      </w:pPr>
    </w:p>
    <w:p w14:paraId="79FA915E">
      <w:pPr>
        <w:pStyle w:val="27"/>
        <w:rPr>
          <w:rFonts w:hint="eastAsia"/>
          <w:color w:val="auto"/>
        </w:rPr>
      </w:pPr>
    </w:p>
    <w:p w14:paraId="6DCC1E78">
      <w:pPr>
        <w:spacing w:line="360" w:lineRule="auto"/>
        <w:jc w:val="left"/>
        <w:rPr>
          <w:rFonts w:hint="eastAsia" w:ascii="宋体" w:hAnsi="宋体" w:eastAsia="宋体" w:cs="宋体"/>
          <w:b/>
          <w:bCs/>
          <w:color w:val="auto"/>
          <w:sz w:val="30"/>
          <w:lang w:eastAsia="zh-CN"/>
        </w:rPr>
      </w:pPr>
      <w:r>
        <w:rPr>
          <w:rFonts w:hint="eastAsia" w:ascii="宋体" w:hAnsi="宋体" w:cs="宋体"/>
          <w:b/>
          <w:bCs/>
          <w:color w:val="auto"/>
          <w:sz w:val="30"/>
        </w:rPr>
        <w:t>招   标   人：</w:t>
      </w:r>
      <w:r>
        <w:rPr>
          <w:rFonts w:hint="eastAsia" w:ascii="宋体" w:hAnsi="宋体" w:cs="宋体"/>
          <w:b/>
          <w:bCs/>
          <w:color w:val="auto"/>
          <w:sz w:val="30"/>
          <w:lang w:eastAsia="zh-CN"/>
        </w:rPr>
        <w:t>喀什市文化体育广播电视和旅游局</w:t>
      </w:r>
    </w:p>
    <w:p w14:paraId="5987FAD3">
      <w:pPr>
        <w:spacing w:line="360" w:lineRule="auto"/>
        <w:jc w:val="both"/>
        <w:rPr>
          <w:rFonts w:hint="eastAsia" w:ascii="宋体" w:hAnsi="宋体" w:eastAsia="宋体" w:cs="宋体"/>
          <w:b/>
          <w:bCs/>
          <w:color w:val="auto"/>
          <w:sz w:val="30"/>
          <w:lang w:eastAsia="zh-CN"/>
        </w:rPr>
      </w:pPr>
      <w:r>
        <w:rPr>
          <w:rFonts w:hint="eastAsia" w:ascii="宋体" w:hAnsi="宋体" w:cs="宋体"/>
          <w:b/>
          <w:bCs/>
          <w:color w:val="auto"/>
          <w:sz w:val="30"/>
        </w:rPr>
        <w:t>采购代理机构：</w:t>
      </w:r>
      <w:r>
        <w:rPr>
          <w:rFonts w:hint="eastAsia" w:ascii="宋体" w:hAnsi="宋体" w:cs="宋体"/>
          <w:b/>
          <w:bCs/>
          <w:color w:val="auto"/>
          <w:sz w:val="30"/>
          <w:lang w:eastAsia="zh-CN"/>
        </w:rPr>
        <w:t>新疆锦程项目管理有限公司</w:t>
      </w:r>
    </w:p>
    <w:p w14:paraId="7C38634D">
      <w:pPr>
        <w:spacing w:line="360" w:lineRule="auto"/>
        <w:ind w:left="2108" w:hanging="2100" w:hangingChars="700"/>
        <w:jc w:val="left"/>
        <w:rPr>
          <w:rFonts w:hint="eastAsia" w:ascii="宋体" w:hAnsi="宋体" w:eastAsia="宋体" w:cs="宋体"/>
          <w:b/>
          <w:bCs/>
          <w:color w:val="auto"/>
          <w:sz w:val="30"/>
          <w:lang w:eastAsia="zh-CN"/>
        </w:rPr>
      </w:pPr>
      <w:r>
        <w:rPr>
          <w:rFonts w:hint="eastAsia" w:ascii="宋体" w:hAnsi="宋体" w:cs="宋体"/>
          <w:b/>
          <w:bCs/>
          <w:color w:val="auto"/>
          <w:sz w:val="30"/>
        </w:rPr>
        <w:t>代理机构地址：</w:t>
      </w:r>
      <w:r>
        <w:rPr>
          <w:rFonts w:hint="eastAsia" w:ascii="宋体" w:hAnsi="宋体" w:cs="宋体"/>
          <w:b/>
          <w:bCs/>
          <w:color w:val="auto"/>
          <w:sz w:val="30"/>
          <w:lang w:eastAsia="zh-CN"/>
        </w:rPr>
        <w:t>喀什市深喀东院B12号楼2012室</w:t>
      </w:r>
    </w:p>
    <w:p w14:paraId="3477B437">
      <w:pPr>
        <w:spacing w:line="360" w:lineRule="auto"/>
        <w:jc w:val="left"/>
        <w:rPr>
          <w:rFonts w:hint="eastAsia" w:ascii="宋体" w:hAnsi="宋体" w:eastAsia="宋体" w:cs="宋体"/>
          <w:b/>
          <w:bCs/>
          <w:color w:val="auto"/>
          <w:sz w:val="30"/>
          <w:szCs w:val="30"/>
          <w:u w:val="single"/>
          <w:lang w:eastAsia="zh-CN"/>
        </w:rPr>
      </w:pPr>
      <w:r>
        <w:rPr>
          <w:rFonts w:hint="eastAsia" w:ascii="宋体" w:hAnsi="宋体" w:cs="宋体"/>
          <w:b/>
          <w:bCs/>
          <w:color w:val="auto"/>
          <w:sz w:val="30"/>
          <w:szCs w:val="30"/>
        </w:rPr>
        <w:t>联   系   人：</w:t>
      </w:r>
      <w:r>
        <w:rPr>
          <w:rFonts w:hint="eastAsia" w:ascii="宋体" w:hAnsi="宋体" w:cs="宋体"/>
          <w:b/>
          <w:bCs/>
          <w:color w:val="auto"/>
          <w:sz w:val="30"/>
          <w:lang w:eastAsia="zh-CN"/>
        </w:rPr>
        <w:t>程立宇</w:t>
      </w:r>
    </w:p>
    <w:p w14:paraId="745C4235">
      <w:pPr>
        <w:spacing w:line="360" w:lineRule="auto"/>
        <w:jc w:val="left"/>
        <w:rPr>
          <w:rFonts w:hint="eastAsia" w:ascii="宋体" w:hAnsi="宋体" w:cs="宋体"/>
          <w:b/>
          <w:bCs/>
          <w:color w:val="auto"/>
          <w:sz w:val="30"/>
          <w:szCs w:val="30"/>
        </w:rPr>
      </w:pPr>
      <w:r>
        <w:rPr>
          <w:rFonts w:hint="eastAsia" w:ascii="宋体" w:hAnsi="宋体" w:cs="宋体"/>
          <w:b/>
          <w:bCs/>
          <w:color w:val="auto"/>
          <w:sz w:val="30"/>
          <w:szCs w:val="30"/>
        </w:rPr>
        <w:t>联  系 电 话：</w:t>
      </w:r>
      <w:r>
        <w:rPr>
          <w:rFonts w:hint="eastAsia" w:ascii="宋体" w:hAnsi="宋体" w:cs="宋体"/>
          <w:b/>
          <w:bCs/>
          <w:color w:val="auto"/>
          <w:sz w:val="30"/>
          <w:lang w:eastAsia="zh-CN"/>
        </w:rPr>
        <w:t>13031291492</w:t>
      </w:r>
      <w:r>
        <w:rPr>
          <w:rFonts w:hint="eastAsia" w:ascii="宋体" w:hAnsi="宋体" w:cs="宋体"/>
          <w:b/>
          <w:bCs/>
          <w:color w:val="auto"/>
          <w:sz w:val="30"/>
          <w:szCs w:val="30"/>
        </w:rPr>
        <w:t xml:space="preserve"> </w:t>
      </w:r>
    </w:p>
    <w:p w14:paraId="0E156668">
      <w:pPr>
        <w:pStyle w:val="27"/>
        <w:rPr>
          <w:rFonts w:hint="eastAsia"/>
          <w:color w:val="auto"/>
        </w:rPr>
      </w:pPr>
    </w:p>
    <w:p w14:paraId="38A5508A">
      <w:pPr>
        <w:spacing w:line="600" w:lineRule="exact"/>
        <w:jc w:val="center"/>
        <w:rPr>
          <w:rFonts w:hint="eastAsia" w:ascii="宋体" w:hAnsi="宋体" w:cs="宋体"/>
          <w:b/>
          <w:bCs/>
          <w:color w:val="auto"/>
          <w:sz w:val="30"/>
          <w:szCs w:val="30"/>
        </w:rPr>
      </w:pPr>
      <w:r>
        <w:rPr>
          <w:rFonts w:hint="eastAsia" w:ascii="宋体" w:hAnsi="宋体" w:cs="宋体"/>
          <w:b/>
          <w:bCs/>
          <w:color w:val="auto"/>
          <w:sz w:val="30"/>
          <w:szCs w:val="30"/>
        </w:rPr>
        <w:t>发  出 日 期：</w:t>
      </w:r>
      <w:r>
        <w:rPr>
          <w:rFonts w:hint="eastAsia" w:ascii="宋体" w:hAnsi="宋体" w:cs="宋体"/>
          <w:b/>
          <w:bCs/>
          <w:color w:val="auto"/>
          <w:sz w:val="30"/>
          <w:szCs w:val="30"/>
          <w:u w:val="none"/>
        </w:rPr>
        <w:t>202</w:t>
      </w:r>
      <w:r>
        <w:rPr>
          <w:rFonts w:hint="eastAsia" w:ascii="宋体" w:hAnsi="宋体" w:cs="宋体"/>
          <w:b/>
          <w:bCs/>
          <w:color w:val="auto"/>
          <w:sz w:val="30"/>
          <w:szCs w:val="30"/>
          <w:u w:val="none"/>
          <w:lang w:val="en-US" w:eastAsia="zh-CN"/>
        </w:rPr>
        <w:t>6</w:t>
      </w:r>
      <w:r>
        <w:rPr>
          <w:rFonts w:hint="eastAsia" w:ascii="宋体" w:hAnsi="宋体" w:cs="宋体"/>
          <w:b/>
          <w:bCs/>
          <w:color w:val="auto"/>
          <w:sz w:val="30"/>
          <w:szCs w:val="30"/>
          <w:u w:val="none"/>
        </w:rPr>
        <w:t>年</w:t>
      </w:r>
      <w:r>
        <w:rPr>
          <w:rFonts w:hint="eastAsia" w:ascii="宋体" w:hAnsi="宋体" w:cs="宋体"/>
          <w:b/>
          <w:bCs/>
          <w:color w:val="auto"/>
          <w:sz w:val="30"/>
          <w:szCs w:val="30"/>
          <w:u w:val="none"/>
          <w:lang w:val="en-US" w:eastAsia="zh-CN"/>
        </w:rPr>
        <w:t>5</w:t>
      </w:r>
      <w:r>
        <w:rPr>
          <w:rFonts w:hint="eastAsia" w:ascii="宋体" w:hAnsi="宋体" w:cs="宋体"/>
          <w:b/>
          <w:bCs/>
          <w:color w:val="auto"/>
          <w:sz w:val="30"/>
          <w:szCs w:val="30"/>
          <w:u w:val="none"/>
        </w:rPr>
        <w:t>月</w:t>
      </w:r>
    </w:p>
    <w:p w14:paraId="74C48A87">
      <w:pPr>
        <w:keepNext w:val="0"/>
        <w:keepLines w:val="0"/>
        <w:pageBreakBefore w:val="0"/>
        <w:widowControl w:val="0"/>
        <w:kinsoku/>
        <w:overflowPunct/>
        <w:bidi w:val="0"/>
        <w:spacing w:line="240" w:lineRule="atLeast"/>
        <w:ind w:left="1079" w:leftChars="257" w:hanging="540"/>
        <w:jc w:val="center"/>
        <w:rPr>
          <w:rFonts w:hint="eastAsia" w:ascii="宋体" w:hAnsi="宋体" w:eastAsia="宋体" w:cs="宋体"/>
          <w:b/>
          <w:color w:val="auto"/>
          <w:sz w:val="52"/>
          <w:highlight w:val="none"/>
        </w:rPr>
      </w:pPr>
      <w:r>
        <w:rPr>
          <w:rFonts w:hint="eastAsia" w:ascii="宋体" w:hAnsi="宋体" w:eastAsia="宋体" w:cs="宋体"/>
          <w:b/>
          <w:color w:val="auto"/>
          <w:sz w:val="52"/>
          <w:highlight w:val="none"/>
        </w:rPr>
        <w:br w:type="page"/>
      </w:r>
    </w:p>
    <w:p w14:paraId="473E9268">
      <w:pPr>
        <w:keepNext w:val="0"/>
        <w:keepLines w:val="0"/>
        <w:pageBreakBefore w:val="0"/>
        <w:widowControl w:val="0"/>
        <w:kinsoku/>
        <w:overflowPunct/>
        <w:bidi w:val="0"/>
        <w:spacing w:line="240" w:lineRule="atLeast"/>
        <w:ind w:left="1079" w:leftChars="257" w:hanging="540"/>
        <w:jc w:val="center"/>
        <w:rPr>
          <w:rFonts w:hint="eastAsia" w:ascii="宋体" w:hAnsi="宋体" w:eastAsia="宋体" w:cs="宋体"/>
          <w:b/>
          <w:color w:val="auto"/>
          <w:sz w:val="32"/>
          <w:highlight w:val="none"/>
        </w:rPr>
      </w:pPr>
      <w:r>
        <w:rPr>
          <w:rFonts w:hint="eastAsia" w:ascii="宋体" w:hAnsi="宋体" w:eastAsia="宋体" w:cs="宋体"/>
          <w:b/>
          <w:color w:val="auto"/>
          <w:sz w:val="32"/>
          <w:highlight w:val="none"/>
        </w:rPr>
        <w:t>目  录</w:t>
      </w:r>
    </w:p>
    <w:p w14:paraId="61DA9869">
      <w:pPr>
        <w:pStyle w:val="24"/>
        <w:keepNext w:val="0"/>
        <w:keepLines w:val="0"/>
        <w:pageBreakBefore w:val="0"/>
        <w:widowControl w:val="0"/>
        <w:tabs>
          <w:tab w:val="right" w:leader="dot" w:pos="8312"/>
        </w:tabs>
        <w:kinsoku/>
        <w:overflowPunct/>
        <w:bidi w:val="0"/>
        <w:spacing w:line="360" w:lineRule="auto"/>
        <w:rPr>
          <w:rFonts w:hint="eastAsia" w:ascii="宋体" w:hAnsi="宋体" w:eastAsia="宋体" w:cs="宋体"/>
          <w:b/>
          <w:bCs/>
          <w:color w:val="auto"/>
          <w:sz w:val="24"/>
          <w:szCs w:val="32"/>
          <w:highlight w:val="none"/>
        </w:rPr>
      </w:pPr>
      <w:r>
        <w:rPr>
          <w:rFonts w:hint="eastAsia" w:ascii="宋体" w:hAnsi="宋体" w:eastAsia="宋体" w:cs="宋体"/>
          <w:color w:val="auto"/>
          <w:kern w:val="0"/>
          <w:szCs w:val="21"/>
          <w:highlight w:val="none"/>
        </w:rPr>
        <w:fldChar w:fldCharType="begin"/>
      </w:r>
      <w:r>
        <w:rPr>
          <w:rFonts w:hint="eastAsia" w:ascii="宋体" w:hAnsi="宋体" w:eastAsia="宋体" w:cs="宋体"/>
          <w:color w:val="auto"/>
          <w:kern w:val="0"/>
          <w:szCs w:val="21"/>
          <w:highlight w:val="none"/>
        </w:rPr>
        <w:instrText xml:space="preserve"> TOC \o "1-3" \h \z \u </w:instrText>
      </w:r>
      <w:r>
        <w:rPr>
          <w:rFonts w:hint="eastAsia" w:ascii="宋体" w:hAnsi="宋体" w:eastAsia="宋体" w:cs="宋体"/>
          <w:color w:val="auto"/>
          <w:kern w:val="0"/>
          <w:szCs w:val="21"/>
          <w:highlight w:val="none"/>
        </w:rPr>
        <w:fldChar w:fldCharType="separate"/>
      </w: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_Toc25817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第1章   投标人须知</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_Toc25817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1</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5154F644">
      <w:pPr>
        <w:pStyle w:val="30"/>
        <w:keepNext w:val="0"/>
        <w:keepLines w:val="0"/>
        <w:pageBreakBefore w:val="0"/>
        <w:widowControl w:val="0"/>
        <w:tabs>
          <w:tab w:val="right" w:leader="dot" w:pos="8312"/>
        </w:tabs>
        <w:kinsoku/>
        <w:overflowPunct/>
        <w:bidi w:val="0"/>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_Toc22145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一 总 则</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_Toc22145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1</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1C6C94C1">
      <w:pPr>
        <w:pStyle w:val="15"/>
        <w:keepNext w:val="0"/>
        <w:keepLines w:val="0"/>
        <w:pageBreakBefore w:val="0"/>
        <w:widowControl w:val="0"/>
        <w:tabs>
          <w:tab w:val="right" w:leader="dot" w:pos="8312"/>
          <w:tab w:val="clear" w:pos="1260"/>
          <w:tab w:val="clear" w:pos="8630"/>
        </w:tabs>
        <w:kinsoku/>
        <w:overflowPunct/>
        <w:bidi w:val="0"/>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_Toc5999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1.采购人、采购代理机构及投标人</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_Toc5999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1</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6891D429">
      <w:pPr>
        <w:pStyle w:val="15"/>
        <w:keepNext w:val="0"/>
        <w:keepLines w:val="0"/>
        <w:pageBreakBefore w:val="0"/>
        <w:widowControl w:val="0"/>
        <w:tabs>
          <w:tab w:val="right" w:leader="dot" w:pos="8312"/>
          <w:tab w:val="clear" w:pos="1260"/>
          <w:tab w:val="clear" w:pos="8630"/>
        </w:tabs>
        <w:kinsoku/>
        <w:overflowPunct/>
        <w:bidi w:val="0"/>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_Toc4322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2.资金来源</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_Toc4322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1</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1E57D7E1">
      <w:pPr>
        <w:pStyle w:val="15"/>
        <w:keepNext w:val="0"/>
        <w:keepLines w:val="0"/>
        <w:pageBreakBefore w:val="0"/>
        <w:widowControl w:val="0"/>
        <w:tabs>
          <w:tab w:val="right" w:leader="dot" w:pos="8312"/>
          <w:tab w:val="clear" w:pos="1260"/>
          <w:tab w:val="clear" w:pos="8630"/>
        </w:tabs>
        <w:kinsoku/>
        <w:overflowPunct/>
        <w:bidi w:val="0"/>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_Toc13828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3.投标费用</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_Toc13828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1</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35E87B71">
      <w:pPr>
        <w:pStyle w:val="15"/>
        <w:keepNext w:val="0"/>
        <w:keepLines w:val="0"/>
        <w:pageBreakBefore w:val="0"/>
        <w:widowControl w:val="0"/>
        <w:tabs>
          <w:tab w:val="right" w:leader="dot" w:pos="8312"/>
          <w:tab w:val="clear" w:pos="1260"/>
          <w:tab w:val="clear" w:pos="8630"/>
        </w:tabs>
        <w:kinsoku/>
        <w:overflowPunct/>
        <w:bidi w:val="0"/>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_Toc32665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4.适用法律</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_Toc32665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1</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5A4C12EB">
      <w:pPr>
        <w:pStyle w:val="30"/>
        <w:keepNext w:val="0"/>
        <w:keepLines w:val="0"/>
        <w:pageBreakBefore w:val="0"/>
        <w:widowControl w:val="0"/>
        <w:tabs>
          <w:tab w:val="right" w:leader="dot" w:pos="8312"/>
        </w:tabs>
        <w:kinsoku/>
        <w:overflowPunct/>
        <w:bidi w:val="0"/>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_Toc28572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 xml:space="preserve">二 </w:t>
      </w:r>
      <w:r>
        <w:rPr>
          <w:rFonts w:hint="eastAsia" w:ascii="宋体" w:hAnsi="宋体" w:cs="宋体"/>
          <w:b/>
          <w:bCs/>
          <w:color w:val="auto"/>
          <w:sz w:val="24"/>
          <w:szCs w:val="32"/>
          <w:highlight w:val="none"/>
          <w:lang w:val="en-US" w:eastAsia="zh-CN"/>
        </w:rPr>
        <w:t>磋商</w:t>
      </w:r>
      <w:r>
        <w:rPr>
          <w:rFonts w:hint="eastAsia" w:ascii="宋体" w:hAnsi="宋体" w:eastAsia="宋体" w:cs="宋体"/>
          <w:b/>
          <w:bCs/>
          <w:color w:val="auto"/>
          <w:sz w:val="24"/>
          <w:szCs w:val="32"/>
          <w:highlight w:val="none"/>
        </w:rPr>
        <w:t>文件</w:t>
      </w:r>
      <w:r>
        <w:rPr>
          <w:rFonts w:hint="eastAsia" w:ascii="宋体" w:hAnsi="宋体" w:eastAsia="宋体" w:cs="宋体"/>
          <w:b/>
          <w:bCs/>
          <w:color w:val="auto"/>
          <w:sz w:val="24"/>
          <w:szCs w:val="32"/>
          <w:highlight w:val="none"/>
        </w:rPr>
        <w:tab/>
      </w:r>
      <w:r>
        <w:rPr>
          <w:rFonts w:hint="eastAsia" w:ascii="宋体" w:hAnsi="宋体" w:cs="宋体"/>
          <w:b/>
          <w:bCs/>
          <w:color w:val="auto"/>
          <w:sz w:val="24"/>
          <w:szCs w:val="32"/>
          <w:highlight w:val="none"/>
          <w:lang w:val="en-US" w:eastAsia="zh-CN"/>
        </w:rPr>
        <w:t>2</w:t>
      </w:r>
      <w:r>
        <w:rPr>
          <w:rFonts w:hint="eastAsia" w:ascii="宋体" w:hAnsi="宋体" w:eastAsia="宋体" w:cs="宋体"/>
          <w:b/>
          <w:bCs/>
          <w:color w:val="auto"/>
          <w:kern w:val="0"/>
          <w:sz w:val="24"/>
          <w:szCs w:val="24"/>
          <w:highlight w:val="none"/>
        </w:rPr>
        <w:fldChar w:fldCharType="end"/>
      </w:r>
    </w:p>
    <w:p w14:paraId="42EF5F5A">
      <w:pPr>
        <w:pStyle w:val="15"/>
        <w:keepNext w:val="0"/>
        <w:keepLines w:val="0"/>
        <w:pageBreakBefore w:val="0"/>
        <w:widowControl w:val="0"/>
        <w:tabs>
          <w:tab w:val="right" w:leader="dot" w:pos="8312"/>
          <w:tab w:val="clear" w:pos="1260"/>
          <w:tab w:val="clear" w:pos="8630"/>
        </w:tabs>
        <w:kinsoku/>
        <w:overflowPunct/>
        <w:bidi w:val="0"/>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_Toc4671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5.</w:t>
      </w:r>
      <w:r>
        <w:rPr>
          <w:rFonts w:hint="eastAsia" w:ascii="宋体" w:hAnsi="宋体" w:cs="宋体"/>
          <w:b/>
          <w:bCs/>
          <w:color w:val="auto"/>
          <w:sz w:val="24"/>
          <w:szCs w:val="32"/>
          <w:highlight w:val="none"/>
          <w:lang w:val="en-US" w:eastAsia="zh-CN"/>
        </w:rPr>
        <w:t>磋商</w:t>
      </w:r>
      <w:r>
        <w:rPr>
          <w:rFonts w:hint="eastAsia" w:ascii="宋体" w:hAnsi="宋体" w:eastAsia="宋体" w:cs="宋体"/>
          <w:b/>
          <w:bCs/>
          <w:color w:val="auto"/>
          <w:sz w:val="24"/>
          <w:szCs w:val="32"/>
          <w:highlight w:val="none"/>
        </w:rPr>
        <w:t>文件构成</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_Toc4671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2</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59E0BBEA">
      <w:pPr>
        <w:pStyle w:val="15"/>
        <w:keepNext w:val="0"/>
        <w:keepLines w:val="0"/>
        <w:pageBreakBefore w:val="0"/>
        <w:widowControl w:val="0"/>
        <w:tabs>
          <w:tab w:val="right" w:leader="dot" w:pos="8312"/>
          <w:tab w:val="clear" w:pos="1260"/>
          <w:tab w:val="clear" w:pos="8630"/>
        </w:tabs>
        <w:kinsoku/>
        <w:overflowPunct/>
        <w:bidi w:val="0"/>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_Toc1922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6.</w:t>
      </w:r>
      <w:r>
        <w:rPr>
          <w:rFonts w:hint="eastAsia" w:ascii="宋体" w:hAnsi="宋体" w:cs="宋体"/>
          <w:b/>
          <w:bCs/>
          <w:color w:val="auto"/>
          <w:sz w:val="24"/>
          <w:szCs w:val="32"/>
          <w:highlight w:val="none"/>
          <w:lang w:val="en-US" w:eastAsia="zh-CN"/>
        </w:rPr>
        <w:t>磋商</w:t>
      </w:r>
      <w:r>
        <w:rPr>
          <w:rFonts w:hint="eastAsia" w:ascii="宋体" w:hAnsi="宋体" w:eastAsia="宋体" w:cs="宋体"/>
          <w:b/>
          <w:bCs/>
          <w:color w:val="auto"/>
          <w:sz w:val="24"/>
          <w:szCs w:val="32"/>
          <w:highlight w:val="none"/>
        </w:rPr>
        <w:t>文件的澄清与修改</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_Toc1922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2</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21F17722">
      <w:pPr>
        <w:pStyle w:val="15"/>
        <w:keepNext w:val="0"/>
        <w:keepLines w:val="0"/>
        <w:pageBreakBefore w:val="0"/>
        <w:widowControl w:val="0"/>
        <w:tabs>
          <w:tab w:val="right" w:leader="dot" w:pos="8312"/>
          <w:tab w:val="clear" w:pos="1260"/>
          <w:tab w:val="clear" w:pos="8630"/>
        </w:tabs>
        <w:kinsoku/>
        <w:overflowPunct/>
        <w:bidi w:val="0"/>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_Toc12448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7.投标截止时间的顺延</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_Toc12448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2</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2CE57D25">
      <w:pPr>
        <w:pStyle w:val="30"/>
        <w:keepNext w:val="0"/>
        <w:keepLines w:val="0"/>
        <w:pageBreakBefore w:val="0"/>
        <w:widowControl w:val="0"/>
        <w:tabs>
          <w:tab w:val="right" w:leader="dot" w:pos="8312"/>
        </w:tabs>
        <w:kinsoku/>
        <w:overflowPunct/>
        <w:bidi w:val="0"/>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_Toc31039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 xml:space="preserve">三 </w:t>
      </w:r>
      <w:r>
        <w:rPr>
          <w:rFonts w:hint="eastAsia" w:ascii="宋体" w:hAnsi="宋体" w:cs="宋体"/>
          <w:b/>
          <w:bCs/>
          <w:color w:val="auto"/>
          <w:sz w:val="24"/>
          <w:szCs w:val="32"/>
          <w:highlight w:val="none"/>
          <w:lang w:eastAsia="zh-CN"/>
        </w:rPr>
        <w:t>响应文件</w:t>
      </w:r>
      <w:r>
        <w:rPr>
          <w:rFonts w:hint="eastAsia" w:ascii="宋体" w:hAnsi="宋体" w:eastAsia="宋体" w:cs="宋体"/>
          <w:b/>
          <w:bCs/>
          <w:color w:val="auto"/>
          <w:sz w:val="24"/>
          <w:szCs w:val="32"/>
          <w:highlight w:val="none"/>
        </w:rPr>
        <w:t>的编制</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_Toc31039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2</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2D42F4AF">
      <w:pPr>
        <w:pStyle w:val="15"/>
        <w:keepNext w:val="0"/>
        <w:keepLines w:val="0"/>
        <w:pageBreakBefore w:val="0"/>
        <w:widowControl w:val="0"/>
        <w:tabs>
          <w:tab w:val="right" w:pos="3600"/>
          <w:tab w:val="right" w:leader="dot" w:pos="8312"/>
          <w:tab w:val="clear" w:pos="1260"/>
          <w:tab w:val="clear" w:pos="8630"/>
        </w:tabs>
        <w:kinsoku/>
        <w:overflowPunct/>
        <w:bidi w:val="0"/>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_Toc30570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8.</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t>投标范围及</w:t>
      </w:r>
      <w:r>
        <w:rPr>
          <w:rFonts w:hint="eastAsia" w:ascii="宋体" w:hAnsi="宋体" w:cs="宋体"/>
          <w:b/>
          <w:bCs/>
          <w:color w:val="auto"/>
          <w:sz w:val="24"/>
          <w:szCs w:val="32"/>
          <w:highlight w:val="none"/>
          <w:lang w:val="en-US" w:eastAsia="zh-CN"/>
        </w:rPr>
        <w:t>响应</w:t>
      </w:r>
      <w:r>
        <w:rPr>
          <w:rFonts w:hint="eastAsia" w:ascii="宋体" w:hAnsi="宋体" w:eastAsia="宋体" w:cs="宋体"/>
          <w:b/>
          <w:bCs/>
          <w:color w:val="auto"/>
          <w:sz w:val="24"/>
          <w:szCs w:val="32"/>
          <w:highlight w:val="none"/>
        </w:rPr>
        <w:t>文件中标准和计量单位的使用</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_Toc30570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2</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663B91EA">
      <w:pPr>
        <w:pStyle w:val="15"/>
        <w:keepNext w:val="0"/>
        <w:keepLines w:val="0"/>
        <w:pageBreakBefore w:val="0"/>
        <w:widowControl w:val="0"/>
        <w:tabs>
          <w:tab w:val="right" w:leader="dot" w:pos="8312"/>
          <w:tab w:val="clear" w:pos="1260"/>
          <w:tab w:val="clear" w:pos="8630"/>
        </w:tabs>
        <w:kinsoku/>
        <w:overflowPunct/>
        <w:bidi w:val="0"/>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_Toc18692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9.</w:t>
      </w:r>
      <w:r>
        <w:rPr>
          <w:rFonts w:hint="eastAsia" w:ascii="宋体" w:hAnsi="宋体" w:cs="宋体"/>
          <w:b/>
          <w:bCs/>
          <w:color w:val="auto"/>
          <w:sz w:val="24"/>
          <w:szCs w:val="32"/>
          <w:highlight w:val="none"/>
          <w:lang w:val="en-US" w:eastAsia="zh-CN"/>
        </w:rPr>
        <w:t>响应</w:t>
      </w:r>
      <w:r>
        <w:rPr>
          <w:rFonts w:hint="eastAsia" w:ascii="宋体" w:hAnsi="宋体" w:eastAsia="宋体" w:cs="宋体"/>
          <w:b/>
          <w:bCs/>
          <w:color w:val="auto"/>
          <w:sz w:val="24"/>
          <w:szCs w:val="32"/>
          <w:highlight w:val="none"/>
        </w:rPr>
        <w:t>文件构成</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_Toc18692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2</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37880AB5">
      <w:pPr>
        <w:pStyle w:val="15"/>
        <w:keepNext w:val="0"/>
        <w:keepLines w:val="0"/>
        <w:pageBreakBefore w:val="0"/>
        <w:widowControl w:val="0"/>
        <w:tabs>
          <w:tab w:val="right" w:pos="3600"/>
          <w:tab w:val="right" w:leader="dot" w:pos="8312"/>
          <w:tab w:val="clear" w:pos="1260"/>
          <w:tab w:val="clear" w:pos="8630"/>
        </w:tabs>
        <w:kinsoku/>
        <w:overflowPunct/>
        <w:bidi w:val="0"/>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_Toc13143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10.</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t>证明投标标的的合格性和符合</w:t>
      </w:r>
      <w:r>
        <w:rPr>
          <w:rFonts w:hint="eastAsia" w:ascii="宋体" w:hAnsi="宋体" w:cs="宋体"/>
          <w:b/>
          <w:bCs/>
          <w:color w:val="auto"/>
          <w:sz w:val="24"/>
          <w:szCs w:val="32"/>
          <w:highlight w:val="none"/>
          <w:lang w:eastAsia="zh-CN"/>
        </w:rPr>
        <w:t>磋商文件</w:t>
      </w:r>
      <w:r>
        <w:rPr>
          <w:rFonts w:hint="eastAsia" w:ascii="宋体" w:hAnsi="宋体" w:eastAsia="宋体" w:cs="宋体"/>
          <w:b/>
          <w:bCs/>
          <w:color w:val="auto"/>
          <w:sz w:val="24"/>
          <w:szCs w:val="32"/>
          <w:highlight w:val="none"/>
        </w:rPr>
        <w:t>规定的技术文件</w:t>
      </w:r>
      <w:r>
        <w:rPr>
          <w:rFonts w:hint="eastAsia" w:ascii="宋体" w:hAnsi="宋体" w:eastAsia="宋体" w:cs="宋体"/>
          <w:b/>
          <w:bCs/>
          <w:color w:val="auto"/>
          <w:sz w:val="24"/>
          <w:szCs w:val="32"/>
          <w:highlight w:val="none"/>
        </w:rPr>
        <w:tab/>
      </w:r>
      <w:r>
        <w:rPr>
          <w:rFonts w:hint="eastAsia" w:ascii="宋体" w:hAnsi="宋体" w:cs="宋体"/>
          <w:b/>
          <w:bCs/>
          <w:color w:val="auto"/>
          <w:sz w:val="24"/>
          <w:szCs w:val="32"/>
          <w:highlight w:val="none"/>
          <w:lang w:val="en-US" w:eastAsia="zh-CN"/>
        </w:rPr>
        <w:t>3</w:t>
      </w:r>
      <w:r>
        <w:rPr>
          <w:rFonts w:hint="eastAsia" w:ascii="宋体" w:hAnsi="宋体" w:eastAsia="宋体" w:cs="宋体"/>
          <w:b/>
          <w:bCs/>
          <w:color w:val="auto"/>
          <w:kern w:val="0"/>
          <w:sz w:val="24"/>
          <w:szCs w:val="24"/>
          <w:highlight w:val="none"/>
        </w:rPr>
        <w:fldChar w:fldCharType="end"/>
      </w:r>
    </w:p>
    <w:p w14:paraId="69E2932D">
      <w:pPr>
        <w:pStyle w:val="15"/>
        <w:keepNext w:val="0"/>
        <w:keepLines w:val="0"/>
        <w:pageBreakBefore w:val="0"/>
        <w:widowControl w:val="0"/>
        <w:tabs>
          <w:tab w:val="right" w:leader="dot" w:pos="8312"/>
          <w:tab w:val="clear" w:pos="1260"/>
          <w:tab w:val="clear" w:pos="8630"/>
        </w:tabs>
        <w:kinsoku/>
        <w:overflowPunct/>
        <w:bidi w:val="0"/>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_Toc19624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11.投标报价</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_Toc19624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3</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276866D5">
      <w:pPr>
        <w:pStyle w:val="15"/>
        <w:keepNext w:val="0"/>
        <w:keepLines w:val="0"/>
        <w:pageBreakBefore w:val="0"/>
        <w:widowControl w:val="0"/>
        <w:tabs>
          <w:tab w:val="right" w:leader="dot" w:pos="8312"/>
          <w:tab w:val="clear" w:pos="1260"/>
          <w:tab w:val="clear" w:pos="8630"/>
        </w:tabs>
        <w:kinsoku/>
        <w:overflowPunct/>
        <w:bidi w:val="0"/>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_Toc22212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12.投标保证金</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_Toc22212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3</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5D594EC6">
      <w:pPr>
        <w:pStyle w:val="15"/>
        <w:keepNext w:val="0"/>
        <w:keepLines w:val="0"/>
        <w:pageBreakBefore w:val="0"/>
        <w:widowControl w:val="0"/>
        <w:tabs>
          <w:tab w:val="right" w:leader="dot" w:pos="8312"/>
          <w:tab w:val="clear" w:pos="1260"/>
          <w:tab w:val="clear" w:pos="8630"/>
        </w:tabs>
        <w:kinsoku/>
        <w:overflowPunct/>
        <w:bidi w:val="0"/>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_Toc22901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13.投标有效期</w:t>
      </w:r>
      <w:r>
        <w:rPr>
          <w:rFonts w:hint="eastAsia" w:ascii="宋体" w:hAnsi="宋体" w:eastAsia="宋体" w:cs="宋体"/>
          <w:b/>
          <w:bCs/>
          <w:color w:val="auto"/>
          <w:sz w:val="24"/>
          <w:szCs w:val="32"/>
          <w:highlight w:val="none"/>
        </w:rPr>
        <w:tab/>
      </w:r>
      <w:r>
        <w:rPr>
          <w:rFonts w:hint="eastAsia" w:ascii="宋体" w:hAnsi="宋体" w:cs="宋体"/>
          <w:b/>
          <w:bCs/>
          <w:color w:val="auto"/>
          <w:sz w:val="24"/>
          <w:szCs w:val="32"/>
          <w:highlight w:val="none"/>
          <w:lang w:val="en-US" w:eastAsia="zh-CN"/>
        </w:rPr>
        <w:t>4</w:t>
      </w:r>
      <w:r>
        <w:rPr>
          <w:rFonts w:hint="eastAsia" w:ascii="宋体" w:hAnsi="宋体" w:eastAsia="宋体" w:cs="宋体"/>
          <w:b/>
          <w:bCs/>
          <w:color w:val="auto"/>
          <w:kern w:val="0"/>
          <w:sz w:val="24"/>
          <w:szCs w:val="24"/>
          <w:highlight w:val="none"/>
        </w:rPr>
        <w:fldChar w:fldCharType="end"/>
      </w:r>
    </w:p>
    <w:p w14:paraId="33CC1FDC">
      <w:pPr>
        <w:pStyle w:val="15"/>
        <w:keepNext w:val="0"/>
        <w:keepLines w:val="0"/>
        <w:pageBreakBefore w:val="0"/>
        <w:widowControl w:val="0"/>
        <w:tabs>
          <w:tab w:val="right" w:leader="dot" w:pos="8312"/>
          <w:tab w:val="clear" w:pos="1260"/>
          <w:tab w:val="clear" w:pos="8630"/>
        </w:tabs>
        <w:kinsoku/>
        <w:overflowPunct/>
        <w:bidi w:val="0"/>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_Toc17609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14.</w:t>
      </w:r>
      <w:r>
        <w:rPr>
          <w:rFonts w:hint="eastAsia" w:ascii="宋体" w:hAnsi="宋体" w:cs="宋体"/>
          <w:b/>
          <w:bCs/>
          <w:color w:val="auto"/>
          <w:sz w:val="24"/>
          <w:szCs w:val="32"/>
          <w:highlight w:val="none"/>
          <w:lang w:val="en-US" w:eastAsia="zh-CN"/>
        </w:rPr>
        <w:t>响应</w:t>
      </w:r>
      <w:r>
        <w:rPr>
          <w:rFonts w:hint="eastAsia" w:ascii="宋体" w:hAnsi="宋体" w:eastAsia="宋体" w:cs="宋体"/>
          <w:b/>
          <w:bCs/>
          <w:color w:val="auto"/>
          <w:sz w:val="24"/>
          <w:szCs w:val="32"/>
          <w:highlight w:val="none"/>
        </w:rPr>
        <w:t>文件的签署及规定</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_Toc17609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4</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779D072C">
      <w:pPr>
        <w:pStyle w:val="30"/>
        <w:keepNext w:val="0"/>
        <w:keepLines w:val="0"/>
        <w:pageBreakBefore w:val="0"/>
        <w:widowControl w:val="0"/>
        <w:tabs>
          <w:tab w:val="right" w:leader="dot" w:pos="8312"/>
        </w:tabs>
        <w:kinsoku/>
        <w:overflowPunct/>
        <w:bidi w:val="0"/>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_Toc25925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 xml:space="preserve">四 </w:t>
      </w:r>
      <w:r>
        <w:rPr>
          <w:rFonts w:hint="eastAsia" w:ascii="宋体" w:hAnsi="宋体" w:cs="宋体"/>
          <w:b/>
          <w:bCs/>
          <w:color w:val="auto"/>
          <w:sz w:val="24"/>
          <w:szCs w:val="32"/>
          <w:highlight w:val="none"/>
          <w:lang w:val="en-US" w:eastAsia="zh-CN"/>
        </w:rPr>
        <w:t>响应</w:t>
      </w:r>
      <w:r>
        <w:rPr>
          <w:rFonts w:hint="eastAsia" w:ascii="宋体" w:hAnsi="宋体" w:eastAsia="宋体" w:cs="宋体"/>
          <w:b/>
          <w:bCs/>
          <w:color w:val="auto"/>
          <w:sz w:val="24"/>
          <w:szCs w:val="32"/>
          <w:highlight w:val="none"/>
        </w:rPr>
        <w:t>文件的递交</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_Toc25925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4</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016CCEC5">
      <w:pPr>
        <w:pStyle w:val="15"/>
        <w:keepNext w:val="0"/>
        <w:keepLines w:val="0"/>
        <w:pageBreakBefore w:val="0"/>
        <w:widowControl w:val="0"/>
        <w:tabs>
          <w:tab w:val="right" w:leader="dot" w:pos="8312"/>
          <w:tab w:val="clear" w:pos="1260"/>
          <w:tab w:val="clear" w:pos="8630"/>
        </w:tabs>
        <w:kinsoku/>
        <w:overflowPunct/>
        <w:bidi w:val="0"/>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_Toc26195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15.</w:t>
      </w:r>
      <w:r>
        <w:rPr>
          <w:rFonts w:hint="eastAsia" w:ascii="宋体" w:hAnsi="宋体" w:cs="宋体"/>
          <w:b/>
          <w:bCs/>
          <w:color w:val="auto"/>
          <w:sz w:val="24"/>
          <w:szCs w:val="32"/>
          <w:highlight w:val="none"/>
          <w:lang w:val="en-US" w:eastAsia="zh-CN"/>
        </w:rPr>
        <w:t>响应</w:t>
      </w:r>
      <w:r>
        <w:rPr>
          <w:rFonts w:hint="eastAsia" w:ascii="宋体" w:hAnsi="宋体" w:eastAsia="宋体" w:cs="宋体"/>
          <w:b/>
          <w:bCs/>
          <w:color w:val="auto"/>
          <w:sz w:val="24"/>
          <w:szCs w:val="32"/>
          <w:highlight w:val="none"/>
        </w:rPr>
        <w:t>文件的密封和标记</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_Toc26195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4</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4AAAFD36">
      <w:pPr>
        <w:pStyle w:val="15"/>
        <w:keepNext w:val="0"/>
        <w:keepLines w:val="0"/>
        <w:pageBreakBefore w:val="0"/>
        <w:widowControl w:val="0"/>
        <w:tabs>
          <w:tab w:val="right" w:leader="dot" w:pos="8312"/>
          <w:tab w:val="clear" w:pos="1260"/>
          <w:tab w:val="clear" w:pos="8630"/>
        </w:tabs>
        <w:kinsoku/>
        <w:overflowPunct/>
        <w:bidi w:val="0"/>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_Toc24017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16.投标截止</w:t>
      </w:r>
      <w:r>
        <w:rPr>
          <w:rFonts w:hint="eastAsia" w:ascii="宋体" w:hAnsi="宋体" w:eastAsia="宋体" w:cs="宋体"/>
          <w:b/>
          <w:bCs/>
          <w:color w:val="auto"/>
          <w:sz w:val="24"/>
          <w:szCs w:val="32"/>
          <w:highlight w:val="none"/>
        </w:rPr>
        <w:tab/>
      </w:r>
      <w:r>
        <w:rPr>
          <w:rFonts w:hint="eastAsia" w:ascii="宋体" w:hAnsi="宋体" w:cs="宋体"/>
          <w:b/>
          <w:bCs/>
          <w:color w:val="auto"/>
          <w:sz w:val="24"/>
          <w:szCs w:val="32"/>
          <w:highlight w:val="none"/>
          <w:lang w:val="en-US" w:eastAsia="zh-CN"/>
        </w:rPr>
        <w:t>5</w:t>
      </w:r>
      <w:r>
        <w:rPr>
          <w:rFonts w:hint="eastAsia" w:ascii="宋体" w:hAnsi="宋体" w:eastAsia="宋体" w:cs="宋体"/>
          <w:b/>
          <w:bCs/>
          <w:color w:val="auto"/>
          <w:kern w:val="0"/>
          <w:sz w:val="24"/>
          <w:szCs w:val="24"/>
          <w:highlight w:val="none"/>
        </w:rPr>
        <w:fldChar w:fldCharType="end"/>
      </w:r>
    </w:p>
    <w:p w14:paraId="19BE62EE">
      <w:pPr>
        <w:pStyle w:val="15"/>
        <w:keepNext w:val="0"/>
        <w:keepLines w:val="0"/>
        <w:pageBreakBefore w:val="0"/>
        <w:widowControl w:val="0"/>
        <w:tabs>
          <w:tab w:val="right" w:leader="dot" w:pos="8312"/>
          <w:tab w:val="clear" w:pos="1260"/>
          <w:tab w:val="clear" w:pos="8630"/>
        </w:tabs>
        <w:kinsoku/>
        <w:overflowPunct/>
        <w:bidi w:val="0"/>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_Toc24785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17.</w:t>
      </w:r>
      <w:r>
        <w:rPr>
          <w:rFonts w:hint="eastAsia" w:ascii="宋体" w:hAnsi="宋体" w:cs="宋体"/>
          <w:b/>
          <w:bCs/>
          <w:color w:val="auto"/>
          <w:sz w:val="24"/>
          <w:szCs w:val="32"/>
          <w:highlight w:val="none"/>
          <w:lang w:val="en-US" w:eastAsia="zh-CN"/>
        </w:rPr>
        <w:t>响应</w:t>
      </w:r>
      <w:r>
        <w:rPr>
          <w:rFonts w:hint="eastAsia" w:ascii="宋体" w:hAnsi="宋体" w:eastAsia="宋体" w:cs="宋体"/>
          <w:b/>
          <w:bCs/>
          <w:color w:val="auto"/>
          <w:sz w:val="24"/>
          <w:szCs w:val="32"/>
          <w:highlight w:val="none"/>
        </w:rPr>
        <w:t>文件的接收、修改与撤回</w:t>
      </w:r>
      <w:r>
        <w:rPr>
          <w:rFonts w:hint="eastAsia" w:ascii="宋体" w:hAnsi="宋体" w:eastAsia="宋体" w:cs="宋体"/>
          <w:b/>
          <w:bCs/>
          <w:color w:val="auto"/>
          <w:sz w:val="24"/>
          <w:szCs w:val="32"/>
          <w:highlight w:val="none"/>
        </w:rPr>
        <w:tab/>
      </w:r>
      <w:r>
        <w:rPr>
          <w:rFonts w:hint="eastAsia" w:ascii="宋体" w:hAnsi="宋体" w:cs="宋体"/>
          <w:b/>
          <w:bCs/>
          <w:color w:val="auto"/>
          <w:sz w:val="24"/>
          <w:szCs w:val="32"/>
          <w:highlight w:val="none"/>
          <w:lang w:val="en-US" w:eastAsia="zh-CN"/>
        </w:rPr>
        <w:t>5</w:t>
      </w:r>
      <w:r>
        <w:rPr>
          <w:rFonts w:hint="eastAsia" w:ascii="宋体" w:hAnsi="宋体" w:eastAsia="宋体" w:cs="宋体"/>
          <w:b/>
          <w:bCs/>
          <w:color w:val="auto"/>
          <w:kern w:val="0"/>
          <w:sz w:val="24"/>
          <w:szCs w:val="24"/>
          <w:highlight w:val="none"/>
        </w:rPr>
        <w:fldChar w:fldCharType="end"/>
      </w:r>
    </w:p>
    <w:p w14:paraId="7FF7AC4F">
      <w:pPr>
        <w:pStyle w:val="30"/>
        <w:keepNext w:val="0"/>
        <w:keepLines w:val="0"/>
        <w:pageBreakBefore w:val="0"/>
        <w:widowControl w:val="0"/>
        <w:tabs>
          <w:tab w:val="right" w:leader="dot" w:pos="8312"/>
        </w:tabs>
        <w:kinsoku/>
        <w:overflowPunct/>
        <w:bidi w:val="0"/>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_Toc20246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五 开标及评标</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_Toc20246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5</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5D87A8E0">
      <w:pPr>
        <w:pStyle w:val="15"/>
        <w:keepNext w:val="0"/>
        <w:keepLines w:val="0"/>
        <w:pageBreakBefore w:val="0"/>
        <w:widowControl w:val="0"/>
        <w:tabs>
          <w:tab w:val="right" w:leader="dot" w:pos="8312"/>
          <w:tab w:val="clear" w:pos="1260"/>
          <w:tab w:val="clear" w:pos="8630"/>
        </w:tabs>
        <w:kinsoku/>
        <w:overflowPunct/>
        <w:bidi w:val="0"/>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_Toc17257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18. 开标</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_Toc17257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5</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534F32F6">
      <w:pPr>
        <w:pStyle w:val="15"/>
        <w:keepNext w:val="0"/>
        <w:keepLines w:val="0"/>
        <w:pageBreakBefore w:val="0"/>
        <w:widowControl w:val="0"/>
        <w:tabs>
          <w:tab w:val="right" w:leader="dot" w:pos="8312"/>
          <w:tab w:val="clear" w:pos="1260"/>
          <w:tab w:val="clear" w:pos="8630"/>
        </w:tabs>
        <w:kinsoku/>
        <w:overflowPunct/>
        <w:bidi w:val="0"/>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_Toc31290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19.资格审查及组建评标委员会</w:t>
      </w:r>
      <w:r>
        <w:rPr>
          <w:rFonts w:hint="eastAsia" w:ascii="宋体" w:hAnsi="宋体" w:eastAsia="宋体" w:cs="宋体"/>
          <w:b/>
          <w:bCs/>
          <w:color w:val="auto"/>
          <w:sz w:val="24"/>
          <w:szCs w:val="32"/>
          <w:highlight w:val="none"/>
        </w:rPr>
        <w:tab/>
      </w:r>
      <w:r>
        <w:rPr>
          <w:rFonts w:hint="eastAsia" w:ascii="宋体" w:hAnsi="宋体" w:cs="宋体"/>
          <w:b/>
          <w:bCs/>
          <w:color w:val="auto"/>
          <w:sz w:val="24"/>
          <w:szCs w:val="32"/>
          <w:highlight w:val="none"/>
          <w:lang w:val="en-US" w:eastAsia="zh-CN"/>
        </w:rPr>
        <w:t>6</w:t>
      </w:r>
      <w:r>
        <w:rPr>
          <w:rFonts w:hint="eastAsia" w:ascii="宋体" w:hAnsi="宋体" w:eastAsia="宋体" w:cs="宋体"/>
          <w:b/>
          <w:bCs/>
          <w:color w:val="auto"/>
          <w:kern w:val="0"/>
          <w:sz w:val="24"/>
          <w:szCs w:val="24"/>
          <w:highlight w:val="none"/>
        </w:rPr>
        <w:fldChar w:fldCharType="end"/>
      </w:r>
    </w:p>
    <w:p w14:paraId="20737196">
      <w:pPr>
        <w:pStyle w:val="15"/>
        <w:keepNext w:val="0"/>
        <w:keepLines w:val="0"/>
        <w:pageBreakBefore w:val="0"/>
        <w:widowControl w:val="0"/>
        <w:tabs>
          <w:tab w:val="right" w:leader="dot" w:pos="8312"/>
          <w:tab w:val="clear" w:pos="1260"/>
          <w:tab w:val="clear" w:pos="8630"/>
        </w:tabs>
        <w:kinsoku/>
        <w:overflowPunct/>
        <w:bidi w:val="0"/>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_Toc26332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20.</w:t>
      </w:r>
      <w:r>
        <w:rPr>
          <w:rFonts w:hint="eastAsia" w:ascii="宋体" w:hAnsi="宋体" w:cs="宋体"/>
          <w:b/>
          <w:bCs/>
          <w:color w:val="auto"/>
          <w:sz w:val="24"/>
          <w:szCs w:val="32"/>
          <w:highlight w:val="none"/>
          <w:lang w:eastAsia="zh-CN"/>
        </w:rPr>
        <w:t>响应文件</w:t>
      </w:r>
      <w:r>
        <w:rPr>
          <w:rFonts w:hint="eastAsia" w:ascii="宋体" w:hAnsi="宋体" w:eastAsia="宋体" w:cs="宋体"/>
          <w:b/>
          <w:bCs/>
          <w:color w:val="auto"/>
          <w:sz w:val="24"/>
          <w:szCs w:val="32"/>
          <w:highlight w:val="none"/>
        </w:rPr>
        <w:t>符合性审查与澄清</w:t>
      </w:r>
      <w:r>
        <w:rPr>
          <w:rFonts w:hint="eastAsia" w:ascii="宋体" w:hAnsi="宋体" w:eastAsia="宋体" w:cs="宋体"/>
          <w:b/>
          <w:bCs/>
          <w:color w:val="auto"/>
          <w:sz w:val="24"/>
          <w:szCs w:val="32"/>
          <w:highlight w:val="none"/>
        </w:rPr>
        <w:tab/>
      </w:r>
      <w:r>
        <w:rPr>
          <w:rFonts w:hint="eastAsia" w:ascii="宋体" w:hAnsi="宋体" w:cs="宋体"/>
          <w:b/>
          <w:bCs/>
          <w:color w:val="auto"/>
          <w:sz w:val="24"/>
          <w:szCs w:val="32"/>
          <w:highlight w:val="none"/>
          <w:lang w:val="en-US" w:eastAsia="zh-CN"/>
        </w:rPr>
        <w:t>6</w:t>
      </w:r>
      <w:r>
        <w:rPr>
          <w:rFonts w:hint="eastAsia" w:ascii="宋体" w:hAnsi="宋体" w:eastAsia="宋体" w:cs="宋体"/>
          <w:b/>
          <w:bCs/>
          <w:color w:val="auto"/>
          <w:kern w:val="0"/>
          <w:sz w:val="24"/>
          <w:szCs w:val="24"/>
          <w:highlight w:val="none"/>
        </w:rPr>
        <w:fldChar w:fldCharType="end"/>
      </w:r>
    </w:p>
    <w:p w14:paraId="56CD9B77">
      <w:pPr>
        <w:pStyle w:val="15"/>
        <w:keepNext w:val="0"/>
        <w:keepLines w:val="0"/>
        <w:pageBreakBefore w:val="0"/>
        <w:widowControl w:val="0"/>
        <w:tabs>
          <w:tab w:val="right" w:leader="dot" w:pos="8312"/>
          <w:tab w:val="clear" w:pos="1260"/>
          <w:tab w:val="clear" w:pos="8630"/>
        </w:tabs>
        <w:kinsoku/>
        <w:overflowPunct/>
        <w:bidi w:val="0"/>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_Toc18529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21.投标偏离</w:t>
      </w:r>
      <w:r>
        <w:rPr>
          <w:rFonts w:hint="eastAsia" w:ascii="宋体" w:hAnsi="宋体" w:eastAsia="宋体" w:cs="宋体"/>
          <w:b/>
          <w:bCs/>
          <w:color w:val="auto"/>
          <w:sz w:val="24"/>
          <w:szCs w:val="32"/>
          <w:highlight w:val="none"/>
        </w:rPr>
        <w:tab/>
      </w:r>
      <w:r>
        <w:rPr>
          <w:rFonts w:hint="eastAsia" w:ascii="宋体" w:hAnsi="宋体" w:cs="宋体"/>
          <w:b/>
          <w:bCs/>
          <w:color w:val="auto"/>
          <w:sz w:val="24"/>
          <w:szCs w:val="32"/>
          <w:highlight w:val="none"/>
          <w:lang w:val="en-US" w:eastAsia="zh-CN"/>
        </w:rPr>
        <w:t>7</w:t>
      </w:r>
      <w:r>
        <w:rPr>
          <w:rFonts w:hint="eastAsia" w:ascii="宋体" w:hAnsi="宋体" w:eastAsia="宋体" w:cs="宋体"/>
          <w:b/>
          <w:bCs/>
          <w:color w:val="auto"/>
          <w:kern w:val="0"/>
          <w:sz w:val="24"/>
          <w:szCs w:val="24"/>
          <w:highlight w:val="none"/>
        </w:rPr>
        <w:fldChar w:fldCharType="end"/>
      </w:r>
    </w:p>
    <w:p w14:paraId="1E6316B0">
      <w:pPr>
        <w:pStyle w:val="15"/>
        <w:keepNext w:val="0"/>
        <w:keepLines w:val="0"/>
        <w:pageBreakBefore w:val="0"/>
        <w:widowControl w:val="0"/>
        <w:tabs>
          <w:tab w:val="right" w:leader="dot" w:pos="8312"/>
          <w:tab w:val="clear" w:pos="1260"/>
          <w:tab w:val="clear" w:pos="8630"/>
        </w:tabs>
        <w:kinsoku/>
        <w:overflowPunct/>
        <w:bidi w:val="0"/>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_Toc23936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22.投标无效</w:t>
      </w:r>
      <w:r>
        <w:rPr>
          <w:rFonts w:hint="eastAsia" w:ascii="宋体" w:hAnsi="宋体" w:eastAsia="宋体" w:cs="宋体"/>
          <w:b/>
          <w:bCs/>
          <w:color w:val="auto"/>
          <w:sz w:val="24"/>
          <w:szCs w:val="32"/>
          <w:highlight w:val="none"/>
        </w:rPr>
        <w:tab/>
      </w:r>
      <w:r>
        <w:rPr>
          <w:rFonts w:hint="eastAsia" w:ascii="宋体" w:hAnsi="宋体" w:cs="宋体"/>
          <w:b/>
          <w:bCs/>
          <w:color w:val="auto"/>
          <w:sz w:val="24"/>
          <w:szCs w:val="32"/>
          <w:highlight w:val="none"/>
          <w:lang w:val="en-US" w:eastAsia="zh-CN"/>
        </w:rPr>
        <w:t>7</w:t>
      </w:r>
      <w:r>
        <w:rPr>
          <w:rFonts w:hint="eastAsia" w:ascii="宋体" w:hAnsi="宋体" w:eastAsia="宋体" w:cs="宋体"/>
          <w:b/>
          <w:bCs/>
          <w:color w:val="auto"/>
          <w:kern w:val="0"/>
          <w:sz w:val="24"/>
          <w:szCs w:val="24"/>
          <w:highlight w:val="none"/>
        </w:rPr>
        <w:fldChar w:fldCharType="end"/>
      </w:r>
    </w:p>
    <w:p w14:paraId="121CABDE">
      <w:pPr>
        <w:pStyle w:val="15"/>
        <w:keepNext w:val="0"/>
        <w:keepLines w:val="0"/>
        <w:pageBreakBefore w:val="0"/>
        <w:widowControl w:val="0"/>
        <w:tabs>
          <w:tab w:val="right" w:leader="dot" w:pos="8312"/>
          <w:tab w:val="clear" w:pos="1260"/>
          <w:tab w:val="clear" w:pos="8630"/>
        </w:tabs>
        <w:kinsoku/>
        <w:overflowPunct/>
        <w:bidi w:val="0"/>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_Toc8521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23.比较与评价</w:t>
      </w:r>
      <w:r>
        <w:rPr>
          <w:rFonts w:hint="eastAsia" w:ascii="宋体" w:hAnsi="宋体" w:eastAsia="宋体" w:cs="宋体"/>
          <w:b/>
          <w:bCs/>
          <w:color w:val="auto"/>
          <w:sz w:val="24"/>
          <w:szCs w:val="32"/>
          <w:highlight w:val="none"/>
        </w:rPr>
        <w:tab/>
      </w:r>
      <w:r>
        <w:rPr>
          <w:rFonts w:hint="eastAsia" w:ascii="宋体" w:hAnsi="宋体" w:cs="宋体"/>
          <w:b/>
          <w:bCs/>
          <w:color w:val="auto"/>
          <w:sz w:val="24"/>
          <w:szCs w:val="32"/>
          <w:highlight w:val="none"/>
          <w:lang w:val="en-US" w:eastAsia="zh-CN"/>
        </w:rPr>
        <w:t>7</w:t>
      </w:r>
      <w:r>
        <w:rPr>
          <w:rFonts w:hint="eastAsia" w:ascii="宋体" w:hAnsi="宋体" w:eastAsia="宋体" w:cs="宋体"/>
          <w:b/>
          <w:bCs/>
          <w:color w:val="auto"/>
          <w:kern w:val="0"/>
          <w:sz w:val="24"/>
          <w:szCs w:val="24"/>
          <w:highlight w:val="none"/>
        </w:rPr>
        <w:fldChar w:fldCharType="end"/>
      </w:r>
    </w:p>
    <w:p w14:paraId="69595EF6">
      <w:pPr>
        <w:pStyle w:val="15"/>
        <w:keepNext w:val="0"/>
        <w:keepLines w:val="0"/>
        <w:pageBreakBefore w:val="0"/>
        <w:widowControl w:val="0"/>
        <w:tabs>
          <w:tab w:val="right" w:leader="dot" w:pos="8312"/>
          <w:tab w:val="clear" w:pos="1260"/>
          <w:tab w:val="clear" w:pos="8630"/>
        </w:tabs>
        <w:kinsoku/>
        <w:overflowPunct/>
        <w:bidi w:val="0"/>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_Toc31728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24.废标</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_Toc31728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7</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2FDE5233">
      <w:pPr>
        <w:pStyle w:val="15"/>
        <w:keepNext w:val="0"/>
        <w:keepLines w:val="0"/>
        <w:pageBreakBefore w:val="0"/>
        <w:widowControl w:val="0"/>
        <w:tabs>
          <w:tab w:val="right" w:leader="dot" w:pos="8312"/>
          <w:tab w:val="clear" w:pos="1260"/>
          <w:tab w:val="clear" w:pos="8630"/>
        </w:tabs>
        <w:kinsoku/>
        <w:overflowPunct/>
        <w:bidi w:val="0"/>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_Toc11175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25.保密原则</w:t>
      </w:r>
      <w:r>
        <w:rPr>
          <w:rFonts w:hint="eastAsia" w:ascii="宋体" w:hAnsi="宋体" w:eastAsia="宋体" w:cs="宋体"/>
          <w:b/>
          <w:bCs/>
          <w:color w:val="auto"/>
          <w:sz w:val="24"/>
          <w:szCs w:val="32"/>
          <w:highlight w:val="none"/>
        </w:rPr>
        <w:tab/>
      </w:r>
      <w:r>
        <w:rPr>
          <w:rFonts w:hint="eastAsia" w:ascii="宋体" w:hAnsi="宋体" w:cs="宋体"/>
          <w:b/>
          <w:bCs/>
          <w:color w:val="auto"/>
          <w:sz w:val="24"/>
          <w:szCs w:val="32"/>
          <w:highlight w:val="none"/>
          <w:lang w:val="en-US" w:eastAsia="zh-CN"/>
        </w:rPr>
        <w:t>7</w:t>
      </w:r>
      <w:r>
        <w:rPr>
          <w:rFonts w:hint="eastAsia" w:ascii="宋体" w:hAnsi="宋体" w:eastAsia="宋体" w:cs="宋体"/>
          <w:b/>
          <w:bCs/>
          <w:color w:val="auto"/>
          <w:kern w:val="0"/>
          <w:sz w:val="24"/>
          <w:szCs w:val="24"/>
          <w:highlight w:val="none"/>
        </w:rPr>
        <w:fldChar w:fldCharType="end"/>
      </w:r>
    </w:p>
    <w:p w14:paraId="196B03AC">
      <w:pPr>
        <w:pStyle w:val="30"/>
        <w:keepNext w:val="0"/>
        <w:keepLines w:val="0"/>
        <w:pageBreakBefore w:val="0"/>
        <w:widowControl w:val="0"/>
        <w:tabs>
          <w:tab w:val="right" w:leader="dot" w:pos="8312"/>
        </w:tabs>
        <w:kinsoku/>
        <w:overflowPunct/>
        <w:bidi w:val="0"/>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_Toc2153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六</w:t>
      </w:r>
      <w:r>
        <w:rPr>
          <w:rFonts w:hint="eastAsia" w:ascii="宋体" w:hAnsi="宋体" w:cs="宋体"/>
          <w:b/>
          <w:bCs/>
          <w:color w:val="auto"/>
          <w:sz w:val="24"/>
          <w:szCs w:val="32"/>
          <w:highlight w:val="none"/>
          <w:lang w:val="en-US" w:eastAsia="zh-CN"/>
        </w:rPr>
        <w:t xml:space="preserve"> </w:t>
      </w:r>
      <w:r>
        <w:rPr>
          <w:rFonts w:hint="eastAsia" w:ascii="宋体" w:hAnsi="宋体" w:eastAsia="宋体" w:cs="宋体"/>
          <w:b/>
          <w:bCs/>
          <w:color w:val="auto"/>
          <w:sz w:val="24"/>
          <w:szCs w:val="32"/>
          <w:highlight w:val="none"/>
        </w:rPr>
        <w:t>确定中标</w:t>
      </w:r>
      <w:r>
        <w:rPr>
          <w:rFonts w:hint="eastAsia" w:ascii="宋体" w:hAnsi="宋体" w:eastAsia="宋体" w:cs="宋体"/>
          <w:b/>
          <w:bCs/>
          <w:color w:val="auto"/>
          <w:sz w:val="24"/>
          <w:szCs w:val="32"/>
          <w:highlight w:val="none"/>
        </w:rPr>
        <w:tab/>
      </w:r>
      <w:r>
        <w:rPr>
          <w:rFonts w:hint="eastAsia" w:ascii="宋体" w:hAnsi="宋体" w:cs="宋体"/>
          <w:b/>
          <w:bCs/>
          <w:color w:val="auto"/>
          <w:sz w:val="24"/>
          <w:szCs w:val="32"/>
          <w:highlight w:val="none"/>
          <w:lang w:val="en-US" w:eastAsia="zh-CN"/>
        </w:rPr>
        <w:t>8</w:t>
      </w:r>
      <w:r>
        <w:rPr>
          <w:rFonts w:hint="eastAsia" w:ascii="宋体" w:hAnsi="宋体" w:eastAsia="宋体" w:cs="宋体"/>
          <w:b/>
          <w:bCs/>
          <w:color w:val="auto"/>
          <w:kern w:val="0"/>
          <w:sz w:val="24"/>
          <w:szCs w:val="24"/>
          <w:highlight w:val="none"/>
        </w:rPr>
        <w:fldChar w:fldCharType="end"/>
      </w:r>
    </w:p>
    <w:p w14:paraId="1DEB5B9B">
      <w:pPr>
        <w:pStyle w:val="15"/>
        <w:keepNext w:val="0"/>
        <w:keepLines w:val="0"/>
        <w:pageBreakBefore w:val="0"/>
        <w:widowControl w:val="0"/>
        <w:tabs>
          <w:tab w:val="right" w:leader="dot" w:pos="8312"/>
          <w:tab w:val="clear" w:pos="1260"/>
          <w:tab w:val="clear" w:pos="8630"/>
        </w:tabs>
        <w:kinsoku/>
        <w:overflowPunct/>
        <w:bidi w:val="0"/>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_Toc28066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26.中标候选人的确定原则及标准</w:t>
      </w:r>
      <w:r>
        <w:rPr>
          <w:rFonts w:hint="eastAsia" w:ascii="宋体" w:hAnsi="宋体" w:eastAsia="宋体" w:cs="宋体"/>
          <w:b/>
          <w:bCs/>
          <w:color w:val="auto"/>
          <w:sz w:val="24"/>
          <w:szCs w:val="32"/>
          <w:highlight w:val="none"/>
        </w:rPr>
        <w:tab/>
      </w:r>
      <w:r>
        <w:rPr>
          <w:rFonts w:hint="eastAsia" w:ascii="宋体" w:hAnsi="宋体" w:cs="宋体"/>
          <w:b/>
          <w:bCs/>
          <w:color w:val="auto"/>
          <w:sz w:val="24"/>
          <w:szCs w:val="32"/>
          <w:highlight w:val="none"/>
          <w:lang w:val="en-US" w:eastAsia="zh-CN"/>
        </w:rPr>
        <w:t>8</w:t>
      </w:r>
      <w:r>
        <w:rPr>
          <w:rFonts w:hint="eastAsia" w:ascii="宋体" w:hAnsi="宋体" w:eastAsia="宋体" w:cs="宋体"/>
          <w:b/>
          <w:bCs/>
          <w:color w:val="auto"/>
          <w:kern w:val="0"/>
          <w:sz w:val="24"/>
          <w:szCs w:val="24"/>
          <w:highlight w:val="none"/>
        </w:rPr>
        <w:fldChar w:fldCharType="end"/>
      </w:r>
    </w:p>
    <w:p w14:paraId="77065742">
      <w:pPr>
        <w:pStyle w:val="15"/>
        <w:keepNext w:val="0"/>
        <w:keepLines w:val="0"/>
        <w:pageBreakBefore w:val="0"/>
        <w:widowControl w:val="0"/>
        <w:tabs>
          <w:tab w:val="right" w:leader="dot" w:pos="8312"/>
          <w:tab w:val="clear" w:pos="1260"/>
          <w:tab w:val="clear" w:pos="8630"/>
        </w:tabs>
        <w:kinsoku/>
        <w:overflowPunct/>
        <w:bidi w:val="0"/>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_Toc19950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27.确定中标候选人和中标人</w:t>
      </w:r>
      <w:r>
        <w:rPr>
          <w:rFonts w:hint="eastAsia" w:ascii="宋体" w:hAnsi="宋体" w:eastAsia="宋体" w:cs="宋体"/>
          <w:b/>
          <w:bCs/>
          <w:color w:val="auto"/>
          <w:sz w:val="24"/>
          <w:szCs w:val="32"/>
          <w:highlight w:val="none"/>
        </w:rPr>
        <w:tab/>
      </w:r>
      <w:r>
        <w:rPr>
          <w:rFonts w:hint="eastAsia" w:ascii="宋体" w:hAnsi="宋体" w:cs="宋体"/>
          <w:b/>
          <w:bCs/>
          <w:color w:val="auto"/>
          <w:sz w:val="24"/>
          <w:szCs w:val="32"/>
          <w:highlight w:val="none"/>
          <w:lang w:val="en-US" w:eastAsia="zh-CN"/>
        </w:rPr>
        <w:t>8</w:t>
      </w:r>
      <w:r>
        <w:rPr>
          <w:rFonts w:hint="eastAsia" w:ascii="宋体" w:hAnsi="宋体" w:eastAsia="宋体" w:cs="宋体"/>
          <w:b/>
          <w:bCs/>
          <w:color w:val="auto"/>
          <w:kern w:val="0"/>
          <w:sz w:val="24"/>
          <w:szCs w:val="24"/>
          <w:highlight w:val="none"/>
        </w:rPr>
        <w:fldChar w:fldCharType="end"/>
      </w:r>
    </w:p>
    <w:p w14:paraId="7B45FC6A">
      <w:pPr>
        <w:pStyle w:val="15"/>
        <w:keepNext w:val="0"/>
        <w:keepLines w:val="0"/>
        <w:pageBreakBefore w:val="0"/>
        <w:widowControl w:val="0"/>
        <w:tabs>
          <w:tab w:val="right" w:leader="dot" w:pos="8312"/>
          <w:tab w:val="clear" w:pos="1260"/>
          <w:tab w:val="clear" w:pos="8630"/>
        </w:tabs>
        <w:kinsoku/>
        <w:overflowPunct/>
        <w:bidi w:val="0"/>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_Toc13782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28.采购任务取消</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_Toc13782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8</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4B9B0ED6">
      <w:pPr>
        <w:pStyle w:val="15"/>
        <w:keepNext w:val="0"/>
        <w:keepLines w:val="0"/>
        <w:pageBreakBefore w:val="0"/>
        <w:widowControl w:val="0"/>
        <w:tabs>
          <w:tab w:val="right" w:leader="dot" w:pos="8312"/>
          <w:tab w:val="clear" w:pos="1260"/>
          <w:tab w:val="clear" w:pos="8630"/>
        </w:tabs>
        <w:kinsoku/>
        <w:overflowPunct/>
        <w:bidi w:val="0"/>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_Toc31142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29.成交通知书和结果通知书</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_Toc31142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8</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77E12556">
      <w:pPr>
        <w:pStyle w:val="15"/>
        <w:keepNext w:val="0"/>
        <w:keepLines w:val="0"/>
        <w:pageBreakBefore w:val="0"/>
        <w:widowControl w:val="0"/>
        <w:tabs>
          <w:tab w:val="right" w:leader="dot" w:pos="8312"/>
          <w:tab w:val="clear" w:pos="1260"/>
          <w:tab w:val="clear" w:pos="8630"/>
        </w:tabs>
        <w:kinsoku/>
        <w:overflowPunct/>
        <w:bidi w:val="0"/>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_Toc14795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30.签订合同</w:t>
      </w:r>
      <w:r>
        <w:rPr>
          <w:rFonts w:hint="eastAsia" w:ascii="宋体" w:hAnsi="宋体" w:eastAsia="宋体" w:cs="宋体"/>
          <w:b/>
          <w:bCs/>
          <w:color w:val="auto"/>
          <w:sz w:val="24"/>
          <w:szCs w:val="32"/>
          <w:highlight w:val="none"/>
        </w:rPr>
        <w:tab/>
      </w:r>
      <w:r>
        <w:rPr>
          <w:rFonts w:hint="eastAsia" w:ascii="宋体" w:hAnsi="宋体" w:cs="宋体"/>
          <w:b/>
          <w:bCs/>
          <w:color w:val="auto"/>
          <w:sz w:val="24"/>
          <w:szCs w:val="32"/>
          <w:highlight w:val="none"/>
          <w:lang w:val="en-US" w:eastAsia="zh-CN"/>
        </w:rPr>
        <w:t>8</w:t>
      </w:r>
      <w:r>
        <w:rPr>
          <w:rFonts w:hint="eastAsia" w:ascii="宋体" w:hAnsi="宋体" w:eastAsia="宋体" w:cs="宋体"/>
          <w:b/>
          <w:bCs/>
          <w:color w:val="auto"/>
          <w:kern w:val="0"/>
          <w:sz w:val="24"/>
          <w:szCs w:val="24"/>
          <w:highlight w:val="none"/>
        </w:rPr>
        <w:fldChar w:fldCharType="end"/>
      </w:r>
    </w:p>
    <w:p w14:paraId="7C31C09D">
      <w:pPr>
        <w:pStyle w:val="15"/>
        <w:keepNext w:val="0"/>
        <w:keepLines w:val="0"/>
        <w:pageBreakBefore w:val="0"/>
        <w:widowControl w:val="0"/>
        <w:tabs>
          <w:tab w:val="right" w:leader="dot" w:pos="8312"/>
          <w:tab w:val="clear" w:pos="1260"/>
          <w:tab w:val="clear" w:pos="8630"/>
        </w:tabs>
        <w:kinsoku/>
        <w:overflowPunct/>
        <w:bidi w:val="0"/>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_Toc7188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31.履约保证金</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_Toc7188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8</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3D31AA0F">
      <w:pPr>
        <w:pStyle w:val="15"/>
        <w:keepNext w:val="0"/>
        <w:keepLines w:val="0"/>
        <w:pageBreakBefore w:val="0"/>
        <w:widowControl w:val="0"/>
        <w:tabs>
          <w:tab w:val="right" w:leader="dot" w:pos="8312"/>
          <w:tab w:val="clear" w:pos="1260"/>
          <w:tab w:val="clear" w:pos="8630"/>
        </w:tabs>
        <w:kinsoku/>
        <w:overflowPunct/>
        <w:bidi w:val="0"/>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_Toc31936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32.中标服务费</w:t>
      </w:r>
      <w:r>
        <w:rPr>
          <w:rFonts w:hint="eastAsia" w:ascii="宋体" w:hAnsi="宋体" w:eastAsia="宋体" w:cs="宋体"/>
          <w:b/>
          <w:bCs/>
          <w:color w:val="auto"/>
          <w:sz w:val="24"/>
          <w:szCs w:val="32"/>
          <w:highlight w:val="none"/>
        </w:rPr>
        <w:tab/>
      </w:r>
      <w:r>
        <w:rPr>
          <w:rFonts w:hint="eastAsia" w:ascii="宋体" w:hAnsi="宋体" w:cs="宋体"/>
          <w:b/>
          <w:bCs/>
          <w:color w:val="auto"/>
          <w:sz w:val="24"/>
          <w:szCs w:val="32"/>
          <w:highlight w:val="none"/>
          <w:lang w:val="en-US" w:eastAsia="zh-CN"/>
        </w:rPr>
        <w:t>8</w:t>
      </w:r>
      <w:r>
        <w:rPr>
          <w:rFonts w:hint="eastAsia" w:ascii="宋体" w:hAnsi="宋体" w:eastAsia="宋体" w:cs="宋体"/>
          <w:b/>
          <w:bCs/>
          <w:color w:val="auto"/>
          <w:kern w:val="0"/>
          <w:sz w:val="24"/>
          <w:szCs w:val="24"/>
          <w:highlight w:val="none"/>
        </w:rPr>
        <w:fldChar w:fldCharType="end"/>
      </w:r>
    </w:p>
    <w:p w14:paraId="7B123142">
      <w:pPr>
        <w:pStyle w:val="15"/>
        <w:keepNext w:val="0"/>
        <w:keepLines w:val="0"/>
        <w:pageBreakBefore w:val="0"/>
        <w:widowControl w:val="0"/>
        <w:tabs>
          <w:tab w:val="right" w:leader="dot" w:pos="8312"/>
          <w:tab w:val="clear" w:pos="1260"/>
          <w:tab w:val="clear" w:pos="8630"/>
        </w:tabs>
        <w:kinsoku/>
        <w:overflowPunct/>
        <w:bidi w:val="0"/>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_Toc13588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33.政府采购信用担保</w:t>
      </w:r>
      <w:r>
        <w:rPr>
          <w:rFonts w:hint="eastAsia" w:ascii="宋体" w:hAnsi="宋体" w:eastAsia="宋体" w:cs="宋体"/>
          <w:b/>
          <w:bCs/>
          <w:color w:val="auto"/>
          <w:sz w:val="24"/>
          <w:szCs w:val="32"/>
          <w:highlight w:val="none"/>
        </w:rPr>
        <w:tab/>
      </w:r>
      <w:r>
        <w:rPr>
          <w:rFonts w:hint="eastAsia" w:ascii="宋体" w:hAnsi="宋体" w:cs="宋体"/>
          <w:b/>
          <w:bCs/>
          <w:color w:val="auto"/>
          <w:sz w:val="24"/>
          <w:szCs w:val="32"/>
          <w:highlight w:val="none"/>
          <w:lang w:val="en-US" w:eastAsia="zh-CN"/>
        </w:rPr>
        <w:t>8</w:t>
      </w:r>
      <w:r>
        <w:rPr>
          <w:rFonts w:hint="eastAsia" w:ascii="宋体" w:hAnsi="宋体" w:eastAsia="宋体" w:cs="宋体"/>
          <w:b/>
          <w:bCs/>
          <w:color w:val="auto"/>
          <w:kern w:val="0"/>
          <w:sz w:val="24"/>
          <w:szCs w:val="24"/>
          <w:highlight w:val="none"/>
        </w:rPr>
        <w:fldChar w:fldCharType="end"/>
      </w:r>
    </w:p>
    <w:p w14:paraId="4D605FD3">
      <w:pPr>
        <w:pStyle w:val="15"/>
        <w:keepNext w:val="0"/>
        <w:keepLines w:val="0"/>
        <w:pageBreakBefore w:val="0"/>
        <w:widowControl w:val="0"/>
        <w:tabs>
          <w:tab w:val="right" w:leader="dot" w:pos="8312"/>
          <w:tab w:val="clear" w:pos="1260"/>
          <w:tab w:val="clear" w:pos="8630"/>
        </w:tabs>
        <w:kinsoku/>
        <w:overflowPunct/>
        <w:bidi w:val="0"/>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_Toc27198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34.廉洁自律规定</w:t>
      </w:r>
      <w:r>
        <w:rPr>
          <w:rFonts w:hint="eastAsia" w:ascii="宋体" w:hAnsi="宋体" w:eastAsia="宋体" w:cs="宋体"/>
          <w:b/>
          <w:bCs/>
          <w:color w:val="auto"/>
          <w:sz w:val="24"/>
          <w:szCs w:val="32"/>
          <w:highlight w:val="none"/>
        </w:rPr>
        <w:tab/>
      </w:r>
      <w:r>
        <w:rPr>
          <w:rFonts w:hint="eastAsia" w:ascii="宋体" w:hAnsi="宋体" w:cs="宋体"/>
          <w:b/>
          <w:bCs/>
          <w:color w:val="auto"/>
          <w:sz w:val="24"/>
          <w:szCs w:val="32"/>
          <w:highlight w:val="none"/>
          <w:lang w:val="en-US" w:eastAsia="zh-CN"/>
        </w:rPr>
        <w:t>9</w:t>
      </w:r>
      <w:r>
        <w:rPr>
          <w:rFonts w:hint="eastAsia" w:ascii="宋体" w:hAnsi="宋体" w:eastAsia="宋体" w:cs="宋体"/>
          <w:b/>
          <w:bCs/>
          <w:color w:val="auto"/>
          <w:kern w:val="0"/>
          <w:sz w:val="24"/>
          <w:szCs w:val="24"/>
          <w:highlight w:val="none"/>
        </w:rPr>
        <w:fldChar w:fldCharType="end"/>
      </w:r>
    </w:p>
    <w:p w14:paraId="2FF45DC2">
      <w:pPr>
        <w:pStyle w:val="15"/>
        <w:keepNext w:val="0"/>
        <w:keepLines w:val="0"/>
        <w:pageBreakBefore w:val="0"/>
        <w:widowControl w:val="0"/>
        <w:tabs>
          <w:tab w:val="right" w:leader="dot" w:pos="8312"/>
          <w:tab w:val="clear" w:pos="1260"/>
          <w:tab w:val="clear" w:pos="8630"/>
        </w:tabs>
        <w:kinsoku/>
        <w:overflowPunct/>
        <w:bidi w:val="0"/>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_Toc10437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35.人员回避</w:t>
      </w:r>
      <w:r>
        <w:rPr>
          <w:rFonts w:hint="eastAsia" w:ascii="宋体" w:hAnsi="宋体" w:eastAsia="宋体" w:cs="宋体"/>
          <w:b/>
          <w:bCs/>
          <w:color w:val="auto"/>
          <w:sz w:val="24"/>
          <w:szCs w:val="32"/>
          <w:highlight w:val="none"/>
        </w:rPr>
        <w:tab/>
      </w:r>
      <w:r>
        <w:rPr>
          <w:rFonts w:hint="eastAsia" w:ascii="宋体" w:hAnsi="宋体" w:cs="宋体"/>
          <w:b/>
          <w:bCs/>
          <w:color w:val="auto"/>
          <w:sz w:val="24"/>
          <w:szCs w:val="32"/>
          <w:highlight w:val="none"/>
          <w:lang w:val="en-US" w:eastAsia="zh-CN"/>
        </w:rPr>
        <w:t>9</w:t>
      </w:r>
      <w:r>
        <w:rPr>
          <w:rFonts w:hint="eastAsia" w:ascii="宋体" w:hAnsi="宋体" w:eastAsia="宋体" w:cs="宋体"/>
          <w:b/>
          <w:bCs/>
          <w:color w:val="auto"/>
          <w:kern w:val="0"/>
          <w:sz w:val="24"/>
          <w:szCs w:val="24"/>
          <w:highlight w:val="none"/>
        </w:rPr>
        <w:fldChar w:fldCharType="end"/>
      </w:r>
    </w:p>
    <w:p w14:paraId="02FDE8DA">
      <w:pPr>
        <w:pStyle w:val="15"/>
        <w:keepNext w:val="0"/>
        <w:keepLines w:val="0"/>
        <w:pageBreakBefore w:val="0"/>
        <w:widowControl w:val="0"/>
        <w:tabs>
          <w:tab w:val="right" w:leader="dot" w:pos="8312"/>
          <w:tab w:val="clear" w:pos="1260"/>
          <w:tab w:val="clear" w:pos="8630"/>
        </w:tabs>
        <w:kinsoku/>
        <w:overflowPunct/>
        <w:bidi w:val="0"/>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_Toc10700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36.质疑与接收</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_Toc10700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9</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23383EC1">
      <w:pPr>
        <w:pStyle w:val="24"/>
        <w:keepNext w:val="0"/>
        <w:keepLines w:val="0"/>
        <w:pageBreakBefore w:val="0"/>
        <w:widowControl w:val="0"/>
        <w:tabs>
          <w:tab w:val="right" w:leader="dot" w:pos="8312"/>
        </w:tabs>
        <w:kinsoku/>
        <w:overflowPunct/>
        <w:bidi w:val="0"/>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_Toc19692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 xml:space="preserve">第2章 </w:t>
      </w:r>
      <w:r>
        <w:rPr>
          <w:rFonts w:hint="eastAsia" w:ascii="宋体" w:hAnsi="宋体" w:cs="宋体"/>
          <w:b/>
          <w:bCs/>
          <w:color w:val="auto"/>
          <w:sz w:val="24"/>
          <w:szCs w:val="32"/>
          <w:highlight w:val="none"/>
          <w:lang w:eastAsia="zh-CN"/>
        </w:rPr>
        <w:t>响应文件</w:t>
      </w:r>
      <w:r>
        <w:rPr>
          <w:rFonts w:hint="eastAsia" w:ascii="宋体" w:hAnsi="宋体" w:eastAsia="宋体" w:cs="宋体"/>
          <w:b/>
          <w:bCs/>
          <w:color w:val="auto"/>
          <w:sz w:val="24"/>
          <w:szCs w:val="32"/>
          <w:highlight w:val="none"/>
        </w:rPr>
        <w:t>格式</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_Toc19692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13</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467DBC85">
      <w:pPr>
        <w:pStyle w:val="24"/>
        <w:keepNext w:val="0"/>
        <w:keepLines w:val="0"/>
        <w:pageBreakBefore w:val="0"/>
        <w:widowControl w:val="0"/>
        <w:tabs>
          <w:tab w:val="right" w:leader="dot" w:pos="8312"/>
        </w:tabs>
        <w:kinsoku/>
        <w:overflowPunct/>
        <w:bidi w:val="0"/>
        <w:spacing w:line="360" w:lineRule="auto"/>
        <w:rPr>
          <w:rFonts w:hint="eastAsia" w:ascii="宋体" w:hAnsi="宋体" w:eastAsia="宋体" w:cs="宋体"/>
          <w:b/>
          <w:bCs/>
          <w:color w:val="auto"/>
          <w:sz w:val="24"/>
          <w:szCs w:val="32"/>
          <w:highlight w:val="none"/>
          <w:lang w:val="en-US" w:eastAsia="zh-CN"/>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_Toc30462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第3章</w:t>
      </w:r>
      <w:r>
        <w:rPr>
          <w:rFonts w:hint="eastAsia" w:ascii="宋体" w:hAnsi="宋体" w:eastAsia="宋体" w:cs="宋体"/>
          <w:b/>
          <w:bCs/>
          <w:color w:val="auto"/>
          <w:sz w:val="24"/>
          <w:szCs w:val="32"/>
          <w:highlight w:val="none"/>
          <w:lang w:val="en-US" w:eastAsia="zh-CN"/>
        </w:rPr>
        <w:t xml:space="preserve"> </w:t>
      </w:r>
      <w:r>
        <w:rPr>
          <w:rFonts w:hint="eastAsia" w:ascii="宋体" w:hAnsi="宋体" w:eastAsia="宋体" w:cs="宋体"/>
          <w:b/>
          <w:bCs/>
          <w:color w:val="auto"/>
          <w:sz w:val="24"/>
          <w:szCs w:val="32"/>
          <w:highlight w:val="none"/>
          <w:lang w:eastAsia="zh-CN"/>
        </w:rPr>
        <w:t>招标公告</w:t>
      </w:r>
      <w:r>
        <w:rPr>
          <w:rFonts w:hint="eastAsia" w:ascii="宋体" w:hAnsi="宋体" w:eastAsia="宋体" w:cs="宋体"/>
          <w:b/>
          <w:bCs/>
          <w:color w:val="auto"/>
          <w:sz w:val="24"/>
          <w:szCs w:val="32"/>
          <w:highlight w:val="none"/>
        </w:rPr>
        <w:t xml:space="preserve"> </w:t>
      </w:r>
      <w:r>
        <w:rPr>
          <w:rFonts w:hint="eastAsia" w:ascii="宋体" w:hAnsi="宋体" w:eastAsia="宋体" w:cs="宋体"/>
          <w:b/>
          <w:bCs/>
          <w:color w:val="auto"/>
          <w:sz w:val="24"/>
          <w:szCs w:val="32"/>
          <w:highlight w:val="none"/>
        </w:rPr>
        <w:tab/>
      </w:r>
      <w:r>
        <w:rPr>
          <w:rFonts w:hint="eastAsia" w:ascii="宋体" w:hAnsi="宋体" w:cs="宋体"/>
          <w:b/>
          <w:bCs/>
          <w:color w:val="auto"/>
          <w:sz w:val="24"/>
          <w:szCs w:val="32"/>
          <w:highlight w:val="none"/>
          <w:lang w:val="en-US" w:eastAsia="zh-CN"/>
        </w:rPr>
        <w:t>3</w:t>
      </w:r>
      <w:r>
        <w:rPr>
          <w:rFonts w:hint="eastAsia" w:ascii="宋体" w:hAnsi="宋体" w:eastAsia="宋体" w:cs="宋体"/>
          <w:b/>
          <w:bCs/>
          <w:color w:val="auto"/>
          <w:kern w:val="0"/>
          <w:sz w:val="24"/>
          <w:szCs w:val="24"/>
          <w:highlight w:val="none"/>
        </w:rPr>
        <w:fldChar w:fldCharType="end"/>
      </w:r>
      <w:r>
        <w:rPr>
          <w:rFonts w:hint="eastAsia" w:ascii="宋体" w:hAnsi="宋体" w:cs="宋体"/>
          <w:b/>
          <w:bCs/>
          <w:color w:val="auto"/>
          <w:kern w:val="0"/>
          <w:sz w:val="24"/>
          <w:szCs w:val="24"/>
          <w:highlight w:val="none"/>
          <w:lang w:val="en-US" w:eastAsia="zh-CN"/>
        </w:rPr>
        <w:t>3</w:t>
      </w:r>
    </w:p>
    <w:p w14:paraId="555EE251">
      <w:pPr>
        <w:pStyle w:val="24"/>
        <w:keepNext w:val="0"/>
        <w:keepLines w:val="0"/>
        <w:pageBreakBefore w:val="0"/>
        <w:widowControl w:val="0"/>
        <w:tabs>
          <w:tab w:val="right" w:leader="dot" w:pos="8312"/>
        </w:tabs>
        <w:kinsoku/>
        <w:overflowPunct/>
        <w:bidi w:val="0"/>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_Toc20439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40"/>
          <w:highlight w:val="none"/>
        </w:rPr>
        <w:t xml:space="preserve">第4章 </w:t>
      </w:r>
      <w:r>
        <w:rPr>
          <w:rFonts w:hint="eastAsia" w:ascii="宋体" w:hAnsi="宋体" w:eastAsia="宋体" w:cs="宋体"/>
          <w:b/>
          <w:bCs/>
          <w:color w:val="auto"/>
          <w:sz w:val="24"/>
          <w:szCs w:val="32"/>
          <w:highlight w:val="none"/>
        </w:rPr>
        <w:t>投标人须知资料表</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_Toc20439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3</w:t>
      </w:r>
      <w:r>
        <w:rPr>
          <w:rFonts w:hint="eastAsia" w:ascii="宋体" w:hAnsi="宋体" w:cs="宋体"/>
          <w:b/>
          <w:bCs/>
          <w:color w:val="auto"/>
          <w:sz w:val="24"/>
          <w:szCs w:val="32"/>
          <w:highlight w:val="none"/>
          <w:lang w:val="en-US" w:eastAsia="zh-CN"/>
        </w:rPr>
        <w:t>5</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2D7FD520">
      <w:pPr>
        <w:pStyle w:val="24"/>
        <w:keepNext w:val="0"/>
        <w:keepLines w:val="0"/>
        <w:pageBreakBefore w:val="0"/>
        <w:widowControl w:val="0"/>
        <w:tabs>
          <w:tab w:val="right" w:leader="dot" w:pos="8312"/>
        </w:tabs>
        <w:kinsoku/>
        <w:overflowPunct/>
        <w:bidi w:val="0"/>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_Toc22779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 xml:space="preserve">第5章 </w:t>
      </w:r>
      <w:r>
        <w:rPr>
          <w:rFonts w:hint="eastAsia" w:ascii="宋体" w:hAnsi="宋体" w:cs="宋体"/>
          <w:b/>
          <w:bCs/>
          <w:color w:val="auto"/>
          <w:sz w:val="24"/>
          <w:szCs w:val="32"/>
          <w:highlight w:val="none"/>
          <w:lang w:eastAsia="zh-CN"/>
        </w:rPr>
        <w:t>服务需求一览表及项目要求</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PAGEREF _Toc22779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3</w:t>
      </w:r>
      <w:r>
        <w:rPr>
          <w:rFonts w:hint="eastAsia" w:ascii="宋体" w:hAnsi="宋体" w:cs="宋体"/>
          <w:b/>
          <w:bCs/>
          <w:color w:val="auto"/>
          <w:sz w:val="24"/>
          <w:szCs w:val="32"/>
          <w:highlight w:val="none"/>
          <w:lang w:val="en-US" w:eastAsia="zh-CN"/>
        </w:rPr>
        <w:t>7</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kern w:val="0"/>
          <w:sz w:val="24"/>
          <w:szCs w:val="24"/>
          <w:highlight w:val="none"/>
        </w:rPr>
        <w:fldChar w:fldCharType="end"/>
      </w:r>
    </w:p>
    <w:p w14:paraId="3E93B814">
      <w:pPr>
        <w:pStyle w:val="24"/>
        <w:keepNext w:val="0"/>
        <w:keepLines w:val="0"/>
        <w:pageBreakBefore w:val="0"/>
        <w:widowControl w:val="0"/>
        <w:tabs>
          <w:tab w:val="right" w:leader="dot" w:pos="8312"/>
        </w:tabs>
        <w:kinsoku/>
        <w:overflowPunct/>
        <w:bidi w:val="0"/>
        <w:spacing w:line="360" w:lineRule="auto"/>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_Toc23331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第6章 评标方法和标准</w:t>
      </w:r>
      <w:r>
        <w:rPr>
          <w:rFonts w:hint="eastAsia" w:ascii="宋体" w:hAnsi="宋体" w:eastAsia="宋体" w:cs="宋体"/>
          <w:b/>
          <w:bCs/>
          <w:color w:val="auto"/>
          <w:sz w:val="24"/>
          <w:szCs w:val="32"/>
          <w:highlight w:val="none"/>
        </w:rPr>
        <w:tab/>
      </w:r>
      <w:r>
        <w:rPr>
          <w:rFonts w:hint="eastAsia" w:ascii="宋体" w:hAnsi="宋体" w:cs="宋体"/>
          <w:b/>
          <w:bCs/>
          <w:color w:val="auto"/>
          <w:sz w:val="24"/>
          <w:szCs w:val="32"/>
          <w:highlight w:val="none"/>
          <w:lang w:val="en-US" w:eastAsia="zh-CN"/>
        </w:rPr>
        <w:t>4</w:t>
      </w:r>
      <w:r>
        <w:rPr>
          <w:rFonts w:hint="eastAsia" w:ascii="宋体" w:hAnsi="宋体" w:eastAsia="宋体" w:cs="宋体"/>
          <w:b/>
          <w:bCs/>
          <w:color w:val="auto"/>
          <w:kern w:val="0"/>
          <w:sz w:val="24"/>
          <w:szCs w:val="24"/>
          <w:highlight w:val="none"/>
        </w:rPr>
        <w:fldChar w:fldCharType="end"/>
      </w:r>
      <w:r>
        <w:rPr>
          <w:rFonts w:hint="eastAsia" w:ascii="宋体" w:hAnsi="宋体" w:cs="宋体"/>
          <w:b/>
          <w:bCs/>
          <w:color w:val="auto"/>
          <w:kern w:val="0"/>
          <w:sz w:val="24"/>
          <w:szCs w:val="24"/>
          <w:highlight w:val="none"/>
          <w:lang w:val="en-US" w:eastAsia="zh-CN"/>
        </w:rPr>
        <w:t>0</w:t>
      </w:r>
    </w:p>
    <w:p w14:paraId="09A9BA7D">
      <w:pPr>
        <w:pStyle w:val="24"/>
        <w:keepNext w:val="0"/>
        <w:keepLines w:val="0"/>
        <w:pageBreakBefore w:val="0"/>
        <w:widowControl w:val="0"/>
        <w:tabs>
          <w:tab w:val="right" w:leader="dot" w:pos="8312"/>
        </w:tabs>
        <w:kinsoku/>
        <w:overflowPunct/>
        <w:bidi w:val="0"/>
        <w:spacing w:line="360" w:lineRule="auto"/>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rPr>
        <w:fldChar w:fldCharType="begin"/>
      </w:r>
      <w:r>
        <w:rPr>
          <w:rFonts w:hint="eastAsia" w:ascii="宋体" w:hAnsi="宋体" w:eastAsia="宋体" w:cs="宋体"/>
          <w:b/>
          <w:bCs/>
          <w:color w:val="auto"/>
          <w:kern w:val="0"/>
          <w:sz w:val="24"/>
          <w:szCs w:val="24"/>
          <w:highlight w:val="none"/>
        </w:rPr>
        <w:instrText xml:space="preserve"> HYPERLINK \l _Toc23331 </w:instrText>
      </w:r>
      <w:r>
        <w:rPr>
          <w:rFonts w:hint="eastAsia" w:ascii="宋体" w:hAnsi="宋体" w:eastAsia="宋体" w:cs="宋体"/>
          <w:b/>
          <w:bCs/>
          <w:color w:val="auto"/>
          <w:kern w:val="0"/>
          <w:sz w:val="24"/>
          <w:szCs w:val="24"/>
          <w:highlight w:val="none"/>
        </w:rPr>
        <w:fldChar w:fldCharType="separate"/>
      </w:r>
      <w:r>
        <w:rPr>
          <w:rFonts w:hint="eastAsia" w:ascii="宋体" w:hAnsi="宋体" w:eastAsia="宋体" w:cs="宋体"/>
          <w:b/>
          <w:bCs/>
          <w:color w:val="auto"/>
          <w:sz w:val="24"/>
          <w:szCs w:val="32"/>
          <w:highlight w:val="none"/>
        </w:rPr>
        <w:t>第</w:t>
      </w:r>
      <w:r>
        <w:rPr>
          <w:rFonts w:hint="eastAsia" w:ascii="宋体" w:hAnsi="宋体" w:eastAsia="宋体" w:cs="宋体"/>
          <w:b/>
          <w:bCs/>
          <w:color w:val="auto"/>
          <w:sz w:val="24"/>
          <w:szCs w:val="32"/>
          <w:highlight w:val="none"/>
          <w:lang w:val="en-US" w:eastAsia="zh-CN"/>
        </w:rPr>
        <w:t>7</w:t>
      </w:r>
      <w:r>
        <w:rPr>
          <w:rFonts w:hint="eastAsia" w:ascii="宋体" w:hAnsi="宋体" w:eastAsia="宋体" w:cs="宋体"/>
          <w:b/>
          <w:bCs/>
          <w:color w:val="auto"/>
          <w:sz w:val="24"/>
          <w:szCs w:val="32"/>
          <w:highlight w:val="none"/>
        </w:rPr>
        <w:t xml:space="preserve">章 </w:t>
      </w:r>
      <w:r>
        <w:rPr>
          <w:rFonts w:hint="eastAsia" w:ascii="宋体" w:hAnsi="宋体" w:eastAsia="宋体" w:cs="宋体"/>
          <w:b/>
          <w:bCs/>
          <w:color w:val="auto"/>
          <w:sz w:val="24"/>
          <w:szCs w:val="32"/>
          <w:highlight w:val="none"/>
          <w:lang w:val="en-US" w:eastAsia="zh-CN"/>
        </w:rPr>
        <w:t>政府采购合同</w:t>
      </w:r>
      <w:r>
        <w:rPr>
          <w:rFonts w:hint="eastAsia" w:ascii="宋体" w:hAnsi="宋体" w:eastAsia="宋体" w:cs="宋体"/>
          <w:b/>
          <w:bCs/>
          <w:color w:val="auto"/>
          <w:sz w:val="24"/>
          <w:szCs w:val="32"/>
          <w:highlight w:val="none"/>
        </w:rPr>
        <w:tab/>
      </w:r>
      <w:r>
        <w:rPr>
          <w:rFonts w:hint="eastAsia" w:ascii="宋体" w:hAnsi="宋体" w:cs="宋体"/>
          <w:b/>
          <w:bCs/>
          <w:color w:val="auto"/>
          <w:sz w:val="24"/>
          <w:szCs w:val="32"/>
          <w:highlight w:val="none"/>
          <w:lang w:val="en-US" w:eastAsia="zh-CN"/>
        </w:rPr>
        <w:t>47</w:t>
      </w:r>
      <w:r>
        <w:rPr>
          <w:rFonts w:hint="eastAsia" w:ascii="宋体" w:hAnsi="宋体" w:eastAsia="宋体" w:cs="宋体"/>
          <w:b/>
          <w:bCs/>
          <w:color w:val="auto"/>
          <w:kern w:val="0"/>
          <w:sz w:val="24"/>
          <w:szCs w:val="24"/>
          <w:highlight w:val="none"/>
        </w:rPr>
        <w:fldChar w:fldCharType="end"/>
      </w:r>
    </w:p>
    <w:p w14:paraId="3A4CF9C8">
      <w:pPr>
        <w:pStyle w:val="24"/>
        <w:keepNext w:val="0"/>
        <w:keepLines w:val="0"/>
        <w:pageBreakBefore w:val="0"/>
        <w:widowControl w:val="0"/>
        <w:tabs>
          <w:tab w:val="right" w:leader="dot" w:pos="8312"/>
        </w:tabs>
        <w:kinsoku/>
        <w:overflowPunct/>
        <w:bidi w:val="0"/>
        <w:rPr>
          <w:rFonts w:hint="eastAsia" w:ascii="宋体" w:hAnsi="宋体" w:eastAsia="宋体" w:cs="宋体"/>
          <w:color w:val="auto"/>
          <w:kern w:val="0"/>
          <w:sz w:val="24"/>
          <w:szCs w:val="24"/>
          <w:highlight w:val="none"/>
        </w:rPr>
      </w:pPr>
    </w:p>
    <w:p w14:paraId="701A182F">
      <w:pPr>
        <w:keepNext w:val="0"/>
        <w:keepLines w:val="0"/>
        <w:pageBreakBefore w:val="0"/>
        <w:widowControl w:val="0"/>
        <w:kinsoku/>
        <w:overflowPunct/>
        <w:bidi w:val="0"/>
        <w:rPr>
          <w:rFonts w:hint="eastAsia" w:ascii="宋体" w:hAnsi="宋体" w:eastAsia="宋体" w:cs="宋体"/>
          <w:color w:val="auto"/>
          <w:highlight w:val="none"/>
        </w:rPr>
      </w:pPr>
    </w:p>
    <w:p w14:paraId="35B55421">
      <w:pPr>
        <w:bidi w:val="0"/>
        <w:rPr>
          <w:rFonts w:hint="eastAsia" w:ascii="Times New Roman" w:hAnsi="Times New Roman" w:eastAsia="宋体" w:cs="Times New Roman"/>
          <w:color w:val="auto"/>
          <w:kern w:val="2"/>
          <w:sz w:val="21"/>
          <w:szCs w:val="24"/>
          <w:lang w:val="en-US" w:eastAsia="zh-CN" w:bidi="ar-SA"/>
        </w:rPr>
      </w:pPr>
    </w:p>
    <w:p w14:paraId="1D5E9FBD">
      <w:pPr>
        <w:bidi w:val="0"/>
        <w:rPr>
          <w:rFonts w:hint="eastAsia"/>
          <w:color w:val="auto"/>
          <w:lang w:val="en-US" w:eastAsia="zh-CN"/>
        </w:rPr>
      </w:pPr>
    </w:p>
    <w:p w14:paraId="438E7CE8">
      <w:pPr>
        <w:bidi w:val="0"/>
        <w:rPr>
          <w:rFonts w:hint="eastAsia"/>
          <w:color w:val="auto"/>
          <w:lang w:val="en-US" w:eastAsia="zh-CN"/>
        </w:rPr>
      </w:pPr>
    </w:p>
    <w:p w14:paraId="19E1C5A7">
      <w:pPr>
        <w:bidi w:val="0"/>
        <w:rPr>
          <w:rFonts w:hint="eastAsia"/>
          <w:color w:val="auto"/>
          <w:lang w:val="en-US" w:eastAsia="zh-CN"/>
        </w:rPr>
      </w:pPr>
    </w:p>
    <w:p w14:paraId="3CBAF67F">
      <w:pPr>
        <w:bidi w:val="0"/>
        <w:rPr>
          <w:rFonts w:hint="eastAsia"/>
          <w:color w:val="auto"/>
          <w:lang w:val="en-US" w:eastAsia="zh-CN"/>
        </w:rPr>
      </w:pPr>
    </w:p>
    <w:p w14:paraId="3E1AC42E">
      <w:pPr>
        <w:bidi w:val="0"/>
        <w:rPr>
          <w:rFonts w:hint="eastAsia"/>
          <w:color w:val="auto"/>
          <w:lang w:val="en-US" w:eastAsia="zh-CN"/>
        </w:rPr>
      </w:pPr>
    </w:p>
    <w:p w14:paraId="12238BED">
      <w:pPr>
        <w:tabs>
          <w:tab w:val="right" w:pos="8504"/>
        </w:tabs>
        <w:bidi w:val="0"/>
        <w:jc w:val="left"/>
        <w:rPr>
          <w:rFonts w:hint="eastAsia"/>
          <w:color w:val="auto"/>
          <w:lang w:val="en-US" w:eastAsia="zh-CN"/>
        </w:rPr>
        <w:sectPr>
          <w:headerReference r:id="rId3" w:type="default"/>
          <w:footerReference r:id="rId4" w:type="default"/>
          <w:pgSz w:w="11906" w:h="16838"/>
          <w:pgMar w:top="1440" w:right="1701" w:bottom="1440" w:left="1701" w:header="851" w:footer="992" w:gutter="0"/>
          <w:pgBorders>
            <w:top w:val="none" w:sz="0" w:space="0"/>
            <w:left w:val="none" w:sz="0" w:space="0"/>
            <w:bottom w:val="none" w:sz="0" w:space="0"/>
            <w:right w:val="none" w:sz="0" w:space="0"/>
          </w:pgBorders>
          <w:pgNumType w:fmt="decimal" w:start="1"/>
          <w:cols w:space="720" w:num="1"/>
          <w:docGrid w:type="linesAndChars" w:linePitch="312" w:charSpace="0"/>
        </w:sectPr>
      </w:pPr>
      <w:r>
        <w:rPr>
          <w:rFonts w:hint="eastAsia"/>
          <w:color w:val="auto"/>
          <w:lang w:val="en-US" w:eastAsia="zh-CN"/>
        </w:rPr>
        <w:tab/>
      </w:r>
    </w:p>
    <w:p w14:paraId="1C276A20">
      <w:pPr>
        <w:pStyle w:val="2"/>
        <w:keepNext w:val="0"/>
        <w:keepLines w:val="0"/>
        <w:pageBreakBefore w:val="0"/>
        <w:widowControl w:val="0"/>
        <w:numPr>
          <w:ilvl w:val="0"/>
          <w:numId w:val="1"/>
        </w:numPr>
        <w:tabs>
          <w:tab w:val="left" w:pos="0"/>
          <w:tab w:val="clear" w:pos="3134"/>
        </w:tabs>
        <w:kinsoku/>
        <w:overflowPunct/>
        <w:bidi w:val="0"/>
        <w:spacing w:before="0" w:after="0" w:line="240" w:lineRule="atLeast"/>
        <w:ind w:left="4650" w:leftChars="0" w:hanging="3134" w:firstLineChars="0"/>
        <w:rPr>
          <w:rFonts w:hint="eastAsia" w:ascii="宋体" w:hAnsi="宋体" w:eastAsia="宋体" w:cs="宋体"/>
          <w:color w:val="auto"/>
          <w:highlight w:val="none"/>
        </w:rPr>
      </w:pPr>
      <w:r>
        <w:rPr>
          <w:rFonts w:hint="eastAsia" w:ascii="宋体" w:hAnsi="宋体" w:eastAsia="宋体" w:cs="宋体"/>
          <w:color w:val="auto"/>
          <w:kern w:val="0"/>
          <w:szCs w:val="21"/>
          <w:highlight w:val="none"/>
        </w:rPr>
        <w:fldChar w:fldCharType="end"/>
      </w:r>
      <w:bookmarkStart w:id="0" w:name="_Toc22782"/>
      <w:bookmarkStart w:id="1" w:name="_Toc25817"/>
      <w:bookmarkStart w:id="2" w:name="_Toc216582804"/>
      <w:bookmarkStart w:id="3" w:name="_Toc17230"/>
      <w:r>
        <w:rPr>
          <w:rFonts w:hint="eastAsia" w:ascii="宋体" w:hAnsi="宋体" w:eastAsia="宋体" w:cs="宋体"/>
          <w:color w:val="auto"/>
          <w:sz w:val="32"/>
          <w:szCs w:val="20"/>
          <w:highlight w:val="none"/>
        </w:rPr>
        <w:t xml:space="preserve"> </w:t>
      </w:r>
      <w:bookmarkStart w:id="4" w:name="_Toc515647756"/>
      <w:r>
        <w:rPr>
          <w:rFonts w:hint="eastAsia" w:ascii="宋体" w:hAnsi="宋体" w:eastAsia="宋体" w:cs="宋体"/>
          <w:color w:val="auto"/>
          <w:sz w:val="32"/>
          <w:szCs w:val="20"/>
          <w:highlight w:val="none"/>
        </w:rPr>
        <w:t>投标人须知</w:t>
      </w:r>
      <w:bookmarkEnd w:id="0"/>
      <w:bookmarkEnd w:id="1"/>
      <w:bookmarkEnd w:id="2"/>
      <w:bookmarkEnd w:id="3"/>
      <w:bookmarkEnd w:id="4"/>
    </w:p>
    <w:p w14:paraId="449CCE9F">
      <w:pPr>
        <w:pStyle w:val="3"/>
        <w:keepNext w:val="0"/>
        <w:keepLines w:val="0"/>
        <w:pageBreakBefore w:val="0"/>
        <w:widowControl w:val="0"/>
        <w:kinsoku/>
        <w:overflowPunct/>
        <w:bidi w:val="0"/>
        <w:spacing w:before="0" w:line="240" w:lineRule="atLeast"/>
        <w:ind w:left="1080" w:leftChars="257" w:hanging="540"/>
        <w:rPr>
          <w:rFonts w:hint="eastAsia" w:ascii="宋体" w:hAnsi="宋体" w:eastAsia="宋体" w:cs="宋体"/>
          <w:color w:val="auto"/>
          <w:highlight w:val="none"/>
        </w:rPr>
      </w:pPr>
      <w:bookmarkStart w:id="5" w:name="_Toc216582805"/>
      <w:bookmarkStart w:id="6" w:name="_Toc515647757"/>
      <w:bookmarkStart w:id="7" w:name="_Toc520356143"/>
      <w:bookmarkStart w:id="8" w:name="_Toc21215"/>
      <w:bookmarkStart w:id="9" w:name="_Toc21015"/>
      <w:bookmarkStart w:id="10" w:name="_Toc22145"/>
      <w:r>
        <w:rPr>
          <w:rFonts w:hint="eastAsia" w:ascii="宋体" w:hAnsi="宋体" w:eastAsia="宋体" w:cs="宋体"/>
          <w:color w:val="auto"/>
          <w:sz w:val="28"/>
          <w:highlight w:val="none"/>
        </w:rPr>
        <w:t xml:space="preserve">一   </w:t>
      </w:r>
      <w:bookmarkEnd w:id="5"/>
      <w:bookmarkEnd w:id="6"/>
      <w:bookmarkEnd w:id="7"/>
      <w:r>
        <w:rPr>
          <w:rFonts w:hint="eastAsia" w:ascii="宋体" w:hAnsi="宋体" w:eastAsia="宋体" w:cs="宋体"/>
          <w:color w:val="auto"/>
          <w:sz w:val="28"/>
          <w:highlight w:val="none"/>
        </w:rPr>
        <w:t>总 则</w:t>
      </w:r>
      <w:bookmarkEnd w:id="8"/>
      <w:bookmarkEnd w:id="9"/>
      <w:bookmarkEnd w:id="10"/>
    </w:p>
    <w:p w14:paraId="41948ACC">
      <w:pPr>
        <w:pStyle w:val="5"/>
        <w:keepNext w:val="0"/>
        <w:keepLines w:val="0"/>
        <w:pageBreakBefore w:val="0"/>
        <w:widowControl w:val="0"/>
        <w:kinsoku/>
        <w:overflowPunct/>
        <w:bidi w:val="0"/>
        <w:spacing w:before="0" w:after="0" w:line="240" w:lineRule="atLeast"/>
        <w:rPr>
          <w:rFonts w:hint="eastAsia" w:ascii="宋体" w:hAnsi="宋体" w:eastAsia="宋体" w:cs="宋体"/>
          <w:color w:val="auto"/>
          <w:highlight w:val="none"/>
          <w:u w:val="none"/>
        </w:rPr>
      </w:pPr>
      <w:bookmarkStart w:id="11" w:name="_Toc520356144"/>
      <w:bookmarkStart w:id="12" w:name="_Toc32189"/>
      <w:bookmarkStart w:id="13" w:name="_Toc32623"/>
      <w:bookmarkStart w:id="14" w:name="_Toc515647758"/>
      <w:bookmarkStart w:id="15" w:name="_Toc5999"/>
      <w:r>
        <w:rPr>
          <w:rFonts w:hint="eastAsia" w:ascii="宋体" w:hAnsi="宋体" w:eastAsia="宋体" w:cs="宋体"/>
          <w:color w:val="auto"/>
          <w:highlight w:val="none"/>
          <w:u w:val="none"/>
        </w:rPr>
        <w:t>1.采购人、采购代理机构及</w:t>
      </w:r>
      <w:bookmarkEnd w:id="11"/>
      <w:r>
        <w:rPr>
          <w:rFonts w:hint="eastAsia" w:ascii="宋体" w:hAnsi="宋体" w:eastAsia="宋体" w:cs="宋体"/>
          <w:color w:val="auto"/>
          <w:highlight w:val="none"/>
          <w:u w:val="none"/>
        </w:rPr>
        <w:t>投标人</w:t>
      </w:r>
      <w:bookmarkEnd w:id="12"/>
      <w:bookmarkEnd w:id="13"/>
      <w:bookmarkEnd w:id="14"/>
      <w:bookmarkEnd w:id="15"/>
    </w:p>
    <w:p w14:paraId="5E38E19E">
      <w:pPr>
        <w:numPr>
          <w:ilvl w:val="1"/>
          <w:numId w:val="0"/>
        </w:numPr>
        <w:tabs>
          <w:tab w:val="left" w:pos="0"/>
        </w:tabs>
        <w:spacing w:line="240" w:lineRule="atLeast"/>
        <w:ind w:left="840" w:hanging="840" w:hangingChars="350"/>
        <w:rPr>
          <w:rFonts w:hint="eastAsia" w:ascii="宋体" w:hAnsi="宋体" w:cs="宋体"/>
          <w:color w:val="auto"/>
          <w:sz w:val="24"/>
          <w:highlight w:val="none"/>
        </w:rPr>
      </w:pPr>
      <w:bookmarkStart w:id="16" w:name="_Toc4322"/>
      <w:bookmarkStart w:id="17" w:name="_Toc515647759"/>
      <w:bookmarkStart w:id="18" w:name="_Toc5286"/>
      <w:bookmarkStart w:id="19" w:name="_Toc12139"/>
      <w:r>
        <w:rPr>
          <w:rFonts w:hint="eastAsia" w:ascii="宋体" w:hAnsi="宋体" w:cs="宋体"/>
          <w:color w:val="auto"/>
          <w:sz w:val="24"/>
          <w:highlight w:val="none"/>
        </w:rPr>
        <w:t>1.1    采购人：是指依法开展政府采购活动的国家机关、事业单位、团体组织。</w:t>
      </w:r>
    </w:p>
    <w:p w14:paraId="13BA6B34">
      <w:pPr>
        <w:tabs>
          <w:tab w:val="left" w:pos="0"/>
        </w:tabs>
        <w:spacing w:line="240" w:lineRule="atLeast"/>
        <w:ind w:firstLine="840" w:firstLineChars="350"/>
        <w:rPr>
          <w:rFonts w:hint="eastAsia" w:ascii="宋体" w:hAnsi="宋体" w:cs="宋体"/>
          <w:color w:val="auto"/>
          <w:sz w:val="24"/>
          <w:highlight w:val="none"/>
        </w:rPr>
      </w:pPr>
      <w:r>
        <w:rPr>
          <w:rFonts w:hint="eastAsia" w:ascii="宋体" w:hAnsi="宋体" w:cs="宋体"/>
          <w:color w:val="auto"/>
          <w:sz w:val="24"/>
          <w:highlight w:val="none"/>
        </w:rPr>
        <w:t>本项目的采购人见</w:t>
      </w:r>
      <w:r>
        <w:rPr>
          <w:rFonts w:hint="eastAsia" w:ascii="宋体" w:hAnsi="宋体" w:cs="宋体"/>
          <w:color w:val="auto"/>
          <w:sz w:val="24"/>
          <w:highlight w:val="none"/>
          <w:u w:val="single"/>
          <w:lang w:eastAsia="zh-CN"/>
        </w:rPr>
        <w:t>投标人须知资料表</w:t>
      </w:r>
      <w:r>
        <w:rPr>
          <w:rFonts w:hint="eastAsia" w:ascii="宋体" w:hAnsi="宋体" w:cs="宋体"/>
          <w:color w:val="auto"/>
          <w:sz w:val="24"/>
          <w:highlight w:val="none"/>
        </w:rPr>
        <w:t>。</w:t>
      </w:r>
    </w:p>
    <w:p w14:paraId="69A5D117">
      <w:pPr>
        <w:numPr>
          <w:ilvl w:val="1"/>
          <w:numId w:val="0"/>
        </w:numPr>
        <w:tabs>
          <w:tab w:val="left" w:pos="0"/>
        </w:tabs>
        <w:spacing w:line="240" w:lineRule="atLeast"/>
        <w:ind w:left="840" w:hanging="840" w:hangingChars="350"/>
        <w:rPr>
          <w:rFonts w:hint="eastAsia" w:ascii="宋体" w:hAnsi="宋体" w:cs="宋体"/>
          <w:color w:val="auto"/>
          <w:sz w:val="24"/>
          <w:highlight w:val="none"/>
        </w:rPr>
      </w:pPr>
      <w:r>
        <w:rPr>
          <w:rFonts w:hint="eastAsia" w:ascii="宋体" w:hAnsi="宋体" w:cs="宋体"/>
          <w:color w:val="auto"/>
          <w:sz w:val="24"/>
          <w:highlight w:val="none"/>
        </w:rPr>
        <w:t>1.2    采购代理机构：是指在集中采购机构或从事采购代理业务的社会中介机构。本项目的采购代理机构见</w:t>
      </w:r>
      <w:r>
        <w:rPr>
          <w:rFonts w:hint="eastAsia" w:ascii="宋体" w:hAnsi="宋体" w:cs="宋体"/>
          <w:color w:val="auto"/>
          <w:sz w:val="24"/>
          <w:highlight w:val="none"/>
          <w:u w:val="single"/>
          <w:lang w:eastAsia="zh-CN"/>
        </w:rPr>
        <w:t>投标人须知资料表</w:t>
      </w:r>
      <w:r>
        <w:rPr>
          <w:rFonts w:hint="eastAsia" w:ascii="宋体" w:hAnsi="宋体" w:cs="宋体"/>
          <w:color w:val="auto"/>
          <w:sz w:val="24"/>
          <w:highlight w:val="none"/>
        </w:rPr>
        <w:t>。</w:t>
      </w:r>
    </w:p>
    <w:p w14:paraId="5367A920">
      <w:pPr>
        <w:numPr>
          <w:ilvl w:val="1"/>
          <w:numId w:val="0"/>
        </w:numPr>
        <w:spacing w:line="240" w:lineRule="atLeast"/>
        <w:ind w:left="840" w:hanging="840" w:hangingChars="350"/>
        <w:rPr>
          <w:rFonts w:hint="eastAsia" w:ascii="宋体" w:hAnsi="宋体" w:cs="宋体"/>
          <w:color w:val="auto"/>
          <w:sz w:val="24"/>
          <w:highlight w:val="none"/>
        </w:rPr>
      </w:pPr>
      <w:r>
        <w:rPr>
          <w:rFonts w:hint="eastAsia" w:ascii="宋体" w:hAnsi="宋体" w:cs="宋体"/>
          <w:color w:val="auto"/>
          <w:sz w:val="24"/>
          <w:highlight w:val="none"/>
        </w:rPr>
        <w:t xml:space="preserve">1.3    </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：是指向采购人提供服务、工程或者服务的法人、非法人组织或者自然人。本项目的</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及其服务须满足以下条件：</w:t>
      </w:r>
    </w:p>
    <w:p w14:paraId="20F3CEBA">
      <w:pPr>
        <w:spacing w:line="240" w:lineRule="atLeast"/>
        <w:ind w:left="840" w:hanging="840" w:hangingChars="350"/>
        <w:rPr>
          <w:rFonts w:hint="eastAsia" w:ascii="宋体" w:hAnsi="宋体" w:cs="宋体"/>
          <w:color w:val="auto"/>
          <w:sz w:val="24"/>
          <w:highlight w:val="none"/>
        </w:rPr>
      </w:pPr>
      <w:r>
        <w:rPr>
          <w:rFonts w:hint="eastAsia" w:ascii="宋体" w:hAnsi="宋体" w:cs="宋体"/>
          <w:color w:val="auto"/>
          <w:sz w:val="24"/>
          <w:highlight w:val="none"/>
        </w:rPr>
        <w:t>1.3.1</w:t>
      </w:r>
      <w:r>
        <w:rPr>
          <w:rFonts w:hint="eastAsia" w:ascii="宋体" w:hAnsi="宋体" w:cs="宋体"/>
          <w:color w:val="auto"/>
          <w:sz w:val="24"/>
          <w:highlight w:val="none"/>
        </w:rPr>
        <w:tab/>
      </w:r>
      <w:r>
        <w:rPr>
          <w:rFonts w:hint="eastAsia" w:ascii="宋体" w:hAnsi="宋体" w:cs="宋体"/>
          <w:color w:val="auto"/>
          <w:sz w:val="24"/>
          <w:highlight w:val="none"/>
        </w:rPr>
        <w:t>在中华人民共和国境内注册，能够独立承担民事责任，有生产或供应能力的本国</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w:t>
      </w:r>
    </w:p>
    <w:p w14:paraId="041640DF">
      <w:pPr>
        <w:spacing w:line="240" w:lineRule="atLeast"/>
        <w:ind w:left="840" w:hanging="840" w:hangingChars="350"/>
        <w:rPr>
          <w:rFonts w:hint="eastAsia" w:ascii="宋体" w:hAnsi="宋体" w:cs="宋体"/>
          <w:color w:val="auto"/>
          <w:sz w:val="24"/>
          <w:highlight w:val="none"/>
        </w:rPr>
      </w:pPr>
      <w:r>
        <w:rPr>
          <w:rFonts w:hint="eastAsia" w:ascii="宋体" w:hAnsi="宋体" w:cs="宋体"/>
          <w:color w:val="auto"/>
          <w:sz w:val="24"/>
          <w:highlight w:val="none"/>
        </w:rPr>
        <w:t>1.3.2  具备《中华人民共和国政府采购法》第二十二条关于</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条件的规定，遵守本项目采购人本级和上级财政部门政府采购的有关规定。</w:t>
      </w:r>
    </w:p>
    <w:p w14:paraId="1C05AD27">
      <w:pPr>
        <w:spacing w:line="240" w:lineRule="atLeast"/>
        <w:ind w:left="840" w:hanging="840" w:hangingChars="350"/>
        <w:rPr>
          <w:rFonts w:hint="eastAsia" w:ascii="宋体" w:hAnsi="宋体" w:cs="宋体"/>
          <w:color w:val="auto"/>
          <w:sz w:val="24"/>
          <w:highlight w:val="none"/>
        </w:rPr>
      </w:pPr>
      <w:r>
        <w:rPr>
          <w:rFonts w:hint="eastAsia" w:ascii="宋体" w:hAnsi="宋体" w:cs="宋体"/>
          <w:color w:val="auto"/>
          <w:sz w:val="24"/>
          <w:highlight w:val="none"/>
        </w:rPr>
        <w:t>1.3.3  以采购代理机构认可的方式获得了本项目的</w:t>
      </w:r>
      <w:r>
        <w:rPr>
          <w:rFonts w:hint="eastAsia" w:ascii="宋体" w:hAnsi="宋体" w:cs="宋体"/>
          <w:color w:val="auto"/>
          <w:sz w:val="24"/>
          <w:highlight w:val="none"/>
          <w:lang w:eastAsia="zh-CN"/>
        </w:rPr>
        <w:t>磋商文件</w:t>
      </w:r>
      <w:r>
        <w:rPr>
          <w:rFonts w:hint="eastAsia" w:ascii="宋体" w:hAnsi="宋体" w:cs="宋体"/>
          <w:color w:val="auto"/>
          <w:sz w:val="24"/>
          <w:highlight w:val="none"/>
        </w:rPr>
        <w:t>。</w:t>
      </w:r>
    </w:p>
    <w:p w14:paraId="5C54DB16">
      <w:pPr>
        <w:spacing w:line="240" w:lineRule="atLeast"/>
        <w:ind w:left="840" w:hanging="840" w:hangingChars="350"/>
        <w:rPr>
          <w:rFonts w:hint="eastAsia" w:ascii="宋体" w:hAnsi="宋体" w:cs="宋体"/>
          <w:color w:val="auto"/>
          <w:sz w:val="24"/>
          <w:highlight w:val="none"/>
        </w:rPr>
      </w:pPr>
      <w:r>
        <w:rPr>
          <w:rFonts w:hint="eastAsia" w:ascii="宋体" w:hAnsi="宋体" w:cs="宋体"/>
          <w:color w:val="auto"/>
          <w:sz w:val="24"/>
          <w:highlight w:val="none"/>
        </w:rPr>
        <w:t>1.3.4  符合</w:t>
      </w:r>
      <w:r>
        <w:rPr>
          <w:rFonts w:hint="eastAsia" w:ascii="宋体" w:hAnsi="宋体" w:cs="宋体"/>
          <w:color w:val="auto"/>
          <w:sz w:val="24"/>
          <w:highlight w:val="none"/>
          <w:u w:val="single"/>
          <w:lang w:eastAsia="zh-CN"/>
        </w:rPr>
        <w:t>投标人须知资料表</w:t>
      </w:r>
      <w:r>
        <w:rPr>
          <w:rFonts w:hint="eastAsia" w:ascii="宋体" w:hAnsi="宋体" w:cs="宋体"/>
          <w:color w:val="auto"/>
          <w:sz w:val="24"/>
          <w:highlight w:val="none"/>
        </w:rPr>
        <w:t>中规定的其他要求。</w:t>
      </w:r>
    </w:p>
    <w:p w14:paraId="61329DD0">
      <w:pPr>
        <w:spacing w:line="240" w:lineRule="atLeast"/>
        <w:ind w:left="840" w:hanging="840" w:hangingChars="350"/>
        <w:rPr>
          <w:rFonts w:hint="eastAsia" w:ascii="宋体" w:hAnsi="宋体" w:cs="宋体"/>
          <w:color w:val="auto"/>
          <w:sz w:val="24"/>
          <w:highlight w:val="none"/>
        </w:rPr>
      </w:pPr>
      <w:r>
        <w:rPr>
          <w:rFonts w:hint="eastAsia" w:ascii="宋体" w:hAnsi="宋体" w:cs="宋体"/>
          <w:color w:val="auto"/>
          <w:sz w:val="24"/>
          <w:highlight w:val="none"/>
        </w:rPr>
        <w:t>1.3.5  若</w:t>
      </w:r>
      <w:r>
        <w:rPr>
          <w:rFonts w:hint="eastAsia" w:ascii="宋体" w:hAnsi="宋体" w:cs="宋体"/>
          <w:color w:val="auto"/>
          <w:sz w:val="24"/>
          <w:highlight w:val="none"/>
          <w:u w:val="single"/>
          <w:lang w:eastAsia="zh-CN"/>
        </w:rPr>
        <w:t>投标人须知资料表</w:t>
      </w:r>
      <w:r>
        <w:rPr>
          <w:rFonts w:hint="eastAsia" w:ascii="宋体" w:hAnsi="宋体" w:cs="宋体"/>
          <w:color w:val="auto"/>
          <w:sz w:val="24"/>
          <w:highlight w:val="none"/>
        </w:rPr>
        <w:t>中写明允许采购进口产品，</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应保证所投产品可履行合法报通关手续进入中国关境内。若</w:t>
      </w:r>
      <w:r>
        <w:rPr>
          <w:rFonts w:hint="eastAsia" w:ascii="宋体" w:hAnsi="宋体" w:cs="宋体"/>
          <w:color w:val="auto"/>
          <w:sz w:val="24"/>
          <w:highlight w:val="none"/>
          <w:u w:val="single"/>
          <w:lang w:eastAsia="zh-CN"/>
        </w:rPr>
        <w:t>投标人须知资料表</w:t>
      </w:r>
      <w:r>
        <w:rPr>
          <w:rFonts w:hint="eastAsia" w:ascii="宋体" w:hAnsi="宋体" w:cs="宋体"/>
          <w:color w:val="auto"/>
          <w:sz w:val="24"/>
          <w:highlight w:val="none"/>
        </w:rPr>
        <w:t>中未写明允许采购进口产品，如</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所投产品为进口产品，其</w:t>
      </w:r>
      <w:r>
        <w:rPr>
          <w:rFonts w:hint="eastAsia" w:ascii="宋体" w:hAnsi="宋体" w:cs="宋体"/>
          <w:color w:val="auto"/>
          <w:sz w:val="24"/>
          <w:highlight w:val="none"/>
          <w:lang w:val="en-US" w:eastAsia="zh-CN"/>
        </w:rPr>
        <w:t>投标</w:t>
      </w:r>
      <w:r>
        <w:rPr>
          <w:rFonts w:hint="eastAsia" w:ascii="宋体" w:hAnsi="宋体" w:cs="宋体"/>
          <w:color w:val="auto"/>
          <w:sz w:val="24"/>
          <w:highlight w:val="none"/>
        </w:rPr>
        <w:t>将被认定为</w:t>
      </w:r>
      <w:r>
        <w:rPr>
          <w:rFonts w:hint="eastAsia" w:ascii="宋体" w:hAnsi="宋体" w:cs="宋体"/>
          <w:b/>
          <w:bCs/>
          <w:color w:val="auto"/>
          <w:sz w:val="24"/>
          <w:highlight w:val="none"/>
          <w:lang w:eastAsia="zh-CN"/>
        </w:rPr>
        <w:t>投标无效</w:t>
      </w:r>
      <w:r>
        <w:rPr>
          <w:rFonts w:hint="eastAsia" w:ascii="宋体" w:hAnsi="宋体" w:cs="宋体"/>
          <w:color w:val="auto"/>
          <w:sz w:val="24"/>
          <w:highlight w:val="none"/>
        </w:rPr>
        <w:t>。</w:t>
      </w:r>
    </w:p>
    <w:p w14:paraId="083A0128">
      <w:pPr>
        <w:spacing w:line="240" w:lineRule="atLeast"/>
        <w:ind w:left="840" w:hanging="840" w:hangingChars="350"/>
        <w:rPr>
          <w:rFonts w:hint="eastAsia" w:ascii="宋体" w:hAnsi="宋体" w:cs="宋体"/>
          <w:color w:val="auto"/>
          <w:sz w:val="24"/>
          <w:highlight w:val="none"/>
        </w:rPr>
      </w:pPr>
      <w:r>
        <w:rPr>
          <w:rFonts w:hint="eastAsia" w:ascii="宋体" w:hAnsi="宋体" w:cs="宋体"/>
          <w:color w:val="auto"/>
          <w:sz w:val="24"/>
          <w:highlight w:val="none"/>
        </w:rPr>
        <w:t>1.3.6  若</w:t>
      </w:r>
      <w:r>
        <w:rPr>
          <w:rFonts w:hint="eastAsia" w:ascii="宋体" w:hAnsi="宋体" w:cs="宋体"/>
          <w:color w:val="auto"/>
          <w:sz w:val="24"/>
          <w:highlight w:val="none"/>
          <w:u w:val="single"/>
          <w:lang w:eastAsia="zh-CN"/>
        </w:rPr>
        <w:t>投标人须知资料表</w:t>
      </w:r>
      <w:r>
        <w:rPr>
          <w:rFonts w:hint="eastAsia" w:ascii="宋体" w:hAnsi="宋体" w:cs="宋体"/>
          <w:color w:val="auto"/>
          <w:sz w:val="24"/>
          <w:highlight w:val="none"/>
        </w:rPr>
        <w:t>中写明专门面向中小企业采购的，如</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为非中小企业且所投产品为非中小企业产品，其</w:t>
      </w:r>
      <w:r>
        <w:rPr>
          <w:rFonts w:hint="eastAsia" w:ascii="宋体" w:hAnsi="宋体" w:cs="宋体"/>
          <w:color w:val="auto"/>
          <w:sz w:val="24"/>
          <w:highlight w:val="none"/>
          <w:lang w:val="en-US" w:eastAsia="zh-CN"/>
        </w:rPr>
        <w:t>投标</w:t>
      </w:r>
      <w:r>
        <w:rPr>
          <w:rFonts w:hint="eastAsia" w:ascii="宋体" w:hAnsi="宋体" w:cs="宋体"/>
          <w:color w:val="auto"/>
          <w:sz w:val="24"/>
          <w:highlight w:val="none"/>
        </w:rPr>
        <w:t>将被认定为</w:t>
      </w:r>
      <w:r>
        <w:rPr>
          <w:rFonts w:hint="eastAsia" w:ascii="宋体" w:hAnsi="宋体" w:cs="宋体"/>
          <w:b/>
          <w:bCs/>
          <w:color w:val="auto"/>
          <w:sz w:val="24"/>
          <w:highlight w:val="none"/>
          <w:lang w:eastAsia="zh-CN"/>
        </w:rPr>
        <w:t>投标无效</w:t>
      </w:r>
      <w:r>
        <w:rPr>
          <w:rFonts w:hint="eastAsia" w:ascii="宋体" w:hAnsi="宋体" w:cs="宋体"/>
          <w:color w:val="auto"/>
          <w:sz w:val="24"/>
          <w:highlight w:val="none"/>
        </w:rPr>
        <w:t>。</w:t>
      </w:r>
    </w:p>
    <w:p w14:paraId="04BA5996">
      <w:pPr>
        <w:keepNext w:val="0"/>
        <w:keepLines w:val="0"/>
        <w:pageBreakBefore w:val="0"/>
        <w:widowControl w:val="0"/>
        <w:kinsoku/>
        <w:wordWrap/>
        <w:overflowPunct/>
        <w:topLinePunct w:val="0"/>
        <w:autoSpaceDE/>
        <w:autoSpaceDN/>
        <w:bidi w:val="0"/>
        <w:adjustRightInd/>
        <w:snapToGrid/>
        <w:spacing w:line="240" w:lineRule="atLeast"/>
        <w:ind w:left="90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1.4   </w:t>
      </w:r>
      <w:r>
        <w:rPr>
          <w:rFonts w:hint="eastAsia" w:ascii="宋体" w:hAnsi="宋体" w:cs="宋体"/>
          <w:color w:val="auto"/>
          <w:sz w:val="24"/>
          <w:highlight w:val="none"/>
          <w:lang w:val="en-US" w:eastAsia="zh-CN"/>
        </w:rPr>
        <w:t xml:space="preserve"> </w:t>
      </w:r>
      <w:r>
        <w:rPr>
          <w:rFonts w:hint="eastAsia" w:ascii="宋体" w:hAnsi="宋体" w:eastAsia="宋体" w:cs="宋体"/>
          <w:b/>
          <w:bCs/>
          <w:color w:val="auto"/>
          <w:sz w:val="24"/>
          <w:highlight w:val="none"/>
        </w:rPr>
        <w:t>本项目不允许联合体投标。</w:t>
      </w:r>
    </w:p>
    <w:p w14:paraId="78133DF1">
      <w:pPr>
        <w:spacing w:line="240" w:lineRule="atLeast"/>
        <w:ind w:left="840" w:hanging="840" w:hangingChars="350"/>
        <w:rPr>
          <w:rFonts w:hint="eastAsia" w:ascii="宋体" w:hAnsi="宋体" w:cs="宋体"/>
          <w:color w:val="auto"/>
          <w:sz w:val="24"/>
          <w:highlight w:val="none"/>
        </w:rPr>
      </w:pPr>
      <w:r>
        <w:rPr>
          <w:rFonts w:hint="eastAsia" w:ascii="宋体" w:hAnsi="宋体" w:cs="宋体"/>
          <w:color w:val="auto"/>
          <w:sz w:val="24"/>
          <w:highlight w:val="none"/>
        </w:rPr>
        <w:t>1.5    单位负责人为同一人或者存在直接控股、管理关系的不同</w:t>
      </w:r>
      <w:r>
        <w:rPr>
          <w:rFonts w:hint="eastAsia" w:ascii="宋体" w:hAnsi="宋体" w:cs="宋体"/>
          <w:color w:val="auto"/>
          <w:sz w:val="24"/>
          <w:highlight w:val="none"/>
          <w:lang w:val="en-US" w:eastAsia="zh-CN"/>
        </w:rPr>
        <w:t>投标人</w:t>
      </w:r>
      <w:r>
        <w:rPr>
          <w:rFonts w:hint="eastAsia" w:ascii="宋体" w:hAnsi="宋体" w:cs="宋体"/>
          <w:color w:val="auto"/>
          <w:sz w:val="24"/>
          <w:highlight w:val="none"/>
        </w:rPr>
        <w:t>，其相关</w:t>
      </w:r>
      <w:r>
        <w:rPr>
          <w:rFonts w:hint="eastAsia" w:ascii="宋体" w:hAnsi="宋体" w:cs="宋体"/>
          <w:color w:val="auto"/>
          <w:sz w:val="24"/>
          <w:highlight w:val="none"/>
          <w:lang w:val="en-US" w:eastAsia="zh-CN"/>
        </w:rPr>
        <w:t>投标</w:t>
      </w:r>
      <w:r>
        <w:rPr>
          <w:rFonts w:hint="eastAsia" w:ascii="宋体" w:hAnsi="宋体" w:cs="宋体"/>
          <w:color w:val="auto"/>
          <w:sz w:val="24"/>
          <w:highlight w:val="none"/>
        </w:rPr>
        <w:t>将被认定为</w:t>
      </w:r>
      <w:r>
        <w:rPr>
          <w:rFonts w:hint="eastAsia" w:ascii="宋体" w:hAnsi="宋体" w:cs="宋体"/>
          <w:b/>
          <w:bCs/>
          <w:color w:val="auto"/>
          <w:sz w:val="24"/>
          <w:highlight w:val="none"/>
          <w:lang w:eastAsia="zh-CN"/>
        </w:rPr>
        <w:t>投标无效</w:t>
      </w:r>
      <w:r>
        <w:rPr>
          <w:rFonts w:hint="eastAsia" w:ascii="宋体" w:hAnsi="宋体" w:cs="宋体"/>
          <w:color w:val="auto"/>
          <w:sz w:val="24"/>
          <w:highlight w:val="none"/>
        </w:rPr>
        <w:t>。</w:t>
      </w:r>
    </w:p>
    <w:p w14:paraId="40186BA3">
      <w:pPr>
        <w:spacing w:line="240" w:lineRule="atLeast"/>
        <w:ind w:left="840" w:hanging="840" w:hangingChars="350"/>
        <w:rPr>
          <w:rFonts w:hint="eastAsia" w:ascii="宋体" w:hAnsi="宋体" w:cs="宋体"/>
          <w:color w:val="auto"/>
          <w:sz w:val="24"/>
          <w:highlight w:val="none"/>
        </w:rPr>
      </w:pPr>
      <w:r>
        <w:rPr>
          <w:rFonts w:hint="eastAsia" w:ascii="宋体" w:hAnsi="宋体" w:cs="宋体"/>
          <w:color w:val="auto"/>
          <w:sz w:val="24"/>
          <w:highlight w:val="none"/>
        </w:rPr>
        <w:t>1.6    为本项目提供过整体设计、规范编制或者项目管理、监理、检测等要求的</w:t>
      </w:r>
      <w:r>
        <w:rPr>
          <w:rFonts w:hint="eastAsia" w:ascii="宋体" w:hAnsi="宋体" w:cs="宋体"/>
          <w:color w:val="auto"/>
          <w:sz w:val="24"/>
          <w:highlight w:val="none"/>
          <w:lang w:val="en-US" w:eastAsia="zh-CN"/>
        </w:rPr>
        <w:t>投标人</w:t>
      </w:r>
      <w:r>
        <w:rPr>
          <w:rFonts w:hint="eastAsia" w:ascii="宋体" w:hAnsi="宋体" w:cs="宋体"/>
          <w:color w:val="auto"/>
          <w:sz w:val="24"/>
          <w:highlight w:val="none"/>
        </w:rPr>
        <w:t>，不得再参加本项目上述服务以外的其他采购活动。否则其</w:t>
      </w:r>
      <w:r>
        <w:rPr>
          <w:rFonts w:hint="eastAsia" w:ascii="宋体" w:hAnsi="宋体" w:cs="宋体"/>
          <w:color w:val="auto"/>
          <w:sz w:val="24"/>
          <w:highlight w:val="none"/>
          <w:lang w:val="en-US" w:eastAsia="zh-CN"/>
        </w:rPr>
        <w:t>投标</w:t>
      </w:r>
      <w:r>
        <w:rPr>
          <w:rFonts w:hint="eastAsia" w:ascii="宋体" w:hAnsi="宋体" w:cs="宋体"/>
          <w:color w:val="auto"/>
          <w:sz w:val="24"/>
          <w:highlight w:val="none"/>
        </w:rPr>
        <w:t>将被认定为</w:t>
      </w:r>
      <w:r>
        <w:rPr>
          <w:rFonts w:hint="eastAsia" w:ascii="宋体" w:hAnsi="宋体" w:cs="宋体"/>
          <w:b/>
          <w:bCs/>
          <w:color w:val="auto"/>
          <w:sz w:val="24"/>
          <w:highlight w:val="none"/>
          <w:lang w:eastAsia="zh-CN"/>
        </w:rPr>
        <w:t>投标无效</w:t>
      </w:r>
      <w:r>
        <w:rPr>
          <w:rFonts w:hint="eastAsia" w:ascii="宋体" w:hAnsi="宋体" w:cs="宋体"/>
          <w:color w:val="auto"/>
          <w:sz w:val="24"/>
          <w:highlight w:val="none"/>
        </w:rPr>
        <w:t>。</w:t>
      </w:r>
    </w:p>
    <w:p w14:paraId="106BF099">
      <w:pPr>
        <w:spacing w:line="240" w:lineRule="atLeast"/>
        <w:ind w:left="840" w:hanging="840" w:hangingChars="350"/>
        <w:rPr>
          <w:rFonts w:hint="eastAsia" w:ascii="宋体" w:hAnsi="宋体" w:cs="宋体"/>
          <w:color w:val="auto"/>
          <w:sz w:val="24"/>
          <w:highlight w:val="none"/>
        </w:rPr>
      </w:pPr>
      <w:r>
        <w:rPr>
          <w:rFonts w:hint="eastAsia" w:ascii="宋体" w:hAnsi="宋体" w:cs="宋体"/>
          <w:color w:val="auto"/>
          <w:sz w:val="24"/>
          <w:highlight w:val="none"/>
        </w:rPr>
        <w:t>1.7</w:t>
      </w:r>
      <w:r>
        <w:rPr>
          <w:rFonts w:hint="eastAsia" w:ascii="宋体" w:hAnsi="宋体" w:cs="宋体"/>
          <w:color w:val="auto"/>
          <w:sz w:val="24"/>
          <w:highlight w:val="none"/>
        </w:rPr>
        <w:tab/>
      </w:r>
      <w:r>
        <w:rPr>
          <w:rFonts w:hint="eastAsia" w:ascii="宋体" w:hAnsi="宋体" w:eastAsia="宋体" w:cs="宋体"/>
          <w:color w:val="auto"/>
          <w:sz w:val="24"/>
          <w:highlight w:val="none"/>
        </w:rPr>
        <w:t>投标人在投标过程中不得向采购人提供或给予影响其正常决策行为的任何有价值物品或服务。一经发现，其投标将被认定为</w:t>
      </w:r>
      <w:r>
        <w:rPr>
          <w:rFonts w:hint="eastAsia" w:ascii="宋体" w:hAnsi="宋体" w:eastAsia="宋体" w:cs="宋体"/>
          <w:b/>
          <w:bCs/>
          <w:color w:val="auto"/>
          <w:sz w:val="24"/>
          <w:highlight w:val="none"/>
          <w:lang w:eastAsia="zh-CN"/>
        </w:rPr>
        <w:t>投</w:t>
      </w:r>
      <w:r>
        <w:rPr>
          <w:rFonts w:hint="eastAsia" w:ascii="宋体" w:hAnsi="宋体" w:cs="宋体"/>
          <w:b/>
          <w:bCs/>
          <w:color w:val="auto"/>
          <w:sz w:val="24"/>
          <w:highlight w:val="none"/>
          <w:lang w:eastAsia="zh-CN"/>
        </w:rPr>
        <w:t>标无效</w:t>
      </w:r>
      <w:r>
        <w:rPr>
          <w:rFonts w:hint="eastAsia" w:ascii="宋体" w:hAnsi="宋体" w:cs="宋体"/>
          <w:color w:val="auto"/>
          <w:sz w:val="24"/>
          <w:highlight w:val="none"/>
        </w:rPr>
        <w:t>。</w:t>
      </w:r>
    </w:p>
    <w:p w14:paraId="0E617A14">
      <w:pPr>
        <w:pStyle w:val="5"/>
        <w:keepNext w:val="0"/>
        <w:keepLines w:val="0"/>
        <w:pageBreakBefore w:val="0"/>
        <w:widowControl w:val="0"/>
        <w:kinsoku/>
        <w:overflowPunct/>
        <w:bidi w:val="0"/>
        <w:spacing w:before="0" w:after="0" w:line="240" w:lineRule="atLeast"/>
        <w:rPr>
          <w:rFonts w:hint="eastAsia" w:ascii="宋体" w:hAnsi="宋体" w:eastAsia="宋体" w:cs="宋体"/>
          <w:color w:val="auto"/>
          <w:highlight w:val="none"/>
          <w:u w:val="none"/>
        </w:rPr>
      </w:pPr>
      <w:r>
        <w:rPr>
          <w:rFonts w:hint="eastAsia" w:ascii="宋体" w:hAnsi="宋体" w:eastAsia="宋体" w:cs="宋体"/>
          <w:color w:val="auto"/>
          <w:highlight w:val="none"/>
          <w:u w:val="none"/>
        </w:rPr>
        <w:t>2.资金来源</w:t>
      </w:r>
      <w:bookmarkEnd w:id="16"/>
      <w:bookmarkEnd w:id="17"/>
      <w:bookmarkEnd w:id="18"/>
      <w:bookmarkEnd w:id="19"/>
    </w:p>
    <w:p w14:paraId="3D5E3E68">
      <w:pPr>
        <w:spacing w:line="240" w:lineRule="atLeast"/>
        <w:ind w:left="840" w:hanging="840" w:hangingChars="350"/>
        <w:rPr>
          <w:rFonts w:hint="eastAsia" w:ascii="宋体" w:hAnsi="宋体" w:cs="宋体"/>
          <w:color w:val="auto"/>
          <w:sz w:val="24"/>
          <w:highlight w:val="none"/>
        </w:rPr>
      </w:pPr>
      <w:bookmarkStart w:id="20" w:name="_Toc20526"/>
      <w:bookmarkStart w:id="21" w:name="_Toc515647760"/>
      <w:bookmarkStart w:id="22" w:name="_Toc520356145"/>
      <w:bookmarkStart w:id="23" w:name="_Toc15936"/>
      <w:bookmarkStart w:id="24" w:name="_Toc13828"/>
      <w:r>
        <w:rPr>
          <w:rFonts w:hint="eastAsia" w:ascii="宋体" w:hAnsi="宋体" w:cs="宋体"/>
          <w:color w:val="auto"/>
          <w:sz w:val="24"/>
          <w:highlight w:val="none"/>
        </w:rPr>
        <w:t>2.1</w:t>
      </w:r>
      <w:r>
        <w:rPr>
          <w:rFonts w:hint="eastAsia" w:ascii="宋体" w:hAnsi="宋体" w:cs="宋体"/>
          <w:color w:val="auto"/>
          <w:sz w:val="24"/>
          <w:highlight w:val="none"/>
        </w:rPr>
        <w:tab/>
      </w:r>
      <w:r>
        <w:rPr>
          <w:rFonts w:hint="eastAsia" w:ascii="宋体" w:hAnsi="宋体" w:cs="宋体"/>
          <w:color w:val="auto"/>
          <w:sz w:val="24"/>
          <w:highlight w:val="none"/>
        </w:rPr>
        <w:t>本项目的采购人已获得足以支付本次招标后所签订的合同项下的资金（包括财政性资金和本项目采购中无法与财政性资金分割的非财政性资金）。</w:t>
      </w:r>
    </w:p>
    <w:p w14:paraId="2A5A7D81">
      <w:pPr>
        <w:spacing w:line="240" w:lineRule="atLeast"/>
        <w:ind w:left="840" w:hanging="840" w:hangingChars="350"/>
        <w:rPr>
          <w:rFonts w:hint="eastAsia" w:ascii="宋体" w:hAnsi="宋体" w:cs="宋体"/>
          <w:color w:val="auto"/>
          <w:sz w:val="24"/>
          <w:highlight w:val="none"/>
        </w:rPr>
      </w:pPr>
      <w:r>
        <w:rPr>
          <w:rFonts w:hint="eastAsia" w:ascii="宋体" w:hAnsi="宋体" w:cs="宋体"/>
          <w:color w:val="auto"/>
          <w:sz w:val="24"/>
          <w:highlight w:val="none"/>
        </w:rPr>
        <w:t>2.2    项目预算金额和分项或分包最高限价</w:t>
      </w:r>
      <w:r>
        <w:rPr>
          <w:rFonts w:hint="eastAsia" w:ascii="宋体" w:hAnsi="宋体" w:cs="宋体"/>
          <w:color w:val="auto"/>
          <w:sz w:val="24"/>
          <w:highlight w:val="none"/>
          <w:u w:val="single"/>
        </w:rPr>
        <w:t>见</w:t>
      </w:r>
      <w:r>
        <w:rPr>
          <w:rFonts w:hint="eastAsia" w:ascii="宋体" w:hAnsi="宋体" w:cs="宋体"/>
          <w:color w:val="auto"/>
          <w:sz w:val="24"/>
          <w:highlight w:val="none"/>
          <w:u w:val="single"/>
          <w:lang w:eastAsia="zh-CN"/>
        </w:rPr>
        <w:t>投标人须知资料表</w:t>
      </w:r>
      <w:r>
        <w:rPr>
          <w:rFonts w:hint="eastAsia" w:ascii="宋体" w:hAnsi="宋体" w:cs="宋体"/>
          <w:color w:val="auto"/>
          <w:sz w:val="24"/>
          <w:highlight w:val="none"/>
        </w:rPr>
        <w:t>。</w:t>
      </w:r>
    </w:p>
    <w:p w14:paraId="74E8F9E6">
      <w:pPr>
        <w:spacing w:line="240" w:lineRule="atLeast"/>
        <w:ind w:left="840" w:hanging="840" w:hangingChars="350"/>
        <w:rPr>
          <w:rFonts w:hint="eastAsia" w:ascii="宋体" w:hAnsi="宋体" w:cs="宋体"/>
          <w:color w:val="auto"/>
          <w:sz w:val="24"/>
          <w:highlight w:val="none"/>
        </w:rPr>
      </w:pPr>
      <w:r>
        <w:rPr>
          <w:rFonts w:hint="eastAsia" w:ascii="宋体" w:hAnsi="宋体" w:cs="宋体"/>
          <w:color w:val="auto"/>
          <w:sz w:val="24"/>
          <w:highlight w:val="none"/>
        </w:rPr>
        <w:t xml:space="preserve">2.3    </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报价超过</w:t>
      </w:r>
      <w:r>
        <w:rPr>
          <w:rFonts w:hint="eastAsia" w:ascii="宋体" w:hAnsi="宋体" w:cs="宋体"/>
          <w:color w:val="auto"/>
          <w:sz w:val="24"/>
          <w:highlight w:val="none"/>
          <w:lang w:val="en-US" w:eastAsia="zh-CN"/>
        </w:rPr>
        <w:t>磋商文件</w:t>
      </w:r>
      <w:r>
        <w:rPr>
          <w:rFonts w:hint="eastAsia" w:ascii="宋体" w:hAnsi="宋体" w:cs="宋体"/>
          <w:color w:val="auto"/>
          <w:sz w:val="24"/>
          <w:highlight w:val="none"/>
        </w:rPr>
        <w:t>规定的预算金额或者分项、分包最高限价的，其</w:t>
      </w:r>
      <w:r>
        <w:rPr>
          <w:rFonts w:hint="eastAsia" w:ascii="宋体" w:hAnsi="宋体" w:cs="宋体"/>
          <w:color w:val="auto"/>
          <w:sz w:val="24"/>
          <w:highlight w:val="none"/>
          <w:lang w:val="en-US" w:eastAsia="zh-CN"/>
        </w:rPr>
        <w:t>投标</w:t>
      </w:r>
      <w:r>
        <w:rPr>
          <w:rFonts w:hint="eastAsia" w:ascii="宋体" w:hAnsi="宋体" w:cs="宋体"/>
          <w:color w:val="auto"/>
          <w:sz w:val="24"/>
          <w:highlight w:val="none"/>
        </w:rPr>
        <w:t>将被认定为</w:t>
      </w:r>
      <w:r>
        <w:rPr>
          <w:rFonts w:hint="eastAsia" w:ascii="宋体" w:hAnsi="宋体" w:cs="宋体"/>
          <w:b/>
          <w:bCs/>
          <w:color w:val="auto"/>
          <w:sz w:val="24"/>
          <w:highlight w:val="none"/>
          <w:lang w:eastAsia="zh-CN"/>
        </w:rPr>
        <w:t>投标无效</w:t>
      </w:r>
      <w:r>
        <w:rPr>
          <w:rFonts w:hint="eastAsia" w:ascii="宋体" w:hAnsi="宋体" w:cs="宋体"/>
          <w:color w:val="auto"/>
          <w:sz w:val="24"/>
          <w:highlight w:val="none"/>
        </w:rPr>
        <w:t>。</w:t>
      </w:r>
    </w:p>
    <w:p w14:paraId="7CB0A553">
      <w:pPr>
        <w:pStyle w:val="5"/>
        <w:keepNext w:val="0"/>
        <w:keepLines w:val="0"/>
        <w:pageBreakBefore w:val="0"/>
        <w:widowControl w:val="0"/>
        <w:kinsoku/>
        <w:overflowPunct/>
        <w:bidi w:val="0"/>
        <w:spacing w:before="0" w:after="0" w:line="240" w:lineRule="atLeast"/>
        <w:rPr>
          <w:rFonts w:hint="eastAsia" w:ascii="宋体" w:hAnsi="宋体" w:eastAsia="宋体" w:cs="宋体"/>
          <w:color w:val="auto"/>
          <w:highlight w:val="none"/>
          <w:u w:val="none"/>
        </w:rPr>
      </w:pPr>
      <w:r>
        <w:rPr>
          <w:rFonts w:hint="eastAsia" w:ascii="宋体" w:hAnsi="宋体" w:eastAsia="宋体" w:cs="宋体"/>
          <w:color w:val="auto"/>
          <w:highlight w:val="none"/>
          <w:u w:val="none"/>
        </w:rPr>
        <w:t>3.投标费用</w:t>
      </w:r>
      <w:bookmarkEnd w:id="20"/>
      <w:bookmarkEnd w:id="21"/>
      <w:bookmarkEnd w:id="22"/>
      <w:bookmarkEnd w:id="23"/>
      <w:bookmarkEnd w:id="24"/>
    </w:p>
    <w:p w14:paraId="35D41AD0">
      <w:pPr>
        <w:spacing w:line="240" w:lineRule="atLeast"/>
        <w:ind w:left="840" w:hanging="840" w:hangingChars="350"/>
        <w:rPr>
          <w:rFonts w:hint="eastAsia" w:ascii="宋体" w:hAnsi="宋体" w:cs="宋体"/>
          <w:color w:val="auto"/>
          <w:sz w:val="24"/>
          <w:highlight w:val="none"/>
        </w:rPr>
      </w:pPr>
      <w:bookmarkStart w:id="25" w:name="_Toc4463"/>
      <w:bookmarkStart w:id="26" w:name="_Toc515647761"/>
      <w:bookmarkStart w:id="27" w:name="_Toc32665"/>
      <w:bookmarkStart w:id="28" w:name="_Toc6116"/>
      <w:r>
        <w:rPr>
          <w:rFonts w:hint="eastAsia" w:ascii="宋体" w:hAnsi="宋体" w:cs="宋体"/>
          <w:color w:val="auto"/>
          <w:sz w:val="24"/>
          <w:highlight w:val="none"/>
        </w:rPr>
        <w:t>3.1</w:t>
      </w:r>
      <w:r>
        <w:rPr>
          <w:rFonts w:hint="eastAsia" w:ascii="宋体" w:hAnsi="宋体" w:cs="宋体"/>
          <w:color w:val="auto"/>
          <w:sz w:val="24"/>
          <w:highlight w:val="none"/>
        </w:rPr>
        <w:tab/>
      </w:r>
      <w:r>
        <w:rPr>
          <w:rFonts w:hint="eastAsia" w:ascii="宋体" w:hAnsi="宋体" w:cs="宋体"/>
          <w:color w:val="auto"/>
          <w:sz w:val="24"/>
          <w:highlight w:val="none"/>
        </w:rPr>
        <w:t>不论</w:t>
      </w:r>
      <w:r>
        <w:rPr>
          <w:rFonts w:hint="eastAsia" w:ascii="宋体" w:hAnsi="宋体" w:cs="宋体"/>
          <w:color w:val="auto"/>
          <w:sz w:val="24"/>
          <w:highlight w:val="none"/>
          <w:lang w:val="en-US" w:eastAsia="zh-CN"/>
        </w:rPr>
        <w:t>投标</w:t>
      </w:r>
      <w:r>
        <w:rPr>
          <w:rFonts w:hint="eastAsia" w:ascii="宋体" w:hAnsi="宋体" w:cs="宋体"/>
          <w:color w:val="auto"/>
          <w:sz w:val="24"/>
          <w:highlight w:val="none"/>
        </w:rPr>
        <w:t>的结果如何，</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应承担所有与准备和参加</w:t>
      </w:r>
      <w:r>
        <w:rPr>
          <w:rFonts w:hint="eastAsia" w:ascii="宋体" w:hAnsi="宋体" w:cs="宋体"/>
          <w:color w:val="auto"/>
          <w:sz w:val="24"/>
          <w:highlight w:val="none"/>
          <w:lang w:val="en-US" w:eastAsia="zh-CN"/>
        </w:rPr>
        <w:t>投标</w:t>
      </w:r>
      <w:r>
        <w:rPr>
          <w:rFonts w:hint="eastAsia" w:ascii="宋体" w:hAnsi="宋体" w:cs="宋体"/>
          <w:color w:val="auto"/>
          <w:sz w:val="24"/>
          <w:highlight w:val="none"/>
        </w:rPr>
        <w:t>有关的费用。</w:t>
      </w:r>
    </w:p>
    <w:p w14:paraId="72B2CCB6">
      <w:pPr>
        <w:pStyle w:val="5"/>
        <w:keepNext w:val="0"/>
        <w:keepLines w:val="0"/>
        <w:pageBreakBefore w:val="0"/>
        <w:widowControl w:val="0"/>
        <w:kinsoku/>
        <w:overflowPunct/>
        <w:bidi w:val="0"/>
        <w:spacing w:before="0" w:after="0" w:line="240" w:lineRule="atLeast"/>
        <w:rPr>
          <w:rFonts w:hint="eastAsia" w:ascii="宋体" w:hAnsi="宋体" w:eastAsia="宋体" w:cs="宋体"/>
          <w:color w:val="auto"/>
          <w:highlight w:val="none"/>
          <w:u w:val="none"/>
        </w:rPr>
      </w:pPr>
      <w:r>
        <w:rPr>
          <w:rFonts w:hint="eastAsia" w:ascii="宋体" w:hAnsi="宋体" w:eastAsia="宋体" w:cs="宋体"/>
          <w:color w:val="auto"/>
          <w:highlight w:val="none"/>
          <w:u w:val="none"/>
        </w:rPr>
        <w:t>4.适用法律</w:t>
      </w:r>
      <w:bookmarkEnd w:id="25"/>
      <w:bookmarkEnd w:id="26"/>
      <w:bookmarkEnd w:id="27"/>
      <w:bookmarkEnd w:id="28"/>
    </w:p>
    <w:p w14:paraId="3F769FAE">
      <w:pPr>
        <w:spacing w:line="240" w:lineRule="atLeast"/>
        <w:ind w:left="840" w:hanging="840" w:hangingChars="350"/>
        <w:rPr>
          <w:rFonts w:hint="eastAsia" w:ascii="宋体" w:hAnsi="宋体" w:cs="宋体"/>
          <w:color w:val="auto"/>
          <w:sz w:val="24"/>
          <w:highlight w:val="none"/>
        </w:rPr>
      </w:pPr>
      <w:bookmarkStart w:id="29" w:name="_Toc515647762"/>
      <w:bookmarkStart w:id="30" w:name="_Toc520356146"/>
      <w:bookmarkStart w:id="31" w:name="_Toc21566"/>
      <w:bookmarkStart w:id="32" w:name="_Toc28572"/>
      <w:bookmarkStart w:id="33" w:name="_Toc216582806"/>
      <w:bookmarkStart w:id="34" w:name="_Toc4365"/>
      <w:r>
        <w:rPr>
          <w:rFonts w:hint="eastAsia" w:ascii="宋体" w:hAnsi="宋体" w:cs="宋体"/>
          <w:color w:val="auto"/>
          <w:sz w:val="24"/>
          <w:highlight w:val="none"/>
        </w:rPr>
        <w:t>4.1    本项目采购人、采购代理机构、</w:t>
      </w:r>
      <w:r>
        <w:rPr>
          <w:rFonts w:hint="eastAsia" w:ascii="宋体" w:hAnsi="宋体" w:cs="宋体"/>
          <w:color w:val="auto"/>
          <w:sz w:val="24"/>
          <w:highlight w:val="none"/>
          <w:lang w:val="en-US" w:eastAsia="zh-CN"/>
        </w:rPr>
        <w:t>投标人</w:t>
      </w:r>
      <w:r>
        <w:rPr>
          <w:rFonts w:hint="eastAsia" w:ascii="宋体" w:hAnsi="宋体" w:cs="宋体"/>
          <w:color w:val="auto"/>
          <w:sz w:val="24"/>
          <w:highlight w:val="none"/>
        </w:rPr>
        <w:t>、</w:t>
      </w:r>
      <w:r>
        <w:rPr>
          <w:rFonts w:hint="eastAsia" w:ascii="宋体" w:hAnsi="宋体" w:cs="宋体"/>
          <w:color w:val="auto"/>
          <w:sz w:val="24"/>
          <w:highlight w:val="none"/>
          <w:lang w:eastAsia="zh-CN"/>
        </w:rPr>
        <w:t>磋商小组</w:t>
      </w:r>
      <w:r>
        <w:rPr>
          <w:rFonts w:hint="eastAsia" w:ascii="宋体" w:hAnsi="宋体" w:cs="宋体"/>
          <w:color w:val="auto"/>
          <w:sz w:val="24"/>
          <w:highlight w:val="none"/>
        </w:rPr>
        <w:t>的相关行为均受《中华人民共和国政府采购法》、《中华人民共和国政府采购法实施条例》及本项目本级和上级财政部门政府采购有关规定的约束，其权利受到上述法律法规的保护。</w:t>
      </w:r>
    </w:p>
    <w:p w14:paraId="04A37D84">
      <w:pPr>
        <w:pStyle w:val="3"/>
        <w:keepNext w:val="0"/>
        <w:keepLines w:val="0"/>
        <w:pageBreakBefore w:val="0"/>
        <w:widowControl w:val="0"/>
        <w:kinsoku/>
        <w:overflowPunct/>
        <w:bidi w:val="0"/>
        <w:spacing w:before="0" w:line="240" w:lineRule="atLeast"/>
        <w:ind w:left="1080" w:leftChars="257" w:hanging="540"/>
        <w:rPr>
          <w:rFonts w:hint="eastAsia" w:ascii="宋体" w:hAnsi="宋体" w:eastAsia="宋体" w:cs="宋体"/>
          <w:color w:val="auto"/>
          <w:sz w:val="28"/>
          <w:highlight w:val="none"/>
        </w:rPr>
      </w:pPr>
    </w:p>
    <w:p w14:paraId="7EE702DE">
      <w:pPr>
        <w:pStyle w:val="3"/>
        <w:keepNext w:val="0"/>
        <w:keepLines w:val="0"/>
        <w:pageBreakBefore w:val="0"/>
        <w:widowControl w:val="0"/>
        <w:kinsoku/>
        <w:overflowPunct/>
        <w:bidi w:val="0"/>
        <w:spacing w:before="0" w:line="240" w:lineRule="atLeast"/>
        <w:ind w:left="1080" w:leftChars="257" w:hanging="540"/>
        <w:rPr>
          <w:rFonts w:hint="eastAsia" w:ascii="宋体" w:hAnsi="宋体" w:eastAsia="宋体" w:cs="宋体"/>
          <w:color w:val="auto"/>
          <w:sz w:val="28"/>
          <w:highlight w:val="none"/>
          <w:lang w:eastAsia="zh-CN"/>
        </w:rPr>
      </w:pPr>
      <w:r>
        <w:rPr>
          <w:rFonts w:hint="eastAsia" w:ascii="宋体" w:hAnsi="宋体" w:eastAsia="宋体" w:cs="宋体"/>
          <w:color w:val="auto"/>
          <w:sz w:val="28"/>
          <w:highlight w:val="none"/>
        </w:rPr>
        <w:t xml:space="preserve">二   </w:t>
      </w:r>
      <w:bookmarkEnd w:id="29"/>
      <w:bookmarkEnd w:id="30"/>
      <w:bookmarkEnd w:id="31"/>
      <w:bookmarkEnd w:id="32"/>
      <w:bookmarkEnd w:id="33"/>
      <w:bookmarkEnd w:id="34"/>
      <w:r>
        <w:rPr>
          <w:rFonts w:hint="eastAsia" w:ascii="宋体" w:hAnsi="宋体" w:eastAsia="宋体" w:cs="宋体"/>
          <w:color w:val="auto"/>
          <w:sz w:val="28"/>
          <w:highlight w:val="none"/>
          <w:lang w:eastAsia="zh-CN"/>
        </w:rPr>
        <w:t>磋商文件</w:t>
      </w:r>
    </w:p>
    <w:p w14:paraId="6D670B0E">
      <w:pPr>
        <w:pStyle w:val="5"/>
        <w:keepNext w:val="0"/>
        <w:keepLines w:val="0"/>
        <w:pageBreakBefore w:val="0"/>
        <w:widowControl w:val="0"/>
        <w:kinsoku/>
        <w:overflowPunct/>
        <w:bidi w:val="0"/>
        <w:spacing w:before="0" w:after="0" w:line="240" w:lineRule="atLeast"/>
        <w:rPr>
          <w:rFonts w:hint="eastAsia" w:ascii="宋体" w:hAnsi="宋体" w:eastAsia="宋体" w:cs="宋体"/>
          <w:color w:val="auto"/>
          <w:highlight w:val="none"/>
          <w:u w:val="none"/>
        </w:rPr>
      </w:pPr>
      <w:bookmarkStart w:id="35" w:name="_Toc4671"/>
      <w:bookmarkStart w:id="36" w:name="_Toc25743"/>
      <w:bookmarkStart w:id="37" w:name="_Toc14084"/>
      <w:bookmarkStart w:id="38" w:name="_Toc520356147"/>
      <w:bookmarkStart w:id="39" w:name="_Toc515647763"/>
      <w:r>
        <w:rPr>
          <w:rFonts w:hint="eastAsia" w:ascii="宋体" w:hAnsi="宋体" w:eastAsia="宋体" w:cs="宋体"/>
          <w:color w:val="auto"/>
          <w:highlight w:val="none"/>
          <w:u w:val="none"/>
        </w:rPr>
        <w:t>5.</w:t>
      </w:r>
      <w:r>
        <w:rPr>
          <w:rFonts w:hint="eastAsia" w:hAnsi="宋体" w:cs="宋体"/>
          <w:color w:val="auto"/>
          <w:highlight w:val="none"/>
          <w:u w:val="none"/>
          <w:lang w:val="en-US" w:eastAsia="zh-CN"/>
        </w:rPr>
        <w:t>磋商</w:t>
      </w:r>
      <w:r>
        <w:rPr>
          <w:rFonts w:hint="eastAsia" w:ascii="宋体" w:hAnsi="宋体" w:eastAsia="宋体" w:cs="宋体"/>
          <w:color w:val="auto"/>
          <w:highlight w:val="none"/>
          <w:u w:val="none"/>
        </w:rPr>
        <w:t>文件构成</w:t>
      </w:r>
      <w:bookmarkEnd w:id="35"/>
      <w:bookmarkEnd w:id="36"/>
      <w:bookmarkEnd w:id="37"/>
      <w:bookmarkEnd w:id="38"/>
      <w:bookmarkEnd w:id="39"/>
    </w:p>
    <w:p w14:paraId="652F7A51">
      <w:pPr>
        <w:spacing w:line="240" w:lineRule="atLeast"/>
        <w:ind w:left="840" w:hanging="840" w:hangingChars="350"/>
        <w:rPr>
          <w:rFonts w:hint="eastAsia" w:ascii="宋体" w:hAnsi="宋体" w:cs="宋体"/>
          <w:color w:val="auto"/>
          <w:sz w:val="24"/>
        </w:rPr>
      </w:pPr>
      <w:r>
        <w:rPr>
          <w:rFonts w:hint="eastAsia" w:ascii="宋体" w:hAnsi="宋体" w:cs="宋体"/>
          <w:color w:val="auto"/>
          <w:sz w:val="24"/>
        </w:rPr>
        <w:t>5.1    磋商文件分为7章，内容如下：</w:t>
      </w:r>
    </w:p>
    <w:p w14:paraId="3909B58A">
      <w:pPr>
        <w:tabs>
          <w:tab w:val="left" w:pos="0"/>
        </w:tabs>
        <w:spacing w:line="240" w:lineRule="atLeast"/>
        <w:ind w:left="840" w:leftChars="400"/>
        <w:rPr>
          <w:rFonts w:hint="eastAsia" w:ascii="宋体" w:hAnsi="宋体" w:cs="宋体"/>
          <w:color w:val="auto"/>
          <w:sz w:val="24"/>
        </w:rPr>
      </w:pPr>
      <w:r>
        <w:rPr>
          <w:rFonts w:hint="eastAsia" w:ascii="宋体" w:hAnsi="宋体" w:cs="宋体"/>
          <w:color w:val="auto"/>
          <w:sz w:val="24"/>
        </w:rPr>
        <w:t>第1章 投标人须知</w:t>
      </w:r>
    </w:p>
    <w:p w14:paraId="655CF30C">
      <w:pPr>
        <w:spacing w:line="240" w:lineRule="atLeast"/>
        <w:ind w:left="960" w:leftChars="400" w:hanging="120" w:hangingChars="50"/>
        <w:rPr>
          <w:rFonts w:hint="eastAsia" w:ascii="宋体" w:hAnsi="宋体" w:cs="宋体"/>
          <w:color w:val="auto"/>
          <w:sz w:val="24"/>
        </w:rPr>
      </w:pPr>
      <w:r>
        <w:rPr>
          <w:rFonts w:hint="eastAsia" w:ascii="宋体" w:hAnsi="宋体" w:cs="宋体"/>
          <w:color w:val="auto"/>
          <w:sz w:val="24"/>
        </w:rPr>
        <w:t>第2章 响应文件格式</w:t>
      </w:r>
    </w:p>
    <w:p w14:paraId="0219B059">
      <w:pPr>
        <w:spacing w:line="240" w:lineRule="atLeast"/>
        <w:ind w:left="960" w:leftChars="400" w:hanging="120" w:hangingChars="50"/>
        <w:rPr>
          <w:rFonts w:hint="eastAsia" w:ascii="宋体" w:hAnsi="宋体" w:cs="宋体"/>
          <w:color w:val="auto"/>
          <w:sz w:val="24"/>
        </w:rPr>
      </w:pPr>
      <w:r>
        <w:rPr>
          <w:rFonts w:hint="eastAsia" w:ascii="宋体" w:hAnsi="宋体" w:cs="宋体"/>
          <w:color w:val="auto"/>
          <w:sz w:val="24"/>
        </w:rPr>
        <w:t>第3章 磋商邀请</w:t>
      </w:r>
    </w:p>
    <w:p w14:paraId="1FB05BBC">
      <w:pPr>
        <w:spacing w:line="240" w:lineRule="atLeast"/>
        <w:ind w:left="960" w:leftChars="400" w:hanging="120" w:hangingChars="50"/>
        <w:rPr>
          <w:rFonts w:hint="eastAsia" w:ascii="宋体" w:hAnsi="宋体" w:cs="宋体"/>
          <w:color w:val="auto"/>
          <w:sz w:val="24"/>
        </w:rPr>
      </w:pPr>
      <w:r>
        <w:rPr>
          <w:rFonts w:hint="eastAsia" w:ascii="宋体" w:hAnsi="宋体" w:cs="宋体"/>
          <w:color w:val="auto"/>
          <w:sz w:val="24"/>
        </w:rPr>
        <w:t>第4章 投标人须知资料表</w:t>
      </w:r>
    </w:p>
    <w:p w14:paraId="33D6EA56">
      <w:pPr>
        <w:spacing w:line="240" w:lineRule="atLeast"/>
        <w:ind w:left="960" w:leftChars="400" w:hanging="120" w:hangingChars="50"/>
        <w:rPr>
          <w:rFonts w:hint="eastAsia" w:ascii="宋体" w:hAnsi="宋体" w:cs="宋体"/>
          <w:color w:val="auto"/>
          <w:sz w:val="24"/>
        </w:rPr>
      </w:pPr>
      <w:r>
        <w:rPr>
          <w:rFonts w:hint="eastAsia" w:ascii="宋体" w:hAnsi="宋体" w:cs="宋体"/>
          <w:color w:val="auto"/>
          <w:sz w:val="24"/>
        </w:rPr>
        <w:t>第5章 服务需求一览表及项目要求</w:t>
      </w:r>
    </w:p>
    <w:p w14:paraId="74BC3B20">
      <w:pPr>
        <w:spacing w:line="240" w:lineRule="atLeast"/>
        <w:ind w:left="960" w:leftChars="400" w:hanging="120" w:hangingChars="50"/>
        <w:rPr>
          <w:rFonts w:hint="eastAsia" w:ascii="宋体" w:hAnsi="宋体" w:cs="宋体"/>
          <w:color w:val="auto"/>
          <w:sz w:val="24"/>
        </w:rPr>
      </w:pPr>
      <w:r>
        <w:rPr>
          <w:rFonts w:hint="eastAsia" w:ascii="宋体" w:hAnsi="宋体" w:cs="宋体"/>
          <w:color w:val="auto"/>
          <w:sz w:val="24"/>
        </w:rPr>
        <w:t>第6章 评审方法和标准</w:t>
      </w:r>
    </w:p>
    <w:p w14:paraId="10A6114B">
      <w:pPr>
        <w:spacing w:line="240" w:lineRule="atLeast"/>
        <w:ind w:left="960" w:leftChars="400" w:hanging="120" w:hangingChars="50"/>
        <w:rPr>
          <w:rFonts w:hint="eastAsia" w:ascii="宋体" w:hAnsi="宋体" w:cs="宋体"/>
          <w:color w:val="auto"/>
          <w:sz w:val="24"/>
          <w:highlight w:val="none"/>
        </w:rPr>
      </w:pPr>
      <w:r>
        <w:rPr>
          <w:rFonts w:hint="eastAsia" w:ascii="宋体" w:hAnsi="宋体" w:cs="宋体"/>
          <w:color w:val="auto"/>
          <w:sz w:val="24"/>
        </w:rPr>
        <w:t>第7章 政府采购合同</w:t>
      </w:r>
    </w:p>
    <w:p w14:paraId="18A47291">
      <w:pPr>
        <w:spacing w:line="240" w:lineRule="atLeast"/>
        <w:ind w:left="840" w:hanging="840" w:hangingChars="350"/>
        <w:rPr>
          <w:rFonts w:hint="eastAsia" w:ascii="宋体" w:hAnsi="宋体" w:cs="宋体"/>
          <w:color w:val="auto"/>
          <w:sz w:val="24"/>
          <w:highlight w:val="none"/>
        </w:rPr>
      </w:pPr>
      <w:bookmarkStart w:id="40" w:name="_Toc520356148"/>
      <w:bookmarkStart w:id="41" w:name="_Toc515904805"/>
      <w:bookmarkStart w:id="42" w:name="_Toc9232"/>
      <w:bookmarkStart w:id="43" w:name="_Toc1922"/>
      <w:bookmarkStart w:id="44" w:name="_Toc26044"/>
      <w:r>
        <w:rPr>
          <w:rFonts w:hint="eastAsia" w:ascii="宋体" w:hAnsi="宋体" w:cs="宋体"/>
          <w:color w:val="auto"/>
          <w:sz w:val="24"/>
          <w:highlight w:val="none"/>
        </w:rPr>
        <w:t>5.2</w:t>
      </w:r>
      <w:r>
        <w:rPr>
          <w:rFonts w:hint="eastAsia" w:ascii="宋体" w:hAnsi="宋体" w:cs="宋体"/>
          <w:color w:val="auto"/>
          <w:sz w:val="24"/>
          <w:highlight w:val="none"/>
        </w:rPr>
        <w:tab/>
      </w:r>
      <w:r>
        <w:rPr>
          <w:rFonts w:hint="eastAsia" w:ascii="宋体" w:hAnsi="宋体" w:cs="宋体"/>
          <w:color w:val="auto"/>
          <w:sz w:val="24"/>
          <w:highlight w:val="none"/>
        </w:rPr>
        <w:t>如本文件的前后内容不一致，以最后描述为准。</w:t>
      </w:r>
    </w:p>
    <w:p w14:paraId="3BBEA0B5">
      <w:pPr>
        <w:spacing w:line="240" w:lineRule="atLeast"/>
        <w:ind w:left="840" w:hanging="840" w:hangingChars="350"/>
        <w:rPr>
          <w:rFonts w:hint="eastAsia" w:ascii="宋体" w:hAnsi="宋体" w:cs="宋体"/>
          <w:color w:val="auto"/>
          <w:sz w:val="24"/>
          <w:highlight w:val="none"/>
        </w:rPr>
      </w:pPr>
      <w:r>
        <w:rPr>
          <w:rFonts w:hint="eastAsia" w:ascii="宋体" w:hAnsi="宋体" w:cs="宋体"/>
          <w:color w:val="auto"/>
          <w:sz w:val="24"/>
          <w:highlight w:val="none"/>
        </w:rPr>
        <w:t xml:space="preserve">5.3    </w:t>
      </w:r>
      <w:r>
        <w:rPr>
          <w:rFonts w:hint="eastAsia" w:ascii="宋体" w:hAnsi="宋体" w:cs="宋体"/>
          <w:color w:val="auto"/>
          <w:sz w:val="24"/>
          <w:highlight w:val="none"/>
          <w:lang w:val="en-US" w:eastAsia="zh-CN"/>
        </w:rPr>
        <w:t>投标人</w:t>
      </w:r>
      <w:r>
        <w:rPr>
          <w:rFonts w:hint="eastAsia" w:ascii="宋体" w:hAnsi="宋体" w:cs="宋体"/>
          <w:color w:val="auto"/>
          <w:sz w:val="24"/>
          <w:highlight w:val="none"/>
        </w:rPr>
        <w:t>应认真阅读</w:t>
      </w:r>
      <w:r>
        <w:rPr>
          <w:rFonts w:hint="eastAsia" w:ascii="宋体" w:hAnsi="宋体" w:cs="宋体"/>
          <w:color w:val="auto"/>
          <w:sz w:val="24"/>
          <w:highlight w:val="none"/>
          <w:lang w:eastAsia="zh-CN"/>
        </w:rPr>
        <w:t>磋商文件</w:t>
      </w:r>
      <w:r>
        <w:rPr>
          <w:rFonts w:hint="eastAsia" w:ascii="宋体" w:hAnsi="宋体" w:cs="宋体"/>
          <w:color w:val="auto"/>
          <w:sz w:val="24"/>
          <w:highlight w:val="none"/>
        </w:rPr>
        <w:t>所有的事项、格式、条款和技术规范等。如</w:t>
      </w:r>
      <w:r>
        <w:rPr>
          <w:rFonts w:hint="eastAsia" w:ascii="宋体" w:hAnsi="宋体" w:cs="宋体"/>
          <w:color w:val="auto"/>
          <w:sz w:val="24"/>
          <w:highlight w:val="none"/>
          <w:lang w:val="en-US" w:eastAsia="zh-CN"/>
        </w:rPr>
        <w:t>投标人</w:t>
      </w:r>
      <w:r>
        <w:rPr>
          <w:rFonts w:hint="eastAsia" w:ascii="宋体" w:hAnsi="宋体" w:cs="宋体"/>
          <w:color w:val="auto"/>
          <w:sz w:val="24"/>
          <w:highlight w:val="none"/>
        </w:rPr>
        <w:t>没有按照</w:t>
      </w:r>
      <w:r>
        <w:rPr>
          <w:rFonts w:hint="eastAsia" w:ascii="宋体" w:hAnsi="宋体" w:cs="宋体"/>
          <w:color w:val="auto"/>
          <w:sz w:val="24"/>
          <w:highlight w:val="none"/>
          <w:lang w:eastAsia="zh-CN"/>
        </w:rPr>
        <w:t>磋商文件</w:t>
      </w:r>
      <w:r>
        <w:rPr>
          <w:rFonts w:hint="eastAsia" w:ascii="宋体" w:hAnsi="宋体" w:cs="宋体"/>
          <w:color w:val="auto"/>
          <w:sz w:val="24"/>
          <w:highlight w:val="none"/>
        </w:rPr>
        <w:t>要求提交全部资料，或者</w:t>
      </w:r>
      <w:r>
        <w:rPr>
          <w:rFonts w:hint="eastAsia" w:ascii="宋体" w:hAnsi="宋体" w:cs="宋体"/>
          <w:color w:val="auto"/>
          <w:sz w:val="24"/>
          <w:highlight w:val="none"/>
          <w:lang w:val="en-US" w:eastAsia="zh-CN"/>
        </w:rPr>
        <w:t>响应</w:t>
      </w:r>
      <w:r>
        <w:rPr>
          <w:rFonts w:hint="eastAsia" w:ascii="宋体" w:hAnsi="宋体" w:cs="宋体"/>
          <w:color w:val="auto"/>
          <w:sz w:val="24"/>
          <w:highlight w:val="none"/>
          <w:lang w:eastAsia="zh-CN"/>
        </w:rPr>
        <w:t>文件</w:t>
      </w:r>
      <w:r>
        <w:rPr>
          <w:rFonts w:hint="eastAsia" w:ascii="宋体" w:hAnsi="宋体" w:cs="宋体"/>
          <w:color w:val="auto"/>
          <w:sz w:val="24"/>
          <w:highlight w:val="none"/>
        </w:rPr>
        <w:t>没有对</w:t>
      </w:r>
      <w:r>
        <w:rPr>
          <w:rFonts w:hint="eastAsia" w:ascii="宋体" w:hAnsi="宋体" w:cs="宋体"/>
          <w:color w:val="auto"/>
          <w:sz w:val="24"/>
          <w:highlight w:val="none"/>
          <w:lang w:eastAsia="zh-CN"/>
        </w:rPr>
        <w:t>磋商文件</w:t>
      </w:r>
      <w:r>
        <w:rPr>
          <w:rFonts w:hint="eastAsia" w:ascii="宋体" w:hAnsi="宋体" w:cs="宋体"/>
          <w:color w:val="auto"/>
          <w:sz w:val="24"/>
          <w:highlight w:val="none"/>
        </w:rPr>
        <w:t>在各方面都做出实质性响应，可能导致其</w:t>
      </w:r>
      <w:r>
        <w:rPr>
          <w:rFonts w:hint="eastAsia" w:ascii="宋体" w:hAnsi="宋体" w:cs="宋体"/>
          <w:color w:val="auto"/>
          <w:sz w:val="24"/>
          <w:highlight w:val="none"/>
          <w:lang w:val="en-US" w:eastAsia="zh-CN"/>
        </w:rPr>
        <w:t>谈判</w:t>
      </w:r>
      <w:r>
        <w:rPr>
          <w:rFonts w:hint="eastAsia" w:ascii="宋体" w:hAnsi="宋体" w:cs="宋体"/>
          <w:color w:val="auto"/>
          <w:sz w:val="24"/>
          <w:highlight w:val="none"/>
        </w:rPr>
        <w:t>将被认定为</w:t>
      </w:r>
      <w:r>
        <w:rPr>
          <w:rFonts w:hint="eastAsia" w:ascii="宋体" w:hAnsi="宋体" w:cs="宋体"/>
          <w:b/>
          <w:bCs/>
          <w:color w:val="auto"/>
          <w:sz w:val="24"/>
          <w:highlight w:val="none"/>
          <w:lang w:eastAsia="zh-CN"/>
        </w:rPr>
        <w:t>投标无效</w:t>
      </w:r>
      <w:r>
        <w:rPr>
          <w:rFonts w:hint="eastAsia" w:ascii="宋体" w:hAnsi="宋体" w:cs="宋体"/>
          <w:color w:val="auto"/>
          <w:sz w:val="24"/>
          <w:highlight w:val="none"/>
        </w:rPr>
        <w:t>。</w:t>
      </w:r>
    </w:p>
    <w:p w14:paraId="10CC57DD">
      <w:pPr>
        <w:pStyle w:val="5"/>
        <w:keepNext w:val="0"/>
        <w:keepLines w:val="0"/>
        <w:pageBreakBefore w:val="0"/>
        <w:widowControl w:val="0"/>
        <w:kinsoku/>
        <w:overflowPunct/>
        <w:bidi w:val="0"/>
        <w:spacing w:before="0" w:after="0" w:line="240" w:lineRule="atLeast"/>
        <w:rPr>
          <w:rFonts w:hint="eastAsia" w:ascii="宋体" w:hAnsi="宋体" w:eastAsia="宋体" w:cs="宋体"/>
          <w:color w:val="auto"/>
          <w:sz w:val="24"/>
          <w:szCs w:val="20"/>
          <w:highlight w:val="none"/>
          <w:u w:val="none"/>
        </w:rPr>
      </w:pPr>
      <w:r>
        <w:rPr>
          <w:rFonts w:hint="eastAsia" w:ascii="宋体" w:hAnsi="宋体" w:eastAsia="宋体" w:cs="宋体"/>
          <w:color w:val="auto"/>
          <w:sz w:val="24"/>
          <w:szCs w:val="20"/>
          <w:highlight w:val="none"/>
          <w:u w:val="none"/>
        </w:rPr>
        <w:t>6.</w:t>
      </w:r>
      <w:r>
        <w:rPr>
          <w:rFonts w:hint="eastAsia" w:hAnsi="宋体" w:cs="宋体"/>
          <w:color w:val="auto"/>
          <w:sz w:val="24"/>
          <w:szCs w:val="20"/>
          <w:highlight w:val="none"/>
          <w:u w:val="none"/>
          <w:lang w:val="en-US" w:eastAsia="zh-CN"/>
        </w:rPr>
        <w:t>磋商</w:t>
      </w:r>
      <w:r>
        <w:rPr>
          <w:rFonts w:hint="eastAsia" w:ascii="宋体" w:hAnsi="宋体" w:eastAsia="宋体" w:cs="宋体"/>
          <w:color w:val="auto"/>
          <w:sz w:val="24"/>
          <w:szCs w:val="20"/>
          <w:highlight w:val="none"/>
          <w:u w:val="none"/>
        </w:rPr>
        <w:t>文件的澄清</w:t>
      </w:r>
      <w:bookmarkEnd w:id="40"/>
      <w:bookmarkEnd w:id="41"/>
      <w:r>
        <w:rPr>
          <w:rFonts w:hint="eastAsia" w:ascii="宋体" w:hAnsi="宋体" w:eastAsia="宋体" w:cs="宋体"/>
          <w:color w:val="auto"/>
          <w:sz w:val="24"/>
          <w:szCs w:val="20"/>
          <w:highlight w:val="none"/>
          <w:u w:val="none"/>
        </w:rPr>
        <w:t>与修改</w:t>
      </w:r>
      <w:bookmarkEnd w:id="42"/>
      <w:bookmarkEnd w:id="43"/>
      <w:bookmarkEnd w:id="44"/>
    </w:p>
    <w:p w14:paraId="75969673">
      <w:pPr>
        <w:pStyle w:val="4"/>
        <w:ind w:left="840" w:hanging="840" w:hangingChars="350"/>
        <w:rPr>
          <w:rFonts w:hint="eastAsia" w:hAnsi="宋体" w:cs="宋体"/>
          <w:color w:val="auto"/>
          <w:szCs w:val="24"/>
        </w:rPr>
      </w:pPr>
      <w:bookmarkStart w:id="45" w:name="_Ref467378678"/>
      <w:bookmarkStart w:id="46" w:name="_Toc515904806"/>
      <w:bookmarkStart w:id="47" w:name="_Toc520356149"/>
      <w:bookmarkStart w:id="48" w:name="_Toc12448"/>
      <w:bookmarkStart w:id="49" w:name="_Toc25635"/>
      <w:bookmarkStart w:id="50" w:name="_Toc14569"/>
      <w:r>
        <w:rPr>
          <w:rFonts w:hint="eastAsia" w:hAnsi="宋体" w:cs="宋体"/>
          <w:color w:val="auto"/>
          <w:szCs w:val="24"/>
        </w:rPr>
        <w:t>6.1    为了保证对磋商文件的澄清和修改满足法律的时限要求，任何要求对磋商文件进行澄清的</w:t>
      </w:r>
      <w:r>
        <w:rPr>
          <w:rFonts w:hint="eastAsia" w:hAnsi="宋体" w:cs="宋体"/>
          <w:color w:val="auto"/>
          <w:szCs w:val="24"/>
          <w:lang w:eastAsia="zh-CN"/>
        </w:rPr>
        <w:t>投标人</w:t>
      </w:r>
      <w:r>
        <w:rPr>
          <w:rFonts w:hint="eastAsia" w:hAnsi="宋体" w:cs="宋体"/>
          <w:color w:val="auto"/>
          <w:szCs w:val="24"/>
        </w:rPr>
        <w:t>，均应在磋商截止期</w:t>
      </w:r>
      <w:r>
        <w:rPr>
          <w:rFonts w:hint="eastAsia" w:hAnsi="宋体" w:cs="宋体"/>
          <w:color w:val="auto"/>
          <w:szCs w:val="24"/>
          <w:lang w:val="en-US" w:eastAsia="zh-CN"/>
        </w:rPr>
        <w:t>五</w:t>
      </w:r>
      <w:r>
        <w:rPr>
          <w:rFonts w:hint="eastAsia" w:hAnsi="宋体" w:cs="宋体"/>
          <w:color w:val="auto"/>
          <w:szCs w:val="24"/>
        </w:rPr>
        <w:t>日前，以书面形式将澄清要求通知采购人或采购代理机构。</w:t>
      </w:r>
    </w:p>
    <w:p w14:paraId="180E9C5E">
      <w:pPr>
        <w:pStyle w:val="4"/>
        <w:ind w:left="840" w:hanging="840" w:hangingChars="350"/>
        <w:rPr>
          <w:rFonts w:hint="eastAsia" w:hAnsi="宋体" w:cs="宋体"/>
          <w:color w:val="auto"/>
          <w:szCs w:val="24"/>
        </w:rPr>
      </w:pPr>
      <w:r>
        <w:rPr>
          <w:rFonts w:hint="eastAsia" w:hAnsi="宋体" w:cs="宋体"/>
          <w:color w:val="auto"/>
          <w:szCs w:val="24"/>
        </w:rPr>
        <w:t>6.2</w:t>
      </w:r>
      <w:r>
        <w:rPr>
          <w:rFonts w:hint="eastAsia" w:hAnsi="宋体" w:cs="宋体"/>
          <w:color w:val="auto"/>
          <w:szCs w:val="24"/>
        </w:rPr>
        <w:tab/>
      </w:r>
      <w:r>
        <w:rPr>
          <w:rFonts w:hint="eastAsia" w:hAnsi="宋体" w:cs="宋体"/>
          <w:color w:val="auto"/>
          <w:szCs w:val="24"/>
        </w:rPr>
        <w:t>采购人可主动地或在解答</w:t>
      </w:r>
      <w:r>
        <w:rPr>
          <w:rFonts w:hint="eastAsia" w:hAnsi="宋体" w:cs="宋体"/>
          <w:color w:val="auto"/>
          <w:szCs w:val="24"/>
          <w:lang w:eastAsia="zh-CN"/>
        </w:rPr>
        <w:t>投标人</w:t>
      </w:r>
      <w:r>
        <w:rPr>
          <w:rFonts w:hint="eastAsia" w:hAnsi="宋体" w:cs="宋体"/>
          <w:color w:val="auto"/>
          <w:szCs w:val="24"/>
        </w:rPr>
        <w:t>提出的澄清问题时对磋商文件进行澄清或修改。采购代理机构将以发布澄清（更正）公告的方式，澄清或修改磋商文件，澄清或修改内容作为磋商文件的组成部分。</w:t>
      </w:r>
    </w:p>
    <w:p w14:paraId="300F934B">
      <w:pPr>
        <w:pStyle w:val="4"/>
        <w:ind w:left="840" w:hanging="840" w:hangingChars="350"/>
        <w:rPr>
          <w:rFonts w:hint="eastAsia" w:hAnsi="宋体" w:cs="宋体"/>
          <w:color w:val="auto"/>
          <w:szCs w:val="24"/>
        </w:rPr>
      </w:pPr>
      <w:r>
        <w:rPr>
          <w:rFonts w:hint="eastAsia" w:hAnsi="宋体" w:cs="宋体"/>
          <w:color w:val="auto"/>
          <w:szCs w:val="24"/>
        </w:rPr>
        <w:t>6.3</w:t>
      </w:r>
      <w:r>
        <w:rPr>
          <w:rFonts w:hint="eastAsia" w:hAnsi="宋体" w:cs="宋体"/>
          <w:color w:val="auto"/>
          <w:szCs w:val="24"/>
        </w:rPr>
        <w:tab/>
      </w:r>
      <w:r>
        <w:rPr>
          <w:rFonts w:hint="eastAsia" w:hAnsi="宋体" w:cs="宋体"/>
          <w:color w:val="auto"/>
          <w:szCs w:val="24"/>
        </w:rPr>
        <w:t>澄清或者修改的内容可能影响</w:t>
      </w:r>
      <w:r>
        <w:rPr>
          <w:rFonts w:hint="eastAsia" w:hAnsi="宋体" w:cs="宋体"/>
          <w:color w:val="auto"/>
          <w:szCs w:val="24"/>
          <w:lang w:val="en-US" w:eastAsia="zh-CN"/>
        </w:rPr>
        <w:t>响应</w:t>
      </w:r>
      <w:r>
        <w:rPr>
          <w:rFonts w:hint="eastAsia" w:hAnsi="宋体" w:cs="宋体"/>
          <w:color w:val="auto"/>
          <w:szCs w:val="24"/>
        </w:rPr>
        <w:t>文件编制的，采购代理机构将以书面形式通知所有购买磋商文件的</w:t>
      </w:r>
      <w:r>
        <w:rPr>
          <w:rFonts w:hint="eastAsia" w:hAnsi="宋体" w:cs="宋体"/>
          <w:color w:val="auto"/>
          <w:szCs w:val="24"/>
          <w:highlight w:val="none"/>
        </w:rPr>
        <w:t>的潜在</w:t>
      </w:r>
      <w:r>
        <w:rPr>
          <w:rFonts w:hint="eastAsia" w:hAnsi="宋体" w:cs="宋体"/>
          <w:color w:val="auto"/>
          <w:szCs w:val="24"/>
          <w:highlight w:val="none"/>
          <w:lang w:val="en-US" w:eastAsia="zh-CN"/>
        </w:rPr>
        <w:t>投标人</w:t>
      </w:r>
      <w:r>
        <w:rPr>
          <w:rFonts w:hint="eastAsia" w:hAnsi="宋体" w:cs="宋体"/>
          <w:color w:val="auto"/>
          <w:szCs w:val="24"/>
        </w:rPr>
        <w:t>，并对其具有约束力。</w:t>
      </w:r>
      <w:r>
        <w:rPr>
          <w:rFonts w:hint="eastAsia" w:hAnsi="宋体" w:cs="宋体"/>
          <w:color w:val="auto"/>
          <w:szCs w:val="24"/>
          <w:lang w:eastAsia="zh-CN"/>
        </w:rPr>
        <w:t>投标人</w:t>
      </w:r>
      <w:r>
        <w:rPr>
          <w:rFonts w:hint="eastAsia" w:hAnsi="宋体" w:cs="宋体"/>
          <w:color w:val="auto"/>
          <w:szCs w:val="24"/>
        </w:rPr>
        <w:t>在收到上述通知后，应及时向采购代理机构回函确认。</w:t>
      </w:r>
    </w:p>
    <w:p w14:paraId="7064D508">
      <w:pPr>
        <w:pStyle w:val="5"/>
        <w:keepNext w:val="0"/>
        <w:keepLines w:val="0"/>
        <w:pageBreakBefore w:val="0"/>
        <w:widowControl w:val="0"/>
        <w:tabs>
          <w:tab w:val="left" w:pos="900"/>
        </w:tabs>
        <w:kinsoku/>
        <w:overflowPunct/>
        <w:bidi w:val="0"/>
        <w:spacing w:before="0" w:after="0" w:line="240" w:lineRule="atLeast"/>
        <w:rPr>
          <w:rFonts w:hint="eastAsia" w:ascii="宋体" w:hAnsi="宋体" w:eastAsia="宋体" w:cs="宋体"/>
          <w:color w:val="auto"/>
          <w:sz w:val="24"/>
          <w:szCs w:val="20"/>
          <w:highlight w:val="none"/>
          <w:u w:val="none"/>
        </w:rPr>
      </w:pPr>
      <w:r>
        <w:rPr>
          <w:rFonts w:hint="eastAsia" w:ascii="宋体" w:hAnsi="宋体" w:eastAsia="宋体" w:cs="宋体"/>
          <w:color w:val="auto"/>
          <w:sz w:val="24"/>
          <w:szCs w:val="20"/>
          <w:highlight w:val="none"/>
          <w:u w:val="none"/>
        </w:rPr>
        <w:t>7</w:t>
      </w:r>
      <w:bookmarkEnd w:id="45"/>
      <w:bookmarkEnd w:id="46"/>
      <w:bookmarkEnd w:id="47"/>
      <w:r>
        <w:rPr>
          <w:rFonts w:hint="eastAsia" w:ascii="宋体" w:hAnsi="宋体" w:eastAsia="宋体" w:cs="宋体"/>
          <w:color w:val="auto"/>
          <w:sz w:val="24"/>
          <w:szCs w:val="20"/>
          <w:highlight w:val="none"/>
          <w:u w:val="none"/>
        </w:rPr>
        <w:t>.投标截止时间的顺延</w:t>
      </w:r>
      <w:bookmarkEnd w:id="48"/>
      <w:bookmarkEnd w:id="49"/>
      <w:bookmarkEnd w:id="50"/>
    </w:p>
    <w:p w14:paraId="5B3D53D8">
      <w:pPr>
        <w:spacing w:line="240" w:lineRule="atLeast"/>
        <w:ind w:left="840" w:hanging="840" w:hangingChars="350"/>
        <w:rPr>
          <w:rFonts w:hint="eastAsia" w:ascii="宋体" w:hAnsi="宋体" w:cs="宋体"/>
          <w:color w:val="auto"/>
          <w:sz w:val="24"/>
        </w:rPr>
      </w:pPr>
      <w:bookmarkStart w:id="51" w:name="_Toc516367020"/>
      <w:bookmarkStart w:id="52" w:name="_Toc520356150"/>
      <w:bookmarkStart w:id="53" w:name="_Toc30808"/>
      <w:bookmarkStart w:id="54" w:name="_Toc31039"/>
      <w:bookmarkStart w:id="55" w:name="_Toc515647766"/>
      <w:bookmarkStart w:id="56" w:name="_Toc216582807"/>
      <w:bookmarkStart w:id="57" w:name="_Toc7636"/>
      <w:r>
        <w:rPr>
          <w:rFonts w:hint="eastAsia" w:ascii="宋体" w:hAnsi="宋体" w:cs="宋体"/>
          <w:color w:val="auto"/>
          <w:sz w:val="24"/>
        </w:rPr>
        <w:t>7.1</w:t>
      </w:r>
      <w:r>
        <w:rPr>
          <w:rFonts w:hint="eastAsia" w:ascii="宋体" w:hAnsi="宋体" w:cs="宋体"/>
          <w:color w:val="auto"/>
          <w:sz w:val="24"/>
        </w:rPr>
        <w:tab/>
      </w:r>
      <w:r>
        <w:rPr>
          <w:rFonts w:hint="eastAsia" w:ascii="宋体" w:hAnsi="宋体" w:cs="宋体"/>
          <w:color w:val="auto"/>
          <w:sz w:val="24"/>
        </w:rPr>
        <w:t>为使</w:t>
      </w:r>
      <w:r>
        <w:rPr>
          <w:rFonts w:hint="eastAsia" w:ascii="宋体" w:hAnsi="宋体" w:cs="宋体"/>
          <w:color w:val="auto"/>
          <w:sz w:val="24"/>
          <w:lang w:val="en-US" w:eastAsia="zh-CN"/>
        </w:rPr>
        <w:t>投标人</w:t>
      </w:r>
      <w:r>
        <w:rPr>
          <w:rFonts w:hint="eastAsia" w:ascii="宋体" w:hAnsi="宋体" w:cs="宋体"/>
          <w:color w:val="auto"/>
          <w:sz w:val="24"/>
        </w:rPr>
        <w:t>准备磋商时有足够的时间对磋商文件的澄清或者修改部分进行研究，采购人将依法决定是否顺延</w:t>
      </w:r>
      <w:r>
        <w:rPr>
          <w:rFonts w:hint="eastAsia" w:ascii="宋体" w:hAnsi="宋体" w:cs="宋体"/>
          <w:color w:val="auto"/>
          <w:sz w:val="24"/>
          <w:lang w:val="en-US" w:eastAsia="zh-CN"/>
        </w:rPr>
        <w:t>投标</w:t>
      </w:r>
      <w:r>
        <w:rPr>
          <w:rFonts w:hint="eastAsia" w:ascii="宋体" w:hAnsi="宋体" w:cs="宋体"/>
          <w:color w:val="auto"/>
          <w:sz w:val="24"/>
        </w:rPr>
        <w:t>截止时间。</w:t>
      </w:r>
    </w:p>
    <w:p w14:paraId="79FAC801">
      <w:pPr>
        <w:pStyle w:val="3"/>
        <w:keepNext w:val="0"/>
        <w:keepLines w:val="0"/>
        <w:pageBreakBefore w:val="0"/>
        <w:widowControl w:val="0"/>
        <w:kinsoku/>
        <w:overflowPunct/>
        <w:bidi w:val="0"/>
        <w:spacing w:before="0" w:line="240" w:lineRule="atLeast"/>
        <w:ind w:left="1080" w:leftChars="257" w:hanging="540"/>
        <w:rPr>
          <w:rFonts w:hint="eastAsia" w:ascii="宋体" w:hAnsi="宋体" w:eastAsia="宋体" w:cs="宋体"/>
          <w:color w:val="auto"/>
          <w:sz w:val="28"/>
          <w:highlight w:val="none"/>
        </w:rPr>
      </w:pPr>
      <w:r>
        <w:rPr>
          <w:rFonts w:hint="eastAsia" w:ascii="宋体" w:hAnsi="宋体" w:eastAsia="宋体" w:cs="宋体"/>
          <w:color w:val="auto"/>
          <w:sz w:val="28"/>
          <w:highlight w:val="none"/>
        </w:rPr>
        <w:t xml:space="preserve">三   </w:t>
      </w:r>
      <w:bookmarkEnd w:id="51"/>
      <w:r>
        <w:rPr>
          <w:rFonts w:hint="eastAsia" w:ascii="宋体" w:hAnsi="宋体" w:eastAsia="宋体" w:cs="宋体"/>
          <w:color w:val="auto"/>
          <w:sz w:val="28"/>
          <w:highlight w:val="none"/>
          <w:lang w:eastAsia="zh-CN"/>
        </w:rPr>
        <w:t>响应文件</w:t>
      </w:r>
      <w:r>
        <w:rPr>
          <w:rFonts w:hint="eastAsia" w:ascii="宋体" w:hAnsi="宋体" w:eastAsia="宋体" w:cs="宋体"/>
          <w:color w:val="auto"/>
          <w:sz w:val="28"/>
          <w:highlight w:val="none"/>
        </w:rPr>
        <w:t>的编制</w:t>
      </w:r>
      <w:bookmarkEnd w:id="52"/>
      <w:bookmarkEnd w:id="53"/>
      <w:bookmarkEnd w:id="54"/>
      <w:bookmarkEnd w:id="55"/>
      <w:bookmarkEnd w:id="56"/>
      <w:bookmarkEnd w:id="57"/>
    </w:p>
    <w:p w14:paraId="22C3152C">
      <w:pPr>
        <w:pStyle w:val="5"/>
        <w:keepNext w:val="0"/>
        <w:keepLines w:val="0"/>
        <w:pageBreakBefore w:val="0"/>
        <w:widowControl w:val="0"/>
        <w:tabs>
          <w:tab w:val="left" w:pos="900"/>
        </w:tabs>
        <w:kinsoku/>
        <w:wordWrap/>
        <w:overflowPunct/>
        <w:topLinePunct w:val="0"/>
        <w:autoSpaceDE w:val="0"/>
        <w:autoSpaceDN w:val="0"/>
        <w:bidi w:val="0"/>
        <w:adjustRightInd w:val="0"/>
        <w:snapToGrid/>
        <w:spacing w:before="0" w:after="0" w:line="240" w:lineRule="atLeast"/>
        <w:ind w:left="0" w:hanging="964" w:hangingChars="400"/>
        <w:textAlignment w:val="auto"/>
        <w:rPr>
          <w:rFonts w:hint="eastAsia" w:ascii="宋体" w:hAnsi="宋体" w:eastAsia="宋体" w:cs="宋体"/>
          <w:color w:val="auto"/>
          <w:highlight w:val="none"/>
          <w:u w:val="none"/>
        </w:rPr>
      </w:pPr>
      <w:bookmarkStart w:id="58" w:name="_Toc516367021"/>
      <w:bookmarkStart w:id="59" w:name="_Toc7786"/>
      <w:bookmarkStart w:id="60" w:name="_Toc3553"/>
      <w:bookmarkStart w:id="61" w:name="_Toc515647767"/>
      <w:bookmarkStart w:id="62" w:name="_Toc30570"/>
      <w:bookmarkStart w:id="63" w:name="_Toc520356151"/>
      <w:r>
        <w:rPr>
          <w:rFonts w:hint="eastAsia" w:ascii="宋体" w:hAnsi="宋体" w:eastAsia="宋体" w:cs="宋体"/>
          <w:color w:val="auto"/>
          <w:highlight w:val="none"/>
          <w:u w:val="none"/>
        </w:rPr>
        <w:t>8.投标范围及</w:t>
      </w:r>
      <w:r>
        <w:rPr>
          <w:rFonts w:hint="eastAsia" w:hAnsi="宋体" w:cs="宋体"/>
          <w:color w:val="auto"/>
          <w:highlight w:val="none"/>
          <w:u w:val="none"/>
          <w:lang w:eastAsia="zh-CN"/>
        </w:rPr>
        <w:t>响应文件</w:t>
      </w:r>
      <w:r>
        <w:rPr>
          <w:rFonts w:hint="eastAsia" w:ascii="宋体" w:hAnsi="宋体" w:eastAsia="宋体" w:cs="宋体"/>
          <w:color w:val="auto"/>
          <w:highlight w:val="none"/>
          <w:u w:val="none"/>
        </w:rPr>
        <w:t>中标准和计量单位的使用</w:t>
      </w:r>
      <w:bookmarkEnd w:id="58"/>
      <w:bookmarkEnd w:id="59"/>
      <w:bookmarkEnd w:id="60"/>
      <w:bookmarkEnd w:id="61"/>
      <w:bookmarkEnd w:id="62"/>
      <w:bookmarkEnd w:id="63"/>
    </w:p>
    <w:p w14:paraId="224F8120">
      <w:pPr>
        <w:spacing w:line="240" w:lineRule="atLeast"/>
        <w:ind w:left="840" w:hanging="840" w:hangingChars="350"/>
        <w:rPr>
          <w:rFonts w:hint="eastAsia" w:ascii="宋体" w:hAnsi="宋体" w:cs="宋体"/>
          <w:color w:val="auto"/>
          <w:sz w:val="24"/>
          <w:highlight w:val="none"/>
        </w:rPr>
      </w:pPr>
      <w:bookmarkStart w:id="64" w:name="_Toc516367022"/>
      <w:bookmarkStart w:id="65" w:name="_Ref467306676"/>
      <w:bookmarkStart w:id="66" w:name="_Ref467306195"/>
      <w:bookmarkStart w:id="67" w:name="_Toc28307"/>
      <w:bookmarkStart w:id="68" w:name="_Toc520356152"/>
      <w:bookmarkStart w:id="69" w:name="_Toc515647768"/>
      <w:bookmarkStart w:id="70" w:name="_Toc10364"/>
      <w:bookmarkStart w:id="71" w:name="_Toc18692"/>
      <w:bookmarkStart w:id="72" w:name="_Toc4601"/>
      <w:bookmarkStart w:id="73" w:name="_Toc10379"/>
      <w:bookmarkStart w:id="74" w:name="_Toc13143"/>
      <w:bookmarkStart w:id="75" w:name="_Toc520356153"/>
      <w:bookmarkStart w:id="76" w:name="_Toc516367023"/>
      <w:bookmarkStart w:id="77" w:name="_Toc515647769"/>
      <w:r>
        <w:rPr>
          <w:rFonts w:hint="eastAsia" w:ascii="宋体" w:hAnsi="宋体" w:cs="宋体"/>
          <w:color w:val="auto"/>
          <w:sz w:val="24"/>
          <w:highlight w:val="none"/>
        </w:rPr>
        <w:t>8.1</w:t>
      </w:r>
      <w:r>
        <w:rPr>
          <w:rFonts w:hint="eastAsia" w:ascii="宋体" w:hAnsi="宋体" w:cs="宋体"/>
          <w:color w:val="auto"/>
          <w:sz w:val="24"/>
          <w:highlight w:val="none"/>
        </w:rPr>
        <w:tab/>
      </w:r>
      <w:r>
        <w:rPr>
          <w:rFonts w:hint="eastAsia" w:ascii="宋体" w:hAnsi="宋体" w:cs="宋体"/>
          <w:color w:val="auto"/>
          <w:sz w:val="24"/>
          <w:highlight w:val="none"/>
        </w:rPr>
        <w:t>项目有分包的，</w:t>
      </w:r>
      <w:r>
        <w:rPr>
          <w:rFonts w:hint="eastAsia" w:ascii="宋体" w:hAnsi="宋体" w:cs="宋体"/>
          <w:color w:val="auto"/>
          <w:sz w:val="24"/>
          <w:highlight w:val="none"/>
          <w:lang w:val="en-US" w:eastAsia="zh-CN"/>
        </w:rPr>
        <w:t>投标人</w:t>
      </w:r>
      <w:r>
        <w:rPr>
          <w:rFonts w:hint="eastAsia" w:ascii="宋体" w:hAnsi="宋体" w:cs="宋体"/>
          <w:color w:val="auto"/>
          <w:sz w:val="24"/>
          <w:highlight w:val="none"/>
        </w:rPr>
        <w:t>可对</w:t>
      </w:r>
      <w:r>
        <w:rPr>
          <w:rFonts w:hint="eastAsia" w:ascii="宋体" w:hAnsi="宋体" w:cs="宋体"/>
          <w:color w:val="auto"/>
          <w:sz w:val="24"/>
          <w:highlight w:val="none"/>
          <w:lang w:val="en-US" w:eastAsia="zh-CN"/>
        </w:rPr>
        <w:t>磋商</w:t>
      </w:r>
      <w:r>
        <w:rPr>
          <w:rFonts w:hint="eastAsia" w:ascii="宋体" w:hAnsi="宋体" w:cs="宋体"/>
          <w:color w:val="auto"/>
          <w:sz w:val="24"/>
          <w:highlight w:val="none"/>
          <w:lang w:eastAsia="zh-CN"/>
        </w:rPr>
        <w:t>文件</w:t>
      </w:r>
      <w:r>
        <w:rPr>
          <w:rFonts w:hint="eastAsia" w:ascii="宋体" w:hAnsi="宋体" w:cs="宋体"/>
          <w:color w:val="auto"/>
          <w:sz w:val="24"/>
          <w:highlight w:val="none"/>
        </w:rPr>
        <w:t>其中某一个或几个分包进行</w:t>
      </w:r>
      <w:r>
        <w:rPr>
          <w:rFonts w:hint="eastAsia" w:ascii="宋体" w:hAnsi="宋体" w:cs="宋体"/>
          <w:color w:val="auto"/>
          <w:sz w:val="24"/>
          <w:highlight w:val="none"/>
          <w:lang w:val="en-US" w:eastAsia="zh-CN"/>
        </w:rPr>
        <w:t>投标</w:t>
      </w:r>
      <w:r>
        <w:rPr>
          <w:rFonts w:hint="eastAsia" w:ascii="宋体" w:hAnsi="宋体" w:cs="宋体"/>
          <w:color w:val="auto"/>
          <w:sz w:val="24"/>
          <w:highlight w:val="none"/>
        </w:rPr>
        <w:t>，除非在</w:t>
      </w:r>
      <w:r>
        <w:rPr>
          <w:rFonts w:hint="eastAsia" w:ascii="宋体" w:hAnsi="宋体" w:cs="宋体"/>
          <w:color w:val="auto"/>
          <w:sz w:val="24"/>
          <w:highlight w:val="none"/>
          <w:u w:val="single"/>
          <w:lang w:eastAsia="zh-CN"/>
        </w:rPr>
        <w:t>投标人须知资料表</w:t>
      </w:r>
      <w:r>
        <w:rPr>
          <w:rFonts w:hint="eastAsia" w:ascii="宋体" w:hAnsi="宋体" w:cs="宋体"/>
          <w:color w:val="auto"/>
          <w:sz w:val="24"/>
          <w:highlight w:val="none"/>
        </w:rPr>
        <w:t>中另有规定。</w:t>
      </w:r>
    </w:p>
    <w:p w14:paraId="455A6864">
      <w:pPr>
        <w:spacing w:line="240" w:lineRule="atLeast"/>
        <w:ind w:left="840" w:hanging="840" w:hangingChars="350"/>
        <w:rPr>
          <w:rFonts w:hint="eastAsia" w:ascii="宋体" w:hAnsi="宋体" w:cs="宋体"/>
          <w:color w:val="auto"/>
          <w:sz w:val="24"/>
          <w:highlight w:val="none"/>
        </w:rPr>
      </w:pPr>
      <w:r>
        <w:rPr>
          <w:rFonts w:hint="eastAsia" w:ascii="宋体" w:hAnsi="宋体" w:cs="宋体"/>
          <w:color w:val="auto"/>
          <w:sz w:val="24"/>
          <w:highlight w:val="none"/>
        </w:rPr>
        <w:t xml:space="preserve">8.2    </w:t>
      </w:r>
      <w:r>
        <w:rPr>
          <w:rFonts w:hint="eastAsia" w:ascii="宋体" w:hAnsi="宋体" w:cs="宋体"/>
          <w:color w:val="auto"/>
          <w:sz w:val="24"/>
          <w:highlight w:val="none"/>
          <w:lang w:val="en-US" w:eastAsia="zh-CN"/>
        </w:rPr>
        <w:t>投标</w:t>
      </w:r>
      <w:r>
        <w:rPr>
          <w:rFonts w:hint="eastAsia" w:ascii="宋体" w:hAnsi="宋体" w:eastAsia="宋体" w:cs="宋体"/>
          <w:color w:val="auto"/>
          <w:sz w:val="24"/>
          <w:highlight w:val="none"/>
          <w:lang w:val="en-US" w:eastAsia="zh-CN"/>
        </w:rPr>
        <w:t>人应当对所投分包</w:t>
      </w:r>
      <w:r>
        <w:rPr>
          <w:rFonts w:hint="eastAsia" w:ascii="宋体" w:hAnsi="宋体" w:cs="宋体"/>
          <w:color w:val="auto"/>
          <w:sz w:val="24"/>
          <w:highlight w:val="none"/>
          <w:lang w:val="en-US" w:eastAsia="zh-CN"/>
        </w:rPr>
        <w:t>磋商</w:t>
      </w:r>
      <w:r>
        <w:rPr>
          <w:rFonts w:hint="eastAsia" w:ascii="宋体" w:hAnsi="宋体" w:eastAsia="宋体" w:cs="宋体"/>
          <w:color w:val="auto"/>
          <w:sz w:val="24"/>
          <w:highlight w:val="none"/>
          <w:lang w:val="en-US" w:eastAsia="zh-CN"/>
        </w:rPr>
        <w:t>文件中“</w:t>
      </w:r>
      <w:r>
        <w:rPr>
          <w:rFonts w:hint="eastAsia" w:ascii="宋体" w:hAnsi="宋体" w:cs="宋体"/>
          <w:color w:val="auto"/>
          <w:sz w:val="24"/>
          <w:highlight w:val="none"/>
          <w:lang w:val="en-US" w:eastAsia="zh-CN"/>
        </w:rPr>
        <w:t>服务需求</w:t>
      </w:r>
      <w:r>
        <w:rPr>
          <w:rFonts w:hint="eastAsia" w:ascii="宋体" w:hAnsi="宋体" w:eastAsia="宋体" w:cs="宋体"/>
          <w:color w:val="auto"/>
          <w:sz w:val="24"/>
          <w:highlight w:val="none"/>
          <w:lang w:val="en-US" w:eastAsia="zh-CN"/>
        </w:rPr>
        <w:t>一览表及项目要求”所列的所有内容进行投标，如仅响应分包中的部分内容，其投标将被认定为</w:t>
      </w:r>
      <w:r>
        <w:rPr>
          <w:rFonts w:hint="eastAsia" w:ascii="宋体" w:hAnsi="宋体" w:cs="宋体"/>
          <w:b/>
          <w:bCs/>
          <w:color w:val="auto"/>
          <w:sz w:val="24"/>
          <w:highlight w:val="none"/>
          <w:lang w:eastAsia="zh-CN"/>
        </w:rPr>
        <w:t>投标无效</w:t>
      </w:r>
      <w:r>
        <w:rPr>
          <w:rFonts w:hint="eastAsia" w:ascii="宋体" w:hAnsi="宋体" w:cs="宋体"/>
          <w:color w:val="auto"/>
          <w:sz w:val="24"/>
          <w:highlight w:val="none"/>
        </w:rPr>
        <w:t>。</w:t>
      </w:r>
    </w:p>
    <w:p w14:paraId="6087DC55">
      <w:pPr>
        <w:spacing w:line="240" w:lineRule="atLeast"/>
        <w:ind w:left="840" w:hanging="840" w:hangingChars="350"/>
        <w:rPr>
          <w:rFonts w:hint="eastAsia" w:ascii="宋体" w:hAnsi="宋体" w:cs="宋体"/>
          <w:color w:val="auto"/>
          <w:sz w:val="24"/>
          <w:highlight w:val="none"/>
        </w:rPr>
      </w:pPr>
      <w:r>
        <w:rPr>
          <w:rFonts w:hint="eastAsia" w:ascii="宋体" w:hAnsi="宋体" w:cs="宋体"/>
          <w:color w:val="auto"/>
          <w:sz w:val="24"/>
          <w:highlight w:val="none"/>
        </w:rPr>
        <w:t>8.3    无论</w:t>
      </w:r>
      <w:r>
        <w:rPr>
          <w:rFonts w:hint="eastAsia" w:ascii="宋体" w:hAnsi="宋体" w:cs="宋体"/>
          <w:color w:val="auto"/>
          <w:sz w:val="24"/>
          <w:highlight w:val="none"/>
          <w:lang w:val="en-US" w:eastAsia="zh-CN"/>
        </w:rPr>
        <w:t>磋商</w:t>
      </w:r>
      <w:r>
        <w:rPr>
          <w:rFonts w:hint="eastAsia" w:ascii="宋体" w:hAnsi="宋体" w:eastAsia="宋体" w:cs="宋体"/>
          <w:color w:val="auto"/>
          <w:sz w:val="24"/>
          <w:highlight w:val="none"/>
          <w:lang w:eastAsia="zh-CN"/>
        </w:rPr>
        <w:t>文件第5章</w:t>
      </w:r>
      <w:r>
        <w:rPr>
          <w:rFonts w:hint="eastAsia" w:ascii="宋体" w:hAnsi="宋体" w:cs="宋体"/>
          <w:color w:val="auto"/>
          <w:sz w:val="24"/>
          <w:highlight w:val="none"/>
          <w:lang w:val="en-US" w:eastAsia="zh-CN"/>
        </w:rPr>
        <w:t>服务需求</w:t>
      </w:r>
      <w:r>
        <w:rPr>
          <w:rFonts w:hint="eastAsia" w:ascii="宋体" w:hAnsi="宋体" w:eastAsia="宋体" w:cs="宋体"/>
          <w:color w:val="auto"/>
          <w:sz w:val="24"/>
          <w:highlight w:val="none"/>
          <w:lang w:eastAsia="zh-CN"/>
        </w:rPr>
        <w:t>一览表及项目要求中是否要求，</w:t>
      </w:r>
      <w:r>
        <w:rPr>
          <w:rFonts w:hint="eastAsia" w:ascii="宋体" w:hAnsi="宋体" w:eastAsia="宋体" w:cs="宋体"/>
          <w:color w:val="auto"/>
          <w:sz w:val="24"/>
          <w:highlight w:val="none"/>
          <w:lang w:val="en-US" w:eastAsia="zh-CN"/>
        </w:rPr>
        <w:t>投标人</w:t>
      </w:r>
      <w:r>
        <w:rPr>
          <w:rFonts w:hint="eastAsia" w:ascii="宋体" w:hAnsi="宋体" w:eastAsia="宋体" w:cs="宋体"/>
          <w:color w:val="auto"/>
          <w:sz w:val="24"/>
          <w:highlight w:val="none"/>
          <w:lang w:eastAsia="zh-CN"/>
        </w:rPr>
        <w:t>所投要求均应符合国家强制性标准。</w:t>
      </w:r>
    </w:p>
    <w:p w14:paraId="0C851E82">
      <w:pPr>
        <w:spacing w:line="240" w:lineRule="atLeast"/>
        <w:ind w:left="840" w:hanging="840" w:hangingChars="350"/>
        <w:rPr>
          <w:rFonts w:hint="eastAsia" w:ascii="宋体" w:hAnsi="宋体" w:cs="宋体"/>
          <w:color w:val="auto"/>
          <w:sz w:val="24"/>
          <w:highlight w:val="none"/>
        </w:rPr>
      </w:pPr>
      <w:r>
        <w:rPr>
          <w:rFonts w:hint="eastAsia" w:ascii="宋体" w:hAnsi="宋体" w:cs="宋体"/>
          <w:color w:val="auto"/>
          <w:sz w:val="24"/>
          <w:highlight w:val="none"/>
        </w:rPr>
        <w:t>8.4    除</w:t>
      </w:r>
      <w:r>
        <w:rPr>
          <w:rFonts w:hint="eastAsia" w:ascii="宋体" w:hAnsi="宋体" w:cs="宋体"/>
          <w:color w:val="auto"/>
          <w:sz w:val="24"/>
          <w:highlight w:val="none"/>
          <w:lang w:eastAsia="zh-CN"/>
        </w:rPr>
        <w:t>磋商文件</w:t>
      </w:r>
      <w:r>
        <w:rPr>
          <w:rFonts w:hint="eastAsia" w:ascii="宋体" w:hAnsi="宋体" w:cs="宋体"/>
          <w:color w:val="auto"/>
          <w:sz w:val="24"/>
          <w:highlight w:val="none"/>
        </w:rPr>
        <w:t>中有特殊要求外，响应文件中所使用的计量单位，应采用中华人民共和国法定计量单位。</w:t>
      </w:r>
    </w:p>
    <w:p w14:paraId="32B1F31E">
      <w:pPr>
        <w:pStyle w:val="5"/>
        <w:tabs>
          <w:tab w:val="left" w:pos="900"/>
        </w:tabs>
        <w:spacing w:before="0" w:after="0" w:line="240" w:lineRule="atLeast"/>
        <w:rPr>
          <w:rFonts w:hint="eastAsia" w:ascii="宋体" w:hAnsi="宋体" w:eastAsia="宋体" w:cs="宋体"/>
          <w:color w:val="auto"/>
          <w:highlight w:val="none"/>
          <w:u w:val="none"/>
        </w:rPr>
      </w:pPr>
      <w:r>
        <w:rPr>
          <w:rFonts w:hint="eastAsia" w:ascii="宋体" w:hAnsi="宋体" w:eastAsia="宋体" w:cs="宋体"/>
          <w:color w:val="auto"/>
          <w:highlight w:val="none"/>
          <w:u w:val="none"/>
        </w:rPr>
        <w:t>9.</w:t>
      </w:r>
      <w:bookmarkEnd w:id="64"/>
      <w:bookmarkEnd w:id="65"/>
      <w:bookmarkEnd w:id="66"/>
      <w:r>
        <w:rPr>
          <w:rFonts w:hint="eastAsia" w:hAnsi="宋体" w:cs="宋体"/>
          <w:color w:val="auto"/>
          <w:highlight w:val="none"/>
          <w:u w:val="none"/>
          <w:lang w:eastAsia="zh-CN"/>
        </w:rPr>
        <w:t>响应文件</w:t>
      </w:r>
      <w:r>
        <w:rPr>
          <w:rFonts w:hint="eastAsia" w:ascii="宋体" w:hAnsi="宋体" w:eastAsia="宋体" w:cs="宋体"/>
          <w:color w:val="auto"/>
          <w:highlight w:val="none"/>
          <w:u w:val="none"/>
        </w:rPr>
        <w:t>构成</w:t>
      </w:r>
      <w:bookmarkEnd w:id="67"/>
      <w:bookmarkEnd w:id="68"/>
      <w:bookmarkEnd w:id="69"/>
      <w:bookmarkEnd w:id="70"/>
      <w:bookmarkEnd w:id="71"/>
    </w:p>
    <w:p w14:paraId="3153A00F">
      <w:pPr>
        <w:keepNext w:val="0"/>
        <w:keepLines w:val="0"/>
        <w:pageBreakBefore w:val="0"/>
        <w:widowControl w:val="0"/>
        <w:kinsoku/>
        <w:wordWrap/>
        <w:overflowPunct/>
        <w:topLinePunct w:val="0"/>
        <w:autoSpaceDE/>
        <w:autoSpaceDN/>
        <w:bidi w:val="0"/>
        <w:adjustRightInd/>
        <w:snapToGrid/>
        <w:spacing w:line="240" w:lineRule="atLeast"/>
        <w:ind w:left="960" w:hanging="840" w:hangingChars="350"/>
        <w:textAlignment w:val="auto"/>
        <w:rPr>
          <w:rFonts w:hint="eastAsia" w:ascii="宋体" w:hAnsi="宋体" w:eastAsia="宋体" w:cs="宋体"/>
          <w:color w:val="FF0000"/>
          <w:sz w:val="24"/>
          <w:highlight w:val="none"/>
        </w:rPr>
      </w:pPr>
      <w:r>
        <w:rPr>
          <w:rFonts w:hint="eastAsia" w:ascii="宋体" w:hAnsi="宋体" w:eastAsia="宋体" w:cs="宋体"/>
          <w:color w:val="FF0000"/>
          <w:sz w:val="24"/>
          <w:highlight w:val="none"/>
        </w:rPr>
        <w:t xml:space="preserve">9.1    </w:t>
      </w:r>
      <w:r>
        <w:rPr>
          <w:rFonts w:hint="eastAsia" w:ascii="宋体" w:hAnsi="宋体" w:eastAsia="宋体" w:cs="宋体"/>
          <w:b/>
          <w:bCs/>
          <w:color w:val="FF0000"/>
          <w:sz w:val="24"/>
          <w:highlight w:val="none"/>
        </w:rPr>
        <w:t>投标人应完整地按</w:t>
      </w:r>
      <w:r>
        <w:rPr>
          <w:rFonts w:hint="eastAsia" w:ascii="宋体" w:hAnsi="宋体" w:eastAsia="宋体" w:cs="宋体"/>
          <w:b/>
          <w:bCs/>
          <w:color w:val="FF0000"/>
          <w:sz w:val="24"/>
          <w:highlight w:val="none"/>
          <w:lang w:val="en-US" w:eastAsia="zh-CN"/>
        </w:rPr>
        <w:t>磋商</w:t>
      </w:r>
      <w:r>
        <w:rPr>
          <w:rFonts w:hint="eastAsia" w:ascii="宋体" w:hAnsi="宋体" w:eastAsia="宋体" w:cs="宋体"/>
          <w:b/>
          <w:bCs/>
          <w:color w:val="FF0000"/>
          <w:sz w:val="24"/>
          <w:highlight w:val="none"/>
        </w:rPr>
        <w:t>文件提供的</w:t>
      </w:r>
      <w:r>
        <w:rPr>
          <w:rFonts w:hint="eastAsia" w:ascii="宋体" w:hAnsi="宋体" w:eastAsia="宋体" w:cs="宋体"/>
          <w:b/>
          <w:bCs/>
          <w:color w:val="FF0000"/>
          <w:sz w:val="24"/>
          <w:highlight w:val="none"/>
          <w:lang w:val="en-US" w:eastAsia="zh-CN"/>
        </w:rPr>
        <w:t>响应</w:t>
      </w:r>
      <w:r>
        <w:rPr>
          <w:rFonts w:hint="eastAsia" w:ascii="宋体" w:hAnsi="宋体" w:eastAsia="宋体" w:cs="宋体"/>
          <w:b/>
          <w:bCs/>
          <w:color w:val="FF0000"/>
          <w:sz w:val="24"/>
          <w:highlight w:val="none"/>
        </w:rPr>
        <w:t>文件格式及要求编写</w:t>
      </w:r>
      <w:r>
        <w:rPr>
          <w:rFonts w:hint="eastAsia" w:ascii="宋体" w:hAnsi="宋体" w:eastAsia="宋体" w:cs="宋体"/>
          <w:b/>
          <w:bCs/>
          <w:color w:val="FF0000"/>
          <w:sz w:val="24"/>
          <w:highlight w:val="none"/>
          <w:lang w:val="en-US" w:eastAsia="zh-CN"/>
        </w:rPr>
        <w:t>响应</w:t>
      </w:r>
      <w:r>
        <w:rPr>
          <w:rFonts w:hint="eastAsia" w:ascii="宋体" w:hAnsi="宋体" w:eastAsia="宋体" w:cs="宋体"/>
          <w:b/>
          <w:bCs/>
          <w:color w:val="FF0000"/>
          <w:sz w:val="24"/>
          <w:highlight w:val="none"/>
        </w:rPr>
        <w:t xml:space="preserve">文件， </w:t>
      </w:r>
      <w:r>
        <w:rPr>
          <w:rFonts w:hint="eastAsia" w:ascii="宋体" w:hAnsi="宋体" w:eastAsia="宋体" w:cs="宋体"/>
          <w:b/>
          <w:bCs/>
          <w:color w:val="FF0000"/>
          <w:sz w:val="24"/>
          <w:highlight w:val="none"/>
          <w:lang w:val="en-US" w:eastAsia="zh-CN"/>
        </w:rPr>
        <w:t>响应</w:t>
      </w:r>
      <w:r>
        <w:rPr>
          <w:rFonts w:hint="eastAsia" w:ascii="宋体" w:hAnsi="宋体" w:eastAsia="宋体" w:cs="宋体"/>
          <w:b/>
          <w:bCs/>
          <w:color w:val="FF0000"/>
          <w:sz w:val="24"/>
          <w:highlight w:val="none"/>
        </w:rPr>
        <w:t>文件应包括“ 开标一览表及资格证明文件” 和“ 商务及技术文件” 两部分。</w:t>
      </w:r>
    </w:p>
    <w:p w14:paraId="7BE19BD0">
      <w:pPr>
        <w:keepNext w:val="0"/>
        <w:keepLines w:val="0"/>
        <w:pageBreakBefore w:val="0"/>
        <w:widowControl w:val="0"/>
        <w:kinsoku/>
        <w:wordWrap/>
        <w:overflowPunct/>
        <w:topLinePunct w:val="0"/>
        <w:autoSpaceDE/>
        <w:autoSpaceDN/>
        <w:bidi w:val="0"/>
        <w:adjustRightInd/>
        <w:snapToGrid/>
        <w:spacing w:line="240" w:lineRule="atLeast"/>
        <w:ind w:left="960" w:hanging="840" w:hangingChars="35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9.2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上述文件应按照</w:t>
      </w:r>
      <w:r>
        <w:rPr>
          <w:rFonts w:hint="eastAsia" w:ascii="宋体" w:hAnsi="宋体" w:eastAsia="宋体" w:cs="宋体"/>
          <w:color w:val="auto"/>
          <w:sz w:val="24"/>
          <w:highlight w:val="none"/>
          <w:lang w:val="en-US" w:eastAsia="zh-CN"/>
        </w:rPr>
        <w:t>磋商</w:t>
      </w:r>
      <w:r>
        <w:rPr>
          <w:rFonts w:hint="eastAsia" w:ascii="宋体" w:hAnsi="宋体" w:eastAsia="宋体" w:cs="宋体"/>
          <w:color w:val="auto"/>
          <w:sz w:val="24"/>
          <w:highlight w:val="none"/>
        </w:rPr>
        <w:t>文件规定的格式填写、签署和盖章。若投标人未依照要求制作</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文件的，则视为不响应</w:t>
      </w:r>
      <w:r>
        <w:rPr>
          <w:rFonts w:hint="eastAsia" w:ascii="宋体" w:hAnsi="宋体" w:eastAsia="宋体" w:cs="宋体"/>
          <w:color w:val="auto"/>
          <w:sz w:val="24"/>
          <w:highlight w:val="none"/>
          <w:lang w:val="en-US" w:eastAsia="zh-CN"/>
        </w:rPr>
        <w:t>磋商</w:t>
      </w:r>
      <w:r>
        <w:rPr>
          <w:rFonts w:hint="eastAsia" w:ascii="宋体" w:hAnsi="宋体" w:eastAsia="宋体" w:cs="宋体"/>
          <w:color w:val="auto"/>
          <w:sz w:val="24"/>
          <w:highlight w:val="none"/>
        </w:rPr>
        <w:t>文件编制</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文件的要求，</w:t>
      </w:r>
      <w:bookmarkStart w:id="78" w:name="bookmark14"/>
      <w:bookmarkEnd w:id="78"/>
      <w:r>
        <w:rPr>
          <w:rFonts w:hint="eastAsia" w:ascii="宋体" w:hAnsi="宋体" w:eastAsia="宋体" w:cs="宋体"/>
          <w:color w:val="auto"/>
          <w:sz w:val="24"/>
          <w:highlight w:val="none"/>
        </w:rPr>
        <w:t>为</w:t>
      </w:r>
      <w:r>
        <w:rPr>
          <w:rFonts w:hint="eastAsia" w:ascii="宋体" w:hAnsi="宋体" w:eastAsia="宋体" w:cs="宋体"/>
          <w:b/>
          <w:bCs/>
          <w:color w:val="auto"/>
          <w:sz w:val="24"/>
          <w:highlight w:val="none"/>
        </w:rPr>
        <w:t>无效投标</w:t>
      </w:r>
      <w:r>
        <w:rPr>
          <w:rFonts w:hint="eastAsia" w:ascii="宋体" w:hAnsi="宋体" w:eastAsia="宋体" w:cs="宋体"/>
          <w:color w:val="auto"/>
          <w:sz w:val="24"/>
          <w:highlight w:val="none"/>
        </w:rPr>
        <w:t>。</w:t>
      </w:r>
    </w:p>
    <w:p w14:paraId="0799A972">
      <w:pPr>
        <w:pStyle w:val="5"/>
        <w:keepNext w:val="0"/>
        <w:keepLines w:val="0"/>
        <w:pageBreakBefore w:val="0"/>
        <w:widowControl w:val="0"/>
        <w:tabs>
          <w:tab w:val="left" w:pos="900"/>
        </w:tabs>
        <w:kinsoku/>
        <w:wordWrap/>
        <w:overflowPunct/>
        <w:topLinePunct w:val="0"/>
        <w:bidi w:val="0"/>
        <w:snapToGrid/>
        <w:spacing w:before="0" w:after="0" w:line="240" w:lineRule="atLeast"/>
        <w:ind w:left="960" w:hanging="964" w:hangingChars="400"/>
        <w:textAlignment w:val="auto"/>
        <w:rPr>
          <w:rFonts w:hint="eastAsia" w:ascii="宋体" w:hAnsi="宋体" w:eastAsia="宋体" w:cs="宋体"/>
          <w:b/>
          <w:bCs w:val="0"/>
          <w:color w:val="auto"/>
          <w:highlight w:val="none"/>
          <w:u w:val="none"/>
        </w:rPr>
      </w:pPr>
      <w:r>
        <w:rPr>
          <w:rFonts w:hint="eastAsia" w:ascii="宋体" w:hAnsi="宋体" w:eastAsia="宋体" w:cs="宋体"/>
          <w:b/>
          <w:bCs w:val="0"/>
          <w:color w:val="auto"/>
          <w:highlight w:val="none"/>
          <w:u w:val="none"/>
        </w:rPr>
        <w:t>10</w:t>
      </w:r>
      <w:r>
        <w:rPr>
          <w:rFonts w:hint="eastAsia" w:hAnsi="宋体" w:cs="宋体"/>
          <w:b/>
          <w:bCs w:val="0"/>
          <w:color w:val="auto"/>
          <w:highlight w:val="none"/>
          <w:u w:val="none"/>
          <w:lang w:eastAsia="zh-CN"/>
        </w:rPr>
        <w:t>.</w:t>
      </w:r>
      <w:r>
        <w:rPr>
          <w:rFonts w:hint="eastAsia" w:ascii="宋体" w:hAnsi="宋体" w:eastAsia="宋体" w:cs="宋体"/>
          <w:b/>
          <w:bCs w:val="0"/>
          <w:color w:val="auto"/>
          <w:highlight w:val="none"/>
          <w:u w:val="none"/>
        </w:rPr>
        <w:t>证明投标标的的合格性和符合</w:t>
      </w:r>
      <w:r>
        <w:rPr>
          <w:rFonts w:hint="eastAsia" w:hAnsi="宋体" w:cs="宋体"/>
          <w:b/>
          <w:bCs w:val="0"/>
          <w:color w:val="auto"/>
          <w:highlight w:val="none"/>
          <w:u w:val="none"/>
          <w:lang w:val="en-US" w:eastAsia="zh-CN"/>
        </w:rPr>
        <w:t>磋商</w:t>
      </w:r>
      <w:r>
        <w:rPr>
          <w:rFonts w:hint="eastAsia" w:ascii="宋体" w:hAnsi="宋体" w:eastAsia="宋体" w:cs="宋体"/>
          <w:b/>
          <w:bCs w:val="0"/>
          <w:color w:val="auto"/>
          <w:highlight w:val="none"/>
          <w:u w:val="none"/>
        </w:rPr>
        <w:t>文件规定的技术文件</w:t>
      </w:r>
      <w:bookmarkEnd w:id="72"/>
      <w:bookmarkEnd w:id="73"/>
      <w:bookmarkEnd w:id="74"/>
      <w:bookmarkEnd w:id="75"/>
      <w:bookmarkEnd w:id="76"/>
      <w:bookmarkEnd w:id="77"/>
    </w:p>
    <w:p w14:paraId="3351E24C">
      <w:pPr>
        <w:spacing w:line="240" w:lineRule="atLeast"/>
        <w:ind w:left="840" w:hanging="840" w:hangingChars="350"/>
        <w:rPr>
          <w:rFonts w:hint="eastAsia" w:ascii="宋体" w:hAnsi="宋体" w:cs="宋体"/>
          <w:color w:val="auto"/>
          <w:sz w:val="24"/>
          <w:highlight w:val="none"/>
        </w:rPr>
      </w:pPr>
      <w:bookmarkStart w:id="79" w:name="_Toc19624"/>
      <w:bookmarkStart w:id="80" w:name="_Toc23231"/>
      <w:bookmarkStart w:id="81" w:name="_Toc520356155"/>
      <w:bookmarkStart w:id="82" w:name="_Toc2248"/>
      <w:bookmarkStart w:id="83" w:name="_Toc515647770"/>
      <w:r>
        <w:rPr>
          <w:rFonts w:hint="eastAsia" w:ascii="宋体" w:hAnsi="宋体" w:cs="宋体"/>
          <w:color w:val="auto"/>
          <w:sz w:val="24"/>
          <w:highlight w:val="none"/>
        </w:rPr>
        <w:t>10.1</w:t>
      </w:r>
      <w:r>
        <w:rPr>
          <w:rFonts w:hint="eastAsia" w:ascii="宋体" w:hAnsi="宋体" w:cs="宋体"/>
          <w:color w:val="auto"/>
          <w:sz w:val="24"/>
          <w:highlight w:val="none"/>
        </w:rPr>
        <w:tab/>
      </w:r>
      <w:r>
        <w:rPr>
          <w:rFonts w:hint="eastAsia" w:ascii="宋体" w:hAnsi="宋体" w:cs="宋体"/>
          <w:color w:val="auto"/>
          <w:sz w:val="24"/>
          <w:highlight w:val="none"/>
          <w:lang w:val="en-US" w:eastAsia="zh-CN"/>
        </w:rPr>
        <w:t>投标人</w:t>
      </w:r>
      <w:r>
        <w:rPr>
          <w:rFonts w:hint="eastAsia" w:ascii="宋体" w:hAnsi="宋体" w:cs="宋体"/>
          <w:color w:val="auto"/>
          <w:sz w:val="24"/>
          <w:highlight w:val="none"/>
        </w:rPr>
        <w:t>应提交证明文件，证明其</w:t>
      </w:r>
      <w:r>
        <w:rPr>
          <w:rFonts w:hint="eastAsia" w:ascii="宋体" w:hAnsi="宋体" w:cs="宋体"/>
          <w:color w:val="auto"/>
          <w:sz w:val="24"/>
          <w:highlight w:val="none"/>
          <w:lang w:val="en-US" w:eastAsia="zh-CN"/>
        </w:rPr>
        <w:t>投标</w:t>
      </w:r>
      <w:r>
        <w:rPr>
          <w:rFonts w:hint="eastAsia" w:ascii="宋体" w:hAnsi="宋体" w:cs="宋体"/>
          <w:color w:val="auto"/>
          <w:sz w:val="24"/>
          <w:highlight w:val="none"/>
        </w:rPr>
        <w:t>内容符合</w:t>
      </w:r>
      <w:r>
        <w:rPr>
          <w:rFonts w:hint="eastAsia" w:ascii="宋体" w:hAnsi="宋体" w:cs="宋体"/>
          <w:color w:val="auto"/>
          <w:sz w:val="24"/>
          <w:highlight w:val="none"/>
          <w:lang w:eastAsia="zh-CN"/>
        </w:rPr>
        <w:t>磋商文件</w:t>
      </w:r>
      <w:r>
        <w:rPr>
          <w:rFonts w:hint="eastAsia" w:ascii="宋体" w:hAnsi="宋体" w:cs="宋体"/>
          <w:color w:val="auto"/>
          <w:sz w:val="24"/>
          <w:highlight w:val="none"/>
        </w:rPr>
        <w:t>规定。该证明文件是响应文件的一部分。</w:t>
      </w:r>
    </w:p>
    <w:p w14:paraId="21579E02">
      <w:pPr>
        <w:spacing w:line="240" w:lineRule="atLeast"/>
        <w:ind w:left="840" w:hanging="840" w:hangingChars="350"/>
        <w:rPr>
          <w:rFonts w:hint="eastAsia" w:ascii="宋体" w:hAnsi="宋体" w:eastAsia="宋体" w:cs="宋体"/>
          <w:color w:val="auto"/>
          <w:sz w:val="24"/>
          <w:highlight w:val="none"/>
          <w:lang w:eastAsia="zh-CN"/>
        </w:rPr>
      </w:pPr>
      <w:bookmarkStart w:id="84" w:name="_Ref467306244"/>
      <w:r>
        <w:rPr>
          <w:rFonts w:hint="eastAsia" w:ascii="宋体" w:hAnsi="宋体" w:cs="宋体"/>
          <w:color w:val="auto"/>
          <w:sz w:val="24"/>
          <w:highlight w:val="none"/>
        </w:rPr>
        <w:t>10.2</w:t>
      </w:r>
      <w:r>
        <w:rPr>
          <w:rFonts w:hint="eastAsia" w:ascii="宋体" w:hAnsi="宋体" w:cs="宋体"/>
          <w:color w:val="auto"/>
          <w:sz w:val="24"/>
          <w:highlight w:val="none"/>
        </w:rPr>
        <w:tab/>
      </w:r>
      <w:r>
        <w:rPr>
          <w:rFonts w:hint="eastAsia" w:ascii="宋体" w:hAnsi="宋体" w:cs="宋体"/>
          <w:color w:val="auto"/>
          <w:sz w:val="24"/>
          <w:highlight w:val="none"/>
        </w:rPr>
        <w:t>上款所述的证明文</w:t>
      </w:r>
      <w:r>
        <w:rPr>
          <w:rFonts w:hint="eastAsia" w:ascii="宋体" w:hAnsi="宋体" w:eastAsia="宋体" w:cs="宋体"/>
          <w:color w:val="auto"/>
          <w:sz w:val="24"/>
          <w:highlight w:val="none"/>
        </w:rPr>
        <w:t>件，</w:t>
      </w:r>
      <w:bookmarkEnd w:id="84"/>
      <w:r>
        <w:rPr>
          <w:rFonts w:hint="eastAsia" w:ascii="宋体" w:hAnsi="宋体" w:eastAsia="宋体" w:cs="宋体"/>
          <w:color w:val="auto"/>
          <w:sz w:val="24"/>
          <w:highlight w:val="none"/>
        </w:rPr>
        <w:t>可以是文字资料、图纸和数据，它包括：</w:t>
      </w:r>
    </w:p>
    <w:p w14:paraId="36861595">
      <w:pPr>
        <w:spacing w:line="240" w:lineRule="atLeast"/>
        <w:ind w:left="840" w:hanging="840" w:hangingChars="350"/>
        <w:rPr>
          <w:rFonts w:hint="eastAsia" w:ascii="宋体" w:hAnsi="宋体" w:cs="宋体"/>
          <w:color w:val="auto"/>
          <w:sz w:val="24"/>
          <w:highlight w:val="none"/>
        </w:rPr>
      </w:pPr>
      <w:r>
        <w:rPr>
          <w:rFonts w:hint="eastAsia" w:ascii="宋体" w:hAnsi="宋体" w:cs="宋体"/>
          <w:color w:val="auto"/>
          <w:sz w:val="24"/>
          <w:highlight w:val="none"/>
        </w:rPr>
        <w:t xml:space="preserve">10.2.1 </w:t>
      </w:r>
      <w:r>
        <w:rPr>
          <w:rFonts w:hint="eastAsia" w:ascii="宋体" w:hAnsi="宋体" w:eastAsia="宋体" w:cs="宋体"/>
          <w:color w:val="auto"/>
          <w:sz w:val="24"/>
          <w:highlight w:val="none"/>
        </w:rPr>
        <w:t>货物主要技术指标和性能的详细说明；</w:t>
      </w:r>
    </w:p>
    <w:p w14:paraId="6BFE3A56">
      <w:pPr>
        <w:spacing w:line="240" w:lineRule="atLeast"/>
        <w:ind w:left="840" w:hanging="840" w:hangingChars="350"/>
        <w:rPr>
          <w:rFonts w:hint="eastAsia" w:ascii="宋体" w:hAnsi="宋体" w:cs="宋体"/>
          <w:color w:val="auto"/>
          <w:sz w:val="24"/>
          <w:highlight w:val="none"/>
        </w:rPr>
      </w:pPr>
      <w:r>
        <w:rPr>
          <w:rFonts w:hint="eastAsia" w:ascii="宋体" w:hAnsi="宋体" w:cs="宋体"/>
          <w:color w:val="auto"/>
          <w:sz w:val="24"/>
          <w:highlight w:val="none"/>
        </w:rPr>
        <w:t xml:space="preserve">10.2.2 </w:t>
      </w:r>
      <w:r>
        <w:rPr>
          <w:rFonts w:hint="eastAsia" w:ascii="宋体" w:hAnsi="宋体" w:eastAsia="宋体" w:cs="宋体"/>
          <w:color w:val="auto"/>
          <w:sz w:val="24"/>
          <w:highlight w:val="none"/>
        </w:rPr>
        <w:t>货物从买方开始使用至</w:t>
      </w:r>
      <w:r>
        <w:rPr>
          <w:rFonts w:hint="eastAsia" w:ascii="宋体" w:hAnsi="宋体" w:cs="宋体"/>
          <w:color w:val="auto"/>
          <w:sz w:val="24"/>
          <w:highlight w:val="none"/>
          <w:lang w:val="en-US" w:eastAsia="zh-CN"/>
        </w:rPr>
        <w:t>磋商</w:t>
      </w:r>
      <w:r>
        <w:rPr>
          <w:rFonts w:hint="eastAsia" w:ascii="宋体" w:hAnsi="宋体" w:eastAsia="宋体" w:cs="宋体"/>
          <w:color w:val="auto"/>
          <w:sz w:val="24"/>
          <w:highlight w:val="none"/>
        </w:rPr>
        <w:t>文件规定的保质期内正常、连续地使用所必须的备件和专用工具清单，包括备件和专用工具的货源及现行价格；</w:t>
      </w:r>
    </w:p>
    <w:p w14:paraId="14E259A7">
      <w:pPr>
        <w:spacing w:line="240" w:lineRule="atLeast"/>
        <w:ind w:left="840" w:hanging="840" w:hangingChars="350"/>
        <w:rPr>
          <w:rFonts w:hint="eastAsia" w:ascii="宋体" w:hAnsi="宋体" w:eastAsia="宋体" w:cs="宋体"/>
          <w:color w:val="auto"/>
          <w:sz w:val="24"/>
          <w:highlight w:val="none"/>
        </w:rPr>
      </w:pPr>
      <w:r>
        <w:rPr>
          <w:rFonts w:hint="eastAsia" w:ascii="宋体" w:hAnsi="宋体" w:eastAsia="宋体" w:cs="宋体"/>
          <w:color w:val="auto"/>
          <w:sz w:val="24"/>
          <w:highlight w:val="none"/>
        </w:rPr>
        <w:t>10.2.3 对照</w:t>
      </w:r>
      <w:r>
        <w:rPr>
          <w:rFonts w:hint="eastAsia" w:ascii="宋体" w:hAnsi="宋体" w:eastAsia="宋体" w:cs="宋体"/>
          <w:color w:val="auto"/>
          <w:sz w:val="24"/>
          <w:highlight w:val="none"/>
          <w:lang w:val="en-US" w:eastAsia="zh-CN"/>
        </w:rPr>
        <w:t>磋商文件</w:t>
      </w:r>
      <w:r>
        <w:rPr>
          <w:rFonts w:hint="eastAsia" w:ascii="宋体" w:hAnsi="宋体" w:eastAsia="宋体" w:cs="宋体"/>
          <w:color w:val="auto"/>
          <w:sz w:val="24"/>
          <w:highlight w:val="none"/>
        </w:rPr>
        <w:t>技术规格，逐条说明所提供</w:t>
      </w:r>
      <w:r>
        <w:rPr>
          <w:rFonts w:hint="eastAsia" w:ascii="宋体" w:hAnsi="宋体" w:eastAsia="宋体" w:cs="宋体"/>
          <w:color w:val="auto"/>
          <w:sz w:val="24"/>
          <w:highlight w:val="none"/>
          <w:lang w:eastAsia="zh-CN"/>
        </w:rPr>
        <w:t>服务</w:t>
      </w:r>
      <w:r>
        <w:rPr>
          <w:rFonts w:hint="eastAsia" w:ascii="宋体" w:hAnsi="宋体" w:eastAsia="宋体" w:cs="宋体"/>
          <w:color w:val="auto"/>
          <w:sz w:val="24"/>
          <w:highlight w:val="none"/>
        </w:rPr>
        <w:t>及伴随的工程和</w:t>
      </w:r>
      <w:r>
        <w:rPr>
          <w:rFonts w:hint="eastAsia" w:ascii="宋体" w:hAnsi="宋体" w:eastAsia="宋体" w:cs="宋体"/>
          <w:color w:val="auto"/>
          <w:sz w:val="24"/>
          <w:highlight w:val="none"/>
          <w:lang w:eastAsia="zh-CN"/>
        </w:rPr>
        <w:t>服务</w:t>
      </w:r>
      <w:r>
        <w:rPr>
          <w:rFonts w:hint="eastAsia" w:ascii="宋体" w:hAnsi="宋体" w:eastAsia="宋体" w:cs="宋体"/>
          <w:color w:val="auto"/>
          <w:sz w:val="24"/>
          <w:highlight w:val="none"/>
        </w:rPr>
        <w:t>已对</w:t>
      </w:r>
      <w:r>
        <w:rPr>
          <w:rFonts w:hint="eastAsia" w:ascii="宋体" w:hAnsi="宋体" w:eastAsia="宋体" w:cs="宋体"/>
          <w:color w:val="auto"/>
          <w:sz w:val="24"/>
          <w:highlight w:val="none"/>
          <w:lang w:val="en-US" w:eastAsia="zh-CN"/>
        </w:rPr>
        <w:t>磋商文件</w:t>
      </w:r>
      <w:r>
        <w:rPr>
          <w:rFonts w:hint="eastAsia" w:ascii="宋体" w:hAnsi="宋体" w:eastAsia="宋体" w:cs="宋体"/>
          <w:color w:val="auto"/>
          <w:sz w:val="24"/>
          <w:highlight w:val="none"/>
        </w:rPr>
        <w:t>的技术规格做出了实质性的响应，或申明与技术规格条文的偏差和例外。</w:t>
      </w:r>
    </w:p>
    <w:p w14:paraId="56CA5015">
      <w:pPr>
        <w:spacing w:line="240" w:lineRule="atLeast"/>
        <w:ind w:left="840" w:hanging="840" w:hangingChars="350"/>
        <w:rPr>
          <w:rFonts w:hint="eastAsia" w:ascii="宋体" w:hAnsi="宋体" w:eastAsia="宋体" w:cs="宋体"/>
          <w:color w:val="auto"/>
          <w:sz w:val="24"/>
          <w:highlight w:val="none"/>
        </w:rPr>
      </w:pPr>
      <w:r>
        <w:rPr>
          <w:rFonts w:hint="eastAsia" w:ascii="宋体" w:hAnsi="宋体" w:eastAsia="宋体" w:cs="宋体"/>
          <w:color w:val="auto"/>
          <w:sz w:val="24"/>
          <w:highlight w:val="none"/>
        </w:rPr>
        <w:t>10.3</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投标人应注意采购人在技术规格中指出的工艺、材料和设备的参照品牌型号或分类号仅起说明作用，并没有任何限制性。投标人在投标中可以选用替代牌号或分类号，但这些替代要实质上相当于技术规格的要求。采购人、采购代理机构承诺不以上述参照品牌型号或分类号作为评标时判定其投标是否有效的标准。</w:t>
      </w:r>
    </w:p>
    <w:p w14:paraId="6621FE66">
      <w:pPr>
        <w:pStyle w:val="5"/>
        <w:keepNext w:val="0"/>
        <w:keepLines w:val="0"/>
        <w:pageBreakBefore w:val="0"/>
        <w:widowControl w:val="0"/>
        <w:kinsoku/>
        <w:overflowPunct/>
        <w:bidi w:val="0"/>
        <w:spacing w:before="0" w:after="0" w:line="240" w:lineRule="atLeast"/>
        <w:rPr>
          <w:rFonts w:hint="eastAsia" w:ascii="宋体" w:hAnsi="宋体" w:eastAsia="宋体" w:cs="宋体"/>
          <w:color w:val="auto"/>
          <w:highlight w:val="none"/>
          <w:u w:val="none"/>
        </w:rPr>
      </w:pPr>
      <w:r>
        <w:rPr>
          <w:rFonts w:hint="eastAsia" w:ascii="宋体" w:hAnsi="宋体" w:eastAsia="宋体" w:cs="宋体"/>
          <w:color w:val="auto"/>
          <w:highlight w:val="none"/>
          <w:u w:val="none"/>
        </w:rPr>
        <w:t>11.投标报价</w:t>
      </w:r>
      <w:bookmarkEnd w:id="79"/>
      <w:bookmarkEnd w:id="80"/>
      <w:bookmarkEnd w:id="81"/>
      <w:bookmarkEnd w:id="82"/>
      <w:bookmarkEnd w:id="83"/>
    </w:p>
    <w:p w14:paraId="39311000">
      <w:pPr>
        <w:spacing w:line="240" w:lineRule="atLeast"/>
        <w:ind w:left="840" w:hanging="840" w:hangingChars="350"/>
        <w:rPr>
          <w:rFonts w:hint="eastAsia" w:ascii="宋体" w:hAnsi="宋体" w:eastAsia="宋体" w:cs="宋体"/>
          <w:color w:val="auto"/>
          <w:sz w:val="24"/>
          <w:highlight w:val="none"/>
        </w:rPr>
      </w:pPr>
      <w:bookmarkStart w:id="85" w:name="_Toc17788"/>
      <w:bookmarkStart w:id="86" w:name="_Toc515647771"/>
      <w:bookmarkStart w:id="87" w:name="_Toc520356156"/>
      <w:bookmarkStart w:id="88" w:name="_Ref467306513"/>
      <w:bookmarkStart w:id="89" w:name="_Toc11514"/>
      <w:bookmarkStart w:id="90" w:name="_Toc22212"/>
      <w:r>
        <w:rPr>
          <w:rFonts w:hint="eastAsia" w:ascii="宋体" w:hAnsi="宋体" w:eastAsia="宋体" w:cs="宋体"/>
          <w:color w:val="auto"/>
          <w:sz w:val="24"/>
          <w:highlight w:val="none"/>
        </w:rPr>
        <w:t>11.1   所有投标均以人民币报价。投标人的投标报价应遵守《中华人民共和国价格法》。同时，根据《中华人民共和国政府采购法》第二条的规定，为保证公平竞争，如有货物主体部分的赠与行为，其投标将被认定为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14:paraId="2B515572">
      <w:pPr>
        <w:spacing w:line="240" w:lineRule="atLeast"/>
        <w:ind w:left="840" w:hanging="840" w:hangingChars="350"/>
        <w:rPr>
          <w:rFonts w:hint="eastAsia" w:ascii="宋体" w:hAnsi="宋体" w:eastAsia="宋体" w:cs="宋体"/>
          <w:color w:val="auto"/>
          <w:sz w:val="24"/>
          <w:highlight w:val="none"/>
        </w:rPr>
      </w:pPr>
      <w:r>
        <w:rPr>
          <w:rFonts w:hint="eastAsia" w:ascii="宋体" w:hAnsi="宋体" w:eastAsia="宋体" w:cs="宋体"/>
          <w:color w:val="auto"/>
          <w:sz w:val="24"/>
          <w:highlight w:val="none"/>
        </w:rPr>
        <w:t>11.2   投标人应在投标分项报价表上标明分项服务的价格（如适用）和总价，并由法定代表人或其委托代理人签署。</w:t>
      </w:r>
    </w:p>
    <w:p w14:paraId="6D68DFE2">
      <w:pPr>
        <w:spacing w:line="240" w:lineRule="atLeast"/>
        <w:ind w:left="840" w:hanging="840" w:hangingChars="350"/>
        <w:rPr>
          <w:rFonts w:hint="eastAsia" w:ascii="宋体" w:hAnsi="宋体" w:eastAsia="宋体" w:cs="宋体"/>
          <w:color w:val="auto"/>
          <w:sz w:val="24"/>
          <w:highlight w:val="none"/>
        </w:rPr>
      </w:pPr>
      <w:r>
        <w:rPr>
          <w:rFonts w:hint="eastAsia" w:ascii="宋体" w:hAnsi="宋体" w:eastAsia="宋体" w:cs="宋体"/>
          <w:color w:val="auto"/>
          <w:sz w:val="24"/>
          <w:highlight w:val="none"/>
        </w:rPr>
        <w:t>11.3   采购人不接受具有附加条件的报价。</w:t>
      </w:r>
    </w:p>
    <w:p w14:paraId="566B1C92">
      <w:pPr>
        <w:spacing w:line="240" w:lineRule="atLeast"/>
        <w:ind w:left="840" w:hanging="840" w:hangingChars="350"/>
        <w:rPr>
          <w:rFonts w:hint="eastAsia" w:ascii="宋体" w:hAnsi="宋体" w:eastAsia="宋体" w:cs="宋体"/>
          <w:color w:val="auto"/>
          <w:sz w:val="24"/>
          <w:highlight w:val="none"/>
        </w:rPr>
      </w:pPr>
      <w:r>
        <w:rPr>
          <w:rFonts w:hint="eastAsia" w:ascii="宋体" w:hAnsi="宋体" w:eastAsia="宋体" w:cs="宋体"/>
          <w:color w:val="auto"/>
          <w:sz w:val="24"/>
          <w:highlight w:val="none"/>
        </w:rPr>
        <w:t>11.4   投标人所报的各分项投标报价在合同履行过程中是固定不变的，不得以任何理由予以变更。任何包含价格调整要求的投标，将被认定为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14:paraId="0B34693D">
      <w:pPr>
        <w:spacing w:line="240" w:lineRule="atLeast"/>
        <w:ind w:left="840" w:hanging="840" w:hangingChars="350"/>
        <w:rPr>
          <w:rFonts w:hint="eastAsia" w:ascii="宋体" w:hAnsi="宋体" w:cs="宋体"/>
          <w:color w:val="auto"/>
          <w:sz w:val="24"/>
        </w:rPr>
      </w:pPr>
      <w:r>
        <w:rPr>
          <w:rFonts w:hint="eastAsia" w:ascii="宋体" w:hAnsi="宋体" w:cs="宋体"/>
          <w:color w:val="auto"/>
          <w:sz w:val="24"/>
        </w:rPr>
        <w:t>11.</w:t>
      </w:r>
      <w:r>
        <w:rPr>
          <w:rFonts w:hint="eastAsia" w:ascii="宋体" w:hAnsi="宋体" w:cs="宋体"/>
          <w:color w:val="auto"/>
          <w:sz w:val="24"/>
          <w:lang w:val="en-US" w:eastAsia="zh-CN"/>
        </w:rPr>
        <w:t>5</w:t>
      </w:r>
      <w:r>
        <w:rPr>
          <w:rFonts w:hint="eastAsia" w:ascii="宋体" w:hAnsi="宋体" w:cs="宋体"/>
          <w:color w:val="auto"/>
          <w:sz w:val="24"/>
        </w:rPr>
        <w:t xml:space="preserve">   竞争性磋商采用两次报价的方式。</w:t>
      </w:r>
    </w:p>
    <w:p w14:paraId="4424A82F">
      <w:pPr>
        <w:keepNext w:val="0"/>
        <w:keepLines w:val="0"/>
        <w:pageBreakBefore w:val="0"/>
        <w:widowControl w:val="0"/>
        <w:kinsoku/>
        <w:wordWrap/>
        <w:overflowPunct/>
        <w:topLinePunct w:val="0"/>
        <w:autoSpaceDE/>
        <w:autoSpaceDN/>
        <w:bidi w:val="0"/>
        <w:adjustRightInd/>
        <w:snapToGrid/>
        <w:spacing w:line="240" w:lineRule="atLeast"/>
        <w:ind w:left="840" w:leftChars="400"/>
        <w:textAlignment w:val="auto"/>
        <w:rPr>
          <w:rFonts w:hint="eastAsia" w:ascii="宋体" w:hAnsi="宋体" w:cs="宋体"/>
          <w:b/>
          <w:bCs/>
          <w:color w:val="auto"/>
          <w:sz w:val="24"/>
        </w:rPr>
      </w:pPr>
      <w:r>
        <w:rPr>
          <w:rFonts w:hint="eastAsia" w:ascii="宋体" w:hAnsi="宋体" w:cs="宋体"/>
          <w:b/>
          <w:bCs/>
          <w:color w:val="auto"/>
          <w:sz w:val="24"/>
        </w:rPr>
        <w:t>二次报价为最终报价，磋商小组所有成员集中与单一</w:t>
      </w:r>
      <w:r>
        <w:rPr>
          <w:rFonts w:hint="eastAsia" w:ascii="宋体" w:hAnsi="宋体" w:cs="宋体"/>
          <w:b/>
          <w:bCs/>
          <w:color w:val="auto"/>
          <w:sz w:val="24"/>
          <w:lang w:eastAsia="zh-CN"/>
        </w:rPr>
        <w:t>投标人</w:t>
      </w:r>
      <w:r>
        <w:rPr>
          <w:rFonts w:hint="eastAsia" w:ascii="宋体" w:hAnsi="宋体" w:cs="宋体"/>
          <w:b/>
          <w:bCs/>
          <w:color w:val="auto"/>
          <w:sz w:val="24"/>
        </w:rPr>
        <w:t>分别或对本项目存在的共性问题共同进行磋商，并给予所有参加磋商的</w:t>
      </w:r>
      <w:r>
        <w:rPr>
          <w:rFonts w:hint="eastAsia" w:ascii="宋体" w:hAnsi="宋体" w:cs="宋体"/>
          <w:b/>
          <w:bCs/>
          <w:color w:val="auto"/>
          <w:sz w:val="24"/>
          <w:lang w:eastAsia="zh-CN"/>
        </w:rPr>
        <w:t>投标人</w:t>
      </w:r>
      <w:r>
        <w:rPr>
          <w:rFonts w:hint="eastAsia" w:ascii="宋体" w:hAnsi="宋体" w:cs="宋体"/>
          <w:b/>
          <w:bCs/>
          <w:color w:val="auto"/>
          <w:sz w:val="24"/>
        </w:rPr>
        <w:t>平等的磋商机会， 磋商小组要求所有实质性响应的</w:t>
      </w:r>
      <w:r>
        <w:rPr>
          <w:rFonts w:hint="eastAsia" w:ascii="宋体" w:hAnsi="宋体" w:cs="宋体"/>
          <w:b/>
          <w:bCs/>
          <w:color w:val="auto"/>
          <w:sz w:val="24"/>
          <w:lang w:eastAsia="zh-CN"/>
        </w:rPr>
        <w:t>投标人</w:t>
      </w:r>
      <w:r>
        <w:rPr>
          <w:rFonts w:hint="eastAsia" w:ascii="宋体" w:hAnsi="宋体" w:cs="宋体"/>
          <w:b/>
          <w:bCs/>
          <w:color w:val="auto"/>
          <w:sz w:val="24"/>
        </w:rPr>
        <w:t>在规定时间内提交最后报价，最后报价是</w:t>
      </w:r>
      <w:r>
        <w:rPr>
          <w:rFonts w:hint="eastAsia" w:ascii="宋体" w:hAnsi="宋体" w:cs="宋体"/>
          <w:b/>
          <w:bCs/>
          <w:color w:val="auto"/>
          <w:sz w:val="24"/>
          <w:lang w:eastAsia="zh-CN"/>
        </w:rPr>
        <w:t>投标人</w:t>
      </w:r>
      <w:r>
        <w:rPr>
          <w:rFonts w:hint="eastAsia" w:ascii="宋体" w:hAnsi="宋体" w:cs="宋体"/>
          <w:b/>
          <w:bCs/>
          <w:color w:val="auto"/>
          <w:sz w:val="24"/>
        </w:rPr>
        <w:t>响应文件的有效组成部分，经磋商确定最终采购需求和提交最后报价的</w:t>
      </w:r>
      <w:r>
        <w:rPr>
          <w:rFonts w:hint="eastAsia" w:ascii="宋体" w:hAnsi="宋体" w:cs="宋体"/>
          <w:b/>
          <w:bCs/>
          <w:color w:val="auto"/>
          <w:sz w:val="24"/>
          <w:lang w:eastAsia="zh-CN"/>
        </w:rPr>
        <w:t>投标人</w:t>
      </w:r>
      <w:r>
        <w:rPr>
          <w:rFonts w:hint="eastAsia" w:ascii="宋体" w:hAnsi="宋体" w:cs="宋体"/>
          <w:b/>
          <w:bCs/>
          <w:color w:val="auto"/>
          <w:sz w:val="24"/>
        </w:rPr>
        <w:t>后，由磋商小组采用综合评分法对提交最后报价的</w:t>
      </w:r>
      <w:r>
        <w:rPr>
          <w:rFonts w:hint="eastAsia" w:ascii="宋体" w:hAnsi="宋体" w:cs="宋体"/>
          <w:b/>
          <w:bCs/>
          <w:color w:val="auto"/>
          <w:sz w:val="24"/>
          <w:lang w:eastAsia="zh-CN"/>
        </w:rPr>
        <w:t>投标人</w:t>
      </w:r>
      <w:r>
        <w:rPr>
          <w:rFonts w:hint="eastAsia" w:ascii="宋体" w:hAnsi="宋体" w:cs="宋体"/>
          <w:b/>
          <w:bCs/>
          <w:color w:val="auto"/>
          <w:sz w:val="24"/>
        </w:rPr>
        <w:t>的响应文件和最后报价进行综合评分。磋商小组应当从服务质量和合同履约能力均能满足采购文件实质性响应要求的</w:t>
      </w:r>
      <w:r>
        <w:rPr>
          <w:rFonts w:hint="eastAsia" w:ascii="宋体" w:hAnsi="宋体" w:cs="宋体"/>
          <w:b/>
          <w:bCs/>
          <w:color w:val="auto"/>
          <w:sz w:val="24"/>
          <w:lang w:eastAsia="zh-CN"/>
        </w:rPr>
        <w:t>投标人</w:t>
      </w:r>
      <w:r>
        <w:rPr>
          <w:rFonts w:hint="eastAsia" w:ascii="宋体" w:hAnsi="宋体" w:cs="宋体"/>
          <w:b/>
          <w:bCs/>
          <w:color w:val="auto"/>
          <w:sz w:val="24"/>
        </w:rPr>
        <w:t>中，按照综合评分由低到高的顺序提出成交候选人，并编写评审报告，将结果通知所有参加磋商的未成交的</w:t>
      </w:r>
      <w:r>
        <w:rPr>
          <w:rFonts w:hint="eastAsia" w:ascii="宋体" w:hAnsi="宋体" w:cs="宋体"/>
          <w:b/>
          <w:bCs/>
          <w:color w:val="auto"/>
          <w:sz w:val="24"/>
          <w:lang w:eastAsia="zh-CN"/>
        </w:rPr>
        <w:t>投标人</w:t>
      </w:r>
      <w:r>
        <w:rPr>
          <w:rFonts w:hint="eastAsia" w:ascii="宋体" w:hAnsi="宋体" w:cs="宋体"/>
          <w:b/>
          <w:bCs/>
          <w:color w:val="auto"/>
          <w:sz w:val="24"/>
        </w:rPr>
        <w:t>；</w:t>
      </w:r>
    </w:p>
    <w:p w14:paraId="3FF8A13E">
      <w:pPr>
        <w:pStyle w:val="5"/>
        <w:keepNext w:val="0"/>
        <w:keepLines w:val="0"/>
        <w:pageBreakBefore w:val="0"/>
        <w:widowControl w:val="0"/>
        <w:kinsoku/>
        <w:wordWrap/>
        <w:overflowPunct/>
        <w:topLinePunct w:val="0"/>
        <w:bidi w:val="0"/>
        <w:snapToGrid/>
        <w:spacing w:before="0" w:after="0" w:line="240" w:lineRule="atLeast"/>
        <w:ind w:left="964" w:leftChars="0" w:hanging="964" w:hangingChars="400"/>
        <w:textAlignment w:val="auto"/>
        <w:rPr>
          <w:rFonts w:hint="eastAsia" w:ascii="宋体" w:hAnsi="宋体" w:eastAsia="宋体" w:cs="宋体"/>
          <w:color w:val="auto"/>
          <w:highlight w:val="none"/>
          <w:u w:val="none"/>
        </w:rPr>
      </w:pPr>
      <w:r>
        <w:rPr>
          <w:rFonts w:hint="eastAsia" w:ascii="宋体" w:hAnsi="宋体" w:eastAsia="宋体" w:cs="宋体"/>
          <w:color w:val="auto"/>
          <w:highlight w:val="none"/>
          <w:u w:val="none"/>
        </w:rPr>
        <w:t>12.投标保证金</w:t>
      </w:r>
      <w:bookmarkEnd w:id="85"/>
      <w:bookmarkEnd w:id="86"/>
      <w:bookmarkEnd w:id="87"/>
      <w:bookmarkEnd w:id="88"/>
      <w:bookmarkEnd w:id="89"/>
      <w:bookmarkEnd w:id="90"/>
    </w:p>
    <w:p w14:paraId="2776EC66">
      <w:pPr>
        <w:spacing w:line="240" w:lineRule="atLeast"/>
        <w:ind w:left="840" w:hanging="840" w:hangingChars="350"/>
        <w:rPr>
          <w:rFonts w:hint="eastAsia" w:ascii="宋体" w:hAnsi="宋体" w:cs="宋体"/>
          <w:color w:val="auto"/>
          <w:sz w:val="24"/>
          <w:highlight w:val="none"/>
        </w:rPr>
      </w:pPr>
      <w:bookmarkStart w:id="91" w:name="_Ref467306302"/>
      <w:bookmarkStart w:id="92" w:name="_Toc515647772"/>
      <w:bookmarkStart w:id="93" w:name="_Toc23590"/>
      <w:bookmarkStart w:id="94" w:name="_Toc520356157"/>
      <w:bookmarkStart w:id="95" w:name="_Toc32569"/>
      <w:bookmarkStart w:id="96" w:name="_Toc22901"/>
      <w:r>
        <w:rPr>
          <w:rFonts w:hint="eastAsia" w:ascii="宋体" w:hAnsi="宋体" w:cs="宋体"/>
          <w:color w:val="auto"/>
          <w:sz w:val="24"/>
          <w:highlight w:val="none"/>
        </w:rPr>
        <w:t>12.1</w:t>
      </w:r>
      <w:r>
        <w:rPr>
          <w:rFonts w:hint="eastAsia" w:ascii="宋体" w:hAnsi="宋体" w:cs="宋体"/>
          <w:color w:val="auto"/>
          <w:sz w:val="24"/>
          <w:highlight w:val="none"/>
        </w:rPr>
        <w:tab/>
      </w:r>
      <w:r>
        <w:rPr>
          <w:rFonts w:hint="eastAsia" w:ascii="宋体" w:hAnsi="宋体" w:cs="宋体"/>
          <w:color w:val="auto"/>
          <w:sz w:val="24"/>
          <w:highlight w:val="none"/>
          <w:lang w:val="en-US" w:eastAsia="zh-CN"/>
        </w:rPr>
        <w:t>投标人</w:t>
      </w:r>
      <w:r>
        <w:rPr>
          <w:rFonts w:hint="eastAsia" w:ascii="宋体" w:hAnsi="宋体" w:cs="宋体"/>
          <w:color w:val="auto"/>
          <w:sz w:val="24"/>
          <w:highlight w:val="none"/>
        </w:rPr>
        <w:t>应提交</w:t>
      </w:r>
      <w:r>
        <w:rPr>
          <w:rFonts w:hint="eastAsia" w:ascii="宋体" w:hAnsi="宋体" w:cs="宋体"/>
          <w:color w:val="auto"/>
          <w:sz w:val="24"/>
          <w:highlight w:val="none"/>
          <w:u w:val="single"/>
          <w:lang w:eastAsia="zh-CN"/>
        </w:rPr>
        <w:t>投标人须知资料表</w:t>
      </w:r>
      <w:r>
        <w:rPr>
          <w:rFonts w:hint="eastAsia" w:ascii="宋体" w:hAnsi="宋体" w:cs="宋体"/>
          <w:color w:val="auto"/>
          <w:sz w:val="24"/>
          <w:highlight w:val="none"/>
        </w:rPr>
        <w:t>中规定的</w:t>
      </w:r>
      <w:r>
        <w:rPr>
          <w:rFonts w:hint="eastAsia" w:ascii="宋体" w:hAnsi="宋体" w:cs="宋体"/>
          <w:color w:val="auto"/>
          <w:sz w:val="24"/>
          <w:highlight w:val="none"/>
          <w:lang w:val="en-US" w:eastAsia="zh-CN"/>
        </w:rPr>
        <w:t>投标</w:t>
      </w:r>
      <w:r>
        <w:rPr>
          <w:rFonts w:hint="eastAsia" w:ascii="宋体" w:hAnsi="宋体" w:cs="宋体"/>
          <w:color w:val="auto"/>
          <w:sz w:val="24"/>
          <w:highlight w:val="none"/>
        </w:rPr>
        <w:t>保证金</w:t>
      </w:r>
      <w:bookmarkEnd w:id="91"/>
      <w:r>
        <w:rPr>
          <w:rFonts w:hint="eastAsia" w:ascii="宋体" w:hAnsi="宋体" w:cs="宋体"/>
          <w:color w:val="auto"/>
          <w:sz w:val="24"/>
          <w:highlight w:val="none"/>
        </w:rPr>
        <w:t>，并作为其</w:t>
      </w:r>
      <w:r>
        <w:rPr>
          <w:rFonts w:hint="eastAsia" w:ascii="宋体" w:hAnsi="宋体" w:cs="宋体"/>
          <w:color w:val="auto"/>
          <w:sz w:val="24"/>
          <w:highlight w:val="none"/>
          <w:lang w:val="en-US" w:eastAsia="zh-CN"/>
        </w:rPr>
        <w:t>投标</w:t>
      </w:r>
      <w:r>
        <w:rPr>
          <w:rFonts w:hint="eastAsia" w:ascii="宋体" w:hAnsi="宋体" w:cs="宋体"/>
          <w:color w:val="auto"/>
          <w:sz w:val="24"/>
          <w:highlight w:val="none"/>
        </w:rPr>
        <w:t>的一部分。</w:t>
      </w:r>
    </w:p>
    <w:p w14:paraId="01CD9534">
      <w:pPr>
        <w:spacing w:line="240" w:lineRule="atLeast"/>
        <w:ind w:left="840" w:hanging="840" w:hangingChars="350"/>
        <w:rPr>
          <w:rFonts w:hint="eastAsia" w:ascii="宋体" w:hAnsi="宋体" w:cs="宋体"/>
          <w:color w:val="auto"/>
          <w:sz w:val="24"/>
          <w:highlight w:val="none"/>
        </w:rPr>
      </w:pPr>
      <w:r>
        <w:rPr>
          <w:rFonts w:hint="eastAsia" w:ascii="宋体" w:hAnsi="宋体" w:cs="宋体"/>
          <w:color w:val="auto"/>
          <w:sz w:val="24"/>
          <w:highlight w:val="none"/>
        </w:rPr>
        <w:t>12.2</w:t>
      </w:r>
      <w:r>
        <w:rPr>
          <w:rFonts w:hint="eastAsia" w:ascii="宋体" w:hAnsi="宋体" w:cs="宋体"/>
          <w:color w:val="auto"/>
          <w:sz w:val="24"/>
          <w:highlight w:val="none"/>
        </w:rPr>
        <w:tab/>
      </w:r>
      <w:r>
        <w:rPr>
          <w:rFonts w:hint="eastAsia" w:ascii="宋体" w:hAnsi="宋体" w:cs="宋体"/>
          <w:color w:val="auto"/>
          <w:sz w:val="24"/>
          <w:highlight w:val="none"/>
          <w:lang w:eastAsia="zh-CN"/>
        </w:rPr>
        <w:t>投标人</w:t>
      </w:r>
      <w:r>
        <w:rPr>
          <w:rFonts w:hint="eastAsia" w:ascii="宋体" w:hAnsi="宋体" w:cs="宋体"/>
          <w:color w:val="auto"/>
          <w:sz w:val="24"/>
          <w:highlight w:val="none"/>
        </w:rPr>
        <w:t>存在下列情形的，</w:t>
      </w:r>
      <w:r>
        <w:rPr>
          <w:rFonts w:hint="eastAsia" w:ascii="宋体" w:hAnsi="宋体" w:cs="宋体"/>
          <w:color w:val="auto"/>
          <w:sz w:val="24"/>
          <w:highlight w:val="none"/>
          <w:lang w:val="en-US" w:eastAsia="zh-CN"/>
        </w:rPr>
        <w:t>投标</w:t>
      </w:r>
      <w:r>
        <w:rPr>
          <w:rFonts w:hint="eastAsia" w:ascii="宋体" w:hAnsi="宋体" w:cs="宋体"/>
          <w:color w:val="auto"/>
          <w:sz w:val="24"/>
          <w:highlight w:val="none"/>
        </w:rPr>
        <w:t>保证金不予退还：</w:t>
      </w:r>
    </w:p>
    <w:p w14:paraId="7DB2DBD2">
      <w:pPr>
        <w:pStyle w:val="16"/>
        <w:tabs>
          <w:tab w:val="left" w:pos="2240"/>
        </w:tabs>
        <w:spacing w:line="240" w:lineRule="atLeast"/>
        <w:ind w:left="838" w:leftChars="342" w:hanging="120" w:hangingChars="50"/>
        <w:rPr>
          <w:rFonts w:hint="eastAsia" w:hAnsi="宋体" w:cs="宋体"/>
          <w:color w:val="auto"/>
          <w:sz w:val="24"/>
          <w:highlight w:val="none"/>
        </w:rPr>
      </w:pPr>
      <w:r>
        <w:rPr>
          <w:rFonts w:hint="eastAsia" w:hAnsi="宋体" w:cs="宋体"/>
          <w:color w:val="auto"/>
          <w:sz w:val="24"/>
          <w:highlight w:val="none"/>
        </w:rPr>
        <w:t>（1）在</w:t>
      </w:r>
      <w:r>
        <w:rPr>
          <w:rFonts w:hint="eastAsia" w:hAnsi="宋体" w:cs="宋体"/>
          <w:color w:val="auto"/>
          <w:sz w:val="24"/>
          <w:highlight w:val="none"/>
          <w:lang w:val="en-US" w:eastAsia="zh-CN"/>
        </w:rPr>
        <w:t>投标</w:t>
      </w:r>
      <w:r>
        <w:rPr>
          <w:rFonts w:hint="eastAsia" w:hAnsi="宋体" w:cs="宋体"/>
          <w:color w:val="auto"/>
          <w:sz w:val="24"/>
          <w:highlight w:val="none"/>
        </w:rPr>
        <w:t>有效期内，撤销</w:t>
      </w:r>
      <w:r>
        <w:rPr>
          <w:rFonts w:hint="eastAsia" w:hAnsi="宋体" w:cs="宋体"/>
          <w:color w:val="auto"/>
          <w:sz w:val="24"/>
          <w:highlight w:val="none"/>
          <w:lang w:val="en-US" w:eastAsia="zh-CN"/>
        </w:rPr>
        <w:t>投标</w:t>
      </w:r>
      <w:r>
        <w:rPr>
          <w:rFonts w:hint="eastAsia" w:hAnsi="宋体" w:cs="宋体"/>
          <w:color w:val="auto"/>
          <w:sz w:val="24"/>
          <w:highlight w:val="none"/>
        </w:rPr>
        <w:t>的；</w:t>
      </w:r>
    </w:p>
    <w:p w14:paraId="230120F8">
      <w:pPr>
        <w:pStyle w:val="16"/>
        <w:tabs>
          <w:tab w:val="left" w:pos="2240"/>
        </w:tabs>
        <w:spacing w:line="240" w:lineRule="atLeast"/>
        <w:ind w:left="838" w:leftChars="342" w:hanging="120" w:hangingChars="50"/>
        <w:rPr>
          <w:rFonts w:hint="eastAsia" w:hAnsi="宋体" w:cs="宋体"/>
          <w:color w:val="auto"/>
          <w:sz w:val="24"/>
          <w:highlight w:val="none"/>
        </w:rPr>
      </w:pPr>
      <w:r>
        <w:rPr>
          <w:rFonts w:hint="eastAsia" w:hAnsi="宋体" w:cs="宋体"/>
          <w:color w:val="auto"/>
          <w:sz w:val="24"/>
          <w:highlight w:val="none"/>
        </w:rPr>
        <w:t>（2）成交后不按本须知第30条的规定与采购人签订合同的；</w:t>
      </w:r>
    </w:p>
    <w:p w14:paraId="61316906">
      <w:pPr>
        <w:pStyle w:val="16"/>
        <w:tabs>
          <w:tab w:val="left" w:pos="2240"/>
        </w:tabs>
        <w:spacing w:line="240" w:lineRule="atLeast"/>
        <w:ind w:left="838" w:leftChars="342" w:hanging="120" w:hangingChars="50"/>
        <w:rPr>
          <w:rFonts w:hint="eastAsia" w:hAnsi="宋体" w:cs="宋体"/>
          <w:color w:val="auto"/>
          <w:sz w:val="24"/>
          <w:highlight w:val="none"/>
        </w:rPr>
      </w:pPr>
      <w:r>
        <w:rPr>
          <w:rFonts w:hint="eastAsia" w:hAnsi="宋体" w:cs="宋体"/>
          <w:color w:val="auto"/>
          <w:sz w:val="24"/>
          <w:highlight w:val="none"/>
        </w:rPr>
        <w:t>（3）成交后不按本须知第31条的规定提交履约保证金的；</w:t>
      </w:r>
    </w:p>
    <w:p w14:paraId="5206623B">
      <w:pPr>
        <w:pStyle w:val="16"/>
        <w:tabs>
          <w:tab w:val="left" w:pos="2240"/>
        </w:tabs>
        <w:spacing w:line="240" w:lineRule="atLeast"/>
        <w:ind w:left="838" w:leftChars="342" w:hanging="120" w:hangingChars="50"/>
        <w:rPr>
          <w:rFonts w:hint="eastAsia" w:hAnsi="宋体" w:cs="宋体"/>
          <w:color w:val="auto"/>
          <w:sz w:val="24"/>
          <w:highlight w:val="none"/>
        </w:rPr>
      </w:pPr>
      <w:r>
        <w:rPr>
          <w:rFonts w:hint="eastAsia" w:hAnsi="宋体" w:cs="宋体"/>
          <w:color w:val="auto"/>
          <w:sz w:val="24"/>
          <w:highlight w:val="none"/>
        </w:rPr>
        <w:t>（4）成交后不按本须知第32条的规定缴纳</w:t>
      </w:r>
      <w:r>
        <w:rPr>
          <w:rFonts w:hint="eastAsia" w:hAnsi="宋体" w:cs="宋体"/>
          <w:color w:val="auto"/>
          <w:sz w:val="24"/>
          <w:highlight w:val="none"/>
          <w:lang w:val="en-US" w:eastAsia="zh-CN"/>
        </w:rPr>
        <w:t>招标</w:t>
      </w:r>
      <w:r>
        <w:rPr>
          <w:rFonts w:hint="eastAsia" w:hAnsi="宋体" w:cs="宋体"/>
          <w:color w:val="auto"/>
          <w:sz w:val="24"/>
          <w:highlight w:val="none"/>
        </w:rPr>
        <w:t>服务费的；</w:t>
      </w:r>
    </w:p>
    <w:p w14:paraId="40E4C101">
      <w:pPr>
        <w:pStyle w:val="16"/>
        <w:tabs>
          <w:tab w:val="left" w:pos="2240"/>
        </w:tabs>
        <w:spacing w:line="240" w:lineRule="atLeast"/>
        <w:ind w:left="838" w:leftChars="342" w:hanging="120" w:hangingChars="50"/>
        <w:rPr>
          <w:rFonts w:hint="eastAsia" w:hAnsi="宋体" w:cs="宋体"/>
          <w:color w:val="auto"/>
          <w:sz w:val="24"/>
          <w:highlight w:val="none"/>
        </w:rPr>
      </w:pPr>
      <w:r>
        <w:rPr>
          <w:rFonts w:hint="eastAsia" w:hAnsi="宋体" w:cs="宋体"/>
          <w:color w:val="auto"/>
          <w:sz w:val="24"/>
          <w:highlight w:val="none"/>
        </w:rPr>
        <w:t>（5）存在其他违法违规行为的。</w:t>
      </w:r>
    </w:p>
    <w:p w14:paraId="743A888F">
      <w:pPr>
        <w:spacing w:line="240" w:lineRule="atLeast"/>
        <w:ind w:left="840" w:hanging="840" w:hangingChars="350"/>
        <w:rPr>
          <w:rFonts w:hint="eastAsia" w:ascii="宋体" w:hAnsi="宋体" w:cs="宋体"/>
          <w:color w:val="auto"/>
          <w:sz w:val="24"/>
          <w:highlight w:val="none"/>
        </w:rPr>
      </w:pPr>
      <w:bookmarkStart w:id="97" w:name="_Ref467306336"/>
      <w:r>
        <w:rPr>
          <w:rFonts w:hint="eastAsia" w:ascii="宋体" w:hAnsi="宋体" w:cs="宋体"/>
          <w:color w:val="auto"/>
          <w:sz w:val="24"/>
          <w:highlight w:val="none"/>
        </w:rPr>
        <w:t>12.3</w:t>
      </w:r>
      <w:r>
        <w:rPr>
          <w:rFonts w:hint="eastAsia" w:ascii="宋体" w:hAnsi="宋体" w:cs="宋体"/>
          <w:color w:val="auto"/>
          <w:sz w:val="24"/>
          <w:highlight w:val="none"/>
        </w:rPr>
        <w:tab/>
      </w:r>
      <w:bookmarkEnd w:id="97"/>
      <w:r>
        <w:rPr>
          <w:rFonts w:hint="eastAsia" w:ascii="宋体" w:hAnsi="宋体" w:cs="宋体"/>
          <w:color w:val="auto"/>
          <w:sz w:val="24"/>
          <w:highlight w:val="none"/>
        </w:rPr>
        <w:t>政府采购信用担保试点范围内的项目，接受符合财政部门规定的政府采购</w:t>
      </w:r>
      <w:r>
        <w:rPr>
          <w:rFonts w:hint="eastAsia" w:ascii="宋体" w:hAnsi="宋体" w:cs="宋体"/>
          <w:color w:val="auto"/>
          <w:sz w:val="24"/>
          <w:highlight w:val="none"/>
          <w:lang w:val="en-US" w:eastAsia="zh-CN"/>
        </w:rPr>
        <w:t>投标</w:t>
      </w:r>
      <w:r>
        <w:rPr>
          <w:rFonts w:hint="eastAsia" w:ascii="宋体" w:hAnsi="宋体" w:cs="宋体"/>
          <w:color w:val="auto"/>
          <w:sz w:val="24"/>
          <w:highlight w:val="none"/>
        </w:rPr>
        <w:t>担保函。</w:t>
      </w:r>
    </w:p>
    <w:p w14:paraId="28C4151E">
      <w:pPr>
        <w:spacing w:line="240" w:lineRule="atLeast"/>
        <w:ind w:left="840" w:hanging="840" w:hangingChars="350"/>
        <w:rPr>
          <w:rFonts w:hint="eastAsia" w:ascii="宋体" w:hAnsi="宋体" w:cs="宋体"/>
          <w:color w:val="auto"/>
          <w:sz w:val="24"/>
          <w:highlight w:val="none"/>
        </w:rPr>
      </w:pPr>
      <w:r>
        <w:rPr>
          <w:rFonts w:hint="eastAsia" w:ascii="宋体" w:hAnsi="宋体" w:cs="宋体"/>
          <w:color w:val="auto"/>
          <w:sz w:val="24"/>
          <w:highlight w:val="none"/>
        </w:rPr>
        <w:t>12.4</w:t>
      </w:r>
      <w:r>
        <w:rPr>
          <w:rFonts w:hint="eastAsia" w:ascii="宋体" w:hAnsi="宋体" w:cs="宋体"/>
          <w:color w:val="auto"/>
          <w:sz w:val="24"/>
          <w:highlight w:val="none"/>
        </w:rPr>
        <w:tab/>
      </w:r>
      <w:r>
        <w:rPr>
          <w:rFonts w:hint="eastAsia" w:ascii="宋体" w:hAnsi="宋体" w:cs="宋体"/>
          <w:color w:val="auto"/>
          <w:sz w:val="24"/>
          <w:highlight w:val="none"/>
          <w:lang w:val="en-US" w:eastAsia="zh-CN"/>
        </w:rPr>
        <w:t>投标人</w:t>
      </w:r>
      <w:r>
        <w:rPr>
          <w:rFonts w:hint="eastAsia" w:ascii="宋体" w:hAnsi="宋体" w:cs="宋体"/>
          <w:color w:val="auto"/>
          <w:sz w:val="24"/>
          <w:highlight w:val="none"/>
        </w:rPr>
        <w:t>未按本须知第12.1和12.3条规定提交</w:t>
      </w:r>
      <w:r>
        <w:rPr>
          <w:rFonts w:hint="eastAsia" w:ascii="宋体" w:hAnsi="宋体" w:cs="宋体"/>
          <w:color w:val="auto"/>
          <w:sz w:val="24"/>
          <w:highlight w:val="none"/>
          <w:lang w:eastAsia="zh-CN"/>
        </w:rPr>
        <w:t>投标保证金</w:t>
      </w:r>
      <w:r>
        <w:rPr>
          <w:rFonts w:hint="eastAsia" w:ascii="宋体" w:hAnsi="宋体" w:cs="宋体"/>
          <w:color w:val="auto"/>
          <w:sz w:val="24"/>
          <w:highlight w:val="none"/>
        </w:rPr>
        <w:t>的，其</w:t>
      </w:r>
      <w:r>
        <w:rPr>
          <w:rFonts w:hint="eastAsia" w:ascii="宋体" w:hAnsi="宋体" w:cs="宋体"/>
          <w:color w:val="auto"/>
          <w:sz w:val="24"/>
          <w:highlight w:val="none"/>
          <w:lang w:val="en-US" w:eastAsia="zh-CN"/>
        </w:rPr>
        <w:t>投标</w:t>
      </w:r>
      <w:r>
        <w:rPr>
          <w:rFonts w:hint="eastAsia" w:ascii="宋体" w:hAnsi="宋体" w:cs="宋体"/>
          <w:color w:val="auto"/>
          <w:sz w:val="24"/>
          <w:highlight w:val="none"/>
        </w:rPr>
        <w:t>将被认定为</w:t>
      </w:r>
      <w:r>
        <w:rPr>
          <w:rFonts w:hint="eastAsia" w:ascii="宋体" w:hAnsi="宋体" w:cs="宋体"/>
          <w:b/>
          <w:bCs/>
          <w:color w:val="auto"/>
          <w:sz w:val="24"/>
          <w:highlight w:val="none"/>
          <w:lang w:eastAsia="zh-CN"/>
        </w:rPr>
        <w:t>投标无效</w:t>
      </w:r>
      <w:r>
        <w:rPr>
          <w:rFonts w:hint="eastAsia" w:ascii="宋体" w:hAnsi="宋体" w:cs="宋体"/>
          <w:color w:val="auto"/>
          <w:sz w:val="24"/>
          <w:highlight w:val="none"/>
        </w:rPr>
        <w:t>。</w:t>
      </w:r>
    </w:p>
    <w:p w14:paraId="59C81F56">
      <w:pPr>
        <w:spacing w:line="240" w:lineRule="atLeast"/>
        <w:ind w:left="840" w:hanging="840" w:hangingChars="350"/>
        <w:rPr>
          <w:rFonts w:hint="eastAsia" w:ascii="宋体" w:hAnsi="宋体" w:cs="宋体"/>
          <w:color w:val="auto"/>
          <w:sz w:val="24"/>
          <w:highlight w:val="none"/>
        </w:rPr>
      </w:pPr>
      <w:r>
        <w:rPr>
          <w:rFonts w:hint="eastAsia" w:ascii="宋体" w:hAnsi="宋体" w:cs="宋体"/>
          <w:color w:val="auto"/>
          <w:sz w:val="24"/>
          <w:highlight w:val="none"/>
        </w:rPr>
        <w:t>12.4.1 采用电汇形式的，一般可以实时入账。</w:t>
      </w:r>
    </w:p>
    <w:p w14:paraId="56A37040">
      <w:pPr>
        <w:spacing w:line="240" w:lineRule="atLeast"/>
        <w:ind w:left="840" w:hanging="840" w:hangingChars="350"/>
        <w:jc w:val="left"/>
        <w:rPr>
          <w:rFonts w:hint="eastAsia" w:ascii="宋体" w:hAnsi="宋体" w:cs="宋体"/>
          <w:color w:val="auto"/>
          <w:sz w:val="24"/>
          <w:highlight w:val="none"/>
        </w:rPr>
      </w:pPr>
      <w:r>
        <w:rPr>
          <w:rFonts w:hint="eastAsia" w:ascii="宋体" w:hAnsi="宋体" w:cs="宋体"/>
          <w:color w:val="auto"/>
          <w:sz w:val="24"/>
          <w:highlight w:val="none"/>
        </w:rPr>
        <w:t>12.4.2 采用支票形式的，</w:t>
      </w:r>
      <w:r>
        <w:rPr>
          <w:rFonts w:hint="eastAsia" w:ascii="宋体" w:hAnsi="宋体" w:cs="宋体"/>
          <w:color w:val="auto"/>
          <w:sz w:val="24"/>
          <w:highlight w:val="none"/>
          <w:lang w:val="en-US" w:eastAsia="zh-CN"/>
        </w:rPr>
        <w:t>投标人</w:t>
      </w:r>
      <w:r>
        <w:rPr>
          <w:rFonts w:hint="eastAsia" w:ascii="宋体" w:hAnsi="宋体" w:cs="宋体"/>
          <w:color w:val="auto"/>
          <w:sz w:val="24"/>
          <w:highlight w:val="none"/>
        </w:rPr>
        <w:t>则应充分考虑支票入账时间，以确保</w:t>
      </w:r>
      <w:r>
        <w:rPr>
          <w:rFonts w:hint="eastAsia" w:ascii="宋体" w:hAnsi="宋体" w:cs="宋体"/>
          <w:color w:val="auto"/>
          <w:sz w:val="24"/>
          <w:highlight w:val="none"/>
          <w:lang w:val="en-US" w:eastAsia="zh-CN"/>
        </w:rPr>
        <w:t>投标</w:t>
      </w:r>
      <w:r>
        <w:rPr>
          <w:rFonts w:hint="eastAsia" w:ascii="宋体" w:hAnsi="宋体" w:cs="宋体"/>
          <w:color w:val="auto"/>
          <w:sz w:val="24"/>
          <w:highlight w:val="none"/>
        </w:rPr>
        <w:t>保证金能按时进入指定账户。根据银行信息交换和付款时间，支票从递交至实际入账一般需要4-5个工作日。如</w:t>
      </w:r>
      <w:r>
        <w:rPr>
          <w:rFonts w:hint="eastAsia" w:ascii="宋体" w:hAnsi="宋体" w:cs="宋体"/>
          <w:color w:val="auto"/>
          <w:sz w:val="24"/>
          <w:highlight w:val="none"/>
          <w:lang w:val="en-US" w:eastAsia="zh-CN"/>
        </w:rPr>
        <w:t>投标人</w:t>
      </w:r>
      <w:r>
        <w:rPr>
          <w:rFonts w:hint="eastAsia" w:ascii="宋体" w:hAnsi="宋体" w:cs="宋体"/>
          <w:color w:val="auto"/>
          <w:sz w:val="24"/>
          <w:highlight w:val="none"/>
        </w:rPr>
        <w:t>未及时提交支票或支票不符合银行委托收款要求（如污损、折叠、胶装等），导致</w:t>
      </w:r>
      <w:r>
        <w:rPr>
          <w:rFonts w:hint="eastAsia" w:ascii="宋体" w:hAnsi="宋体" w:cs="宋体"/>
          <w:color w:val="auto"/>
          <w:sz w:val="24"/>
          <w:highlight w:val="none"/>
          <w:lang w:val="en-US" w:eastAsia="zh-CN"/>
        </w:rPr>
        <w:t>投标</w:t>
      </w:r>
      <w:r>
        <w:rPr>
          <w:rFonts w:hint="eastAsia" w:ascii="宋体" w:hAnsi="宋体" w:cs="宋体"/>
          <w:color w:val="auto"/>
          <w:sz w:val="24"/>
          <w:highlight w:val="none"/>
        </w:rPr>
        <w:t>保证金不能按时进入指定账户的，将按照</w:t>
      </w:r>
      <w:r>
        <w:rPr>
          <w:rFonts w:hint="eastAsia" w:ascii="宋体" w:hAnsi="宋体" w:cs="宋体"/>
          <w:color w:val="auto"/>
          <w:sz w:val="24"/>
          <w:highlight w:val="none"/>
          <w:lang w:eastAsia="zh-CN"/>
        </w:rPr>
        <w:t>磋商文件</w:t>
      </w:r>
      <w:r>
        <w:rPr>
          <w:rFonts w:hint="eastAsia" w:ascii="宋体" w:hAnsi="宋体" w:cs="宋体"/>
          <w:color w:val="auto"/>
          <w:sz w:val="24"/>
          <w:highlight w:val="none"/>
        </w:rPr>
        <w:t>的第22.2条相关规定处理。</w:t>
      </w:r>
    </w:p>
    <w:p w14:paraId="56F94D80">
      <w:pPr>
        <w:spacing w:line="240" w:lineRule="atLeast"/>
        <w:ind w:left="840" w:hanging="840" w:hangingChars="350"/>
        <w:rPr>
          <w:rFonts w:hint="eastAsia" w:ascii="宋体" w:hAnsi="宋体" w:cs="宋体"/>
          <w:color w:val="auto"/>
          <w:sz w:val="24"/>
          <w:highlight w:val="none"/>
        </w:rPr>
      </w:pPr>
      <w:r>
        <w:rPr>
          <w:rFonts w:hint="eastAsia" w:ascii="宋体" w:hAnsi="宋体" w:cs="宋体"/>
          <w:color w:val="auto"/>
          <w:sz w:val="24"/>
          <w:highlight w:val="none"/>
        </w:rPr>
        <w:t>12.5   联合体</w:t>
      </w:r>
      <w:r>
        <w:rPr>
          <w:rFonts w:hint="eastAsia" w:ascii="宋体" w:hAnsi="宋体" w:cs="宋体"/>
          <w:color w:val="auto"/>
          <w:sz w:val="24"/>
          <w:highlight w:val="none"/>
          <w:lang w:val="en-US" w:eastAsia="zh-CN"/>
        </w:rPr>
        <w:t>投标</w:t>
      </w:r>
      <w:r>
        <w:rPr>
          <w:rFonts w:hint="eastAsia" w:ascii="宋体" w:hAnsi="宋体" w:cs="宋体"/>
          <w:color w:val="auto"/>
          <w:sz w:val="24"/>
          <w:highlight w:val="none"/>
        </w:rPr>
        <w:t>的，可以由联合体中的一方或者共同提交</w:t>
      </w:r>
      <w:r>
        <w:rPr>
          <w:rFonts w:hint="eastAsia" w:ascii="宋体" w:hAnsi="宋体" w:cs="宋体"/>
          <w:color w:val="auto"/>
          <w:sz w:val="24"/>
          <w:highlight w:val="none"/>
          <w:lang w:val="en-US" w:eastAsia="zh-CN"/>
        </w:rPr>
        <w:t>投标</w:t>
      </w:r>
      <w:r>
        <w:rPr>
          <w:rFonts w:hint="eastAsia" w:ascii="宋体" w:hAnsi="宋体" w:cs="宋体"/>
          <w:color w:val="auto"/>
          <w:sz w:val="24"/>
          <w:highlight w:val="none"/>
        </w:rPr>
        <w:t>保证金。以一方名义提交</w:t>
      </w:r>
      <w:r>
        <w:rPr>
          <w:rFonts w:hint="eastAsia" w:ascii="宋体" w:hAnsi="宋体" w:cs="宋体"/>
          <w:color w:val="auto"/>
          <w:sz w:val="24"/>
          <w:highlight w:val="none"/>
          <w:lang w:val="en-US" w:eastAsia="zh-CN"/>
        </w:rPr>
        <w:t>投标</w:t>
      </w:r>
      <w:r>
        <w:rPr>
          <w:rFonts w:hint="eastAsia" w:ascii="宋体" w:hAnsi="宋体" w:cs="宋体"/>
          <w:color w:val="auto"/>
          <w:sz w:val="24"/>
          <w:highlight w:val="none"/>
        </w:rPr>
        <w:t>保证金的，对联合体各方均具有约束力。</w:t>
      </w:r>
    </w:p>
    <w:p w14:paraId="5A5EB7FC">
      <w:pPr>
        <w:spacing w:line="240" w:lineRule="atLeast"/>
        <w:ind w:left="840" w:hanging="840" w:hangingChars="350"/>
        <w:rPr>
          <w:rFonts w:hint="eastAsia" w:ascii="宋体" w:hAnsi="宋体" w:cs="宋体"/>
          <w:color w:val="auto"/>
          <w:sz w:val="24"/>
          <w:highlight w:val="none"/>
        </w:rPr>
      </w:pPr>
      <w:r>
        <w:rPr>
          <w:rFonts w:hint="eastAsia" w:ascii="宋体" w:hAnsi="宋体" w:cs="宋体"/>
          <w:color w:val="auto"/>
          <w:sz w:val="24"/>
          <w:highlight w:val="none"/>
        </w:rPr>
        <w:t>12.6</w:t>
      </w:r>
      <w:r>
        <w:rPr>
          <w:rFonts w:hint="eastAsia" w:ascii="宋体" w:hAnsi="宋体" w:cs="宋体"/>
          <w:color w:val="auto"/>
          <w:sz w:val="24"/>
          <w:highlight w:val="none"/>
        </w:rPr>
        <w:tab/>
      </w:r>
      <w:r>
        <w:rPr>
          <w:rFonts w:hint="eastAsia" w:ascii="宋体" w:hAnsi="宋体" w:cs="宋体"/>
          <w:color w:val="auto"/>
          <w:sz w:val="24"/>
          <w:highlight w:val="none"/>
          <w:lang w:val="en-US" w:eastAsia="zh-CN"/>
        </w:rPr>
        <w:t>投标</w:t>
      </w:r>
      <w:r>
        <w:rPr>
          <w:rFonts w:hint="eastAsia" w:ascii="宋体" w:hAnsi="宋体" w:cs="宋体"/>
          <w:color w:val="auto"/>
          <w:sz w:val="24"/>
          <w:highlight w:val="none"/>
        </w:rPr>
        <w:t>保证金的退还</w:t>
      </w:r>
    </w:p>
    <w:p w14:paraId="352C4392">
      <w:pPr>
        <w:spacing w:line="240" w:lineRule="atLeast"/>
        <w:ind w:left="840" w:hanging="840" w:hangingChars="350"/>
        <w:rPr>
          <w:rFonts w:hint="eastAsia" w:ascii="宋体" w:hAnsi="宋体" w:cs="宋体"/>
          <w:color w:val="auto"/>
          <w:sz w:val="24"/>
          <w:highlight w:val="none"/>
        </w:rPr>
      </w:pPr>
      <w:r>
        <w:rPr>
          <w:rFonts w:hint="eastAsia" w:ascii="宋体" w:hAnsi="宋体" w:cs="宋体"/>
          <w:color w:val="auto"/>
          <w:sz w:val="24"/>
          <w:highlight w:val="none"/>
        </w:rPr>
        <w:t>12.6.1 成交</w:t>
      </w:r>
      <w:r>
        <w:rPr>
          <w:rFonts w:hint="eastAsia" w:ascii="宋体" w:hAnsi="宋体" w:cs="宋体"/>
          <w:color w:val="auto"/>
          <w:sz w:val="24"/>
          <w:highlight w:val="none"/>
          <w:lang w:val="en-US" w:eastAsia="zh-CN"/>
        </w:rPr>
        <w:t>投标人</w:t>
      </w:r>
      <w:r>
        <w:rPr>
          <w:rFonts w:hint="eastAsia" w:ascii="宋体" w:hAnsi="宋体" w:cs="宋体"/>
          <w:color w:val="auto"/>
          <w:sz w:val="24"/>
          <w:highlight w:val="none"/>
        </w:rPr>
        <w:t>应在与采购人签订合同之日起5个工作日内，及时联系保证金收受机构办理</w:t>
      </w:r>
      <w:r>
        <w:rPr>
          <w:rFonts w:hint="eastAsia" w:ascii="宋体" w:hAnsi="宋体" w:cs="宋体"/>
          <w:color w:val="auto"/>
          <w:sz w:val="24"/>
          <w:highlight w:val="none"/>
          <w:lang w:val="en-US" w:eastAsia="zh-CN"/>
        </w:rPr>
        <w:t>投标</w:t>
      </w:r>
      <w:r>
        <w:rPr>
          <w:rFonts w:hint="eastAsia" w:ascii="宋体" w:hAnsi="宋体" w:cs="宋体"/>
          <w:color w:val="auto"/>
          <w:sz w:val="24"/>
          <w:highlight w:val="none"/>
        </w:rPr>
        <w:t>保证金无息退还手续。</w:t>
      </w:r>
    </w:p>
    <w:p w14:paraId="5744ED24">
      <w:pPr>
        <w:spacing w:line="240" w:lineRule="atLeast"/>
        <w:ind w:left="840" w:hanging="840" w:hangingChars="350"/>
        <w:rPr>
          <w:rFonts w:hint="eastAsia" w:ascii="宋体" w:hAnsi="宋体" w:cs="宋体"/>
          <w:color w:val="auto"/>
          <w:sz w:val="24"/>
          <w:highlight w:val="none"/>
        </w:rPr>
      </w:pPr>
      <w:r>
        <w:rPr>
          <w:rFonts w:hint="eastAsia" w:ascii="宋体" w:hAnsi="宋体" w:cs="宋体"/>
          <w:color w:val="auto"/>
          <w:sz w:val="24"/>
          <w:highlight w:val="none"/>
        </w:rPr>
        <w:t>12.6.2 未</w:t>
      </w:r>
      <w:r>
        <w:rPr>
          <w:rFonts w:hint="eastAsia" w:ascii="宋体" w:hAnsi="宋体" w:cs="宋体"/>
          <w:color w:val="auto"/>
          <w:sz w:val="24"/>
          <w:highlight w:val="none"/>
          <w:lang w:val="en-US" w:eastAsia="zh-CN"/>
        </w:rPr>
        <w:t>中标投标人</w:t>
      </w:r>
      <w:r>
        <w:rPr>
          <w:rFonts w:hint="eastAsia" w:ascii="宋体" w:hAnsi="宋体" w:cs="宋体"/>
          <w:color w:val="auto"/>
          <w:sz w:val="24"/>
          <w:highlight w:val="none"/>
        </w:rPr>
        <w:t>的</w:t>
      </w:r>
      <w:r>
        <w:rPr>
          <w:rFonts w:hint="eastAsia" w:ascii="宋体" w:hAnsi="宋体" w:cs="宋体"/>
          <w:color w:val="auto"/>
          <w:sz w:val="24"/>
          <w:highlight w:val="none"/>
          <w:lang w:eastAsia="zh-CN"/>
        </w:rPr>
        <w:t>投标保证金</w:t>
      </w:r>
      <w:r>
        <w:rPr>
          <w:rFonts w:hint="eastAsia" w:ascii="宋体" w:hAnsi="宋体" w:cs="宋体"/>
          <w:color w:val="auto"/>
          <w:sz w:val="24"/>
          <w:highlight w:val="none"/>
        </w:rPr>
        <w:t>将在成交通知书发出之日暨成交结果公告公布之日起5个工作日内无息退还。</w:t>
      </w:r>
      <w:r>
        <w:rPr>
          <w:rFonts w:hint="eastAsia" w:ascii="宋体" w:hAnsi="宋体" w:cs="宋体"/>
          <w:color w:val="auto"/>
          <w:sz w:val="24"/>
          <w:highlight w:val="none"/>
          <w:lang w:val="en-US" w:eastAsia="zh-CN"/>
        </w:rPr>
        <w:t>投标人</w:t>
      </w:r>
      <w:r>
        <w:rPr>
          <w:rFonts w:hint="eastAsia" w:ascii="宋体" w:hAnsi="宋体" w:cs="宋体"/>
          <w:color w:val="auto"/>
          <w:sz w:val="24"/>
          <w:highlight w:val="none"/>
        </w:rPr>
        <w:t>应及时联系保证金收受机构办理退还</w:t>
      </w:r>
      <w:r>
        <w:rPr>
          <w:rFonts w:hint="eastAsia" w:ascii="宋体" w:hAnsi="宋体" w:cs="宋体"/>
          <w:color w:val="auto"/>
          <w:sz w:val="24"/>
          <w:highlight w:val="none"/>
          <w:lang w:eastAsia="zh-CN"/>
        </w:rPr>
        <w:t>投标保证金</w:t>
      </w:r>
      <w:r>
        <w:rPr>
          <w:rFonts w:hint="eastAsia" w:ascii="宋体" w:hAnsi="宋体" w:cs="宋体"/>
          <w:color w:val="auto"/>
          <w:sz w:val="24"/>
          <w:highlight w:val="none"/>
        </w:rPr>
        <w:t>手续。</w:t>
      </w:r>
    </w:p>
    <w:p w14:paraId="3B331DFC">
      <w:pPr>
        <w:spacing w:line="240" w:lineRule="atLeast"/>
        <w:ind w:left="840" w:hanging="840" w:hangingChars="350"/>
        <w:rPr>
          <w:rFonts w:hint="eastAsia" w:ascii="宋体" w:hAnsi="宋体" w:cs="宋体"/>
          <w:color w:val="auto"/>
          <w:sz w:val="24"/>
          <w:highlight w:val="none"/>
        </w:rPr>
      </w:pPr>
      <w:r>
        <w:rPr>
          <w:rFonts w:hint="eastAsia" w:ascii="宋体" w:hAnsi="宋体" w:cs="宋体"/>
          <w:color w:val="auto"/>
          <w:sz w:val="24"/>
          <w:highlight w:val="none"/>
        </w:rPr>
        <w:t>12.6.3 政府采购</w:t>
      </w:r>
      <w:r>
        <w:rPr>
          <w:rFonts w:hint="eastAsia" w:ascii="宋体" w:hAnsi="宋体" w:cs="宋体"/>
          <w:color w:val="auto"/>
          <w:sz w:val="24"/>
          <w:highlight w:val="none"/>
          <w:lang w:val="en-US" w:eastAsia="zh-CN"/>
        </w:rPr>
        <w:t>投标</w:t>
      </w:r>
      <w:r>
        <w:rPr>
          <w:rFonts w:hint="eastAsia" w:ascii="宋体" w:hAnsi="宋体" w:cs="宋体"/>
          <w:color w:val="auto"/>
          <w:sz w:val="24"/>
          <w:highlight w:val="none"/>
        </w:rPr>
        <w:t>担保函不予退回。</w:t>
      </w:r>
    </w:p>
    <w:p w14:paraId="0CE1077C">
      <w:pPr>
        <w:spacing w:line="240" w:lineRule="atLeast"/>
        <w:ind w:left="840" w:hanging="840" w:hangingChars="350"/>
        <w:rPr>
          <w:rFonts w:hint="eastAsia" w:ascii="宋体" w:hAnsi="宋体" w:cs="宋体"/>
          <w:color w:val="auto"/>
          <w:sz w:val="24"/>
        </w:rPr>
      </w:pPr>
      <w:r>
        <w:rPr>
          <w:rFonts w:hint="eastAsia" w:ascii="宋体" w:hAnsi="宋体" w:cs="宋体"/>
          <w:color w:val="auto"/>
          <w:sz w:val="24"/>
          <w:highlight w:val="none"/>
        </w:rPr>
        <w:t>12.7   因</w:t>
      </w:r>
      <w:r>
        <w:rPr>
          <w:rFonts w:hint="eastAsia" w:ascii="宋体" w:hAnsi="宋体" w:cs="宋体"/>
          <w:color w:val="auto"/>
          <w:sz w:val="24"/>
          <w:highlight w:val="none"/>
          <w:lang w:val="en-US" w:eastAsia="zh-CN"/>
        </w:rPr>
        <w:t>投标人</w:t>
      </w:r>
      <w:r>
        <w:rPr>
          <w:rFonts w:hint="eastAsia" w:ascii="宋体" w:hAnsi="宋体" w:cs="宋体"/>
          <w:color w:val="auto"/>
          <w:sz w:val="24"/>
          <w:highlight w:val="none"/>
        </w:rPr>
        <w:t>自身原因导致无法及时退还的，采购人或采购代理机构将不承担相应责任</w:t>
      </w:r>
      <w:r>
        <w:rPr>
          <w:rFonts w:hint="eastAsia" w:ascii="宋体" w:hAnsi="宋体" w:cs="宋体"/>
          <w:color w:val="auto"/>
          <w:sz w:val="24"/>
        </w:rPr>
        <w:t>。</w:t>
      </w:r>
    </w:p>
    <w:p w14:paraId="794A4A0C">
      <w:pPr>
        <w:pStyle w:val="5"/>
        <w:keepNext w:val="0"/>
        <w:keepLines w:val="0"/>
        <w:pageBreakBefore w:val="0"/>
        <w:widowControl w:val="0"/>
        <w:kinsoku/>
        <w:overflowPunct/>
        <w:bidi w:val="0"/>
        <w:spacing w:before="0" w:after="0" w:line="240" w:lineRule="atLeast"/>
        <w:rPr>
          <w:rFonts w:hint="eastAsia" w:ascii="宋体" w:hAnsi="宋体" w:eastAsia="宋体" w:cs="宋体"/>
          <w:color w:val="auto"/>
          <w:highlight w:val="none"/>
          <w:u w:val="none"/>
        </w:rPr>
      </w:pPr>
      <w:r>
        <w:rPr>
          <w:rFonts w:hint="eastAsia" w:ascii="宋体" w:hAnsi="宋体" w:eastAsia="宋体" w:cs="宋体"/>
          <w:color w:val="auto"/>
          <w:highlight w:val="none"/>
          <w:u w:val="none"/>
        </w:rPr>
        <w:t>13.投标有效期</w:t>
      </w:r>
      <w:bookmarkEnd w:id="92"/>
      <w:bookmarkEnd w:id="93"/>
      <w:bookmarkEnd w:id="94"/>
      <w:bookmarkEnd w:id="95"/>
      <w:bookmarkEnd w:id="96"/>
    </w:p>
    <w:p w14:paraId="30CD6D8D">
      <w:pPr>
        <w:spacing w:line="240" w:lineRule="atLeast"/>
        <w:ind w:left="840" w:hanging="840" w:hangingChars="350"/>
        <w:rPr>
          <w:rFonts w:hint="eastAsia" w:ascii="宋体" w:hAnsi="宋体" w:cs="宋体"/>
          <w:color w:val="auto"/>
          <w:sz w:val="24"/>
          <w:highlight w:val="none"/>
        </w:rPr>
      </w:pPr>
      <w:bookmarkStart w:id="98" w:name="_Toc520356158"/>
      <w:bookmarkStart w:id="99" w:name="_Toc493"/>
      <w:bookmarkStart w:id="100" w:name="_Toc17074"/>
      <w:bookmarkStart w:id="101" w:name="_Toc515647773"/>
      <w:bookmarkStart w:id="102" w:name="_Toc17609"/>
      <w:bookmarkStart w:id="103" w:name="_Toc520356159"/>
      <w:bookmarkStart w:id="104" w:name="_Toc515647774"/>
      <w:bookmarkStart w:id="105" w:name="_Toc216582808"/>
      <w:bookmarkStart w:id="106" w:name="_Toc16865"/>
      <w:bookmarkStart w:id="107" w:name="_Toc25925"/>
      <w:bookmarkStart w:id="108" w:name="_Toc11179"/>
      <w:r>
        <w:rPr>
          <w:rFonts w:hint="eastAsia" w:ascii="宋体" w:hAnsi="宋体" w:cs="宋体"/>
          <w:color w:val="auto"/>
          <w:sz w:val="24"/>
          <w:highlight w:val="none"/>
        </w:rPr>
        <w:t>13.1</w:t>
      </w:r>
      <w:r>
        <w:rPr>
          <w:rFonts w:hint="eastAsia" w:ascii="宋体" w:hAnsi="宋体" w:cs="宋体"/>
          <w:color w:val="auto"/>
          <w:sz w:val="24"/>
          <w:highlight w:val="none"/>
        </w:rPr>
        <w:tab/>
      </w:r>
      <w:r>
        <w:rPr>
          <w:rFonts w:hint="eastAsia" w:ascii="宋体" w:hAnsi="宋体" w:cs="宋体"/>
          <w:color w:val="auto"/>
          <w:sz w:val="24"/>
          <w:highlight w:val="none"/>
          <w:lang w:val="en-US" w:eastAsia="zh-CN"/>
        </w:rPr>
        <w:t>投标</w:t>
      </w:r>
      <w:r>
        <w:rPr>
          <w:rFonts w:hint="eastAsia" w:ascii="宋体" w:hAnsi="宋体" w:cs="宋体"/>
          <w:color w:val="auto"/>
          <w:sz w:val="24"/>
          <w:highlight w:val="none"/>
        </w:rPr>
        <w:t>应在</w:t>
      </w:r>
      <w:r>
        <w:rPr>
          <w:rFonts w:hint="eastAsia" w:ascii="宋体" w:hAnsi="宋体" w:cs="宋体"/>
          <w:color w:val="auto"/>
          <w:sz w:val="24"/>
          <w:highlight w:val="none"/>
          <w:u w:val="single"/>
          <w:lang w:eastAsia="zh-CN"/>
        </w:rPr>
        <w:t>投标人须知资料表</w:t>
      </w:r>
      <w:r>
        <w:rPr>
          <w:rFonts w:hint="eastAsia" w:ascii="宋体" w:hAnsi="宋体" w:cs="宋体"/>
          <w:color w:val="auto"/>
          <w:sz w:val="24"/>
          <w:highlight w:val="none"/>
        </w:rPr>
        <w:t>中规定时间内保持有效。</w:t>
      </w:r>
      <w:r>
        <w:rPr>
          <w:rFonts w:hint="eastAsia" w:ascii="宋体" w:hAnsi="宋体" w:cs="宋体"/>
          <w:color w:val="auto"/>
          <w:sz w:val="24"/>
          <w:highlight w:val="none"/>
          <w:lang w:val="en-US" w:eastAsia="zh-CN"/>
        </w:rPr>
        <w:t>投标</w:t>
      </w:r>
      <w:r>
        <w:rPr>
          <w:rFonts w:hint="eastAsia" w:ascii="宋体" w:hAnsi="宋体" w:cs="宋体"/>
          <w:color w:val="auto"/>
          <w:sz w:val="24"/>
          <w:highlight w:val="none"/>
        </w:rPr>
        <w:t>有效期不满足要求的</w:t>
      </w:r>
      <w:r>
        <w:rPr>
          <w:rFonts w:hint="eastAsia" w:ascii="宋体" w:hAnsi="宋体" w:cs="宋体"/>
          <w:color w:val="auto"/>
          <w:sz w:val="24"/>
          <w:highlight w:val="none"/>
          <w:lang w:val="en-US" w:eastAsia="zh-CN"/>
        </w:rPr>
        <w:t>投标</w:t>
      </w:r>
      <w:r>
        <w:rPr>
          <w:rFonts w:hint="eastAsia" w:ascii="宋体" w:hAnsi="宋体" w:cs="宋体"/>
          <w:color w:val="auto"/>
          <w:sz w:val="24"/>
          <w:highlight w:val="none"/>
        </w:rPr>
        <w:t>，其</w:t>
      </w:r>
      <w:r>
        <w:rPr>
          <w:rFonts w:hint="eastAsia" w:ascii="宋体" w:hAnsi="宋体" w:cs="宋体"/>
          <w:color w:val="auto"/>
          <w:sz w:val="24"/>
          <w:highlight w:val="none"/>
          <w:lang w:val="en-US" w:eastAsia="zh-CN"/>
        </w:rPr>
        <w:t>投标</w:t>
      </w:r>
      <w:r>
        <w:rPr>
          <w:rFonts w:hint="eastAsia" w:ascii="宋体" w:hAnsi="宋体" w:cs="宋体"/>
          <w:color w:val="auto"/>
          <w:sz w:val="24"/>
          <w:highlight w:val="none"/>
        </w:rPr>
        <w:t>将被认定为</w:t>
      </w:r>
      <w:r>
        <w:rPr>
          <w:rFonts w:hint="eastAsia" w:ascii="宋体" w:hAnsi="宋体" w:cs="宋体"/>
          <w:b/>
          <w:bCs/>
          <w:color w:val="auto"/>
          <w:sz w:val="24"/>
          <w:highlight w:val="none"/>
          <w:lang w:eastAsia="zh-CN"/>
        </w:rPr>
        <w:t>投标无效</w:t>
      </w:r>
      <w:r>
        <w:rPr>
          <w:rFonts w:hint="eastAsia" w:ascii="宋体" w:hAnsi="宋体" w:cs="宋体"/>
          <w:color w:val="auto"/>
          <w:sz w:val="24"/>
          <w:highlight w:val="none"/>
        </w:rPr>
        <w:t>。</w:t>
      </w:r>
    </w:p>
    <w:p w14:paraId="56C26644">
      <w:pPr>
        <w:spacing w:line="240" w:lineRule="atLeast"/>
        <w:ind w:left="840" w:hanging="840" w:hangingChars="350"/>
        <w:rPr>
          <w:rFonts w:hint="eastAsia" w:ascii="宋体" w:hAnsi="宋体" w:cs="宋体"/>
          <w:color w:val="auto"/>
          <w:sz w:val="24"/>
          <w:highlight w:val="none"/>
        </w:rPr>
      </w:pPr>
      <w:r>
        <w:rPr>
          <w:rFonts w:hint="eastAsia" w:ascii="宋体" w:hAnsi="宋体" w:cs="宋体"/>
          <w:color w:val="auto"/>
          <w:sz w:val="24"/>
          <w:highlight w:val="none"/>
        </w:rPr>
        <w:t>13.2</w:t>
      </w:r>
      <w:r>
        <w:rPr>
          <w:rFonts w:hint="eastAsia" w:ascii="宋体" w:hAnsi="宋体" w:cs="宋体"/>
          <w:color w:val="auto"/>
          <w:sz w:val="24"/>
          <w:highlight w:val="none"/>
        </w:rPr>
        <w:tab/>
      </w:r>
      <w:r>
        <w:rPr>
          <w:rFonts w:hint="eastAsia" w:ascii="宋体" w:hAnsi="宋体" w:cs="宋体"/>
          <w:color w:val="auto"/>
          <w:sz w:val="24"/>
          <w:highlight w:val="none"/>
        </w:rPr>
        <w:t>为保证有充分时间签订合同，采购人或采购代理机构可根据实际情况，在原</w:t>
      </w:r>
      <w:r>
        <w:rPr>
          <w:rFonts w:hint="eastAsia" w:ascii="宋体" w:hAnsi="宋体" w:cs="宋体"/>
          <w:color w:val="auto"/>
          <w:sz w:val="24"/>
          <w:highlight w:val="none"/>
          <w:lang w:val="en-US" w:eastAsia="zh-CN"/>
        </w:rPr>
        <w:t>投标</w:t>
      </w:r>
      <w:r>
        <w:rPr>
          <w:rFonts w:hint="eastAsia" w:ascii="宋体" w:hAnsi="宋体" w:cs="宋体"/>
          <w:color w:val="auto"/>
          <w:sz w:val="24"/>
          <w:highlight w:val="none"/>
        </w:rPr>
        <w:t>有效期截止之前，要求</w:t>
      </w:r>
      <w:r>
        <w:rPr>
          <w:rFonts w:hint="eastAsia" w:ascii="宋体" w:hAnsi="宋体" w:cs="宋体"/>
          <w:color w:val="auto"/>
          <w:sz w:val="24"/>
          <w:highlight w:val="none"/>
          <w:lang w:val="en-US" w:eastAsia="zh-CN"/>
        </w:rPr>
        <w:t>投标人</w:t>
      </w:r>
      <w:r>
        <w:rPr>
          <w:rFonts w:hint="eastAsia" w:ascii="宋体" w:hAnsi="宋体" w:cs="宋体"/>
          <w:color w:val="auto"/>
          <w:sz w:val="24"/>
          <w:highlight w:val="none"/>
        </w:rPr>
        <w:t>延长响应文件的有效期。接受该要求的</w:t>
      </w:r>
      <w:r>
        <w:rPr>
          <w:rFonts w:hint="eastAsia" w:ascii="宋体" w:hAnsi="宋体" w:cs="宋体"/>
          <w:color w:val="auto"/>
          <w:sz w:val="24"/>
          <w:highlight w:val="none"/>
          <w:lang w:val="en-US" w:eastAsia="zh-CN"/>
        </w:rPr>
        <w:t>投标人</w:t>
      </w:r>
      <w:r>
        <w:rPr>
          <w:rFonts w:hint="eastAsia" w:ascii="宋体" w:hAnsi="宋体" w:cs="宋体"/>
          <w:color w:val="auto"/>
          <w:sz w:val="24"/>
          <w:highlight w:val="none"/>
        </w:rPr>
        <w:t>将不会被要求和允许修正其</w:t>
      </w:r>
      <w:r>
        <w:rPr>
          <w:rFonts w:hint="eastAsia" w:ascii="宋体" w:hAnsi="宋体" w:cs="宋体"/>
          <w:color w:val="auto"/>
          <w:sz w:val="24"/>
          <w:highlight w:val="none"/>
          <w:lang w:val="en-US" w:eastAsia="zh-CN"/>
        </w:rPr>
        <w:t>投标</w:t>
      </w:r>
      <w:r>
        <w:rPr>
          <w:rFonts w:hint="eastAsia" w:ascii="宋体" w:hAnsi="宋体" w:cs="宋体"/>
          <w:color w:val="auto"/>
          <w:sz w:val="24"/>
          <w:highlight w:val="none"/>
        </w:rPr>
        <w:t>，且本须知中有关</w:t>
      </w:r>
      <w:r>
        <w:rPr>
          <w:rFonts w:hint="eastAsia" w:ascii="宋体" w:hAnsi="宋体" w:cs="宋体"/>
          <w:color w:val="auto"/>
          <w:sz w:val="24"/>
          <w:highlight w:val="none"/>
          <w:lang w:eastAsia="zh-CN"/>
        </w:rPr>
        <w:t>投标保证金</w:t>
      </w:r>
      <w:r>
        <w:rPr>
          <w:rFonts w:hint="eastAsia" w:ascii="宋体" w:hAnsi="宋体" w:cs="宋体"/>
          <w:color w:val="auto"/>
          <w:sz w:val="24"/>
          <w:highlight w:val="none"/>
        </w:rPr>
        <w:t>的要求须在延长的有效期内继续有效。</w:t>
      </w:r>
      <w:r>
        <w:rPr>
          <w:rFonts w:hint="eastAsia" w:ascii="宋体" w:hAnsi="宋体" w:cs="宋体"/>
          <w:color w:val="auto"/>
          <w:sz w:val="24"/>
          <w:highlight w:val="none"/>
          <w:lang w:val="en-US" w:eastAsia="zh-CN"/>
        </w:rPr>
        <w:t>投标人</w:t>
      </w:r>
      <w:r>
        <w:rPr>
          <w:rFonts w:hint="eastAsia" w:ascii="宋体" w:hAnsi="宋体" w:cs="宋体"/>
          <w:color w:val="auto"/>
          <w:sz w:val="24"/>
          <w:highlight w:val="none"/>
        </w:rPr>
        <w:t>可以拒绝延长</w:t>
      </w:r>
      <w:r>
        <w:rPr>
          <w:rFonts w:hint="eastAsia" w:ascii="宋体" w:hAnsi="宋体" w:cs="宋体"/>
          <w:color w:val="auto"/>
          <w:sz w:val="24"/>
          <w:highlight w:val="none"/>
          <w:lang w:val="en-US" w:eastAsia="zh-CN"/>
        </w:rPr>
        <w:t>投标</w:t>
      </w:r>
      <w:r>
        <w:rPr>
          <w:rFonts w:hint="eastAsia" w:ascii="宋体" w:hAnsi="宋体" w:cs="宋体"/>
          <w:color w:val="auto"/>
          <w:sz w:val="24"/>
          <w:highlight w:val="none"/>
        </w:rPr>
        <w:t>有效期的要求，其</w:t>
      </w:r>
      <w:r>
        <w:rPr>
          <w:rFonts w:hint="eastAsia" w:ascii="宋体" w:hAnsi="宋体" w:cs="宋体"/>
          <w:color w:val="auto"/>
          <w:sz w:val="24"/>
          <w:highlight w:val="none"/>
          <w:lang w:eastAsia="zh-CN"/>
        </w:rPr>
        <w:t>投标保证金</w:t>
      </w:r>
      <w:r>
        <w:rPr>
          <w:rFonts w:hint="eastAsia" w:ascii="宋体" w:hAnsi="宋体" w:cs="宋体"/>
          <w:color w:val="auto"/>
          <w:sz w:val="24"/>
          <w:highlight w:val="none"/>
        </w:rPr>
        <w:t>将及时无息退还。上述要求和答复都应以书面形式提交。</w:t>
      </w:r>
    </w:p>
    <w:p w14:paraId="0AD3EB04">
      <w:pPr>
        <w:pStyle w:val="5"/>
        <w:spacing w:before="0" w:after="0" w:line="240" w:lineRule="atLeast"/>
        <w:rPr>
          <w:rFonts w:hint="eastAsia" w:ascii="宋体" w:hAnsi="宋体" w:eastAsia="宋体" w:cs="宋体"/>
          <w:color w:val="auto"/>
          <w:highlight w:val="none"/>
          <w:u w:val="none"/>
        </w:rPr>
      </w:pPr>
      <w:r>
        <w:rPr>
          <w:rFonts w:hint="eastAsia" w:ascii="宋体" w:hAnsi="宋体" w:eastAsia="宋体" w:cs="宋体"/>
          <w:color w:val="auto"/>
          <w:highlight w:val="none"/>
          <w:u w:val="none"/>
        </w:rPr>
        <w:t>14.</w:t>
      </w:r>
      <w:r>
        <w:rPr>
          <w:rFonts w:hint="eastAsia" w:hAnsi="宋体" w:cs="宋体"/>
          <w:color w:val="auto"/>
          <w:highlight w:val="none"/>
          <w:u w:val="none"/>
          <w:lang w:eastAsia="zh-CN"/>
        </w:rPr>
        <w:t>响应文件</w:t>
      </w:r>
      <w:r>
        <w:rPr>
          <w:rFonts w:hint="eastAsia" w:ascii="宋体" w:hAnsi="宋体" w:eastAsia="宋体" w:cs="宋体"/>
          <w:color w:val="auto"/>
          <w:highlight w:val="none"/>
          <w:u w:val="none"/>
        </w:rPr>
        <w:t>的签署</w:t>
      </w:r>
      <w:bookmarkEnd w:id="98"/>
      <w:r>
        <w:rPr>
          <w:rFonts w:hint="eastAsia" w:ascii="宋体" w:hAnsi="宋体" w:eastAsia="宋体" w:cs="宋体"/>
          <w:color w:val="auto"/>
          <w:highlight w:val="none"/>
          <w:u w:val="none"/>
        </w:rPr>
        <w:t>及规定</w:t>
      </w:r>
      <w:bookmarkEnd w:id="99"/>
      <w:bookmarkEnd w:id="100"/>
      <w:bookmarkEnd w:id="101"/>
      <w:bookmarkEnd w:id="102"/>
    </w:p>
    <w:p w14:paraId="4CA8F3DD">
      <w:pPr>
        <w:spacing w:line="240" w:lineRule="atLeast"/>
        <w:ind w:left="840" w:hanging="840" w:hangingChars="350"/>
        <w:rPr>
          <w:rFonts w:hint="eastAsia" w:ascii="宋体" w:hAnsi="宋体" w:cs="宋体"/>
          <w:color w:val="auto"/>
          <w:sz w:val="24"/>
          <w:highlight w:val="none"/>
        </w:rPr>
      </w:pPr>
      <w:r>
        <w:rPr>
          <w:rFonts w:hint="eastAsia" w:ascii="宋体" w:hAnsi="宋体" w:cs="宋体"/>
          <w:color w:val="auto"/>
          <w:sz w:val="24"/>
          <w:highlight w:val="none"/>
        </w:rPr>
        <w:t>14.1</w:t>
      </w:r>
      <w:r>
        <w:rPr>
          <w:rFonts w:hint="eastAsia" w:ascii="宋体" w:hAnsi="宋体" w:cs="宋体"/>
          <w:color w:val="auto"/>
          <w:sz w:val="24"/>
          <w:highlight w:val="none"/>
        </w:rPr>
        <w:tab/>
      </w:r>
      <w:r>
        <w:rPr>
          <w:rFonts w:hint="eastAsia" w:ascii="宋体" w:hAnsi="宋体" w:cs="宋体"/>
          <w:color w:val="auto"/>
          <w:sz w:val="24"/>
          <w:highlight w:val="none"/>
        </w:rPr>
        <w:t>投标人应按</w:t>
      </w:r>
      <w:r>
        <w:rPr>
          <w:rFonts w:hint="eastAsia" w:ascii="宋体" w:hAnsi="宋体" w:cs="宋体"/>
          <w:color w:val="auto"/>
          <w:sz w:val="24"/>
          <w:highlight w:val="none"/>
          <w:u w:val="single"/>
        </w:rPr>
        <w:t>投标人须知资料表中</w:t>
      </w:r>
      <w:r>
        <w:rPr>
          <w:rFonts w:hint="eastAsia" w:ascii="宋体" w:hAnsi="宋体" w:cs="宋体"/>
          <w:color w:val="auto"/>
          <w:sz w:val="24"/>
          <w:highlight w:val="none"/>
        </w:rPr>
        <w:t>的规定，准备和递交（加密上传）电子响应文件。</w:t>
      </w:r>
    </w:p>
    <w:p w14:paraId="4D72E4F8">
      <w:pPr>
        <w:spacing w:line="240" w:lineRule="atLeast"/>
        <w:ind w:left="840" w:hanging="840" w:hangingChars="350"/>
        <w:rPr>
          <w:rFonts w:hint="eastAsia" w:ascii="宋体" w:hAnsi="宋体" w:cs="宋体"/>
          <w:color w:val="auto"/>
          <w:sz w:val="24"/>
          <w:highlight w:val="none"/>
        </w:rPr>
      </w:pPr>
      <w:r>
        <w:rPr>
          <w:rFonts w:hint="eastAsia" w:ascii="宋体" w:hAnsi="宋体" w:cs="宋体"/>
          <w:color w:val="auto"/>
          <w:sz w:val="24"/>
          <w:highlight w:val="none"/>
        </w:rPr>
        <w:t>14.2   所有响应文件应按照</w:t>
      </w:r>
      <w:r>
        <w:rPr>
          <w:rFonts w:hint="eastAsia" w:ascii="宋体" w:hAnsi="宋体" w:cs="宋体"/>
          <w:color w:val="auto"/>
          <w:sz w:val="24"/>
          <w:highlight w:val="none"/>
          <w:lang w:eastAsia="zh-CN"/>
        </w:rPr>
        <w:t>磋商文件</w:t>
      </w:r>
      <w:r>
        <w:rPr>
          <w:rFonts w:hint="eastAsia" w:ascii="宋体" w:hAnsi="宋体" w:cs="宋体"/>
          <w:color w:val="auto"/>
          <w:sz w:val="24"/>
          <w:highlight w:val="none"/>
        </w:rPr>
        <w:t>规定的格式填写、签署和盖章。</w:t>
      </w:r>
    </w:p>
    <w:p w14:paraId="4553A45D">
      <w:pPr>
        <w:spacing w:line="240" w:lineRule="atLeast"/>
        <w:ind w:left="840" w:hanging="840" w:hangingChars="350"/>
        <w:rPr>
          <w:rFonts w:hint="eastAsia" w:ascii="宋体" w:hAnsi="宋体" w:cs="宋体"/>
          <w:color w:val="auto"/>
          <w:sz w:val="24"/>
          <w:highlight w:val="none"/>
        </w:rPr>
      </w:pPr>
      <w:r>
        <w:rPr>
          <w:rFonts w:hint="eastAsia" w:ascii="宋体" w:hAnsi="宋体" w:cs="宋体"/>
          <w:color w:val="auto"/>
          <w:sz w:val="24"/>
          <w:highlight w:val="none"/>
        </w:rPr>
        <w:t>14.3</w:t>
      </w:r>
      <w:r>
        <w:rPr>
          <w:rFonts w:hint="eastAsia" w:ascii="宋体" w:hAnsi="宋体" w:cs="宋体"/>
          <w:color w:val="auto"/>
          <w:sz w:val="24"/>
          <w:highlight w:val="none"/>
        </w:rPr>
        <w:tab/>
      </w:r>
      <w:r>
        <w:rPr>
          <w:rFonts w:hint="eastAsia" w:ascii="宋体" w:hAnsi="宋体" w:cs="宋体"/>
          <w:color w:val="auto"/>
          <w:sz w:val="24"/>
          <w:highlight w:val="none"/>
        </w:rPr>
        <w:t>响应文件因字迹潦草、表达不清或未按照</w:t>
      </w:r>
      <w:r>
        <w:rPr>
          <w:rFonts w:hint="eastAsia" w:ascii="宋体" w:hAnsi="宋体" w:cs="宋体"/>
          <w:color w:val="auto"/>
          <w:sz w:val="24"/>
          <w:highlight w:val="none"/>
          <w:lang w:eastAsia="zh-CN"/>
        </w:rPr>
        <w:t>磋商文件</w:t>
      </w:r>
      <w:r>
        <w:rPr>
          <w:rFonts w:hint="eastAsia" w:ascii="宋体" w:hAnsi="宋体" w:cs="宋体"/>
          <w:color w:val="auto"/>
          <w:sz w:val="24"/>
          <w:highlight w:val="none"/>
        </w:rPr>
        <w:t>规定的格式填写、签署和盖章所引起的后果由</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负责。</w:t>
      </w:r>
    </w:p>
    <w:p w14:paraId="3505E72B">
      <w:pPr>
        <w:pStyle w:val="3"/>
        <w:keepNext w:val="0"/>
        <w:keepLines w:val="0"/>
        <w:pageBreakBefore w:val="0"/>
        <w:widowControl w:val="0"/>
        <w:kinsoku/>
        <w:overflowPunct/>
        <w:bidi w:val="0"/>
        <w:spacing w:before="0" w:line="240" w:lineRule="atLeast"/>
        <w:ind w:left="1080" w:leftChars="257" w:hanging="540"/>
        <w:rPr>
          <w:rFonts w:hint="eastAsia" w:ascii="宋体" w:hAnsi="宋体" w:eastAsia="宋体" w:cs="宋体"/>
          <w:color w:val="auto"/>
          <w:sz w:val="28"/>
          <w:highlight w:val="none"/>
          <w:lang w:eastAsia="zh-CN"/>
        </w:rPr>
      </w:pPr>
      <w:r>
        <w:rPr>
          <w:rFonts w:hint="eastAsia" w:ascii="宋体" w:hAnsi="宋体" w:eastAsia="宋体" w:cs="宋体"/>
          <w:color w:val="auto"/>
          <w:sz w:val="28"/>
          <w:highlight w:val="none"/>
          <w:lang w:eastAsia="zh-CN"/>
        </w:rPr>
        <w:t>四   响应文件的递交</w:t>
      </w:r>
      <w:bookmarkEnd w:id="103"/>
      <w:bookmarkEnd w:id="104"/>
      <w:bookmarkEnd w:id="105"/>
      <w:bookmarkEnd w:id="106"/>
      <w:bookmarkEnd w:id="107"/>
      <w:bookmarkEnd w:id="108"/>
    </w:p>
    <w:p w14:paraId="34CBE726">
      <w:pPr>
        <w:pStyle w:val="5"/>
        <w:spacing w:before="0" w:after="0" w:line="240" w:lineRule="atLeast"/>
        <w:rPr>
          <w:rFonts w:hint="eastAsia" w:ascii="宋体" w:hAnsi="宋体" w:eastAsia="宋体" w:cs="宋体"/>
          <w:color w:val="auto"/>
          <w:highlight w:val="none"/>
          <w:u w:val="none"/>
        </w:rPr>
      </w:pPr>
      <w:bookmarkStart w:id="109" w:name="_Toc21645"/>
      <w:bookmarkStart w:id="110" w:name="_Toc515647775"/>
      <w:bookmarkStart w:id="111" w:name="_Toc520356160"/>
      <w:bookmarkStart w:id="112" w:name="_Toc26195"/>
      <w:bookmarkStart w:id="113" w:name="_Toc32337"/>
      <w:bookmarkStart w:id="114" w:name="_Toc520356161"/>
      <w:bookmarkStart w:id="115" w:name="_Toc12751"/>
      <w:bookmarkStart w:id="116" w:name="_Toc515647776"/>
      <w:bookmarkStart w:id="117" w:name="_Toc24017"/>
      <w:bookmarkStart w:id="118" w:name="_Toc9840"/>
      <w:r>
        <w:rPr>
          <w:rFonts w:hint="eastAsia" w:ascii="宋体" w:hAnsi="宋体" w:eastAsia="宋体" w:cs="宋体"/>
          <w:color w:val="auto"/>
          <w:highlight w:val="none"/>
          <w:u w:val="none"/>
        </w:rPr>
        <w:t>15.</w:t>
      </w:r>
      <w:r>
        <w:rPr>
          <w:rFonts w:hint="eastAsia" w:hAnsi="宋体" w:cs="宋体"/>
          <w:color w:val="auto"/>
          <w:highlight w:val="none"/>
          <w:u w:val="none"/>
          <w:lang w:eastAsia="zh-CN"/>
        </w:rPr>
        <w:t>响应文件</w:t>
      </w:r>
      <w:r>
        <w:rPr>
          <w:rFonts w:hint="eastAsia" w:ascii="宋体" w:hAnsi="宋体" w:eastAsia="宋体" w:cs="宋体"/>
          <w:color w:val="auto"/>
          <w:highlight w:val="none"/>
          <w:u w:val="none"/>
        </w:rPr>
        <w:t>的密封和标记</w:t>
      </w:r>
      <w:bookmarkEnd w:id="109"/>
      <w:bookmarkEnd w:id="110"/>
      <w:bookmarkEnd w:id="111"/>
      <w:bookmarkEnd w:id="112"/>
      <w:bookmarkEnd w:id="113"/>
    </w:p>
    <w:p w14:paraId="6C7B4335">
      <w:pPr>
        <w:spacing w:line="240" w:lineRule="atLeast"/>
        <w:ind w:left="840" w:hanging="840" w:hangingChars="350"/>
        <w:rPr>
          <w:rFonts w:hint="eastAsia" w:ascii="宋体" w:hAnsi="宋体" w:eastAsia="宋体" w:cs="宋体"/>
          <w:b/>
          <w:bCs/>
          <w:color w:val="auto"/>
          <w:sz w:val="24"/>
          <w:highlight w:val="none"/>
          <w:lang w:val="en-US" w:eastAsia="zh-CN"/>
        </w:rPr>
      </w:pPr>
      <w:r>
        <w:rPr>
          <w:rFonts w:hint="eastAsia" w:ascii="宋体" w:hAnsi="宋体" w:cs="宋体"/>
          <w:color w:val="auto"/>
          <w:sz w:val="24"/>
          <w:highlight w:val="none"/>
        </w:rPr>
        <w:t>15.1</w:t>
      </w:r>
      <w:r>
        <w:rPr>
          <w:rFonts w:hint="eastAsia" w:ascii="宋体" w:hAnsi="宋体" w:cs="宋体"/>
          <w:b/>
          <w:bCs/>
          <w:color w:val="auto"/>
          <w:sz w:val="24"/>
          <w:highlight w:val="none"/>
        </w:rPr>
        <w:t xml:space="preserve">   投标人应完整地按</w:t>
      </w:r>
      <w:r>
        <w:rPr>
          <w:rFonts w:hint="eastAsia" w:ascii="宋体" w:hAnsi="宋体" w:cs="宋体"/>
          <w:b/>
          <w:bCs/>
          <w:color w:val="auto"/>
          <w:sz w:val="24"/>
          <w:highlight w:val="none"/>
          <w:lang w:val="en-US" w:eastAsia="zh-CN"/>
        </w:rPr>
        <w:t>磋商文件</w:t>
      </w:r>
      <w:r>
        <w:rPr>
          <w:rFonts w:hint="eastAsia" w:ascii="宋体" w:hAnsi="宋体" w:cs="宋体"/>
          <w:b/>
          <w:bCs/>
          <w:color w:val="auto"/>
          <w:sz w:val="24"/>
          <w:highlight w:val="none"/>
        </w:rPr>
        <w:t xml:space="preserve">提供的响应文件格式及要求编写响应文件， </w:t>
      </w:r>
      <w:r>
        <w:rPr>
          <w:rFonts w:hint="eastAsia" w:ascii="宋体" w:hAnsi="宋体" w:eastAsia="宋体" w:cs="宋体"/>
          <w:b/>
          <w:bCs/>
          <w:color w:val="FF0000"/>
          <w:sz w:val="24"/>
          <w:highlight w:val="none"/>
          <w:lang w:val="en-US" w:eastAsia="zh-CN"/>
        </w:rPr>
        <w:t>响应文件应包括“开标一览表及资格证明文件”和“商务及技术文件”两部分，投标人须在投标截止时间前完成在系统上递交电子投标文件</w:t>
      </w:r>
      <w:r>
        <w:rPr>
          <w:rFonts w:hint="eastAsia" w:ascii="宋体" w:hAnsi="宋体" w:cs="宋体"/>
          <w:b/>
          <w:bCs/>
          <w:color w:val="FF0000"/>
          <w:sz w:val="24"/>
          <w:highlight w:val="none"/>
          <w:lang w:val="en-US" w:eastAsia="zh-CN"/>
        </w:rPr>
        <w:t>（</w:t>
      </w:r>
      <w:r>
        <w:rPr>
          <w:rFonts w:hint="eastAsia" w:ascii="宋体" w:hAnsi="宋体" w:eastAsia="宋体" w:cs="宋体"/>
          <w:b/>
          <w:bCs/>
          <w:color w:val="FF0000"/>
          <w:sz w:val="24"/>
          <w:highlight w:val="none"/>
        </w:rPr>
        <w:t>两部分</w:t>
      </w:r>
      <w:r>
        <w:rPr>
          <w:rFonts w:hint="eastAsia" w:ascii="宋体" w:hAnsi="宋体" w:eastAsia="宋体" w:cs="宋体"/>
          <w:b/>
          <w:bCs/>
          <w:color w:val="FF0000"/>
          <w:sz w:val="24"/>
          <w:highlight w:val="none"/>
          <w:lang w:val="en-US" w:eastAsia="zh-CN"/>
        </w:rPr>
        <w:t>合并生成</w:t>
      </w:r>
      <w:r>
        <w:rPr>
          <w:rFonts w:hint="eastAsia" w:ascii="宋体" w:hAnsi="宋体" w:cs="宋体"/>
          <w:b/>
          <w:bCs/>
          <w:color w:val="FF0000"/>
          <w:sz w:val="24"/>
          <w:highlight w:val="none"/>
          <w:lang w:val="en-US" w:eastAsia="zh-CN"/>
        </w:rPr>
        <w:t>，需带有投标文件格式要求的封皮）</w:t>
      </w:r>
      <w:r>
        <w:rPr>
          <w:rFonts w:hint="eastAsia" w:ascii="宋体" w:hAnsi="宋体" w:eastAsia="宋体" w:cs="宋体"/>
          <w:b/>
          <w:bCs/>
          <w:color w:val="FF0000"/>
          <w:sz w:val="24"/>
          <w:highlight w:val="none"/>
          <w:lang w:val="en-US" w:eastAsia="zh-CN"/>
        </w:rPr>
        <w:t>。投标人的电子投标文件是经过CA证书加密后上传提交的，任何单位或个人均无法在投标截止时间</w:t>
      </w:r>
      <w:r>
        <w:rPr>
          <w:rFonts w:hint="eastAsia" w:ascii="宋体" w:hAnsi="宋体" w:cs="宋体"/>
          <w:b/>
          <w:bCs/>
          <w:color w:val="FF0000"/>
          <w:sz w:val="24"/>
          <w:highlight w:val="none"/>
          <w:lang w:val="en-US" w:eastAsia="zh-CN"/>
        </w:rPr>
        <w:t>（</w:t>
      </w:r>
      <w:r>
        <w:rPr>
          <w:rFonts w:hint="eastAsia" w:ascii="宋体" w:hAnsi="宋体" w:eastAsia="宋体" w:cs="宋体"/>
          <w:b/>
          <w:bCs/>
          <w:color w:val="FF0000"/>
          <w:sz w:val="24"/>
          <w:highlight w:val="none"/>
          <w:lang w:val="en-US" w:eastAsia="zh-CN"/>
        </w:rPr>
        <w:t>即开标时间</w:t>
      </w:r>
      <w:r>
        <w:rPr>
          <w:rFonts w:hint="eastAsia" w:ascii="宋体" w:hAnsi="宋体" w:cs="宋体"/>
          <w:b/>
          <w:bCs/>
          <w:color w:val="FF0000"/>
          <w:sz w:val="24"/>
          <w:highlight w:val="none"/>
          <w:lang w:val="en-US" w:eastAsia="zh-CN"/>
        </w:rPr>
        <w:t>）</w:t>
      </w:r>
      <w:r>
        <w:rPr>
          <w:rFonts w:hint="eastAsia" w:ascii="宋体" w:hAnsi="宋体" w:eastAsia="宋体" w:cs="宋体"/>
          <w:b/>
          <w:bCs/>
          <w:color w:val="FF0000"/>
          <w:sz w:val="24"/>
          <w:highlight w:val="none"/>
          <w:lang w:val="en-US" w:eastAsia="zh-CN"/>
        </w:rPr>
        <w:t>之前查看或篡改，不存在泄密风险。</w:t>
      </w:r>
    </w:p>
    <w:p w14:paraId="1E20DED8">
      <w:pPr>
        <w:pStyle w:val="5"/>
        <w:keepNext w:val="0"/>
        <w:keepLines w:val="0"/>
        <w:pageBreakBefore w:val="0"/>
        <w:widowControl w:val="0"/>
        <w:kinsoku/>
        <w:wordWrap/>
        <w:overflowPunct/>
        <w:topLinePunct w:val="0"/>
        <w:bidi w:val="0"/>
        <w:snapToGrid/>
        <w:spacing w:before="0" w:after="0" w:line="240" w:lineRule="atLeast"/>
        <w:ind w:left="960" w:hanging="964" w:hangingChars="400"/>
        <w:textAlignment w:val="auto"/>
        <w:rPr>
          <w:rFonts w:hint="eastAsia" w:ascii="宋体" w:hAnsi="宋体" w:eastAsia="宋体" w:cs="宋体"/>
          <w:color w:val="auto"/>
          <w:highlight w:val="none"/>
          <w:u w:val="none"/>
        </w:rPr>
      </w:pPr>
      <w:r>
        <w:rPr>
          <w:rFonts w:hint="eastAsia" w:ascii="宋体" w:hAnsi="宋体" w:eastAsia="宋体" w:cs="宋体"/>
          <w:color w:val="auto"/>
          <w:highlight w:val="none"/>
          <w:u w:val="none"/>
        </w:rPr>
        <w:t>16.投标截止</w:t>
      </w:r>
      <w:bookmarkEnd w:id="114"/>
      <w:bookmarkEnd w:id="115"/>
      <w:bookmarkEnd w:id="116"/>
      <w:bookmarkEnd w:id="117"/>
      <w:bookmarkEnd w:id="118"/>
    </w:p>
    <w:p w14:paraId="42B9027C">
      <w:pPr>
        <w:keepNext w:val="0"/>
        <w:keepLines w:val="0"/>
        <w:pageBreakBefore w:val="0"/>
        <w:widowControl w:val="0"/>
        <w:kinsoku/>
        <w:wordWrap/>
        <w:overflowPunct/>
        <w:topLinePunct w:val="0"/>
        <w:autoSpaceDE/>
        <w:autoSpaceDN/>
        <w:bidi w:val="0"/>
        <w:adjustRightInd/>
        <w:snapToGrid/>
        <w:spacing w:line="240" w:lineRule="atLeast"/>
        <w:ind w:left="840" w:leftChars="0" w:hanging="840" w:hangingChars="350"/>
        <w:textAlignment w:val="auto"/>
        <w:rPr>
          <w:rFonts w:hint="eastAsia" w:ascii="宋体" w:hAnsi="宋体" w:eastAsia="宋体" w:cs="宋体"/>
          <w:b w:val="0"/>
          <w:bCs w:val="0"/>
          <w:color w:val="auto"/>
          <w:sz w:val="24"/>
          <w:highlight w:val="none"/>
          <w:lang w:val="en-US" w:eastAsia="zh-CN"/>
        </w:rPr>
      </w:pPr>
      <w:bookmarkStart w:id="119" w:name="_Toc24275"/>
      <w:bookmarkStart w:id="120" w:name="_Toc520356162"/>
      <w:bookmarkStart w:id="121" w:name="_Toc515647777"/>
      <w:bookmarkStart w:id="122" w:name="_Toc29943"/>
      <w:bookmarkStart w:id="123" w:name="_Toc3653"/>
      <w:bookmarkStart w:id="124" w:name="_Toc18537"/>
      <w:bookmarkStart w:id="125" w:name="_Toc17389"/>
      <w:r>
        <w:rPr>
          <w:rFonts w:hint="eastAsia" w:ascii="宋体" w:hAnsi="宋体" w:eastAsia="宋体" w:cs="宋体"/>
          <w:b w:val="0"/>
          <w:bCs w:val="0"/>
          <w:color w:val="auto"/>
          <w:sz w:val="24"/>
          <w:highlight w:val="none"/>
          <w:lang w:val="en-US" w:eastAsia="zh-CN"/>
        </w:rPr>
        <w:t>16.1</w:t>
      </w:r>
      <w:r>
        <w:rPr>
          <w:rFonts w:hint="eastAsia" w:ascii="宋体" w:hAnsi="宋体" w:eastAsia="宋体" w:cs="宋体"/>
          <w:b w:val="0"/>
          <w:bCs w:val="0"/>
          <w:color w:val="auto"/>
          <w:sz w:val="24"/>
          <w:highlight w:val="none"/>
          <w:lang w:val="en-US" w:eastAsia="zh-CN"/>
        </w:rPr>
        <w:tab/>
      </w:r>
      <w:r>
        <w:rPr>
          <w:rFonts w:hint="eastAsia" w:ascii="宋体" w:hAnsi="宋体" w:eastAsia="宋体" w:cs="宋体"/>
          <w:b w:val="0"/>
          <w:bCs w:val="0"/>
          <w:color w:val="auto"/>
          <w:sz w:val="24"/>
          <w:highlight w:val="none"/>
          <w:lang w:val="en-US" w:eastAsia="zh-CN"/>
        </w:rPr>
        <w:t>投标人应在磋商文件中规定的截止时间前，将电子投标文件上传到政采云平台。</w:t>
      </w:r>
    </w:p>
    <w:p w14:paraId="34A59B38">
      <w:pPr>
        <w:keepNext w:val="0"/>
        <w:keepLines w:val="0"/>
        <w:pageBreakBefore w:val="0"/>
        <w:widowControl w:val="0"/>
        <w:kinsoku/>
        <w:wordWrap/>
        <w:overflowPunct/>
        <w:topLinePunct w:val="0"/>
        <w:autoSpaceDE/>
        <w:autoSpaceDN/>
        <w:bidi w:val="0"/>
        <w:adjustRightInd/>
        <w:snapToGrid/>
        <w:spacing w:line="240" w:lineRule="atLeast"/>
        <w:ind w:left="840" w:leftChars="0" w:hanging="840" w:hangingChars="350"/>
        <w:textAlignment w:val="auto"/>
        <w:rPr>
          <w:rFonts w:hint="eastAsia"/>
          <w:color w:val="auto"/>
          <w:highlight w:val="none"/>
        </w:rPr>
      </w:pPr>
      <w:r>
        <w:rPr>
          <w:rFonts w:hint="eastAsia" w:ascii="宋体" w:hAnsi="宋体" w:eastAsia="宋体" w:cs="宋体"/>
          <w:b w:val="0"/>
          <w:bCs w:val="0"/>
          <w:color w:val="auto"/>
          <w:sz w:val="24"/>
          <w:highlight w:val="none"/>
          <w:lang w:val="en-US" w:eastAsia="zh-CN"/>
        </w:rPr>
        <w:t>16.2</w:t>
      </w:r>
      <w:r>
        <w:rPr>
          <w:rFonts w:hint="eastAsia" w:ascii="宋体" w:hAnsi="宋体" w:eastAsia="宋体" w:cs="宋体"/>
          <w:b w:val="0"/>
          <w:bCs w:val="0"/>
          <w:color w:val="auto"/>
          <w:sz w:val="24"/>
          <w:highlight w:val="none"/>
          <w:lang w:val="en-US" w:eastAsia="zh-CN"/>
        </w:rPr>
        <w:tab/>
      </w:r>
      <w:r>
        <w:rPr>
          <w:rFonts w:hint="eastAsia" w:ascii="宋体" w:hAnsi="宋体" w:eastAsia="宋体" w:cs="宋体"/>
          <w:b w:val="0"/>
          <w:bCs w:val="0"/>
          <w:color w:val="auto"/>
          <w:sz w:val="24"/>
          <w:highlight w:val="none"/>
          <w:lang w:val="en-US" w:eastAsia="zh-CN"/>
        </w:rPr>
        <w:t>采购人和采购代理机构有权按本须知的规定，延迟投标截止时间。在此情况下，采购人、采购代理机构和投标人受投标截止时间制约的所有权利和义务均应延长至新的截止时间。</w:t>
      </w:r>
      <w:bookmarkEnd w:id="119"/>
      <w:bookmarkEnd w:id="120"/>
      <w:bookmarkEnd w:id="121"/>
      <w:bookmarkEnd w:id="122"/>
      <w:bookmarkEnd w:id="123"/>
      <w:bookmarkEnd w:id="124"/>
      <w:bookmarkEnd w:id="125"/>
    </w:p>
    <w:p w14:paraId="785BCFEE">
      <w:pPr>
        <w:pageBreakBefore w:val="0"/>
        <w:widowControl w:val="0"/>
        <w:kinsoku/>
        <w:wordWrap/>
        <w:overflowPunct/>
        <w:topLinePunct w:val="0"/>
        <w:bidi w:val="0"/>
        <w:snapToGrid/>
        <w:spacing w:line="240" w:lineRule="atLeast"/>
        <w:ind w:left="964" w:leftChars="0" w:hanging="964" w:hangingChars="400"/>
        <w:textAlignment w:val="auto"/>
        <w:rPr>
          <w:rFonts w:hint="eastAsia"/>
          <w:color w:val="auto"/>
        </w:rPr>
      </w:pPr>
      <w:bookmarkStart w:id="126" w:name="_Toc518923081"/>
      <w:bookmarkStart w:id="127" w:name="_Toc16710"/>
      <w:r>
        <w:rPr>
          <w:rFonts w:hint="eastAsia" w:ascii="宋体" w:hAnsi="宋体" w:eastAsia="宋体" w:cs="宋体"/>
          <w:b/>
          <w:bCs/>
          <w:color w:val="auto"/>
          <w:sz w:val="24"/>
          <w:highlight w:val="none"/>
          <w:lang w:val="en-US" w:eastAsia="zh-CN"/>
        </w:rPr>
        <w:t>17.</w:t>
      </w:r>
      <w:r>
        <w:rPr>
          <w:rFonts w:hint="eastAsia" w:ascii="宋体" w:hAnsi="宋体" w:cs="宋体"/>
          <w:b/>
          <w:bCs/>
          <w:color w:val="auto"/>
          <w:sz w:val="24"/>
          <w:szCs w:val="32"/>
          <w:highlight w:val="none"/>
          <w:lang w:val="en-US" w:eastAsia="zh-CN"/>
        </w:rPr>
        <w:t>响应</w:t>
      </w:r>
      <w:r>
        <w:rPr>
          <w:rFonts w:hint="eastAsia" w:ascii="宋体" w:hAnsi="宋体" w:eastAsia="宋体" w:cs="宋体"/>
          <w:b/>
          <w:bCs/>
          <w:color w:val="auto"/>
          <w:sz w:val="24"/>
          <w:highlight w:val="none"/>
          <w:lang w:val="en-US" w:eastAsia="zh-CN"/>
        </w:rPr>
        <w:t>文件的接收、修改、撤回</w:t>
      </w:r>
      <w:bookmarkEnd w:id="126"/>
      <w:r>
        <w:rPr>
          <w:rFonts w:hint="eastAsia" w:ascii="宋体" w:hAnsi="宋体" w:eastAsia="宋体" w:cs="宋体"/>
          <w:b/>
          <w:bCs/>
          <w:color w:val="auto"/>
          <w:sz w:val="24"/>
          <w:highlight w:val="none"/>
          <w:lang w:val="en-US" w:eastAsia="zh-CN"/>
        </w:rPr>
        <w:t>与解密</w:t>
      </w:r>
      <w:bookmarkEnd w:id="127"/>
    </w:p>
    <w:p w14:paraId="7B38362D">
      <w:pPr>
        <w:spacing w:line="240" w:lineRule="atLeast"/>
        <w:ind w:left="840" w:hanging="840" w:hangingChars="350"/>
        <w:rPr>
          <w:rFonts w:hint="eastAsia" w:ascii="宋体" w:hAnsi="宋体" w:cs="宋体"/>
          <w:color w:val="auto"/>
          <w:sz w:val="24"/>
          <w:highlight w:val="none"/>
        </w:rPr>
      </w:pPr>
      <w:bookmarkStart w:id="128" w:name="_Toc216582809"/>
      <w:bookmarkStart w:id="129" w:name="_Toc520356163"/>
      <w:bookmarkStart w:id="130" w:name="_Toc28398"/>
      <w:bookmarkStart w:id="131" w:name="_Toc12436"/>
      <w:bookmarkStart w:id="132" w:name="_Toc20246"/>
      <w:bookmarkStart w:id="133" w:name="_Toc515647778"/>
      <w:r>
        <w:rPr>
          <w:rFonts w:hint="eastAsia" w:ascii="宋体" w:hAnsi="宋体" w:cs="宋体"/>
          <w:color w:val="auto"/>
          <w:sz w:val="24"/>
          <w:highlight w:val="none"/>
        </w:rPr>
        <w:t>17.1</w:t>
      </w:r>
      <w:r>
        <w:rPr>
          <w:rFonts w:hint="eastAsia" w:ascii="宋体" w:hAnsi="宋体" w:cs="宋体"/>
          <w:color w:val="auto"/>
          <w:sz w:val="24"/>
          <w:highlight w:val="none"/>
        </w:rPr>
        <w:tab/>
      </w:r>
      <w:r>
        <w:rPr>
          <w:rFonts w:hint="eastAsia" w:ascii="宋体" w:hAnsi="宋体" w:cs="宋体"/>
          <w:color w:val="auto"/>
          <w:sz w:val="24"/>
          <w:highlight w:val="none"/>
        </w:rPr>
        <w:t>在响应文件提交截止时间前，</w:t>
      </w:r>
      <w:r>
        <w:rPr>
          <w:rFonts w:hint="eastAsia" w:ascii="宋体" w:hAnsi="宋体" w:cs="宋体"/>
          <w:color w:val="FF0000"/>
          <w:sz w:val="24"/>
          <w:highlight w:val="none"/>
        </w:rPr>
        <w:t>投标人须将</w:t>
      </w:r>
      <w:r>
        <w:rPr>
          <w:rFonts w:hint="eastAsia" w:ascii="宋体" w:hAnsi="宋体" w:eastAsia="宋体" w:cs="宋体"/>
          <w:b/>
          <w:bCs/>
          <w:color w:val="FF0000"/>
          <w:sz w:val="24"/>
          <w:highlight w:val="none"/>
        </w:rPr>
        <w:t>“ 开标一览表及资格证明文件” 和“ 商务及技术文件” 两部分</w:t>
      </w:r>
      <w:r>
        <w:rPr>
          <w:rFonts w:hint="eastAsia" w:ascii="宋体" w:hAnsi="宋体" w:eastAsia="宋体" w:cs="宋体"/>
          <w:b/>
          <w:bCs/>
          <w:color w:val="FF0000"/>
          <w:sz w:val="24"/>
          <w:highlight w:val="none"/>
          <w:lang w:val="en-US" w:eastAsia="zh-CN"/>
        </w:rPr>
        <w:t>合并生成</w:t>
      </w:r>
      <w:r>
        <w:rPr>
          <w:rFonts w:hint="eastAsia" w:ascii="宋体" w:hAnsi="宋体" w:eastAsia="宋体" w:cs="宋体"/>
          <w:b/>
          <w:bCs/>
          <w:color w:val="FF0000"/>
          <w:sz w:val="24"/>
          <w:highlight w:val="none"/>
        </w:rPr>
        <w:t>上传至政采云平台</w:t>
      </w:r>
      <w:r>
        <w:rPr>
          <w:rFonts w:hint="eastAsia" w:ascii="宋体" w:hAnsi="宋体" w:cs="宋体"/>
          <w:color w:val="FF0000"/>
          <w:sz w:val="24"/>
          <w:highlight w:val="none"/>
        </w:rPr>
        <w:t>。</w:t>
      </w:r>
      <w:r>
        <w:rPr>
          <w:rFonts w:hint="eastAsia" w:ascii="宋体" w:hAnsi="宋体" w:cs="宋体"/>
          <w:color w:val="auto"/>
          <w:sz w:val="24"/>
          <w:highlight w:val="none"/>
        </w:rPr>
        <w:t>时间以政采云平台项目采购系统服务器从中国科学院国家授时中心取得的北京时间为准，投标截止时间结束后，系统将不允许投标人上传响应文件，已上传响应文件但未完成传输的文件系统将拒绝接收。</w:t>
      </w:r>
    </w:p>
    <w:p w14:paraId="64C6FAB6">
      <w:pPr>
        <w:spacing w:line="240" w:lineRule="atLeast"/>
        <w:ind w:left="840" w:hanging="840" w:hangingChars="350"/>
        <w:rPr>
          <w:rFonts w:hint="eastAsia" w:ascii="宋体" w:hAnsi="宋体" w:cs="宋体"/>
          <w:color w:val="auto"/>
          <w:sz w:val="24"/>
          <w:highlight w:val="none"/>
        </w:rPr>
      </w:pPr>
      <w:r>
        <w:rPr>
          <w:rFonts w:hint="eastAsia" w:ascii="宋体" w:hAnsi="宋体" w:cs="宋体"/>
          <w:color w:val="auto"/>
          <w:sz w:val="24"/>
          <w:highlight w:val="none"/>
        </w:rPr>
        <w:t>17.2</w:t>
      </w:r>
      <w:r>
        <w:rPr>
          <w:rFonts w:hint="eastAsia" w:ascii="宋体" w:hAnsi="宋体" w:cs="宋体"/>
          <w:color w:val="auto"/>
          <w:sz w:val="24"/>
          <w:highlight w:val="none"/>
        </w:rPr>
        <w:tab/>
      </w:r>
      <w:r>
        <w:rPr>
          <w:rFonts w:hint="eastAsia" w:ascii="宋体" w:hAnsi="宋体" w:cs="宋体"/>
          <w:color w:val="auto"/>
          <w:sz w:val="24"/>
          <w:highlight w:val="none"/>
        </w:rPr>
        <w:t>代理机构对因不可抗力事件造成的响应文件的损坏、丢失的，不承担责任。</w:t>
      </w:r>
    </w:p>
    <w:p w14:paraId="7C999DC5">
      <w:pPr>
        <w:spacing w:line="240" w:lineRule="atLeast"/>
        <w:ind w:left="840" w:hanging="840" w:hangingChars="350"/>
        <w:rPr>
          <w:rFonts w:hint="eastAsia" w:ascii="宋体" w:hAnsi="宋体" w:cs="宋体"/>
          <w:color w:val="auto"/>
          <w:sz w:val="24"/>
          <w:highlight w:val="none"/>
        </w:rPr>
      </w:pPr>
      <w:r>
        <w:rPr>
          <w:rFonts w:hint="eastAsia" w:ascii="宋体" w:hAnsi="宋体" w:cs="宋体"/>
          <w:color w:val="auto"/>
          <w:sz w:val="24"/>
          <w:highlight w:val="none"/>
        </w:rPr>
        <w:t>17.3   出现下述情形之一，属于未成功提交响应文件，按</w:t>
      </w:r>
      <w:r>
        <w:rPr>
          <w:rFonts w:hint="eastAsia" w:ascii="宋体" w:hAnsi="宋体" w:cs="宋体"/>
          <w:b/>
          <w:bCs/>
          <w:color w:val="auto"/>
          <w:sz w:val="24"/>
          <w:highlight w:val="none"/>
        </w:rPr>
        <w:t>无效投标</w:t>
      </w:r>
      <w:r>
        <w:rPr>
          <w:rFonts w:hint="eastAsia" w:ascii="宋体" w:hAnsi="宋体" w:cs="宋体"/>
          <w:color w:val="auto"/>
          <w:sz w:val="24"/>
          <w:highlight w:val="none"/>
        </w:rPr>
        <w:t xml:space="preserve">处理： </w:t>
      </w:r>
    </w:p>
    <w:p w14:paraId="5482FD5B">
      <w:pPr>
        <w:spacing w:line="240" w:lineRule="atLeast"/>
        <w:ind w:left="1558" w:leftChars="342" w:hanging="840" w:hangingChars="350"/>
        <w:rPr>
          <w:rFonts w:hint="eastAsia" w:ascii="宋体" w:hAnsi="宋体" w:cs="宋体"/>
          <w:color w:val="auto"/>
          <w:sz w:val="24"/>
          <w:highlight w:val="none"/>
        </w:rPr>
      </w:pPr>
      <w:r>
        <w:rPr>
          <w:rFonts w:hint="eastAsia" w:ascii="宋体" w:hAnsi="宋体" w:cs="宋体"/>
          <w:color w:val="auto"/>
          <w:sz w:val="24"/>
          <w:highlight w:val="none"/>
        </w:rPr>
        <w:t xml:space="preserve">（1）至提交响应文件截止时间，响应文件未完整上传的。 </w:t>
      </w:r>
    </w:p>
    <w:p w14:paraId="6259AF75">
      <w:pPr>
        <w:spacing w:line="240" w:lineRule="atLeast"/>
        <w:ind w:left="735" w:leftChars="350"/>
        <w:rPr>
          <w:rFonts w:hint="eastAsia" w:ascii="宋体" w:hAnsi="宋体" w:cs="宋体"/>
          <w:color w:val="auto"/>
          <w:sz w:val="24"/>
          <w:highlight w:val="none"/>
        </w:rPr>
      </w:pPr>
      <w:r>
        <w:rPr>
          <w:rFonts w:hint="eastAsia" w:ascii="宋体" w:hAnsi="宋体" w:cs="宋体"/>
          <w:color w:val="auto"/>
          <w:sz w:val="24"/>
          <w:highlight w:val="none"/>
        </w:rPr>
        <w:t xml:space="preserve">（2）响应文件未按投标格式中注明需签字盖章的要求进行签名（含电子签名）和加盖电子印章，或签名（含电子签名）或电子印章不完整的。 </w:t>
      </w:r>
    </w:p>
    <w:p w14:paraId="7391AF5F">
      <w:pPr>
        <w:spacing w:line="240" w:lineRule="atLeast"/>
        <w:ind w:left="1558" w:leftChars="342" w:hanging="840" w:hangingChars="350"/>
        <w:rPr>
          <w:rFonts w:hint="eastAsia" w:ascii="宋体" w:hAnsi="宋体" w:cs="宋体"/>
          <w:color w:val="auto"/>
          <w:sz w:val="24"/>
          <w:highlight w:val="none"/>
        </w:rPr>
      </w:pPr>
      <w:r>
        <w:rPr>
          <w:rFonts w:hint="eastAsia" w:ascii="宋体" w:hAnsi="宋体" w:cs="宋体"/>
          <w:color w:val="auto"/>
          <w:sz w:val="24"/>
          <w:highlight w:val="none"/>
        </w:rPr>
        <w:t xml:space="preserve">（3）响应文件损坏或格式不正确的。 </w:t>
      </w:r>
    </w:p>
    <w:p w14:paraId="71689287">
      <w:pPr>
        <w:spacing w:line="240" w:lineRule="atLeast"/>
        <w:ind w:left="840" w:hanging="840" w:hangingChars="350"/>
        <w:rPr>
          <w:rFonts w:hint="eastAsia" w:ascii="宋体" w:hAnsi="宋体" w:cs="宋体"/>
          <w:color w:val="auto"/>
          <w:sz w:val="24"/>
          <w:highlight w:val="none"/>
        </w:rPr>
      </w:pPr>
      <w:r>
        <w:rPr>
          <w:rFonts w:hint="eastAsia" w:ascii="宋体" w:hAnsi="宋体" w:cs="宋体"/>
          <w:color w:val="auto"/>
          <w:sz w:val="24"/>
          <w:highlight w:val="none"/>
        </w:rPr>
        <w:t>17.4</w:t>
      </w:r>
      <w:r>
        <w:rPr>
          <w:rFonts w:hint="eastAsia" w:ascii="宋体" w:hAnsi="宋体" w:cs="宋体"/>
          <w:color w:val="auto"/>
          <w:sz w:val="24"/>
          <w:highlight w:val="none"/>
        </w:rPr>
        <w:tab/>
      </w:r>
      <w:r>
        <w:rPr>
          <w:rFonts w:hint="eastAsia" w:ascii="宋体" w:hAnsi="宋体" w:cs="宋体"/>
          <w:color w:val="auto"/>
          <w:sz w:val="24"/>
          <w:highlight w:val="none"/>
        </w:rPr>
        <w:t>在提交响应文件截止时间前，投标人可以修改或撤回未解密的电子响应文件，并于提交响应文件截止时间前将修改后重新生成的电子响应文件上传至政采云平台项目采购系统，到达响应文件提交截止时间后，将不允许修改或撤回。</w:t>
      </w:r>
    </w:p>
    <w:p w14:paraId="058EFD18">
      <w:pPr>
        <w:spacing w:line="240" w:lineRule="atLeast"/>
        <w:ind w:left="840" w:hanging="840" w:hangingChars="350"/>
        <w:rPr>
          <w:rFonts w:hint="eastAsia" w:ascii="宋体" w:hAnsi="宋体" w:cs="宋体"/>
          <w:color w:val="auto"/>
          <w:sz w:val="24"/>
          <w:highlight w:val="none"/>
        </w:rPr>
      </w:pPr>
      <w:r>
        <w:rPr>
          <w:rFonts w:hint="eastAsia" w:ascii="宋体" w:hAnsi="宋体" w:cs="宋体"/>
          <w:color w:val="auto"/>
          <w:sz w:val="24"/>
          <w:highlight w:val="none"/>
        </w:rPr>
        <w:t>17.5</w:t>
      </w:r>
      <w:r>
        <w:rPr>
          <w:rFonts w:hint="eastAsia" w:ascii="宋体" w:hAnsi="宋体" w:cs="宋体"/>
          <w:color w:val="auto"/>
          <w:sz w:val="24"/>
          <w:highlight w:val="none"/>
        </w:rPr>
        <w:tab/>
      </w:r>
      <w:r>
        <w:rPr>
          <w:rFonts w:hint="eastAsia" w:ascii="宋体" w:hAnsi="宋体" w:cs="宋体"/>
          <w:color w:val="auto"/>
          <w:sz w:val="24"/>
          <w:highlight w:val="none"/>
        </w:rPr>
        <w:t>在提交响应文件截止时间后，投标人不得补充、修改和更换响应文件。</w:t>
      </w:r>
    </w:p>
    <w:p w14:paraId="46BA16EA">
      <w:pPr>
        <w:spacing w:line="240" w:lineRule="atLeast"/>
        <w:ind w:left="840" w:hanging="840" w:hangingChars="350"/>
        <w:rPr>
          <w:rFonts w:hint="eastAsia" w:ascii="宋体" w:hAnsi="宋体" w:cs="宋体"/>
          <w:color w:val="auto"/>
          <w:sz w:val="24"/>
          <w:highlight w:val="none"/>
        </w:rPr>
      </w:pPr>
      <w:r>
        <w:rPr>
          <w:rFonts w:hint="eastAsia" w:ascii="宋体" w:hAnsi="宋体" w:cs="宋体"/>
          <w:color w:val="auto"/>
          <w:sz w:val="24"/>
          <w:highlight w:val="none"/>
        </w:rPr>
        <w:t>17.6   到达开标时间后，投标人需使用上传响应文件的同一数字证书解密，投标人须在采购代理机构规定的时间内完成响应文件解密，投标人因非系统原因导致的逾期未解密响应文件，将作</w:t>
      </w:r>
      <w:r>
        <w:rPr>
          <w:rFonts w:hint="eastAsia" w:ascii="宋体" w:hAnsi="宋体" w:cs="宋体"/>
          <w:b/>
          <w:bCs/>
          <w:color w:val="auto"/>
          <w:sz w:val="24"/>
          <w:highlight w:val="none"/>
        </w:rPr>
        <w:t>无效投标</w:t>
      </w:r>
      <w:r>
        <w:rPr>
          <w:rFonts w:hint="eastAsia" w:ascii="宋体" w:hAnsi="宋体" w:cs="宋体"/>
          <w:color w:val="auto"/>
          <w:sz w:val="24"/>
          <w:highlight w:val="none"/>
        </w:rPr>
        <w:t>处理。</w:t>
      </w:r>
    </w:p>
    <w:p w14:paraId="588F5B41">
      <w:pPr>
        <w:pStyle w:val="3"/>
        <w:keepNext w:val="0"/>
        <w:keepLines w:val="0"/>
        <w:pageBreakBefore w:val="0"/>
        <w:widowControl w:val="0"/>
        <w:kinsoku/>
        <w:overflowPunct/>
        <w:bidi w:val="0"/>
        <w:spacing w:before="0" w:line="240" w:lineRule="atLeast"/>
        <w:ind w:left="1080" w:leftChars="257" w:hanging="540"/>
        <w:rPr>
          <w:rFonts w:hint="eastAsia" w:ascii="宋体" w:hAnsi="宋体" w:eastAsia="宋体" w:cs="宋体"/>
          <w:color w:val="auto"/>
          <w:sz w:val="28"/>
          <w:highlight w:val="none"/>
          <w:lang w:eastAsia="zh-CN"/>
        </w:rPr>
      </w:pPr>
      <w:r>
        <w:rPr>
          <w:rFonts w:hint="eastAsia" w:ascii="宋体" w:hAnsi="宋体" w:eastAsia="宋体" w:cs="宋体"/>
          <w:color w:val="auto"/>
          <w:sz w:val="28"/>
          <w:highlight w:val="none"/>
          <w:lang w:eastAsia="zh-CN"/>
        </w:rPr>
        <w:t>五   开标及评标</w:t>
      </w:r>
      <w:bookmarkEnd w:id="128"/>
      <w:bookmarkEnd w:id="129"/>
      <w:bookmarkEnd w:id="130"/>
      <w:bookmarkEnd w:id="131"/>
      <w:bookmarkEnd w:id="132"/>
      <w:bookmarkEnd w:id="133"/>
    </w:p>
    <w:p w14:paraId="17B66378">
      <w:pPr>
        <w:pStyle w:val="5"/>
        <w:keepNext w:val="0"/>
        <w:keepLines w:val="0"/>
        <w:pageBreakBefore w:val="0"/>
        <w:widowControl w:val="0"/>
        <w:kinsoku/>
        <w:wordWrap/>
        <w:overflowPunct/>
        <w:topLinePunct w:val="0"/>
        <w:bidi w:val="0"/>
        <w:snapToGrid/>
        <w:spacing w:before="0" w:after="0" w:line="240" w:lineRule="atLeast"/>
        <w:ind w:left="960" w:hanging="964" w:hangingChars="400"/>
        <w:textAlignment w:val="auto"/>
        <w:rPr>
          <w:rFonts w:hint="eastAsia" w:ascii="宋体" w:hAnsi="宋体" w:eastAsia="宋体" w:cs="宋体"/>
          <w:color w:val="auto"/>
          <w:highlight w:val="none"/>
          <w:u w:val="none"/>
        </w:rPr>
      </w:pPr>
      <w:bookmarkStart w:id="134" w:name="_Toc25345"/>
      <w:bookmarkStart w:id="135" w:name="_Toc7186"/>
      <w:bookmarkStart w:id="136" w:name="_Toc520356164"/>
      <w:bookmarkStart w:id="137" w:name="_Toc17257"/>
      <w:bookmarkStart w:id="138" w:name="_Toc515647779"/>
      <w:r>
        <w:rPr>
          <w:rFonts w:hint="eastAsia" w:ascii="宋体" w:hAnsi="宋体" w:eastAsia="宋体" w:cs="宋体"/>
          <w:color w:val="auto"/>
          <w:highlight w:val="none"/>
          <w:u w:val="none"/>
          <w:lang w:val="en-US" w:eastAsia="zh-CN"/>
        </w:rPr>
        <w:t>18.</w:t>
      </w:r>
      <w:r>
        <w:rPr>
          <w:rFonts w:hint="eastAsia" w:ascii="宋体" w:hAnsi="宋体" w:eastAsia="宋体" w:cs="宋体"/>
          <w:color w:val="auto"/>
          <w:highlight w:val="none"/>
          <w:u w:val="none"/>
        </w:rPr>
        <w:t>开标</w:t>
      </w:r>
      <w:bookmarkEnd w:id="134"/>
      <w:bookmarkEnd w:id="135"/>
      <w:bookmarkEnd w:id="136"/>
      <w:bookmarkEnd w:id="137"/>
      <w:bookmarkEnd w:id="138"/>
    </w:p>
    <w:p w14:paraId="078BB352">
      <w:pPr>
        <w:spacing w:line="240" w:lineRule="atLeast"/>
        <w:ind w:left="840" w:hanging="840" w:hangingChars="350"/>
        <w:rPr>
          <w:rFonts w:hint="eastAsia" w:ascii="宋体" w:hAnsi="宋体" w:cs="宋体"/>
          <w:color w:val="auto"/>
          <w:sz w:val="24"/>
          <w:highlight w:val="none"/>
        </w:rPr>
      </w:pPr>
      <w:bookmarkStart w:id="139" w:name="_Toc520356165"/>
      <w:bookmarkStart w:id="140" w:name="_Toc31290"/>
      <w:bookmarkStart w:id="141" w:name="_Toc21372"/>
      <w:bookmarkStart w:id="142" w:name="_Toc19296"/>
      <w:bookmarkStart w:id="143" w:name="_Toc515647780"/>
      <w:r>
        <w:rPr>
          <w:rFonts w:hint="eastAsia" w:ascii="宋体" w:hAnsi="宋体" w:cs="宋体"/>
          <w:color w:val="auto"/>
          <w:sz w:val="24"/>
          <w:highlight w:val="none"/>
        </w:rPr>
        <w:t>18.1</w:t>
      </w:r>
      <w:r>
        <w:rPr>
          <w:rFonts w:hint="eastAsia" w:ascii="宋体" w:hAnsi="宋体" w:cs="宋体"/>
          <w:color w:val="auto"/>
          <w:sz w:val="24"/>
          <w:highlight w:val="none"/>
        </w:rPr>
        <w:tab/>
      </w:r>
      <w:r>
        <w:rPr>
          <w:rFonts w:hint="eastAsia" w:ascii="宋体" w:hAnsi="宋体" w:cs="宋体"/>
          <w:color w:val="auto"/>
          <w:sz w:val="24"/>
          <w:highlight w:val="none"/>
        </w:rPr>
        <w:t xml:space="preserve">采购人和采购代理机构将按投标人须知资料表中规定的开标时间和地点组织开标。  </w:t>
      </w:r>
    </w:p>
    <w:p w14:paraId="22541861">
      <w:pPr>
        <w:spacing w:line="240" w:lineRule="atLeast"/>
        <w:ind w:firstLine="840" w:firstLineChars="350"/>
        <w:rPr>
          <w:rFonts w:hint="eastAsia" w:ascii="宋体" w:hAnsi="宋体" w:cs="宋体"/>
          <w:color w:val="auto"/>
          <w:sz w:val="24"/>
          <w:highlight w:val="none"/>
        </w:rPr>
      </w:pPr>
      <w:r>
        <w:rPr>
          <w:rFonts w:hint="eastAsia" w:ascii="宋体" w:hAnsi="宋体" w:cs="宋体"/>
          <w:color w:val="auto"/>
          <w:sz w:val="24"/>
          <w:highlight w:val="none"/>
        </w:rPr>
        <w:t>投标人不足3家的，不得开标。</w:t>
      </w:r>
    </w:p>
    <w:p w14:paraId="68F027FA">
      <w:pPr>
        <w:spacing w:line="240" w:lineRule="atLeast"/>
        <w:ind w:left="840" w:hanging="840" w:hangingChars="350"/>
        <w:rPr>
          <w:rFonts w:hint="eastAsia" w:ascii="宋体" w:hAnsi="宋体" w:cs="宋体"/>
          <w:color w:val="auto"/>
          <w:sz w:val="24"/>
          <w:highlight w:val="none"/>
        </w:rPr>
      </w:pPr>
      <w:r>
        <w:rPr>
          <w:rFonts w:hint="eastAsia" w:ascii="宋体" w:hAnsi="宋体" w:cs="宋体"/>
          <w:color w:val="auto"/>
          <w:sz w:val="24"/>
          <w:highlight w:val="none"/>
        </w:rPr>
        <w:t>18.2   投标人应当按照本</w:t>
      </w:r>
      <w:r>
        <w:rPr>
          <w:rFonts w:hint="eastAsia" w:ascii="宋体" w:hAnsi="宋体" w:cs="宋体"/>
          <w:color w:val="auto"/>
          <w:sz w:val="24"/>
          <w:highlight w:val="none"/>
          <w:lang w:eastAsia="zh-CN"/>
        </w:rPr>
        <w:t>磋商文件</w:t>
      </w:r>
      <w:r>
        <w:rPr>
          <w:rFonts w:hint="eastAsia" w:ascii="宋体" w:hAnsi="宋体" w:cs="宋体"/>
          <w:color w:val="auto"/>
          <w:sz w:val="24"/>
          <w:highlight w:val="none"/>
        </w:rPr>
        <w:t>载明的时间和模式等要求参加开标。开标时，投标人应当使用上传本项目（采购包）电子响应文件时加密所用数字证书在开始解密后按照代理机构规定的时间内完成电子响应文件的解密，如遇不可抗力等其他特殊情况，采购代理机构可视情况延长解密时间。投标人未携带数字证书或其他非系统原因导致的在规定时间内未解密响应文件，将作无效投标处理。（采用不见面电子开标，各投标人在参加开标以前须自行对使用电脑的网络环境、驱动安装、客户端安装以及数字证书的有效性等进行检测，确保可以正常使用）。</w:t>
      </w:r>
    </w:p>
    <w:p w14:paraId="7912260B">
      <w:pPr>
        <w:spacing w:line="240" w:lineRule="atLeast"/>
        <w:ind w:left="840" w:hanging="840" w:hangingChars="350"/>
        <w:rPr>
          <w:rFonts w:hint="eastAsia" w:ascii="宋体" w:hAnsi="宋体" w:cs="宋体"/>
          <w:color w:val="auto"/>
          <w:sz w:val="24"/>
          <w:highlight w:val="none"/>
        </w:rPr>
      </w:pPr>
      <w:r>
        <w:rPr>
          <w:rFonts w:hint="eastAsia" w:ascii="宋体" w:hAnsi="宋体" w:cs="宋体"/>
          <w:color w:val="auto"/>
          <w:sz w:val="24"/>
          <w:highlight w:val="none"/>
        </w:rPr>
        <w:t>18.3   采购人或采购代理机构将对开标过程进行记录，由参加开标的各投标人代表和相关工作人员签字确认，并存档备查。</w:t>
      </w:r>
    </w:p>
    <w:p w14:paraId="4AA15108">
      <w:pPr>
        <w:spacing w:line="240" w:lineRule="atLeast"/>
        <w:ind w:left="840" w:hanging="840" w:hangingChars="350"/>
        <w:rPr>
          <w:rFonts w:hint="eastAsia" w:ascii="宋体" w:hAnsi="宋体" w:cs="宋体"/>
          <w:color w:val="auto"/>
          <w:sz w:val="24"/>
          <w:highlight w:val="none"/>
        </w:rPr>
      </w:pPr>
      <w:r>
        <w:rPr>
          <w:rFonts w:hint="eastAsia" w:ascii="宋体" w:hAnsi="宋体" w:cs="宋体"/>
          <w:color w:val="auto"/>
          <w:sz w:val="24"/>
          <w:highlight w:val="none"/>
        </w:rPr>
        <w:t>18.4   投标人代表对开标过程和开标记录有疑义，以及认为采购人、采购代理机构相关工作人员有需要回避的情形的，应当场提出询问或者回避申请。</w:t>
      </w:r>
    </w:p>
    <w:p w14:paraId="0877740E">
      <w:pPr>
        <w:pStyle w:val="5"/>
        <w:keepNext w:val="0"/>
        <w:keepLines w:val="0"/>
        <w:pageBreakBefore w:val="0"/>
        <w:widowControl w:val="0"/>
        <w:kinsoku/>
        <w:wordWrap/>
        <w:overflowPunct/>
        <w:topLinePunct w:val="0"/>
        <w:bidi w:val="0"/>
        <w:snapToGrid/>
        <w:spacing w:before="0" w:after="0" w:line="240" w:lineRule="atLeast"/>
        <w:ind w:left="964" w:leftChars="0" w:hanging="964" w:hangingChars="400"/>
        <w:textAlignment w:val="auto"/>
        <w:rPr>
          <w:rFonts w:hint="eastAsia" w:ascii="宋体" w:hAnsi="宋体" w:eastAsia="宋体" w:cs="宋体"/>
          <w:color w:val="auto"/>
          <w:highlight w:val="none"/>
          <w:u w:val="none"/>
        </w:rPr>
      </w:pPr>
      <w:r>
        <w:rPr>
          <w:rFonts w:hint="eastAsia" w:ascii="宋体" w:hAnsi="宋体" w:eastAsia="宋体" w:cs="宋体"/>
          <w:color w:val="auto"/>
          <w:highlight w:val="none"/>
          <w:u w:val="none"/>
        </w:rPr>
        <w:t>19.</w:t>
      </w:r>
      <w:bookmarkEnd w:id="139"/>
      <w:r>
        <w:rPr>
          <w:rFonts w:hint="eastAsia" w:ascii="宋体" w:hAnsi="宋体" w:eastAsia="宋体" w:cs="宋体"/>
          <w:color w:val="auto"/>
          <w:highlight w:val="none"/>
          <w:u w:val="none"/>
        </w:rPr>
        <w:t>资格审查及组建评标委员会</w:t>
      </w:r>
      <w:bookmarkEnd w:id="140"/>
      <w:bookmarkEnd w:id="141"/>
      <w:bookmarkEnd w:id="142"/>
      <w:bookmarkEnd w:id="143"/>
    </w:p>
    <w:p w14:paraId="381CBE23">
      <w:pPr>
        <w:spacing w:line="240" w:lineRule="atLeast"/>
        <w:ind w:left="840" w:hanging="840" w:hangingChars="350"/>
        <w:rPr>
          <w:rFonts w:hint="eastAsia" w:ascii="宋体" w:hAnsi="宋体" w:cs="宋体"/>
          <w:color w:val="auto"/>
          <w:sz w:val="24"/>
          <w:highlight w:val="none"/>
        </w:rPr>
      </w:pPr>
      <w:bookmarkStart w:id="144" w:name="_Toc520356166"/>
      <w:bookmarkStart w:id="145" w:name="_Toc19949"/>
      <w:bookmarkStart w:id="146" w:name="_Toc28479"/>
      <w:bookmarkStart w:id="147" w:name="_Toc515647781"/>
      <w:bookmarkStart w:id="148" w:name="_Toc26332"/>
      <w:r>
        <w:rPr>
          <w:rFonts w:hint="eastAsia" w:ascii="宋体" w:hAnsi="宋体" w:cs="宋体"/>
          <w:color w:val="auto"/>
          <w:sz w:val="24"/>
          <w:highlight w:val="none"/>
        </w:rPr>
        <w:t>19.1   采购代理机构将在开标后1个小时内查询投标人的信用记录。投标人存在不良信用记录的，其投标将被认定为投标无效。</w:t>
      </w:r>
    </w:p>
    <w:p w14:paraId="18795CD9">
      <w:pPr>
        <w:spacing w:line="240" w:lineRule="atLeast"/>
        <w:ind w:left="840" w:hanging="840" w:hangingChars="350"/>
        <w:rPr>
          <w:rFonts w:hint="eastAsia" w:ascii="宋体" w:hAnsi="宋体" w:cs="宋体"/>
          <w:color w:val="auto"/>
          <w:sz w:val="24"/>
          <w:highlight w:val="none"/>
        </w:rPr>
      </w:pPr>
      <w:r>
        <w:rPr>
          <w:rFonts w:hint="eastAsia" w:ascii="宋体" w:hAnsi="宋体" w:cs="宋体"/>
          <w:color w:val="auto"/>
          <w:sz w:val="24"/>
          <w:highlight w:val="none"/>
        </w:rPr>
        <w:t>19.2   不良信用记录指：</w:t>
      </w:r>
      <w:r>
        <w:rPr>
          <w:rFonts w:hint="eastAsia" w:ascii="宋体" w:hAnsi="宋体" w:cs="宋体"/>
          <w:b/>
          <w:bCs/>
          <w:color w:val="auto"/>
          <w:sz w:val="24"/>
          <w:highlight w:val="none"/>
        </w:rPr>
        <w:t>投标人被</w:t>
      </w:r>
      <w:r>
        <w:rPr>
          <w:rFonts w:hint="eastAsia" w:ascii="宋体" w:hAnsi="宋体" w:cs="宋体"/>
          <w:b/>
          <w:bCs/>
          <w:color w:val="auto"/>
          <w:sz w:val="24"/>
          <w:highlight w:val="none"/>
          <w:lang w:eastAsia="zh-CN"/>
        </w:rPr>
        <w:t>信用中国”网站列入严重失信、经营异常名录；</w:t>
      </w:r>
      <w:r>
        <w:rPr>
          <w:rFonts w:hint="eastAsia" w:ascii="宋体" w:hAnsi="宋体" w:cs="宋体"/>
          <w:b/>
          <w:bCs/>
          <w:color w:val="auto"/>
          <w:sz w:val="24"/>
          <w:highlight w:val="none"/>
        </w:rPr>
        <w:t>被“中国政府采购网”网站列入政府采购严重违法失信行为记录名单（处罚期限尚未届满的）的</w:t>
      </w:r>
      <w:r>
        <w:rPr>
          <w:rFonts w:hint="eastAsia" w:ascii="宋体" w:hAnsi="宋体" w:cs="宋体"/>
          <w:b/>
          <w:bCs/>
          <w:color w:val="auto"/>
          <w:sz w:val="24"/>
          <w:highlight w:val="none"/>
          <w:lang w:eastAsia="zh-CN"/>
        </w:rPr>
        <w:t>；“国家企业信用信息公示系统”被列入经营异常名录信息、列入严重违法失信企业名单</w:t>
      </w:r>
      <w:r>
        <w:rPr>
          <w:rFonts w:hint="eastAsia" w:ascii="宋体" w:hAnsi="宋体" w:cs="宋体"/>
          <w:b/>
          <w:bCs/>
          <w:color w:val="auto"/>
          <w:sz w:val="24"/>
          <w:highlight w:val="none"/>
        </w:rPr>
        <w:t>中的</w:t>
      </w:r>
      <w:r>
        <w:rPr>
          <w:rFonts w:hint="eastAsia" w:ascii="宋体" w:hAnsi="宋体" w:cs="宋体"/>
          <w:color w:val="auto"/>
          <w:sz w:val="24"/>
          <w:highlight w:val="none"/>
        </w:rPr>
        <w:t>，以及存在《中华人民共和国政府采购法实施条例》第十九条规定的行政处罚记录。</w:t>
      </w:r>
    </w:p>
    <w:p w14:paraId="6C954393">
      <w:pPr>
        <w:spacing w:line="240" w:lineRule="atLeast"/>
        <w:ind w:left="840" w:leftChars="400"/>
        <w:rPr>
          <w:rFonts w:hint="eastAsia" w:ascii="宋体" w:hAnsi="宋体" w:cs="宋体"/>
          <w:color w:val="auto"/>
          <w:sz w:val="24"/>
          <w:highlight w:val="none"/>
        </w:rPr>
      </w:pPr>
      <w:r>
        <w:rPr>
          <w:rFonts w:hint="eastAsia" w:ascii="宋体" w:hAnsi="宋体" w:cs="宋体"/>
          <w:color w:val="auto"/>
          <w:sz w:val="24"/>
          <w:highlight w:val="none"/>
        </w:rPr>
        <w:t>以联合体形式参加投标的，联合体任何成员存在以上不良信用记录的，联合体投标将被认定为</w:t>
      </w:r>
      <w:r>
        <w:rPr>
          <w:rFonts w:hint="eastAsia" w:ascii="宋体" w:hAnsi="宋体" w:cs="宋体"/>
          <w:b/>
          <w:bCs/>
          <w:color w:val="auto"/>
          <w:sz w:val="24"/>
          <w:highlight w:val="none"/>
        </w:rPr>
        <w:t>投标无效</w:t>
      </w:r>
      <w:r>
        <w:rPr>
          <w:rFonts w:hint="eastAsia" w:ascii="宋体" w:hAnsi="宋体" w:cs="宋体"/>
          <w:color w:val="auto"/>
          <w:sz w:val="24"/>
          <w:highlight w:val="none"/>
        </w:rPr>
        <w:t>。</w:t>
      </w:r>
    </w:p>
    <w:p w14:paraId="1D43622C">
      <w:pPr>
        <w:spacing w:line="240" w:lineRule="atLeast"/>
        <w:ind w:left="840" w:hanging="840" w:hangingChars="350"/>
        <w:rPr>
          <w:rFonts w:hint="eastAsia" w:ascii="宋体" w:hAnsi="宋体" w:cs="宋体"/>
          <w:color w:val="auto"/>
          <w:sz w:val="24"/>
          <w:highlight w:val="none"/>
        </w:rPr>
      </w:pPr>
      <w:r>
        <w:rPr>
          <w:rFonts w:hint="eastAsia" w:ascii="宋体" w:hAnsi="宋体" w:cs="宋体"/>
          <w:color w:val="auto"/>
          <w:sz w:val="24"/>
          <w:highlight w:val="none"/>
        </w:rPr>
        <w:t>19.2.1 查询及记录方式：采购代理机构经办人将查询网页打印并存档备查。投标人不良信用记录以采购人或采购代理机构查询结果为准。在本</w:t>
      </w:r>
      <w:r>
        <w:rPr>
          <w:rFonts w:hint="eastAsia" w:ascii="宋体" w:hAnsi="宋体" w:cs="宋体"/>
          <w:color w:val="auto"/>
          <w:sz w:val="24"/>
          <w:highlight w:val="none"/>
          <w:lang w:eastAsia="zh-CN"/>
        </w:rPr>
        <w:t>磋商文件</w:t>
      </w:r>
      <w:r>
        <w:rPr>
          <w:rFonts w:hint="eastAsia" w:ascii="宋体" w:hAnsi="宋体" w:cs="宋体"/>
          <w:color w:val="auto"/>
          <w:sz w:val="24"/>
          <w:highlight w:val="none"/>
        </w:rPr>
        <w:t>规定的查询时间之后，网站信息发生的任何变更均不再作为评标依据。</w:t>
      </w:r>
    </w:p>
    <w:p w14:paraId="616DF0E7">
      <w:pPr>
        <w:spacing w:line="240" w:lineRule="atLeast"/>
        <w:ind w:left="840" w:leftChars="400"/>
        <w:rPr>
          <w:rFonts w:hint="eastAsia" w:ascii="宋体" w:hAnsi="宋体" w:cs="宋体"/>
          <w:color w:val="auto"/>
          <w:sz w:val="24"/>
          <w:highlight w:val="none"/>
        </w:rPr>
      </w:pPr>
      <w:r>
        <w:rPr>
          <w:rFonts w:hint="eastAsia" w:ascii="宋体" w:hAnsi="宋体" w:cs="宋体"/>
          <w:color w:val="auto"/>
          <w:sz w:val="24"/>
          <w:highlight w:val="none"/>
        </w:rPr>
        <w:t>投标人自行提供的与网站信息不一致的其他证明材料亦不作为资格审查依据。</w:t>
      </w:r>
    </w:p>
    <w:p w14:paraId="3496131D">
      <w:pPr>
        <w:spacing w:line="240" w:lineRule="atLeast"/>
        <w:ind w:left="840" w:hanging="840" w:hangingChars="350"/>
        <w:rPr>
          <w:rFonts w:hint="eastAsia" w:ascii="宋体" w:hAnsi="宋体" w:cs="宋体"/>
          <w:color w:val="auto"/>
          <w:sz w:val="24"/>
          <w:highlight w:val="none"/>
        </w:rPr>
      </w:pPr>
      <w:r>
        <w:rPr>
          <w:rFonts w:hint="eastAsia" w:ascii="宋体" w:hAnsi="宋体" w:cs="宋体"/>
          <w:color w:val="auto"/>
          <w:sz w:val="24"/>
          <w:highlight w:val="none"/>
        </w:rPr>
        <w:t>19.3   按照《中华人民共和国政府采购法》、《中华人民共和国政府采购法实施条例》及本项目本级和上级财政部门的有关规定依法组建的评标委员会，负责评标工作。本项目评标委员会由3人组成（政采云专家库随机抽取专家</w:t>
      </w:r>
      <w:r>
        <w:rPr>
          <w:rFonts w:hint="eastAsia" w:ascii="宋体" w:hAnsi="宋体" w:cs="宋体"/>
          <w:color w:val="auto"/>
          <w:sz w:val="24"/>
          <w:highlight w:val="none"/>
          <w:lang w:val="en-US" w:eastAsia="zh-CN"/>
        </w:rPr>
        <w:t>3人</w:t>
      </w:r>
      <w:r>
        <w:rPr>
          <w:rFonts w:hint="eastAsia" w:ascii="宋体" w:hAnsi="宋体" w:cs="宋体"/>
          <w:color w:val="auto"/>
          <w:sz w:val="24"/>
          <w:highlight w:val="none"/>
        </w:rPr>
        <w:t>）。</w:t>
      </w:r>
    </w:p>
    <w:p w14:paraId="16F7BC6D">
      <w:pPr>
        <w:pStyle w:val="5"/>
        <w:keepNext w:val="0"/>
        <w:keepLines w:val="0"/>
        <w:pageBreakBefore w:val="0"/>
        <w:widowControl w:val="0"/>
        <w:kinsoku/>
        <w:wordWrap/>
        <w:overflowPunct/>
        <w:topLinePunct w:val="0"/>
        <w:bidi w:val="0"/>
        <w:snapToGrid/>
        <w:spacing w:before="0" w:after="0" w:line="240" w:lineRule="atLeast"/>
        <w:ind w:left="964" w:leftChars="0" w:hanging="964" w:hangingChars="400"/>
        <w:textAlignment w:val="auto"/>
        <w:rPr>
          <w:rFonts w:hint="eastAsia" w:ascii="宋体" w:hAnsi="宋体" w:eastAsia="宋体" w:cs="宋体"/>
          <w:b w:val="0"/>
          <w:bCs/>
          <w:color w:val="auto"/>
          <w:highlight w:val="none"/>
          <w:bdr w:val="single" w:color="auto" w:sz="4" w:space="0"/>
        </w:rPr>
      </w:pPr>
      <w:r>
        <w:rPr>
          <w:rFonts w:hint="eastAsia" w:ascii="宋体" w:hAnsi="宋体" w:eastAsia="宋体" w:cs="宋体"/>
          <w:color w:val="auto"/>
          <w:highlight w:val="none"/>
          <w:u w:val="none"/>
        </w:rPr>
        <w:t>20.</w:t>
      </w:r>
      <w:bookmarkEnd w:id="144"/>
      <w:r>
        <w:rPr>
          <w:rFonts w:hint="eastAsia" w:hAnsi="宋体" w:cs="宋体"/>
          <w:color w:val="auto"/>
          <w:highlight w:val="none"/>
          <w:u w:val="none"/>
          <w:lang w:eastAsia="zh-CN"/>
        </w:rPr>
        <w:t>响应文件</w:t>
      </w:r>
      <w:r>
        <w:rPr>
          <w:rFonts w:hint="eastAsia" w:ascii="宋体" w:hAnsi="宋体" w:eastAsia="宋体" w:cs="宋体"/>
          <w:color w:val="auto"/>
          <w:highlight w:val="none"/>
          <w:u w:val="none"/>
        </w:rPr>
        <w:t>符合性审查与澄清</w:t>
      </w:r>
      <w:bookmarkEnd w:id="145"/>
      <w:bookmarkEnd w:id="146"/>
      <w:bookmarkEnd w:id="147"/>
      <w:bookmarkEnd w:id="148"/>
    </w:p>
    <w:p w14:paraId="3CD81D45">
      <w:pPr>
        <w:spacing w:line="240" w:lineRule="atLeast"/>
        <w:ind w:left="840" w:hanging="840" w:hangingChars="350"/>
        <w:rPr>
          <w:rFonts w:hint="eastAsia" w:ascii="宋体" w:hAnsi="宋体" w:cs="宋体"/>
          <w:color w:val="auto"/>
          <w:sz w:val="24"/>
          <w:highlight w:val="none"/>
        </w:rPr>
      </w:pPr>
      <w:bookmarkStart w:id="149" w:name="_Toc520356167"/>
      <w:r>
        <w:rPr>
          <w:rFonts w:hint="eastAsia" w:ascii="宋体" w:hAnsi="宋体" w:cs="宋体"/>
          <w:color w:val="auto"/>
          <w:sz w:val="24"/>
          <w:highlight w:val="none"/>
        </w:rPr>
        <w:t>20.1   符合性审查是指依据</w:t>
      </w:r>
      <w:r>
        <w:rPr>
          <w:rFonts w:hint="eastAsia" w:ascii="宋体" w:hAnsi="宋体" w:cs="宋体"/>
          <w:color w:val="auto"/>
          <w:sz w:val="24"/>
          <w:highlight w:val="none"/>
          <w:lang w:eastAsia="zh-CN"/>
        </w:rPr>
        <w:t>磋商文件</w:t>
      </w:r>
      <w:r>
        <w:rPr>
          <w:rFonts w:hint="eastAsia" w:ascii="宋体" w:hAnsi="宋体" w:cs="宋体"/>
          <w:color w:val="auto"/>
          <w:sz w:val="24"/>
          <w:highlight w:val="none"/>
        </w:rPr>
        <w:t>的规定，从响应文件的有效性和完整性对</w:t>
      </w:r>
      <w:r>
        <w:rPr>
          <w:rFonts w:hint="eastAsia" w:ascii="宋体" w:hAnsi="宋体" w:cs="宋体"/>
          <w:color w:val="auto"/>
          <w:sz w:val="24"/>
          <w:highlight w:val="none"/>
          <w:lang w:eastAsia="zh-CN"/>
        </w:rPr>
        <w:t>磋商文件</w:t>
      </w:r>
      <w:r>
        <w:rPr>
          <w:rFonts w:hint="eastAsia" w:ascii="宋体" w:hAnsi="宋体" w:cs="宋体"/>
          <w:color w:val="auto"/>
          <w:sz w:val="24"/>
          <w:highlight w:val="none"/>
        </w:rPr>
        <w:t>的响应程度进行审查，以确定是否对</w:t>
      </w:r>
      <w:r>
        <w:rPr>
          <w:rFonts w:hint="eastAsia" w:ascii="宋体" w:hAnsi="宋体" w:cs="宋体"/>
          <w:color w:val="auto"/>
          <w:sz w:val="24"/>
          <w:highlight w:val="none"/>
          <w:lang w:eastAsia="zh-CN"/>
        </w:rPr>
        <w:t>磋商文件</w:t>
      </w:r>
      <w:r>
        <w:rPr>
          <w:rFonts w:hint="eastAsia" w:ascii="宋体" w:hAnsi="宋体" w:cs="宋体"/>
          <w:color w:val="auto"/>
          <w:sz w:val="24"/>
          <w:highlight w:val="none"/>
        </w:rPr>
        <w:t>的实质性要求做出响应。</w:t>
      </w:r>
      <w:bookmarkStart w:id="150" w:name="_Hlt522424701"/>
      <w:bookmarkEnd w:id="150"/>
    </w:p>
    <w:p w14:paraId="2BF06BAB">
      <w:pPr>
        <w:spacing w:line="240" w:lineRule="atLeast"/>
        <w:ind w:left="840" w:hanging="840" w:hangingChars="350"/>
        <w:rPr>
          <w:rFonts w:hint="eastAsia" w:ascii="宋体" w:hAnsi="宋体" w:cs="宋体"/>
          <w:color w:val="auto"/>
          <w:sz w:val="24"/>
          <w:highlight w:val="none"/>
        </w:rPr>
      </w:pPr>
      <w:r>
        <w:rPr>
          <w:rFonts w:hint="eastAsia" w:ascii="宋体" w:hAnsi="宋体" w:cs="宋体"/>
          <w:color w:val="auto"/>
          <w:sz w:val="24"/>
          <w:highlight w:val="none"/>
        </w:rPr>
        <w:t>20.2   响应文件的澄清</w:t>
      </w:r>
    </w:p>
    <w:p w14:paraId="3D88A509">
      <w:pPr>
        <w:spacing w:line="240" w:lineRule="atLeast"/>
        <w:ind w:left="840" w:hanging="840" w:hangingChars="350"/>
        <w:rPr>
          <w:rFonts w:hint="eastAsia" w:ascii="宋体" w:hAnsi="宋体" w:cs="宋体"/>
          <w:color w:val="auto"/>
          <w:sz w:val="24"/>
          <w:highlight w:val="none"/>
        </w:rPr>
      </w:pPr>
      <w:r>
        <w:rPr>
          <w:rFonts w:hint="eastAsia" w:ascii="宋体" w:hAnsi="宋体" w:cs="宋体"/>
          <w:color w:val="auto"/>
          <w:sz w:val="24"/>
          <w:highlight w:val="none"/>
        </w:rPr>
        <w:t>20.2.1 在评标期间，评标委员会将以书面方式要求投标人对其响应文件中含义不明确、对同类问题表述不一致或者有明显文字和计算错误的内容，以及评标委员会认为投标人的报价明显低于其他通过符合性检查投标人的报价，有可能影响履约的情况作必要的澄清、说明或补正。投标人的澄清、说明或补正应在评标委员会规定的时间内以书面方式进行，并不得超出响应文件范围或者改变响应文件的实质性内容。</w:t>
      </w:r>
    </w:p>
    <w:p w14:paraId="2FCD5939">
      <w:pPr>
        <w:spacing w:line="240" w:lineRule="atLeast"/>
        <w:ind w:left="840" w:hanging="840" w:hangingChars="350"/>
        <w:rPr>
          <w:rFonts w:hint="eastAsia" w:ascii="宋体" w:hAnsi="宋体" w:cs="宋体"/>
          <w:color w:val="auto"/>
          <w:sz w:val="24"/>
          <w:highlight w:val="none"/>
        </w:rPr>
      </w:pPr>
      <w:r>
        <w:rPr>
          <w:rFonts w:hint="eastAsia" w:ascii="宋体" w:hAnsi="宋体" w:cs="宋体"/>
          <w:color w:val="auto"/>
          <w:sz w:val="24"/>
          <w:highlight w:val="none"/>
        </w:rPr>
        <w:t>20.2.2 投标人的的澄清、说明或补正将作为响应文件的一部分。</w:t>
      </w:r>
    </w:p>
    <w:p w14:paraId="443E8F11">
      <w:pPr>
        <w:spacing w:line="240" w:lineRule="atLeast"/>
        <w:ind w:left="840" w:hanging="840" w:hangingChars="350"/>
        <w:rPr>
          <w:rFonts w:hint="eastAsia" w:ascii="宋体" w:hAnsi="宋体" w:cs="宋体"/>
          <w:color w:val="auto"/>
          <w:sz w:val="24"/>
          <w:highlight w:val="none"/>
        </w:rPr>
      </w:pPr>
      <w:r>
        <w:rPr>
          <w:rFonts w:hint="eastAsia" w:ascii="宋体" w:hAnsi="宋体" w:cs="宋体"/>
          <w:color w:val="auto"/>
          <w:sz w:val="24"/>
          <w:highlight w:val="none"/>
        </w:rPr>
        <w:t>20.3   响应文件报价出现前后不一致的，按照下列规定修正：</w:t>
      </w:r>
    </w:p>
    <w:p w14:paraId="2291228D">
      <w:pPr>
        <w:spacing w:line="240" w:lineRule="atLeast"/>
        <w:ind w:left="840" w:leftChars="400"/>
        <w:rPr>
          <w:rFonts w:hint="eastAsia" w:ascii="宋体" w:hAnsi="宋体" w:cs="宋体"/>
          <w:color w:val="auto"/>
          <w:sz w:val="24"/>
          <w:highlight w:val="none"/>
        </w:rPr>
      </w:pPr>
      <w:r>
        <w:rPr>
          <w:rFonts w:hint="eastAsia" w:ascii="宋体" w:hAnsi="宋体" w:cs="宋体"/>
          <w:color w:val="auto"/>
          <w:sz w:val="24"/>
          <w:highlight w:val="none"/>
        </w:rPr>
        <w:t>（一）响应文件中开标一览表（报价表）内容与响应文件中相应内容不一致的，以开标一览表（报价表）为准；</w:t>
      </w:r>
    </w:p>
    <w:p w14:paraId="073E78E9">
      <w:pPr>
        <w:spacing w:line="240" w:lineRule="atLeast"/>
        <w:ind w:left="840" w:leftChars="400"/>
        <w:rPr>
          <w:rFonts w:hint="eastAsia" w:ascii="宋体" w:hAnsi="宋体" w:cs="宋体"/>
          <w:color w:val="auto"/>
          <w:sz w:val="24"/>
          <w:highlight w:val="none"/>
        </w:rPr>
      </w:pPr>
      <w:r>
        <w:rPr>
          <w:rFonts w:hint="eastAsia" w:ascii="宋体" w:hAnsi="宋体" w:cs="宋体"/>
          <w:color w:val="auto"/>
          <w:sz w:val="24"/>
          <w:highlight w:val="none"/>
        </w:rPr>
        <w:t>（二）大写金额和小写金额不一致的，以大写金额为准；</w:t>
      </w:r>
    </w:p>
    <w:p w14:paraId="1426CED9">
      <w:pPr>
        <w:spacing w:line="240" w:lineRule="atLeast"/>
        <w:ind w:left="840" w:leftChars="400"/>
        <w:rPr>
          <w:rFonts w:hint="eastAsia" w:ascii="宋体" w:hAnsi="宋体" w:cs="宋体"/>
          <w:color w:val="auto"/>
          <w:sz w:val="24"/>
          <w:highlight w:val="none"/>
        </w:rPr>
      </w:pPr>
      <w:r>
        <w:rPr>
          <w:rFonts w:hint="eastAsia" w:ascii="宋体" w:hAnsi="宋体" w:cs="宋体"/>
          <w:color w:val="auto"/>
          <w:sz w:val="24"/>
          <w:highlight w:val="none"/>
        </w:rPr>
        <w:t>（三）单价金额小数点或者百分比有明显错位的，以开标一览表的总价为准，并修改单价；</w:t>
      </w:r>
    </w:p>
    <w:p w14:paraId="51DEFA4C">
      <w:pPr>
        <w:spacing w:line="240" w:lineRule="atLeast"/>
        <w:ind w:left="840" w:leftChars="400"/>
        <w:rPr>
          <w:rFonts w:hint="eastAsia" w:ascii="宋体" w:hAnsi="宋体" w:cs="宋体"/>
          <w:color w:val="auto"/>
          <w:sz w:val="24"/>
          <w:highlight w:val="none"/>
        </w:rPr>
      </w:pPr>
      <w:r>
        <w:rPr>
          <w:rFonts w:hint="eastAsia" w:ascii="宋体" w:hAnsi="宋体" w:cs="宋体"/>
          <w:color w:val="auto"/>
          <w:sz w:val="24"/>
          <w:highlight w:val="none"/>
        </w:rPr>
        <w:t>（四）总价金额与按单价汇总金额不一致的，以单价金额计算结果为准。</w:t>
      </w:r>
    </w:p>
    <w:p w14:paraId="64F9B240">
      <w:pPr>
        <w:spacing w:line="240" w:lineRule="atLeast"/>
        <w:ind w:left="840" w:leftChars="400"/>
        <w:rPr>
          <w:rFonts w:hint="eastAsia" w:ascii="宋体" w:hAnsi="宋体" w:cs="宋体"/>
          <w:color w:val="auto"/>
          <w:sz w:val="24"/>
          <w:highlight w:val="none"/>
        </w:rPr>
      </w:pPr>
      <w:r>
        <w:rPr>
          <w:rFonts w:hint="eastAsia" w:ascii="宋体" w:hAnsi="宋体" w:cs="宋体"/>
          <w:color w:val="auto"/>
          <w:sz w:val="24"/>
          <w:highlight w:val="none"/>
        </w:rPr>
        <w:t>同时出现两种以上不一致的，按照前款规定的顺序修正。修正后的报价按照第20.2条的规定经投标人确认后产生约束力，投标人不确认的，其投标将被认定为</w:t>
      </w:r>
      <w:r>
        <w:rPr>
          <w:rFonts w:hint="eastAsia" w:ascii="宋体" w:hAnsi="宋体" w:cs="宋体"/>
          <w:b/>
          <w:bCs/>
          <w:color w:val="auto"/>
          <w:sz w:val="24"/>
          <w:highlight w:val="none"/>
        </w:rPr>
        <w:t>投标无效</w:t>
      </w:r>
      <w:r>
        <w:rPr>
          <w:rFonts w:hint="eastAsia" w:ascii="宋体" w:hAnsi="宋体" w:cs="宋体"/>
          <w:color w:val="auto"/>
          <w:sz w:val="24"/>
          <w:highlight w:val="none"/>
        </w:rPr>
        <w:t>。</w:t>
      </w:r>
    </w:p>
    <w:p w14:paraId="025F96D5">
      <w:pPr>
        <w:spacing w:line="240" w:lineRule="atLeast"/>
        <w:ind w:left="840" w:leftChars="400"/>
        <w:rPr>
          <w:rFonts w:hint="eastAsia" w:ascii="宋体" w:hAnsi="宋体" w:cs="宋体"/>
          <w:color w:val="auto"/>
          <w:sz w:val="24"/>
          <w:highlight w:val="none"/>
        </w:rPr>
      </w:pPr>
      <w:r>
        <w:rPr>
          <w:rFonts w:hint="eastAsia" w:ascii="宋体" w:hAnsi="宋体" w:cs="宋体"/>
          <w:color w:val="auto"/>
          <w:sz w:val="24"/>
          <w:highlight w:val="none"/>
        </w:rPr>
        <w:t>对不同文字文本响应文件的解释发生异议的，以中文文本为准。</w:t>
      </w:r>
    </w:p>
    <w:p w14:paraId="690F5D15">
      <w:pPr>
        <w:pStyle w:val="5"/>
        <w:keepNext w:val="0"/>
        <w:keepLines w:val="0"/>
        <w:pageBreakBefore w:val="0"/>
        <w:widowControl w:val="0"/>
        <w:kinsoku/>
        <w:wordWrap/>
        <w:overflowPunct/>
        <w:topLinePunct w:val="0"/>
        <w:bidi w:val="0"/>
        <w:snapToGrid/>
        <w:spacing w:before="0" w:after="0" w:line="240" w:lineRule="atLeast"/>
        <w:ind w:left="964" w:leftChars="0" w:hanging="964" w:hangingChars="400"/>
        <w:textAlignment w:val="auto"/>
        <w:rPr>
          <w:rFonts w:hint="eastAsia" w:ascii="宋体" w:hAnsi="宋体" w:eastAsia="宋体" w:cs="宋体"/>
          <w:color w:val="auto"/>
          <w:highlight w:val="none"/>
          <w:u w:val="none"/>
        </w:rPr>
      </w:pPr>
      <w:bookmarkStart w:id="151" w:name="_Toc6364"/>
      <w:bookmarkStart w:id="152" w:name="_Toc515647782"/>
      <w:bookmarkStart w:id="153" w:name="_Toc9469"/>
      <w:bookmarkStart w:id="154" w:name="_Toc18529"/>
      <w:r>
        <w:rPr>
          <w:rFonts w:hint="eastAsia" w:ascii="宋体" w:hAnsi="宋体" w:eastAsia="宋体" w:cs="宋体"/>
          <w:color w:val="auto"/>
          <w:highlight w:val="none"/>
          <w:u w:val="none"/>
        </w:rPr>
        <w:t>21.投标偏离</w:t>
      </w:r>
      <w:bookmarkEnd w:id="151"/>
      <w:bookmarkEnd w:id="152"/>
      <w:bookmarkEnd w:id="153"/>
      <w:bookmarkEnd w:id="154"/>
    </w:p>
    <w:p w14:paraId="1044889D">
      <w:pPr>
        <w:keepNext w:val="0"/>
        <w:keepLines w:val="0"/>
        <w:pageBreakBefore w:val="0"/>
        <w:widowControl w:val="0"/>
        <w:kinsoku/>
        <w:wordWrap/>
        <w:overflowPunct/>
        <w:topLinePunct w:val="0"/>
        <w:autoSpaceDE/>
        <w:autoSpaceDN/>
        <w:bidi w:val="0"/>
        <w:adjustRightInd/>
        <w:snapToGrid/>
        <w:spacing w:line="240" w:lineRule="atLeast"/>
        <w:ind w:left="840" w:leftChars="0" w:hanging="840" w:hangingChars="35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评标委员会可以接受响应文件中不构成实质性偏离的不正规或不一致。</w:t>
      </w:r>
    </w:p>
    <w:p w14:paraId="742D3388">
      <w:pPr>
        <w:pStyle w:val="5"/>
        <w:keepNext w:val="0"/>
        <w:keepLines w:val="0"/>
        <w:pageBreakBefore w:val="0"/>
        <w:widowControl w:val="0"/>
        <w:kinsoku/>
        <w:wordWrap/>
        <w:overflowPunct/>
        <w:topLinePunct w:val="0"/>
        <w:bidi w:val="0"/>
        <w:snapToGrid/>
        <w:spacing w:before="0" w:after="0" w:line="240" w:lineRule="atLeast"/>
        <w:ind w:left="964" w:leftChars="0" w:hanging="964" w:hangingChars="400"/>
        <w:textAlignment w:val="auto"/>
        <w:rPr>
          <w:rFonts w:hint="eastAsia" w:ascii="宋体" w:hAnsi="宋体" w:eastAsia="宋体" w:cs="宋体"/>
          <w:color w:val="auto"/>
          <w:highlight w:val="none"/>
          <w:u w:val="none"/>
        </w:rPr>
      </w:pPr>
      <w:bookmarkStart w:id="155" w:name="_Toc515647783"/>
      <w:bookmarkStart w:id="156" w:name="_Toc23936"/>
      <w:bookmarkStart w:id="157" w:name="_Toc6092"/>
      <w:bookmarkStart w:id="158" w:name="_Toc4950"/>
      <w:r>
        <w:rPr>
          <w:rFonts w:hint="eastAsia" w:ascii="宋体" w:hAnsi="宋体" w:eastAsia="宋体" w:cs="宋体"/>
          <w:color w:val="auto"/>
          <w:highlight w:val="none"/>
          <w:u w:val="none"/>
        </w:rPr>
        <w:t>22.投标</w:t>
      </w:r>
      <w:bookmarkEnd w:id="155"/>
      <w:r>
        <w:rPr>
          <w:rFonts w:hint="eastAsia" w:ascii="宋体" w:hAnsi="宋体" w:eastAsia="宋体" w:cs="宋体"/>
          <w:color w:val="auto"/>
          <w:highlight w:val="none"/>
          <w:u w:val="none"/>
        </w:rPr>
        <w:t>无效</w:t>
      </w:r>
      <w:bookmarkEnd w:id="156"/>
      <w:bookmarkEnd w:id="157"/>
      <w:bookmarkEnd w:id="158"/>
    </w:p>
    <w:p w14:paraId="28AC7823">
      <w:pPr>
        <w:spacing w:line="240" w:lineRule="atLeast"/>
        <w:ind w:left="840" w:hanging="840" w:hangingChars="350"/>
        <w:rPr>
          <w:rFonts w:hint="eastAsia" w:ascii="宋体" w:hAnsi="宋体" w:cs="宋体"/>
          <w:color w:val="auto"/>
          <w:sz w:val="24"/>
          <w:highlight w:val="none"/>
        </w:rPr>
      </w:pPr>
      <w:bookmarkStart w:id="159" w:name="_Toc515647784"/>
      <w:bookmarkStart w:id="160" w:name="_Toc13652"/>
      <w:bookmarkStart w:id="161" w:name="_Toc8521"/>
      <w:bookmarkStart w:id="162" w:name="_Toc22941"/>
      <w:r>
        <w:rPr>
          <w:rFonts w:hint="eastAsia" w:ascii="宋体" w:hAnsi="宋体" w:cs="宋体"/>
          <w:color w:val="auto"/>
          <w:sz w:val="24"/>
          <w:highlight w:val="none"/>
        </w:rPr>
        <w:t>22.1   在比较与评价之前，根据本须知的规定，评标委员会要审查每份响应文件是否实质上响应了</w:t>
      </w:r>
      <w:r>
        <w:rPr>
          <w:rFonts w:hint="eastAsia" w:ascii="宋体" w:hAnsi="宋体" w:cs="宋体"/>
          <w:color w:val="auto"/>
          <w:sz w:val="24"/>
          <w:highlight w:val="none"/>
          <w:lang w:eastAsia="zh-CN"/>
        </w:rPr>
        <w:t>磋商文件</w:t>
      </w:r>
      <w:r>
        <w:rPr>
          <w:rFonts w:hint="eastAsia" w:ascii="宋体" w:hAnsi="宋体" w:cs="宋体"/>
          <w:color w:val="auto"/>
          <w:sz w:val="24"/>
          <w:highlight w:val="none"/>
        </w:rPr>
        <w:t>的要求。实质上响应的投标应该是与</w:t>
      </w:r>
      <w:r>
        <w:rPr>
          <w:rFonts w:hint="eastAsia" w:ascii="宋体" w:hAnsi="宋体" w:cs="宋体"/>
          <w:color w:val="auto"/>
          <w:sz w:val="24"/>
          <w:highlight w:val="none"/>
          <w:lang w:eastAsia="zh-CN"/>
        </w:rPr>
        <w:t>磋商文件</w:t>
      </w:r>
      <w:r>
        <w:rPr>
          <w:rFonts w:hint="eastAsia" w:ascii="宋体" w:hAnsi="宋体" w:cs="宋体"/>
          <w:color w:val="auto"/>
          <w:sz w:val="24"/>
          <w:highlight w:val="none"/>
        </w:rPr>
        <w:t>要求的全部条款、条件和规格相符，没有重大偏离的投标。对关键条款的偏离，将被认定为投标无效。投标人不得通过修正或撤销不符合要求的偏离，从而使其投标成为实质上响应的投标。</w:t>
      </w:r>
    </w:p>
    <w:p w14:paraId="3792F359">
      <w:pPr>
        <w:spacing w:line="240" w:lineRule="atLeast"/>
        <w:ind w:left="840" w:leftChars="400"/>
        <w:rPr>
          <w:rFonts w:hint="eastAsia" w:ascii="宋体" w:hAnsi="宋体" w:cs="宋体"/>
          <w:color w:val="auto"/>
          <w:sz w:val="24"/>
          <w:highlight w:val="none"/>
        </w:rPr>
      </w:pPr>
      <w:r>
        <w:rPr>
          <w:rFonts w:hint="eastAsia" w:ascii="宋体" w:hAnsi="宋体" w:cs="宋体"/>
          <w:color w:val="auto"/>
          <w:sz w:val="24"/>
          <w:highlight w:val="none"/>
        </w:rPr>
        <w:t>评标委员会决定投标的响应性只根据</w:t>
      </w:r>
      <w:r>
        <w:rPr>
          <w:rFonts w:hint="eastAsia" w:ascii="宋体" w:hAnsi="宋体" w:cs="宋体"/>
          <w:color w:val="auto"/>
          <w:sz w:val="24"/>
          <w:highlight w:val="none"/>
          <w:lang w:eastAsia="zh-CN"/>
        </w:rPr>
        <w:t>磋商文件</w:t>
      </w:r>
      <w:r>
        <w:rPr>
          <w:rFonts w:hint="eastAsia" w:ascii="宋体" w:hAnsi="宋体" w:cs="宋体"/>
          <w:color w:val="auto"/>
          <w:sz w:val="24"/>
          <w:highlight w:val="none"/>
        </w:rPr>
        <w:t>要求、响应文件内容及财政主管部门指定相关信息发布媒体。</w:t>
      </w:r>
    </w:p>
    <w:p w14:paraId="65217C09">
      <w:pPr>
        <w:spacing w:line="240" w:lineRule="atLeast"/>
        <w:ind w:left="840" w:hanging="840" w:hangingChars="350"/>
        <w:rPr>
          <w:rFonts w:hint="eastAsia" w:ascii="宋体" w:hAnsi="宋体" w:cs="宋体"/>
          <w:color w:val="auto"/>
          <w:sz w:val="24"/>
          <w:highlight w:val="none"/>
        </w:rPr>
      </w:pPr>
      <w:r>
        <w:rPr>
          <w:rFonts w:hint="eastAsia" w:ascii="宋体" w:hAnsi="宋体" w:cs="宋体"/>
          <w:color w:val="auto"/>
          <w:sz w:val="24"/>
          <w:highlight w:val="none"/>
        </w:rPr>
        <w:t>22.2   如发现下列情况之一的，其投标将被认定为</w:t>
      </w:r>
      <w:r>
        <w:rPr>
          <w:rFonts w:hint="eastAsia" w:ascii="宋体" w:hAnsi="宋体" w:cs="宋体"/>
          <w:b/>
          <w:bCs/>
          <w:color w:val="auto"/>
          <w:sz w:val="24"/>
          <w:highlight w:val="none"/>
          <w:lang w:val="en-US" w:eastAsia="zh-CN"/>
        </w:rPr>
        <w:t>投标</w:t>
      </w:r>
      <w:r>
        <w:rPr>
          <w:rFonts w:hint="eastAsia" w:ascii="宋体" w:hAnsi="宋体" w:cs="宋体"/>
          <w:b/>
          <w:bCs/>
          <w:color w:val="auto"/>
          <w:sz w:val="24"/>
          <w:highlight w:val="none"/>
        </w:rPr>
        <w:t>无效</w:t>
      </w:r>
      <w:r>
        <w:rPr>
          <w:rFonts w:hint="eastAsia" w:ascii="宋体" w:hAnsi="宋体" w:cs="宋体"/>
          <w:color w:val="auto"/>
          <w:sz w:val="24"/>
          <w:highlight w:val="none"/>
        </w:rPr>
        <w:t>：（</w:t>
      </w:r>
      <w:r>
        <w:rPr>
          <w:rFonts w:hint="eastAsia" w:ascii="宋体" w:hAnsi="宋体" w:cs="宋体"/>
          <w:b/>
          <w:color w:val="auto"/>
          <w:sz w:val="24"/>
          <w:highlight w:val="none"/>
        </w:rPr>
        <w:t>以下情形应当在</w:t>
      </w:r>
      <w:r>
        <w:rPr>
          <w:rFonts w:hint="eastAsia" w:ascii="宋体" w:hAnsi="宋体" w:cs="宋体"/>
          <w:b/>
          <w:color w:val="auto"/>
          <w:sz w:val="24"/>
          <w:highlight w:val="none"/>
          <w:lang w:eastAsia="zh-CN"/>
        </w:rPr>
        <w:t>磋商文件</w:t>
      </w:r>
      <w:r>
        <w:rPr>
          <w:rFonts w:hint="eastAsia" w:ascii="宋体" w:hAnsi="宋体" w:cs="宋体"/>
          <w:b/>
          <w:color w:val="auto"/>
          <w:sz w:val="24"/>
          <w:highlight w:val="none"/>
        </w:rPr>
        <w:t>中规定，并以醒目的方式标明</w:t>
      </w:r>
      <w:r>
        <w:rPr>
          <w:rFonts w:hint="eastAsia" w:ascii="宋体" w:hAnsi="宋体" w:cs="宋体"/>
          <w:color w:val="auto"/>
          <w:sz w:val="24"/>
          <w:highlight w:val="none"/>
        </w:rPr>
        <w:t>）</w:t>
      </w:r>
    </w:p>
    <w:p w14:paraId="2F3AE200">
      <w:pPr>
        <w:spacing w:line="240" w:lineRule="atLeast"/>
        <w:ind w:left="840" w:leftChars="400"/>
        <w:rPr>
          <w:rFonts w:hint="eastAsia" w:ascii="宋体" w:hAnsi="宋体" w:cs="宋体"/>
          <w:b/>
          <w:bCs/>
          <w:color w:val="auto"/>
          <w:sz w:val="24"/>
          <w:highlight w:val="none"/>
        </w:rPr>
      </w:pPr>
      <w:r>
        <w:rPr>
          <w:rFonts w:hint="eastAsia" w:ascii="宋体" w:hAnsi="宋体" w:cs="宋体"/>
          <w:b/>
          <w:bCs/>
          <w:color w:val="auto"/>
          <w:sz w:val="24"/>
          <w:highlight w:val="none"/>
        </w:rPr>
        <w:t>（1）未按照</w:t>
      </w:r>
      <w:r>
        <w:rPr>
          <w:rFonts w:hint="eastAsia" w:ascii="宋体" w:hAnsi="宋体" w:cs="宋体"/>
          <w:b/>
          <w:bCs/>
          <w:color w:val="auto"/>
          <w:sz w:val="24"/>
          <w:highlight w:val="none"/>
          <w:lang w:eastAsia="zh-CN"/>
        </w:rPr>
        <w:t>磋商文件</w:t>
      </w:r>
      <w:r>
        <w:rPr>
          <w:rFonts w:hint="eastAsia" w:ascii="宋体" w:hAnsi="宋体" w:cs="宋体"/>
          <w:b/>
          <w:bCs/>
          <w:color w:val="auto"/>
          <w:sz w:val="24"/>
          <w:highlight w:val="none"/>
        </w:rPr>
        <w:t>规定的形式和金额提交投标保证金的；</w:t>
      </w:r>
    </w:p>
    <w:p w14:paraId="71EB4A2B">
      <w:pPr>
        <w:spacing w:line="240" w:lineRule="atLeast"/>
        <w:ind w:left="840" w:leftChars="400"/>
        <w:rPr>
          <w:rFonts w:hint="eastAsia" w:ascii="宋体" w:hAnsi="宋体" w:cs="宋体"/>
          <w:b/>
          <w:bCs/>
          <w:color w:val="auto"/>
          <w:sz w:val="24"/>
          <w:highlight w:val="none"/>
        </w:rPr>
      </w:pPr>
      <w:r>
        <w:rPr>
          <w:rFonts w:hint="eastAsia" w:ascii="宋体" w:hAnsi="宋体" w:cs="宋体"/>
          <w:b/>
          <w:bCs/>
          <w:color w:val="auto"/>
          <w:sz w:val="24"/>
          <w:highlight w:val="none"/>
        </w:rPr>
        <w:t>（2）未按照</w:t>
      </w:r>
      <w:r>
        <w:rPr>
          <w:rFonts w:hint="eastAsia" w:ascii="宋体" w:hAnsi="宋体" w:cs="宋体"/>
          <w:b/>
          <w:bCs/>
          <w:color w:val="auto"/>
          <w:sz w:val="24"/>
          <w:highlight w:val="none"/>
          <w:lang w:eastAsia="zh-CN"/>
        </w:rPr>
        <w:t>磋商文件</w:t>
      </w:r>
      <w:r>
        <w:rPr>
          <w:rFonts w:hint="eastAsia" w:ascii="宋体" w:hAnsi="宋体" w:cs="宋体"/>
          <w:b/>
          <w:bCs/>
          <w:color w:val="auto"/>
          <w:sz w:val="24"/>
          <w:highlight w:val="none"/>
        </w:rPr>
        <w:t>规定要求签署、盖章的；</w:t>
      </w:r>
    </w:p>
    <w:p w14:paraId="293E6695">
      <w:pPr>
        <w:spacing w:line="240" w:lineRule="atLeast"/>
        <w:ind w:left="840" w:leftChars="400"/>
        <w:rPr>
          <w:rFonts w:hint="eastAsia" w:ascii="宋体" w:hAnsi="宋体" w:cs="宋体"/>
          <w:b/>
          <w:bCs/>
          <w:color w:val="auto"/>
          <w:sz w:val="24"/>
          <w:highlight w:val="none"/>
        </w:rPr>
      </w:pPr>
      <w:r>
        <w:rPr>
          <w:rFonts w:hint="eastAsia" w:ascii="宋体" w:hAnsi="宋体" w:cs="宋体"/>
          <w:b/>
          <w:bCs/>
          <w:color w:val="auto"/>
          <w:sz w:val="24"/>
          <w:highlight w:val="none"/>
        </w:rPr>
        <w:t>（3）未满足</w:t>
      </w:r>
      <w:r>
        <w:rPr>
          <w:rFonts w:hint="eastAsia" w:ascii="宋体" w:hAnsi="宋体" w:cs="宋体"/>
          <w:b/>
          <w:bCs/>
          <w:color w:val="auto"/>
          <w:sz w:val="24"/>
          <w:highlight w:val="none"/>
          <w:lang w:eastAsia="zh-CN"/>
        </w:rPr>
        <w:t>磋商文件</w:t>
      </w:r>
      <w:r>
        <w:rPr>
          <w:rFonts w:hint="eastAsia" w:ascii="宋体" w:hAnsi="宋体" w:cs="宋体"/>
          <w:b/>
          <w:bCs/>
          <w:color w:val="auto"/>
          <w:sz w:val="24"/>
          <w:highlight w:val="none"/>
        </w:rPr>
        <w:t>中技术条款的实质性要求；</w:t>
      </w:r>
    </w:p>
    <w:p w14:paraId="09BC6C51">
      <w:pPr>
        <w:spacing w:line="240" w:lineRule="atLeast"/>
        <w:ind w:left="840" w:leftChars="400"/>
        <w:rPr>
          <w:rFonts w:hint="eastAsia" w:ascii="宋体" w:hAnsi="宋体" w:cs="宋体"/>
          <w:b/>
          <w:bCs/>
          <w:color w:val="auto"/>
          <w:sz w:val="24"/>
          <w:highlight w:val="none"/>
        </w:rPr>
      </w:pPr>
      <w:r>
        <w:rPr>
          <w:rFonts w:hint="eastAsia" w:ascii="宋体" w:hAnsi="宋体" w:cs="宋体"/>
          <w:b/>
          <w:bCs/>
          <w:color w:val="auto"/>
          <w:sz w:val="24"/>
          <w:highlight w:val="none"/>
        </w:rPr>
        <w:t>（4）与其他投标人串通投标，或者与招标人串通投标；</w:t>
      </w:r>
    </w:p>
    <w:p w14:paraId="11F478D6">
      <w:pPr>
        <w:spacing w:line="240" w:lineRule="atLeast"/>
        <w:ind w:left="840" w:leftChars="400"/>
        <w:rPr>
          <w:rFonts w:hint="eastAsia" w:ascii="宋体" w:hAnsi="宋体" w:cs="宋体"/>
          <w:b/>
          <w:bCs/>
          <w:color w:val="auto"/>
          <w:sz w:val="24"/>
          <w:highlight w:val="none"/>
        </w:rPr>
      </w:pPr>
      <w:r>
        <w:rPr>
          <w:rFonts w:hint="eastAsia" w:ascii="宋体" w:hAnsi="宋体" w:cs="宋体"/>
          <w:b/>
          <w:bCs/>
          <w:color w:val="auto"/>
          <w:sz w:val="24"/>
          <w:highlight w:val="none"/>
        </w:rPr>
        <w:t>（5）属于</w:t>
      </w:r>
      <w:r>
        <w:rPr>
          <w:rFonts w:hint="eastAsia" w:ascii="宋体" w:hAnsi="宋体" w:cs="宋体"/>
          <w:b/>
          <w:bCs/>
          <w:color w:val="auto"/>
          <w:sz w:val="24"/>
          <w:highlight w:val="none"/>
          <w:lang w:eastAsia="zh-CN"/>
        </w:rPr>
        <w:t>磋商文件</w:t>
      </w:r>
      <w:r>
        <w:rPr>
          <w:rFonts w:hint="eastAsia" w:ascii="宋体" w:hAnsi="宋体" w:cs="宋体"/>
          <w:b/>
          <w:bCs/>
          <w:color w:val="auto"/>
          <w:sz w:val="24"/>
          <w:highlight w:val="none"/>
        </w:rPr>
        <w:t>规定的其他响应无效情形；</w:t>
      </w:r>
    </w:p>
    <w:p w14:paraId="633CA92B">
      <w:pPr>
        <w:spacing w:line="240" w:lineRule="atLeast"/>
        <w:ind w:left="840" w:leftChars="400"/>
        <w:rPr>
          <w:rFonts w:hint="eastAsia" w:ascii="宋体" w:hAnsi="宋体" w:cs="宋体"/>
          <w:b/>
          <w:bCs/>
          <w:color w:val="auto"/>
          <w:sz w:val="24"/>
          <w:highlight w:val="none"/>
        </w:rPr>
      </w:pPr>
      <w:r>
        <w:rPr>
          <w:rFonts w:hint="eastAsia" w:ascii="宋体" w:hAnsi="宋体" w:cs="宋体"/>
          <w:b/>
          <w:bCs/>
          <w:color w:val="auto"/>
          <w:sz w:val="24"/>
          <w:highlight w:val="none"/>
        </w:rPr>
        <w:t>（6）评标委员会认为投标人的报价明显低于其他通过符合性检查投标人的报价，有可能影响履约的，且投标人未按照规定证明其报价合理性的；</w:t>
      </w:r>
    </w:p>
    <w:p w14:paraId="0E8F8319">
      <w:pPr>
        <w:spacing w:line="240" w:lineRule="atLeast"/>
        <w:ind w:left="840" w:leftChars="400"/>
        <w:rPr>
          <w:rFonts w:hint="eastAsia" w:ascii="宋体" w:hAnsi="宋体" w:cs="宋体"/>
          <w:b/>
          <w:bCs/>
          <w:color w:val="auto"/>
          <w:sz w:val="24"/>
          <w:highlight w:val="none"/>
        </w:rPr>
      </w:pPr>
      <w:r>
        <w:rPr>
          <w:rFonts w:hint="eastAsia" w:ascii="宋体" w:hAnsi="宋体" w:cs="宋体"/>
          <w:b/>
          <w:bCs/>
          <w:color w:val="auto"/>
          <w:sz w:val="24"/>
          <w:highlight w:val="none"/>
        </w:rPr>
        <w:t>（7）响应文件含有采购人不能接受的附加条件的；</w:t>
      </w:r>
    </w:p>
    <w:p w14:paraId="56A96A1D">
      <w:pPr>
        <w:spacing w:line="240" w:lineRule="atLeast"/>
        <w:ind w:left="840" w:leftChars="400"/>
        <w:rPr>
          <w:rFonts w:hint="eastAsia" w:ascii="宋体" w:hAnsi="宋体" w:cs="宋体"/>
          <w:b/>
          <w:bCs/>
          <w:color w:val="auto"/>
          <w:sz w:val="24"/>
          <w:highlight w:val="none"/>
        </w:rPr>
      </w:pPr>
      <w:r>
        <w:rPr>
          <w:rFonts w:hint="eastAsia" w:ascii="宋体" w:hAnsi="宋体" w:cs="宋体"/>
          <w:b/>
          <w:bCs/>
          <w:color w:val="auto"/>
          <w:sz w:val="24"/>
          <w:highlight w:val="none"/>
        </w:rPr>
        <w:t>（8）不符合法规和</w:t>
      </w:r>
      <w:r>
        <w:rPr>
          <w:rFonts w:hint="eastAsia" w:ascii="宋体" w:hAnsi="宋体" w:cs="宋体"/>
          <w:b/>
          <w:bCs/>
          <w:color w:val="auto"/>
          <w:sz w:val="24"/>
          <w:highlight w:val="none"/>
          <w:lang w:eastAsia="zh-CN"/>
        </w:rPr>
        <w:t>磋商文件</w:t>
      </w:r>
      <w:r>
        <w:rPr>
          <w:rFonts w:hint="eastAsia" w:ascii="宋体" w:hAnsi="宋体" w:cs="宋体"/>
          <w:b/>
          <w:bCs/>
          <w:color w:val="auto"/>
          <w:sz w:val="24"/>
          <w:highlight w:val="none"/>
        </w:rPr>
        <w:t>中规定的其他实质性要求的。</w:t>
      </w:r>
    </w:p>
    <w:p w14:paraId="0C7058B7">
      <w:pPr>
        <w:pStyle w:val="5"/>
        <w:keepNext w:val="0"/>
        <w:keepLines w:val="0"/>
        <w:pageBreakBefore w:val="0"/>
        <w:widowControl w:val="0"/>
        <w:kinsoku/>
        <w:wordWrap/>
        <w:overflowPunct/>
        <w:topLinePunct w:val="0"/>
        <w:bidi w:val="0"/>
        <w:snapToGrid/>
        <w:spacing w:before="0" w:after="0" w:line="240" w:lineRule="atLeast"/>
        <w:ind w:left="964" w:leftChars="0" w:hanging="964" w:hangingChars="400"/>
        <w:textAlignment w:val="auto"/>
        <w:rPr>
          <w:rFonts w:hint="eastAsia" w:ascii="宋体" w:hAnsi="宋体" w:eastAsia="宋体" w:cs="宋体"/>
          <w:color w:val="auto"/>
          <w:highlight w:val="none"/>
          <w:u w:val="none"/>
        </w:rPr>
      </w:pPr>
      <w:r>
        <w:rPr>
          <w:rFonts w:hint="eastAsia" w:ascii="宋体" w:hAnsi="宋体" w:eastAsia="宋体" w:cs="宋体"/>
          <w:color w:val="auto"/>
          <w:highlight w:val="none"/>
          <w:u w:val="none"/>
        </w:rPr>
        <w:t>23.</w:t>
      </w:r>
      <w:bookmarkEnd w:id="149"/>
      <w:r>
        <w:rPr>
          <w:rFonts w:hint="eastAsia" w:ascii="宋体" w:hAnsi="宋体" w:eastAsia="宋体" w:cs="宋体"/>
          <w:color w:val="auto"/>
          <w:highlight w:val="none"/>
          <w:u w:val="none"/>
        </w:rPr>
        <w:t>比较与评价</w:t>
      </w:r>
      <w:bookmarkEnd w:id="159"/>
      <w:bookmarkEnd w:id="160"/>
      <w:bookmarkEnd w:id="161"/>
      <w:bookmarkEnd w:id="162"/>
    </w:p>
    <w:p w14:paraId="44E1F6CC">
      <w:pPr>
        <w:spacing w:line="240" w:lineRule="atLeast"/>
        <w:ind w:left="840" w:hanging="840" w:hangingChars="350"/>
        <w:rPr>
          <w:rFonts w:hint="eastAsia" w:ascii="宋体" w:hAnsi="宋体" w:cs="宋体"/>
          <w:color w:val="auto"/>
          <w:sz w:val="24"/>
          <w:highlight w:val="none"/>
        </w:rPr>
      </w:pPr>
      <w:bookmarkStart w:id="163" w:name="_Toc520356168"/>
      <w:bookmarkStart w:id="164" w:name="_Toc9378"/>
      <w:bookmarkStart w:id="165" w:name="_Toc31728"/>
      <w:bookmarkStart w:id="166" w:name="_Toc515647785"/>
      <w:bookmarkStart w:id="167" w:name="_Toc20227"/>
      <w:r>
        <w:rPr>
          <w:rFonts w:hint="eastAsia" w:ascii="宋体" w:hAnsi="宋体" w:cs="宋体"/>
          <w:color w:val="auto"/>
          <w:sz w:val="24"/>
          <w:highlight w:val="none"/>
        </w:rPr>
        <w:t>23.1   经符合性审查合格的响应文件，评标委员会将根据</w:t>
      </w:r>
      <w:r>
        <w:rPr>
          <w:rFonts w:hint="eastAsia" w:ascii="宋体" w:hAnsi="宋体" w:cs="宋体"/>
          <w:color w:val="auto"/>
          <w:sz w:val="24"/>
          <w:highlight w:val="none"/>
          <w:lang w:eastAsia="zh-CN"/>
        </w:rPr>
        <w:t>磋商文件</w:t>
      </w:r>
      <w:r>
        <w:rPr>
          <w:rFonts w:hint="eastAsia" w:ascii="宋体" w:hAnsi="宋体" w:cs="宋体"/>
          <w:color w:val="auto"/>
          <w:sz w:val="24"/>
          <w:highlight w:val="none"/>
        </w:rPr>
        <w:t>确定的评标方法和标准，对其技术部分和商务部分作进一步的比较和评价。</w:t>
      </w:r>
    </w:p>
    <w:p w14:paraId="17468903">
      <w:pPr>
        <w:spacing w:line="240" w:lineRule="atLeast"/>
        <w:ind w:left="840" w:hanging="840" w:hangingChars="350"/>
        <w:rPr>
          <w:rFonts w:hint="eastAsia" w:ascii="宋体" w:hAnsi="宋体" w:cs="宋体"/>
          <w:color w:val="auto"/>
          <w:sz w:val="24"/>
          <w:highlight w:val="none"/>
        </w:rPr>
      </w:pPr>
      <w:r>
        <w:rPr>
          <w:rFonts w:hint="eastAsia" w:ascii="宋体" w:hAnsi="宋体" w:cs="宋体"/>
          <w:color w:val="auto"/>
          <w:sz w:val="24"/>
          <w:highlight w:val="none"/>
        </w:rPr>
        <w:t>23.2   评标严格按照</w:t>
      </w:r>
      <w:r>
        <w:rPr>
          <w:rFonts w:hint="eastAsia" w:ascii="宋体" w:hAnsi="宋体" w:cs="宋体"/>
          <w:color w:val="auto"/>
          <w:sz w:val="24"/>
          <w:highlight w:val="none"/>
          <w:lang w:eastAsia="zh-CN"/>
        </w:rPr>
        <w:t>磋商文件</w:t>
      </w:r>
      <w:r>
        <w:rPr>
          <w:rFonts w:hint="eastAsia" w:ascii="宋体" w:hAnsi="宋体" w:cs="宋体"/>
          <w:color w:val="auto"/>
          <w:sz w:val="24"/>
          <w:highlight w:val="none"/>
        </w:rPr>
        <w:t>的要求和条件进行。根据实际情况，在投标人须知资料表中规定采用下列</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lang w:eastAsia="zh-CN"/>
        </w:rPr>
        <w:t>）</w:t>
      </w:r>
      <w:r>
        <w:rPr>
          <w:rFonts w:hint="eastAsia" w:ascii="宋体" w:hAnsi="宋体" w:cs="宋体"/>
          <w:color w:val="auto"/>
          <w:sz w:val="24"/>
          <w:highlight w:val="none"/>
        </w:rPr>
        <w:t>评标方法，详细评标标准见</w:t>
      </w:r>
      <w:r>
        <w:rPr>
          <w:rFonts w:hint="eastAsia" w:ascii="宋体" w:hAnsi="宋体" w:cs="宋体"/>
          <w:color w:val="auto"/>
          <w:sz w:val="24"/>
          <w:highlight w:val="none"/>
          <w:lang w:eastAsia="zh-CN"/>
        </w:rPr>
        <w:t>磋商文件</w:t>
      </w:r>
      <w:r>
        <w:rPr>
          <w:rFonts w:hint="eastAsia" w:ascii="宋体" w:hAnsi="宋体" w:cs="宋体"/>
          <w:color w:val="auto"/>
          <w:sz w:val="24"/>
          <w:highlight w:val="none"/>
        </w:rPr>
        <w:t>第六章。</w:t>
      </w:r>
    </w:p>
    <w:p w14:paraId="6726D50B">
      <w:pPr>
        <w:spacing w:line="240" w:lineRule="atLeast"/>
        <w:ind w:left="840" w:hanging="840" w:hangingChars="35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 </w:t>
      </w:r>
      <w:r>
        <w:rPr>
          <w:rFonts w:hint="eastAsia" w:ascii="宋体" w:hAnsi="宋体" w:eastAsia="宋体" w:cs="宋体"/>
          <w:color w:val="auto"/>
          <w:sz w:val="24"/>
          <w:highlight w:val="none"/>
          <w:lang w:val="en-US" w:eastAsia="zh-CN"/>
        </w:rPr>
        <w:t xml:space="preserve"> </w:t>
      </w:r>
      <w:r>
        <w:rPr>
          <w:rFonts w:hint="eastAsia" w:ascii="宋体" w:hAnsi="宋体" w:eastAsia="宋体" w:cs="宋体"/>
          <w:b w:val="0"/>
          <w:bCs w:val="0"/>
          <w:color w:val="auto"/>
          <w:sz w:val="24"/>
          <w:highlight w:val="none"/>
        </w:rPr>
        <w:t>最低评标价法，是指投标文件满足</w:t>
      </w:r>
      <w:r>
        <w:rPr>
          <w:rFonts w:hint="eastAsia" w:ascii="宋体" w:hAnsi="宋体" w:cs="宋体"/>
          <w:b w:val="0"/>
          <w:bCs w:val="0"/>
          <w:color w:val="auto"/>
          <w:sz w:val="24"/>
          <w:highlight w:val="none"/>
          <w:lang w:val="en-US" w:eastAsia="zh-CN"/>
        </w:rPr>
        <w:t>磋商文件</w:t>
      </w:r>
      <w:r>
        <w:rPr>
          <w:rFonts w:hint="eastAsia" w:ascii="宋体" w:hAnsi="宋体" w:eastAsia="宋体" w:cs="宋体"/>
          <w:b w:val="0"/>
          <w:bCs w:val="0"/>
          <w:color w:val="auto"/>
          <w:sz w:val="24"/>
          <w:highlight w:val="none"/>
        </w:rPr>
        <w:t>全部实质性要求，且投标报价最低的投标人为</w:t>
      </w:r>
      <w:r>
        <w:rPr>
          <w:rFonts w:hint="eastAsia" w:ascii="宋体" w:hAnsi="宋体" w:eastAsia="宋体" w:cs="宋体"/>
          <w:b w:val="0"/>
          <w:bCs w:val="0"/>
          <w:color w:val="auto"/>
          <w:sz w:val="24"/>
          <w:highlight w:val="none"/>
          <w:lang w:val="en-US" w:eastAsia="zh-CN"/>
        </w:rPr>
        <w:t>成交</w:t>
      </w:r>
      <w:r>
        <w:rPr>
          <w:rFonts w:hint="eastAsia" w:ascii="宋体" w:hAnsi="宋体" w:eastAsia="宋体" w:cs="宋体"/>
          <w:b w:val="0"/>
          <w:bCs w:val="0"/>
          <w:color w:val="auto"/>
          <w:sz w:val="24"/>
          <w:highlight w:val="none"/>
        </w:rPr>
        <w:t>候选人的评标方法。</w:t>
      </w:r>
    </w:p>
    <w:p w14:paraId="2E1EE4ED">
      <w:pPr>
        <w:spacing w:line="240" w:lineRule="atLeast"/>
        <w:ind w:left="840" w:hanging="843" w:hangingChars="350"/>
        <w:rPr>
          <w:rFonts w:hint="eastAsia" w:ascii="宋体" w:hAnsi="宋体" w:cs="宋体"/>
          <w:b/>
          <w:bCs/>
          <w:color w:val="auto"/>
          <w:sz w:val="24"/>
          <w:highlight w:val="none"/>
        </w:rPr>
      </w:pPr>
      <w:r>
        <w:rPr>
          <w:rFonts w:hint="eastAsia" w:ascii="宋体" w:hAnsi="宋体" w:eastAsia="宋体" w:cs="宋体"/>
          <w:b/>
          <w:bCs/>
          <w:color w:val="auto"/>
          <w:sz w:val="24"/>
          <w:highlight w:val="none"/>
        </w:rPr>
        <w:t>（2）</w:t>
      </w:r>
      <w:r>
        <w:rPr>
          <w:rFonts w:hint="eastAsia" w:ascii="宋体" w:hAnsi="宋体" w:eastAsia="宋体" w:cs="宋体"/>
          <w:b/>
          <w:bCs/>
          <w:color w:val="auto"/>
          <w:sz w:val="24"/>
          <w:highlight w:val="none"/>
          <w:lang w:val="en-US" w:eastAsia="zh-CN"/>
        </w:rPr>
        <w:t xml:space="preserve"> </w:t>
      </w:r>
      <w:r>
        <w:rPr>
          <w:rFonts w:hint="eastAsia" w:ascii="宋体" w:hAnsi="宋体" w:eastAsia="宋体" w:cs="宋体"/>
          <w:b/>
          <w:bCs/>
          <w:color w:val="auto"/>
          <w:sz w:val="24"/>
          <w:highlight w:val="none"/>
        </w:rPr>
        <w:t xml:space="preserve"> 综合评分法，是指投标文件满足</w:t>
      </w:r>
      <w:r>
        <w:rPr>
          <w:rFonts w:hint="eastAsia" w:ascii="宋体" w:hAnsi="宋体" w:cs="宋体"/>
          <w:b/>
          <w:bCs/>
          <w:color w:val="auto"/>
          <w:sz w:val="24"/>
          <w:highlight w:val="none"/>
          <w:lang w:val="en-US" w:eastAsia="zh-CN"/>
        </w:rPr>
        <w:t>磋商文件</w:t>
      </w:r>
      <w:r>
        <w:rPr>
          <w:rFonts w:hint="eastAsia" w:ascii="宋体" w:hAnsi="宋体" w:eastAsia="宋体" w:cs="宋体"/>
          <w:b/>
          <w:bCs/>
          <w:color w:val="auto"/>
          <w:sz w:val="24"/>
          <w:highlight w:val="none"/>
        </w:rPr>
        <w:t>全部实质性要求，且按照评审因素的量化指标评审得分最高的投标人为中标候选人的评标方法。</w:t>
      </w:r>
    </w:p>
    <w:p w14:paraId="1903568A">
      <w:pPr>
        <w:pStyle w:val="4"/>
        <w:keepNext w:val="0"/>
        <w:keepLines w:val="0"/>
        <w:pageBreakBefore w:val="0"/>
        <w:widowControl w:val="0"/>
        <w:kinsoku/>
        <w:wordWrap/>
        <w:overflowPunct/>
        <w:topLinePunct w:val="0"/>
        <w:autoSpaceDE w:val="0"/>
        <w:autoSpaceDN w:val="0"/>
        <w:bidi w:val="0"/>
        <w:adjustRightInd w:val="0"/>
        <w:snapToGrid/>
        <w:ind w:left="843" w:leftChars="0" w:hanging="843" w:hangingChars="350"/>
        <w:textAlignment w:val="auto"/>
        <w:rPr>
          <w:rFonts w:hint="eastAsia"/>
          <w:color w:val="FF0000"/>
          <w:highlight w:val="none"/>
        </w:rPr>
      </w:pPr>
      <w:r>
        <w:rPr>
          <w:rFonts w:hint="eastAsia" w:ascii="宋体" w:hAnsi="宋体" w:cs="宋体"/>
          <w:b/>
          <w:bCs/>
          <w:color w:val="FF0000"/>
          <w:sz w:val="24"/>
          <w:highlight w:val="none"/>
        </w:rPr>
        <w:t>23.</w:t>
      </w:r>
      <w:r>
        <w:rPr>
          <w:rFonts w:hint="eastAsia" w:ascii="宋体" w:hAnsi="宋体" w:cs="宋体"/>
          <w:b/>
          <w:bCs/>
          <w:color w:val="FF0000"/>
          <w:sz w:val="24"/>
          <w:highlight w:val="none"/>
          <w:lang w:val="en-US" w:eastAsia="zh-CN"/>
        </w:rPr>
        <w:t>3</w:t>
      </w:r>
      <w:r>
        <w:rPr>
          <w:rFonts w:hint="eastAsia" w:ascii="宋体" w:hAnsi="宋体" w:cs="宋体"/>
          <w:color w:val="FF0000"/>
          <w:sz w:val="24"/>
          <w:highlight w:val="none"/>
          <w:lang w:val="en-US" w:eastAsia="zh-CN"/>
        </w:rPr>
        <w:t xml:space="preserve">  </w:t>
      </w:r>
      <w:r>
        <w:rPr>
          <w:rFonts w:hint="eastAsia" w:hAnsi="宋体" w:cs="宋体"/>
          <w:color w:val="FF0000"/>
          <w:sz w:val="24"/>
          <w:highlight w:val="none"/>
          <w:lang w:val="en-US" w:eastAsia="zh-CN"/>
        </w:rPr>
        <w:t xml:space="preserve"> </w:t>
      </w:r>
      <w:r>
        <w:rPr>
          <w:rFonts w:hint="eastAsia" w:ascii="宋体" w:hAnsi="宋体" w:eastAsia="宋体" w:cs="宋体"/>
          <w:b/>
          <w:bCs/>
          <w:color w:val="FF0000"/>
          <w:kern w:val="2"/>
          <w:sz w:val="24"/>
          <w:szCs w:val="24"/>
          <w:highlight w:val="none"/>
          <w:lang w:val="en-US" w:eastAsia="zh-CN" w:bidi="ar-SA"/>
        </w:rPr>
        <w:t>本项目</w:t>
      </w:r>
      <w:r>
        <w:rPr>
          <w:rFonts w:hint="eastAsia" w:hAnsi="宋体" w:cs="宋体"/>
          <w:b/>
          <w:bCs/>
          <w:color w:val="FF0000"/>
          <w:kern w:val="2"/>
          <w:sz w:val="24"/>
          <w:szCs w:val="24"/>
          <w:highlight w:val="none"/>
          <w:lang w:val="en-US" w:eastAsia="zh-CN" w:bidi="ar-SA"/>
        </w:rPr>
        <w:t>专门</w:t>
      </w:r>
      <w:r>
        <w:rPr>
          <w:rFonts w:hint="eastAsia" w:ascii="宋体" w:hAnsi="宋体" w:eastAsia="宋体" w:cs="宋体"/>
          <w:b/>
          <w:bCs/>
          <w:color w:val="FF0000"/>
          <w:kern w:val="2"/>
          <w:sz w:val="24"/>
          <w:szCs w:val="24"/>
          <w:highlight w:val="none"/>
          <w:lang w:val="en-US" w:eastAsia="zh-CN" w:bidi="ar-SA"/>
        </w:rPr>
        <w:t>面向中小企业采购。</w:t>
      </w:r>
    </w:p>
    <w:p w14:paraId="7097881D">
      <w:pPr>
        <w:pStyle w:val="5"/>
        <w:keepNext w:val="0"/>
        <w:keepLines w:val="0"/>
        <w:pageBreakBefore w:val="0"/>
        <w:widowControl w:val="0"/>
        <w:kinsoku/>
        <w:wordWrap/>
        <w:overflowPunct/>
        <w:topLinePunct w:val="0"/>
        <w:bidi w:val="0"/>
        <w:snapToGrid/>
        <w:spacing w:before="0" w:after="0" w:line="240" w:lineRule="atLeast"/>
        <w:ind w:left="964" w:leftChars="0" w:hanging="964" w:hangingChars="400"/>
        <w:textAlignment w:val="auto"/>
        <w:rPr>
          <w:rFonts w:hint="eastAsia" w:ascii="宋体" w:hAnsi="宋体" w:eastAsia="宋体" w:cs="宋体"/>
          <w:color w:val="auto"/>
          <w:highlight w:val="none"/>
          <w:u w:val="none"/>
        </w:rPr>
      </w:pPr>
      <w:r>
        <w:rPr>
          <w:rFonts w:hint="eastAsia" w:ascii="宋体" w:hAnsi="宋体" w:eastAsia="宋体" w:cs="宋体"/>
          <w:color w:val="auto"/>
          <w:highlight w:val="none"/>
          <w:u w:val="none"/>
        </w:rPr>
        <w:t>24</w:t>
      </w:r>
      <w:bookmarkEnd w:id="163"/>
      <w:r>
        <w:rPr>
          <w:rFonts w:hint="eastAsia" w:ascii="宋体" w:hAnsi="宋体" w:eastAsia="宋体" w:cs="宋体"/>
          <w:color w:val="auto"/>
          <w:highlight w:val="none"/>
          <w:u w:val="none"/>
        </w:rPr>
        <w:t>.废标</w:t>
      </w:r>
      <w:bookmarkEnd w:id="164"/>
      <w:bookmarkEnd w:id="165"/>
      <w:bookmarkEnd w:id="166"/>
      <w:bookmarkEnd w:id="167"/>
    </w:p>
    <w:p w14:paraId="21FA583D">
      <w:pPr>
        <w:spacing w:line="240" w:lineRule="atLeast"/>
        <w:rPr>
          <w:rFonts w:hint="eastAsia" w:ascii="宋体" w:hAnsi="宋体" w:cs="宋体"/>
          <w:b/>
          <w:bCs/>
          <w:color w:val="auto"/>
          <w:sz w:val="24"/>
          <w:highlight w:val="none"/>
        </w:rPr>
      </w:pPr>
      <w:r>
        <w:rPr>
          <w:rFonts w:hint="eastAsia" w:ascii="宋体" w:hAnsi="宋体" w:cs="宋体"/>
          <w:b/>
          <w:bCs/>
          <w:color w:val="auto"/>
          <w:sz w:val="24"/>
          <w:highlight w:val="none"/>
        </w:rPr>
        <w:t xml:space="preserve">24.1   出现下列情形之一，将导致项目废标： </w:t>
      </w:r>
    </w:p>
    <w:p w14:paraId="4BB4E0D5">
      <w:pPr>
        <w:spacing w:line="240" w:lineRule="atLeast"/>
        <w:ind w:left="840" w:leftChars="400"/>
        <w:rPr>
          <w:rFonts w:hint="eastAsia" w:ascii="宋体" w:hAnsi="宋体" w:cs="宋体"/>
          <w:b/>
          <w:bCs/>
          <w:color w:val="auto"/>
          <w:sz w:val="24"/>
          <w:highlight w:val="none"/>
        </w:rPr>
      </w:pPr>
      <w:r>
        <w:rPr>
          <w:rFonts w:hint="eastAsia" w:ascii="宋体" w:hAnsi="宋体" w:cs="宋体"/>
          <w:b/>
          <w:bCs/>
          <w:color w:val="auto"/>
          <w:sz w:val="24"/>
          <w:highlight w:val="none"/>
        </w:rPr>
        <w:t>（1）符合专业条件的</w:t>
      </w:r>
      <w:r>
        <w:rPr>
          <w:rFonts w:hint="eastAsia" w:ascii="宋体" w:hAnsi="宋体" w:cs="宋体"/>
          <w:b/>
          <w:bCs/>
          <w:color w:val="auto"/>
          <w:sz w:val="24"/>
          <w:highlight w:val="none"/>
          <w:lang w:val="en-US" w:eastAsia="zh-CN"/>
        </w:rPr>
        <w:t>投标人</w:t>
      </w:r>
      <w:r>
        <w:rPr>
          <w:rFonts w:hint="eastAsia" w:ascii="宋体" w:hAnsi="宋体" w:cs="宋体"/>
          <w:b/>
          <w:bCs/>
          <w:color w:val="auto"/>
          <w:sz w:val="24"/>
          <w:highlight w:val="none"/>
        </w:rPr>
        <w:t>或者对</w:t>
      </w:r>
      <w:r>
        <w:rPr>
          <w:rFonts w:hint="eastAsia" w:ascii="宋体" w:hAnsi="宋体" w:cs="宋体"/>
          <w:b/>
          <w:bCs/>
          <w:color w:val="auto"/>
          <w:sz w:val="24"/>
          <w:highlight w:val="none"/>
          <w:lang w:eastAsia="zh-CN"/>
        </w:rPr>
        <w:t>磋商文件</w:t>
      </w:r>
      <w:r>
        <w:rPr>
          <w:rFonts w:hint="eastAsia" w:ascii="宋体" w:hAnsi="宋体" w:cs="宋体"/>
          <w:b/>
          <w:bCs/>
          <w:color w:val="auto"/>
          <w:sz w:val="24"/>
          <w:highlight w:val="none"/>
        </w:rPr>
        <w:t>做实质性响应的</w:t>
      </w:r>
      <w:r>
        <w:rPr>
          <w:rFonts w:hint="eastAsia" w:ascii="宋体" w:hAnsi="宋体" w:cs="宋体"/>
          <w:b/>
          <w:bCs/>
          <w:color w:val="auto"/>
          <w:sz w:val="24"/>
          <w:highlight w:val="none"/>
          <w:lang w:val="en-US" w:eastAsia="zh-CN"/>
        </w:rPr>
        <w:t>投标人</w:t>
      </w:r>
      <w:r>
        <w:rPr>
          <w:rFonts w:hint="eastAsia" w:ascii="宋体" w:hAnsi="宋体" w:cs="宋体"/>
          <w:b/>
          <w:bCs/>
          <w:color w:val="auto"/>
          <w:sz w:val="24"/>
          <w:highlight w:val="none"/>
        </w:rPr>
        <w:t>不足三家；</w:t>
      </w:r>
    </w:p>
    <w:p w14:paraId="78E5B211">
      <w:pPr>
        <w:spacing w:line="240" w:lineRule="atLeast"/>
        <w:ind w:left="840" w:leftChars="400"/>
        <w:rPr>
          <w:rFonts w:hint="eastAsia" w:ascii="宋体" w:hAnsi="宋体" w:cs="宋体"/>
          <w:b/>
          <w:bCs/>
          <w:color w:val="auto"/>
          <w:sz w:val="24"/>
          <w:highlight w:val="none"/>
        </w:rPr>
      </w:pPr>
      <w:r>
        <w:rPr>
          <w:rFonts w:hint="eastAsia" w:ascii="宋体" w:hAnsi="宋体" w:cs="宋体"/>
          <w:b/>
          <w:bCs/>
          <w:color w:val="auto"/>
          <w:sz w:val="24"/>
          <w:highlight w:val="none"/>
        </w:rPr>
        <w:t>（2）出现影响采购公正的违法、违规行为的；</w:t>
      </w:r>
    </w:p>
    <w:p w14:paraId="37517436">
      <w:pPr>
        <w:spacing w:line="240" w:lineRule="atLeast"/>
        <w:ind w:left="840" w:leftChars="400"/>
        <w:rPr>
          <w:rFonts w:hint="eastAsia" w:ascii="宋体" w:hAnsi="宋体" w:cs="宋体"/>
          <w:b/>
          <w:bCs/>
          <w:color w:val="auto"/>
          <w:sz w:val="24"/>
          <w:highlight w:val="none"/>
        </w:rPr>
      </w:pPr>
      <w:r>
        <w:rPr>
          <w:rFonts w:hint="eastAsia" w:ascii="宋体" w:hAnsi="宋体" w:cs="宋体"/>
          <w:b/>
          <w:bCs/>
          <w:color w:val="auto"/>
          <w:sz w:val="24"/>
          <w:highlight w:val="none"/>
        </w:rPr>
        <w:t>（3）投标人的报价均超过了采购预算，采购人不能支付的；</w:t>
      </w:r>
    </w:p>
    <w:p w14:paraId="49C49BC8">
      <w:pPr>
        <w:keepNext w:val="0"/>
        <w:keepLines w:val="0"/>
        <w:pageBreakBefore w:val="0"/>
        <w:widowControl w:val="0"/>
        <w:kinsoku/>
        <w:wordWrap/>
        <w:overflowPunct/>
        <w:topLinePunct w:val="0"/>
        <w:autoSpaceDE/>
        <w:autoSpaceDN/>
        <w:bidi w:val="0"/>
        <w:adjustRightInd/>
        <w:snapToGrid/>
        <w:spacing w:line="240" w:lineRule="atLeast"/>
        <w:ind w:left="840" w:leftChars="400" w:firstLine="0" w:firstLineChars="0"/>
        <w:textAlignment w:val="auto"/>
        <w:rPr>
          <w:rFonts w:hint="eastAsia" w:ascii="宋体" w:hAnsi="宋体" w:eastAsia="宋体" w:cs="宋体"/>
          <w:color w:val="auto"/>
          <w:sz w:val="24"/>
          <w:highlight w:val="none"/>
        </w:rPr>
      </w:pPr>
      <w:r>
        <w:rPr>
          <w:rFonts w:hint="eastAsia" w:ascii="宋体" w:hAnsi="宋体" w:cs="宋体"/>
          <w:b/>
          <w:bCs/>
          <w:color w:val="auto"/>
          <w:sz w:val="24"/>
          <w:highlight w:val="none"/>
        </w:rPr>
        <w:t xml:space="preserve">（4）因重大变故，采购任务取消的。 </w:t>
      </w:r>
      <w:r>
        <w:rPr>
          <w:rFonts w:hint="eastAsia" w:ascii="宋体" w:hAnsi="宋体" w:cs="宋体"/>
          <w:color w:val="auto"/>
          <w:sz w:val="24"/>
          <w:highlight w:val="none"/>
        </w:rPr>
        <w:t xml:space="preserve"> </w:t>
      </w:r>
      <w:r>
        <w:rPr>
          <w:rFonts w:hint="eastAsia" w:ascii="宋体" w:hAnsi="宋体" w:eastAsia="宋体" w:cs="宋体"/>
          <w:color w:val="auto"/>
          <w:sz w:val="24"/>
          <w:highlight w:val="none"/>
        </w:rPr>
        <w:t xml:space="preserve"> </w:t>
      </w:r>
    </w:p>
    <w:p w14:paraId="223C5B08">
      <w:pPr>
        <w:pStyle w:val="5"/>
        <w:keepNext w:val="0"/>
        <w:keepLines w:val="0"/>
        <w:pageBreakBefore w:val="0"/>
        <w:widowControl w:val="0"/>
        <w:kinsoku/>
        <w:wordWrap/>
        <w:overflowPunct/>
        <w:topLinePunct w:val="0"/>
        <w:bidi w:val="0"/>
        <w:snapToGrid/>
        <w:spacing w:before="0" w:after="0" w:line="240" w:lineRule="atLeast"/>
        <w:ind w:left="964" w:leftChars="0" w:hanging="964" w:hangingChars="400"/>
        <w:textAlignment w:val="auto"/>
        <w:rPr>
          <w:rFonts w:hint="eastAsia" w:ascii="宋体" w:hAnsi="宋体" w:eastAsia="宋体" w:cs="宋体"/>
          <w:color w:val="auto"/>
          <w:highlight w:val="none"/>
          <w:u w:val="none"/>
        </w:rPr>
      </w:pPr>
      <w:bookmarkStart w:id="168" w:name="_Toc11175"/>
      <w:bookmarkStart w:id="169" w:name="_Toc515647786"/>
      <w:bookmarkStart w:id="170" w:name="_Toc24972"/>
      <w:bookmarkStart w:id="171" w:name="_Toc31289"/>
      <w:bookmarkStart w:id="172" w:name="_Toc520356169"/>
      <w:r>
        <w:rPr>
          <w:rFonts w:hint="eastAsia" w:ascii="宋体" w:hAnsi="宋体" w:eastAsia="宋体" w:cs="宋体"/>
          <w:color w:val="auto"/>
          <w:highlight w:val="none"/>
          <w:u w:val="none"/>
        </w:rPr>
        <w:t>25.保密原则</w:t>
      </w:r>
      <w:bookmarkEnd w:id="168"/>
      <w:bookmarkEnd w:id="169"/>
      <w:bookmarkEnd w:id="170"/>
      <w:bookmarkEnd w:id="171"/>
    </w:p>
    <w:p w14:paraId="262D7FCF">
      <w:pPr>
        <w:spacing w:line="240" w:lineRule="atLeast"/>
        <w:ind w:left="840" w:hanging="840" w:hangingChars="350"/>
        <w:rPr>
          <w:rFonts w:hint="eastAsia" w:ascii="宋体" w:hAnsi="宋体" w:cs="宋体"/>
          <w:color w:val="auto"/>
          <w:sz w:val="24"/>
          <w:highlight w:val="none"/>
        </w:rPr>
      </w:pPr>
      <w:bookmarkStart w:id="173" w:name="_Toc12143"/>
      <w:bookmarkStart w:id="174" w:name="_Toc515647787"/>
      <w:bookmarkStart w:id="175" w:name="_Toc2153"/>
      <w:bookmarkStart w:id="176" w:name="_Toc216582810"/>
      <w:bookmarkStart w:id="177" w:name="_Toc23904"/>
      <w:r>
        <w:rPr>
          <w:rFonts w:hint="eastAsia" w:ascii="宋体" w:hAnsi="宋体" w:cs="宋体"/>
          <w:color w:val="auto"/>
          <w:sz w:val="24"/>
          <w:highlight w:val="none"/>
        </w:rPr>
        <w:t>25.1</w:t>
      </w:r>
      <w:r>
        <w:rPr>
          <w:rFonts w:hint="eastAsia" w:ascii="宋体" w:hAnsi="宋体" w:cs="宋体"/>
          <w:color w:val="auto"/>
          <w:sz w:val="24"/>
          <w:highlight w:val="none"/>
        </w:rPr>
        <w:tab/>
      </w:r>
      <w:r>
        <w:rPr>
          <w:rFonts w:hint="eastAsia" w:ascii="宋体" w:hAnsi="宋体" w:cs="宋体"/>
          <w:color w:val="auto"/>
          <w:sz w:val="24"/>
          <w:highlight w:val="none"/>
        </w:rPr>
        <w:t>评标将在严格保密的情况下进行。</w:t>
      </w:r>
    </w:p>
    <w:p w14:paraId="6AE51D4A">
      <w:pPr>
        <w:spacing w:line="240" w:lineRule="atLeast"/>
        <w:ind w:left="840" w:hanging="840" w:hangingChars="350"/>
        <w:rPr>
          <w:rFonts w:hint="eastAsia" w:ascii="宋体" w:hAnsi="宋体" w:eastAsia="宋体" w:cs="宋体"/>
          <w:color w:val="auto"/>
          <w:sz w:val="28"/>
          <w:szCs w:val="28"/>
          <w:highlight w:val="none"/>
        </w:rPr>
      </w:pPr>
      <w:r>
        <w:rPr>
          <w:rFonts w:hint="eastAsia" w:ascii="宋体" w:hAnsi="宋体" w:cs="宋体"/>
          <w:color w:val="auto"/>
          <w:sz w:val="24"/>
          <w:highlight w:val="none"/>
        </w:rPr>
        <w:t>25.2</w:t>
      </w:r>
      <w:r>
        <w:rPr>
          <w:rFonts w:hint="eastAsia" w:ascii="宋体" w:hAnsi="宋体" w:cs="宋体"/>
          <w:color w:val="auto"/>
          <w:sz w:val="24"/>
          <w:highlight w:val="none"/>
        </w:rPr>
        <w:tab/>
      </w:r>
      <w:r>
        <w:rPr>
          <w:rFonts w:hint="eastAsia" w:ascii="宋体" w:hAnsi="宋体" w:cs="宋体"/>
          <w:color w:val="auto"/>
          <w:sz w:val="24"/>
          <w:highlight w:val="none"/>
        </w:rPr>
        <w:t>政府采购评审专家应当遵守评审工作纪律，不得泄露评审文件、评审情况和评审中获悉的商业秘密。</w:t>
      </w:r>
    </w:p>
    <w:p w14:paraId="29517959">
      <w:pPr>
        <w:pStyle w:val="3"/>
        <w:keepNext w:val="0"/>
        <w:keepLines w:val="0"/>
        <w:pageBreakBefore w:val="0"/>
        <w:widowControl w:val="0"/>
        <w:kinsoku/>
        <w:overflowPunct/>
        <w:bidi w:val="0"/>
        <w:spacing w:before="0" w:line="240" w:lineRule="atLeast"/>
        <w:ind w:left="1080" w:leftChars="257" w:hanging="540"/>
        <w:rPr>
          <w:rFonts w:hint="eastAsia" w:ascii="宋体" w:hAnsi="宋体" w:eastAsia="宋体" w:cs="宋体"/>
          <w:color w:val="auto"/>
          <w:sz w:val="28"/>
          <w:szCs w:val="28"/>
          <w:highlight w:val="none"/>
        </w:rPr>
      </w:pPr>
    </w:p>
    <w:p w14:paraId="494A2C66">
      <w:pPr>
        <w:pStyle w:val="3"/>
        <w:keepNext w:val="0"/>
        <w:keepLines w:val="0"/>
        <w:pageBreakBefore w:val="0"/>
        <w:widowControl w:val="0"/>
        <w:kinsoku/>
        <w:overflowPunct/>
        <w:bidi w:val="0"/>
        <w:spacing w:before="0" w:line="240" w:lineRule="atLeast"/>
        <w:ind w:left="1080" w:leftChars="257" w:hanging="54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六   </w:t>
      </w:r>
      <w:bookmarkEnd w:id="172"/>
      <w:r>
        <w:rPr>
          <w:rFonts w:hint="eastAsia" w:ascii="宋体" w:hAnsi="宋体" w:eastAsia="宋体" w:cs="宋体"/>
          <w:color w:val="auto"/>
          <w:sz w:val="28"/>
          <w:szCs w:val="28"/>
          <w:highlight w:val="none"/>
        </w:rPr>
        <w:t>确定中标</w:t>
      </w:r>
      <w:bookmarkEnd w:id="173"/>
      <w:bookmarkEnd w:id="174"/>
      <w:bookmarkEnd w:id="175"/>
      <w:bookmarkEnd w:id="176"/>
      <w:bookmarkEnd w:id="177"/>
    </w:p>
    <w:p w14:paraId="102C0A50">
      <w:pPr>
        <w:pStyle w:val="5"/>
        <w:keepNext w:val="0"/>
        <w:keepLines w:val="0"/>
        <w:pageBreakBefore w:val="0"/>
        <w:widowControl w:val="0"/>
        <w:kinsoku/>
        <w:wordWrap/>
        <w:overflowPunct/>
        <w:topLinePunct w:val="0"/>
        <w:bidi w:val="0"/>
        <w:snapToGrid/>
        <w:spacing w:before="0" w:after="0" w:line="240" w:lineRule="atLeast"/>
        <w:ind w:left="964" w:leftChars="0" w:hanging="964" w:hangingChars="400"/>
        <w:textAlignment w:val="auto"/>
        <w:rPr>
          <w:rFonts w:hint="eastAsia" w:ascii="宋体" w:hAnsi="宋体" w:eastAsia="宋体" w:cs="宋体"/>
          <w:color w:val="auto"/>
          <w:highlight w:val="none"/>
          <w:u w:val="none"/>
        </w:rPr>
      </w:pPr>
      <w:bookmarkStart w:id="178" w:name="_Toc23762"/>
      <w:bookmarkStart w:id="179" w:name="_Toc520356170"/>
      <w:bookmarkStart w:id="180" w:name="_Toc28066"/>
      <w:bookmarkStart w:id="181" w:name="_Toc23617"/>
      <w:bookmarkStart w:id="182" w:name="_Toc515647788"/>
      <w:bookmarkStart w:id="183" w:name="_Ref467307010"/>
      <w:r>
        <w:rPr>
          <w:rFonts w:hint="eastAsia" w:ascii="宋体" w:hAnsi="宋体" w:eastAsia="宋体" w:cs="宋体"/>
          <w:color w:val="auto"/>
          <w:highlight w:val="none"/>
          <w:u w:val="none"/>
        </w:rPr>
        <w:t>26.中标候选人的确定原则及标准</w:t>
      </w:r>
      <w:bookmarkEnd w:id="178"/>
      <w:bookmarkEnd w:id="179"/>
      <w:bookmarkEnd w:id="180"/>
      <w:bookmarkEnd w:id="181"/>
      <w:bookmarkEnd w:id="182"/>
      <w:bookmarkEnd w:id="183"/>
    </w:p>
    <w:p w14:paraId="518EE65A">
      <w:pPr>
        <w:spacing w:line="240" w:lineRule="atLeast"/>
        <w:ind w:left="840" w:hanging="840" w:hangingChars="350"/>
        <w:rPr>
          <w:rFonts w:hint="eastAsia" w:ascii="宋体" w:hAnsi="宋体" w:cs="宋体"/>
          <w:color w:val="auto"/>
          <w:sz w:val="24"/>
        </w:rPr>
      </w:pPr>
      <w:bookmarkStart w:id="184" w:name="_Toc520356171"/>
      <w:bookmarkStart w:id="185" w:name="_Toc9653"/>
      <w:bookmarkStart w:id="186" w:name="_Toc23951"/>
      <w:bookmarkStart w:id="187" w:name="_Toc515647789"/>
      <w:bookmarkStart w:id="188" w:name="_Toc19950"/>
      <w:r>
        <w:rPr>
          <w:rFonts w:hint="eastAsia" w:ascii="宋体" w:hAnsi="宋体" w:cs="宋体"/>
          <w:color w:val="auto"/>
          <w:sz w:val="24"/>
        </w:rPr>
        <w:t>26.1   除第28条规定外，对实质上响应磋商文件的投标人按下列方法进行排序，确定投标候选人：</w:t>
      </w:r>
    </w:p>
    <w:p w14:paraId="7BEDDA6E">
      <w:pPr>
        <w:pStyle w:val="16"/>
        <w:spacing w:line="240" w:lineRule="atLeast"/>
        <w:ind w:left="840" w:leftChars="400"/>
        <w:rPr>
          <w:rFonts w:hint="eastAsia" w:hAnsi="宋体" w:cs="宋体"/>
          <w:color w:val="auto"/>
          <w:sz w:val="24"/>
          <w:szCs w:val="24"/>
        </w:rPr>
      </w:pPr>
      <w:r>
        <w:rPr>
          <w:rFonts w:hint="eastAsia" w:hAnsi="宋体" w:cs="宋体"/>
          <w:color w:val="auto"/>
          <w:sz w:val="24"/>
          <w:szCs w:val="24"/>
        </w:rPr>
        <w:t>采用综合评分法的，评审后得分最高的投标人获得中标人推荐资格；评审得分相同的，由采购人或者采购人委托评标委员会按照磋商文件中评标办法规定的方式确定一个投标人获得中标人推荐资格。</w:t>
      </w:r>
    </w:p>
    <w:p w14:paraId="5536898C">
      <w:pPr>
        <w:pStyle w:val="16"/>
        <w:spacing w:line="240" w:lineRule="atLeast"/>
        <w:ind w:left="840" w:leftChars="400"/>
        <w:rPr>
          <w:rFonts w:hint="eastAsia" w:hAnsi="宋体" w:cs="宋体"/>
          <w:b/>
          <w:bCs/>
          <w:color w:val="auto"/>
          <w:sz w:val="24"/>
          <w:szCs w:val="24"/>
        </w:rPr>
      </w:pPr>
      <w:r>
        <w:rPr>
          <w:rFonts w:hint="eastAsia" w:hAnsi="宋体" w:cs="宋体"/>
          <w:b/>
          <w:bCs/>
          <w:color w:val="auto"/>
          <w:sz w:val="24"/>
          <w:szCs w:val="24"/>
        </w:rPr>
        <w:t>综合评分法，是指响应文件满足磋商文件全部实质性要求，且按照评审因素的量化指标评审得分最高的投标人为中标候选人的评标方法。</w:t>
      </w:r>
    </w:p>
    <w:p w14:paraId="44D8BB6F">
      <w:pPr>
        <w:pStyle w:val="5"/>
        <w:keepNext w:val="0"/>
        <w:keepLines w:val="0"/>
        <w:pageBreakBefore w:val="0"/>
        <w:widowControl w:val="0"/>
        <w:tabs>
          <w:tab w:val="left" w:pos="900"/>
        </w:tabs>
        <w:kinsoku/>
        <w:wordWrap/>
        <w:overflowPunct/>
        <w:topLinePunct w:val="0"/>
        <w:bidi w:val="0"/>
        <w:snapToGrid/>
        <w:spacing w:before="0" w:after="0" w:line="240" w:lineRule="atLeast"/>
        <w:ind w:left="964" w:leftChars="0" w:hanging="964" w:hangingChars="400"/>
        <w:textAlignment w:val="auto"/>
        <w:rPr>
          <w:rFonts w:hint="eastAsia" w:ascii="宋体" w:hAnsi="宋体" w:eastAsia="宋体" w:cs="宋体"/>
          <w:color w:val="auto"/>
          <w:highlight w:val="none"/>
          <w:u w:val="none"/>
        </w:rPr>
      </w:pPr>
      <w:r>
        <w:rPr>
          <w:rFonts w:hint="eastAsia" w:ascii="宋体" w:hAnsi="宋体" w:eastAsia="宋体" w:cs="宋体"/>
          <w:color w:val="auto"/>
          <w:highlight w:val="none"/>
          <w:u w:val="none"/>
        </w:rPr>
        <w:t>27</w:t>
      </w:r>
      <w:bookmarkEnd w:id="184"/>
      <w:r>
        <w:rPr>
          <w:rFonts w:hint="eastAsia" w:ascii="宋体" w:hAnsi="宋体" w:eastAsia="宋体" w:cs="宋体"/>
          <w:color w:val="auto"/>
          <w:highlight w:val="none"/>
          <w:u w:val="none"/>
        </w:rPr>
        <w:t>.确定中标候选人和中标人</w:t>
      </w:r>
      <w:bookmarkEnd w:id="185"/>
      <w:bookmarkEnd w:id="186"/>
      <w:bookmarkEnd w:id="187"/>
      <w:bookmarkEnd w:id="188"/>
    </w:p>
    <w:p w14:paraId="67B23F26">
      <w:pPr>
        <w:spacing w:line="240" w:lineRule="atLeast"/>
        <w:ind w:left="840" w:hanging="840" w:hangingChars="350"/>
        <w:rPr>
          <w:rFonts w:hint="eastAsia" w:ascii="宋体" w:hAnsi="宋体" w:cs="宋体"/>
          <w:color w:val="auto"/>
          <w:sz w:val="24"/>
          <w:highlight w:val="none"/>
        </w:rPr>
      </w:pPr>
      <w:bookmarkStart w:id="189" w:name="_Ref467306874"/>
      <w:bookmarkStart w:id="190" w:name="_Toc520356173"/>
      <w:bookmarkStart w:id="191" w:name="_Toc13782"/>
      <w:bookmarkStart w:id="192" w:name="_Toc28562"/>
      <w:bookmarkStart w:id="193" w:name="_Toc515647790"/>
      <w:bookmarkStart w:id="194" w:name="_Toc8389"/>
      <w:r>
        <w:rPr>
          <w:rFonts w:hint="eastAsia" w:ascii="宋体" w:hAnsi="宋体" w:cs="宋体"/>
          <w:color w:val="auto"/>
          <w:sz w:val="24"/>
          <w:highlight w:val="none"/>
        </w:rPr>
        <w:t>27.1   评标委员会将根据评标标准，按</w:t>
      </w:r>
      <w:r>
        <w:rPr>
          <w:rFonts w:hint="eastAsia" w:ascii="宋体" w:hAnsi="宋体" w:cs="宋体"/>
          <w:color w:val="auto"/>
          <w:sz w:val="24"/>
          <w:highlight w:val="none"/>
          <w:u w:val="single"/>
        </w:rPr>
        <w:t>投标人须知资料表</w:t>
      </w:r>
      <w:r>
        <w:rPr>
          <w:rFonts w:hint="eastAsia" w:ascii="宋体" w:hAnsi="宋体" w:cs="宋体"/>
          <w:color w:val="auto"/>
          <w:sz w:val="24"/>
          <w:highlight w:val="none"/>
        </w:rPr>
        <w:t>中规定数量推荐中标候选人。</w:t>
      </w:r>
    </w:p>
    <w:p w14:paraId="6C34C20B">
      <w:pPr>
        <w:pStyle w:val="5"/>
        <w:keepNext w:val="0"/>
        <w:keepLines w:val="0"/>
        <w:pageBreakBefore w:val="0"/>
        <w:widowControl w:val="0"/>
        <w:tabs>
          <w:tab w:val="left" w:pos="900"/>
        </w:tabs>
        <w:kinsoku/>
        <w:wordWrap/>
        <w:overflowPunct/>
        <w:topLinePunct w:val="0"/>
        <w:bidi w:val="0"/>
        <w:snapToGrid/>
        <w:spacing w:before="0" w:after="0" w:line="240" w:lineRule="atLeast"/>
        <w:ind w:left="964" w:leftChars="0" w:hanging="964" w:hangingChars="400"/>
        <w:textAlignment w:val="auto"/>
        <w:rPr>
          <w:rFonts w:hint="eastAsia" w:ascii="宋体" w:hAnsi="宋体" w:eastAsia="宋体" w:cs="宋体"/>
          <w:color w:val="auto"/>
          <w:highlight w:val="none"/>
          <w:u w:val="none"/>
        </w:rPr>
      </w:pPr>
      <w:r>
        <w:rPr>
          <w:rFonts w:hint="eastAsia" w:ascii="宋体" w:hAnsi="宋体" w:eastAsia="宋体" w:cs="宋体"/>
          <w:color w:val="auto"/>
          <w:highlight w:val="none"/>
          <w:u w:val="none"/>
        </w:rPr>
        <w:t>28.</w:t>
      </w:r>
      <w:bookmarkEnd w:id="189"/>
      <w:bookmarkEnd w:id="190"/>
      <w:r>
        <w:rPr>
          <w:rFonts w:hint="eastAsia" w:ascii="宋体" w:hAnsi="宋体" w:eastAsia="宋体" w:cs="宋体"/>
          <w:color w:val="auto"/>
          <w:highlight w:val="none"/>
          <w:u w:val="none"/>
        </w:rPr>
        <w:t>采购任务取消</w:t>
      </w:r>
      <w:bookmarkEnd w:id="191"/>
      <w:bookmarkEnd w:id="192"/>
      <w:bookmarkEnd w:id="193"/>
      <w:bookmarkEnd w:id="194"/>
    </w:p>
    <w:p w14:paraId="4F932BA4">
      <w:pPr>
        <w:spacing w:line="240" w:lineRule="atLeast"/>
        <w:ind w:left="840" w:hanging="840" w:hangingChars="350"/>
        <w:rPr>
          <w:rFonts w:hint="eastAsia" w:ascii="宋体" w:hAnsi="宋体" w:cs="宋体"/>
          <w:color w:val="auto"/>
          <w:sz w:val="24"/>
          <w:highlight w:val="none"/>
        </w:rPr>
      </w:pPr>
      <w:bookmarkStart w:id="195" w:name="_Toc520356174"/>
      <w:bookmarkStart w:id="196" w:name="_Toc30170"/>
      <w:bookmarkStart w:id="197" w:name="_Toc515647791"/>
      <w:bookmarkStart w:id="198" w:name="_Toc31099"/>
      <w:bookmarkStart w:id="199" w:name="_Toc31142"/>
      <w:r>
        <w:rPr>
          <w:rFonts w:hint="eastAsia" w:ascii="宋体" w:hAnsi="宋体" w:cs="宋体"/>
          <w:color w:val="auto"/>
          <w:sz w:val="24"/>
          <w:highlight w:val="none"/>
        </w:rPr>
        <w:t>28.1   因重大变故采购任务取消时，采购人有权拒绝任何投标人中标，且对受影响的投标人不承担任何责任。</w:t>
      </w:r>
    </w:p>
    <w:p w14:paraId="77DF1EF2">
      <w:pPr>
        <w:pStyle w:val="5"/>
        <w:keepNext w:val="0"/>
        <w:keepLines w:val="0"/>
        <w:pageBreakBefore w:val="0"/>
        <w:widowControl w:val="0"/>
        <w:kinsoku/>
        <w:wordWrap/>
        <w:overflowPunct/>
        <w:topLinePunct w:val="0"/>
        <w:bidi w:val="0"/>
        <w:snapToGrid/>
        <w:spacing w:before="0" w:after="0" w:line="240" w:lineRule="atLeast"/>
        <w:ind w:left="964" w:leftChars="0" w:hanging="964" w:hangingChars="400"/>
        <w:textAlignment w:val="auto"/>
        <w:rPr>
          <w:rFonts w:hint="eastAsia" w:ascii="宋体" w:hAnsi="宋体" w:eastAsia="宋体" w:cs="宋体"/>
          <w:color w:val="auto"/>
          <w:highlight w:val="none"/>
          <w:u w:val="none"/>
        </w:rPr>
      </w:pPr>
      <w:r>
        <w:rPr>
          <w:rFonts w:hint="eastAsia" w:ascii="宋体" w:hAnsi="宋体" w:eastAsia="宋体" w:cs="宋体"/>
          <w:color w:val="auto"/>
          <w:highlight w:val="none"/>
          <w:u w:val="none"/>
        </w:rPr>
        <w:t>29.</w:t>
      </w:r>
      <w:bookmarkEnd w:id="195"/>
      <w:r>
        <w:rPr>
          <w:rFonts w:hint="eastAsia" w:hAnsi="宋体" w:cs="宋体"/>
          <w:color w:val="auto"/>
          <w:szCs w:val="24"/>
          <w:highlight w:val="none"/>
          <w:u w:val="none"/>
        </w:rPr>
        <w:t>成交通知书</w:t>
      </w:r>
      <w:r>
        <w:rPr>
          <w:rFonts w:hint="eastAsia" w:ascii="宋体" w:hAnsi="宋体" w:eastAsia="宋体" w:cs="宋体"/>
          <w:color w:val="auto"/>
          <w:highlight w:val="none"/>
          <w:u w:val="none"/>
        </w:rPr>
        <w:t>和结果通知书</w:t>
      </w:r>
      <w:bookmarkEnd w:id="196"/>
      <w:bookmarkEnd w:id="197"/>
      <w:bookmarkEnd w:id="198"/>
      <w:bookmarkEnd w:id="199"/>
    </w:p>
    <w:p w14:paraId="1DCB0213">
      <w:pPr>
        <w:spacing w:line="240" w:lineRule="atLeast"/>
        <w:ind w:left="840" w:hanging="840" w:hangingChars="350"/>
        <w:rPr>
          <w:rFonts w:hint="eastAsia" w:ascii="宋体" w:hAnsi="宋体" w:cs="宋体"/>
          <w:color w:val="auto"/>
          <w:sz w:val="24"/>
          <w:highlight w:val="none"/>
        </w:rPr>
      </w:pPr>
      <w:r>
        <w:rPr>
          <w:rFonts w:hint="eastAsia" w:ascii="宋体" w:hAnsi="宋体" w:cs="宋体"/>
          <w:color w:val="auto"/>
          <w:sz w:val="24"/>
          <w:highlight w:val="none"/>
        </w:rPr>
        <w:t>29.1   在投标有效期内，</w:t>
      </w:r>
      <w:r>
        <w:rPr>
          <w:rFonts w:hint="eastAsia" w:ascii="宋体" w:hAnsi="宋体" w:cs="宋体"/>
          <w:color w:val="auto"/>
          <w:sz w:val="24"/>
          <w:highlight w:val="none"/>
          <w:lang w:val="en-US" w:eastAsia="zh-CN"/>
        </w:rPr>
        <w:t>成交投标人</w:t>
      </w:r>
      <w:r>
        <w:rPr>
          <w:rFonts w:hint="eastAsia" w:ascii="宋体" w:hAnsi="宋体" w:cs="宋体"/>
          <w:color w:val="auto"/>
          <w:sz w:val="24"/>
          <w:highlight w:val="none"/>
        </w:rPr>
        <w:t>确定后，采购人或者采购代理机构发布中标公告，同时以书面形式向</w:t>
      </w:r>
      <w:r>
        <w:rPr>
          <w:rFonts w:hint="eastAsia" w:ascii="宋体" w:hAnsi="宋体" w:cs="宋体"/>
          <w:color w:val="auto"/>
          <w:sz w:val="24"/>
          <w:highlight w:val="none"/>
          <w:lang w:val="en-US" w:eastAsia="zh-CN"/>
        </w:rPr>
        <w:t>成交投标人</w:t>
      </w:r>
      <w:r>
        <w:rPr>
          <w:rFonts w:hint="eastAsia" w:ascii="宋体" w:hAnsi="宋体" w:cs="宋体"/>
          <w:color w:val="auto"/>
          <w:sz w:val="24"/>
          <w:highlight w:val="none"/>
        </w:rPr>
        <w:t>发出成交通知书。</w:t>
      </w:r>
    </w:p>
    <w:p w14:paraId="282F4458">
      <w:pPr>
        <w:spacing w:line="240" w:lineRule="atLeast"/>
        <w:ind w:left="840" w:hanging="840" w:hangingChars="350"/>
        <w:rPr>
          <w:rFonts w:hint="eastAsia" w:ascii="宋体" w:hAnsi="宋体" w:cs="宋体"/>
          <w:color w:val="auto"/>
          <w:sz w:val="24"/>
          <w:highlight w:val="none"/>
        </w:rPr>
      </w:pPr>
      <w:r>
        <w:rPr>
          <w:rFonts w:hint="eastAsia" w:ascii="宋体" w:hAnsi="宋体" w:cs="宋体"/>
          <w:color w:val="auto"/>
          <w:sz w:val="24"/>
          <w:highlight w:val="none"/>
        </w:rPr>
        <w:t>29.2   成交通知书是合同的组成部分。</w:t>
      </w:r>
    </w:p>
    <w:p w14:paraId="56DF8931">
      <w:pPr>
        <w:spacing w:line="240" w:lineRule="atLeast"/>
        <w:ind w:left="840" w:hanging="840" w:hangingChars="350"/>
        <w:rPr>
          <w:rFonts w:hint="eastAsia" w:ascii="宋体" w:hAnsi="宋体" w:eastAsia="宋体" w:cs="宋体"/>
          <w:color w:val="auto"/>
          <w:sz w:val="24"/>
        </w:rPr>
      </w:pPr>
      <w:r>
        <w:rPr>
          <w:rFonts w:hint="eastAsia" w:ascii="宋体" w:hAnsi="宋体" w:eastAsia="宋体" w:cs="宋体"/>
          <w:color w:val="auto"/>
          <w:sz w:val="24"/>
          <w:highlight w:val="none"/>
        </w:rPr>
        <w:t>29.3   结果通知书和成交通知书同时发出。结果通知书中将告知未通过资格审查的投标人未通过的原因</w:t>
      </w:r>
      <w:r>
        <w:rPr>
          <w:rFonts w:hint="eastAsia" w:ascii="宋体" w:hAnsi="宋体" w:eastAsia="宋体" w:cs="宋体"/>
          <w:color w:val="auto"/>
          <w:sz w:val="24"/>
        </w:rPr>
        <w:t>；采用综合评分法评审的，还将告知未中标人本人的评审得分和排序。</w:t>
      </w:r>
    </w:p>
    <w:p w14:paraId="3675D858">
      <w:pPr>
        <w:pStyle w:val="5"/>
        <w:keepNext w:val="0"/>
        <w:keepLines w:val="0"/>
        <w:pageBreakBefore w:val="0"/>
        <w:widowControl w:val="0"/>
        <w:kinsoku/>
        <w:wordWrap/>
        <w:overflowPunct/>
        <w:topLinePunct w:val="0"/>
        <w:bidi w:val="0"/>
        <w:snapToGrid/>
        <w:spacing w:before="0" w:after="0" w:line="240" w:lineRule="atLeast"/>
        <w:ind w:left="964" w:leftChars="0" w:hanging="964" w:hangingChars="400"/>
        <w:textAlignment w:val="auto"/>
        <w:rPr>
          <w:rFonts w:hint="eastAsia" w:ascii="宋体" w:hAnsi="宋体" w:eastAsia="宋体" w:cs="宋体"/>
          <w:color w:val="auto"/>
          <w:highlight w:val="none"/>
          <w:u w:val="none"/>
        </w:rPr>
      </w:pPr>
      <w:bookmarkStart w:id="200" w:name="_Toc7779"/>
      <w:bookmarkStart w:id="201" w:name="_Toc515647792"/>
      <w:bookmarkStart w:id="202" w:name="_Toc520356175"/>
      <w:bookmarkStart w:id="203" w:name="_Ref467307204"/>
      <w:bookmarkStart w:id="204" w:name="_Ref467306978"/>
      <w:bookmarkStart w:id="205" w:name="_Toc14795"/>
      <w:bookmarkStart w:id="206" w:name="_Ref467307062"/>
      <w:bookmarkStart w:id="207" w:name="_Ref467306377"/>
      <w:bookmarkStart w:id="208" w:name="_Toc790"/>
      <w:r>
        <w:rPr>
          <w:rFonts w:hint="eastAsia" w:ascii="宋体" w:hAnsi="宋体" w:eastAsia="宋体" w:cs="宋体"/>
          <w:color w:val="auto"/>
          <w:highlight w:val="none"/>
          <w:u w:val="none"/>
        </w:rPr>
        <w:t>30.签订合同</w:t>
      </w:r>
      <w:bookmarkEnd w:id="200"/>
      <w:bookmarkEnd w:id="201"/>
      <w:bookmarkEnd w:id="202"/>
      <w:bookmarkEnd w:id="203"/>
      <w:bookmarkEnd w:id="204"/>
      <w:bookmarkEnd w:id="205"/>
      <w:bookmarkEnd w:id="206"/>
      <w:bookmarkEnd w:id="207"/>
      <w:bookmarkEnd w:id="208"/>
    </w:p>
    <w:p w14:paraId="4007CE3A">
      <w:pPr>
        <w:spacing w:line="240" w:lineRule="atLeast"/>
        <w:ind w:left="840" w:hanging="840" w:hangingChars="350"/>
        <w:rPr>
          <w:rFonts w:hint="eastAsia" w:ascii="宋体" w:hAnsi="宋体" w:cs="宋体"/>
          <w:color w:val="auto"/>
          <w:sz w:val="24"/>
        </w:rPr>
      </w:pPr>
      <w:bookmarkStart w:id="209" w:name="_Toc520356176"/>
      <w:bookmarkStart w:id="210" w:name="_Toc515647793"/>
      <w:bookmarkStart w:id="211" w:name="_Ref467307090"/>
      <w:bookmarkStart w:id="212" w:name="_Toc22555"/>
      <w:bookmarkStart w:id="213" w:name="_Toc7188"/>
      <w:bookmarkStart w:id="214" w:name="_Toc14080"/>
      <w:bookmarkStart w:id="215" w:name="_Ref467306425"/>
      <w:r>
        <w:rPr>
          <w:rFonts w:hint="eastAsia" w:ascii="宋体" w:hAnsi="宋体" w:cs="宋体"/>
          <w:color w:val="auto"/>
          <w:sz w:val="24"/>
        </w:rPr>
        <w:t>30.1   中标人应当自发出成交通知书</w:t>
      </w:r>
      <w:r>
        <w:rPr>
          <w:rFonts w:hint="eastAsia" w:ascii="宋体" w:hAnsi="宋体" w:cs="宋体"/>
          <w:color w:val="auto"/>
          <w:sz w:val="24"/>
          <w:highlight w:val="none"/>
        </w:rPr>
        <w:t>之日起30日内</w:t>
      </w:r>
      <w:r>
        <w:rPr>
          <w:rFonts w:hint="eastAsia" w:ascii="宋体" w:hAnsi="宋体" w:cs="宋体"/>
          <w:color w:val="auto"/>
          <w:sz w:val="24"/>
        </w:rPr>
        <w:t>，与采购人签订合同。</w:t>
      </w:r>
    </w:p>
    <w:p w14:paraId="6536B078">
      <w:pPr>
        <w:spacing w:line="240" w:lineRule="atLeast"/>
        <w:ind w:left="840" w:hanging="840" w:hangingChars="350"/>
        <w:rPr>
          <w:rFonts w:hint="eastAsia" w:ascii="宋体" w:hAnsi="宋体" w:cs="宋体"/>
          <w:color w:val="auto"/>
          <w:sz w:val="24"/>
        </w:rPr>
      </w:pPr>
      <w:r>
        <w:rPr>
          <w:rFonts w:hint="eastAsia" w:ascii="宋体" w:hAnsi="宋体" w:cs="宋体"/>
          <w:color w:val="auto"/>
          <w:sz w:val="24"/>
        </w:rPr>
        <w:t>30.2   磋商文件、中标人的响应文件及其澄清文件等，均为签订合同的依据。</w:t>
      </w:r>
    </w:p>
    <w:p w14:paraId="59B83D20">
      <w:pPr>
        <w:spacing w:line="240" w:lineRule="atLeast"/>
        <w:ind w:left="840" w:hanging="840" w:hangingChars="350"/>
        <w:rPr>
          <w:rFonts w:hint="eastAsia" w:ascii="宋体" w:hAnsi="宋体" w:cs="宋体"/>
          <w:color w:val="auto"/>
          <w:sz w:val="24"/>
        </w:rPr>
      </w:pPr>
      <w:r>
        <w:rPr>
          <w:rFonts w:hint="eastAsia" w:ascii="宋体" w:hAnsi="宋体" w:cs="宋体"/>
          <w:color w:val="auto"/>
          <w:sz w:val="24"/>
        </w:rPr>
        <w:t>30.3   中标人拒绝与采购人签订合同的，采购人可以按照评审报告推荐的中标候选人名单排序，确定下一中标候选人为中标人，也可以重新开展政府采购活动。</w:t>
      </w:r>
    </w:p>
    <w:p w14:paraId="09DBB5FC">
      <w:pPr>
        <w:spacing w:line="240" w:lineRule="atLeast"/>
        <w:ind w:left="840" w:hanging="840" w:hangingChars="350"/>
        <w:rPr>
          <w:rFonts w:hint="eastAsia" w:ascii="宋体" w:hAnsi="宋体" w:cs="宋体"/>
          <w:color w:val="auto"/>
          <w:sz w:val="24"/>
        </w:rPr>
      </w:pPr>
      <w:r>
        <w:rPr>
          <w:rFonts w:hint="eastAsia" w:ascii="宋体" w:hAnsi="宋体" w:cs="宋体"/>
          <w:color w:val="auto"/>
          <w:sz w:val="24"/>
        </w:rPr>
        <w:t>30.4   当出现法规规定的</w:t>
      </w:r>
      <w:r>
        <w:rPr>
          <w:rFonts w:hint="eastAsia" w:ascii="宋体" w:hAnsi="宋体" w:cs="宋体"/>
          <w:b/>
          <w:color w:val="auto"/>
          <w:sz w:val="24"/>
        </w:rPr>
        <w:t>中标无效或中标结果无效</w:t>
      </w:r>
      <w:r>
        <w:rPr>
          <w:rFonts w:hint="eastAsia" w:ascii="宋体" w:hAnsi="宋体" w:cs="宋体"/>
          <w:color w:val="auto"/>
          <w:sz w:val="24"/>
        </w:rPr>
        <w:t>情形时，采购人可与排名下一位的中标候选人另行签订合同，或依法重新开展采购活动。</w:t>
      </w:r>
    </w:p>
    <w:p w14:paraId="4CE70B4D">
      <w:pPr>
        <w:pStyle w:val="5"/>
        <w:keepNext w:val="0"/>
        <w:keepLines w:val="0"/>
        <w:pageBreakBefore w:val="0"/>
        <w:widowControl w:val="0"/>
        <w:kinsoku/>
        <w:wordWrap/>
        <w:overflowPunct/>
        <w:topLinePunct w:val="0"/>
        <w:bidi w:val="0"/>
        <w:snapToGrid/>
        <w:spacing w:before="0" w:after="0" w:line="240" w:lineRule="atLeast"/>
        <w:ind w:left="964" w:leftChars="0" w:hanging="964" w:hangingChars="400"/>
        <w:textAlignment w:val="auto"/>
        <w:rPr>
          <w:rFonts w:hint="eastAsia" w:ascii="宋体" w:hAnsi="宋体" w:eastAsia="宋体" w:cs="宋体"/>
          <w:color w:val="auto"/>
          <w:highlight w:val="none"/>
          <w:u w:val="none"/>
        </w:rPr>
      </w:pPr>
      <w:r>
        <w:rPr>
          <w:rFonts w:hint="eastAsia" w:ascii="宋体" w:hAnsi="宋体" w:eastAsia="宋体" w:cs="宋体"/>
          <w:color w:val="auto"/>
          <w:highlight w:val="none"/>
          <w:u w:val="none"/>
        </w:rPr>
        <w:t>31.履约保证金</w:t>
      </w:r>
      <w:bookmarkEnd w:id="209"/>
      <w:bookmarkEnd w:id="210"/>
      <w:bookmarkEnd w:id="211"/>
      <w:bookmarkEnd w:id="212"/>
      <w:bookmarkEnd w:id="213"/>
      <w:bookmarkEnd w:id="214"/>
      <w:bookmarkEnd w:id="215"/>
    </w:p>
    <w:p w14:paraId="10655950">
      <w:pPr>
        <w:spacing w:line="240" w:lineRule="atLeast"/>
        <w:ind w:left="840" w:hanging="840" w:hangingChars="350"/>
        <w:rPr>
          <w:rFonts w:hint="eastAsia" w:ascii="宋体" w:hAnsi="宋体" w:cs="宋体"/>
          <w:color w:val="auto"/>
          <w:sz w:val="24"/>
          <w:highlight w:val="none"/>
        </w:rPr>
      </w:pPr>
      <w:bookmarkStart w:id="216" w:name="_Toc515647794"/>
      <w:bookmarkStart w:id="217" w:name="_Toc29408"/>
      <w:bookmarkStart w:id="218" w:name="_Toc3090"/>
      <w:bookmarkStart w:id="219" w:name="_Toc31936"/>
      <w:r>
        <w:rPr>
          <w:rFonts w:hint="eastAsia" w:ascii="宋体" w:hAnsi="宋体" w:cs="宋体"/>
          <w:color w:val="auto"/>
          <w:sz w:val="24"/>
          <w:highlight w:val="none"/>
        </w:rPr>
        <w:t xml:space="preserve">31.1   </w:t>
      </w:r>
      <w:r>
        <w:rPr>
          <w:rFonts w:hint="eastAsia" w:ascii="宋体" w:hAnsi="宋体" w:cs="宋体"/>
          <w:color w:val="auto"/>
          <w:sz w:val="24"/>
          <w:highlight w:val="none"/>
          <w:lang w:val="en-US" w:eastAsia="zh-CN"/>
        </w:rPr>
        <w:t>成交投标人</w:t>
      </w:r>
      <w:r>
        <w:rPr>
          <w:rFonts w:hint="eastAsia" w:ascii="宋体" w:hAnsi="宋体" w:cs="宋体"/>
          <w:color w:val="auto"/>
          <w:sz w:val="24"/>
          <w:highlight w:val="none"/>
        </w:rPr>
        <w:t>应按照</w:t>
      </w:r>
      <w:r>
        <w:rPr>
          <w:rFonts w:hint="eastAsia" w:ascii="宋体" w:hAnsi="宋体" w:cs="宋体"/>
          <w:color w:val="auto"/>
          <w:sz w:val="24"/>
          <w:highlight w:val="none"/>
          <w:u w:val="single"/>
        </w:rPr>
        <w:t>投标人须知资料表</w:t>
      </w:r>
      <w:r>
        <w:rPr>
          <w:rFonts w:hint="eastAsia" w:ascii="宋体" w:hAnsi="宋体" w:cs="宋体"/>
          <w:color w:val="auto"/>
          <w:sz w:val="24"/>
          <w:highlight w:val="none"/>
        </w:rPr>
        <w:t>规定向采购人缴纳履约保证金。</w:t>
      </w:r>
    </w:p>
    <w:p w14:paraId="4C9C307E">
      <w:pPr>
        <w:spacing w:line="240" w:lineRule="atLeast"/>
        <w:ind w:left="840" w:hanging="840" w:hangingChars="350"/>
        <w:rPr>
          <w:rFonts w:hint="eastAsia" w:ascii="宋体" w:hAnsi="宋体" w:cs="宋体"/>
          <w:color w:val="auto"/>
          <w:sz w:val="24"/>
          <w:highlight w:val="none"/>
        </w:rPr>
      </w:pPr>
      <w:r>
        <w:rPr>
          <w:rFonts w:hint="eastAsia" w:ascii="宋体" w:hAnsi="宋体" w:cs="宋体"/>
          <w:color w:val="auto"/>
          <w:sz w:val="24"/>
          <w:highlight w:val="none"/>
        </w:rPr>
        <w:t>31.2   政府采购利用担保试点范围内的项目，除31.1规定的情形外，</w:t>
      </w:r>
      <w:r>
        <w:rPr>
          <w:rFonts w:hint="eastAsia" w:ascii="宋体" w:hAnsi="宋体" w:cs="宋体"/>
          <w:color w:val="auto"/>
          <w:sz w:val="24"/>
          <w:highlight w:val="none"/>
          <w:lang w:val="en-US" w:eastAsia="zh-CN"/>
        </w:rPr>
        <w:t>成交投标人</w:t>
      </w:r>
      <w:r>
        <w:rPr>
          <w:rFonts w:hint="eastAsia" w:ascii="宋体" w:hAnsi="宋体" w:cs="宋体"/>
          <w:color w:val="auto"/>
          <w:sz w:val="24"/>
          <w:highlight w:val="none"/>
        </w:rPr>
        <w:t>也可以按照财政部门的规定，向采购人提供合格的履约担保函。</w:t>
      </w:r>
    </w:p>
    <w:p w14:paraId="1765D481">
      <w:pPr>
        <w:spacing w:line="240" w:lineRule="atLeast"/>
        <w:ind w:left="840" w:hanging="840" w:hangingChars="350"/>
        <w:rPr>
          <w:rFonts w:hint="eastAsia" w:ascii="宋体" w:hAnsi="宋体" w:cs="宋体"/>
          <w:color w:val="auto"/>
          <w:sz w:val="24"/>
          <w:highlight w:val="none"/>
        </w:rPr>
      </w:pPr>
      <w:r>
        <w:rPr>
          <w:rFonts w:hint="eastAsia" w:ascii="宋体" w:hAnsi="宋体" w:cs="宋体"/>
          <w:color w:val="auto"/>
          <w:sz w:val="24"/>
          <w:highlight w:val="none"/>
        </w:rPr>
        <w:t>31.3   如果</w:t>
      </w:r>
      <w:r>
        <w:rPr>
          <w:rFonts w:hint="eastAsia" w:ascii="宋体" w:hAnsi="宋体" w:cs="宋体"/>
          <w:color w:val="auto"/>
          <w:sz w:val="24"/>
          <w:highlight w:val="none"/>
          <w:lang w:val="en-US" w:eastAsia="zh-CN"/>
        </w:rPr>
        <w:t>成交投标人</w:t>
      </w:r>
      <w:r>
        <w:rPr>
          <w:rFonts w:hint="eastAsia" w:ascii="宋体" w:hAnsi="宋体" w:cs="宋体"/>
          <w:color w:val="auto"/>
          <w:sz w:val="24"/>
          <w:highlight w:val="none"/>
        </w:rPr>
        <w:t>没有按照上述履约保证金的规定执行，将视为放弃中标资格，</w:t>
      </w:r>
      <w:r>
        <w:rPr>
          <w:rFonts w:hint="eastAsia" w:ascii="宋体" w:hAnsi="宋体" w:cs="宋体"/>
          <w:color w:val="auto"/>
          <w:sz w:val="24"/>
          <w:highlight w:val="none"/>
          <w:lang w:val="en-US" w:eastAsia="zh-CN"/>
        </w:rPr>
        <w:t>成交投标人</w:t>
      </w:r>
      <w:r>
        <w:rPr>
          <w:rFonts w:hint="eastAsia" w:ascii="宋体" w:hAnsi="宋体" w:cs="宋体"/>
          <w:color w:val="auto"/>
          <w:sz w:val="24"/>
          <w:highlight w:val="none"/>
        </w:rPr>
        <w:t>的投标保证金将不予退还。在此情况下，采购人可确定下一候选人为</w:t>
      </w:r>
      <w:r>
        <w:rPr>
          <w:rFonts w:hint="eastAsia" w:ascii="宋体" w:hAnsi="宋体" w:cs="宋体"/>
          <w:color w:val="auto"/>
          <w:sz w:val="24"/>
          <w:highlight w:val="none"/>
          <w:lang w:val="en-US" w:eastAsia="zh-CN"/>
        </w:rPr>
        <w:t>成交投标人</w:t>
      </w:r>
      <w:r>
        <w:rPr>
          <w:rFonts w:hint="eastAsia" w:ascii="宋体" w:hAnsi="宋体" w:cs="宋体"/>
          <w:color w:val="auto"/>
          <w:sz w:val="24"/>
          <w:highlight w:val="none"/>
        </w:rPr>
        <w:t>，也可以重新开展采购活动。</w:t>
      </w:r>
    </w:p>
    <w:p w14:paraId="49406645">
      <w:pPr>
        <w:pStyle w:val="5"/>
        <w:keepNext w:val="0"/>
        <w:keepLines w:val="0"/>
        <w:pageBreakBefore w:val="0"/>
        <w:widowControl w:val="0"/>
        <w:kinsoku/>
        <w:wordWrap/>
        <w:overflowPunct/>
        <w:topLinePunct w:val="0"/>
        <w:bidi w:val="0"/>
        <w:snapToGrid/>
        <w:spacing w:before="0" w:after="0" w:line="240" w:lineRule="atLeast"/>
        <w:ind w:left="964" w:leftChars="0" w:hanging="964" w:hangingChars="400"/>
        <w:textAlignment w:val="auto"/>
        <w:rPr>
          <w:rFonts w:hint="eastAsia" w:ascii="宋体" w:hAnsi="宋体" w:eastAsia="宋体" w:cs="宋体"/>
          <w:color w:val="auto"/>
          <w:highlight w:val="none"/>
          <w:u w:val="none"/>
        </w:rPr>
      </w:pPr>
      <w:r>
        <w:rPr>
          <w:rFonts w:hint="eastAsia" w:ascii="宋体" w:hAnsi="宋体" w:eastAsia="宋体" w:cs="宋体"/>
          <w:color w:val="auto"/>
          <w:highlight w:val="none"/>
          <w:u w:val="none"/>
        </w:rPr>
        <w:t>32.中标服务费</w:t>
      </w:r>
      <w:bookmarkEnd w:id="216"/>
      <w:bookmarkEnd w:id="217"/>
      <w:bookmarkEnd w:id="218"/>
      <w:bookmarkEnd w:id="219"/>
    </w:p>
    <w:p w14:paraId="05C5D9A9">
      <w:pPr>
        <w:spacing w:line="240" w:lineRule="atLeast"/>
        <w:rPr>
          <w:rFonts w:hint="eastAsia" w:ascii="宋体" w:hAnsi="宋体" w:cs="宋体"/>
          <w:b/>
          <w:bCs/>
          <w:color w:val="auto"/>
          <w:sz w:val="24"/>
          <w:highlight w:val="none"/>
        </w:rPr>
      </w:pPr>
      <w:bookmarkStart w:id="220" w:name="_Toc515647795"/>
      <w:bookmarkStart w:id="221" w:name="_Toc13588"/>
      <w:bookmarkStart w:id="222" w:name="_Toc6923"/>
      <w:bookmarkStart w:id="223" w:name="_Toc7049"/>
      <w:r>
        <w:rPr>
          <w:rFonts w:hint="eastAsia" w:ascii="宋体" w:hAnsi="宋体" w:cs="宋体"/>
          <w:color w:val="auto"/>
          <w:sz w:val="24"/>
          <w:highlight w:val="none"/>
        </w:rPr>
        <w:t>32.1   按照相关协议计取，代理费由成交</w:t>
      </w:r>
      <w:r>
        <w:rPr>
          <w:rFonts w:hint="eastAsia" w:ascii="宋体" w:hAnsi="宋体" w:cs="宋体"/>
          <w:color w:val="auto"/>
          <w:sz w:val="24"/>
          <w:highlight w:val="none"/>
          <w:lang w:val="en-US" w:eastAsia="zh-CN"/>
        </w:rPr>
        <w:t>供应商</w:t>
      </w:r>
      <w:r>
        <w:rPr>
          <w:rFonts w:hint="eastAsia" w:ascii="宋体" w:hAnsi="宋体" w:cs="宋体"/>
          <w:color w:val="auto"/>
          <w:sz w:val="24"/>
          <w:highlight w:val="none"/>
        </w:rPr>
        <w:t>支付。</w:t>
      </w:r>
    </w:p>
    <w:p w14:paraId="4E09599D">
      <w:pPr>
        <w:pStyle w:val="5"/>
        <w:keepNext w:val="0"/>
        <w:keepLines w:val="0"/>
        <w:pageBreakBefore w:val="0"/>
        <w:widowControl w:val="0"/>
        <w:kinsoku/>
        <w:wordWrap/>
        <w:overflowPunct/>
        <w:topLinePunct w:val="0"/>
        <w:bidi w:val="0"/>
        <w:snapToGrid/>
        <w:spacing w:before="0" w:after="0" w:line="240" w:lineRule="atLeast"/>
        <w:ind w:left="964" w:leftChars="0" w:hanging="964" w:hangingChars="400"/>
        <w:textAlignment w:val="auto"/>
        <w:rPr>
          <w:rFonts w:hint="eastAsia" w:ascii="宋体" w:hAnsi="宋体" w:eastAsia="宋体" w:cs="宋体"/>
          <w:color w:val="auto"/>
          <w:highlight w:val="none"/>
          <w:u w:val="none"/>
        </w:rPr>
      </w:pPr>
      <w:r>
        <w:rPr>
          <w:rFonts w:hint="eastAsia" w:ascii="宋体" w:hAnsi="宋体" w:eastAsia="宋体" w:cs="宋体"/>
          <w:color w:val="auto"/>
          <w:highlight w:val="none"/>
          <w:u w:val="none"/>
        </w:rPr>
        <w:t>33.政府采购信用担保</w:t>
      </w:r>
      <w:bookmarkEnd w:id="220"/>
      <w:bookmarkEnd w:id="221"/>
      <w:bookmarkEnd w:id="222"/>
      <w:bookmarkEnd w:id="223"/>
    </w:p>
    <w:p w14:paraId="74C95728">
      <w:pPr>
        <w:spacing w:line="240" w:lineRule="atLeast"/>
        <w:ind w:left="840" w:hanging="840" w:hangingChars="350"/>
        <w:rPr>
          <w:rFonts w:hint="eastAsia" w:ascii="宋体" w:hAnsi="宋体" w:cs="宋体"/>
          <w:color w:val="auto"/>
          <w:sz w:val="24"/>
          <w:highlight w:val="none"/>
        </w:rPr>
      </w:pPr>
      <w:bookmarkStart w:id="224" w:name="_Toc27198"/>
      <w:bookmarkStart w:id="225" w:name="_Toc23999"/>
      <w:bookmarkStart w:id="226" w:name="_Toc2133"/>
      <w:bookmarkStart w:id="227" w:name="_Toc515647796"/>
      <w:r>
        <w:rPr>
          <w:rFonts w:hint="eastAsia" w:ascii="宋体" w:hAnsi="宋体" w:cs="宋体"/>
          <w:color w:val="auto"/>
          <w:sz w:val="24"/>
          <w:highlight w:val="none"/>
        </w:rPr>
        <w:t>33.1   本项目是否属于信用担保试点范围见</w:t>
      </w:r>
      <w:r>
        <w:rPr>
          <w:rFonts w:hint="eastAsia" w:ascii="宋体" w:hAnsi="宋体" w:cs="宋体"/>
          <w:color w:val="auto"/>
          <w:sz w:val="24"/>
          <w:highlight w:val="none"/>
          <w:u w:val="single"/>
        </w:rPr>
        <w:t>投标人须知资料表</w:t>
      </w:r>
      <w:r>
        <w:rPr>
          <w:rFonts w:hint="eastAsia" w:ascii="宋体" w:hAnsi="宋体" w:cs="宋体"/>
          <w:color w:val="auto"/>
          <w:sz w:val="24"/>
          <w:highlight w:val="none"/>
        </w:rPr>
        <w:t>。</w:t>
      </w:r>
    </w:p>
    <w:p w14:paraId="6471BC3E">
      <w:pPr>
        <w:spacing w:line="240" w:lineRule="atLeast"/>
        <w:ind w:left="840" w:hanging="840" w:hangingChars="350"/>
        <w:rPr>
          <w:rFonts w:hint="eastAsia" w:ascii="宋体" w:hAnsi="宋体" w:cs="宋体"/>
          <w:color w:val="auto"/>
          <w:sz w:val="24"/>
          <w:highlight w:val="none"/>
        </w:rPr>
      </w:pPr>
      <w:r>
        <w:rPr>
          <w:rFonts w:hint="eastAsia" w:ascii="宋体" w:hAnsi="宋体" w:cs="宋体"/>
          <w:color w:val="auto"/>
          <w:sz w:val="24"/>
          <w:highlight w:val="none"/>
        </w:rPr>
        <w:t>33.2   如属于政府采购信用担保试点范围内，中小型企业投标人可以自由按照财政部门的规定，采用投标担保、履约担保和融资担保。</w:t>
      </w:r>
    </w:p>
    <w:p w14:paraId="2302D777">
      <w:pPr>
        <w:spacing w:line="240" w:lineRule="atLeast"/>
        <w:ind w:left="840" w:hanging="840" w:hangingChars="350"/>
        <w:rPr>
          <w:rFonts w:hint="eastAsia" w:ascii="宋体" w:hAnsi="宋体" w:cs="宋体"/>
          <w:color w:val="auto"/>
          <w:sz w:val="24"/>
          <w:highlight w:val="none"/>
        </w:rPr>
      </w:pPr>
      <w:r>
        <w:rPr>
          <w:rFonts w:hint="eastAsia" w:ascii="宋体" w:hAnsi="宋体" w:cs="宋体"/>
          <w:color w:val="auto"/>
          <w:sz w:val="24"/>
          <w:highlight w:val="none"/>
        </w:rPr>
        <w:t>33.2.1 投标人递交的投标担保函和履约担保函应符合本</w:t>
      </w:r>
      <w:r>
        <w:rPr>
          <w:rFonts w:hint="eastAsia" w:ascii="宋体" w:hAnsi="宋体" w:cs="宋体"/>
          <w:color w:val="auto"/>
          <w:sz w:val="24"/>
          <w:highlight w:val="none"/>
          <w:lang w:eastAsia="zh-CN"/>
        </w:rPr>
        <w:t>磋商文件</w:t>
      </w:r>
      <w:r>
        <w:rPr>
          <w:rFonts w:hint="eastAsia" w:ascii="宋体" w:hAnsi="宋体" w:cs="宋体"/>
          <w:color w:val="auto"/>
          <w:sz w:val="24"/>
          <w:highlight w:val="none"/>
        </w:rPr>
        <w:t>的规定。</w:t>
      </w:r>
    </w:p>
    <w:p w14:paraId="38023E32">
      <w:pPr>
        <w:spacing w:line="240" w:lineRule="atLeast"/>
        <w:ind w:left="840" w:hanging="840" w:hangingChars="350"/>
        <w:rPr>
          <w:rFonts w:hint="eastAsia" w:ascii="宋体" w:hAnsi="宋体" w:cs="宋体"/>
          <w:color w:val="auto"/>
          <w:sz w:val="24"/>
          <w:highlight w:val="none"/>
        </w:rPr>
      </w:pPr>
      <w:r>
        <w:rPr>
          <w:rFonts w:hint="eastAsia" w:ascii="宋体" w:hAnsi="宋体" w:cs="宋体"/>
          <w:color w:val="auto"/>
          <w:sz w:val="24"/>
          <w:highlight w:val="none"/>
        </w:rPr>
        <w:t>33.2.</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 xml:space="preserve"> 合格的政府采购专业信用担保机构名单见</w:t>
      </w:r>
      <w:r>
        <w:rPr>
          <w:rFonts w:hint="eastAsia" w:ascii="宋体" w:hAnsi="宋体" w:cs="宋体"/>
          <w:color w:val="auto"/>
          <w:sz w:val="24"/>
          <w:highlight w:val="none"/>
          <w:u w:val="single"/>
        </w:rPr>
        <w:t>投标人须知资料表</w:t>
      </w:r>
      <w:r>
        <w:rPr>
          <w:rFonts w:hint="eastAsia" w:ascii="宋体" w:hAnsi="宋体" w:cs="宋体"/>
          <w:color w:val="auto"/>
          <w:sz w:val="24"/>
          <w:highlight w:val="none"/>
        </w:rPr>
        <w:t>。</w:t>
      </w:r>
    </w:p>
    <w:p w14:paraId="44218EB9">
      <w:pPr>
        <w:pStyle w:val="5"/>
        <w:keepNext w:val="0"/>
        <w:keepLines w:val="0"/>
        <w:pageBreakBefore w:val="0"/>
        <w:widowControl w:val="0"/>
        <w:kinsoku/>
        <w:wordWrap/>
        <w:overflowPunct/>
        <w:topLinePunct w:val="0"/>
        <w:bidi w:val="0"/>
        <w:snapToGrid/>
        <w:spacing w:before="0" w:after="0" w:line="240" w:lineRule="atLeast"/>
        <w:ind w:left="964" w:leftChars="0" w:hanging="964" w:hangingChars="400"/>
        <w:textAlignment w:val="auto"/>
        <w:rPr>
          <w:rFonts w:hint="eastAsia" w:ascii="宋体" w:hAnsi="宋体" w:eastAsia="宋体" w:cs="宋体"/>
          <w:color w:val="auto"/>
          <w:highlight w:val="none"/>
          <w:u w:val="none"/>
        </w:rPr>
      </w:pPr>
      <w:r>
        <w:rPr>
          <w:rFonts w:hint="eastAsia" w:ascii="宋体" w:hAnsi="宋体" w:eastAsia="宋体" w:cs="宋体"/>
          <w:color w:val="auto"/>
          <w:highlight w:val="none"/>
          <w:u w:val="none"/>
        </w:rPr>
        <w:t>34.廉洁自律规定</w:t>
      </w:r>
      <w:bookmarkEnd w:id="224"/>
      <w:bookmarkEnd w:id="225"/>
      <w:bookmarkEnd w:id="226"/>
      <w:bookmarkEnd w:id="227"/>
    </w:p>
    <w:p w14:paraId="54AF4F9A">
      <w:pPr>
        <w:spacing w:line="240" w:lineRule="atLeast"/>
        <w:ind w:left="840" w:hanging="840" w:hangingChars="350"/>
        <w:rPr>
          <w:rFonts w:hint="eastAsia" w:ascii="宋体" w:hAnsi="宋体" w:cs="宋体"/>
          <w:color w:val="auto"/>
          <w:sz w:val="24"/>
          <w:highlight w:val="none"/>
        </w:rPr>
      </w:pPr>
      <w:bookmarkStart w:id="228" w:name="_Toc10437"/>
      <w:bookmarkStart w:id="229" w:name="_Toc25480"/>
      <w:bookmarkStart w:id="230" w:name="_Toc515647797"/>
      <w:bookmarkStart w:id="231" w:name="_Toc11586"/>
      <w:r>
        <w:rPr>
          <w:rFonts w:hint="eastAsia" w:ascii="宋体" w:hAnsi="宋体" w:cs="宋体"/>
          <w:color w:val="auto"/>
          <w:sz w:val="24"/>
          <w:highlight w:val="none"/>
        </w:rPr>
        <w:t>34.1   采购代理机构工作人员不得以不正当手段获取政府采购代理业务，不得与采购人、</w:t>
      </w:r>
      <w:r>
        <w:rPr>
          <w:rFonts w:hint="eastAsia" w:ascii="宋体" w:hAnsi="宋体" w:cs="宋体"/>
          <w:color w:val="auto"/>
          <w:sz w:val="24"/>
          <w:highlight w:val="none"/>
          <w:lang w:val="en-US" w:eastAsia="zh-CN"/>
        </w:rPr>
        <w:t>投标人</w:t>
      </w:r>
      <w:r>
        <w:rPr>
          <w:rFonts w:hint="eastAsia" w:ascii="宋体" w:hAnsi="宋体" w:cs="宋体"/>
          <w:color w:val="auto"/>
          <w:sz w:val="24"/>
          <w:highlight w:val="none"/>
        </w:rPr>
        <w:t>恶意串通操纵政府采购活动。</w:t>
      </w:r>
    </w:p>
    <w:p w14:paraId="53CDC377">
      <w:pPr>
        <w:spacing w:line="240" w:lineRule="atLeast"/>
        <w:ind w:left="840" w:hanging="840" w:hangingChars="350"/>
        <w:rPr>
          <w:rFonts w:hint="eastAsia" w:ascii="宋体" w:hAnsi="宋体" w:cs="宋体"/>
          <w:color w:val="auto"/>
          <w:sz w:val="24"/>
          <w:highlight w:val="none"/>
        </w:rPr>
      </w:pPr>
      <w:r>
        <w:rPr>
          <w:rFonts w:hint="eastAsia" w:ascii="宋体" w:hAnsi="宋体" w:cs="宋体"/>
          <w:color w:val="auto"/>
          <w:sz w:val="24"/>
          <w:highlight w:val="none"/>
        </w:rPr>
        <w:t>34.2   采购代理机构工作人员不得接受采购人或者</w:t>
      </w:r>
      <w:r>
        <w:rPr>
          <w:rFonts w:hint="eastAsia" w:ascii="宋体" w:hAnsi="宋体" w:cs="宋体"/>
          <w:color w:val="auto"/>
          <w:sz w:val="24"/>
          <w:highlight w:val="none"/>
          <w:lang w:val="en-US" w:eastAsia="zh-CN"/>
        </w:rPr>
        <w:t>投标人</w:t>
      </w:r>
      <w:r>
        <w:rPr>
          <w:rFonts w:hint="eastAsia" w:ascii="宋体" w:hAnsi="宋体" w:cs="宋体"/>
          <w:color w:val="auto"/>
          <w:sz w:val="24"/>
          <w:highlight w:val="none"/>
        </w:rPr>
        <w:t>组织的宴请、旅游、娱乐，不得收受礼品、现金、有价证券等，不得向采购人或者</w:t>
      </w:r>
      <w:r>
        <w:rPr>
          <w:rFonts w:hint="eastAsia" w:ascii="宋体" w:hAnsi="宋体" w:cs="宋体"/>
          <w:color w:val="auto"/>
          <w:sz w:val="24"/>
          <w:highlight w:val="none"/>
          <w:lang w:val="en-US" w:eastAsia="zh-CN"/>
        </w:rPr>
        <w:t>投标人</w:t>
      </w:r>
      <w:r>
        <w:rPr>
          <w:rFonts w:hint="eastAsia" w:ascii="宋体" w:hAnsi="宋体" w:cs="宋体"/>
          <w:color w:val="auto"/>
          <w:sz w:val="24"/>
          <w:highlight w:val="none"/>
        </w:rPr>
        <w:t>报销应当由个人承担的费用。</w:t>
      </w:r>
    </w:p>
    <w:p w14:paraId="54EEC057">
      <w:pPr>
        <w:spacing w:line="240" w:lineRule="atLeast"/>
        <w:ind w:left="840" w:hanging="840" w:hangingChars="350"/>
        <w:rPr>
          <w:rFonts w:hint="eastAsia" w:ascii="宋体" w:hAnsi="宋体" w:cs="宋体"/>
          <w:color w:val="auto"/>
          <w:sz w:val="24"/>
          <w:highlight w:val="none"/>
        </w:rPr>
      </w:pPr>
      <w:r>
        <w:rPr>
          <w:rFonts w:hint="eastAsia" w:ascii="宋体" w:hAnsi="宋体" w:cs="宋体"/>
          <w:color w:val="auto"/>
          <w:sz w:val="24"/>
          <w:highlight w:val="none"/>
        </w:rPr>
        <w:t>34.3   为强化采购代理机构内部监督机制，</w:t>
      </w:r>
      <w:r>
        <w:rPr>
          <w:rFonts w:hint="eastAsia" w:ascii="宋体" w:hAnsi="宋体" w:cs="宋体"/>
          <w:color w:val="auto"/>
          <w:sz w:val="24"/>
          <w:highlight w:val="none"/>
          <w:lang w:val="en-US" w:eastAsia="zh-CN"/>
        </w:rPr>
        <w:t>投标人</w:t>
      </w:r>
      <w:r>
        <w:rPr>
          <w:rFonts w:hint="eastAsia" w:ascii="宋体" w:hAnsi="宋体" w:cs="宋体"/>
          <w:color w:val="auto"/>
          <w:sz w:val="24"/>
          <w:highlight w:val="none"/>
        </w:rPr>
        <w:t>可按</w:t>
      </w:r>
      <w:r>
        <w:rPr>
          <w:rFonts w:hint="eastAsia" w:ascii="宋体" w:hAnsi="宋体" w:cs="宋体"/>
          <w:color w:val="auto"/>
          <w:sz w:val="24"/>
          <w:highlight w:val="none"/>
          <w:u w:val="single"/>
        </w:rPr>
        <w:t>投标人须知资料表中的</w:t>
      </w:r>
      <w:r>
        <w:rPr>
          <w:rFonts w:hint="eastAsia" w:ascii="宋体" w:hAnsi="宋体" w:cs="宋体"/>
          <w:color w:val="auto"/>
          <w:sz w:val="24"/>
          <w:highlight w:val="none"/>
        </w:rPr>
        <w:t>监督电话和邮箱，反映采购代理机构的廉洁自律等问题。</w:t>
      </w:r>
    </w:p>
    <w:p w14:paraId="4D3FB67C">
      <w:pPr>
        <w:pStyle w:val="5"/>
        <w:keepNext w:val="0"/>
        <w:keepLines w:val="0"/>
        <w:pageBreakBefore w:val="0"/>
        <w:widowControl w:val="0"/>
        <w:kinsoku/>
        <w:wordWrap/>
        <w:overflowPunct/>
        <w:topLinePunct w:val="0"/>
        <w:bidi w:val="0"/>
        <w:snapToGrid/>
        <w:spacing w:before="0" w:after="0" w:line="240" w:lineRule="atLeast"/>
        <w:ind w:left="964" w:leftChars="0" w:hanging="964" w:hangingChars="400"/>
        <w:textAlignment w:val="auto"/>
        <w:rPr>
          <w:rFonts w:hint="eastAsia" w:ascii="宋体" w:hAnsi="宋体" w:eastAsia="宋体" w:cs="宋体"/>
          <w:color w:val="auto"/>
          <w:highlight w:val="none"/>
          <w:u w:val="none"/>
        </w:rPr>
      </w:pPr>
      <w:r>
        <w:rPr>
          <w:rFonts w:hint="eastAsia" w:ascii="宋体" w:hAnsi="宋体" w:eastAsia="宋体" w:cs="宋体"/>
          <w:color w:val="auto"/>
          <w:highlight w:val="none"/>
          <w:u w:val="none"/>
        </w:rPr>
        <w:t>35.人员回避</w:t>
      </w:r>
      <w:bookmarkEnd w:id="228"/>
      <w:bookmarkEnd w:id="229"/>
      <w:bookmarkEnd w:id="230"/>
      <w:bookmarkEnd w:id="231"/>
    </w:p>
    <w:p w14:paraId="057C36B1">
      <w:pPr>
        <w:spacing w:line="240" w:lineRule="atLeast"/>
        <w:ind w:left="840" w:hanging="840" w:hangingChars="350"/>
        <w:rPr>
          <w:rFonts w:hint="eastAsia" w:ascii="宋体" w:hAnsi="宋体" w:cs="宋体"/>
          <w:color w:val="auto"/>
          <w:sz w:val="24"/>
          <w:highlight w:val="none"/>
        </w:rPr>
      </w:pPr>
      <w:bookmarkStart w:id="232" w:name="_Toc515647798"/>
      <w:bookmarkStart w:id="233" w:name="_Toc1148"/>
      <w:bookmarkStart w:id="234" w:name="_Toc11115"/>
      <w:bookmarkStart w:id="235" w:name="_Toc10700"/>
      <w:r>
        <w:rPr>
          <w:rFonts w:hint="eastAsia" w:ascii="宋体" w:hAnsi="宋体" w:cs="宋体"/>
          <w:color w:val="auto"/>
          <w:sz w:val="24"/>
          <w:highlight w:val="none"/>
        </w:rPr>
        <w:t>35.1   投标人认为采购人员及其相关人员有法律法规所列与其他</w:t>
      </w:r>
      <w:r>
        <w:rPr>
          <w:rFonts w:hint="eastAsia" w:ascii="宋体" w:hAnsi="宋体" w:cs="宋体"/>
          <w:color w:val="auto"/>
          <w:sz w:val="24"/>
          <w:highlight w:val="none"/>
          <w:lang w:val="en-US" w:eastAsia="zh-CN"/>
        </w:rPr>
        <w:t>投标人</w:t>
      </w:r>
      <w:r>
        <w:rPr>
          <w:rFonts w:hint="eastAsia" w:ascii="宋体" w:hAnsi="宋体" w:cs="宋体"/>
          <w:color w:val="auto"/>
          <w:sz w:val="24"/>
          <w:highlight w:val="none"/>
        </w:rPr>
        <w:t>有利害关系的，可以向采购人或采购代理机构书面提出回避申请，并说明理由。</w:t>
      </w:r>
    </w:p>
    <w:p w14:paraId="5AA6D20E">
      <w:pPr>
        <w:pStyle w:val="5"/>
        <w:keepNext w:val="0"/>
        <w:keepLines w:val="0"/>
        <w:pageBreakBefore w:val="0"/>
        <w:widowControl w:val="0"/>
        <w:kinsoku/>
        <w:wordWrap/>
        <w:overflowPunct/>
        <w:topLinePunct w:val="0"/>
        <w:bidi w:val="0"/>
        <w:snapToGrid/>
        <w:spacing w:before="0" w:after="0" w:line="240" w:lineRule="atLeast"/>
        <w:ind w:left="964" w:leftChars="0" w:hanging="964" w:hangingChars="400"/>
        <w:textAlignment w:val="auto"/>
        <w:rPr>
          <w:rFonts w:hint="eastAsia" w:ascii="宋体" w:hAnsi="宋体" w:eastAsia="宋体" w:cs="宋体"/>
          <w:color w:val="auto"/>
          <w:highlight w:val="none"/>
          <w:u w:val="none"/>
        </w:rPr>
      </w:pPr>
      <w:r>
        <w:rPr>
          <w:rFonts w:hint="eastAsia" w:ascii="宋体" w:hAnsi="宋体" w:eastAsia="宋体" w:cs="宋体"/>
          <w:color w:val="auto"/>
          <w:highlight w:val="none"/>
          <w:u w:val="none"/>
        </w:rPr>
        <w:t>36.质疑与接收</w:t>
      </w:r>
      <w:bookmarkEnd w:id="232"/>
      <w:bookmarkEnd w:id="233"/>
      <w:bookmarkEnd w:id="234"/>
      <w:bookmarkEnd w:id="235"/>
    </w:p>
    <w:p w14:paraId="1DD4278E">
      <w:pPr>
        <w:spacing w:line="360" w:lineRule="exact"/>
        <w:ind w:left="840" w:hanging="840" w:hangingChars="350"/>
        <w:rPr>
          <w:rFonts w:hint="eastAsia" w:ascii="宋体" w:hAnsi="宋体" w:cs="宋体"/>
          <w:color w:val="auto"/>
          <w:sz w:val="24"/>
          <w:highlight w:val="none"/>
        </w:rPr>
      </w:pPr>
      <w:r>
        <w:rPr>
          <w:rFonts w:hint="eastAsia" w:ascii="宋体" w:hAnsi="宋体" w:cs="宋体"/>
          <w:color w:val="auto"/>
          <w:sz w:val="24"/>
          <w:highlight w:val="none"/>
        </w:rPr>
        <w:t xml:space="preserve">36.1   </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认为</w:t>
      </w:r>
      <w:r>
        <w:rPr>
          <w:rFonts w:hint="eastAsia" w:ascii="宋体" w:hAnsi="宋体" w:cs="宋体"/>
          <w:color w:val="auto"/>
          <w:sz w:val="24"/>
          <w:highlight w:val="none"/>
          <w:lang w:eastAsia="zh-CN"/>
        </w:rPr>
        <w:t>磋商文件</w:t>
      </w:r>
      <w:r>
        <w:rPr>
          <w:rFonts w:hint="eastAsia" w:ascii="宋体" w:hAnsi="宋体" w:cs="宋体"/>
          <w:color w:val="auto"/>
          <w:sz w:val="24"/>
          <w:highlight w:val="none"/>
        </w:rPr>
        <w:t>、招标过程和中标结果使自己的权益受到损害的，可以根据《中华人民共和国政府采购法》、《中华人民共和国政府采购法实施条例》和《政府采购质疑和投诉办法》的有关规定，依法向采购人或其委托的采购代理机构提出质疑。</w:t>
      </w:r>
    </w:p>
    <w:p w14:paraId="5CB6D9EF">
      <w:pPr>
        <w:pStyle w:val="49"/>
        <w:spacing w:line="360" w:lineRule="exact"/>
        <w:ind w:left="840" w:hanging="840" w:hangingChars="350"/>
        <w:rPr>
          <w:rFonts w:hint="eastAsia" w:hAnsi="宋体"/>
          <w:color w:val="auto"/>
          <w:highlight w:val="none"/>
        </w:rPr>
      </w:pPr>
      <w:r>
        <w:rPr>
          <w:rFonts w:hint="eastAsia" w:hAnsi="宋体"/>
          <w:color w:val="auto"/>
          <w:highlight w:val="none"/>
        </w:rPr>
        <w:t xml:space="preserve">36.2   </w:t>
      </w:r>
      <w:r>
        <w:rPr>
          <w:rFonts w:hint="eastAsia" w:hAnsi="宋体"/>
          <w:color w:val="auto"/>
          <w:highlight w:val="none"/>
          <w:lang w:eastAsia="zh-CN"/>
        </w:rPr>
        <w:t>投标人</w:t>
      </w:r>
      <w:r>
        <w:rPr>
          <w:rFonts w:hint="eastAsia" w:hAnsi="宋体"/>
          <w:color w:val="auto"/>
          <w:highlight w:val="none"/>
        </w:rPr>
        <w:t>对本项目提出质疑，必须按照相关法律法规的要求和程序，提供的质疑材料必须具备事实依据和法律依据。质疑函应当包含具体的质疑事项及事实依据，不得进行虚假及恶意质疑，如所提供的质疑材料出现恶意诋毁或与事实不符等现象，我公司将该企业的行为上报相应主管部门。</w:t>
      </w:r>
    </w:p>
    <w:p w14:paraId="26085C4A">
      <w:pPr>
        <w:pStyle w:val="49"/>
        <w:spacing w:line="360" w:lineRule="exact"/>
        <w:ind w:left="840" w:hanging="840" w:hangingChars="350"/>
        <w:rPr>
          <w:rFonts w:hint="eastAsia" w:hAnsi="宋体"/>
          <w:color w:val="auto"/>
          <w:highlight w:val="none"/>
        </w:rPr>
      </w:pPr>
      <w:r>
        <w:rPr>
          <w:rFonts w:hint="eastAsia" w:hAnsi="宋体"/>
          <w:color w:val="auto"/>
          <w:highlight w:val="none"/>
        </w:rPr>
        <w:t>36.3   投诉的事项应当包含投诉的请求和法律依据，投诉的事项不得超出所质疑事项的范围。投诉人有捏造事实、提供虚假材料、以非法手段取得证明材料的行为之一的，属于虚假、恶意投诉，由财政部门列入不良行为记录名单，禁止其1至3年内参加政府采购活动。证据来源的合法性存在明显疑问，投诉人无法证明其取得方式合法的，视为以非法手段取得证明材料。</w:t>
      </w:r>
    </w:p>
    <w:p w14:paraId="406107DA">
      <w:pPr>
        <w:spacing w:line="360" w:lineRule="exact"/>
        <w:ind w:left="840" w:hanging="840" w:hangingChars="350"/>
        <w:rPr>
          <w:rFonts w:hint="eastAsia" w:ascii="宋体" w:hAnsi="宋体" w:cs="宋体"/>
          <w:color w:val="auto"/>
          <w:sz w:val="24"/>
          <w:highlight w:val="none"/>
        </w:rPr>
      </w:pPr>
      <w:r>
        <w:rPr>
          <w:rFonts w:hint="eastAsia" w:ascii="宋体" w:hAnsi="宋体" w:cs="宋体"/>
          <w:color w:val="auto"/>
          <w:sz w:val="24"/>
          <w:highlight w:val="none"/>
        </w:rPr>
        <w:t>36.4   质疑</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应按照财政部制定的《政府采购质疑函范本》格式（可从财政部官方网站下载）和《政府采购质疑和投诉办法》的要求，在法定质疑期内以纸质形式提出质疑，针对同一采购程序环节的质疑应一次性提出。超出法定质疑期的、重复提出的、分次提出的或内容、形式不符合《政府采购质疑和投诉办法》的，质疑</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将依法承担不利后果。</w:t>
      </w:r>
    </w:p>
    <w:p w14:paraId="5178B942">
      <w:pPr>
        <w:spacing w:line="360" w:lineRule="exact"/>
        <w:ind w:left="840" w:hanging="840" w:hangingChars="350"/>
        <w:rPr>
          <w:rFonts w:hint="eastAsia" w:ascii="宋体" w:hAnsi="宋体" w:cs="宋体"/>
          <w:color w:val="auto"/>
          <w:sz w:val="24"/>
          <w:highlight w:val="none"/>
        </w:rPr>
      </w:pPr>
      <w:r>
        <w:rPr>
          <w:rFonts w:hint="eastAsia" w:ascii="宋体" w:hAnsi="宋体" w:cs="宋体"/>
          <w:color w:val="auto"/>
          <w:sz w:val="24"/>
          <w:highlight w:val="none"/>
        </w:rPr>
        <w:t>36.5   采购代理机构质疑函接收部门、联系电话和通讯地址, 见</w:t>
      </w:r>
      <w:r>
        <w:rPr>
          <w:rFonts w:hint="eastAsia" w:ascii="宋体" w:hAnsi="宋体" w:cs="宋体"/>
          <w:color w:val="auto"/>
          <w:sz w:val="24"/>
          <w:highlight w:val="none"/>
          <w:u w:val="single"/>
          <w:lang w:eastAsia="zh-CN"/>
        </w:rPr>
        <w:t>投标人须知资料表</w:t>
      </w:r>
      <w:r>
        <w:rPr>
          <w:rFonts w:hint="eastAsia" w:ascii="宋体" w:hAnsi="宋体" w:cs="宋体"/>
          <w:color w:val="auto"/>
          <w:sz w:val="24"/>
          <w:highlight w:val="none"/>
          <w:u w:val="none"/>
        </w:rPr>
        <w:t>。</w:t>
      </w:r>
    </w:p>
    <w:p w14:paraId="1EFCE623">
      <w:pPr>
        <w:spacing w:line="360" w:lineRule="exact"/>
        <w:ind w:left="840" w:hanging="840" w:hangingChars="350"/>
        <w:jc w:val="left"/>
        <w:rPr>
          <w:rFonts w:hint="eastAsia" w:ascii="宋体" w:hAnsi="宋体" w:cs="宋体"/>
          <w:color w:val="auto"/>
          <w:sz w:val="24"/>
          <w:highlight w:val="none"/>
        </w:rPr>
      </w:pPr>
      <w:r>
        <w:rPr>
          <w:rFonts w:hint="eastAsia" w:ascii="宋体" w:hAnsi="宋体" w:cs="宋体"/>
          <w:color w:val="auto"/>
          <w:sz w:val="24"/>
          <w:highlight w:val="none"/>
        </w:rPr>
        <w:t xml:space="preserve">36.6   </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认为采购文件、采购过程和中标结果使自己的权益受到损害的，可以在知道或者应知其权益受到损害之日起7个工作日内，以书面形式向采购方提出质疑。</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应知其权益受到损害之日，是指：</w:t>
      </w:r>
    </w:p>
    <w:p w14:paraId="5A42C510">
      <w:pPr>
        <w:spacing w:line="360" w:lineRule="exact"/>
        <w:ind w:left="838" w:leftChars="342" w:hanging="120" w:hangingChars="50"/>
        <w:jc w:val="left"/>
        <w:rPr>
          <w:rFonts w:hint="eastAsia" w:ascii="宋体" w:hAnsi="宋体" w:cs="宋体"/>
          <w:color w:val="auto"/>
          <w:sz w:val="24"/>
          <w:highlight w:val="none"/>
        </w:rPr>
      </w:pPr>
      <w:r>
        <w:rPr>
          <w:rFonts w:hint="eastAsia" w:ascii="宋体" w:hAnsi="宋体" w:cs="宋体"/>
          <w:color w:val="auto"/>
          <w:sz w:val="24"/>
          <w:highlight w:val="none"/>
        </w:rPr>
        <w:t>（一）对可以质疑的采购文件提出质疑的，为收到采购文件之日或者采购文件公告期限届满之日；</w:t>
      </w:r>
    </w:p>
    <w:p w14:paraId="28AA765E">
      <w:pPr>
        <w:spacing w:line="360" w:lineRule="exact"/>
        <w:ind w:left="838" w:leftChars="342" w:hanging="120" w:hangingChars="50"/>
        <w:jc w:val="left"/>
        <w:rPr>
          <w:rFonts w:hint="eastAsia" w:ascii="宋体" w:hAnsi="宋体" w:cs="宋体"/>
          <w:color w:val="auto"/>
          <w:sz w:val="24"/>
          <w:highlight w:val="none"/>
        </w:rPr>
      </w:pPr>
      <w:r>
        <w:rPr>
          <w:rFonts w:hint="eastAsia" w:ascii="宋体" w:hAnsi="宋体" w:cs="宋体"/>
          <w:color w:val="auto"/>
          <w:sz w:val="24"/>
          <w:highlight w:val="none"/>
        </w:rPr>
        <w:t>（二）对采购过程提出质疑的，为各采购程序环节结束之日；</w:t>
      </w:r>
    </w:p>
    <w:p w14:paraId="260C0DD2">
      <w:pPr>
        <w:spacing w:line="360" w:lineRule="exact"/>
        <w:ind w:left="838" w:leftChars="342" w:hanging="120" w:hangingChars="50"/>
        <w:jc w:val="left"/>
        <w:rPr>
          <w:rFonts w:hint="eastAsia" w:ascii="宋体" w:hAnsi="宋体" w:cs="宋体"/>
          <w:color w:val="auto"/>
          <w:sz w:val="24"/>
          <w:highlight w:val="none"/>
        </w:rPr>
      </w:pPr>
      <w:r>
        <w:rPr>
          <w:rFonts w:hint="eastAsia" w:ascii="宋体" w:hAnsi="宋体" w:cs="宋体"/>
          <w:color w:val="auto"/>
          <w:sz w:val="24"/>
          <w:highlight w:val="none"/>
        </w:rPr>
        <w:t>（三）对中标结果提出质疑的，为中标结果公告期限届满之日。</w:t>
      </w:r>
    </w:p>
    <w:p w14:paraId="1CFC4D8C">
      <w:pPr>
        <w:spacing w:line="360" w:lineRule="exact"/>
        <w:ind w:left="840" w:hanging="840" w:hangingChars="350"/>
        <w:jc w:val="left"/>
        <w:rPr>
          <w:rFonts w:hint="eastAsia" w:ascii="宋体" w:hAnsi="宋体" w:cs="宋体"/>
          <w:color w:val="auto"/>
          <w:sz w:val="24"/>
          <w:highlight w:val="none"/>
        </w:rPr>
      </w:pPr>
      <w:r>
        <w:rPr>
          <w:rFonts w:hint="eastAsia" w:ascii="宋体" w:hAnsi="宋体" w:cs="宋体"/>
          <w:color w:val="auto"/>
          <w:sz w:val="24"/>
          <w:highlight w:val="none"/>
        </w:rPr>
        <w:t xml:space="preserve">36.7   </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有权提出一次质疑，不能多次提出。</w:t>
      </w:r>
    </w:p>
    <w:p w14:paraId="7C00F33A">
      <w:pPr>
        <w:spacing w:line="360" w:lineRule="exact"/>
        <w:ind w:left="840" w:hanging="840" w:hangingChars="350"/>
        <w:jc w:val="left"/>
        <w:rPr>
          <w:rFonts w:hint="eastAsia" w:ascii="宋体" w:hAnsi="宋体" w:cs="宋体"/>
          <w:color w:val="auto"/>
          <w:sz w:val="24"/>
          <w:highlight w:val="none"/>
        </w:rPr>
      </w:pPr>
      <w:r>
        <w:rPr>
          <w:rFonts w:hint="eastAsia" w:ascii="宋体" w:hAnsi="宋体" w:cs="宋体"/>
          <w:color w:val="auto"/>
          <w:sz w:val="24"/>
          <w:highlight w:val="none"/>
        </w:rPr>
        <w:t>36.8   对可以质疑的采购文件提出质疑的，质疑人为参与本项目的报价方或潜在报价方。可质疑的文件为采购公告以及采购文件（包括属于其组成部分的澄清、修改、补充文件和评审标准、合同文本等）。</w:t>
      </w:r>
    </w:p>
    <w:p w14:paraId="65D6B8A2">
      <w:pPr>
        <w:spacing w:line="360" w:lineRule="exact"/>
        <w:ind w:left="840" w:hanging="840" w:hangingChars="350"/>
        <w:jc w:val="left"/>
        <w:rPr>
          <w:rFonts w:hint="eastAsia" w:ascii="宋体" w:hAnsi="宋体" w:cs="宋体"/>
          <w:color w:val="auto"/>
          <w:sz w:val="24"/>
          <w:highlight w:val="none"/>
        </w:rPr>
      </w:pPr>
      <w:r>
        <w:rPr>
          <w:rFonts w:hint="eastAsia" w:ascii="宋体" w:hAnsi="宋体" w:cs="宋体"/>
          <w:color w:val="auto"/>
          <w:sz w:val="24"/>
          <w:highlight w:val="none"/>
        </w:rPr>
        <w:t>36.9   对采购过程和中标结果提出质疑的，质疑人为直接参与本项目的报价方。采购过程,即从采购项目信息公告发布起到中标结果公告止，包括采购文件的发出、提交投标文件、投标文件开启、评审等各个采购程序环节。</w:t>
      </w:r>
    </w:p>
    <w:p w14:paraId="719239C6">
      <w:pPr>
        <w:spacing w:line="360" w:lineRule="exact"/>
        <w:ind w:left="840" w:hanging="840" w:hangingChars="350"/>
        <w:jc w:val="left"/>
        <w:rPr>
          <w:rFonts w:hint="eastAsia" w:ascii="宋体" w:hAnsi="宋体" w:cs="宋体"/>
          <w:color w:val="auto"/>
          <w:sz w:val="24"/>
          <w:highlight w:val="none"/>
        </w:rPr>
      </w:pPr>
      <w:r>
        <w:rPr>
          <w:rFonts w:hint="eastAsia" w:ascii="宋体" w:hAnsi="宋体" w:cs="宋体"/>
          <w:color w:val="auto"/>
          <w:sz w:val="24"/>
          <w:highlight w:val="none"/>
        </w:rPr>
        <w:t>36.10  提出质疑应当符合下列条件：</w:t>
      </w:r>
    </w:p>
    <w:p w14:paraId="63DD60D0">
      <w:pPr>
        <w:spacing w:line="360" w:lineRule="exact"/>
        <w:ind w:left="838" w:leftChars="342" w:hanging="120" w:hangingChars="50"/>
        <w:jc w:val="left"/>
        <w:rPr>
          <w:rFonts w:hint="eastAsia" w:ascii="宋体" w:hAnsi="宋体" w:cs="宋体"/>
          <w:color w:val="auto"/>
          <w:sz w:val="24"/>
          <w:highlight w:val="none"/>
        </w:rPr>
      </w:pPr>
      <w:r>
        <w:rPr>
          <w:rFonts w:hint="eastAsia" w:ascii="宋体" w:hAnsi="宋体" w:cs="宋体"/>
          <w:color w:val="auto"/>
          <w:sz w:val="24"/>
          <w:highlight w:val="none"/>
        </w:rPr>
        <w:t>（一）质疑主体应当符合有关规定；</w:t>
      </w:r>
    </w:p>
    <w:p w14:paraId="635834C1">
      <w:pPr>
        <w:spacing w:line="360" w:lineRule="exact"/>
        <w:ind w:left="838" w:leftChars="342" w:hanging="120" w:hangingChars="50"/>
        <w:jc w:val="left"/>
        <w:rPr>
          <w:rFonts w:hint="eastAsia" w:ascii="宋体" w:hAnsi="宋体" w:cs="宋体"/>
          <w:color w:val="auto"/>
          <w:sz w:val="24"/>
          <w:highlight w:val="none"/>
        </w:rPr>
      </w:pPr>
      <w:r>
        <w:rPr>
          <w:rFonts w:hint="eastAsia" w:ascii="宋体" w:hAnsi="宋体" w:cs="宋体"/>
          <w:color w:val="auto"/>
          <w:sz w:val="24"/>
          <w:highlight w:val="none"/>
        </w:rPr>
        <w:t>（二）在质疑法定期限内提出；</w:t>
      </w:r>
    </w:p>
    <w:p w14:paraId="7167B2E4">
      <w:pPr>
        <w:spacing w:line="360" w:lineRule="exact"/>
        <w:ind w:left="838" w:leftChars="342" w:hanging="120" w:hangingChars="50"/>
        <w:jc w:val="left"/>
        <w:rPr>
          <w:rFonts w:hint="eastAsia" w:ascii="宋体" w:hAnsi="宋体" w:cs="宋体"/>
          <w:color w:val="auto"/>
          <w:sz w:val="24"/>
          <w:highlight w:val="none"/>
        </w:rPr>
      </w:pPr>
      <w:r>
        <w:rPr>
          <w:rFonts w:hint="eastAsia" w:ascii="宋体" w:hAnsi="宋体" w:cs="宋体"/>
          <w:color w:val="auto"/>
          <w:sz w:val="24"/>
          <w:highlight w:val="none"/>
        </w:rPr>
        <w:t>（三）属于可以提出质疑的政府采购事项受理范围和本项目采购人的管辖权范围；</w:t>
      </w:r>
    </w:p>
    <w:p w14:paraId="7DCCB935">
      <w:pPr>
        <w:spacing w:line="360" w:lineRule="exact"/>
        <w:ind w:left="838" w:leftChars="342" w:hanging="120" w:hangingChars="50"/>
        <w:jc w:val="left"/>
        <w:rPr>
          <w:rFonts w:hint="eastAsia" w:ascii="宋体" w:hAnsi="宋体" w:cs="宋体"/>
          <w:color w:val="auto"/>
          <w:sz w:val="24"/>
          <w:highlight w:val="none"/>
        </w:rPr>
      </w:pPr>
      <w:r>
        <w:rPr>
          <w:rFonts w:hint="eastAsia" w:ascii="宋体" w:hAnsi="宋体" w:cs="宋体"/>
          <w:color w:val="auto"/>
          <w:sz w:val="24"/>
          <w:highlight w:val="none"/>
        </w:rPr>
        <w:t>（四）政府采购法律、法规、规章规定的其他条件。</w:t>
      </w:r>
    </w:p>
    <w:p w14:paraId="2B9C660A">
      <w:pPr>
        <w:spacing w:line="360" w:lineRule="exact"/>
        <w:ind w:left="840" w:hanging="840" w:hangingChars="350"/>
        <w:jc w:val="left"/>
        <w:rPr>
          <w:rFonts w:hint="eastAsia" w:ascii="宋体" w:hAnsi="宋体" w:cs="宋体"/>
          <w:color w:val="auto"/>
          <w:sz w:val="24"/>
          <w:highlight w:val="none"/>
        </w:rPr>
      </w:pPr>
      <w:r>
        <w:rPr>
          <w:rFonts w:hint="eastAsia" w:ascii="宋体" w:hAnsi="宋体" w:cs="宋体"/>
          <w:color w:val="auto"/>
          <w:sz w:val="24"/>
          <w:highlight w:val="none"/>
        </w:rPr>
        <w:t>36.11  提出质疑应当具有明确的请求和提供必要的证明材料。明确的请求,即质疑人在质疑函中提出的，要求采购方对其予以支持的主张。必要的证明材料,即能够证明质疑人的质疑请求成立的必要材料，包括相关证据、依据和其他有关材料。</w:t>
      </w:r>
    </w:p>
    <w:p w14:paraId="4C1381EB">
      <w:pPr>
        <w:spacing w:line="360" w:lineRule="exact"/>
        <w:ind w:left="840" w:hanging="840" w:hangingChars="350"/>
        <w:jc w:val="left"/>
        <w:rPr>
          <w:rFonts w:hint="eastAsia" w:ascii="宋体" w:hAnsi="宋体" w:cs="宋体"/>
          <w:color w:val="auto"/>
          <w:sz w:val="24"/>
          <w:highlight w:val="none"/>
        </w:rPr>
      </w:pPr>
      <w:r>
        <w:rPr>
          <w:rFonts w:hint="eastAsia" w:ascii="宋体" w:hAnsi="宋体" w:cs="宋体"/>
          <w:color w:val="auto"/>
          <w:sz w:val="24"/>
          <w:highlight w:val="none"/>
        </w:rPr>
        <w:t>36.12  质疑人所提供的证明材料应当具有真实性、合法性以及与质疑事项的关联性和证明力，否则不能作为认定该质疑事项成立的依据。</w:t>
      </w:r>
    </w:p>
    <w:p w14:paraId="61EC549B">
      <w:pPr>
        <w:spacing w:line="360" w:lineRule="exact"/>
        <w:ind w:left="840" w:hanging="840" w:hangingChars="350"/>
        <w:jc w:val="left"/>
        <w:rPr>
          <w:rFonts w:hint="eastAsia" w:ascii="宋体" w:hAnsi="宋体" w:cs="宋体"/>
          <w:color w:val="auto"/>
          <w:sz w:val="24"/>
          <w:highlight w:val="none"/>
        </w:rPr>
      </w:pPr>
      <w:r>
        <w:rPr>
          <w:rFonts w:hint="eastAsia" w:ascii="宋体" w:hAnsi="宋体" w:cs="宋体"/>
          <w:color w:val="auto"/>
          <w:sz w:val="24"/>
          <w:highlight w:val="none"/>
        </w:rPr>
        <w:t>36.13  质疑人提出质疑时应当提交质疑函。质疑函包括下列内容：</w:t>
      </w:r>
    </w:p>
    <w:p w14:paraId="29EEDA02">
      <w:pPr>
        <w:spacing w:line="360" w:lineRule="exact"/>
        <w:ind w:left="838" w:leftChars="342" w:hanging="120" w:hangingChars="50"/>
        <w:jc w:val="left"/>
        <w:rPr>
          <w:rFonts w:hint="eastAsia" w:ascii="宋体" w:hAnsi="宋体" w:cs="宋体"/>
          <w:color w:val="auto"/>
          <w:sz w:val="24"/>
          <w:highlight w:val="none"/>
        </w:rPr>
      </w:pPr>
      <w:r>
        <w:rPr>
          <w:rFonts w:hint="eastAsia" w:ascii="宋体" w:hAnsi="宋体" w:cs="宋体"/>
          <w:color w:val="auto"/>
          <w:sz w:val="24"/>
          <w:highlight w:val="none"/>
        </w:rPr>
        <w:t>（一）提出质疑的质疑人的名称、地址、邮编、联系人及联系电话等；</w:t>
      </w:r>
    </w:p>
    <w:p w14:paraId="1D9011B3">
      <w:pPr>
        <w:spacing w:line="360" w:lineRule="exact"/>
        <w:ind w:left="838" w:leftChars="342" w:hanging="120" w:hangingChars="50"/>
        <w:jc w:val="left"/>
        <w:rPr>
          <w:rFonts w:hint="eastAsia" w:ascii="宋体" w:hAnsi="宋体" w:cs="宋体"/>
          <w:color w:val="auto"/>
          <w:sz w:val="24"/>
          <w:highlight w:val="none"/>
        </w:rPr>
      </w:pPr>
      <w:r>
        <w:rPr>
          <w:rFonts w:hint="eastAsia" w:ascii="宋体" w:hAnsi="宋体" w:cs="宋体"/>
          <w:color w:val="auto"/>
          <w:sz w:val="24"/>
          <w:highlight w:val="none"/>
        </w:rPr>
        <w:t>（二）质疑项目的名称、编号；</w:t>
      </w:r>
    </w:p>
    <w:p w14:paraId="42F51EEA">
      <w:pPr>
        <w:spacing w:line="360" w:lineRule="exact"/>
        <w:ind w:left="838" w:leftChars="342" w:hanging="120" w:hangingChars="50"/>
        <w:jc w:val="left"/>
        <w:rPr>
          <w:rFonts w:hint="eastAsia" w:ascii="宋体" w:hAnsi="宋体" w:cs="宋体"/>
          <w:color w:val="auto"/>
          <w:sz w:val="24"/>
          <w:highlight w:val="none"/>
        </w:rPr>
      </w:pPr>
      <w:r>
        <w:rPr>
          <w:rFonts w:hint="eastAsia" w:ascii="宋体" w:hAnsi="宋体" w:cs="宋体"/>
          <w:color w:val="auto"/>
          <w:sz w:val="24"/>
          <w:highlight w:val="none"/>
        </w:rPr>
        <w:t>（三）质疑事项；</w:t>
      </w:r>
    </w:p>
    <w:p w14:paraId="5EFF8114">
      <w:pPr>
        <w:spacing w:line="360" w:lineRule="exact"/>
        <w:ind w:left="838" w:leftChars="342" w:hanging="120" w:hangingChars="50"/>
        <w:jc w:val="left"/>
        <w:rPr>
          <w:rFonts w:hint="eastAsia" w:ascii="宋体" w:hAnsi="宋体" w:cs="宋体"/>
          <w:color w:val="auto"/>
          <w:sz w:val="24"/>
          <w:highlight w:val="none"/>
        </w:rPr>
      </w:pPr>
      <w:r>
        <w:rPr>
          <w:rFonts w:hint="eastAsia" w:ascii="宋体" w:hAnsi="宋体" w:cs="宋体"/>
          <w:color w:val="auto"/>
          <w:sz w:val="24"/>
          <w:highlight w:val="none"/>
        </w:rPr>
        <w:t>（四）事实依据和证明材料；</w:t>
      </w:r>
    </w:p>
    <w:p w14:paraId="33D0B8D5">
      <w:pPr>
        <w:spacing w:line="360" w:lineRule="exact"/>
        <w:ind w:left="838" w:leftChars="342" w:hanging="120" w:hangingChars="50"/>
        <w:jc w:val="left"/>
        <w:rPr>
          <w:rFonts w:hint="eastAsia" w:ascii="宋体" w:hAnsi="宋体" w:cs="宋体"/>
          <w:color w:val="auto"/>
          <w:sz w:val="24"/>
          <w:highlight w:val="none"/>
        </w:rPr>
      </w:pPr>
      <w:r>
        <w:rPr>
          <w:rFonts w:hint="eastAsia" w:ascii="宋体" w:hAnsi="宋体" w:cs="宋体"/>
          <w:color w:val="auto"/>
          <w:sz w:val="24"/>
          <w:highlight w:val="none"/>
        </w:rPr>
        <w:t>（五）法律依据；</w:t>
      </w:r>
    </w:p>
    <w:p w14:paraId="5D81479A">
      <w:pPr>
        <w:spacing w:line="360" w:lineRule="exact"/>
        <w:ind w:left="838" w:leftChars="342" w:hanging="120" w:hangingChars="50"/>
        <w:jc w:val="left"/>
        <w:rPr>
          <w:rFonts w:hint="eastAsia" w:ascii="宋体" w:hAnsi="宋体" w:cs="宋体"/>
          <w:color w:val="auto"/>
          <w:sz w:val="24"/>
          <w:highlight w:val="none"/>
        </w:rPr>
      </w:pPr>
      <w:r>
        <w:rPr>
          <w:rFonts w:hint="eastAsia" w:ascii="宋体" w:hAnsi="宋体" w:cs="宋体"/>
          <w:color w:val="auto"/>
          <w:sz w:val="24"/>
          <w:highlight w:val="none"/>
        </w:rPr>
        <w:t>（六）提出质疑的日期。</w:t>
      </w:r>
    </w:p>
    <w:p w14:paraId="5DF8930E">
      <w:pPr>
        <w:spacing w:line="360" w:lineRule="exact"/>
        <w:ind w:left="840" w:leftChars="400"/>
        <w:jc w:val="left"/>
        <w:rPr>
          <w:rFonts w:hint="eastAsia" w:ascii="宋体" w:hAnsi="宋体" w:cs="宋体"/>
          <w:color w:val="auto"/>
          <w:sz w:val="24"/>
          <w:highlight w:val="none"/>
        </w:rPr>
      </w:pPr>
      <w:r>
        <w:rPr>
          <w:rFonts w:hint="eastAsia" w:ascii="宋体" w:hAnsi="宋体" w:cs="宋体"/>
          <w:color w:val="auto"/>
          <w:sz w:val="24"/>
          <w:highlight w:val="none"/>
        </w:rPr>
        <w:t>质疑函采用实名制。质疑人为自然人的应当由本人签字，并附有效身份证明文件；质疑人为法人或者非法人组织的应当由法定代表人或者负责人签字并加盖公章，并附有效身份证明文件。</w:t>
      </w:r>
    </w:p>
    <w:p w14:paraId="1EB9E429">
      <w:pPr>
        <w:spacing w:line="360" w:lineRule="exact"/>
        <w:ind w:left="840" w:hanging="840" w:hangingChars="350"/>
        <w:jc w:val="left"/>
        <w:rPr>
          <w:rFonts w:hint="eastAsia" w:ascii="宋体" w:hAnsi="宋体" w:cs="宋体"/>
          <w:color w:val="auto"/>
          <w:sz w:val="24"/>
          <w:highlight w:val="none"/>
        </w:rPr>
      </w:pPr>
      <w:r>
        <w:rPr>
          <w:rFonts w:hint="eastAsia" w:ascii="宋体" w:hAnsi="宋体" w:cs="宋体"/>
          <w:color w:val="auto"/>
          <w:sz w:val="24"/>
          <w:highlight w:val="none"/>
        </w:rPr>
        <w:t>36.14  质疑人可以委托代理人进行质疑。代理人应当提交授权委托书。授权委托书应当载明委托代理的具体权限、期限和相关事项。</w:t>
      </w:r>
    </w:p>
    <w:p w14:paraId="0061083E">
      <w:pPr>
        <w:spacing w:line="360" w:lineRule="exact"/>
        <w:ind w:left="840" w:hanging="840" w:hangingChars="350"/>
        <w:jc w:val="left"/>
        <w:rPr>
          <w:rFonts w:hint="eastAsia" w:ascii="宋体" w:hAnsi="宋体" w:cs="宋体"/>
          <w:color w:val="auto"/>
          <w:sz w:val="24"/>
          <w:highlight w:val="none"/>
        </w:rPr>
      </w:pPr>
      <w:r>
        <w:rPr>
          <w:rFonts w:hint="eastAsia" w:ascii="宋体" w:hAnsi="宋体" w:cs="宋体"/>
          <w:color w:val="auto"/>
          <w:sz w:val="24"/>
          <w:highlight w:val="none"/>
        </w:rPr>
        <w:t>36.15  质疑的审查和受理</w:t>
      </w:r>
    </w:p>
    <w:p w14:paraId="0FAEF9E2">
      <w:pPr>
        <w:spacing w:line="360" w:lineRule="exact"/>
        <w:ind w:left="840" w:leftChars="400"/>
        <w:jc w:val="left"/>
        <w:rPr>
          <w:rFonts w:hint="eastAsia" w:ascii="宋体" w:hAnsi="宋体" w:cs="宋体"/>
          <w:color w:val="auto"/>
          <w:sz w:val="24"/>
          <w:highlight w:val="none"/>
        </w:rPr>
      </w:pPr>
      <w:r>
        <w:rPr>
          <w:rFonts w:hint="eastAsia" w:ascii="宋体" w:hAnsi="宋体" w:cs="宋体"/>
          <w:color w:val="auto"/>
          <w:sz w:val="24"/>
          <w:highlight w:val="none"/>
        </w:rPr>
        <w:t>采购方在收到质疑函后应当及时审查是否符合质疑受理条件，对符合质疑受理条件的，及时予以受理。</w:t>
      </w:r>
    </w:p>
    <w:p w14:paraId="7326CDBA">
      <w:pPr>
        <w:spacing w:line="360" w:lineRule="exact"/>
        <w:ind w:left="840" w:hanging="840" w:hangingChars="350"/>
        <w:jc w:val="left"/>
        <w:rPr>
          <w:rFonts w:hint="eastAsia" w:ascii="宋体" w:hAnsi="宋体" w:cs="宋体"/>
          <w:color w:val="auto"/>
          <w:sz w:val="24"/>
          <w:highlight w:val="none"/>
        </w:rPr>
      </w:pPr>
      <w:r>
        <w:rPr>
          <w:rFonts w:hint="eastAsia" w:ascii="宋体" w:hAnsi="宋体" w:cs="宋体"/>
          <w:color w:val="auto"/>
          <w:sz w:val="24"/>
          <w:highlight w:val="none"/>
        </w:rPr>
        <w:t>36.16  对不符合质疑受理条件的，分别按照下列不同情形予以处理：</w:t>
      </w:r>
    </w:p>
    <w:p w14:paraId="7DD1BD22">
      <w:pPr>
        <w:spacing w:line="360" w:lineRule="exact"/>
        <w:ind w:left="838" w:leftChars="342" w:hanging="120" w:hangingChars="50"/>
        <w:jc w:val="left"/>
        <w:rPr>
          <w:rFonts w:hint="eastAsia" w:ascii="宋体" w:hAnsi="宋体" w:cs="宋体"/>
          <w:color w:val="auto"/>
          <w:sz w:val="24"/>
          <w:highlight w:val="none"/>
        </w:rPr>
      </w:pPr>
      <w:r>
        <w:rPr>
          <w:rFonts w:hint="eastAsia" w:ascii="宋体" w:hAnsi="宋体" w:cs="宋体"/>
          <w:color w:val="auto"/>
          <w:sz w:val="24"/>
          <w:highlight w:val="none"/>
        </w:rPr>
        <w:t>（一）质疑函内容不符合规定的，告知质疑人进行修改并重新提出质疑。修改后质疑事项仍不具体、不明确或者最终递交质疑函的时间超过质疑法定期限的，不予受理；</w:t>
      </w:r>
    </w:p>
    <w:p w14:paraId="0B9F83D7">
      <w:pPr>
        <w:spacing w:line="360" w:lineRule="exact"/>
        <w:ind w:left="838" w:leftChars="342" w:hanging="120" w:hangingChars="50"/>
        <w:jc w:val="left"/>
        <w:rPr>
          <w:rFonts w:hint="eastAsia" w:ascii="宋体" w:hAnsi="宋体" w:cs="宋体"/>
          <w:color w:val="auto"/>
          <w:sz w:val="24"/>
          <w:highlight w:val="none"/>
        </w:rPr>
      </w:pPr>
      <w:r>
        <w:rPr>
          <w:rFonts w:hint="eastAsia" w:ascii="宋体" w:hAnsi="宋体" w:cs="宋体"/>
          <w:color w:val="auto"/>
          <w:sz w:val="24"/>
          <w:highlight w:val="none"/>
        </w:rPr>
        <w:t>（二）质疑主体不符合有关规定的，告知质疑人不予受理；</w:t>
      </w:r>
    </w:p>
    <w:p w14:paraId="72C53E82">
      <w:pPr>
        <w:spacing w:line="360" w:lineRule="exact"/>
        <w:ind w:left="838" w:leftChars="342" w:hanging="120" w:hangingChars="50"/>
        <w:jc w:val="left"/>
        <w:rPr>
          <w:rFonts w:hint="eastAsia" w:ascii="宋体" w:hAnsi="宋体" w:cs="宋体"/>
          <w:color w:val="auto"/>
          <w:sz w:val="24"/>
          <w:highlight w:val="none"/>
        </w:rPr>
      </w:pPr>
      <w:r>
        <w:rPr>
          <w:rFonts w:hint="eastAsia" w:ascii="宋体" w:hAnsi="宋体" w:cs="宋体"/>
          <w:color w:val="auto"/>
          <w:sz w:val="24"/>
          <w:highlight w:val="none"/>
        </w:rPr>
        <w:t>（三）超过质疑法定期限提出质疑的，告知质疑人不予受理；</w:t>
      </w:r>
    </w:p>
    <w:p w14:paraId="74C6FF83">
      <w:pPr>
        <w:spacing w:line="360" w:lineRule="exact"/>
        <w:ind w:left="838" w:leftChars="342" w:hanging="120" w:hangingChars="50"/>
        <w:jc w:val="left"/>
        <w:rPr>
          <w:rFonts w:hint="eastAsia" w:ascii="宋体" w:hAnsi="宋体" w:cs="宋体"/>
          <w:color w:val="auto"/>
          <w:sz w:val="24"/>
          <w:highlight w:val="none"/>
        </w:rPr>
      </w:pPr>
      <w:r>
        <w:rPr>
          <w:rFonts w:hint="eastAsia" w:ascii="宋体" w:hAnsi="宋体" w:cs="宋体"/>
          <w:color w:val="auto"/>
          <w:sz w:val="24"/>
          <w:highlight w:val="none"/>
        </w:rPr>
        <w:t>（四）对不属于可以提出质疑的政府采购事项提出质疑的，告知质疑人不予受理；</w:t>
      </w:r>
    </w:p>
    <w:p w14:paraId="094E8FF3">
      <w:pPr>
        <w:spacing w:line="360" w:lineRule="exact"/>
        <w:ind w:left="838" w:leftChars="342" w:hanging="120" w:hangingChars="50"/>
        <w:jc w:val="left"/>
        <w:rPr>
          <w:rFonts w:hint="eastAsia" w:ascii="宋体" w:hAnsi="宋体" w:cs="宋体"/>
          <w:color w:val="auto"/>
          <w:sz w:val="24"/>
          <w:highlight w:val="none"/>
        </w:rPr>
      </w:pPr>
      <w:r>
        <w:rPr>
          <w:rFonts w:hint="eastAsia" w:ascii="宋体" w:hAnsi="宋体" w:cs="宋体"/>
          <w:color w:val="auto"/>
          <w:sz w:val="24"/>
          <w:highlight w:val="none"/>
        </w:rPr>
        <w:t>（五）质疑不属于本项目采购方管辖的，告知质疑人向有管辖权的采购人提出质疑；</w:t>
      </w:r>
    </w:p>
    <w:p w14:paraId="6DC932C1">
      <w:pPr>
        <w:spacing w:line="360" w:lineRule="exact"/>
        <w:ind w:left="838" w:leftChars="342" w:hanging="120" w:hangingChars="50"/>
        <w:jc w:val="left"/>
        <w:rPr>
          <w:rFonts w:hint="eastAsia" w:ascii="宋体" w:hAnsi="宋体" w:cs="宋体"/>
          <w:color w:val="auto"/>
          <w:sz w:val="24"/>
          <w:highlight w:val="none"/>
        </w:rPr>
      </w:pPr>
      <w:r>
        <w:rPr>
          <w:rFonts w:hint="eastAsia" w:ascii="宋体" w:hAnsi="宋体" w:cs="宋体"/>
          <w:color w:val="auto"/>
          <w:sz w:val="24"/>
          <w:highlight w:val="none"/>
        </w:rPr>
        <w:t>（六）质疑不符合其他条件的，告知质疑人不予受理。</w:t>
      </w:r>
    </w:p>
    <w:p w14:paraId="28876B4E">
      <w:pPr>
        <w:spacing w:line="360" w:lineRule="exact"/>
        <w:ind w:left="840" w:hanging="840" w:hangingChars="350"/>
        <w:jc w:val="left"/>
        <w:rPr>
          <w:rFonts w:hint="eastAsia" w:ascii="宋体" w:hAnsi="宋体" w:cs="宋体"/>
          <w:color w:val="auto"/>
          <w:sz w:val="24"/>
          <w:highlight w:val="none"/>
        </w:rPr>
      </w:pPr>
      <w:r>
        <w:rPr>
          <w:rFonts w:hint="eastAsia" w:ascii="宋体" w:hAnsi="宋体" w:cs="宋体"/>
          <w:color w:val="auto"/>
          <w:sz w:val="24"/>
          <w:highlight w:val="none"/>
        </w:rPr>
        <w:t>36.17  质疑的处理和答复</w:t>
      </w:r>
    </w:p>
    <w:p w14:paraId="694AFEC1">
      <w:pPr>
        <w:spacing w:line="360" w:lineRule="exact"/>
        <w:ind w:left="840" w:hanging="840" w:hangingChars="350"/>
        <w:jc w:val="left"/>
        <w:rPr>
          <w:rFonts w:hint="eastAsia" w:ascii="宋体" w:hAnsi="宋体" w:cs="宋体"/>
          <w:color w:val="auto"/>
          <w:sz w:val="24"/>
          <w:highlight w:val="none"/>
        </w:rPr>
      </w:pPr>
      <w:r>
        <w:rPr>
          <w:rFonts w:hint="eastAsia" w:ascii="宋体" w:hAnsi="宋体" w:cs="宋体"/>
          <w:color w:val="auto"/>
          <w:sz w:val="24"/>
          <w:highlight w:val="none"/>
        </w:rPr>
        <w:t>36.18  采购方受理质疑后，将及时把质疑函发送给被质疑人，并要求其在一定限期内提交书面答复，同时提供有关证据、依据和相关材料。</w:t>
      </w:r>
    </w:p>
    <w:p w14:paraId="4800230B">
      <w:pPr>
        <w:spacing w:line="360" w:lineRule="exact"/>
        <w:ind w:left="840" w:hanging="840" w:hangingChars="350"/>
        <w:jc w:val="left"/>
        <w:rPr>
          <w:rFonts w:hint="eastAsia" w:ascii="宋体" w:hAnsi="宋体" w:cs="宋体"/>
          <w:color w:val="auto"/>
          <w:sz w:val="24"/>
          <w:highlight w:val="none"/>
        </w:rPr>
      </w:pPr>
      <w:r>
        <w:rPr>
          <w:rFonts w:hint="eastAsia" w:ascii="宋体" w:hAnsi="宋体" w:cs="宋体"/>
          <w:color w:val="auto"/>
          <w:sz w:val="24"/>
          <w:highlight w:val="none"/>
        </w:rPr>
        <w:t>36.19  对于质疑事项中涉及的问题较多、情况比较复杂的，为了全面查清事实、取得充分的证据，采购方认为有必要时，可以进行调查取证或者组织质证。</w:t>
      </w:r>
    </w:p>
    <w:p w14:paraId="653456AC">
      <w:pPr>
        <w:spacing w:line="360" w:lineRule="exact"/>
        <w:ind w:left="840" w:hanging="840" w:hangingChars="350"/>
        <w:jc w:val="left"/>
        <w:rPr>
          <w:rFonts w:hint="eastAsia" w:ascii="宋体" w:hAnsi="宋体" w:cs="宋体"/>
          <w:color w:val="auto"/>
          <w:sz w:val="24"/>
          <w:highlight w:val="none"/>
        </w:rPr>
      </w:pPr>
      <w:r>
        <w:rPr>
          <w:rFonts w:hint="eastAsia" w:ascii="宋体" w:hAnsi="宋体" w:cs="宋体"/>
          <w:color w:val="auto"/>
          <w:sz w:val="24"/>
          <w:highlight w:val="none"/>
        </w:rPr>
        <w:t>36.20  对评审过程、中标结果提出质疑的，采购方可以组织原</w:t>
      </w:r>
      <w:r>
        <w:rPr>
          <w:rFonts w:hint="eastAsia" w:ascii="宋体" w:hAnsi="宋体" w:cs="宋体"/>
          <w:color w:val="auto"/>
          <w:sz w:val="24"/>
          <w:highlight w:val="none"/>
          <w:lang w:eastAsia="zh-CN"/>
        </w:rPr>
        <w:t>磋商小组</w:t>
      </w:r>
      <w:r>
        <w:rPr>
          <w:rFonts w:hint="eastAsia" w:ascii="宋体" w:hAnsi="宋体" w:cs="宋体"/>
          <w:color w:val="auto"/>
          <w:sz w:val="24"/>
          <w:highlight w:val="none"/>
        </w:rPr>
        <w:t>协助答复质疑。</w:t>
      </w:r>
    </w:p>
    <w:p w14:paraId="63FA6FCC">
      <w:pPr>
        <w:spacing w:line="360" w:lineRule="exact"/>
        <w:ind w:left="840" w:hanging="840" w:hangingChars="350"/>
        <w:jc w:val="left"/>
        <w:rPr>
          <w:rFonts w:hint="eastAsia" w:ascii="宋体" w:hAnsi="宋体" w:cs="宋体"/>
          <w:color w:val="auto"/>
          <w:sz w:val="24"/>
          <w:highlight w:val="none"/>
        </w:rPr>
      </w:pPr>
      <w:r>
        <w:rPr>
          <w:rFonts w:hint="eastAsia" w:ascii="宋体" w:hAnsi="宋体" w:cs="宋体"/>
          <w:color w:val="auto"/>
          <w:sz w:val="24"/>
          <w:highlight w:val="none"/>
        </w:rPr>
        <w:t>36.21  质疑处理过程中，质疑人书面申请撤回质疑的，将终止质疑处理程序。</w:t>
      </w:r>
    </w:p>
    <w:p w14:paraId="23602A7F">
      <w:pPr>
        <w:spacing w:line="360" w:lineRule="exact"/>
        <w:ind w:left="840" w:hanging="840" w:hangingChars="350"/>
        <w:jc w:val="left"/>
        <w:rPr>
          <w:rFonts w:hint="eastAsia" w:ascii="宋体" w:hAnsi="宋体" w:cs="宋体"/>
          <w:color w:val="auto"/>
          <w:sz w:val="24"/>
          <w:highlight w:val="none"/>
        </w:rPr>
      </w:pPr>
      <w:r>
        <w:rPr>
          <w:rFonts w:hint="eastAsia" w:ascii="宋体" w:hAnsi="宋体" w:cs="宋体"/>
          <w:color w:val="auto"/>
          <w:sz w:val="24"/>
          <w:highlight w:val="none"/>
        </w:rPr>
        <w:t>36.22  质疑人拒绝配合采购方依法对质疑进行调查处理的，采购方将按质疑人自动撤回质疑处理；被质疑人拒绝配合采购方依法对质疑进行调查处理的，采购方将视同其认可质疑事项。</w:t>
      </w:r>
    </w:p>
    <w:p w14:paraId="399B6D0F">
      <w:pPr>
        <w:spacing w:line="360" w:lineRule="exact"/>
        <w:ind w:left="840" w:hanging="840" w:hangingChars="350"/>
        <w:jc w:val="left"/>
        <w:rPr>
          <w:rFonts w:hint="eastAsia" w:ascii="宋体" w:hAnsi="宋体" w:cs="宋体"/>
          <w:color w:val="auto"/>
          <w:sz w:val="24"/>
          <w:highlight w:val="none"/>
        </w:rPr>
      </w:pPr>
      <w:r>
        <w:rPr>
          <w:rFonts w:hint="eastAsia" w:ascii="宋体" w:hAnsi="宋体" w:cs="宋体"/>
          <w:color w:val="auto"/>
          <w:sz w:val="24"/>
          <w:highlight w:val="none"/>
        </w:rPr>
        <w:t>36.23  质疑人拒绝配合采购方依法对质疑进行调查处理的，采购方将按质疑人自动撤回质疑处理；被质疑人拒绝配合采购方依法对质疑进行调查处理的，采购方将视同其认可质疑事项。</w:t>
      </w:r>
    </w:p>
    <w:p w14:paraId="4F20056C">
      <w:pPr>
        <w:spacing w:line="360" w:lineRule="exact"/>
        <w:ind w:left="840" w:hanging="840" w:hangingChars="350"/>
        <w:jc w:val="left"/>
        <w:rPr>
          <w:rFonts w:hint="eastAsia" w:ascii="宋体" w:hAnsi="宋体" w:cs="宋体"/>
          <w:b/>
          <w:bCs/>
          <w:color w:val="auto"/>
          <w:sz w:val="24"/>
          <w:highlight w:val="none"/>
        </w:rPr>
      </w:pPr>
      <w:r>
        <w:rPr>
          <w:rFonts w:hint="eastAsia" w:ascii="宋体" w:hAnsi="宋体" w:cs="宋体"/>
          <w:color w:val="auto"/>
          <w:sz w:val="24"/>
          <w:highlight w:val="none"/>
        </w:rPr>
        <w:t xml:space="preserve">36.24  采购方将在正式受理质疑后7个工作日内作出答复。 </w:t>
      </w:r>
    </w:p>
    <w:p w14:paraId="4FB83640">
      <w:pPr>
        <w:pStyle w:val="49"/>
        <w:spacing w:line="360" w:lineRule="exact"/>
        <w:ind w:left="840" w:hanging="840" w:hangingChars="350"/>
        <w:rPr>
          <w:rFonts w:hint="eastAsia" w:hAnsi="宋体"/>
          <w:color w:val="auto"/>
          <w:highlight w:val="none"/>
        </w:rPr>
      </w:pPr>
      <w:r>
        <w:rPr>
          <w:rFonts w:hint="eastAsia" w:hAnsi="宋体"/>
          <w:color w:val="auto"/>
          <w:highlight w:val="none"/>
        </w:rPr>
        <w:t>36.25  质疑答复应当包括下列内容：</w:t>
      </w:r>
    </w:p>
    <w:p w14:paraId="0F769773">
      <w:pPr>
        <w:pStyle w:val="49"/>
        <w:spacing w:line="360" w:lineRule="exact"/>
        <w:ind w:left="838" w:leftChars="342" w:hanging="120" w:hangingChars="50"/>
        <w:rPr>
          <w:rFonts w:hint="eastAsia" w:hAnsi="宋体"/>
          <w:color w:val="auto"/>
          <w:highlight w:val="none"/>
        </w:rPr>
      </w:pPr>
      <w:r>
        <w:rPr>
          <w:rFonts w:hint="eastAsia" w:hAnsi="宋体"/>
          <w:color w:val="auto"/>
          <w:highlight w:val="none"/>
        </w:rPr>
        <w:t>（一）质疑人的姓名或者名称；</w:t>
      </w:r>
    </w:p>
    <w:p w14:paraId="38F08E19">
      <w:pPr>
        <w:pStyle w:val="49"/>
        <w:spacing w:line="360" w:lineRule="exact"/>
        <w:ind w:left="838" w:leftChars="342" w:hanging="120" w:hangingChars="50"/>
        <w:rPr>
          <w:rFonts w:hint="eastAsia" w:hAnsi="宋体"/>
          <w:color w:val="auto"/>
          <w:highlight w:val="none"/>
        </w:rPr>
      </w:pPr>
      <w:r>
        <w:rPr>
          <w:rFonts w:hint="eastAsia" w:hAnsi="宋体"/>
          <w:color w:val="auto"/>
          <w:highlight w:val="none"/>
        </w:rPr>
        <w:t>（二）收到质疑函的日期、质疑项目名称及编号；</w:t>
      </w:r>
    </w:p>
    <w:p w14:paraId="2FC9F191">
      <w:pPr>
        <w:pStyle w:val="49"/>
        <w:spacing w:line="360" w:lineRule="exact"/>
        <w:ind w:left="838" w:leftChars="342" w:hanging="120" w:hangingChars="50"/>
        <w:rPr>
          <w:rFonts w:hint="eastAsia" w:hAnsi="宋体"/>
          <w:color w:val="auto"/>
          <w:highlight w:val="none"/>
        </w:rPr>
      </w:pPr>
      <w:r>
        <w:rPr>
          <w:rFonts w:hint="eastAsia" w:hAnsi="宋体"/>
          <w:color w:val="auto"/>
          <w:highlight w:val="none"/>
        </w:rPr>
        <w:t>（三）质疑事项、质疑答复的具体内容、事实依据和法律依据；</w:t>
      </w:r>
    </w:p>
    <w:p w14:paraId="508EF84A">
      <w:pPr>
        <w:pStyle w:val="49"/>
        <w:spacing w:line="360" w:lineRule="exact"/>
        <w:ind w:left="838" w:leftChars="342" w:hanging="120" w:hangingChars="50"/>
        <w:rPr>
          <w:rFonts w:hint="eastAsia" w:hAnsi="宋体"/>
          <w:color w:val="auto"/>
          <w:highlight w:val="none"/>
        </w:rPr>
      </w:pPr>
      <w:r>
        <w:rPr>
          <w:rFonts w:hint="eastAsia" w:hAnsi="宋体"/>
          <w:color w:val="auto"/>
          <w:highlight w:val="none"/>
        </w:rPr>
        <w:t>（四）告知质疑</w:t>
      </w:r>
      <w:r>
        <w:rPr>
          <w:rFonts w:hint="eastAsia" w:hAnsi="宋体"/>
          <w:color w:val="auto"/>
          <w:highlight w:val="none"/>
          <w:lang w:eastAsia="zh-CN"/>
        </w:rPr>
        <w:t>投标人</w:t>
      </w:r>
      <w:r>
        <w:rPr>
          <w:rFonts w:hint="eastAsia" w:hAnsi="宋体"/>
          <w:color w:val="auto"/>
          <w:highlight w:val="none"/>
        </w:rPr>
        <w:t>依法投诉的权利；</w:t>
      </w:r>
    </w:p>
    <w:p w14:paraId="20798ACC">
      <w:pPr>
        <w:pStyle w:val="49"/>
        <w:spacing w:line="360" w:lineRule="exact"/>
        <w:ind w:left="838" w:leftChars="342" w:hanging="120" w:hangingChars="50"/>
        <w:rPr>
          <w:rFonts w:hint="eastAsia" w:hAnsi="宋体"/>
          <w:color w:val="auto"/>
          <w:highlight w:val="none"/>
        </w:rPr>
      </w:pPr>
      <w:r>
        <w:rPr>
          <w:rFonts w:hint="eastAsia" w:hAnsi="宋体"/>
          <w:color w:val="auto"/>
          <w:highlight w:val="none"/>
        </w:rPr>
        <w:t>（五）质疑答复人名称；</w:t>
      </w:r>
    </w:p>
    <w:p w14:paraId="4E93AE2D">
      <w:pPr>
        <w:pStyle w:val="49"/>
        <w:spacing w:line="360" w:lineRule="exact"/>
        <w:ind w:left="838" w:leftChars="342" w:hanging="120" w:hangingChars="50"/>
        <w:rPr>
          <w:rFonts w:hint="eastAsia" w:hAnsi="宋体"/>
          <w:color w:val="auto"/>
          <w:highlight w:val="none"/>
        </w:rPr>
      </w:pPr>
      <w:r>
        <w:rPr>
          <w:rFonts w:hint="eastAsia" w:hAnsi="宋体"/>
          <w:color w:val="auto"/>
          <w:highlight w:val="none"/>
        </w:rPr>
        <w:t>（六）答复质疑的日期。</w:t>
      </w:r>
    </w:p>
    <w:p w14:paraId="01DD5F53">
      <w:pPr>
        <w:spacing w:line="360" w:lineRule="exact"/>
        <w:jc w:val="center"/>
        <w:outlineLvl w:val="2"/>
        <w:rPr>
          <w:rFonts w:hint="eastAsia" w:ascii="宋体" w:hAnsi="宋体" w:cs="宋体"/>
          <w:b/>
          <w:bCs/>
          <w:color w:val="auto"/>
          <w:sz w:val="24"/>
          <w:highlight w:val="none"/>
        </w:rPr>
      </w:pPr>
      <w:bookmarkStart w:id="236" w:name="_Toc27096"/>
      <w:bookmarkStart w:id="237" w:name="_Toc30093"/>
      <w:bookmarkStart w:id="238" w:name="_Toc2799"/>
      <w:bookmarkStart w:id="239" w:name="_Toc6493"/>
      <w:bookmarkStart w:id="240" w:name="_Toc2500"/>
      <w:bookmarkStart w:id="241" w:name="_Toc11973"/>
      <w:bookmarkStart w:id="242" w:name="_Toc24946"/>
      <w:bookmarkStart w:id="243" w:name="_Toc30855"/>
      <w:bookmarkStart w:id="244" w:name="_Toc11297"/>
      <w:bookmarkStart w:id="245" w:name="_Toc4981"/>
      <w:bookmarkStart w:id="246" w:name="_Toc25636"/>
      <w:bookmarkStart w:id="247" w:name="_Toc9437"/>
      <w:bookmarkStart w:id="248" w:name="_Toc3696"/>
      <w:bookmarkStart w:id="249" w:name="_Toc30512"/>
      <w:bookmarkStart w:id="250" w:name="_Toc12088"/>
      <w:bookmarkStart w:id="251" w:name="_Toc22908"/>
      <w:bookmarkStart w:id="252" w:name="_Toc16652"/>
      <w:bookmarkStart w:id="253" w:name="_Toc1819"/>
      <w:bookmarkStart w:id="254" w:name="_Toc27146"/>
      <w:bookmarkStart w:id="255" w:name="_Toc16553"/>
      <w:bookmarkStart w:id="256" w:name="_Toc8353"/>
      <w:bookmarkStart w:id="257" w:name="_Toc5602"/>
      <w:bookmarkStart w:id="258" w:name="_Toc13021"/>
      <w:bookmarkStart w:id="259" w:name="_Toc1369"/>
      <w:bookmarkStart w:id="260" w:name="_Toc14742"/>
      <w:bookmarkStart w:id="261" w:name="_Toc23411"/>
      <w:bookmarkStart w:id="262" w:name="_Toc27601"/>
      <w:bookmarkStart w:id="263" w:name="_Toc2072"/>
      <w:bookmarkStart w:id="264" w:name="_Toc18518"/>
    </w:p>
    <w:p w14:paraId="3B5F9BFA">
      <w:pPr>
        <w:spacing w:line="360" w:lineRule="exact"/>
        <w:jc w:val="center"/>
        <w:outlineLvl w:val="2"/>
        <w:rPr>
          <w:rFonts w:hint="eastAsia" w:ascii="宋体" w:hAnsi="宋体" w:cs="宋体"/>
          <w:b/>
          <w:bCs/>
          <w:color w:val="auto"/>
          <w:sz w:val="24"/>
          <w:highlight w:val="none"/>
        </w:rPr>
      </w:pPr>
    </w:p>
    <w:p w14:paraId="7026FE4F">
      <w:pPr>
        <w:spacing w:line="360" w:lineRule="exact"/>
        <w:jc w:val="center"/>
        <w:outlineLvl w:val="2"/>
        <w:rPr>
          <w:rFonts w:hint="eastAsia" w:ascii="宋体" w:hAnsi="宋体" w:cs="宋体"/>
          <w:b/>
          <w:bCs/>
          <w:color w:val="auto"/>
          <w:sz w:val="24"/>
          <w:highlight w:val="none"/>
        </w:rPr>
      </w:pPr>
    </w:p>
    <w:p w14:paraId="0247D9F1">
      <w:pPr>
        <w:spacing w:line="360" w:lineRule="exact"/>
        <w:jc w:val="center"/>
        <w:outlineLvl w:val="2"/>
        <w:rPr>
          <w:rFonts w:hint="eastAsia" w:ascii="宋体" w:hAnsi="宋体" w:cs="宋体"/>
          <w:b/>
          <w:bCs/>
          <w:color w:val="auto"/>
          <w:sz w:val="24"/>
          <w:highlight w:val="none"/>
        </w:rPr>
      </w:pPr>
    </w:p>
    <w:p w14:paraId="3F72F337">
      <w:pPr>
        <w:spacing w:line="360" w:lineRule="exact"/>
        <w:jc w:val="center"/>
        <w:outlineLvl w:val="2"/>
        <w:rPr>
          <w:rFonts w:hint="eastAsia" w:ascii="宋体" w:hAnsi="宋体" w:cs="宋体"/>
          <w:b/>
          <w:bCs/>
          <w:color w:val="auto"/>
          <w:sz w:val="24"/>
          <w:highlight w:val="none"/>
        </w:rPr>
      </w:pPr>
    </w:p>
    <w:p w14:paraId="45673D1C">
      <w:pPr>
        <w:spacing w:line="360" w:lineRule="exact"/>
        <w:jc w:val="center"/>
        <w:outlineLvl w:val="2"/>
        <w:rPr>
          <w:rFonts w:hint="eastAsia" w:ascii="宋体" w:hAnsi="宋体" w:cs="宋体"/>
          <w:b/>
          <w:bCs/>
          <w:color w:val="auto"/>
          <w:sz w:val="24"/>
          <w:highlight w:val="none"/>
        </w:rPr>
      </w:pPr>
    </w:p>
    <w:p w14:paraId="0689A202">
      <w:pPr>
        <w:spacing w:line="360" w:lineRule="exact"/>
        <w:jc w:val="center"/>
        <w:outlineLvl w:val="2"/>
        <w:rPr>
          <w:rFonts w:hint="eastAsia" w:ascii="宋体" w:hAnsi="宋体" w:cs="宋体"/>
          <w:b/>
          <w:bCs/>
          <w:color w:val="auto"/>
          <w:sz w:val="24"/>
          <w:highlight w:val="none"/>
        </w:rPr>
      </w:pPr>
      <w:r>
        <w:rPr>
          <w:rFonts w:hint="eastAsia" w:ascii="宋体" w:hAnsi="宋体" w:cs="宋体"/>
          <w:b/>
          <w:bCs/>
          <w:color w:val="auto"/>
          <w:sz w:val="24"/>
          <w:highlight w:val="none"/>
        </w:rPr>
        <w:t>质疑函范本</w:t>
      </w:r>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p>
    <w:p w14:paraId="4545610C">
      <w:pPr>
        <w:adjustRightInd w:val="0"/>
        <w:snapToGrid w:val="0"/>
        <w:spacing w:line="360" w:lineRule="exact"/>
        <w:rPr>
          <w:rFonts w:hint="eastAsia" w:ascii="宋体" w:hAnsi="宋体" w:cs="宋体"/>
          <w:bCs/>
          <w:color w:val="auto"/>
          <w:sz w:val="24"/>
          <w:highlight w:val="none"/>
        </w:rPr>
      </w:pPr>
      <w:r>
        <w:rPr>
          <w:rFonts w:hint="eastAsia" w:ascii="宋体" w:hAnsi="宋体" w:cs="宋体"/>
          <w:bCs/>
          <w:color w:val="auto"/>
          <w:sz w:val="24"/>
          <w:highlight w:val="none"/>
        </w:rPr>
        <w:t>一、质疑</w:t>
      </w:r>
      <w:r>
        <w:rPr>
          <w:rFonts w:hint="eastAsia" w:ascii="宋体" w:hAnsi="宋体" w:cs="宋体"/>
          <w:bCs/>
          <w:color w:val="auto"/>
          <w:sz w:val="24"/>
          <w:highlight w:val="none"/>
          <w:lang w:eastAsia="zh-CN"/>
        </w:rPr>
        <w:t>投标人</w:t>
      </w:r>
      <w:r>
        <w:rPr>
          <w:rFonts w:hint="eastAsia" w:ascii="宋体" w:hAnsi="宋体" w:cs="宋体"/>
          <w:bCs/>
          <w:color w:val="auto"/>
          <w:sz w:val="24"/>
          <w:highlight w:val="none"/>
        </w:rPr>
        <w:t>基本信息</w:t>
      </w:r>
    </w:p>
    <w:p w14:paraId="7D4FA5F6">
      <w:pPr>
        <w:adjustRightInd w:val="0"/>
        <w:snapToGrid w:val="0"/>
        <w:spacing w:line="360" w:lineRule="exact"/>
        <w:rPr>
          <w:rFonts w:hint="eastAsia" w:ascii="宋体" w:hAnsi="宋体" w:cs="宋体"/>
          <w:color w:val="auto"/>
          <w:sz w:val="24"/>
          <w:highlight w:val="none"/>
          <w:u w:val="dotted"/>
        </w:rPr>
      </w:pPr>
      <w:r>
        <w:rPr>
          <w:rFonts w:hint="eastAsia" w:ascii="宋体" w:hAnsi="宋体" w:cs="宋体"/>
          <w:color w:val="auto"/>
          <w:sz w:val="24"/>
          <w:highlight w:val="none"/>
        </w:rPr>
        <w:t>质疑</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p>
    <w:p w14:paraId="2A526217">
      <w:pPr>
        <w:adjustRightInd w:val="0"/>
        <w:snapToGrid w:val="0"/>
        <w:spacing w:line="360" w:lineRule="exact"/>
        <w:rPr>
          <w:rFonts w:hint="eastAsia"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dotted"/>
        </w:rPr>
        <w:t xml:space="preserve">                    </w:t>
      </w:r>
    </w:p>
    <w:p w14:paraId="7DD0AF1A">
      <w:pPr>
        <w:adjustRightInd w:val="0"/>
        <w:snapToGrid w:val="0"/>
        <w:spacing w:line="360" w:lineRule="exact"/>
        <w:rPr>
          <w:rFonts w:hint="eastAsia" w:ascii="宋体" w:hAnsi="宋体" w:cs="宋体"/>
          <w:color w:val="auto"/>
          <w:sz w:val="24"/>
          <w:highlight w:val="none"/>
        </w:rPr>
      </w:pPr>
      <w:r>
        <w:rPr>
          <w:rFonts w:hint="eastAsia" w:ascii="宋体" w:hAnsi="宋体" w:cs="宋体"/>
          <w:color w:val="auto"/>
          <w:sz w:val="24"/>
          <w:highlight w:val="none"/>
        </w:rPr>
        <w:t>联系人：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single"/>
        </w:rPr>
        <w:t xml:space="preserve">                              </w:t>
      </w:r>
    </w:p>
    <w:p w14:paraId="3B329146">
      <w:pPr>
        <w:adjustRightInd w:val="0"/>
        <w:snapToGrid w:val="0"/>
        <w:spacing w:line="360" w:lineRule="exact"/>
        <w:rPr>
          <w:rFonts w:hint="eastAsia"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single"/>
        </w:rPr>
        <w:t xml:space="preserve">                                          </w:t>
      </w:r>
    </w:p>
    <w:p w14:paraId="1D144D2E">
      <w:pPr>
        <w:adjustRightInd w:val="0"/>
        <w:snapToGrid w:val="0"/>
        <w:spacing w:line="360" w:lineRule="exact"/>
        <w:rPr>
          <w:rFonts w:hint="eastAsia"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u w:val="single"/>
        </w:rPr>
        <w:t xml:space="preserve">                                          </w:t>
      </w:r>
    </w:p>
    <w:p w14:paraId="453C56E7">
      <w:pPr>
        <w:adjustRightInd w:val="0"/>
        <w:snapToGrid w:val="0"/>
        <w:spacing w:line="360" w:lineRule="exact"/>
        <w:rPr>
          <w:rFonts w:hint="eastAsia"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dotted"/>
        </w:rPr>
        <w:t xml:space="preserve">               </w:t>
      </w:r>
    </w:p>
    <w:p w14:paraId="200D4D58">
      <w:pPr>
        <w:adjustRightInd w:val="0"/>
        <w:snapToGrid w:val="0"/>
        <w:spacing w:line="360" w:lineRule="exact"/>
        <w:rPr>
          <w:rFonts w:hint="eastAsia" w:ascii="宋体" w:hAnsi="宋体" w:cs="宋体"/>
          <w:bCs/>
          <w:color w:val="auto"/>
          <w:sz w:val="24"/>
          <w:highlight w:val="none"/>
        </w:rPr>
      </w:pPr>
      <w:r>
        <w:rPr>
          <w:rFonts w:hint="eastAsia" w:ascii="宋体" w:hAnsi="宋体" w:cs="宋体"/>
          <w:bCs/>
          <w:color w:val="auto"/>
          <w:sz w:val="24"/>
          <w:highlight w:val="none"/>
        </w:rPr>
        <w:t>二、质疑项目基本情况</w:t>
      </w:r>
    </w:p>
    <w:p w14:paraId="229D6146">
      <w:pPr>
        <w:adjustRightInd w:val="0"/>
        <w:snapToGrid w:val="0"/>
        <w:spacing w:line="360" w:lineRule="exact"/>
        <w:rPr>
          <w:rFonts w:hint="eastAsia" w:ascii="宋体" w:hAnsi="宋体" w:cs="宋体"/>
          <w:color w:val="auto"/>
          <w:sz w:val="24"/>
          <w:highlight w:val="none"/>
        </w:rPr>
      </w:pPr>
      <w:r>
        <w:rPr>
          <w:rFonts w:hint="eastAsia" w:ascii="宋体" w:hAnsi="宋体" w:cs="宋体"/>
          <w:color w:val="auto"/>
          <w:sz w:val="24"/>
          <w:highlight w:val="none"/>
        </w:rPr>
        <w:t>质疑项目的名称：</w:t>
      </w:r>
      <w:r>
        <w:rPr>
          <w:rFonts w:hint="eastAsia" w:ascii="宋体" w:hAnsi="宋体" w:cs="宋体"/>
          <w:color w:val="auto"/>
          <w:sz w:val="24"/>
          <w:highlight w:val="none"/>
          <w:u w:val="single"/>
        </w:rPr>
        <w:t xml:space="preserve">                                      </w:t>
      </w:r>
    </w:p>
    <w:p w14:paraId="60863E73">
      <w:pPr>
        <w:adjustRightInd w:val="0"/>
        <w:snapToGrid w:val="0"/>
        <w:spacing w:line="360" w:lineRule="exact"/>
        <w:rPr>
          <w:rFonts w:hint="eastAsia" w:ascii="宋体" w:hAnsi="宋体" w:cs="宋体"/>
          <w:color w:val="auto"/>
          <w:sz w:val="24"/>
          <w:highlight w:val="none"/>
        </w:rPr>
      </w:pPr>
      <w:r>
        <w:rPr>
          <w:rFonts w:hint="eastAsia" w:ascii="宋体" w:hAnsi="宋体" w:cs="宋体"/>
          <w:color w:val="auto"/>
          <w:sz w:val="24"/>
          <w:highlight w:val="none"/>
        </w:rPr>
        <w:t>质疑项目的编号：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single"/>
        </w:rPr>
        <w:t xml:space="preserve">                 </w:t>
      </w:r>
    </w:p>
    <w:p w14:paraId="1BC8D90F">
      <w:pPr>
        <w:adjustRightInd w:val="0"/>
        <w:snapToGrid w:val="0"/>
        <w:spacing w:line="360" w:lineRule="exact"/>
        <w:rPr>
          <w:rFonts w:hint="eastAsia" w:ascii="宋体" w:hAnsi="宋体" w:cs="宋体"/>
          <w:color w:val="auto"/>
          <w:sz w:val="24"/>
          <w:highlight w:val="none"/>
          <w:u w:val="single"/>
        </w:rPr>
      </w:pPr>
      <w:r>
        <w:rPr>
          <w:rFonts w:hint="eastAsia" w:ascii="宋体" w:hAnsi="宋体" w:cs="宋体"/>
          <w:color w:val="auto"/>
          <w:sz w:val="24"/>
          <w:highlight w:val="none"/>
        </w:rPr>
        <w:t>采购人名称：</w:t>
      </w:r>
      <w:r>
        <w:rPr>
          <w:rFonts w:hint="eastAsia" w:ascii="宋体" w:hAnsi="宋体" w:cs="宋体"/>
          <w:color w:val="auto"/>
          <w:sz w:val="24"/>
          <w:highlight w:val="none"/>
          <w:u w:val="single"/>
        </w:rPr>
        <w:t xml:space="preserve">                                         </w:t>
      </w:r>
    </w:p>
    <w:p w14:paraId="0665A08C">
      <w:pPr>
        <w:adjustRightInd w:val="0"/>
        <w:snapToGrid w:val="0"/>
        <w:spacing w:line="360" w:lineRule="exact"/>
        <w:rPr>
          <w:rFonts w:hint="eastAsia" w:ascii="宋体" w:hAnsi="宋体" w:cs="宋体"/>
          <w:color w:val="auto"/>
          <w:sz w:val="24"/>
          <w:highlight w:val="none"/>
          <w:u w:val="single"/>
        </w:rPr>
      </w:pPr>
      <w:r>
        <w:rPr>
          <w:rFonts w:hint="eastAsia" w:ascii="宋体" w:hAnsi="宋体" w:cs="宋体"/>
          <w:color w:val="auto"/>
          <w:sz w:val="24"/>
          <w:highlight w:val="none"/>
        </w:rPr>
        <w:t>采购文件获取日期：</w:t>
      </w:r>
      <w:r>
        <w:rPr>
          <w:rFonts w:hint="eastAsia" w:ascii="宋体" w:hAnsi="宋体" w:cs="宋体"/>
          <w:color w:val="auto"/>
          <w:sz w:val="24"/>
          <w:highlight w:val="none"/>
          <w:u w:val="single"/>
        </w:rPr>
        <w:t xml:space="preserve">                                           </w:t>
      </w:r>
    </w:p>
    <w:p w14:paraId="025AA42F">
      <w:pPr>
        <w:adjustRightInd w:val="0"/>
        <w:snapToGrid w:val="0"/>
        <w:spacing w:line="360" w:lineRule="exact"/>
        <w:rPr>
          <w:rFonts w:hint="eastAsia" w:ascii="宋体" w:hAnsi="宋体" w:cs="宋体"/>
          <w:bCs/>
          <w:color w:val="auto"/>
          <w:sz w:val="24"/>
          <w:highlight w:val="none"/>
        </w:rPr>
      </w:pPr>
      <w:r>
        <w:rPr>
          <w:rFonts w:hint="eastAsia" w:ascii="宋体" w:hAnsi="宋体" w:cs="宋体"/>
          <w:bCs/>
          <w:color w:val="auto"/>
          <w:sz w:val="24"/>
          <w:highlight w:val="none"/>
        </w:rPr>
        <w:t>三、质疑事项具体内容</w:t>
      </w:r>
    </w:p>
    <w:p w14:paraId="4A9DFF8F">
      <w:pPr>
        <w:adjustRightInd w:val="0"/>
        <w:snapToGrid w:val="0"/>
        <w:spacing w:line="360" w:lineRule="exact"/>
        <w:rPr>
          <w:rFonts w:hint="eastAsia" w:ascii="宋体" w:hAnsi="宋体" w:cs="宋体"/>
          <w:color w:val="auto"/>
          <w:sz w:val="24"/>
          <w:highlight w:val="none"/>
          <w:u w:val="dotted"/>
        </w:rPr>
      </w:pPr>
      <w:r>
        <w:rPr>
          <w:rFonts w:hint="eastAsia" w:ascii="宋体" w:hAnsi="宋体" w:cs="宋体"/>
          <w:color w:val="auto"/>
          <w:sz w:val="24"/>
          <w:highlight w:val="none"/>
        </w:rPr>
        <w:t>质疑事项1：</w:t>
      </w:r>
      <w:r>
        <w:rPr>
          <w:rFonts w:hint="eastAsia" w:ascii="宋体" w:hAnsi="宋体" w:cs="宋体"/>
          <w:color w:val="auto"/>
          <w:sz w:val="24"/>
          <w:highlight w:val="none"/>
          <w:u w:val="single"/>
        </w:rPr>
        <w:t xml:space="preserve">                                         </w:t>
      </w:r>
    </w:p>
    <w:p w14:paraId="6F1625EE">
      <w:pPr>
        <w:adjustRightInd w:val="0"/>
        <w:snapToGrid w:val="0"/>
        <w:spacing w:line="360" w:lineRule="exact"/>
        <w:rPr>
          <w:rFonts w:hint="eastAsia" w:ascii="宋体" w:hAnsi="宋体" w:cs="宋体"/>
          <w:color w:val="auto"/>
          <w:sz w:val="24"/>
          <w:highlight w:val="none"/>
          <w:u w:val="single"/>
        </w:rPr>
      </w:pPr>
      <w:r>
        <w:rPr>
          <w:rFonts w:hint="eastAsia" w:ascii="宋体" w:hAnsi="宋体" w:cs="宋体"/>
          <w:color w:val="auto"/>
          <w:sz w:val="24"/>
          <w:highlight w:val="none"/>
        </w:rPr>
        <w:t>事实依据：</w:t>
      </w:r>
      <w:r>
        <w:rPr>
          <w:rFonts w:hint="eastAsia" w:ascii="宋体" w:hAnsi="宋体" w:cs="宋体"/>
          <w:color w:val="auto"/>
          <w:sz w:val="24"/>
          <w:highlight w:val="none"/>
          <w:u w:val="single"/>
        </w:rPr>
        <w:t xml:space="preserve">                                          </w:t>
      </w:r>
    </w:p>
    <w:p w14:paraId="409029FD">
      <w:pPr>
        <w:adjustRightInd w:val="0"/>
        <w:snapToGrid w:val="0"/>
        <w:spacing w:line="360" w:lineRule="exact"/>
        <w:rPr>
          <w:rFonts w:hint="eastAsia" w:ascii="宋体" w:hAnsi="宋体" w:cs="宋体"/>
          <w:color w:val="auto"/>
          <w:sz w:val="24"/>
          <w:highlight w:val="none"/>
        </w:rPr>
      </w:pPr>
      <w:r>
        <w:rPr>
          <w:rFonts w:hint="eastAsia" w:ascii="宋体" w:hAnsi="宋体" w:cs="宋体"/>
          <w:color w:val="auto"/>
          <w:sz w:val="24"/>
          <w:highlight w:val="none"/>
          <w:u w:val="single"/>
        </w:rPr>
        <w:t xml:space="preserve">                                                       </w:t>
      </w:r>
    </w:p>
    <w:p w14:paraId="4AA65C14">
      <w:pPr>
        <w:adjustRightInd w:val="0"/>
        <w:snapToGrid w:val="0"/>
        <w:spacing w:line="360" w:lineRule="exact"/>
        <w:rPr>
          <w:rFonts w:hint="eastAsia" w:ascii="宋体" w:hAnsi="宋体" w:cs="宋体"/>
          <w:color w:val="auto"/>
          <w:sz w:val="24"/>
          <w:highlight w:val="none"/>
          <w:u w:val="single"/>
        </w:rPr>
      </w:pPr>
      <w:r>
        <w:rPr>
          <w:rFonts w:hint="eastAsia" w:ascii="宋体" w:hAnsi="宋体" w:cs="宋体"/>
          <w:color w:val="auto"/>
          <w:sz w:val="24"/>
          <w:highlight w:val="none"/>
        </w:rPr>
        <w:t>法律依据：</w:t>
      </w:r>
      <w:r>
        <w:rPr>
          <w:rFonts w:hint="eastAsia" w:ascii="宋体" w:hAnsi="宋体" w:cs="宋体"/>
          <w:color w:val="auto"/>
          <w:sz w:val="24"/>
          <w:highlight w:val="none"/>
          <w:u w:val="single"/>
        </w:rPr>
        <w:t xml:space="preserve">                                          </w:t>
      </w:r>
    </w:p>
    <w:p w14:paraId="3F62F265">
      <w:pPr>
        <w:adjustRightInd w:val="0"/>
        <w:snapToGrid w:val="0"/>
        <w:spacing w:line="360" w:lineRule="exact"/>
        <w:rPr>
          <w:rFonts w:hint="eastAsia" w:ascii="宋体" w:hAnsi="宋体" w:cs="宋体"/>
          <w:color w:val="auto"/>
          <w:sz w:val="24"/>
          <w:highlight w:val="none"/>
          <w:u w:val="dotted"/>
        </w:rPr>
      </w:pPr>
      <w:r>
        <w:rPr>
          <w:rFonts w:hint="eastAsia" w:ascii="宋体" w:hAnsi="宋体" w:cs="宋体"/>
          <w:color w:val="auto"/>
          <w:sz w:val="24"/>
          <w:highlight w:val="none"/>
          <w:u w:val="single"/>
        </w:rPr>
        <w:t xml:space="preserve">                                                     </w:t>
      </w:r>
    </w:p>
    <w:p w14:paraId="5FAC004F">
      <w:pPr>
        <w:adjustRightInd w:val="0"/>
        <w:snapToGrid w:val="0"/>
        <w:spacing w:line="360" w:lineRule="exact"/>
        <w:rPr>
          <w:rFonts w:hint="eastAsia" w:ascii="宋体" w:hAnsi="宋体" w:cs="宋体"/>
          <w:color w:val="auto"/>
          <w:sz w:val="24"/>
          <w:highlight w:val="none"/>
          <w:u w:val="dotted"/>
        </w:rPr>
      </w:pPr>
      <w:r>
        <w:rPr>
          <w:rFonts w:hint="eastAsia" w:ascii="宋体" w:hAnsi="宋体" w:cs="宋体"/>
          <w:color w:val="auto"/>
          <w:sz w:val="24"/>
          <w:highlight w:val="none"/>
        </w:rPr>
        <w:t>质疑事项2</w:t>
      </w:r>
    </w:p>
    <w:p w14:paraId="481038E7">
      <w:pPr>
        <w:adjustRightInd w:val="0"/>
        <w:snapToGrid w:val="0"/>
        <w:spacing w:line="360" w:lineRule="exact"/>
        <w:rPr>
          <w:rFonts w:hint="eastAsia" w:ascii="宋体" w:hAnsi="宋体" w:cs="宋体"/>
          <w:color w:val="auto"/>
          <w:sz w:val="24"/>
          <w:highlight w:val="none"/>
        </w:rPr>
      </w:pPr>
      <w:r>
        <w:rPr>
          <w:rFonts w:hint="eastAsia" w:ascii="宋体" w:hAnsi="宋体" w:cs="宋体"/>
          <w:color w:val="auto"/>
          <w:sz w:val="24"/>
          <w:highlight w:val="none"/>
        </w:rPr>
        <w:t>……</w:t>
      </w:r>
    </w:p>
    <w:p w14:paraId="04C6DD61">
      <w:pPr>
        <w:adjustRightInd w:val="0"/>
        <w:snapToGrid w:val="0"/>
        <w:spacing w:line="360" w:lineRule="exact"/>
        <w:rPr>
          <w:rFonts w:hint="eastAsia" w:ascii="宋体" w:hAnsi="宋体" w:cs="宋体"/>
          <w:bCs/>
          <w:color w:val="auto"/>
          <w:sz w:val="24"/>
          <w:highlight w:val="none"/>
        </w:rPr>
      </w:pPr>
      <w:r>
        <w:rPr>
          <w:rFonts w:hint="eastAsia" w:ascii="宋体" w:hAnsi="宋体" w:cs="宋体"/>
          <w:bCs/>
          <w:color w:val="auto"/>
          <w:sz w:val="24"/>
          <w:highlight w:val="none"/>
        </w:rPr>
        <w:t>四、与质疑事项相关的质疑请求</w:t>
      </w:r>
    </w:p>
    <w:p w14:paraId="23881B49">
      <w:pPr>
        <w:adjustRightInd w:val="0"/>
        <w:snapToGrid w:val="0"/>
        <w:spacing w:line="360" w:lineRule="exact"/>
        <w:rPr>
          <w:rFonts w:hint="eastAsia" w:ascii="宋体" w:hAnsi="宋体" w:cs="宋体"/>
          <w:color w:val="auto"/>
          <w:sz w:val="24"/>
          <w:highlight w:val="none"/>
          <w:u w:val="single"/>
        </w:rPr>
      </w:pPr>
      <w:r>
        <w:rPr>
          <w:rFonts w:hint="eastAsia" w:ascii="宋体" w:hAnsi="宋体" w:cs="宋体"/>
          <w:color w:val="auto"/>
          <w:sz w:val="24"/>
          <w:highlight w:val="none"/>
        </w:rPr>
        <w:t>请求：</w:t>
      </w:r>
      <w:r>
        <w:rPr>
          <w:rFonts w:hint="eastAsia" w:ascii="宋体" w:hAnsi="宋体" w:cs="宋体"/>
          <w:color w:val="auto"/>
          <w:sz w:val="24"/>
          <w:highlight w:val="none"/>
          <w:u w:val="single"/>
        </w:rPr>
        <w:t xml:space="preserve">                                               </w:t>
      </w:r>
    </w:p>
    <w:p w14:paraId="45A53937">
      <w:pPr>
        <w:spacing w:line="360" w:lineRule="exact"/>
        <w:rPr>
          <w:rFonts w:hint="eastAsia" w:ascii="宋体" w:hAnsi="宋体" w:cs="宋体"/>
          <w:color w:val="auto"/>
          <w:sz w:val="24"/>
          <w:highlight w:val="none"/>
        </w:rPr>
      </w:pPr>
      <w:r>
        <w:rPr>
          <w:rFonts w:hint="eastAsia" w:ascii="宋体" w:hAnsi="宋体" w:cs="宋体"/>
          <w:color w:val="auto"/>
          <w:sz w:val="24"/>
          <w:highlight w:val="none"/>
        </w:rPr>
        <w:t xml:space="preserve">签字(签章)：                   公章：                      </w:t>
      </w:r>
    </w:p>
    <w:p w14:paraId="69317B05">
      <w:pPr>
        <w:spacing w:line="360" w:lineRule="exact"/>
        <w:rPr>
          <w:rFonts w:hint="eastAsia" w:ascii="宋体" w:hAnsi="宋体" w:cs="宋体"/>
          <w:color w:val="auto"/>
          <w:sz w:val="24"/>
          <w:highlight w:val="none"/>
        </w:rPr>
      </w:pPr>
      <w:r>
        <w:rPr>
          <w:rFonts w:hint="eastAsia" w:ascii="宋体" w:hAnsi="宋体" w:cs="宋体"/>
          <w:color w:val="auto"/>
          <w:sz w:val="24"/>
          <w:highlight w:val="none"/>
        </w:rPr>
        <w:t xml:space="preserve">日期：    </w:t>
      </w:r>
    </w:p>
    <w:p w14:paraId="0B98CCD8">
      <w:pPr>
        <w:spacing w:line="360" w:lineRule="exact"/>
        <w:rPr>
          <w:rFonts w:hint="eastAsia" w:ascii="宋体" w:hAnsi="宋体" w:cs="宋体"/>
          <w:b/>
          <w:color w:val="auto"/>
          <w:sz w:val="24"/>
          <w:highlight w:val="none"/>
        </w:rPr>
      </w:pPr>
    </w:p>
    <w:p w14:paraId="612D623C">
      <w:pPr>
        <w:spacing w:line="360" w:lineRule="exact"/>
        <w:rPr>
          <w:rFonts w:hint="eastAsia" w:ascii="宋体" w:hAnsi="宋体" w:cs="宋体"/>
          <w:b/>
          <w:color w:val="auto"/>
          <w:sz w:val="24"/>
          <w:highlight w:val="none"/>
        </w:rPr>
      </w:pPr>
      <w:r>
        <w:rPr>
          <w:rFonts w:hint="eastAsia" w:ascii="宋体" w:hAnsi="宋体" w:cs="宋体"/>
          <w:b/>
          <w:color w:val="auto"/>
          <w:sz w:val="24"/>
          <w:highlight w:val="none"/>
        </w:rPr>
        <w:t>质疑函制作说明：</w:t>
      </w:r>
    </w:p>
    <w:p w14:paraId="0AC6D9A9">
      <w:pPr>
        <w:widowControl/>
        <w:spacing w:line="36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提出质疑时，应提交质疑函和必要的证明材料。</w:t>
      </w:r>
    </w:p>
    <w:p w14:paraId="7DC41907">
      <w:pPr>
        <w:widowControl/>
        <w:spacing w:line="36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2.质疑</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若委托代理人进行质疑的，质疑函应按要求列明“授权代表”的有关内容，并在附件中提交由质疑</w:t>
      </w:r>
      <w:r>
        <w:rPr>
          <w:rFonts w:hint="eastAsia" w:ascii="宋体" w:hAnsi="宋体" w:cs="宋体"/>
          <w:color w:val="auto"/>
          <w:kern w:val="0"/>
          <w:sz w:val="24"/>
          <w:highlight w:val="none"/>
          <w:lang w:eastAsia="zh-CN"/>
        </w:rPr>
        <w:t>投标人</w:t>
      </w:r>
      <w:r>
        <w:rPr>
          <w:rFonts w:hint="eastAsia" w:ascii="宋体" w:hAnsi="宋体" w:cs="宋体"/>
          <w:color w:val="auto"/>
          <w:kern w:val="0"/>
          <w:sz w:val="24"/>
          <w:highlight w:val="none"/>
        </w:rPr>
        <w:t>签署的授权委托书。授权委托书应载明代理人的姓名或者名称、代理事项、具体权限、期限和相关事项。</w:t>
      </w:r>
    </w:p>
    <w:p w14:paraId="5E00C7A8">
      <w:pPr>
        <w:widowControl/>
        <w:spacing w:line="36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3.质疑</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若对项目的某一分包进行质疑，质疑函中应列明具体分包号。</w:t>
      </w:r>
    </w:p>
    <w:p w14:paraId="4467EC54">
      <w:pPr>
        <w:widowControl/>
        <w:spacing w:line="36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4.质疑函的质疑事项应具体、明确，并有必要的事实依据和法律依据。</w:t>
      </w:r>
    </w:p>
    <w:p w14:paraId="2792E51C">
      <w:pPr>
        <w:widowControl/>
        <w:spacing w:line="36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5.质疑函的质疑请求应与质疑事项相关。</w:t>
      </w:r>
    </w:p>
    <w:p w14:paraId="6FF8151D">
      <w:pPr>
        <w:widowControl/>
        <w:spacing w:line="36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6.质疑</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为自然人的，质疑函应由本人签字；质疑</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为法人或者其他组织的，质疑函应由法定代表人、主要负责人，或者其授权代表签字或者盖章，并加盖公章。</w:t>
      </w:r>
    </w:p>
    <w:p w14:paraId="4104F0C0">
      <w:pPr>
        <w:keepNext w:val="0"/>
        <w:keepLines w:val="0"/>
        <w:pageBreakBefore w:val="0"/>
        <w:widowControl w:val="0"/>
        <w:kinsoku/>
        <w:wordWrap/>
        <w:overflowPunct/>
        <w:topLinePunct w:val="0"/>
        <w:bidi w:val="0"/>
        <w:spacing w:line="360" w:lineRule="exact"/>
        <w:ind w:left="0" w:leftChars="0"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br w:type="page"/>
      </w:r>
      <w:bookmarkStart w:id="265" w:name="_Toc11469"/>
      <w:bookmarkStart w:id="266" w:name="_Toc16186"/>
      <w:bookmarkStart w:id="267" w:name="_Toc515647799"/>
      <w:bookmarkStart w:id="268" w:name="_Toc21748"/>
    </w:p>
    <w:bookmarkEnd w:id="265"/>
    <w:bookmarkEnd w:id="266"/>
    <w:bookmarkEnd w:id="267"/>
    <w:bookmarkEnd w:id="268"/>
    <w:p w14:paraId="710F0C7D">
      <w:pPr>
        <w:pStyle w:val="2"/>
        <w:keepNext w:val="0"/>
        <w:keepLines w:val="0"/>
        <w:pageBreakBefore w:val="0"/>
        <w:widowControl w:val="0"/>
        <w:numPr>
          <w:ilvl w:val="0"/>
          <w:numId w:val="1"/>
        </w:numPr>
        <w:kinsoku/>
        <w:overflowPunct/>
        <w:bidi w:val="0"/>
        <w:spacing w:before="0" w:after="0" w:line="240" w:lineRule="atLeast"/>
        <w:ind w:left="4650" w:leftChars="0" w:firstLineChars="0"/>
        <w:jc w:val="both"/>
        <w:rPr>
          <w:rFonts w:hint="eastAsia" w:ascii="宋体" w:hAnsi="宋体" w:eastAsia="宋体" w:cs="宋体"/>
          <w:color w:val="auto"/>
          <w:highlight w:val="none"/>
        </w:rPr>
      </w:pPr>
      <w:bookmarkStart w:id="269" w:name="_Toc515647802"/>
      <w:bookmarkStart w:id="270" w:name="_Toc702"/>
      <w:bookmarkStart w:id="271" w:name="_Toc728"/>
      <w:bookmarkStart w:id="272" w:name="_Toc19692"/>
      <w:bookmarkStart w:id="273" w:name="_Toc216582812"/>
      <w:r>
        <w:rPr>
          <w:rFonts w:hint="eastAsia" w:hAnsi="宋体" w:cs="宋体"/>
          <w:color w:val="auto"/>
          <w:highlight w:val="none"/>
          <w:lang w:eastAsia="zh-CN"/>
        </w:rPr>
        <w:t>响应文件</w:t>
      </w:r>
      <w:r>
        <w:rPr>
          <w:rFonts w:hint="eastAsia" w:ascii="宋体" w:hAnsi="宋体" w:eastAsia="宋体" w:cs="宋体"/>
          <w:color w:val="auto"/>
          <w:highlight w:val="none"/>
        </w:rPr>
        <w:t>格式</w:t>
      </w:r>
      <w:bookmarkEnd w:id="269"/>
      <w:bookmarkEnd w:id="270"/>
      <w:bookmarkEnd w:id="271"/>
      <w:bookmarkEnd w:id="272"/>
      <w:bookmarkEnd w:id="273"/>
    </w:p>
    <w:p w14:paraId="355B60D1">
      <w:pPr>
        <w:pStyle w:val="3"/>
        <w:keepNext w:val="0"/>
        <w:keepLines w:val="0"/>
        <w:pageBreakBefore w:val="0"/>
        <w:widowControl w:val="0"/>
        <w:kinsoku/>
        <w:overflowPunct/>
        <w:bidi w:val="0"/>
        <w:spacing w:before="0" w:line="240" w:lineRule="atLeast"/>
        <w:jc w:val="center"/>
        <w:rPr>
          <w:rFonts w:hint="eastAsia" w:ascii="宋体" w:hAnsi="宋体" w:eastAsia="宋体" w:cs="宋体"/>
          <w:color w:val="auto"/>
          <w:sz w:val="28"/>
          <w:szCs w:val="28"/>
          <w:highlight w:val="none"/>
        </w:rPr>
      </w:pPr>
      <w:bookmarkStart w:id="274" w:name="_Toc515647803"/>
      <w:bookmarkStart w:id="275" w:name="_Toc6220"/>
      <w:bookmarkStart w:id="276" w:name="_Toc18694"/>
      <w:bookmarkStart w:id="277" w:name="_Toc18974"/>
      <w:r>
        <w:rPr>
          <w:rFonts w:hint="eastAsia" w:ascii="宋体" w:hAnsi="宋体" w:eastAsia="宋体" w:cs="宋体"/>
          <w:color w:val="auto"/>
          <w:sz w:val="28"/>
          <w:szCs w:val="28"/>
          <w:highlight w:val="none"/>
        </w:rPr>
        <w:t>第一部分 开标一览表及资格证明文件</w:t>
      </w:r>
      <w:bookmarkEnd w:id="274"/>
      <w:bookmarkEnd w:id="275"/>
      <w:bookmarkEnd w:id="276"/>
      <w:bookmarkEnd w:id="277"/>
    </w:p>
    <w:p w14:paraId="1094345E">
      <w:pPr>
        <w:keepNext w:val="0"/>
        <w:keepLines w:val="0"/>
        <w:pageBreakBefore w:val="0"/>
        <w:widowControl w:val="0"/>
        <w:kinsoku/>
        <w:overflowPunct/>
        <w:bidi w:val="0"/>
        <w:spacing w:line="240" w:lineRule="atLeast"/>
        <w:ind w:left="708" w:hanging="708" w:hangingChars="295"/>
        <w:jc w:val="center"/>
        <w:rPr>
          <w:rFonts w:hint="eastAsia" w:ascii="宋体" w:hAnsi="宋体" w:eastAsia="宋体" w:cs="宋体"/>
          <w:color w:val="auto"/>
          <w:sz w:val="24"/>
          <w:highlight w:val="none"/>
        </w:rPr>
      </w:pPr>
    </w:p>
    <w:p w14:paraId="46D37DF9">
      <w:pPr>
        <w:keepNext w:val="0"/>
        <w:keepLines w:val="0"/>
        <w:pageBreakBefore w:val="0"/>
        <w:widowControl w:val="0"/>
        <w:tabs>
          <w:tab w:val="left" w:pos="5580"/>
        </w:tabs>
        <w:kinsoku/>
        <w:overflowPunct/>
        <w:bidi w:val="0"/>
        <w:spacing w:line="3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1、开标一览表；</w:t>
      </w:r>
    </w:p>
    <w:p w14:paraId="51F5AC23">
      <w:pPr>
        <w:keepNext w:val="0"/>
        <w:keepLines w:val="0"/>
        <w:pageBreakBefore w:val="0"/>
        <w:widowControl w:val="0"/>
        <w:tabs>
          <w:tab w:val="left" w:pos="5580"/>
        </w:tabs>
        <w:kinsoku/>
        <w:overflowPunct/>
        <w:bidi w:val="0"/>
        <w:spacing w:line="36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w:t>
      </w:r>
      <w:r>
        <w:rPr>
          <w:rFonts w:hint="eastAsia" w:ascii="宋体" w:hAnsi="宋体" w:cs="宋体"/>
          <w:color w:val="auto"/>
          <w:sz w:val="24"/>
          <w:highlight w:val="none"/>
          <w:lang w:val="en-US" w:eastAsia="zh-CN"/>
        </w:rPr>
        <w:t>单位三证合一营业执照</w:t>
      </w:r>
      <w:r>
        <w:rPr>
          <w:rFonts w:hint="eastAsia" w:ascii="宋体" w:hAnsi="宋体" w:eastAsia="宋体" w:cs="宋体"/>
          <w:color w:val="auto"/>
          <w:sz w:val="24"/>
          <w:highlight w:val="none"/>
          <w:lang w:val="en-US" w:eastAsia="zh-CN"/>
        </w:rPr>
        <w:t>；</w:t>
      </w:r>
    </w:p>
    <w:p w14:paraId="747A0D6F">
      <w:pPr>
        <w:keepNext w:val="0"/>
        <w:keepLines w:val="0"/>
        <w:pageBreakBefore w:val="0"/>
        <w:widowControl w:val="0"/>
        <w:tabs>
          <w:tab w:val="left" w:pos="5580"/>
        </w:tabs>
        <w:kinsoku/>
        <w:overflowPunct/>
        <w:bidi w:val="0"/>
        <w:spacing w:line="360" w:lineRule="exact"/>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法定代表人身份证明书；法定代表人授权委托书</w:t>
      </w:r>
      <w:r>
        <w:rPr>
          <w:rFonts w:hint="eastAsia" w:ascii="宋体" w:hAnsi="宋体" w:eastAsia="宋体" w:cs="宋体"/>
          <w:color w:val="auto"/>
          <w:sz w:val="24"/>
          <w:highlight w:val="none"/>
        </w:rPr>
        <w:t>；</w:t>
      </w:r>
    </w:p>
    <w:p w14:paraId="0643CFF8">
      <w:pPr>
        <w:keepNext w:val="0"/>
        <w:keepLines w:val="0"/>
        <w:pageBreakBefore w:val="0"/>
        <w:widowControl w:val="0"/>
        <w:tabs>
          <w:tab w:val="left" w:pos="5580"/>
        </w:tabs>
        <w:kinsoku/>
        <w:overflowPunct/>
        <w:bidi w:val="0"/>
        <w:spacing w:line="360" w:lineRule="exact"/>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lang w:eastAsia="zh-CN"/>
        </w:rPr>
        <w:t>依法缴纳近六个月中任意一个月的社保凭证；依法缴纳近六个月任意一个月的税收良好记录证明（</w:t>
      </w:r>
      <w:r>
        <w:rPr>
          <w:rFonts w:hint="eastAsia" w:ascii="宋体" w:hAnsi="宋体" w:eastAsia="宋体" w:cs="宋体"/>
          <w:color w:val="auto"/>
          <w:sz w:val="24"/>
          <w:highlight w:val="none"/>
          <w:lang w:val="en-US" w:eastAsia="zh-CN"/>
        </w:rPr>
        <w:t>零申报需加盖税务机关章、无拖欠税收证明需加盖税务机关章、</w:t>
      </w:r>
      <w:r>
        <w:rPr>
          <w:rFonts w:hint="eastAsia" w:ascii="宋体" w:hAnsi="宋体" w:eastAsia="宋体" w:cs="宋体"/>
          <w:color w:val="auto"/>
          <w:sz w:val="24"/>
          <w:highlight w:val="none"/>
          <w:lang w:eastAsia="zh-CN"/>
        </w:rPr>
        <w:t>完税证明为非社保缴纳明细）；</w:t>
      </w:r>
    </w:p>
    <w:p w14:paraId="3A3C57EE">
      <w:pPr>
        <w:keepNext w:val="0"/>
        <w:keepLines w:val="0"/>
        <w:pageBreakBefore w:val="0"/>
        <w:widowControl w:val="0"/>
        <w:tabs>
          <w:tab w:val="left" w:pos="5580"/>
        </w:tabs>
        <w:kinsoku/>
        <w:overflowPunct/>
        <w:bidi w:val="0"/>
        <w:spacing w:line="360" w:lineRule="exact"/>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w:t>
      </w:r>
      <w:r>
        <w:rPr>
          <w:rFonts w:hint="eastAsia" w:ascii="宋体" w:hAnsi="宋体" w:cs="宋体"/>
          <w:color w:val="auto"/>
          <w:sz w:val="24"/>
          <w:highlight w:val="none"/>
          <w:lang w:eastAsia="zh-CN"/>
        </w:rPr>
        <w:t>2024年度或2025年度经会计事务所出具财务审计报告</w:t>
      </w:r>
      <w:r>
        <w:rPr>
          <w:rFonts w:hint="eastAsia" w:ascii="宋体" w:hAnsi="宋体" w:eastAsia="宋体" w:cs="宋体"/>
          <w:color w:val="auto"/>
          <w:sz w:val="24"/>
          <w:highlight w:val="none"/>
          <w:lang w:eastAsia="zh-CN"/>
        </w:rPr>
        <w:t>；（</w:t>
      </w:r>
      <w:r>
        <w:rPr>
          <w:rFonts w:hint="eastAsia" w:ascii="宋体" w:hAnsi="宋体" w:cs="宋体"/>
          <w:color w:val="auto"/>
          <w:sz w:val="24"/>
          <w:highlight w:val="none"/>
          <w:lang w:eastAsia="zh-CN"/>
        </w:rPr>
        <w:t>2026年新成立的公司须提供近三个月任意一个月的银行资信证明</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 xml:space="preserve">； </w:t>
      </w:r>
    </w:p>
    <w:p w14:paraId="3298695E">
      <w:pPr>
        <w:keepNext w:val="0"/>
        <w:keepLines w:val="0"/>
        <w:pageBreakBefore w:val="0"/>
        <w:widowControl w:val="0"/>
        <w:tabs>
          <w:tab w:val="left" w:pos="5580"/>
        </w:tabs>
        <w:kinsoku/>
        <w:overflowPunct/>
        <w:bidi w:val="0"/>
        <w:spacing w:line="360" w:lineRule="exact"/>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未在“信用中国”网站 被列入失信被执行人、重大税收违法案件当事人名单；中国政府采购网，</w:t>
      </w:r>
      <w:r>
        <w:rPr>
          <w:rFonts w:hint="eastAsia" w:ascii="宋体" w:hAnsi="宋体" w:eastAsia="宋体" w:cs="宋体"/>
          <w:color w:val="auto"/>
          <w:sz w:val="24"/>
          <w:highlight w:val="none"/>
          <w:lang w:val="en-US" w:eastAsia="zh-CN"/>
        </w:rPr>
        <w:fldChar w:fldCharType="begin"/>
      </w:r>
      <w:r>
        <w:rPr>
          <w:rFonts w:hint="eastAsia" w:ascii="宋体" w:hAnsi="宋体" w:eastAsia="宋体" w:cs="宋体"/>
          <w:color w:val="auto"/>
          <w:sz w:val="24"/>
          <w:highlight w:val="none"/>
          <w:lang w:val="en-US" w:eastAsia="zh-CN"/>
        </w:rPr>
        <w:instrText xml:space="preserve"> HYPERLINK "http://www.ccgp.gov.cn/search/cr/%EF%BC%89%E4%B8%A5%E9%87%8D%E8%BF%9D%E6%B3%95%E5%A4%B1%E4%BF%A1%E8%A1%8C%E4%B8%BA%E8%AE%B0%E5%BD%95%E5%90%8D%E5%8D%95%E7%9A%84%EF%BC%88%E5%B0%9A%E5%9C%A8%E5%A4%84%E7%BD%9A%E6%9C%9F%E5%86%85%E7%9A%84%EF%BC%89%EF%BC%8C%E2%80%9C%E5%9B%BD%E5%AE%B6%E4%BC%81%E4%B8%9A%E4%BF%A1%E7%94%A8%E4%BF%A1%E6%81%AF%E5%85%AC%E7%A4%BA%E7%B3%BB%E7%BB%9F%EF%BC%88http://www.gsxt.gov.cn%EF%BC%89%E2%80%9D%E5%88%97%E5%85%A5%E7%BB%8F%E8%90%A5%E5%BC%82%E5%B8%B8%E5%90%8D%E5%BD%95%E4%BF%A1%E6%81%AF%E3%80%81%E5%88%97%E5%85%A5%E4%B8%A5%E9%87%8D%E8%BF%9D%E6%B3%95%E5%A4%B1%E4%BF%A1%E4%BC%81%E4%B8%9A%E5%90%8D%E5%8D%95%EF%BC%88%E9%BB%91%E5%90%8D%E5%8D%95%EF%BC%89%E4%BF%A1%E6%81%AF%E5%8F%8A%E4%BC%81%E4%B8%9A%E4%BF%A1%E7%94%A8%E4%BF%A1%E6%81%AF%E5%85%AC%E7%A4%BA%E6%8A%A5%E5%91%8A%EF%BC%9B%EF%BC%88%E4%BB%A5%E6%8B%9B%E6%A0%87%E4%BB%A3%E7%90%86%E6%88%96%E6%8B%9B%E6%A0%87%E4%BA%BA%E6%9F%A5%E8%AF%A2%E4%B8%BA%E5%87%86%EF%BC%89" </w:instrText>
      </w:r>
      <w:r>
        <w:rPr>
          <w:rFonts w:hint="eastAsia" w:ascii="宋体" w:hAnsi="宋体" w:eastAsia="宋体" w:cs="宋体"/>
          <w:color w:val="auto"/>
          <w:sz w:val="24"/>
          <w:highlight w:val="none"/>
          <w:lang w:val="en-US" w:eastAsia="zh-CN"/>
        </w:rPr>
        <w:fldChar w:fldCharType="separate"/>
      </w:r>
      <w:r>
        <w:rPr>
          <w:rFonts w:hint="eastAsia" w:ascii="宋体" w:hAnsi="宋体" w:eastAsia="宋体" w:cs="宋体"/>
          <w:color w:val="auto"/>
          <w:sz w:val="24"/>
          <w:highlight w:val="none"/>
          <w:lang w:val="en-US" w:eastAsia="zh-CN"/>
        </w:rPr>
        <w:t>严重违法失信行为记录名单的（尚在处罚期内的）；“国家企业信用信息公示系统”列入经营异常名录信息、列入严重违法失信企业名单（黑名单）信息的企业</w:t>
      </w:r>
      <w:r>
        <w:rPr>
          <w:rFonts w:hint="eastAsia" w:ascii="宋体" w:hAnsi="宋体" w:eastAsia="宋体" w:cs="宋体"/>
          <w:color w:val="auto"/>
          <w:sz w:val="24"/>
          <w:highlight w:val="none"/>
          <w:lang w:val="en-US" w:eastAsia="zh-CN"/>
        </w:rPr>
        <w:fldChar w:fldCharType="end"/>
      </w:r>
      <w:r>
        <w:rPr>
          <w:rFonts w:hint="eastAsia" w:ascii="宋体" w:hAnsi="宋体" w:eastAsia="宋体" w:cs="宋体"/>
          <w:color w:val="auto"/>
          <w:sz w:val="24"/>
          <w:highlight w:val="none"/>
          <w:lang w:val="en-US" w:eastAsia="zh-CN"/>
        </w:rPr>
        <w:t>，附网站截图或报告</w:t>
      </w:r>
      <w:r>
        <w:rPr>
          <w:rFonts w:hint="eastAsia" w:ascii="宋体" w:hAnsi="宋体" w:cs="宋体"/>
          <w:color w:val="auto"/>
          <w:sz w:val="24"/>
          <w:highlight w:val="none"/>
          <w:lang w:val="en-US" w:eastAsia="zh-CN"/>
        </w:rPr>
        <w:t>；</w:t>
      </w:r>
    </w:p>
    <w:p w14:paraId="46C1D086">
      <w:pPr>
        <w:keepNext w:val="0"/>
        <w:keepLines w:val="0"/>
        <w:pageBreakBefore w:val="0"/>
        <w:widowControl w:val="0"/>
        <w:tabs>
          <w:tab w:val="left" w:pos="5580"/>
        </w:tabs>
        <w:kinsoku/>
        <w:overflowPunct/>
        <w:bidi w:val="0"/>
        <w:spacing w:line="360" w:lineRule="exact"/>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7</w:t>
      </w:r>
      <w:r>
        <w:rPr>
          <w:rFonts w:hint="eastAsia" w:ascii="宋体" w:hAnsi="宋体" w:eastAsia="宋体" w:cs="宋体"/>
          <w:color w:val="auto"/>
          <w:sz w:val="24"/>
          <w:highlight w:val="none"/>
        </w:rPr>
        <w:t>、投标单位（</w:t>
      </w:r>
      <w:r>
        <w:rPr>
          <w:rFonts w:hint="eastAsia" w:ascii="宋体" w:hAnsi="宋体" w:cs="宋体"/>
          <w:color w:val="auto"/>
          <w:sz w:val="24"/>
          <w:highlight w:val="none"/>
          <w:lang w:eastAsia="zh-CN"/>
        </w:rPr>
        <w:t>投标人</w:t>
      </w:r>
      <w:r>
        <w:rPr>
          <w:rFonts w:hint="eastAsia" w:ascii="宋体" w:hAnsi="宋体" w:eastAsia="宋体" w:cs="宋体"/>
          <w:color w:val="auto"/>
          <w:sz w:val="24"/>
          <w:highlight w:val="none"/>
        </w:rPr>
        <w:t>）提供针对本次项目《反商业贿赂承诺书》</w:t>
      </w:r>
      <w:r>
        <w:rPr>
          <w:rFonts w:hint="eastAsia" w:ascii="宋体" w:hAnsi="宋体" w:cs="宋体"/>
          <w:color w:val="auto"/>
          <w:sz w:val="24"/>
          <w:highlight w:val="none"/>
          <w:lang w:eastAsia="zh-CN"/>
        </w:rPr>
        <w:t>；</w:t>
      </w:r>
    </w:p>
    <w:p w14:paraId="58CB2671">
      <w:pPr>
        <w:keepNext w:val="0"/>
        <w:keepLines w:val="0"/>
        <w:pageBreakBefore w:val="0"/>
        <w:widowControl w:val="0"/>
        <w:tabs>
          <w:tab w:val="left" w:pos="5580"/>
        </w:tabs>
        <w:kinsoku/>
        <w:overflowPunct/>
        <w:bidi w:val="0"/>
        <w:spacing w:line="360" w:lineRule="exact"/>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8</w:t>
      </w:r>
      <w:r>
        <w:rPr>
          <w:rFonts w:hint="eastAsia" w:ascii="宋体" w:hAnsi="宋体" w:eastAsia="宋体" w:cs="宋体"/>
          <w:color w:val="auto"/>
          <w:sz w:val="24"/>
          <w:highlight w:val="none"/>
        </w:rPr>
        <w:t>、参加政府采购活动近3年内，在经营活动中没有重大违法记录的书面声明；</w:t>
      </w:r>
    </w:p>
    <w:p w14:paraId="53A49DFA">
      <w:pPr>
        <w:keepNext w:val="0"/>
        <w:keepLines w:val="0"/>
        <w:pageBreakBefore w:val="0"/>
        <w:widowControl w:val="0"/>
        <w:tabs>
          <w:tab w:val="left" w:pos="5580"/>
        </w:tabs>
        <w:kinsoku/>
        <w:overflowPunct/>
        <w:bidi w:val="0"/>
        <w:spacing w:line="360" w:lineRule="exact"/>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9</w:t>
      </w:r>
      <w:r>
        <w:rPr>
          <w:rFonts w:hint="eastAsia" w:ascii="宋体" w:hAnsi="宋体" w:eastAsia="宋体" w:cs="宋体"/>
          <w:color w:val="auto"/>
          <w:sz w:val="24"/>
          <w:highlight w:val="none"/>
        </w:rPr>
        <w:t>、投标保证金缴纳凭证或投标担保函；</w:t>
      </w:r>
    </w:p>
    <w:p w14:paraId="6D6F3B92">
      <w:pPr>
        <w:keepNext w:val="0"/>
        <w:keepLines w:val="0"/>
        <w:pageBreakBefore w:val="0"/>
        <w:widowControl w:val="0"/>
        <w:tabs>
          <w:tab w:val="left" w:pos="5580"/>
        </w:tabs>
        <w:kinsoku/>
        <w:overflowPunct/>
        <w:bidi w:val="0"/>
        <w:spacing w:line="240" w:lineRule="atLeast"/>
        <w:ind w:left="1" w:firstLine="564" w:firstLineChars="235"/>
        <w:rPr>
          <w:rFonts w:hint="eastAsia" w:ascii="宋体" w:hAnsi="宋体" w:eastAsia="宋体" w:cs="宋体"/>
          <w:color w:val="auto"/>
          <w:sz w:val="24"/>
          <w:highlight w:val="none"/>
        </w:rPr>
      </w:pPr>
    </w:p>
    <w:p w14:paraId="132A0AE9">
      <w:pPr>
        <w:pStyle w:val="49"/>
        <w:rPr>
          <w:rFonts w:hint="eastAsia" w:ascii="宋体" w:hAnsi="宋体" w:eastAsia="宋体" w:cs="宋体"/>
          <w:color w:val="auto"/>
          <w:sz w:val="24"/>
          <w:highlight w:val="none"/>
        </w:rPr>
      </w:pPr>
    </w:p>
    <w:p w14:paraId="68F875A8">
      <w:pPr>
        <w:pStyle w:val="49"/>
        <w:rPr>
          <w:rFonts w:hint="eastAsia" w:ascii="宋体" w:hAnsi="宋体" w:eastAsia="宋体" w:cs="宋体"/>
          <w:color w:val="auto"/>
          <w:sz w:val="24"/>
          <w:highlight w:val="none"/>
        </w:rPr>
      </w:pPr>
    </w:p>
    <w:p w14:paraId="7E0BE9C5">
      <w:pPr>
        <w:keepNext w:val="0"/>
        <w:keepLines w:val="0"/>
        <w:pageBreakBefore w:val="0"/>
        <w:widowControl w:val="0"/>
        <w:tabs>
          <w:tab w:val="left" w:pos="5580"/>
        </w:tabs>
        <w:kinsoku/>
        <w:overflowPunct/>
        <w:bidi w:val="0"/>
        <w:spacing w:line="240" w:lineRule="atLeast"/>
        <w:ind w:left="1" w:firstLine="564" w:firstLineChars="235"/>
        <w:rPr>
          <w:rFonts w:hint="eastAsia" w:ascii="宋体" w:hAnsi="宋体" w:eastAsia="宋体" w:cs="宋体"/>
          <w:color w:val="auto"/>
          <w:sz w:val="24"/>
          <w:highlight w:val="none"/>
        </w:rPr>
      </w:pPr>
    </w:p>
    <w:p w14:paraId="370D12C5">
      <w:pPr>
        <w:keepNext w:val="0"/>
        <w:keepLines w:val="0"/>
        <w:pageBreakBefore w:val="0"/>
        <w:widowControl w:val="0"/>
        <w:tabs>
          <w:tab w:val="left" w:pos="5580"/>
        </w:tabs>
        <w:kinsoku/>
        <w:overflowPunct/>
        <w:bidi w:val="0"/>
        <w:spacing w:line="240" w:lineRule="atLeast"/>
        <w:ind w:left="1" w:firstLine="564" w:firstLineChars="235"/>
        <w:rPr>
          <w:rFonts w:hint="eastAsia" w:ascii="宋体" w:hAnsi="宋体" w:eastAsia="宋体" w:cs="宋体"/>
          <w:color w:val="auto"/>
          <w:sz w:val="24"/>
          <w:highlight w:val="none"/>
        </w:rPr>
      </w:pPr>
    </w:p>
    <w:p w14:paraId="4CB485A3">
      <w:pPr>
        <w:keepNext w:val="0"/>
        <w:keepLines w:val="0"/>
        <w:pageBreakBefore w:val="0"/>
        <w:widowControl w:val="0"/>
        <w:tabs>
          <w:tab w:val="left" w:pos="5580"/>
        </w:tabs>
        <w:kinsoku/>
        <w:overflowPunct/>
        <w:bidi w:val="0"/>
        <w:spacing w:line="240" w:lineRule="atLeast"/>
        <w:ind w:left="1" w:firstLine="564" w:firstLineChars="235"/>
        <w:rPr>
          <w:rFonts w:hint="eastAsia" w:ascii="宋体" w:hAnsi="宋体" w:eastAsia="宋体" w:cs="宋体"/>
          <w:color w:val="auto"/>
          <w:sz w:val="24"/>
          <w:highlight w:val="none"/>
        </w:rPr>
      </w:pPr>
    </w:p>
    <w:p w14:paraId="7F83028B">
      <w:pPr>
        <w:keepNext w:val="0"/>
        <w:keepLines w:val="0"/>
        <w:pageBreakBefore w:val="0"/>
        <w:widowControl w:val="0"/>
        <w:tabs>
          <w:tab w:val="left" w:pos="5580"/>
        </w:tabs>
        <w:kinsoku/>
        <w:overflowPunct/>
        <w:bidi w:val="0"/>
        <w:spacing w:line="240" w:lineRule="atLeast"/>
        <w:ind w:left="1" w:firstLine="564" w:firstLineChars="235"/>
        <w:rPr>
          <w:rFonts w:hint="eastAsia" w:ascii="宋体" w:hAnsi="宋体" w:eastAsia="宋体" w:cs="宋体"/>
          <w:color w:val="auto"/>
          <w:sz w:val="24"/>
          <w:highlight w:val="none"/>
        </w:rPr>
      </w:pPr>
    </w:p>
    <w:p w14:paraId="24258DD9">
      <w:pPr>
        <w:keepNext w:val="0"/>
        <w:keepLines w:val="0"/>
        <w:pageBreakBefore w:val="0"/>
        <w:widowControl w:val="0"/>
        <w:tabs>
          <w:tab w:val="left" w:pos="5580"/>
        </w:tabs>
        <w:kinsoku/>
        <w:overflowPunct/>
        <w:bidi w:val="0"/>
        <w:spacing w:line="240" w:lineRule="atLeast"/>
        <w:ind w:left="1" w:firstLine="564" w:firstLineChars="235"/>
        <w:rPr>
          <w:rFonts w:hint="eastAsia" w:ascii="宋体" w:hAnsi="宋体" w:eastAsia="宋体" w:cs="宋体"/>
          <w:color w:val="auto"/>
          <w:sz w:val="24"/>
          <w:highlight w:val="none"/>
        </w:rPr>
      </w:pPr>
    </w:p>
    <w:p w14:paraId="4CC3CE15">
      <w:pPr>
        <w:keepNext w:val="0"/>
        <w:keepLines w:val="0"/>
        <w:pageBreakBefore w:val="0"/>
        <w:widowControl w:val="0"/>
        <w:tabs>
          <w:tab w:val="left" w:pos="5580"/>
        </w:tabs>
        <w:kinsoku/>
        <w:overflowPunct/>
        <w:bidi w:val="0"/>
        <w:spacing w:line="240" w:lineRule="atLeast"/>
        <w:ind w:left="1" w:firstLine="564" w:firstLineChars="235"/>
        <w:rPr>
          <w:rFonts w:hint="eastAsia" w:ascii="宋体" w:hAnsi="宋体" w:eastAsia="宋体" w:cs="宋体"/>
          <w:color w:val="auto"/>
          <w:sz w:val="24"/>
          <w:highlight w:val="none"/>
        </w:rPr>
      </w:pPr>
    </w:p>
    <w:p w14:paraId="221FF26F">
      <w:pPr>
        <w:keepNext w:val="0"/>
        <w:keepLines w:val="0"/>
        <w:pageBreakBefore w:val="0"/>
        <w:widowControl w:val="0"/>
        <w:tabs>
          <w:tab w:val="left" w:pos="5580"/>
        </w:tabs>
        <w:kinsoku/>
        <w:overflowPunct/>
        <w:bidi w:val="0"/>
        <w:spacing w:line="240" w:lineRule="atLeast"/>
        <w:ind w:left="1" w:firstLine="564" w:firstLineChars="235"/>
        <w:rPr>
          <w:rFonts w:hint="eastAsia" w:ascii="宋体" w:hAnsi="宋体" w:eastAsia="宋体" w:cs="宋体"/>
          <w:color w:val="auto"/>
          <w:sz w:val="24"/>
          <w:highlight w:val="none"/>
        </w:rPr>
      </w:pPr>
    </w:p>
    <w:p w14:paraId="6B3F8420">
      <w:pPr>
        <w:keepNext w:val="0"/>
        <w:keepLines w:val="0"/>
        <w:pageBreakBefore w:val="0"/>
        <w:widowControl w:val="0"/>
        <w:tabs>
          <w:tab w:val="left" w:pos="5580"/>
        </w:tabs>
        <w:kinsoku/>
        <w:overflowPunct/>
        <w:bidi w:val="0"/>
        <w:spacing w:line="240" w:lineRule="atLeast"/>
        <w:ind w:left="1" w:firstLine="564" w:firstLineChars="235"/>
        <w:rPr>
          <w:rFonts w:hint="eastAsia" w:ascii="宋体" w:hAnsi="宋体" w:eastAsia="宋体" w:cs="宋体"/>
          <w:color w:val="auto"/>
          <w:sz w:val="24"/>
          <w:highlight w:val="none"/>
        </w:rPr>
      </w:pPr>
    </w:p>
    <w:p w14:paraId="55578D30">
      <w:pPr>
        <w:keepNext w:val="0"/>
        <w:keepLines w:val="0"/>
        <w:pageBreakBefore w:val="0"/>
        <w:widowControl w:val="0"/>
        <w:tabs>
          <w:tab w:val="left" w:pos="5580"/>
        </w:tabs>
        <w:kinsoku/>
        <w:overflowPunct/>
        <w:bidi w:val="0"/>
        <w:spacing w:line="240" w:lineRule="atLeast"/>
        <w:ind w:left="1" w:firstLine="564" w:firstLineChars="235"/>
        <w:rPr>
          <w:rFonts w:hint="eastAsia" w:ascii="宋体" w:hAnsi="宋体" w:eastAsia="宋体" w:cs="宋体"/>
          <w:color w:val="auto"/>
          <w:sz w:val="24"/>
          <w:highlight w:val="none"/>
        </w:rPr>
      </w:pPr>
    </w:p>
    <w:p w14:paraId="5F89AF68">
      <w:pPr>
        <w:keepNext w:val="0"/>
        <w:keepLines w:val="0"/>
        <w:pageBreakBefore w:val="0"/>
        <w:widowControl w:val="0"/>
        <w:tabs>
          <w:tab w:val="left" w:pos="5580"/>
        </w:tabs>
        <w:kinsoku/>
        <w:overflowPunct/>
        <w:bidi w:val="0"/>
        <w:spacing w:line="240" w:lineRule="atLeast"/>
        <w:ind w:left="1" w:firstLine="564" w:firstLineChars="235"/>
        <w:rPr>
          <w:rFonts w:hint="eastAsia" w:ascii="宋体" w:hAnsi="宋体" w:eastAsia="宋体" w:cs="宋体"/>
          <w:color w:val="auto"/>
          <w:sz w:val="24"/>
          <w:highlight w:val="none"/>
        </w:rPr>
      </w:pPr>
    </w:p>
    <w:p w14:paraId="48E3E212">
      <w:pPr>
        <w:keepNext w:val="0"/>
        <w:keepLines w:val="0"/>
        <w:pageBreakBefore w:val="0"/>
        <w:widowControl w:val="0"/>
        <w:tabs>
          <w:tab w:val="left" w:pos="5580"/>
        </w:tabs>
        <w:kinsoku/>
        <w:overflowPunct/>
        <w:bidi w:val="0"/>
        <w:spacing w:line="240" w:lineRule="atLeast"/>
        <w:ind w:left="1" w:firstLine="564" w:firstLineChars="235"/>
        <w:rPr>
          <w:rFonts w:hint="eastAsia" w:ascii="宋体" w:hAnsi="宋体" w:eastAsia="宋体" w:cs="宋体"/>
          <w:color w:val="auto"/>
          <w:sz w:val="24"/>
          <w:highlight w:val="none"/>
        </w:rPr>
      </w:pPr>
    </w:p>
    <w:p w14:paraId="131F562C">
      <w:pPr>
        <w:keepNext w:val="0"/>
        <w:keepLines w:val="0"/>
        <w:pageBreakBefore w:val="0"/>
        <w:widowControl w:val="0"/>
        <w:tabs>
          <w:tab w:val="left" w:pos="5580"/>
        </w:tabs>
        <w:kinsoku/>
        <w:overflowPunct/>
        <w:bidi w:val="0"/>
        <w:spacing w:line="240" w:lineRule="atLeast"/>
        <w:ind w:left="1" w:firstLine="564" w:firstLineChars="235"/>
        <w:rPr>
          <w:rFonts w:hint="eastAsia" w:ascii="宋体" w:hAnsi="宋体" w:eastAsia="宋体" w:cs="宋体"/>
          <w:color w:val="auto"/>
          <w:sz w:val="24"/>
          <w:highlight w:val="none"/>
        </w:rPr>
      </w:pPr>
    </w:p>
    <w:p w14:paraId="2BF33E8A">
      <w:pPr>
        <w:keepNext w:val="0"/>
        <w:keepLines w:val="0"/>
        <w:pageBreakBefore w:val="0"/>
        <w:widowControl w:val="0"/>
        <w:tabs>
          <w:tab w:val="left" w:pos="5580"/>
        </w:tabs>
        <w:kinsoku/>
        <w:overflowPunct/>
        <w:bidi w:val="0"/>
        <w:spacing w:line="240" w:lineRule="atLeast"/>
        <w:ind w:left="1" w:firstLine="564" w:firstLineChars="235"/>
        <w:rPr>
          <w:rFonts w:hint="eastAsia" w:ascii="宋体" w:hAnsi="宋体" w:eastAsia="宋体" w:cs="宋体"/>
          <w:color w:val="auto"/>
          <w:sz w:val="24"/>
          <w:highlight w:val="none"/>
        </w:rPr>
      </w:pPr>
    </w:p>
    <w:p w14:paraId="4EAD8C20">
      <w:pPr>
        <w:keepNext w:val="0"/>
        <w:keepLines w:val="0"/>
        <w:pageBreakBefore w:val="0"/>
        <w:widowControl w:val="0"/>
        <w:tabs>
          <w:tab w:val="left" w:pos="5580"/>
        </w:tabs>
        <w:kinsoku/>
        <w:overflowPunct/>
        <w:bidi w:val="0"/>
        <w:spacing w:line="240" w:lineRule="atLeast"/>
        <w:ind w:left="1" w:firstLine="564" w:firstLineChars="235"/>
        <w:rPr>
          <w:rFonts w:hint="eastAsia" w:ascii="宋体" w:hAnsi="宋体" w:eastAsia="宋体" w:cs="宋体"/>
          <w:color w:val="auto"/>
          <w:sz w:val="24"/>
          <w:highlight w:val="none"/>
        </w:rPr>
      </w:pPr>
    </w:p>
    <w:p w14:paraId="4E66ADDE">
      <w:pPr>
        <w:keepNext w:val="0"/>
        <w:keepLines w:val="0"/>
        <w:pageBreakBefore w:val="0"/>
        <w:widowControl w:val="0"/>
        <w:tabs>
          <w:tab w:val="left" w:pos="5580"/>
        </w:tabs>
        <w:kinsoku/>
        <w:overflowPunct/>
        <w:bidi w:val="0"/>
        <w:spacing w:line="240" w:lineRule="atLeast"/>
        <w:ind w:left="1" w:firstLine="564" w:firstLineChars="235"/>
        <w:rPr>
          <w:rFonts w:hint="eastAsia" w:ascii="宋体" w:hAnsi="宋体" w:eastAsia="宋体" w:cs="宋体"/>
          <w:color w:val="auto"/>
          <w:sz w:val="24"/>
          <w:highlight w:val="none"/>
        </w:rPr>
      </w:pPr>
    </w:p>
    <w:p w14:paraId="3CAA914B">
      <w:pPr>
        <w:pStyle w:val="27"/>
        <w:rPr>
          <w:rFonts w:hint="eastAsia" w:ascii="宋体" w:hAnsi="宋体" w:eastAsia="宋体" w:cs="宋体"/>
          <w:color w:val="auto"/>
          <w:sz w:val="24"/>
          <w:highlight w:val="none"/>
        </w:rPr>
      </w:pPr>
    </w:p>
    <w:p w14:paraId="7271037E">
      <w:pPr>
        <w:pStyle w:val="27"/>
        <w:rPr>
          <w:rFonts w:hint="eastAsia" w:ascii="宋体" w:hAnsi="宋体" w:eastAsia="宋体" w:cs="宋体"/>
          <w:color w:val="auto"/>
          <w:sz w:val="24"/>
          <w:highlight w:val="none"/>
        </w:rPr>
      </w:pPr>
    </w:p>
    <w:p w14:paraId="1FBF4BEC">
      <w:pPr>
        <w:keepNext w:val="0"/>
        <w:keepLines w:val="0"/>
        <w:pageBreakBefore w:val="0"/>
        <w:widowControl w:val="0"/>
        <w:tabs>
          <w:tab w:val="left" w:pos="5580"/>
        </w:tabs>
        <w:kinsoku/>
        <w:overflowPunct/>
        <w:bidi w:val="0"/>
        <w:spacing w:line="240" w:lineRule="atLeast"/>
        <w:ind w:left="1" w:firstLine="564" w:firstLineChars="235"/>
        <w:rPr>
          <w:rFonts w:hint="eastAsia" w:ascii="宋体" w:hAnsi="宋体" w:eastAsia="宋体" w:cs="宋体"/>
          <w:color w:val="auto"/>
          <w:sz w:val="24"/>
          <w:highlight w:val="none"/>
        </w:rPr>
      </w:pPr>
    </w:p>
    <w:p w14:paraId="365EA490">
      <w:pPr>
        <w:keepNext w:val="0"/>
        <w:keepLines w:val="0"/>
        <w:pageBreakBefore w:val="0"/>
        <w:widowControl w:val="0"/>
        <w:tabs>
          <w:tab w:val="left" w:pos="5580"/>
        </w:tabs>
        <w:kinsoku/>
        <w:overflowPunct/>
        <w:bidi w:val="0"/>
        <w:spacing w:line="240" w:lineRule="atLeast"/>
        <w:ind w:left="1" w:firstLine="564" w:firstLineChars="235"/>
        <w:rPr>
          <w:rFonts w:hint="eastAsia" w:ascii="宋体" w:hAnsi="宋体" w:eastAsia="宋体" w:cs="宋体"/>
          <w:color w:val="auto"/>
          <w:sz w:val="24"/>
          <w:highlight w:val="none"/>
        </w:rPr>
      </w:pPr>
    </w:p>
    <w:p w14:paraId="386B9F99">
      <w:pPr>
        <w:pStyle w:val="49"/>
        <w:rPr>
          <w:rFonts w:hint="eastAsia"/>
          <w:color w:val="auto"/>
        </w:rPr>
      </w:pPr>
    </w:p>
    <w:p w14:paraId="328F16D1">
      <w:pPr>
        <w:keepNext w:val="0"/>
        <w:keepLines w:val="0"/>
        <w:pageBreakBefore w:val="0"/>
        <w:widowControl w:val="0"/>
        <w:tabs>
          <w:tab w:val="left" w:pos="5580"/>
        </w:tabs>
        <w:kinsoku/>
        <w:overflowPunct/>
        <w:bidi w:val="0"/>
        <w:spacing w:line="240" w:lineRule="atLeast"/>
        <w:rPr>
          <w:rFonts w:hint="eastAsia" w:ascii="宋体" w:hAnsi="宋体" w:eastAsia="宋体" w:cs="宋体"/>
          <w:color w:val="auto"/>
          <w:sz w:val="24"/>
          <w:highlight w:val="none"/>
        </w:rPr>
      </w:pPr>
    </w:p>
    <w:p w14:paraId="1A69F498">
      <w:pPr>
        <w:pStyle w:val="3"/>
        <w:keepNext w:val="0"/>
        <w:keepLines w:val="0"/>
        <w:pageBreakBefore w:val="0"/>
        <w:widowControl w:val="0"/>
        <w:kinsoku/>
        <w:overflowPunct/>
        <w:bidi w:val="0"/>
        <w:spacing w:before="0" w:line="240" w:lineRule="atLeast"/>
        <w:ind w:left="1080" w:leftChars="257" w:hanging="540"/>
        <w:rPr>
          <w:rFonts w:hint="eastAsia" w:ascii="宋体" w:hAnsi="宋体" w:eastAsia="宋体" w:cs="宋体"/>
          <w:b/>
          <w:bCs/>
          <w:color w:val="auto"/>
          <w:kern w:val="2"/>
          <w:sz w:val="28"/>
          <w:szCs w:val="28"/>
          <w:highlight w:val="none"/>
          <w:lang w:val="en-US" w:eastAsia="zh-CN" w:bidi="ar-SA"/>
        </w:rPr>
      </w:pPr>
      <w:bookmarkStart w:id="278" w:name="_Toc30524"/>
      <w:bookmarkStart w:id="279" w:name="_Toc14309"/>
      <w:bookmarkStart w:id="280" w:name="_Toc16568"/>
      <w:bookmarkStart w:id="281" w:name="_Toc515647804"/>
      <w:r>
        <w:rPr>
          <w:rFonts w:hint="eastAsia" w:ascii="宋体" w:hAnsi="宋体" w:eastAsia="宋体" w:cs="宋体"/>
          <w:b/>
          <w:bCs/>
          <w:color w:val="auto"/>
          <w:kern w:val="2"/>
          <w:sz w:val="28"/>
          <w:szCs w:val="28"/>
          <w:highlight w:val="none"/>
          <w:lang w:val="en-US" w:eastAsia="zh-CN" w:bidi="ar-SA"/>
        </w:rPr>
        <w:t>1、开标一览表</w:t>
      </w:r>
      <w:bookmarkEnd w:id="278"/>
      <w:bookmarkEnd w:id="279"/>
      <w:bookmarkEnd w:id="280"/>
      <w:bookmarkEnd w:id="281"/>
    </w:p>
    <w:p w14:paraId="7C39E985">
      <w:pPr>
        <w:pStyle w:val="16"/>
        <w:keepNext w:val="0"/>
        <w:keepLines w:val="0"/>
        <w:pageBreakBefore w:val="0"/>
        <w:widowControl w:val="0"/>
        <w:tabs>
          <w:tab w:val="left" w:pos="5580"/>
        </w:tabs>
        <w:kinsoku/>
        <w:overflowPunct/>
        <w:bidi w:val="0"/>
        <w:spacing w:line="240" w:lineRule="atLeast"/>
        <w:ind w:left="269" w:leftChars="128"/>
        <w:rPr>
          <w:rFonts w:hint="eastAsia" w:ascii="宋体" w:hAnsi="宋体" w:eastAsia="宋体" w:cs="宋体"/>
          <w:color w:val="auto"/>
          <w:sz w:val="24"/>
          <w:szCs w:val="24"/>
          <w:highlight w:val="none"/>
        </w:rPr>
      </w:pPr>
    </w:p>
    <w:p w14:paraId="6C47D0F8">
      <w:pPr>
        <w:pStyle w:val="4"/>
        <w:keepNext w:val="0"/>
        <w:keepLines w:val="0"/>
        <w:pageBreakBefore w:val="0"/>
        <w:widowControl w:val="0"/>
        <w:tabs>
          <w:tab w:val="left" w:pos="5580"/>
        </w:tabs>
        <w:kinsoku/>
        <w:overflowPunct/>
        <w:bidi w:val="0"/>
        <w:spacing w:line="240" w:lineRule="atLeast"/>
        <w:ind w:left="1080" w:leftChars="257" w:hanging="540"/>
        <w:jc w:val="both"/>
        <w:rPr>
          <w:rFonts w:hint="eastAsia" w:ascii="宋体" w:hAnsi="宋体" w:eastAsia="宋体" w:cs="宋体"/>
          <w:color w:val="auto"/>
          <w:highlight w:val="none"/>
        </w:rPr>
      </w:pPr>
      <w:bookmarkStart w:id="282" w:name="_Hlt520356241"/>
      <w:bookmarkEnd w:id="282"/>
      <w:bookmarkStart w:id="283" w:name="_Toc216582813"/>
      <w:bookmarkStart w:id="284" w:name="_Ref467988698"/>
      <w:bookmarkStart w:id="285" w:name="_Toc520356217"/>
      <w:bookmarkStart w:id="286" w:name="_Toc480942349"/>
      <w:r>
        <w:rPr>
          <w:rFonts w:hint="eastAsia" w:ascii="宋体" w:hAnsi="宋体" w:eastAsia="宋体" w:cs="宋体"/>
          <w:b/>
          <w:color w:val="auto"/>
          <w:highlight w:val="none"/>
        </w:rPr>
        <w:cr/>
      </w:r>
    </w:p>
    <w:p w14:paraId="00204004">
      <w:pPr>
        <w:keepNext w:val="0"/>
        <w:keepLines w:val="0"/>
        <w:pageBreakBefore w:val="0"/>
        <w:widowControl w:val="0"/>
        <w:tabs>
          <w:tab w:val="left" w:pos="1800"/>
          <w:tab w:val="left" w:pos="5580"/>
        </w:tabs>
        <w:kinsoku/>
        <w:overflowPunct/>
        <w:bidi w:val="0"/>
        <w:spacing w:line="240" w:lineRule="atLeast"/>
        <w:ind w:right="-867" w:rightChars="-413"/>
        <w:rPr>
          <w:rFonts w:hint="eastAsia" w:ascii="宋体" w:hAnsi="宋体" w:cs="宋体"/>
          <w:color w:val="auto"/>
          <w:sz w:val="24"/>
          <w:highlight w:val="none"/>
        </w:rPr>
      </w:pPr>
      <w:r>
        <w:rPr>
          <w:rFonts w:hint="eastAsia" w:ascii="宋体" w:hAnsi="宋体" w:cs="宋体"/>
          <w:color w:val="auto"/>
          <w:sz w:val="24"/>
          <w:highlight w:val="none"/>
        </w:rPr>
        <w:t xml:space="preserve">项目名称：　                  项目编号：                          </w:t>
      </w:r>
    </w:p>
    <w:p w14:paraId="502D6247">
      <w:pPr>
        <w:keepNext w:val="0"/>
        <w:keepLines w:val="0"/>
        <w:pageBreakBefore w:val="0"/>
        <w:widowControl w:val="0"/>
        <w:tabs>
          <w:tab w:val="left" w:pos="1800"/>
          <w:tab w:val="left" w:pos="5580"/>
        </w:tabs>
        <w:kinsoku/>
        <w:overflowPunct/>
        <w:bidi w:val="0"/>
        <w:spacing w:line="240" w:lineRule="atLeast"/>
        <w:ind w:left="1080" w:leftChars="257" w:right="-867" w:rightChars="-413" w:hanging="540"/>
        <w:rPr>
          <w:rFonts w:hint="eastAsia" w:ascii="宋体" w:hAnsi="宋体" w:cs="宋体"/>
          <w:color w:val="auto"/>
          <w:sz w:val="24"/>
          <w:highlight w:val="none"/>
        </w:rPr>
      </w:pPr>
    </w:p>
    <w:tbl>
      <w:tblPr>
        <w:tblStyle w:val="37"/>
        <w:tblW w:w="8411" w:type="dxa"/>
        <w:tblInd w:w="-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20"/>
        <w:gridCol w:w="1767"/>
        <w:gridCol w:w="1461"/>
        <w:gridCol w:w="1353"/>
        <w:gridCol w:w="1253"/>
        <w:gridCol w:w="1157"/>
      </w:tblGrid>
      <w:tr w14:paraId="0AC8E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2" w:hRule="atLeast"/>
        </w:trPr>
        <w:tc>
          <w:tcPr>
            <w:tcW w:w="1420" w:type="dxa"/>
            <w:noWrap w:val="0"/>
            <w:vAlign w:val="center"/>
          </w:tcPr>
          <w:p w14:paraId="153108E7">
            <w:pPr>
              <w:keepNext w:val="0"/>
              <w:keepLines w:val="0"/>
              <w:pageBreakBefore w:val="0"/>
              <w:widowControl w:val="0"/>
              <w:tabs>
                <w:tab w:val="left" w:pos="5580"/>
              </w:tabs>
              <w:kinsoku/>
              <w:overflowPunct/>
              <w:bidi w:val="0"/>
              <w:spacing w:line="240" w:lineRule="atLeast"/>
              <w:ind w:right="-199"/>
              <w:jc w:val="center"/>
              <w:rPr>
                <w:rFonts w:hint="eastAsia" w:ascii="宋体" w:hAnsi="宋体" w:cs="宋体"/>
                <w:color w:val="auto"/>
                <w:sz w:val="24"/>
                <w:highlight w:val="none"/>
              </w:rPr>
            </w:pPr>
            <w:r>
              <w:rPr>
                <w:rFonts w:hint="eastAsia" w:ascii="宋体" w:hAnsi="宋体" w:cs="宋体"/>
                <w:color w:val="auto"/>
                <w:sz w:val="24"/>
                <w:highlight w:val="none"/>
              </w:rPr>
              <w:t>项目名称</w:t>
            </w:r>
          </w:p>
        </w:tc>
        <w:tc>
          <w:tcPr>
            <w:tcW w:w="1767" w:type="dxa"/>
            <w:noWrap w:val="0"/>
            <w:vAlign w:val="center"/>
          </w:tcPr>
          <w:p w14:paraId="6B58ED8E">
            <w:pPr>
              <w:keepNext w:val="0"/>
              <w:keepLines w:val="0"/>
              <w:pageBreakBefore w:val="0"/>
              <w:widowControl w:val="0"/>
              <w:tabs>
                <w:tab w:val="left" w:pos="5580"/>
              </w:tabs>
              <w:kinsoku/>
              <w:overflowPunct/>
              <w:bidi w:val="0"/>
              <w:spacing w:line="240" w:lineRule="atLeas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投标报价</w:t>
            </w:r>
          </w:p>
        </w:tc>
        <w:tc>
          <w:tcPr>
            <w:tcW w:w="1461" w:type="dxa"/>
            <w:noWrap w:val="0"/>
            <w:vAlign w:val="center"/>
          </w:tcPr>
          <w:p w14:paraId="1A93C08E">
            <w:pPr>
              <w:keepNext w:val="0"/>
              <w:keepLines w:val="0"/>
              <w:pageBreakBefore w:val="0"/>
              <w:widowControl w:val="0"/>
              <w:tabs>
                <w:tab w:val="left" w:pos="5580"/>
              </w:tabs>
              <w:kinsoku/>
              <w:overflowPunct/>
              <w:bidi w:val="0"/>
              <w:spacing w:line="240" w:lineRule="atLeast"/>
              <w:jc w:val="center"/>
              <w:rPr>
                <w:rFonts w:hint="eastAsia" w:ascii="宋体" w:hAnsi="宋体" w:cs="宋体"/>
                <w:color w:val="auto"/>
                <w:sz w:val="24"/>
                <w:highlight w:val="none"/>
              </w:rPr>
            </w:pPr>
            <w:r>
              <w:rPr>
                <w:rFonts w:hint="eastAsia" w:ascii="宋体" w:hAnsi="宋体" w:cs="宋体"/>
                <w:color w:val="auto"/>
                <w:sz w:val="24"/>
                <w:highlight w:val="none"/>
              </w:rPr>
              <w:t>投标保证金</w:t>
            </w:r>
          </w:p>
        </w:tc>
        <w:tc>
          <w:tcPr>
            <w:tcW w:w="1353" w:type="dxa"/>
            <w:noWrap w:val="0"/>
            <w:vAlign w:val="center"/>
          </w:tcPr>
          <w:p w14:paraId="2A833A71">
            <w:pPr>
              <w:keepNext w:val="0"/>
              <w:keepLines w:val="0"/>
              <w:pageBreakBefore w:val="0"/>
              <w:widowControl w:val="0"/>
              <w:tabs>
                <w:tab w:val="left" w:pos="5580"/>
              </w:tabs>
              <w:kinsoku/>
              <w:overflowPunct/>
              <w:bidi w:val="0"/>
              <w:spacing w:line="240" w:lineRule="atLeast"/>
              <w:jc w:val="center"/>
              <w:rPr>
                <w:rFonts w:hint="eastAsia" w:ascii="宋体" w:hAnsi="宋体" w:cs="宋体"/>
                <w:color w:val="auto"/>
                <w:sz w:val="24"/>
                <w:highlight w:val="none"/>
              </w:rPr>
            </w:pPr>
            <w:r>
              <w:rPr>
                <w:rFonts w:hint="eastAsia" w:ascii="宋体" w:hAnsi="宋体" w:cs="宋体"/>
                <w:color w:val="auto"/>
                <w:sz w:val="24"/>
                <w:highlight w:val="none"/>
                <w:lang w:val="en-US" w:eastAsia="zh-CN"/>
              </w:rPr>
              <w:t>服务期</w:t>
            </w:r>
          </w:p>
        </w:tc>
        <w:tc>
          <w:tcPr>
            <w:tcW w:w="1253" w:type="dxa"/>
            <w:noWrap w:val="0"/>
            <w:vAlign w:val="center"/>
          </w:tcPr>
          <w:p w14:paraId="1B78949B">
            <w:pPr>
              <w:keepNext w:val="0"/>
              <w:keepLines w:val="0"/>
              <w:pageBreakBefore w:val="0"/>
              <w:widowControl w:val="0"/>
              <w:tabs>
                <w:tab w:val="left" w:pos="5580"/>
              </w:tabs>
              <w:kinsoku/>
              <w:overflowPunct/>
              <w:bidi w:val="0"/>
              <w:spacing w:line="240" w:lineRule="atLeas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项目地点</w:t>
            </w:r>
          </w:p>
        </w:tc>
        <w:tc>
          <w:tcPr>
            <w:tcW w:w="1157" w:type="dxa"/>
            <w:noWrap w:val="0"/>
            <w:vAlign w:val="center"/>
          </w:tcPr>
          <w:p w14:paraId="524092B6">
            <w:pPr>
              <w:keepNext w:val="0"/>
              <w:keepLines w:val="0"/>
              <w:pageBreakBefore w:val="0"/>
              <w:widowControl w:val="0"/>
              <w:tabs>
                <w:tab w:val="left" w:pos="5580"/>
              </w:tabs>
              <w:kinsoku/>
              <w:overflowPunct/>
              <w:bidi w:val="0"/>
              <w:spacing w:line="240" w:lineRule="atLeast"/>
              <w:jc w:val="center"/>
              <w:rPr>
                <w:rFonts w:hint="eastAsia" w:ascii="宋体" w:hAnsi="宋体" w:cs="宋体"/>
                <w:color w:val="auto"/>
                <w:sz w:val="24"/>
                <w:highlight w:val="none"/>
              </w:rPr>
            </w:pPr>
            <w:r>
              <w:rPr>
                <w:rFonts w:hint="eastAsia" w:ascii="宋体" w:hAnsi="宋体" w:cs="宋体"/>
                <w:color w:val="auto"/>
                <w:sz w:val="24"/>
                <w:highlight w:val="none"/>
              </w:rPr>
              <w:t>备注</w:t>
            </w:r>
          </w:p>
        </w:tc>
      </w:tr>
      <w:tr w14:paraId="1DA15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640" w:hRule="atLeast"/>
        </w:trPr>
        <w:tc>
          <w:tcPr>
            <w:tcW w:w="1420" w:type="dxa"/>
            <w:noWrap w:val="0"/>
            <w:vAlign w:val="center"/>
          </w:tcPr>
          <w:p w14:paraId="662ED923">
            <w:pPr>
              <w:keepNext w:val="0"/>
              <w:keepLines w:val="0"/>
              <w:pageBreakBefore w:val="0"/>
              <w:widowControl w:val="0"/>
              <w:tabs>
                <w:tab w:val="left" w:pos="5580"/>
              </w:tabs>
              <w:kinsoku/>
              <w:overflowPunct/>
              <w:bidi w:val="0"/>
              <w:spacing w:line="240" w:lineRule="atLeast"/>
              <w:ind w:left="1080" w:leftChars="257" w:hanging="540"/>
              <w:jc w:val="center"/>
              <w:rPr>
                <w:rFonts w:hint="eastAsia" w:ascii="宋体" w:hAnsi="宋体" w:cs="宋体"/>
                <w:color w:val="auto"/>
                <w:sz w:val="24"/>
                <w:highlight w:val="none"/>
              </w:rPr>
            </w:pPr>
          </w:p>
        </w:tc>
        <w:tc>
          <w:tcPr>
            <w:tcW w:w="1767" w:type="dxa"/>
            <w:noWrap w:val="0"/>
            <w:vAlign w:val="center"/>
          </w:tcPr>
          <w:p w14:paraId="399576A9">
            <w:pPr>
              <w:keepNext w:val="0"/>
              <w:keepLines w:val="0"/>
              <w:pageBreakBefore w:val="0"/>
              <w:widowControl w:val="0"/>
              <w:tabs>
                <w:tab w:val="left" w:pos="5580"/>
              </w:tabs>
              <w:kinsoku/>
              <w:overflowPunct/>
              <w:bidi w:val="0"/>
              <w:spacing w:line="240" w:lineRule="atLeast"/>
              <w:jc w:val="left"/>
              <w:rPr>
                <w:rFonts w:hint="eastAsia" w:ascii="宋体" w:hAnsi="宋体" w:cs="宋体"/>
                <w:color w:val="auto"/>
                <w:sz w:val="24"/>
                <w:highlight w:val="none"/>
              </w:rPr>
            </w:pPr>
          </w:p>
        </w:tc>
        <w:tc>
          <w:tcPr>
            <w:tcW w:w="1461" w:type="dxa"/>
            <w:noWrap w:val="0"/>
            <w:vAlign w:val="center"/>
          </w:tcPr>
          <w:p w14:paraId="28348B09">
            <w:pPr>
              <w:keepNext w:val="0"/>
              <w:keepLines w:val="0"/>
              <w:pageBreakBefore w:val="0"/>
              <w:widowControl w:val="0"/>
              <w:tabs>
                <w:tab w:val="left" w:pos="5580"/>
              </w:tabs>
              <w:kinsoku/>
              <w:overflowPunct/>
              <w:bidi w:val="0"/>
              <w:spacing w:line="240" w:lineRule="atLeast"/>
              <w:ind w:left="1080" w:leftChars="257" w:hanging="540"/>
              <w:jc w:val="center"/>
              <w:rPr>
                <w:rFonts w:hint="eastAsia" w:ascii="宋体" w:hAnsi="宋体" w:cs="宋体"/>
                <w:color w:val="auto"/>
                <w:sz w:val="24"/>
                <w:highlight w:val="none"/>
              </w:rPr>
            </w:pPr>
          </w:p>
        </w:tc>
        <w:tc>
          <w:tcPr>
            <w:tcW w:w="1353" w:type="dxa"/>
            <w:noWrap w:val="0"/>
            <w:vAlign w:val="center"/>
          </w:tcPr>
          <w:p w14:paraId="57A836B7">
            <w:pPr>
              <w:keepNext w:val="0"/>
              <w:keepLines w:val="0"/>
              <w:pageBreakBefore w:val="0"/>
              <w:widowControl w:val="0"/>
              <w:tabs>
                <w:tab w:val="left" w:pos="5580"/>
              </w:tabs>
              <w:kinsoku/>
              <w:overflowPunct/>
              <w:bidi w:val="0"/>
              <w:spacing w:line="240" w:lineRule="atLeast"/>
              <w:ind w:left="1080" w:leftChars="257" w:hanging="540"/>
              <w:jc w:val="center"/>
              <w:rPr>
                <w:rFonts w:hint="eastAsia" w:ascii="宋体" w:hAnsi="宋体" w:cs="宋体"/>
                <w:color w:val="auto"/>
                <w:sz w:val="24"/>
                <w:highlight w:val="none"/>
              </w:rPr>
            </w:pPr>
          </w:p>
        </w:tc>
        <w:tc>
          <w:tcPr>
            <w:tcW w:w="1253" w:type="dxa"/>
            <w:noWrap w:val="0"/>
            <w:vAlign w:val="center"/>
          </w:tcPr>
          <w:p w14:paraId="340FF6DD">
            <w:pPr>
              <w:keepNext w:val="0"/>
              <w:keepLines w:val="0"/>
              <w:pageBreakBefore w:val="0"/>
              <w:widowControl w:val="0"/>
              <w:tabs>
                <w:tab w:val="left" w:pos="5580"/>
              </w:tabs>
              <w:kinsoku/>
              <w:overflowPunct/>
              <w:bidi w:val="0"/>
              <w:spacing w:line="240" w:lineRule="atLeast"/>
              <w:ind w:left="1080" w:leftChars="257" w:hanging="540"/>
              <w:jc w:val="center"/>
              <w:rPr>
                <w:rFonts w:hint="eastAsia" w:ascii="宋体" w:hAnsi="宋体" w:cs="宋体"/>
                <w:color w:val="auto"/>
                <w:sz w:val="24"/>
                <w:highlight w:val="none"/>
              </w:rPr>
            </w:pPr>
          </w:p>
        </w:tc>
        <w:tc>
          <w:tcPr>
            <w:tcW w:w="1157" w:type="dxa"/>
            <w:noWrap w:val="0"/>
            <w:vAlign w:val="center"/>
          </w:tcPr>
          <w:p w14:paraId="7DDF535D">
            <w:pPr>
              <w:keepNext w:val="0"/>
              <w:keepLines w:val="0"/>
              <w:pageBreakBefore w:val="0"/>
              <w:widowControl w:val="0"/>
              <w:tabs>
                <w:tab w:val="left" w:pos="5580"/>
              </w:tabs>
              <w:kinsoku/>
              <w:overflowPunct/>
              <w:bidi w:val="0"/>
              <w:spacing w:line="240" w:lineRule="atLeast"/>
              <w:ind w:left="1080" w:leftChars="257" w:hanging="540"/>
              <w:jc w:val="center"/>
              <w:rPr>
                <w:rFonts w:hint="eastAsia" w:ascii="宋体" w:hAnsi="宋体" w:cs="宋体"/>
                <w:color w:val="auto"/>
                <w:sz w:val="24"/>
                <w:highlight w:val="none"/>
              </w:rPr>
            </w:pPr>
          </w:p>
        </w:tc>
      </w:tr>
    </w:tbl>
    <w:p w14:paraId="44D6E7E7">
      <w:pPr>
        <w:pStyle w:val="16"/>
        <w:keepNext w:val="0"/>
        <w:keepLines w:val="0"/>
        <w:pageBreakBefore w:val="0"/>
        <w:widowControl w:val="0"/>
        <w:tabs>
          <w:tab w:val="left" w:pos="5580"/>
        </w:tabs>
        <w:kinsoku/>
        <w:overflowPunct/>
        <w:bidi w:val="0"/>
        <w:spacing w:line="240" w:lineRule="atLeast"/>
        <w:ind w:left="1080" w:leftChars="257" w:hanging="540"/>
        <w:rPr>
          <w:rFonts w:hint="eastAsia" w:hAnsi="宋体" w:cs="宋体"/>
          <w:color w:val="auto"/>
          <w:sz w:val="24"/>
          <w:highlight w:val="none"/>
        </w:rPr>
      </w:pPr>
    </w:p>
    <w:p w14:paraId="76645441">
      <w:pPr>
        <w:pStyle w:val="16"/>
        <w:keepNext w:val="0"/>
        <w:keepLines w:val="0"/>
        <w:pageBreakBefore w:val="0"/>
        <w:widowControl w:val="0"/>
        <w:tabs>
          <w:tab w:val="left" w:pos="5580"/>
        </w:tabs>
        <w:kinsoku/>
        <w:overflowPunct/>
        <w:bidi w:val="0"/>
        <w:spacing w:line="240" w:lineRule="atLeast"/>
        <w:ind w:left="1080" w:leftChars="257" w:hanging="540"/>
        <w:rPr>
          <w:rFonts w:hint="eastAsia" w:hAnsi="宋体" w:cs="宋体"/>
          <w:color w:val="auto"/>
          <w:sz w:val="24"/>
          <w:highlight w:val="none"/>
          <w:u w:val="single"/>
        </w:rPr>
      </w:pPr>
    </w:p>
    <w:p w14:paraId="1394D369">
      <w:pPr>
        <w:pStyle w:val="16"/>
        <w:keepNext w:val="0"/>
        <w:keepLines w:val="0"/>
        <w:pageBreakBefore w:val="0"/>
        <w:widowControl w:val="0"/>
        <w:tabs>
          <w:tab w:val="left" w:pos="5580"/>
        </w:tabs>
        <w:kinsoku/>
        <w:overflowPunct/>
        <w:bidi w:val="0"/>
        <w:spacing w:line="240" w:lineRule="atLeast"/>
        <w:ind w:left="1080" w:leftChars="257" w:hanging="540"/>
        <w:rPr>
          <w:rFonts w:hint="eastAsia" w:hAnsi="宋体" w:cs="宋体"/>
          <w:color w:val="auto"/>
          <w:sz w:val="24"/>
          <w:highlight w:val="none"/>
        </w:rPr>
      </w:pPr>
      <w:r>
        <w:rPr>
          <w:rFonts w:hint="eastAsia" w:hAnsi="宋体" w:cs="宋体"/>
          <w:color w:val="auto"/>
          <w:sz w:val="24"/>
          <w:highlight w:val="none"/>
        </w:rPr>
        <w:t>投标人名称（单位盖章）：</w:t>
      </w:r>
      <w:r>
        <w:rPr>
          <w:rFonts w:hint="eastAsia" w:hAnsi="宋体" w:cs="宋体"/>
          <w:color w:val="auto"/>
          <w:sz w:val="24"/>
          <w:highlight w:val="none"/>
          <w:u w:val="single"/>
        </w:rPr>
        <w:t xml:space="preserve">                       </w:t>
      </w:r>
    </w:p>
    <w:p w14:paraId="71A224B7">
      <w:pPr>
        <w:pStyle w:val="16"/>
        <w:keepNext w:val="0"/>
        <w:keepLines w:val="0"/>
        <w:pageBreakBefore w:val="0"/>
        <w:widowControl w:val="0"/>
        <w:tabs>
          <w:tab w:val="left" w:pos="5580"/>
        </w:tabs>
        <w:kinsoku/>
        <w:overflowPunct/>
        <w:bidi w:val="0"/>
        <w:spacing w:line="240" w:lineRule="atLeast"/>
        <w:ind w:left="1080" w:leftChars="257" w:hanging="540"/>
        <w:rPr>
          <w:rFonts w:hint="eastAsia" w:hAnsi="宋体" w:cs="宋体"/>
          <w:color w:val="auto"/>
          <w:sz w:val="24"/>
          <w:highlight w:val="none"/>
          <w:u w:val="single"/>
        </w:rPr>
      </w:pPr>
      <w:r>
        <w:rPr>
          <w:rFonts w:hint="eastAsia" w:hAnsi="宋体" w:cs="宋体"/>
          <w:color w:val="auto"/>
          <w:sz w:val="24"/>
          <w:highlight w:val="none"/>
        </w:rPr>
        <w:t>法定代表人或委托代理人(</w:t>
      </w:r>
      <w:r>
        <w:rPr>
          <w:rFonts w:hint="eastAsia" w:hAnsi="宋体" w:cs="宋体"/>
          <w:color w:val="auto"/>
          <w:sz w:val="24"/>
          <w:highlight w:val="none"/>
          <w:lang w:eastAsia="zh-CN"/>
        </w:rPr>
        <w:t>签/章</w:t>
      </w:r>
      <w:r>
        <w:rPr>
          <w:rFonts w:hint="eastAsia" w:hAnsi="宋体" w:cs="宋体"/>
          <w:color w:val="auto"/>
          <w:sz w:val="24"/>
          <w:highlight w:val="none"/>
        </w:rPr>
        <w:t>):</w:t>
      </w:r>
      <w:r>
        <w:rPr>
          <w:rFonts w:hint="eastAsia" w:hAnsi="宋体" w:cs="宋体"/>
          <w:color w:val="auto"/>
          <w:sz w:val="24"/>
          <w:highlight w:val="none"/>
          <w:u w:val="single"/>
        </w:rPr>
        <w:tab/>
      </w:r>
    </w:p>
    <w:p w14:paraId="06E15A5D">
      <w:pPr>
        <w:pStyle w:val="16"/>
        <w:keepNext w:val="0"/>
        <w:keepLines w:val="0"/>
        <w:pageBreakBefore w:val="0"/>
        <w:widowControl w:val="0"/>
        <w:tabs>
          <w:tab w:val="left" w:pos="5580"/>
        </w:tabs>
        <w:kinsoku/>
        <w:overflowPunct/>
        <w:bidi w:val="0"/>
        <w:spacing w:line="240" w:lineRule="atLeast"/>
        <w:ind w:left="1080" w:leftChars="257" w:hanging="540"/>
        <w:rPr>
          <w:rFonts w:hint="eastAsia" w:ascii="宋体" w:hAnsi="宋体" w:eastAsia="宋体" w:cs="宋体"/>
          <w:color w:val="auto"/>
          <w:sz w:val="24"/>
          <w:highlight w:val="none"/>
          <w:u w:val="single"/>
        </w:rPr>
      </w:pPr>
    </w:p>
    <w:p w14:paraId="6282374D">
      <w:pPr>
        <w:pStyle w:val="16"/>
        <w:keepNext w:val="0"/>
        <w:keepLines w:val="0"/>
        <w:pageBreakBefore w:val="0"/>
        <w:widowControl w:val="0"/>
        <w:tabs>
          <w:tab w:val="left" w:pos="5580"/>
        </w:tabs>
        <w:kinsoku/>
        <w:overflowPunct/>
        <w:bidi w:val="0"/>
        <w:spacing w:line="240" w:lineRule="atLeast"/>
        <w:ind w:left="1080" w:leftChars="257" w:hanging="540"/>
        <w:rPr>
          <w:rFonts w:hint="eastAsia" w:ascii="宋体" w:hAnsi="宋体" w:eastAsia="宋体" w:cs="宋体"/>
          <w:color w:val="auto"/>
          <w:sz w:val="24"/>
          <w:highlight w:val="none"/>
        </w:rPr>
      </w:pPr>
    </w:p>
    <w:p w14:paraId="7A568157">
      <w:pPr>
        <w:pStyle w:val="16"/>
        <w:keepNext w:val="0"/>
        <w:keepLines w:val="0"/>
        <w:pageBreakBefore w:val="0"/>
        <w:widowControl w:val="0"/>
        <w:tabs>
          <w:tab w:val="left" w:pos="5580"/>
        </w:tabs>
        <w:kinsoku/>
        <w:overflowPunct/>
        <w:bidi w:val="0"/>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注:1、此表应按投标人须知的规定装订密封。</w:t>
      </w:r>
    </w:p>
    <w:p w14:paraId="7DE90B44">
      <w:pPr>
        <w:pStyle w:val="16"/>
        <w:keepNext w:val="0"/>
        <w:keepLines w:val="0"/>
        <w:pageBreakBefore w:val="0"/>
        <w:widowControl w:val="0"/>
        <w:tabs>
          <w:tab w:val="left" w:pos="5580"/>
        </w:tabs>
        <w:kinsoku/>
        <w:overflowPunct/>
        <w:bidi w:val="0"/>
        <w:spacing w:line="240" w:lineRule="atLeast"/>
        <w:ind w:left="1079" w:leftChars="428" w:hanging="180" w:hangingChars="75"/>
        <w:rPr>
          <w:rFonts w:hint="eastAsia" w:ascii="宋体" w:hAnsi="宋体" w:eastAsia="宋体" w:cs="宋体"/>
          <w:color w:val="auto"/>
          <w:sz w:val="24"/>
          <w:highlight w:val="none"/>
        </w:rPr>
      </w:pPr>
      <w:r>
        <w:rPr>
          <w:rFonts w:hint="eastAsia" w:ascii="宋体" w:hAnsi="宋体" w:eastAsia="宋体" w:cs="宋体"/>
          <w:color w:val="auto"/>
          <w:sz w:val="24"/>
          <w:highlight w:val="none"/>
        </w:rPr>
        <w:t>2、此表中，每包的投标总价应和投标分项报价表的总价相一致。</w:t>
      </w:r>
    </w:p>
    <w:p w14:paraId="18F5D864">
      <w:pPr>
        <w:pStyle w:val="16"/>
        <w:keepNext w:val="0"/>
        <w:keepLines w:val="0"/>
        <w:pageBreakBefore w:val="0"/>
        <w:widowControl w:val="0"/>
        <w:tabs>
          <w:tab w:val="left" w:pos="5580"/>
        </w:tabs>
        <w:kinsoku/>
        <w:overflowPunct/>
        <w:bidi w:val="0"/>
        <w:spacing w:line="240" w:lineRule="atLeast"/>
        <w:ind w:left="1079" w:leftChars="428" w:hanging="180" w:hangingChars="75"/>
        <w:rPr>
          <w:rFonts w:hint="eastAsia" w:hAnsi="宋体" w:cs="宋体"/>
          <w:color w:val="auto"/>
          <w:sz w:val="24"/>
          <w:highlight w:val="none"/>
        </w:rPr>
      </w:pPr>
      <w:r>
        <w:rPr>
          <w:rFonts w:hint="eastAsia" w:hAnsi="宋体" w:cs="宋体"/>
          <w:color w:val="auto"/>
          <w:sz w:val="24"/>
          <w:highlight w:val="none"/>
        </w:rPr>
        <w:t>3、根据中华人民共和国财政部令第87号--政府采购货物和服务招标投标管理办法</w:t>
      </w:r>
      <w:r>
        <w:rPr>
          <w:rFonts w:hAnsi="宋体" w:cs="宋体"/>
          <w:color w:val="auto"/>
          <w:sz w:val="24"/>
          <w:highlight w:val="none"/>
        </w:rPr>
        <w:t>第六十条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3D7740B2">
      <w:pPr>
        <w:keepNext w:val="0"/>
        <w:keepLines w:val="0"/>
        <w:pageBreakBefore w:val="0"/>
        <w:widowControl w:val="0"/>
        <w:kinsoku/>
        <w:overflowPunct/>
        <w:bidi w:val="0"/>
        <w:rPr>
          <w:rFonts w:hint="eastAsia" w:ascii="宋体" w:hAnsi="宋体" w:eastAsia="宋体" w:cs="宋体"/>
          <w:b/>
          <w:color w:val="auto"/>
          <w:sz w:val="24"/>
          <w:highlight w:val="none"/>
        </w:rPr>
      </w:pPr>
    </w:p>
    <w:p w14:paraId="5960BD06">
      <w:pPr>
        <w:pStyle w:val="27"/>
        <w:keepNext w:val="0"/>
        <w:keepLines w:val="0"/>
        <w:pageBreakBefore w:val="0"/>
        <w:widowControl w:val="0"/>
        <w:kinsoku/>
        <w:overflowPunct/>
        <w:bidi w:val="0"/>
        <w:rPr>
          <w:rFonts w:hint="eastAsia" w:ascii="宋体" w:hAnsi="宋体" w:eastAsia="宋体" w:cs="宋体"/>
          <w:b/>
          <w:color w:val="auto"/>
          <w:sz w:val="24"/>
          <w:highlight w:val="none"/>
        </w:rPr>
      </w:pPr>
    </w:p>
    <w:p w14:paraId="2C9718B7">
      <w:pPr>
        <w:pStyle w:val="11"/>
        <w:keepNext w:val="0"/>
        <w:keepLines w:val="0"/>
        <w:pageBreakBefore w:val="0"/>
        <w:widowControl w:val="0"/>
        <w:kinsoku/>
        <w:overflowPunct/>
        <w:bidi w:val="0"/>
        <w:rPr>
          <w:rFonts w:hint="eastAsia" w:ascii="宋体" w:hAnsi="宋体" w:eastAsia="宋体" w:cs="宋体"/>
          <w:b/>
          <w:color w:val="auto"/>
          <w:sz w:val="24"/>
          <w:highlight w:val="none"/>
        </w:rPr>
      </w:pPr>
    </w:p>
    <w:p w14:paraId="09004796">
      <w:pPr>
        <w:keepNext w:val="0"/>
        <w:keepLines w:val="0"/>
        <w:pageBreakBefore w:val="0"/>
        <w:widowControl w:val="0"/>
        <w:kinsoku/>
        <w:overflowPunct/>
        <w:bidi w:val="0"/>
        <w:rPr>
          <w:rFonts w:hint="eastAsia" w:ascii="宋体" w:hAnsi="宋体" w:eastAsia="宋体" w:cs="宋体"/>
          <w:b/>
          <w:color w:val="auto"/>
          <w:sz w:val="24"/>
          <w:highlight w:val="none"/>
        </w:rPr>
      </w:pPr>
    </w:p>
    <w:p w14:paraId="770DF234">
      <w:pPr>
        <w:pStyle w:val="49"/>
        <w:keepNext w:val="0"/>
        <w:keepLines w:val="0"/>
        <w:pageBreakBefore w:val="0"/>
        <w:widowControl w:val="0"/>
        <w:kinsoku/>
        <w:overflowPunct/>
        <w:bidi w:val="0"/>
        <w:rPr>
          <w:rFonts w:hint="eastAsia" w:ascii="宋体" w:hAnsi="宋体" w:eastAsia="宋体" w:cs="宋体"/>
          <w:b/>
          <w:color w:val="auto"/>
          <w:sz w:val="24"/>
          <w:highlight w:val="none"/>
        </w:rPr>
      </w:pPr>
    </w:p>
    <w:p w14:paraId="79DFB60D">
      <w:pPr>
        <w:pStyle w:val="49"/>
        <w:keepNext w:val="0"/>
        <w:keepLines w:val="0"/>
        <w:pageBreakBefore w:val="0"/>
        <w:widowControl w:val="0"/>
        <w:kinsoku/>
        <w:overflowPunct/>
        <w:bidi w:val="0"/>
        <w:rPr>
          <w:rFonts w:hint="eastAsia" w:ascii="宋体" w:hAnsi="宋体" w:eastAsia="宋体" w:cs="宋体"/>
          <w:b/>
          <w:color w:val="auto"/>
          <w:sz w:val="24"/>
          <w:highlight w:val="none"/>
        </w:rPr>
      </w:pPr>
    </w:p>
    <w:p w14:paraId="7A235330">
      <w:pPr>
        <w:pStyle w:val="27"/>
        <w:keepNext w:val="0"/>
        <w:keepLines w:val="0"/>
        <w:pageBreakBefore w:val="0"/>
        <w:widowControl w:val="0"/>
        <w:kinsoku/>
        <w:overflowPunct/>
        <w:bidi w:val="0"/>
        <w:rPr>
          <w:rFonts w:hint="eastAsia" w:ascii="宋体" w:hAnsi="宋体" w:eastAsia="宋体" w:cs="宋体"/>
          <w:color w:val="auto"/>
          <w:highlight w:val="none"/>
        </w:rPr>
      </w:pPr>
    </w:p>
    <w:p w14:paraId="31E2C67A">
      <w:pPr>
        <w:pStyle w:val="11"/>
        <w:keepNext w:val="0"/>
        <w:keepLines w:val="0"/>
        <w:pageBreakBefore w:val="0"/>
        <w:widowControl w:val="0"/>
        <w:kinsoku/>
        <w:overflowPunct/>
        <w:bidi w:val="0"/>
        <w:rPr>
          <w:rFonts w:hint="eastAsia" w:ascii="宋体" w:hAnsi="宋体" w:eastAsia="宋体" w:cs="宋体"/>
          <w:color w:val="auto"/>
          <w:highlight w:val="none"/>
        </w:rPr>
      </w:pPr>
    </w:p>
    <w:p w14:paraId="729E4098">
      <w:pPr>
        <w:pStyle w:val="35"/>
        <w:keepNext w:val="0"/>
        <w:keepLines w:val="0"/>
        <w:pageBreakBefore w:val="0"/>
        <w:widowControl w:val="0"/>
        <w:kinsoku/>
        <w:overflowPunct/>
        <w:bidi w:val="0"/>
        <w:rPr>
          <w:rFonts w:hint="eastAsia"/>
          <w:color w:val="auto"/>
          <w:highlight w:val="none"/>
        </w:rPr>
      </w:pPr>
    </w:p>
    <w:p w14:paraId="793C21E4">
      <w:pPr>
        <w:rPr>
          <w:rFonts w:hint="eastAsia"/>
          <w:color w:val="auto"/>
        </w:rPr>
      </w:pPr>
    </w:p>
    <w:p w14:paraId="6F22FC43">
      <w:pPr>
        <w:pStyle w:val="35"/>
        <w:keepNext w:val="0"/>
        <w:keepLines w:val="0"/>
        <w:pageBreakBefore w:val="0"/>
        <w:widowControl w:val="0"/>
        <w:kinsoku/>
        <w:overflowPunct/>
        <w:bidi w:val="0"/>
        <w:rPr>
          <w:rFonts w:hint="eastAsia"/>
          <w:color w:val="auto"/>
          <w:highlight w:val="none"/>
        </w:rPr>
      </w:pPr>
    </w:p>
    <w:p w14:paraId="09BC2909">
      <w:pPr>
        <w:rPr>
          <w:rFonts w:hint="eastAsia"/>
          <w:color w:val="auto"/>
        </w:rPr>
      </w:pPr>
    </w:p>
    <w:p w14:paraId="05DEB3DF">
      <w:pPr>
        <w:pStyle w:val="16"/>
        <w:keepNext w:val="0"/>
        <w:keepLines w:val="0"/>
        <w:pageBreakBefore w:val="0"/>
        <w:widowControl w:val="0"/>
        <w:tabs>
          <w:tab w:val="left" w:pos="5580"/>
        </w:tabs>
        <w:kinsoku/>
        <w:overflowPunct/>
        <w:bidi w:val="0"/>
        <w:spacing w:line="240" w:lineRule="atLeast"/>
        <w:ind w:left="1080" w:leftChars="257" w:hanging="540"/>
        <w:jc w:val="center"/>
        <w:rPr>
          <w:rFonts w:hint="eastAsia" w:ascii="宋体" w:hAnsi="宋体" w:eastAsia="宋体" w:cs="宋体"/>
          <w:b/>
          <w:color w:val="auto"/>
          <w:sz w:val="24"/>
          <w:highlight w:val="none"/>
        </w:rPr>
      </w:pPr>
    </w:p>
    <w:p w14:paraId="4BB1E74C">
      <w:pPr>
        <w:pStyle w:val="17"/>
        <w:rPr>
          <w:rFonts w:hint="eastAsia"/>
          <w:color w:val="auto"/>
          <w:highlight w:val="none"/>
        </w:rPr>
      </w:pPr>
    </w:p>
    <w:p w14:paraId="7852AF1E">
      <w:pPr>
        <w:pStyle w:val="3"/>
        <w:keepNext w:val="0"/>
        <w:keepLines w:val="0"/>
        <w:pageBreakBefore w:val="0"/>
        <w:widowControl w:val="0"/>
        <w:kinsoku/>
        <w:overflowPunct/>
        <w:bidi w:val="0"/>
        <w:spacing w:before="0" w:line="240" w:lineRule="atLeast"/>
        <w:ind w:left="1080" w:leftChars="257" w:hanging="540"/>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 xml:space="preserve"> 2、单位三证合一营业执照；</w:t>
      </w:r>
    </w:p>
    <w:p w14:paraId="71D27A90">
      <w:pPr>
        <w:pStyle w:val="16"/>
        <w:keepNext w:val="0"/>
        <w:keepLines w:val="0"/>
        <w:pageBreakBefore w:val="0"/>
        <w:widowControl w:val="0"/>
        <w:tabs>
          <w:tab w:val="left" w:pos="5580"/>
        </w:tabs>
        <w:kinsoku/>
        <w:overflowPunct/>
        <w:bidi w:val="0"/>
        <w:spacing w:line="240" w:lineRule="atLeast"/>
        <w:ind w:left="1080" w:leftChars="257" w:hanging="540"/>
        <w:jc w:val="center"/>
        <w:rPr>
          <w:rFonts w:hint="eastAsia" w:ascii="宋体" w:hAnsi="宋体" w:eastAsia="宋体" w:cs="宋体"/>
          <w:b/>
          <w:color w:val="auto"/>
          <w:sz w:val="24"/>
          <w:highlight w:val="none"/>
        </w:rPr>
      </w:pPr>
    </w:p>
    <w:p w14:paraId="3CBF37FA">
      <w:pPr>
        <w:pStyle w:val="16"/>
        <w:keepNext w:val="0"/>
        <w:keepLines w:val="0"/>
        <w:pageBreakBefore w:val="0"/>
        <w:widowControl w:val="0"/>
        <w:tabs>
          <w:tab w:val="left" w:pos="5580"/>
        </w:tabs>
        <w:kinsoku/>
        <w:overflowPunct/>
        <w:bidi w:val="0"/>
        <w:spacing w:line="240" w:lineRule="atLeast"/>
        <w:ind w:left="1080" w:leftChars="257" w:hanging="540"/>
        <w:rPr>
          <w:rFonts w:hint="eastAsia" w:ascii="宋体" w:hAnsi="宋体" w:eastAsia="宋体" w:cs="宋体"/>
          <w:color w:val="auto"/>
          <w:sz w:val="24"/>
          <w:highlight w:val="none"/>
        </w:rPr>
      </w:pPr>
    </w:p>
    <w:p w14:paraId="4D651058">
      <w:pPr>
        <w:pStyle w:val="16"/>
        <w:keepNext w:val="0"/>
        <w:keepLines w:val="0"/>
        <w:pageBreakBefore w:val="0"/>
        <w:widowControl w:val="0"/>
        <w:tabs>
          <w:tab w:val="left" w:pos="5580"/>
        </w:tabs>
        <w:kinsoku/>
        <w:overflowPunct/>
        <w:bidi w:val="0"/>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0C7EC4AE">
      <w:pPr>
        <w:pStyle w:val="16"/>
        <w:keepNext w:val="0"/>
        <w:keepLines w:val="0"/>
        <w:pageBreakBefore w:val="0"/>
        <w:widowControl w:val="0"/>
        <w:tabs>
          <w:tab w:val="left" w:pos="5580"/>
        </w:tabs>
        <w:kinsoku/>
        <w:overflowPunct/>
        <w:bidi w:val="0"/>
        <w:spacing w:line="240" w:lineRule="atLeast"/>
        <w:ind w:left="1080" w:leftChars="257" w:hanging="540"/>
        <w:rPr>
          <w:rFonts w:hint="eastAsia" w:ascii="宋体" w:hAnsi="宋体" w:eastAsia="宋体" w:cs="宋体"/>
          <w:color w:val="auto"/>
          <w:sz w:val="24"/>
          <w:highlight w:val="none"/>
        </w:rPr>
      </w:pPr>
    </w:p>
    <w:p w14:paraId="5A7F2BA5">
      <w:pPr>
        <w:keepNext w:val="0"/>
        <w:keepLines w:val="0"/>
        <w:pageBreakBefore w:val="0"/>
        <w:widowControl w:val="0"/>
        <w:numPr>
          <w:ilvl w:val="0"/>
          <w:numId w:val="0"/>
        </w:numPr>
        <w:kinsoku/>
        <w:overflowPunct/>
        <w:bidi w:val="0"/>
        <w:adjustRightInd w:val="0"/>
        <w:snapToGrid w:val="0"/>
        <w:spacing w:before="312" w:beforeLines="100" w:after="312" w:afterLines="100" w:line="360" w:lineRule="exact"/>
        <w:jc w:val="center"/>
        <w:rPr>
          <w:rFonts w:hint="eastAsia" w:ascii="宋体" w:hAnsi="宋体" w:cs="宋体"/>
          <w:b/>
          <w:bCs/>
          <w:color w:val="auto"/>
          <w:kern w:val="0"/>
          <w:sz w:val="28"/>
          <w:szCs w:val="28"/>
          <w:highlight w:val="none"/>
          <w:lang w:val="en-US" w:eastAsia="zh-CN"/>
        </w:rPr>
      </w:pPr>
      <w:r>
        <w:rPr>
          <w:rFonts w:hint="eastAsia" w:ascii="宋体" w:hAnsi="宋体" w:eastAsia="宋体" w:cs="宋体"/>
          <w:color w:val="auto"/>
          <w:sz w:val="24"/>
          <w:highlight w:val="none"/>
        </w:rPr>
        <w:br w:type="page"/>
      </w:r>
      <w:bookmarkStart w:id="287" w:name="_Toc11047"/>
      <w:bookmarkStart w:id="288" w:name="_Toc31238"/>
      <w:bookmarkStart w:id="289" w:name="_Toc515647809"/>
      <w:bookmarkStart w:id="290" w:name="_Toc28445"/>
    </w:p>
    <w:p w14:paraId="34D69954">
      <w:pPr>
        <w:keepNext w:val="0"/>
        <w:keepLines w:val="0"/>
        <w:pageBreakBefore w:val="0"/>
        <w:widowControl w:val="0"/>
        <w:numPr>
          <w:ilvl w:val="0"/>
          <w:numId w:val="0"/>
        </w:numPr>
        <w:kinsoku/>
        <w:overflowPunct/>
        <w:bidi w:val="0"/>
        <w:adjustRightInd w:val="0"/>
        <w:snapToGrid w:val="0"/>
        <w:spacing w:before="312" w:beforeLines="100" w:after="312" w:afterLines="100" w:line="360" w:lineRule="exact"/>
        <w:jc w:val="center"/>
        <w:rPr>
          <w:rFonts w:hint="eastAsia" w:ascii="宋体" w:hAnsi="宋体" w:cs="宋体"/>
          <w:b/>
          <w:bCs/>
          <w:color w:val="auto"/>
          <w:kern w:val="0"/>
          <w:sz w:val="24"/>
          <w:szCs w:val="24"/>
          <w:highlight w:val="none"/>
        </w:rPr>
      </w:pPr>
      <w:r>
        <w:rPr>
          <w:rFonts w:hint="eastAsia" w:ascii="宋体" w:hAnsi="宋体" w:cs="宋体"/>
          <w:b/>
          <w:bCs/>
          <w:color w:val="auto"/>
          <w:kern w:val="0"/>
          <w:sz w:val="28"/>
          <w:szCs w:val="28"/>
          <w:highlight w:val="none"/>
          <w:lang w:val="en-US" w:eastAsia="zh-CN"/>
        </w:rPr>
        <w:t>3</w:t>
      </w:r>
      <w:r>
        <w:rPr>
          <w:rFonts w:hint="eastAsia" w:ascii="宋体" w:hAnsi="宋体" w:eastAsia="宋体" w:cs="宋体"/>
          <w:b/>
          <w:bCs/>
          <w:color w:val="auto"/>
          <w:kern w:val="0"/>
          <w:sz w:val="28"/>
          <w:szCs w:val="28"/>
          <w:highlight w:val="none"/>
        </w:rPr>
        <w:t>、</w:t>
      </w:r>
      <w:r>
        <w:rPr>
          <w:rFonts w:hint="eastAsia" w:ascii="宋体" w:hAnsi="宋体" w:cs="宋体"/>
          <w:b/>
          <w:bCs/>
          <w:color w:val="auto"/>
          <w:kern w:val="0"/>
          <w:sz w:val="28"/>
          <w:szCs w:val="28"/>
          <w:highlight w:val="none"/>
        </w:rPr>
        <w:t>法定代表人身份证明书；法定代表人授权委托书；</w:t>
      </w:r>
    </w:p>
    <w:p w14:paraId="394B6AAA">
      <w:pPr>
        <w:keepNext w:val="0"/>
        <w:keepLines w:val="0"/>
        <w:pageBreakBefore w:val="0"/>
        <w:widowControl w:val="0"/>
        <w:kinsoku/>
        <w:overflowPunct/>
        <w:bidi w:val="0"/>
        <w:adjustRightInd w:val="0"/>
        <w:snapToGrid w:val="0"/>
        <w:spacing w:before="312" w:beforeLines="100" w:after="312" w:afterLines="100" w:line="360" w:lineRule="auto"/>
        <w:jc w:val="center"/>
        <w:rPr>
          <w:rFonts w:hint="eastAsia" w:ascii="宋体" w:hAnsi="宋体" w:cs="宋体"/>
          <w:color w:val="auto"/>
          <w:sz w:val="24"/>
          <w:szCs w:val="24"/>
          <w:highlight w:val="none"/>
        </w:rPr>
      </w:pPr>
      <w:r>
        <w:rPr>
          <w:rFonts w:hint="eastAsia" w:ascii="宋体" w:hAnsi="宋体" w:cs="宋体"/>
          <w:b/>
          <w:color w:val="auto"/>
          <w:sz w:val="24"/>
          <w:szCs w:val="24"/>
          <w:highlight w:val="none"/>
        </w:rPr>
        <w:t>（一）法定代表人身份证明书</w:t>
      </w:r>
    </w:p>
    <w:p w14:paraId="7341A139">
      <w:pPr>
        <w:keepNext w:val="0"/>
        <w:keepLines w:val="0"/>
        <w:pageBreakBefore w:val="0"/>
        <w:widowControl w:val="0"/>
        <w:kinsoku/>
        <w:overflowPunct/>
        <w:bidi w:val="0"/>
        <w:spacing w:line="360" w:lineRule="auto"/>
        <w:rPr>
          <w:rFonts w:hint="eastAsia" w:ascii="宋体" w:hAnsi="宋体" w:cs="宋体"/>
          <w:color w:val="auto"/>
          <w:sz w:val="24"/>
          <w:highlight w:val="none"/>
        </w:rPr>
      </w:pPr>
      <w:r>
        <w:rPr>
          <w:rFonts w:hint="eastAsia" w:ascii="仿宋" w:hAnsi="仿宋" w:eastAsia="仿宋" w:cs="宋体"/>
          <w:color w:val="auto"/>
          <w:sz w:val="24"/>
          <w:highlight w:val="none"/>
        </w:rPr>
        <w:t xml:space="preserve">   </w:t>
      </w:r>
      <w:r>
        <w:rPr>
          <w:rFonts w:hint="eastAsia" w:ascii="宋体" w:hAnsi="宋体" w:cs="宋体"/>
          <w:color w:val="auto"/>
          <w:sz w:val="24"/>
          <w:highlight w:val="none"/>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同志，现任我单位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（职务）为法定代表人，特此证明。</w:t>
      </w:r>
    </w:p>
    <w:p w14:paraId="550D0DC5">
      <w:pPr>
        <w:keepNext w:val="0"/>
        <w:keepLines w:val="0"/>
        <w:pageBreakBefore w:val="0"/>
        <w:widowControl w:val="0"/>
        <w:kinsoku/>
        <w:overflowPunct/>
        <w:bidi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单位：                      签发日期：</w:t>
      </w:r>
    </w:p>
    <w:p w14:paraId="542769B3">
      <w:pPr>
        <w:keepNext w:val="0"/>
        <w:keepLines w:val="0"/>
        <w:pageBreakBefore w:val="0"/>
        <w:widowControl w:val="0"/>
        <w:kinsoku/>
        <w:overflowPunct/>
        <w:bidi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法定代表人：                性别：            年龄：           </w:t>
      </w:r>
    </w:p>
    <w:p w14:paraId="342E2C5D">
      <w:pPr>
        <w:keepNext w:val="0"/>
        <w:keepLines w:val="0"/>
        <w:pageBreakBefore w:val="0"/>
        <w:widowControl w:val="0"/>
        <w:kinsoku/>
        <w:overflowPunct/>
        <w:bidi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身份证号码：                联系电话：</w:t>
      </w:r>
    </w:p>
    <w:p w14:paraId="7D04563B">
      <w:pPr>
        <w:keepNext w:val="0"/>
        <w:keepLines w:val="0"/>
        <w:pageBreakBefore w:val="0"/>
        <w:widowControl w:val="0"/>
        <w:kinsoku/>
        <w:overflowPunct/>
        <w:bidi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营业执照号码：              经济性质：</w:t>
      </w:r>
    </w:p>
    <w:p w14:paraId="7FF6B4FE">
      <w:pPr>
        <w:keepNext w:val="0"/>
        <w:keepLines w:val="0"/>
        <w:pageBreakBefore w:val="0"/>
        <w:widowControl w:val="0"/>
        <w:kinsoku/>
        <w:overflowPunct/>
        <w:bidi w:val="0"/>
        <w:spacing w:line="360" w:lineRule="auto"/>
        <w:rPr>
          <w:rFonts w:hint="eastAsia" w:ascii="宋体" w:hAnsi="宋体" w:cs="宋体"/>
          <w:color w:val="auto"/>
          <w:sz w:val="24"/>
          <w:highlight w:val="none"/>
        </w:rPr>
      </w:pPr>
      <w:r>
        <w:rPr>
          <w:rFonts w:hint="eastAsia" w:ascii="宋体" w:hAnsi="宋体" w:cs="宋体"/>
          <w:color w:val="auto"/>
          <w:sz w:val="24"/>
          <w:highlight w:val="none"/>
        </w:rPr>
        <w:t>说明：</w:t>
      </w:r>
    </w:p>
    <w:p w14:paraId="1F06519D">
      <w:pPr>
        <w:keepNext w:val="0"/>
        <w:keepLines w:val="0"/>
        <w:pageBreakBefore w:val="0"/>
        <w:widowControl w:val="0"/>
        <w:kinsoku/>
        <w:overflowPunct/>
        <w:bidi w:val="0"/>
        <w:spacing w:line="360" w:lineRule="auto"/>
        <w:ind w:firstLine="240" w:firstLineChars="100"/>
        <w:rPr>
          <w:rFonts w:hint="eastAsia" w:ascii="宋体" w:hAnsi="宋体" w:cs="宋体"/>
          <w:color w:val="auto"/>
          <w:sz w:val="24"/>
          <w:highlight w:val="none"/>
        </w:rPr>
      </w:pPr>
      <w:r>
        <w:rPr>
          <w:rFonts w:hint="eastAsia" w:ascii="宋体" w:hAnsi="宋体" w:cs="宋体"/>
          <w:color w:val="auto"/>
          <w:sz w:val="24"/>
          <w:highlight w:val="none"/>
        </w:rPr>
        <w:t>1、法定代表人为企业事业单位、国家机关、社会团体的主要行政负责人。</w:t>
      </w:r>
    </w:p>
    <w:p w14:paraId="048E9900">
      <w:pPr>
        <w:keepNext w:val="0"/>
        <w:keepLines w:val="0"/>
        <w:pageBreakBefore w:val="0"/>
        <w:widowControl w:val="0"/>
        <w:kinsoku/>
        <w:overflowPunct/>
        <w:bidi w:val="0"/>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2、内容必须填写真实、清楚、涂改无效，不得转让。</w:t>
      </w:r>
    </w:p>
    <w:p w14:paraId="49EC625B">
      <w:pPr>
        <w:keepNext w:val="0"/>
        <w:keepLines w:val="0"/>
        <w:pageBreakBefore w:val="0"/>
        <w:widowControl w:val="0"/>
        <w:kinsoku/>
        <w:overflowPunct/>
        <w:bidi w:val="0"/>
        <w:spacing w:line="360" w:lineRule="auto"/>
        <w:ind w:firstLine="240" w:firstLineChars="100"/>
        <w:rPr>
          <w:rFonts w:hint="eastAsia" w:ascii="宋体" w:hAnsi="宋体" w:cs="宋体"/>
          <w:color w:val="auto"/>
          <w:sz w:val="24"/>
          <w:highlight w:val="none"/>
        </w:rPr>
      </w:pPr>
      <w:r>
        <w:rPr>
          <w:rFonts w:hint="eastAsia" w:ascii="宋体" w:hAnsi="宋体" w:cs="宋体"/>
          <w:color w:val="auto"/>
          <w:sz w:val="24"/>
          <w:highlight w:val="none"/>
        </w:rPr>
        <w:t>3、将此证明书原件提交采购代理机构作为谈判</w:t>
      </w:r>
      <w:r>
        <w:rPr>
          <w:rFonts w:hint="eastAsia" w:ascii="宋体" w:hAnsi="宋体" w:cs="宋体"/>
          <w:color w:val="auto"/>
          <w:sz w:val="24"/>
          <w:highlight w:val="none"/>
          <w:lang w:eastAsia="zh-CN"/>
        </w:rPr>
        <w:t>响应文件</w:t>
      </w:r>
      <w:r>
        <w:rPr>
          <w:rFonts w:hint="eastAsia" w:ascii="宋体" w:hAnsi="宋体" w:cs="宋体"/>
          <w:color w:val="auto"/>
          <w:sz w:val="24"/>
          <w:highlight w:val="none"/>
        </w:rPr>
        <w:t>附件。</w:t>
      </w:r>
    </w:p>
    <w:p w14:paraId="58ECC172">
      <w:pPr>
        <w:keepNext w:val="0"/>
        <w:keepLines w:val="0"/>
        <w:pageBreakBefore w:val="0"/>
        <w:widowControl w:val="0"/>
        <w:kinsoku/>
        <w:overflowPunct/>
        <w:bidi w:val="0"/>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w:t>
      </w:r>
    </w:p>
    <w:p w14:paraId="7F7CDD50">
      <w:pPr>
        <w:keepNext w:val="0"/>
        <w:keepLines w:val="0"/>
        <w:pageBreakBefore w:val="0"/>
        <w:widowControl w:val="0"/>
        <w:kinsoku/>
        <w:overflowPunct/>
        <w:bidi w:val="0"/>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附：法定代表人身份证复印件</w:t>
      </w:r>
    </w:p>
    <w:p w14:paraId="33B35EE4">
      <w:pPr>
        <w:keepNext w:val="0"/>
        <w:keepLines w:val="0"/>
        <w:pageBreakBefore w:val="0"/>
        <w:widowControl w:val="0"/>
        <w:kinsoku/>
        <w:overflowPunct/>
        <w:bidi w:val="0"/>
        <w:spacing w:line="360" w:lineRule="auto"/>
        <w:rPr>
          <w:rFonts w:hint="eastAsia" w:ascii="宋体" w:hAnsi="宋体" w:cs="宋体"/>
          <w:color w:val="auto"/>
          <w:sz w:val="24"/>
          <w:highlight w:val="none"/>
        </w:rPr>
      </w:pPr>
      <w:r>
        <w:rPr>
          <w:rFonts w:hint="eastAsia" w:ascii="宋体" w:hAnsi="宋体" w:cs="宋体"/>
          <w:color w:val="auto"/>
          <w:sz w:val="24"/>
          <w:highlight w:val="none"/>
        </w:rPr>
        <mc:AlternateContent>
          <mc:Choice Requires="wps">
            <w:drawing>
              <wp:anchor distT="0" distB="0" distL="114300" distR="114300" simplePos="0" relativeHeight="251660288" behindDoc="0" locked="0" layoutInCell="1" allowOverlap="1">
                <wp:simplePos x="0" y="0"/>
                <wp:positionH relativeFrom="column">
                  <wp:posOffset>154305</wp:posOffset>
                </wp:positionH>
                <wp:positionV relativeFrom="paragraph">
                  <wp:posOffset>10795</wp:posOffset>
                </wp:positionV>
                <wp:extent cx="2333625" cy="1584325"/>
                <wp:effectExtent l="4445" t="4445" r="5080" b="11430"/>
                <wp:wrapNone/>
                <wp:docPr id="14" name="流程图: 可选过程 14"/>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4086C739">
                            <w:pPr>
                              <w:jc w:val="center"/>
                              <w:rPr>
                                <w:rFonts w:hAnsi="宋体"/>
                                <w:szCs w:val="21"/>
                              </w:rPr>
                            </w:pPr>
                          </w:p>
                          <w:p w14:paraId="6AC3DB5D">
                            <w:pPr>
                              <w:jc w:val="center"/>
                              <w:rPr>
                                <w:rFonts w:hAnsi="宋体"/>
                                <w:szCs w:val="21"/>
                              </w:rPr>
                            </w:pPr>
                          </w:p>
                          <w:p w14:paraId="5593ABF9">
                            <w:pPr>
                              <w:jc w:val="center"/>
                              <w:rPr>
                                <w:rFonts w:hAnsi="宋体"/>
                                <w:szCs w:val="21"/>
                              </w:rPr>
                            </w:pPr>
                          </w:p>
                          <w:p w14:paraId="418FB14D">
                            <w:pPr>
                              <w:jc w:val="center"/>
                              <w:rPr>
                                <w:rFonts w:hint="eastAsia"/>
                                <w:szCs w:val="21"/>
                              </w:rPr>
                            </w:pPr>
                            <w:r>
                              <w:rPr>
                                <w:rFonts w:hint="eastAsia" w:hAnsi="宋体"/>
                                <w:szCs w:val="21"/>
                              </w:rPr>
                              <w:t>法定代表人身份证复印件正面</w:t>
                            </w:r>
                          </w:p>
                        </w:txbxContent>
                      </wps:txbx>
                      <wps:bodyPr upright="1"/>
                    </wps:wsp>
                  </a:graphicData>
                </a:graphic>
              </wp:anchor>
            </w:drawing>
          </mc:Choice>
          <mc:Fallback>
            <w:pict>
              <v:shape id="_x0000_s1026" o:spid="_x0000_s1026" o:spt="176" type="#_x0000_t176" style="position:absolute;left:0pt;margin-left:12.15pt;margin-top:0.85pt;height:124.75pt;width:183.75pt;z-index:251660288;mso-width-relative:page;mso-height-relative:page;" fillcolor="#FFFFFF" filled="t" stroked="t" coordsize="21600,21600" o:gfxdata="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5WTr11gAAAAgBAAAPAAAAAAAAAAEAIAAAACIAAABkcnMvZG93bnJldi54bWxQSwEC&#10;FAAUAAAACACHTuJAgT5kQy8CAABgBAAADgAAAAAAAAABACAAAAAlAQAAZHJzL2Uyb0RvYy54bWxQ&#10;SwUGAAAAAAYABgBZAQAAxgUAAAAA&#10;">
                <v:fill on="t" focussize="0,0"/>
                <v:stroke color="#000000" joinstyle="miter"/>
                <v:imagedata o:title=""/>
                <o:lock v:ext="edit" aspectratio="f"/>
                <v:textbox>
                  <w:txbxContent>
                    <w:p w14:paraId="4086C739">
                      <w:pPr>
                        <w:jc w:val="center"/>
                        <w:rPr>
                          <w:rFonts w:hAnsi="宋体"/>
                          <w:szCs w:val="21"/>
                        </w:rPr>
                      </w:pPr>
                    </w:p>
                    <w:p w14:paraId="6AC3DB5D">
                      <w:pPr>
                        <w:jc w:val="center"/>
                        <w:rPr>
                          <w:rFonts w:hAnsi="宋体"/>
                          <w:szCs w:val="21"/>
                        </w:rPr>
                      </w:pPr>
                    </w:p>
                    <w:p w14:paraId="5593ABF9">
                      <w:pPr>
                        <w:jc w:val="center"/>
                        <w:rPr>
                          <w:rFonts w:hAnsi="宋体"/>
                          <w:szCs w:val="21"/>
                        </w:rPr>
                      </w:pPr>
                    </w:p>
                    <w:p w14:paraId="418FB14D">
                      <w:pPr>
                        <w:jc w:val="center"/>
                        <w:rPr>
                          <w:rFonts w:hint="eastAsia"/>
                          <w:szCs w:val="21"/>
                        </w:rPr>
                      </w:pPr>
                      <w:r>
                        <w:rPr>
                          <w:rFonts w:hint="eastAsia" w:hAnsi="宋体"/>
                          <w:szCs w:val="21"/>
                        </w:rPr>
                        <w:t>法定代表人身份证复印件正面</w:t>
                      </w:r>
                    </w:p>
                  </w:txbxContent>
                </v:textbox>
              </v:shape>
            </w:pict>
          </mc:Fallback>
        </mc:AlternateContent>
      </w:r>
      <w:r>
        <w:rPr>
          <w:rFonts w:hint="eastAsia" w:ascii="宋体" w:hAnsi="宋体" w:cs="宋体"/>
          <w:color w:val="auto"/>
          <w:sz w:val="24"/>
          <w:highlight w:val="none"/>
        </w:rPr>
        <mc:AlternateContent>
          <mc:Choice Requires="wps">
            <w:drawing>
              <wp:anchor distT="0" distB="0" distL="114300" distR="114300" simplePos="0" relativeHeight="251661312" behindDoc="0" locked="0" layoutInCell="1" allowOverlap="1">
                <wp:simplePos x="0" y="0"/>
                <wp:positionH relativeFrom="column">
                  <wp:posOffset>2918460</wp:posOffset>
                </wp:positionH>
                <wp:positionV relativeFrom="paragraph">
                  <wp:posOffset>28575</wp:posOffset>
                </wp:positionV>
                <wp:extent cx="2609850" cy="1557020"/>
                <wp:effectExtent l="7620" t="7620" r="11430" b="16510"/>
                <wp:wrapNone/>
                <wp:docPr id="15" name="圆角矩形 15"/>
                <wp:cNvGraphicFramePr/>
                <a:graphic xmlns:a="http://schemas.openxmlformats.org/drawingml/2006/main">
                  <a:graphicData uri="http://schemas.microsoft.com/office/word/2010/wordprocessingShape">
                    <wps:wsp>
                      <wps:cNvSpPr/>
                      <wps:spPr>
                        <a:xfrm>
                          <a:off x="0" y="0"/>
                          <a:ext cx="2609850" cy="155702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14:paraId="6CD201CB">
                            <w:pPr>
                              <w:jc w:val="center"/>
                              <w:rPr>
                                <w:rFonts w:hAnsi="宋体"/>
                                <w:szCs w:val="21"/>
                              </w:rPr>
                            </w:pPr>
                            <w:r>
                              <w:rPr>
                                <w:rFonts w:hint="eastAsia" w:hAnsi="宋体"/>
                                <w:szCs w:val="21"/>
                              </w:rPr>
                              <w:t xml:space="preserve">  </w:t>
                            </w:r>
                          </w:p>
                          <w:p w14:paraId="345B032F">
                            <w:pPr>
                              <w:jc w:val="center"/>
                              <w:rPr>
                                <w:rFonts w:hAnsi="宋体"/>
                                <w:szCs w:val="21"/>
                              </w:rPr>
                            </w:pPr>
                          </w:p>
                          <w:p w14:paraId="19CF4881">
                            <w:pPr>
                              <w:jc w:val="center"/>
                              <w:rPr>
                                <w:rFonts w:hAnsi="宋体"/>
                                <w:szCs w:val="21"/>
                              </w:rPr>
                            </w:pPr>
                          </w:p>
                          <w:p w14:paraId="05AC8028">
                            <w:pPr>
                              <w:jc w:val="center"/>
                              <w:rPr>
                                <w:szCs w:val="21"/>
                              </w:rPr>
                            </w:pPr>
                            <w:r>
                              <w:rPr>
                                <w:rFonts w:hint="eastAsia" w:hAnsi="宋体"/>
                                <w:szCs w:val="21"/>
                              </w:rPr>
                              <w:t>法定代表人身份证复印件反面</w:t>
                            </w:r>
                          </w:p>
                          <w:p w14:paraId="1F55B81F"/>
                          <w:p w14:paraId="70190266">
                            <w:pPr>
                              <w:pStyle w:val="4"/>
                            </w:pPr>
                          </w:p>
                          <w:p w14:paraId="13A8C53A">
                            <w:pPr>
                              <w:pStyle w:val="4"/>
                            </w:pPr>
                          </w:p>
                          <w:p w14:paraId="20EB9256">
                            <w:pPr>
                              <w:pStyle w:val="4"/>
                            </w:pPr>
                          </w:p>
                          <w:p w14:paraId="527A109C">
                            <w:pPr>
                              <w:pStyle w:val="4"/>
                            </w:pPr>
                          </w:p>
                        </w:txbxContent>
                      </wps:txbx>
                      <wps:bodyPr upright="1"/>
                    </wps:wsp>
                  </a:graphicData>
                </a:graphic>
              </wp:anchor>
            </w:drawing>
          </mc:Choice>
          <mc:Fallback>
            <w:pict>
              <v:roundrect id="_x0000_s1026" o:spid="_x0000_s1026" o:spt="2" style="position:absolute;left:0pt;margin-left:229.8pt;margin-top:2.25pt;height:122.6pt;width:205.5pt;z-index:251661312;mso-width-relative:page;mso-height-relative:page;" fillcolor="#FFFFFF" filled="t" stroked="t" coordsize="21600,21600" arcsize="0.166666666666667" o:gfxdata="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I8vY1/aAAAACQEAAA8AAAAAAAAAAQAgAAAAIgAAAGRycy9kb3ducmV2LnhtbFBL&#10;AQIUABQAAAAIAIdO4kCL2ZNHLQIAAGgEAAAOAAAAAAAAAAEAIAAAACkBAABkcnMvZTJvRG9jLnht&#10;bFBLBQYAAAAABgAGAFkBAADIBQAAAAA=&#10;">
                <v:fill on="t" focussize="0,0"/>
                <v:stroke weight="1.25pt" color="#808080" joinstyle="round"/>
                <v:imagedata o:title=""/>
                <o:lock v:ext="edit" aspectratio="f"/>
                <v:textbox>
                  <w:txbxContent>
                    <w:p w14:paraId="6CD201CB">
                      <w:pPr>
                        <w:jc w:val="center"/>
                        <w:rPr>
                          <w:rFonts w:hAnsi="宋体"/>
                          <w:szCs w:val="21"/>
                        </w:rPr>
                      </w:pPr>
                      <w:r>
                        <w:rPr>
                          <w:rFonts w:hint="eastAsia" w:hAnsi="宋体"/>
                          <w:szCs w:val="21"/>
                        </w:rPr>
                        <w:t xml:space="preserve">  </w:t>
                      </w:r>
                    </w:p>
                    <w:p w14:paraId="345B032F">
                      <w:pPr>
                        <w:jc w:val="center"/>
                        <w:rPr>
                          <w:rFonts w:hAnsi="宋体"/>
                          <w:szCs w:val="21"/>
                        </w:rPr>
                      </w:pPr>
                    </w:p>
                    <w:p w14:paraId="19CF4881">
                      <w:pPr>
                        <w:jc w:val="center"/>
                        <w:rPr>
                          <w:rFonts w:hAnsi="宋体"/>
                          <w:szCs w:val="21"/>
                        </w:rPr>
                      </w:pPr>
                    </w:p>
                    <w:p w14:paraId="05AC8028">
                      <w:pPr>
                        <w:jc w:val="center"/>
                        <w:rPr>
                          <w:szCs w:val="21"/>
                        </w:rPr>
                      </w:pPr>
                      <w:r>
                        <w:rPr>
                          <w:rFonts w:hint="eastAsia" w:hAnsi="宋体"/>
                          <w:szCs w:val="21"/>
                        </w:rPr>
                        <w:t>法定代表人身份证复印件反面</w:t>
                      </w:r>
                    </w:p>
                    <w:p w14:paraId="1F55B81F"/>
                    <w:p w14:paraId="70190266">
                      <w:pPr>
                        <w:pStyle w:val="4"/>
                      </w:pPr>
                    </w:p>
                    <w:p w14:paraId="13A8C53A">
                      <w:pPr>
                        <w:pStyle w:val="4"/>
                      </w:pPr>
                    </w:p>
                    <w:p w14:paraId="20EB9256">
                      <w:pPr>
                        <w:pStyle w:val="4"/>
                      </w:pPr>
                    </w:p>
                    <w:p w14:paraId="527A109C">
                      <w:pPr>
                        <w:pStyle w:val="4"/>
                      </w:pPr>
                    </w:p>
                  </w:txbxContent>
                </v:textbox>
              </v:roundrect>
            </w:pict>
          </mc:Fallback>
        </mc:AlternateContent>
      </w:r>
    </w:p>
    <w:p w14:paraId="471A7A79">
      <w:pPr>
        <w:keepNext w:val="0"/>
        <w:keepLines w:val="0"/>
        <w:pageBreakBefore w:val="0"/>
        <w:widowControl w:val="0"/>
        <w:kinsoku/>
        <w:overflowPunct/>
        <w:bidi w:val="0"/>
        <w:spacing w:line="360" w:lineRule="auto"/>
        <w:rPr>
          <w:rFonts w:hint="eastAsia" w:ascii="宋体" w:hAnsi="宋体" w:cs="宋体"/>
          <w:color w:val="auto"/>
          <w:sz w:val="24"/>
          <w:highlight w:val="none"/>
        </w:rPr>
      </w:pPr>
    </w:p>
    <w:p w14:paraId="279428C7">
      <w:pPr>
        <w:keepNext w:val="0"/>
        <w:keepLines w:val="0"/>
        <w:pageBreakBefore w:val="0"/>
        <w:widowControl w:val="0"/>
        <w:kinsoku/>
        <w:overflowPunct/>
        <w:bidi w:val="0"/>
        <w:spacing w:line="360" w:lineRule="auto"/>
        <w:rPr>
          <w:rFonts w:hint="eastAsia" w:ascii="宋体" w:hAnsi="宋体" w:cs="宋体"/>
          <w:color w:val="auto"/>
          <w:sz w:val="24"/>
          <w:highlight w:val="none"/>
        </w:rPr>
      </w:pPr>
    </w:p>
    <w:p w14:paraId="026AD09F">
      <w:pPr>
        <w:keepNext w:val="0"/>
        <w:keepLines w:val="0"/>
        <w:pageBreakBefore w:val="0"/>
        <w:widowControl w:val="0"/>
        <w:tabs>
          <w:tab w:val="left" w:pos="654"/>
          <w:tab w:val="left" w:pos="1734"/>
          <w:tab w:val="left" w:pos="2814"/>
          <w:tab w:val="left" w:pos="3894"/>
          <w:tab w:val="left" w:pos="5334"/>
          <w:tab w:val="left" w:pos="6414"/>
          <w:tab w:val="left" w:pos="7254"/>
          <w:tab w:val="left" w:pos="8574"/>
          <w:tab w:val="left" w:pos="9654"/>
        </w:tabs>
        <w:kinsoku/>
        <w:overflowPunct/>
        <w:bidi w:val="0"/>
        <w:spacing w:line="360" w:lineRule="auto"/>
        <w:rPr>
          <w:rFonts w:hint="eastAsia" w:ascii="宋体" w:hAnsi="宋体" w:cs="宋体"/>
          <w:color w:val="auto"/>
          <w:sz w:val="24"/>
          <w:highlight w:val="none"/>
        </w:rPr>
      </w:pPr>
    </w:p>
    <w:p w14:paraId="5BB5031C">
      <w:pPr>
        <w:keepNext w:val="0"/>
        <w:keepLines w:val="0"/>
        <w:pageBreakBefore w:val="0"/>
        <w:widowControl w:val="0"/>
        <w:kinsoku/>
        <w:overflowPunct/>
        <w:autoSpaceDE w:val="0"/>
        <w:autoSpaceDN w:val="0"/>
        <w:bidi w:val="0"/>
        <w:adjustRightInd w:val="0"/>
        <w:spacing w:line="360" w:lineRule="auto"/>
        <w:ind w:right="246"/>
        <w:rPr>
          <w:rFonts w:hint="eastAsia" w:ascii="宋体" w:hAnsi="宋体" w:cs="宋体"/>
          <w:color w:val="auto"/>
          <w:kern w:val="0"/>
          <w:sz w:val="24"/>
          <w:highlight w:val="none"/>
        </w:rPr>
      </w:pPr>
    </w:p>
    <w:p w14:paraId="00C09110">
      <w:pPr>
        <w:keepNext w:val="0"/>
        <w:keepLines w:val="0"/>
        <w:pageBreakBefore w:val="0"/>
        <w:widowControl w:val="0"/>
        <w:kinsoku/>
        <w:overflowPunct/>
        <w:autoSpaceDE w:val="0"/>
        <w:autoSpaceDN w:val="0"/>
        <w:bidi w:val="0"/>
        <w:adjustRightInd w:val="0"/>
        <w:spacing w:line="360" w:lineRule="auto"/>
        <w:ind w:right="246"/>
        <w:rPr>
          <w:rFonts w:hint="eastAsia" w:ascii="宋体" w:hAnsi="宋体" w:cs="宋体"/>
          <w:color w:val="auto"/>
          <w:kern w:val="0"/>
          <w:sz w:val="24"/>
          <w:highlight w:val="none"/>
        </w:rPr>
      </w:pPr>
    </w:p>
    <w:p w14:paraId="76B79FB0">
      <w:pPr>
        <w:pStyle w:val="27"/>
        <w:keepNext w:val="0"/>
        <w:keepLines w:val="0"/>
        <w:pageBreakBefore w:val="0"/>
        <w:widowControl w:val="0"/>
        <w:kinsoku/>
        <w:overflowPunct/>
        <w:bidi w:val="0"/>
        <w:rPr>
          <w:rFonts w:hint="eastAsia"/>
          <w:color w:val="auto"/>
          <w:highlight w:val="none"/>
        </w:rPr>
      </w:pPr>
    </w:p>
    <w:p w14:paraId="0330D2D9">
      <w:pPr>
        <w:keepNext w:val="0"/>
        <w:keepLines w:val="0"/>
        <w:pageBreakBefore w:val="0"/>
        <w:widowControl w:val="0"/>
        <w:kinsoku/>
        <w:overflowPunct/>
        <w:autoSpaceDE w:val="0"/>
        <w:autoSpaceDN w:val="0"/>
        <w:bidi w:val="0"/>
        <w:adjustRightInd w:val="0"/>
        <w:spacing w:line="360" w:lineRule="auto"/>
        <w:ind w:right="246" w:firstLine="784" w:firstLineChars="327"/>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投标人（盖章）：         </w:t>
      </w:r>
      <w:r>
        <w:rPr>
          <w:rFonts w:hint="eastAsia" w:ascii="宋体" w:hAnsi="宋体" w:cs="宋体"/>
          <w:color w:val="auto"/>
          <w:kern w:val="0"/>
          <w:sz w:val="24"/>
          <w:highlight w:val="none"/>
          <w:u w:val="single"/>
        </w:rPr>
        <w:t xml:space="preserve">           </w:t>
      </w:r>
    </w:p>
    <w:p w14:paraId="0EB84B50">
      <w:pPr>
        <w:keepNext w:val="0"/>
        <w:keepLines w:val="0"/>
        <w:pageBreakBefore w:val="0"/>
        <w:widowControl w:val="0"/>
        <w:kinsoku/>
        <w:overflowPunct/>
        <w:bidi w:val="0"/>
        <w:adjustRightInd w:val="0"/>
        <w:snapToGrid w:val="0"/>
        <w:spacing w:line="360" w:lineRule="auto"/>
        <w:ind w:firstLine="784" w:firstLineChars="327"/>
        <w:rPr>
          <w:rFonts w:hint="eastAsia" w:ascii="宋体" w:hAnsi="宋体" w:cs="宋体"/>
          <w:color w:val="auto"/>
          <w:sz w:val="24"/>
          <w:highlight w:val="none"/>
        </w:rPr>
      </w:pPr>
      <w:r>
        <w:rPr>
          <w:rFonts w:hint="eastAsia" w:ascii="宋体" w:hAnsi="宋体" w:cs="宋体"/>
          <w:color w:val="auto"/>
          <w:sz w:val="24"/>
          <w:highlight w:val="none"/>
        </w:rPr>
        <w:t>法定代表人（签</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章）：</w:t>
      </w:r>
      <w:r>
        <w:rPr>
          <w:rFonts w:hint="eastAsia" w:ascii="宋体" w:hAnsi="宋体" w:cs="宋体"/>
          <w:color w:val="auto"/>
          <w:sz w:val="24"/>
          <w:highlight w:val="none"/>
          <w:u w:val="single"/>
        </w:rPr>
        <w:t xml:space="preserve">             </w:t>
      </w:r>
    </w:p>
    <w:p w14:paraId="3DBC88E5">
      <w:pPr>
        <w:keepNext w:val="0"/>
        <w:keepLines w:val="0"/>
        <w:pageBreakBefore w:val="0"/>
        <w:widowControl w:val="0"/>
        <w:kinsoku/>
        <w:overflowPunct/>
        <w:bidi w:val="0"/>
        <w:adjustRightInd w:val="0"/>
        <w:snapToGrid w:val="0"/>
        <w:spacing w:line="360" w:lineRule="auto"/>
        <w:ind w:firstLine="784" w:firstLineChars="327"/>
        <w:rPr>
          <w:rFonts w:hint="eastAsia" w:ascii="宋体" w:hAnsi="宋体" w:cs="宋体"/>
          <w:color w:val="auto"/>
          <w:sz w:val="24"/>
          <w:highlight w:val="none"/>
          <w:u w:val="single"/>
        </w:rPr>
      </w:pPr>
      <w:r>
        <w:rPr>
          <w:rFonts w:hint="eastAsia" w:ascii="宋体" w:hAnsi="宋体" w:cs="宋体"/>
          <w:color w:val="auto"/>
          <w:sz w:val="24"/>
          <w:highlight w:val="none"/>
        </w:rPr>
        <w:t>日   期：</w:t>
      </w:r>
      <w:r>
        <w:rPr>
          <w:rFonts w:hint="eastAsia" w:ascii="宋体" w:hAnsi="宋体" w:cs="宋体"/>
          <w:color w:val="auto"/>
          <w:sz w:val="24"/>
          <w:highlight w:val="none"/>
          <w:u w:val="single"/>
        </w:rPr>
        <w:t xml:space="preserve">                        </w:t>
      </w:r>
    </w:p>
    <w:p w14:paraId="1C08DB16">
      <w:pPr>
        <w:pStyle w:val="16"/>
        <w:keepNext w:val="0"/>
        <w:keepLines w:val="0"/>
        <w:pageBreakBefore w:val="0"/>
        <w:widowControl w:val="0"/>
        <w:tabs>
          <w:tab w:val="left" w:pos="5580"/>
        </w:tabs>
        <w:kinsoku/>
        <w:overflowPunct/>
        <w:bidi w:val="0"/>
        <w:spacing w:line="240" w:lineRule="atLeast"/>
        <w:ind w:left="1080" w:leftChars="257" w:hanging="540"/>
        <w:rPr>
          <w:rFonts w:hint="eastAsia" w:ascii="仿宋" w:hAnsi="仿宋" w:eastAsia="仿宋"/>
          <w:b/>
          <w:color w:val="auto"/>
          <w:sz w:val="24"/>
          <w:highlight w:val="none"/>
        </w:rPr>
      </w:pPr>
    </w:p>
    <w:p w14:paraId="2D46BFF1">
      <w:pPr>
        <w:pStyle w:val="16"/>
        <w:keepNext w:val="0"/>
        <w:keepLines w:val="0"/>
        <w:pageBreakBefore w:val="0"/>
        <w:widowControl w:val="0"/>
        <w:tabs>
          <w:tab w:val="left" w:pos="5580"/>
        </w:tabs>
        <w:kinsoku/>
        <w:overflowPunct/>
        <w:bidi w:val="0"/>
        <w:spacing w:line="240" w:lineRule="atLeast"/>
        <w:ind w:left="1108" w:leftChars="371" w:hanging="329" w:hangingChars="157"/>
        <w:rPr>
          <w:rFonts w:hint="eastAsia" w:hAnsi="宋体" w:cs="宋体"/>
          <w:color w:val="auto"/>
          <w:sz w:val="24"/>
          <w:highlight w:val="none"/>
        </w:rPr>
      </w:pPr>
      <w:r>
        <w:rPr>
          <w:rFonts w:hint="eastAsia"/>
          <w:color w:val="auto"/>
          <w:highlight w:val="none"/>
        </w:rPr>
        <w:t>注：</w:t>
      </w:r>
      <w:r>
        <w:rPr>
          <w:rFonts w:hint="eastAsia" w:hAnsi="宋体" w:cs="宋体"/>
          <w:color w:val="auto"/>
          <w:sz w:val="24"/>
          <w:highlight w:val="none"/>
        </w:rPr>
        <w:t>1. 投标人为自然人的，应提供身份证明的复印件。</w:t>
      </w:r>
    </w:p>
    <w:p w14:paraId="4D59BB65">
      <w:pPr>
        <w:pStyle w:val="16"/>
        <w:keepNext w:val="0"/>
        <w:keepLines w:val="0"/>
        <w:pageBreakBefore w:val="0"/>
        <w:widowControl w:val="0"/>
        <w:tabs>
          <w:tab w:val="left" w:pos="5580"/>
        </w:tabs>
        <w:kinsoku/>
        <w:overflowPunct/>
        <w:bidi w:val="0"/>
        <w:spacing w:line="240" w:lineRule="atLeast"/>
        <w:ind w:left="1080" w:leftChars="257" w:hanging="540"/>
        <w:rPr>
          <w:rFonts w:hint="eastAsia" w:hAnsi="宋体" w:cs="宋体"/>
          <w:color w:val="auto"/>
          <w:sz w:val="24"/>
          <w:highlight w:val="none"/>
        </w:rPr>
      </w:pPr>
      <w:r>
        <w:rPr>
          <w:rFonts w:hint="eastAsia" w:hAnsi="宋体" w:cs="宋体"/>
          <w:color w:val="auto"/>
          <w:sz w:val="24"/>
          <w:highlight w:val="none"/>
        </w:rPr>
        <w:t xml:space="preserve">        2.联合体投标应提供联合体各方满足以上要求的证明文件。</w:t>
      </w:r>
    </w:p>
    <w:p w14:paraId="5FD2FF46">
      <w:pPr>
        <w:pStyle w:val="3"/>
        <w:keepNext w:val="0"/>
        <w:keepLines w:val="0"/>
        <w:pageBreakBefore w:val="0"/>
        <w:widowControl w:val="0"/>
        <w:tabs>
          <w:tab w:val="left" w:pos="540"/>
        </w:tabs>
        <w:kinsoku/>
        <w:overflowPunct/>
        <w:bidi w:val="0"/>
        <w:spacing w:line="240" w:lineRule="atLeast"/>
        <w:jc w:val="center"/>
        <w:rPr>
          <w:rFonts w:hint="eastAsia" w:ascii="宋体" w:hAnsi="宋体" w:cs="宋体"/>
          <w:color w:val="auto"/>
          <w:szCs w:val="28"/>
          <w:highlight w:val="none"/>
        </w:rPr>
      </w:pPr>
      <w:r>
        <w:rPr>
          <w:rFonts w:hint="eastAsia" w:ascii="宋体" w:hAnsi="宋体" w:cs="宋体"/>
          <w:color w:val="auto"/>
          <w:sz w:val="24"/>
          <w:szCs w:val="24"/>
          <w:highlight w:val="none"/>
        </w:rPr>
        <w:br w:type="page"/>
      </w:r>
      <w:bookmarkStart w:id="291" w:name="_Toc515647807"/>
      <w:bookmarkStart w:id="292" w:name="_Toc23503"/>
      <w:bookmarkStart w:id="293" w:name="_Toc1083"/>
      <w:bookmarkStart w:id="294" w:name="_Toc22472"/>
      <w:r>
        <w:rPr>
          <w:rFonts w:hint="eastAsia" w:asciiTheme="minorEastAsia" w:hAnsiTheme="minorEastAsia" w:eastAsiaTheme="minorEastAsia" w:cstheme="minorEastAsia"/>
          <w:color w:val="auto"/>
          <w:sz w:val="24"/>
          <w:szCs w:val="24"/>
          <w:highlight w:val="none"/>
        </w:rPr>
        <w:t xml:space="preserve"> </w:t>
      </w:r>
      <w:bookmarkStart w:id="295" w:name="_Toc1846"/>
      <w:bookmarkStart w:id="296" w:name="_Toc29028"/>
      <w:bookmarkStart w:id="297" w:name="_Toc23386"/>
      <w:r>
        <w:rPr>
          <w:rFonts w:hint="eastAsia" w:asciiTheme="minorEastAsia" w:hAnsiTheme="minorEastAsia" w:eastAsiaTheme="minorEastAsia" w:cstheme="minorEastAsia"/>
          <w:color w:val="auto"/>
          <w:sz w:val="24"/>
          <w:szCs w:val="24"/>
          <w:highlight w:val="none"/>
        </w:rPr>
        <w:t>（二）法定代表人授权委托书</w:t>
      </w:r>
      <w:bookmarkEnd w:id="291"/>
      <w:bookmarkEnd w:id="292"/>
      <w:bookmarkEnd w:id="293"/>
      <w:bookmarkEnd w:id="294"/>
      <w:bookmarkEnd w:id="295"/>
      <w:bookmarkEnd w:id="296"/>
      <w:bookmarkEnd w:id="297"/>
    </w:p>
    <w:p w14:paraId="59CB048D">
      <w:pPr>
        <w:pStyle w:val="3"/>
        <w:keepNext w:val="0"/>
        <w:keepLines w:val="0"/>
        <w:pageBreakBefore w:val="0"/>
        <w:widowControl w:val="0"/>
        <w:tabs>
          <w:tab w:val="left" w:pos="540"/>
        </w:tabs>
        <w:kinsoku/>
        <w:overflowPunct/>
        <w:bidi w:val="0"/>
        <w:jc w:val="both"/>
        <w:rPr>
          <w:rFonts w:hint="eastAsia" w:ascii="宋体" w:hAnsi="宋体" w:cs="宋体"/>
          <w:color w:val="auto"/>
          <w:sz w:val="24"/>
          <w:highlight w:val="none"/>
        </w:rPr>
      </w:pPr>
      <w:bookmarkStart w:id="298" w:name="_Toc30228"/>
      <w:bookmarkStart w:id="299" w:name="_Toc6592"/>
      <w:bookmarkStart w:id="300" w:name="_Toc5232"/>
      <w:r>
        <w:rPr>
          <w:rFonts w:hint="eastAsia" w:ascii="宋体" w:hAnsi="宋体" w:cs="宋体"/>
          <w:color w:val="auto"/>
          <w:szCs w:val="28"/>
          <w:highlight w:val="none"/>
        </w:rPr>
        <w:cr/>
      </w:r>
      <w:r>
        <w:rPr>
          <w:rFonts w:hint="eastAsia" w:asciiTheme="minorEastAsia" w:hAnsiTheme="minorEastAsia" w:eastAsiaTheme="minorEastAsia" w:cstheme="minorEastAsia"/>
          <w:color w:val="auto"/>
          <w:sz w:val="24"/>
          <w:highlight w:val="none"/>
        </w:rPr>
        <w:t xml:space="preserve">    本授权书声明：注册于</w:t>
      </w:r>
      <w:r>
        <w:rPr>
          <w:rFonts w:hint="eastAsia" w:asciiTheme="minorEastAsia" w:hAnsiTheme="minorEastAsia" w:eastAsiaTheme="minorEastAsia" w:cstheme="minorEastAsia"/>
          <w:bCs/>
          <w:color w:val="auto"/>
          <w:sz w:val="24"/>
          <w:highlight w:val="none"/>
          <w:u w:val="single"/>
        </w:rPr>
        <w:t>（国家或地区的名称）</w:t>
      </w:r>
      <w:r>
        <w:rPr>
          <w:rFonts w:hint="eastAsia" w:asciiTheme="minorEastAsia" w:hAnsiTheme="minorEastAsia" w:eastAsiaTheme="minorEastAsia" w:cstheme="minorEastAsia"/>
          <w:color w:val="auto"/>
          <w:sz w:val="24"/>
          <w:highlight w:val="none"/>
        </w:rPr>
        <w:t>的</w:t>
      </w:r>
      <w:r>
        <w:rPr>
          <w:rFonts w:hint="eastAsia" w:asciiTheme="minorEastAsia" w:hAnsiTheme="minorEastAsia" w:eastAsiaTheme="minorEastAsia" w:cstheme="minorEastAsia"/>
          <w:bCs/>
          <w:color w:val="auto"/>
          <w:sz w:val="24"/>
          <w:highlight w:val="none"/>
        </w:rPr>
        <w:t>（</w:t>
      </w:r>
      <w:r>
        <w:rPr>
          <w:rFonts w:hint="eastAsia" w:asciiTheme="minorEastAsia" w:hAnsiTheme="minorEastAsia" w:eastAsiaTheme="minorEastAsia" w:cstheme="minorEastAsia"/>
          <w:bCs/>
          <w:color w:val="auto"/>
          <w:sz w:val="24"/>
          <w:highlight w:val="none"/>
          <w:u w:val="single"/>
        </w:rPr>
        <w:t>投标人</w:t>
      </w:r>
      <w:r>
        <w:rPr>
          <w:rFonts w:hint="eastAsia" w:asciiTheme="minorEastAsia" w:hAnsiTheme="minorEastAsia" w:eastAsiaTheme="minorEastAsia" w:cstheme="minorEastAsia"/>
          <w:bCs/>
          <w:color w:val="auto"/>
          <w:sz w:val="24"/>
          <w:highlight w:val="none"/>
        </w:rPr>
        <w:t>）</w:t>
      </w:r>
      <w:r>
        <w:rPr>
          <w:rFonts w:hint="eastAsia" w:asciiTheme="minorEastAsia" w:hAnsiTheme="minorEastAsia" w:eastAsiaTheme="minorEastAsia" w:cstheme="minorEastAsia"/>
          <w:color w:val="auto"/>
          <w:sz w:val="24"/>
          <w:highlight w:val="none"/>
        </w:rPr>
        <w:t>的</w:t>
      </w:r>
      <w:r>
        <w:rPr>
          <w:rFonts w:hint="eastAsia" w:asciiTheme="minorEastAsia" w:hAnsiTheme="minorEastAsia" w:eastAsiaTheme="minorEastAsia" w:cstheme="minorEastAsia"/>
          <w:bCs/>
          <w:color w:val="auto"/>
          <w:sz w:val="24"/>
          <w:highlight w:val="none"/>
        </w:rPr>
        <w:t>（</w:t>
      </w:r>
      <w:r>
        <w:rPr>
          <w:rFonts w:hint="eastAsia" w:asciiTheme="minorEastAsia" w:hAnsiTheme="minorEastAsia" w:eastAsiaTheme="minorEastAsia" w:cstheme="minorEastAsia"/>
          <w:bCs/>
          <w:color w:val="auto"/>
          <w:sz w:val="24"/>
          <w:highlight w:val="none"/>
          <w:u w:val="single"/>
        </w:rPr>
        <w:t>法人代表姓名、职务</w:t>
      </w:r>
      <w:r>
        <w:rPr>
          <w:rFonts w:hint="eastAsia" w:asciiTheme="minorEastAsia" w:hAnsiTheme="minorEastAsia" w:eastAsiaTheme="minorEastAsia" w:cstheme="minorEastAsia"/>
          <w:bCs/>
          <w:color w:val="auto"/>
          <w:sz w:val="24"/>
          <w:highlight w:val="none"/>
        </w:rPr>
        <w:t>）</w:t>
      </w:r>
      <w:r>
        <w:rPr>
          <w:rFonts w:hint="eastAsia" w:asciiTheme="minorEastAsia" w:hAnsiTheme="minorEastAsia" w:eastAsiaTheme="minorEastAsia" w:cstheme="minorEastAsia"/>
          <w:color w:val="auto"/>
          <w:sz w:val="24"/>
          <w:highlight w:val="none"/>
        </w:rPr>
        <w:t>代表我单位授权</w:t>
      </w:r>
      <w:r>
        <w:rPr>
          <w:rFonts w:hint="eastAsia" w:asciiTheme="minorEastAsia" w:hAnsiTheme="minorEastAsia" w:eastAsiaTheme="minorEastAsia" w:cstheme="minorEastAsia"/>
          <w:bCs/>
          <w:color w:val="auto"/>
          <w:sz w:val="24"/>
          <w:highlight w:val="none"/>
        </w:rPr>
        <w:t>（</w:t>
      </w:r>
      <w:r>
        <w:rPr>
          <w:rFonts w:hint="eastAsia" w:asciiTheme="minorEastAsia" w:hAnsiTheme="minorEastAsia" w:eastAsiaTheme="minorEastAsia" w:cstheme="minorEastAsia"/>
          <w:bCs/>
          <w:color w:val="auto"/>
          <w:sz w:val="24"/>
          <w:highlight w:val="none"/>
          <w:u w:val="single"/>
        </w:rPr>
        <w:t>单位名称</w:t>
      </w:r>
      <w:r>
        <w:rPr>
          <w:rFonts w:hint="eastAsia" w:asciiTheme="minorEastAsia" w:hAnsiTheme="minorEastAsia" w:eastAsiaTheme="minorEastAsia" w:cstheme="minorEastAsia"/>
          <w:bCs/>
          <w:color w:val="auto"/>
          <w:sz w:val="24"/>
          <w:highlight w:val="none"/>
        </w:rPr>
        <w:t>）</w:t>
      </w:r>
      <w:r>
        <w:rPr>
          <w:rFonts w:hint="eastAsia" w:asciiTheme="minorEastAsia" w:hAnsiTheme="minorEastAsia" w:eastAsiaTheme="minorEastAsia" w:cstheme="minorEastAsia"/>
          <w:color w:val="auto"/>
          <w:sz w:val="24"/>
          <w:highlight w:val="none"/>
        </w:rPr>
        <w:t>的</w:t>
      </w:r>
      <w:r>
        <w:rPr>
          <w:rFonts w:hint="eastAsia" w:asciiTheme="minorEastAsia" w:hAnsiTheme="minorEastAsia" w:eastAsiaTheme="minorEastAsia" w:cstheme="minorEastAsia"/>
          <w:bCs/>
          <w:color w:val="auto"/>
          <w:sz w:val="24"/>
          <w:highlight w:val="none"/>
        </w:rPr>
        <w:t>（</w:t>
      </w:r>
      <w:r>
        <w:rPr>
          <w:rFonts w:hint="eastAsia" w:asciiTheme="minorEastAsia" w:hAnsiTheme="minorEastAsia" w:eastAsiaTheme="minorEastAsia" w:cstheme="minorEastAsia"/>
          <w:bCs/>
          <w:color w:val="auto"/>
          <w:sz w:val="24"/>
          <w:highlight w:val="none"/>
          <w:u w:val="single"/>
        </w:rPr>
        <w:t>被授权人的姓名、职务</w:t>
      </w:r>
      <w:r>
        <w:rPr>
          <w:rFonts w:hint="eastAsia" w:asciiTheme="minorEastAsia" w:hAnsiTheme="minorEastAsia" w:eastAsiaTheme="minorEastAsia" w:cstheme="minorEastAsia"/>
          <w:bCs/>
          <w:color w:val="auto"/>
          <w:sz w:val="24"/>
          <w:highlight w:val="none"/>
        </w:rPr>
        <w:t>）</w:t>
      </w:r>
      <w:r>
        <w:rPr>
          <w:rFonts w:hint="eastAsia" w:asciiTheme="minorEastAsia" w:hAnsiTheme="minorEastAsia" w:eastAsiaTheme="minorEastAsia" w:cstheme="minorEastAsia"/>
          <w:color w:val="auto"/>
          <w:sz w:val="24"/>
          <w:highlight w:val="none"/>
        </w:rPr>
        <w:t>为我单位的合法代理人，就</w:t>
      </w:r>
      <w:r>
        <w:rPr>
          <w:rFonts w:hint="eastAsia" w:asciiTheme="minorEastAsia" w:hAnsiTheme="minorEastAsia" w:eastAsiaTheme="minorEastAsia" w:cstheme="minorEastAsia"/>
          <w:bCs/>
          <w:color w:val="auto"/>
          <w:sz w:val="24"/>
          <w:highlight w:val="none"/>
        </w:rPr>
        <w:t>（</w:t>
      </w:r>
      <w:r>
        <w:rPr>
          <w:rFonts w:hint="eastAsia" w:asciiTheme="minorEastAsia" w:hAnsiTheme="minorEastAsia" w:eastAsiaTheme="minorEastAsia" w:cstheme="minorEastAsia"/>
          <w:bCs/>
          <w:color w:val="auto"/>
          <w:sz w:val="24"/>
          <w:highlight w:val="none"/>
          <w:u w:val="single"/>
        </w:rPr>
        <w:t>项目名称</w:t>
      </w:r>
      <w:r>
        <w:rPr>
          <w:rFonts w:hint="eastAsia" w:asciiTheme="minorEastAsia" w:hAnsiTheme="minorEastAsia" w:eastAsiaTheme="minorEastAsia" w:cstheme="minorEastAsia"/>
          <w:bCs/>
          <w:color w:val="auto"/>
          <w:sz w:val="24"/>
          <w:highlight w:val="none"/>
        </w:rPr>
        <w:t>）</w:t>
      </w:r>
      <w:r>
        <w:rPr>
          <w:rFonts w:hint="eastAsia" w:asciiTheme="minorEastAsia" w:hAnsiTheme="minorEastAsia" w:eastAsiaTheme="minorEastAsia" w:cstheme="minorEastAsia"/>
          <w:color w:val="auto"/>
          <w:sz w:val="24"/>
          <w:highlight w:val="none"/>
        </w:rPr>
        <w:t>的投标，以我单位名义处理一切与之有关的事务。</w:t>
      </w:r>
      <w:r>
        <w:rPr>
          <w:rFonts w:hint="eastAsia" w:ascii="宋体" w:hAnsi="宋体" w:cs="宋体"/>
          <w:color w:val="auto"/>
          <w:sz w:val="24"/>
          <w:highlight w:val="none"/>
        </w:rPr>
        <w:cr/>
      </w:r>
      <w:bookmarkEnd w:id="298"/>
      <w:bookmarkEnd w:id="299"/>
      <w:bookmarkEnd w:id="300"/>
      <w:r>
        <w:rPr>
          <w:rFonts w:hint="eastAsia" w:ascii="宋体" w:hAnsi="宋体" w:cs="宋体"/>
          <w:color w:val="auto"/>
          <w:sz w:val="24"/>
          <w:highlight w:val="none"/>
        </w:rPr>
        <w:t>　　</w:t>
      </w:r>
    </w:p>
    <w:p w14:paraId="35F7043B">
      <w:pPr>
        <w:pStyle w:val="16"/>
        <w:keepNext w:val="0"/>
        <w:keepLines w:val="0"/>
        <w:pageBreakBefore w:val="0"/>
        <w:widowControl w:val="0"/>
        <w:tabs>
          <w:tab w:val="left" w:pos="5580"/>
        </w:tabs>
        <w:kinsoku/>
        <w:overflowPunct/>
        <w:bidi w:val="0"/>
        <w:spacing w:line="240" w:lineRule="atLeast"/>
        <w:ind w:left="-540" w:leftChars="-257" w:firstLine="900" w:firstLineChars="375"/>
        <w:rPr>
          <w:rFonts w:hint="eastAsia" w:hAnsi="宋体" w:cs="宋体"/>
          <w:color w:val="auto"/>
          <w:sz w:val="24"/>
          <w:highlight w:val="none"/>
        </w:rPr>
      </w:pPr>
    </w:p>
    <w:p w14:paraId="358E80E4">
      <w:pPr>
        <w:pStyle w:val="16"/>
        <w:keepNext w:val="0"/>
        <w:keepLines w:val="0"/>
        <w:pageBreakBefore w:val="0"/>
        <w:widowControl w:val="0"/>
        <w:tabs>
          <w:tab w:val="left" w:pos="5580"/>
        </w:tabs>
        <w:kinsoku/>
        <w:overflowPunct/>
        <w:bidi w:val="0"/>
        <w:spacing w:line="240" w:lineRule="atLeast"/>
        <w:ind w:left="-540" w:leftChars="-257" w:firstLine="900" w:firstLineChars="375"/>
        <w:rPr>
          <w:rFonts w:hint="eastAsia" w:hAnsi="宋体" w:cs="宋体"/>
          <w:color w:val="auto"/>
          <w:sz w:val="24"/>
          <w:highlight w:val="none"/>
        </w:rPr>
      </w:pPr>
      <w:r>
        <w:rPr>
          <w:rFonts w:hint="eastAsia" w:hAnsi="宋体" w:cs="宋体"/>
          <w:color w:val="auto"/>
          <w:sz w:val="24"/>
          <w:highlight w:val="none"/>
        </w:rPr>
        <mc:AlternateContent>
          <mc:Choice Requires="wps">
            <w:drawing>
              <wp:anchor distT="0" distB="0" distL="114300" distR="114300" simplePos="0" relativeHeight="251665408" behindDoc="0" locked="0" layoutInCell="1" allowOverlap="1">
                <wp:simplePos x="0" y="0"/>
                <wp:positionH relativeFrom="column">
                  <wp:posOffset>2827655</wp:posOffset>
                </wp:positionH>
                <wp:positionV relativeFrom="paragraph">
                  <wp:posOffset>581025</wp:posOffset>
                </wp:positionV>
                <wp:extent cx="2230755" cy="1239520"/>
                <wp:effectExtent l="8255" t="7620" r="8890" b="10160"/>
                <wp:wrapNone/>
                <wp:docPr id="12" name="圆角矩形 12"/>
                <wp:cNvGraphicFramePr/>
                <a:graphic xmlns:a="http://schemas.openxmlformats.org/drawingml/2006/main">
                  <a:graphicData uri="http://schemas.microsoft.com/office/word/2010/wordprocessingShape">
                    <wps:wsp>
                      <wps:cNvSpPr/>
                      <wps:spPr>
                        <a:xfrm>
                          <a:off x="0" y="0"/>
                          <a:ext cx="2230755" cy="1239520"/>
                        </a:xfrm>
                        <a:prstGeom prst="roundRect">
                          <a:avLst>
                            <a:gd name="adj" fmla="val 16667"/>
                          </a:avLst>
                        </a:prstGeom>
                        <a:solidFill>
                          <a:srgbClr val="FFFFFF"/>
                        </a:solidFill>
                        <a:ln w="15875" cap="flat" cmpd="sng">
                          <a:solidFill>
                            <a:srgbClr val="808080"/>
                          </a:solidFill>
                          <a:prstDash val="solid"/>
                          <a:headEnd type="none" w="med" len="med"/>
                          <a:tailEnd type="none" w="med" len="med"/>
                        </a:ln>
                      </wps:spPr>
                      <wps:txbx>
                        <w:txbxContent>
                          <w:p w14:paraId="6E126DAB">
                            <w:pPr>
                              <w:jc w:val="center"/>
                              <w:rPr>
                                <w:rFonts w:hint="eastAsia" w:hAnsi="宋体"/>
                              </w:rPr>
                            </w:pPr>
                            <w:r>
                              <w:rPr>
                                <w:rFonts w:hint="eastAsia" w:hAnsi="宋体"/>
                              </w:rPr>
                              <w:t xml:space="preserve">  </w:t>
                            </w:r>
                          </w:p>
                          <w:p w14:paraId="4189B880">
                            <w:pPr>
                              <w:rPr>
                                <w:rFonts w:hint="eastAsia" w:hAnsi="宋体"/>
                              </w:rPr>
                            </w:pPr>
                          </w:p>
                          <w:p w14:paraId="2C9CF938">
                            <w:pPr>
                              <w:jc w:val="center"/>
                              <w:rPr>
                                <w:szCs w:val="21"/>
                              </w:rPr>
                            </w:pPr>
                            <w:r>
                              <w:rPr>
                                <w:rFonts w:hint="eastAsia" w:hAnsi="宋体"/>
                                <w:szCs w:val="21"/>
                              </w:rPr>
                              <w:t>法定代表人身份证复印件反面</w:t>
                            </w:r>
                          </w:p>
                          <w:p w14:paraId="44FC56DE"/>
                        </w:txbxContent>
                      </wps:txbx>
                      <wps:bodyPr upright="1"/>
                    </wps:wsp>
                  </a:graphicData>
                </a:graphic>
              </wp:anchor>
            </w:drawing>
          </mc:Choice>
          <mc:Fallback>
            <w:pict>
              <v:roundrect id="_x0000_s1026" o:spid="_x0000_s1026" o:spt="2" style="position:absolute;left:0pt;margin-left:222.65pt;margin-top:45.75pt;height:97.6pt;width:175.65pt;z-index:251665408;mso-width-relative:page;mso-height-relative:page;" fillcolor="#FFFFFF" filled="t" stroked="t" coordsize="21600,21600" arcsize="0.166666666666667" o:gfxdata="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BqWaq90AAAAKAQAADwAAAAAAAAABACAAAAAiAAAAZHJzL2Rvd25yZXYueG1sUEsBAhQA&#10;FAAAAAgAh07iQIqj2s8mAgAAWgQAAA4AAAAAAAAAAQAgAAAALAEAAGRycy9lMm9Eb2MueG1sUEsF&#10;BgAAAAAGAAYAWQEAAMQFAAAAAA==&#10;">
                <v:fill on="t" focussize="0,0"/>
                <v:stroke weight="1.25pt" color="#808080" joinstyle="round"/>
                <v:imagedata o:title=""/>
                <o:lock v:ext="edit" aspectratio="f"/>
                <v:textbox>
                  <w:txbxContent>
                    <w:p w14:paraId="6E126DAB">
                      <w:pPr>
                        <w:jc w:val="center"/>
                        <w:rPr>
                          <w:rFonts w:hint="eastAsia" w:hAnsi="宋体"/>
                        </w:rPr>
                      </w:pPr>
                      <w:r>
                        <w:rPr>
                          <w:rFonts w:hint="eastAsia" w:hAnsi="宋体"/>
                        </w:rPr>
                        <w:t xml:space="preserve">  </w:t>
                      </w:r>
                    </w:p>
                    <w:p w14:paraId="4189B880">
                      <w:pPr>
                        <w:rPr>
                          <w:rFonts w:hint="eastAsia" w:hAnsi="宋体"/>
                        </w:rPr>
                      </w:pPr>
                    </w:p>
                    <w:p w14:paraId="2C9CF938">
                      <w:pPr>
                        <w:jc w:val="center"/>
                        <w:rPr>
                          <w:szCs w:val="21"/>
                        </w:rPr>
                      </w:pPr>
                      <w:r>
                        <w:rPr>
                          <w:rFonts w:hint="eastAsia" w:hAnsi="宋体"/>
                          <w:szCs w:val="21"/>
                        </w:rPr>
                        <w:t>法定代表人身份证复印件反面</w:t>
                      </w:r>
                    </w:p>
                    <w:p w14:paraId="44FC56DE"/>
                  </w:txbxContent>
                </v:textbox>
              </v:roundrect>
            </w:pict>
          </mc:Fallback>
        </mc:AlternateContent>
      </w:r>
      <w:r>
        <w:rPr>
          <w:rFonts w:hint="eastAsia" w:hAnsi="宋体" w:cs="宋体"/>
          <w:color w:val="auto"/>
          <w:sz w:val="24"/>
          <w:highlight w:val="none"/>
        </w:rPr>
        <mc:AlternateContent>
          <mc:Choice Requires="wps">
            <w:drawing>
              <wp:anchor distT="0" distB="0" distL="114300" distR="114300" simplePos="0" relativeHeight="251664384" behindDoc="0" locked="0" layoutInCell="1" allowOverlap="1">
                <wp:simplePos x="0" y="0"/>
                <wp:positionH relativeFrom="column">
                  <wp:posOffset>321945</wp:posOffset>
                </wp:positionH>
                <wp:positionV relativeFrom="paragraph">
                  <wp:posOffset>566420</wp:posOffset>
                </wp:positionV>
                <wp:extent cx="2270760" cy="1302385"/>
                <wp:effectExtent l="7620" t="7620" r="26670" b="23495"/>
                <wp:wrapNone/>
                <wp:docPr id="11" name="圆角矩形 11"/>
                <wp:cNvGraphicFramePr/>
                <a:graphic xmlns:a="http://schemas.openxmlformats.org/drawingml/2006/main">
                  <a:graphicData uri="http://schemas.microsoft.com/office/word/2010/wordprocessingShape">
                    <wps:wsp>
                      <wps:cNvSpPr/>
                      <wps:spPr>
                        <a:xfrm>
                          <a:off x="0" y="0"/>
                          <a:ext cx="2270760" cy="1302385"/>
                        </a:xfrm>
                        <a:prstGeom prst="roundRect">
                          <a:avLst>
                            <a:gd name="adj" fmla="val 16667"/>
                          </a:avLst>
                        </a:prstGeom>
                        <a:solidFill>
                          <a:srgbClr val="FFFFFF"/>
                        </a:solidFill>
                        <a:ln w="15875" cap="flat" cmpd="sng">
                          <a:solidFill>
                            <a:srgbClr val="808080"/>
                          </a:solidFill>
                          <a:prstDash val="solid"/>
                          <a:headEnd type="none" w="med" len="med"/>
                          <a:tailEnd type="none" w="med" len="med"/>
                        </a:ln>
                      </wps:spPr>
                      <wps:txbx>
                        <w:txbxContent>
                          <w:p w14:paraId="4D384EAC">
                            <w:pPr>
                              <w:jc w:val="center"/>
                              <w:rPr>
                                <w:rFonts w:hint="eastAsia" w:hAnsi="宋体"/>
                              </w:rPr>
                            </w:pPr>
                          </w:p>
                          <w:p w14:paraId="5DF0A44F">
                            <w:pPr>
                              <w:rPr>
                                <w:rFonts w:hint="eastAsia" w:hAnsi="宋体"/>
                              </w:rPr>
                            </w:pPr>
                          </w:p>
                          <w:p w14:paraId="5F267DF1">
                            <w:pPr>
                              <w:jc w:val="center"/>
                              <w:rPr>
                                <w:rFonts w:hint="eastAsia"/>
                                <w:szCs w:val="21"/>
                              </w:rPr>
                            </w:pPr>
                            <w:r>
                              <w:rPr>
                                <w:rFonts w:hint="eastAsia" w:hAnsi="宋体"/>
                                <w:szCs w:val="21"/>
                              </w:rPr>
                              <w:t>法定代表人身份证复印件正面</w:t>
                            </w:r>
                          </w:p>
                          <w:p w14:paraId="73140367"/>
                        </w:txbxContent>
                      </wps:txbx>
                      <wps:bodyPr upright="1"/>
                    </wps:wsp>
                  </a:graphicData>
                </a:graphic>
              </wp:anchor>
            </w:drawing>
          </mc:Choice>
          <mc:Fallback>
            <w:pict>
              <v:roundrect id="_x0000_s1026" o:spid="_x0000_s1026" o:spt="2" style="position:absolute;left:0pt;margin-left:25.35pt;margin-top:44.6pt;height:102.55pt;width:178.8pt;z-index:251664384;mso-width-relative:page;mso-height-relative:page;" fillcolor="#FFFFFF" filled="t" stroked="t" coordsize="21600,21600" arcsize="0.166666666666667" o:gfxdata="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H8xKFdsAAAAJAQAADwAAAAAAAAABACAAAAAiAAAAZHJzL2Rvd25yZXYueG1sUEsBAhQAFAAA&#10;AAgAh07iQN7ZmxYlAgAAWgQAAA4AAAAAAAAAAQAgAAAAKgEAAGRycy9lMm9Eb2MueG1sUEsFBgAA&#10;AAAGAAYAWQEAAMEFAAAAAA==&#10;">
                <v:fill on="t" focussize="0,0"/>
                <v:stroke weight="1.25pt" color="#808080" joinstyle="round"/>
                <v:imagedata o:title=""/>
                <o:lock v:ext="edit" aspectratio="f"/>
                <v:textbox>
                  <w:txbxContent>
                    <w:p w14:paraId="4D384EAC">
                      <w:pPr>
                        <w:jc w:val="center"/>
                        <w:rPr>
                          <w:rFonts w:hint="eastAsia" w:hAnsi="宋体"/>
                        </w:rPr>
                      </w:pPr>
                    </w:p>
                    <w:p w14:paraId="5DF0A44F">
                      <w:pPr>
                        <w:rPr>
                          <w:rFonts w:hint="eastAsia" w:hAnsi="宋体"/>
                        </w:rPr>
                      </w:pPr>
                    </w:p>
                    <w:p w14:paraId="5F267DF1">
                      <w:pPr>
                        <w:jc w:val="center"/>
                        <w:rPr>
                          <w:rFonts w:hint="eastAsia"/>
                          <w:szCs w:val="21"/>
                        </w:rPr>
                      </w:pPr>
                      <w:r>
                        <w:rPr>
                          <w:rFonts w:hint="eastAsia" w:hAnsi="宋体"/>
                          <w:szCs w:val="21"/>
                        </w:rPr>
                        <w:t>法定代表人身份证复印件正面</w:t>
                      </w:r>
                    </w:p>
                    <w:p w14:paraId="73140367"/>
                  </w:txbxContent>
                </v:textbox>
              </v:roundrect>
            </w:pict>
          </mc:Fallback>
        </mc:AlternateContent>
      </w:r>
      <w:r>
        <w:rPr>
          <w:rFonts w:hint="eastAsia" w:hAnsi="宋体" w:cs="宋体"/>
          <w:color w:val="auto"/>
          <w:sz w:val="24"/>
          <w:highlight w:val="none"/>
        </w:rPr>
        <w:t>本授权书于</w:t>
      </w:r>
      <w:r>
        <w:rPr>
          <w:rFonts w:hint="eastAsia" w:hAnsi="宋体" w:cs="宋体"/>
          <w:color w:val="auto"/>
          <w:sz w:val="24"/>
          <w:highlight w:val="none"/>
          <w:u w:val="single"/>
        </w:rPr>
        <w:t xml:space="preserve">        </w:t>
      </w:r>
      <w:r>
        <w:rPr>
          <w:rFonts w:hint="eastAsia" w:hAnsi="宋体" w:cs="宋体"/>
          <w:color w:val="auto"/>
          <w:sz w:val="24"/>
          <w:highlight w:val="none"/>
        </w:rPr>
        <w:t>年</w:t>
      </w:r>
      <w:r>
        <w:rPr>
          <w:rFonts w:hint="eastAsia" w:hAnsi="宋体" w:cs="宋体"/>
          <w:color w:val="auto"/>
          <w:sz w:val="24"/>
          <w:highlight w:val="none"/>
          <w:u w:val="single"/>
        </w:rPr>
        <w:t xml:space="preserve">     </w:t>
      </w:r>
      <w:r>
        <w:rPr>
          <w:rFonts w:hint="eastAsia" w:hAnsi="宋体" w:cs="宋体"/>
          <w:color w:val="auto"/>
          <w:sz w:val="24"/>
          <w:highlight w:val="none"/>
        </w:rPr>
        <w:t>月</w:t>
      </w:r>
      <w:r>
        <w:rPr>
          <w:rFonts w:hint="eastAsia" w:hAnsi="宋体" w:cs="宋体"/>
          <w:color w:val="auto"/>
          <w:sz w:val="24"/>
          <w:highlight w:val="none"/>
          <w:u w:val="single"/>
        </w:rPr>
        <w:t xml:space="preserve">      </w:t>
      </w:r>
      <w:r>
        <w:rPr>
          <w:rFonts w:hint="eastAsia" w:hAnsi="宋体" w:cs="宋体"/>
          <w:color w:val="auto"/>
          <w:sz w:val="24"/>
          <w:highlight w:val="none"/>
        </w:rPr>
        <w:t>日签字生效,特此声明。</w:t>
      </w:r>
      <w:r>
        <w:rPr>
          <w:rFonts w:hint="eastAsia" w:hAnsi="宋体" w:cs="宋体"/>
          <w:color w:val="auto"/>
          <w:sz w:val="24"/>
          <w:highlight w:val="none"/>
        </w:rPr>
        <w:cr/>
      </w:r>
      <w:r>
        <w:rPr>
          <w:rFonts w:hint="eastAsia" w:hAnsi="宋体" w:cs="宋体"/>
          <w:color w:val="auto"/>
          <w:sz w:val="24"/>
          <w:highlight w:val="none"/>
        </w:rPr>
        <w:cr/>
      </w:r>
    </w:p>
    <w:p w14:paraId="43CF5F9C">
      <w:pPr>
        <w:pStyle w:val="16"/>
        <w:keepNext w:val="0"/>
        <w:keepLines w:val="0"/>
        <w:pageBreakBefore w:val="0"/>
        <w:widowControl w:val="0"/>
        <w:tabs>
          <w:tab w:val="left" w:pos="5580"/>
        </w:tabs>
        <w:kinsoku/>
        <w:overflowPunct/>
        <w:bidi w:val="0"/>
        <w:spacing w:line="240" w:lineRule="atLeast"/>
        <w:ind w:left="-540" w:leftChars="-257" w:firstLine="900" w:firstLineChars="375"/>
        <w:rPr>
          <w:rFonts w:hint="eastAsia" w:hAnsi="宋体" w:cs="宋体"/>
          <w:color w:val="auto"/>
          <w:sz w:val="24"/>
          <w:highlight w:val="none"/>
        </w:rPr>
      </w:pPr>
    </w:p>
    <w:p w14:paraId="1FE508E0">
      <w:pPr>
        <w:keepNext w:val="0"/>
        <w:keepLines w:val="0"/>
        <w:pageBreakBefore w:val="0"/>
        <w:widowControl w:val="0"/>
        <w:kinsoku/>
        <w:overflowPunct/>
        <w:bidi w:val="0"/>
        <w:spacing w:line="360" w:lineRule="auto"/>
        <w:ind w:firstLine="240" w:firstLineChars="100"/>
        <w:rPr>
          <w:rFonts w:hint="eastAsia" w:ascii="宋体" w:hAnsi="宋体" w:cs="宋体"/>
          <w:color w:val="auto"/>
          <w:sz w:val="24"/>
          <w:highlight w:val="none"/>
        </w:rPr>
      </w:pPr>
    </w:p>
    <w:p w14:paraId="03143ED9">
      <w:pPr>
        <w:keepNext w:val="0"/>
        <w:keepLines w:val="0"/>
        <w:pageBreakBefore w:val="0"/>
        <w:widowControl w:val="0"/>
        <w:kinsoku/>
        <w:overflowPunct/>
        <w:bidi w:val="0"/>
        <w:spacing w:line="360" w:lineRule="auto"/>
        <w:ind w:firstLine="240" w:firstLineChars="100"/>
        <w:rPr>
          <w:rFonts w:hint="eastAsia" w:ascii="宋体" w:hAnsi="宋体" w:cs="宋体"/>
          <w:color w:val="auto"/>
          <w:sz w:val="24"/>
          <w:highlight w:val="none"/>
        </w:rPr>
      </w:pPr>
    </w:p>
    <w:p w14:paraId="052365F2">
      <w:pPr>
        <w:keepNext w:val="0"/>
        <w:keepLines w:val="0"/>
        <w:pageBreakBefore w:val="0"/>
        <w:widowControl w:val="0"/>
        <w:kinsoku/>
        <w:overflowPunct/>
        <w:bidi w:val="0"/>
        <w:spacing w:line="360" w:lineRule="auto"/>
        <w:ind w:firstLine="240" w:firstLineChars="100"/>
        <w:rPr>
          <w:rFonts w:hint="eastAsia" w:ascii="宋体" w:hAnsi="宋体" w:cs="宋体"/>
          <w:color w:val="auto"/>
          <w:sz w:val="24"/>
          <w:highlight w:val="none"/>
        </w:rPr>
      </w:pPr>
    </w:p>
    <w:p w14:paraId="2AF8E21C">
      <w:pPr>
        <w:keepNext w:val="0"/>
        <w:keepLines w:val="0"/>
        <w:pageBreakBefore w:val="0"/>
        <w:widowControl w:val="0"/>
        <w:kinsoku/>
        <w:overflowPunct/>
        <w:bidi w:val="0"/>
        <w:spacing w:line="360" w:lineRule="auto"/>
        <w:ind w:firstLine="240" w:firstLineChars="100"/>
        <w:rPr>
          <w:rFonts w:hint="eastAsia" w:ascii="宋体" w:hAnsi="宋体" w:cs="宋体"/>
          <w:color w:val="auto"/>
          <w:sz w:val="24"/>
          <w:highlight w:val="none"/>
        </w:rPr>
      </w:pPr>
    </w:p>
    <w:p w14:paraId="256033AE">
      <w:pPr>
        <w:keepNext w:val="0"/>
        <w:keepLines w:val="0"/>
        <w:pageBreakBefore w:val="0"/>
        <w:widowControl w:val="0"/>
        <w:kinsoku/>
        <w:overflowPunct/>
        <w:bidi w:val="0"/>
        <w:spacing w:line="360" w:lineRule="auto"/>
        <w:ind w:firstLine="240" w:firstLineChars="100"/>
        <w:rPr>
          <w:rFonts w:hint="eastAsia" w:ascii="宋体" w:hAnsi="宋体" w:cs="宋体"/>
          <w:color w:val="auto"/>
          <w:sz w:val="24"/>
          <w:highlight w:val="none"/>
        </w:rPr>
      </w:pPr>
      <w:r>
        <w:rPr>
          <w:rFonts w:hint="eastAsia" w:ascii="宋体" w:hAnsi="宋体" w:cs="宋体"/>
          <w:color w:val="auto"/>
          <w:sz w:val="24"/>
          <w:highlight w:val="none"/>
        </w:rPr>
        <mc:AlternateContent>
          <mc:Choice Requires="wps">
            <w:drawing>
              <wp:anchor distT="0" distB="0" distL="114300" distR="114300" simplePos="0" relativeHeight="251663360" behindDoc="0" locked="0" layoutInCell="1" allowOverlap="1">
                <wp:simplePos x="0" y="0"/>
                <wp:positionH relativeFrom="column">
                  <wp:posOffset>2877185</wp:posOffset>
                </wp:positionH>
                <wp:positionV relativeFrom="paragraph">
                  <wp:posOffset>44450</wp:posOffset>
                </wp:positionV>
                <wp:extent cx="2268855" cy="1211580"/>
                <wp:effectExtent l="7620" t="7620" r="9525" b="19050"/>
                <wp:wrapNone/>
                <wp:docPr id="10" name="圆角矩形 10"/>
                <wp:cNvGraphicFramePr/>
                <a:graphic xmlns:a="http://schemas.openxmlformats.org/drawingml/2006/main">
                  <a:graphicData uri="http://schemas.microsoft.com/office/word/2010/wordprocessingShape">
                    <wps:wsp>
                      <wps:cNvSpPr/>
                      <wps:spPr>
                        <a:xfrm>
                          <a:off x="0" y="0"/>
                          <a:ext cx="2268855" cy="1211580"/>
                        </a:xfrm>
                        <a:prstGeom prst="roundRect">
                          <a:avLst>
                            <a:gd name="adj" fmla="val 16667"/>
                          </a:avLst>
                        </a:prstGeom>
                        <a:solidFill>
                          <a:srgbClr val="FFFFFF"/>
                        </a:solidFill>
                        <a:ln w="15875" cap="flat" cmpd="sng">
                          <a:solidFill>
                            <a:srgbClr val="808080"/>
                          </a:solidFill>
                          <a:prstDash val="solid"/>
                          <a:headEnd type="none" w="med" len="med"/>
                          <a:tailEnd type="none" w="med" len="med"/>
                        </a:ln>
                      </wps:spPr>
                      <wps:txbx>
                        <w:txbxContent>
                          <w:p w14:paraId="21542376">
                            <w:pPr>
                              <w:rPr>
                                <w:rFonts w:hint="eastAsia" w:hAnsi="宋体"/>
                              </w:rPr>
                            </w:pPr>
                          </w:p>
                          <w:p w14:paraId="7EDA30FC">
                            <w:pPr>
                              <w:rPr>
                                <w:rFonts w:hint="eastAsia" w:hAnsi="宋体"/>
                              </w:rPr>
                            </w:pPr>
                          </w:p>
                          <w:p w14:paraId="265955B0">
                            <w:r>
                              <w:rPr>
                                <w:rFonts w:hint="eastAsia" w:hAnsi="宋体"/>
                              </w:rPr>
                              <w:t>被授权委托人身份证复印件反面</w:t>
                            </w:r>
                          </w:p>
                          <w:p w14:paraId="04C4F07E"/>
                        </w:txbxContent>
                      </wps:txbx>
                      <wps:bodyPr upright="1"/>
                    </wps:wsp>
                  </a:graphicData>
                </a:graphic>
              </wp:anchor>
            </w:drawing>
          </mc:Choice>
          <mc:Fallback>
            <w:pict>
              <v:roundrect id="_x0000_s1026" o:spid="_x0000_s1026" o:spt="2" style="position:absolute;left:0pt;margin-left:226.55pt;margin-top:3.5pt;height:95.4pt;width:178.65pt;z-index:251663360;mso-width-relative:page;mso-height-relative:page;" fillcolor="#FFFFFF" filled="t" stroked="t" coordsize="21600,21600" arcsize="0.166666666666667" o:gfxdata="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ojqzr2gAAAAkBAAAPAAAAAAAAAAEAIAAAACIAAABkcnMvZG93bnJldi54bWxQSwECFAAUAAAA&#10;CACHTuJAJURdByUCAABaBAAADgAAAAAAAAABACAAAAApAQAAZHJzL2Uyb0RvYy54bWxQSwUGAAAA&#10;AAYABgBZAQAAwAUAAAAA&#10;">
                <v:fill on="t" focussize="0,0"/>
                <v:stroke weight="1.25pt" color="#808080" joinstyle="round"/>
                <v:imagedata o:title=""/>
                <o:lock v:ext="edit" aspectratio="f"/>
                <v:textbox>
                  <w:txbxContent>
                    <w:p w14:paraId="21542376">
                      <w:pPr>
                        <w:rPr>
                          <w:rFonts w:hint="eastAsia" w:hAnsi="宋体"/>
                        </w:rPr>
                      </w:pPr>
                    </w:p>
                    <w:p w14:paraId="7EDA30FC">
                      <w:pPr>
                        <w:rPr>
                          <w:rFonts w:hint="eastAsia" w:hAnsi="宋体"/>
                        </w:rPr>
                      </w:pPr>
                    </w:p>
                    <w:p w14:paraId="265955B0">
                      <w:r>
                        <w:rPr>
                          <w:rFonts w:hint="eastAsia" w:hAnsi="宋体"/>
                        </w:rPr>
                        <w:t>被授权委托人身份证复印件反面</w:t>
                      </w:r>
                    </w:p>
                    <w:p w14:paraId="04C4F07E"/>
                  </w:txbxContent>
                </v:textbox>
              </v:roundrect>
            </w:pict>
          </mc:Fallback>
        </mc:AlternateContent>
      </w:r>
      <w:r>
        <w:rPr>
          <w:rFonts w:hint="eastAsia" w:ascii="宋体" w:hAnsi="宋体" w:cs="宋体"/>
          <w:color w:val="auto"/>
          <w:sz w:val="24"/>
          <w:highlight w:val="none"/>
        </w:rPr>
        <mc:AlternateContent>
          <mc:Choice Requires="wps">
            <w:drawing>
              <wp:anchor distT="0" distB="0" distL="114300" distR="114300" simplePos="0" relativeHeight="251662336" behindDoc="0" locked="0" layoutInCell="1" allowOverlap="1">
                <wp:simplePos x="0" y="0"/>
                <wp:positionH relativeFrom="column">
                  <wp:posOffset>354330</wp:posOffset>
                </wp:positionH>
                <wp:positionV relativeFrom="paragraph">
                  <wp:posOffset>60325</wp:posOffset>
                </wp:positionV>
                <wp:extent cx="2259965" cy="1209675"/>
                <wp:effectExtent l="4445" t="4445" r="21590" b="5080"/>
                <wp:wrapNone/>
                <wp:docPr id="13" name="流程图: 可选过程 13"/>
                <wp:cNvGraphicFramePr/>
                <a:graphic xmlns:a="http://schemas.openxmlformats.org/drawingml/2006/main">
                  <a:graphicData uri="http://schemas.microsoft.com/office/word/2010/wordprocessingShape">
                    <wps:wsp>
                      <wps:cNvSpPr/>
                      <wps:spPr>
                        <a:xfrm>
                          <a:off x="0" y="0"/>
                          <a:ext cx="2259965" cy="120967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7B584462">
                            <w:pPr>
                              <w:rPr>
                                <w:rFonts w:hint="eastAsia" w:hAnsi="宋体"/>
                              </w:rPr>
                            </w:pPr>
                          </w:p>
                          <w:p w14:paraId="43B02466">
                            <w:pPr>
                              <w:jc w:val="center"/>
                              <w:rPr>
                                <w:rFonts w:hint="eastAsia" w:hAnsi="宋体"/>
                              </w:rPr>
                            </w:pPr>
                          </w:p>
                          <w:p w14:paraId="30E4F74E">
                            <w:pPr>
                              <w:jc w:val="center"/>
                            </w:pPr>
                            <w:r>
                              <w:rPr>
                                <w:rFonts w:hint="eastAsia" w:hAnsi="宋体"/>
                              </w:rPr>
                              <w:t>被授权委托人身份证复印件正面</w:t>
                            </w:r>
                          </w:p>
                        </w:txbxContent>
                      </wps:txbx>
                      <wps:bodyPr upright="1"/>
                    </wps:wsp>
                  </a:graphicData>
                </a:graphic>
              </wp:anchor>
            </w:drawing>
          </mc:Choice>
          <mc:Fallback>
            <w:pict>
              <v:shape id="_x0000_s1026" o:spid="_x0000_s1026" o:spt="176" type="#_x0000_t176" style="position:absolute;left:0pt;margin-left:27.9pt;margin-top:4.75pt;height:95.25pt;width:177.95pt;z-index:251662336;mso-width-relative:page;mso-height-relative:page;" fillcolor="#FFFFFF" filled="t" stroked="t" coordsize="21600,21600" o:gfxdata="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jM+O7tYAAAAIAQAADwAAAAAAAAABACAAAAAiAAAAZHJzL2Rvd25yZXYueG1sUEsBAhQAFAAA&#10;AAgAh07iQHQjn8sqAgAAUgQAAA4AAAAAAAAAAQAgAAAAJQEAAGRycy9lMm9Eb2MueG1sUEsFBgAA&#10;AAAGAAYAWQEAAMEFAAAAAA==&#10;">
                <v:fill on="t" focussize="0,0"/>
                <v:stroke color="#000000" joinstyle="miter"/>
                <v:imagedata o:title=""/>
                <o:lock v:ext="edit" aspectratio="f"/>
                <v:textbox>
                  <w:txbxContent>
                    <w:p w14:paraId="7B584462">
                      <w:pPr>
                        <w:rPr>
                          <w:rFonts w:hint="eastAsia" w:hAnsi="宋体"/>
                        </w:rPr>
                      </w:pPr>
                    </w:p>
                    <w:p w14:paraId="43B02466">
                      <w:pPr>
                        <w:jc w:val="center"/>
                        <w:rPr>
                          <w:rFonts w:hint="eastAsia" w:hAnsi="宋体"/>
                        </w:rPr>
                      </w:pPr>
                    </w:p>
                    <w:p w14:paraId="30E4F74E">
                      <w:pPr>
                        <w:jc w:val="center"/>
                      </w:pPr>
                      <w:r>
                        <w:rPr>
                          <w:rFonts w:hint="eastAsia" w:hAnsi="宋体"/>
                        </w:rPr>
                        <w:t>被授权委托人身份证复印件正面</w:t>
                      </w:r>
                    </w:p>
                  </w:txbxContent>
                </v:textbox>
              </v:shape>
            </w:pict>
          </mc:Fallback>
        </mc:AlternateContent>
      </w:r>
    </w:p>
    <w:p w14:paraId="372E7B1A">
      <w:pPr>
        <w:keepNext w:val="0"/>
        <w:keepLines w:val="0"/>
        <w:pageBreakBefore w:val="0"/>
        <w:widowControl w:val="0"/>
        <w:kinsoku/>
        <w:overflowPunct/>
        <w:bidi w:val="0"/>
        <w:spacing w:line="360" w:lineRule="auto"/>
        <w:ind w:firstLine="240" w:firstLineChars="100"/>
        <w:rPr>
          <w:rFonts w:hint="eastAsia" w:ascii="宋体" w:hAnsi="宋体" w:cs="宋体"/>
          <w:color w:val="auto"/>
          <w:sz w:val="24"/>
          <w:highlight w:val="none"/>
        </w:rPr>
      </w:pPr>
    </w:p>
    <w:p w14:paraId="3569E8B8">
      <w:pPr>
        <w:keepNext w:val="0"/>
        <w:keepLines w:val="0"/>
        <w:pageBreakBefore w:val="0"/>
        <w:widowControl w:val="0"/>
        <w:kinsoku/>
        <w:overflowPunct/>
        <w:bidi w:val="0"/>
        <w:spacing w:line="360" w:lineRule="auto"/>
        <w:ind w:firstLine="240" w:firstLineChars="100"/>
        <w:rPr>
          <w:rFonts w:hint="eastAsia" w:ascii="宋体" w:hAnsi="宋体" w:cs="宋体"/>
          <w:color w:val="auto"/>
          <w:sz w:val="24"/>
          <w:highlight w:val="none"/>
        </w:rPr>
      </w:pPr>
    </w:p>
    <w:p w14:paraId="235F5372">
      <w:pPr>
        <w:keepNext w:val="0"/>
        <w:keepLines w:val="0"/>
        <w:pageBreakBefore w:val="0"/>
        <w:widowControl w:val="0"/>
        <w:kinsoku/>
        <w:overflowPunct/>
        <w:bidi w:val="0"/>
        <w:spacing w:line="360" w:lineRule="auto"/>
        <w:rPr>
          <w:rFonts w:hint="eastAsia" w:ascii="宋体" w:hAnsi="宋体" w:cs="宋体"/>
          <w:color w:val="auto"/>
          <w:sz w:val="24"/>
          <w:highlight w:val="none"/>
        </w:rPr>
      </w:pPr>
    </w:p>
    <w:p w14:paraId="4ACDAA89">
      <w:pPr>
        <w:pStyle w:val="16"/>
        <w:keepNext w:val="0"/>
        <w:keepLines w:val="0"/>
        <w:pageBreakBefore w:val="0"/>
        <w:widowControl w:val="0"/>
        <w:tabs>
          <w:tab w:val="left" w:pos="5580"/>
        </w:tabs>
        <w:kinsoku/>
        <w:overflowPunct/>
        <w:bidi w:val="0"/>
        <w:spacing w:line="240" w:lineRule="atLeast"/>
        <w:rPr>
          <w:rFonts w:hint="eastAsia" w:hAnsi="宋体" w:cs="宋体"/>
          <w:color w:val="auto"/>
          <w:sz w:val="24"/>
          <w:highlight w:val="none"/>
        </w:rPr>
      </w:pPr>
    </w:p>
    <w:p w14:paraId="48C4BFA8">
      <w:pPr>
        <w:pStyle w:val="16"/>
        <w:keepNext w:val="0"/>
        <w:keepLines w:val="0"/>
        <w:pageBreakBefore w:val="0"/>
        <w:widowControl w:val="0"/>
        <w:tabs>
          <w:tab w:val="left" w:pos="5580"/>
        </w:tabs>
        <w:kinsoku/>
        <w:overflowPunct/>
        <w:bidi w:val="0"/>
        <w:spacing w:line="360" w:lineRule="auto"/>
        <w:ind w:firstLine="960" w:firstLineChars="400"/>
        <w:rPr>
          <w:rFonts w:hint="eastAsia" w:hAnsi="宋体" w:cs="宋体"/>
          <w:color w:val="auto"/>
          <w:sz w:val="24"/>
          <w:highlight w:val="none"/>
          <w:u w:val="single"/>
        </w:rPr>
      </w:pPr>
      <w:r>
        <w:rPr>
          <w:rFonts w:hint="eastAsia" w:hAnsi="宋体" w:cs="宋体"/>
          <w:color w:val="auto"/>
          <w:sz w:val="24"/>
          <w:highlight w:val="none"/>
        </w:rPr>
        <w:t>投 标 人（盖章）：</w:t>
      </w:r>
      <w:r>
        <w:rPr>
          <w:rFonts w:hint="eastAsia" w:hAnsi="宋体" w:cs="宋体"/>
          <w:color w:val="auto"/>
          <w:sz w:val="24"/>
          <w:highlight w:val="none"/>
          <w:u w:val="single"/>
        </w:rPr>
        <w:t xml:space="preserve">                           </w:t>
      </w:r>
    </w:p>
    <w:p w14:paraId="224AFACE">
      <w:pPr>
        <w:pStyle w:val="16"/>
        <w:keepNext w:val="0"/>
        <w:keepLines w:val="0"/>
        <w:pageBreakBefore w:val="0"/>
        <w:widowControl w:val="0"/>
        <w:tabs>
          <w:tab w:val="left" w:pos="5580"/>
        </w:tabs>
        <w:kinsoku/>
        <w:overflowPunct/>
        <w:bidi w:val="0"/>
        <w:spacing w:line="360" w:lineRule="auto"/>
        <w:ind w:firstLine="960" w:firstLineChars="400"/>
        <w:rPr>
          <w:rFonts w:hint="eastAsia" w:hAnsi="宋体" w:cs="宋体"/>
          <w:color w:val="auto"/>
          <w:sz w:val="24"/>
          <w:highlight w:val="none"/>
        </w:rPr>
      </w:pPr>
      <w:r>
        <w:rPr>
          <w:rFonts w:hint="eastAsia" w:hAnsi="宋体" w:cs="宋体"/>
          <w:color w:val="auto"/>
          <w:sz w:val="24"/>
          <w:highlight w:val="none"/>
        </w:rPr>
        <w:t>法定代表人</w:t>
      </w:r>
      <w:r>
        <w:rPr>
          <w:rFonts w:hint="eastAsia" w:ascii="宋体" w:hAnsi="宋体" w:cs="宋体"/>
          <w:color w:val="auto"/>
          <w:sz w:val="24"/>
          <w:highlight w:val="none"/>
        </w:rPr>
        <w:t>（签</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章）</w:t>
      </w:r>
      <w:r>
        <w:rPr>
          <w:rFonts w:hint="eastAsia" w:hAnsi="宋体" w:cs="宋体"/>
          <w:color w:val="auto"/>
          <w:sz w:val="24"/>
          <w:highlight w:val="none"/>
        </w:rPr>
        <w:t>：</w:t>
      </w:r>
      <w:r>
        <w:rPr>
          <w:rFonts w:hint="eastAsia" w:hAnsi="宋体" w:cs="宋体"/>
          <w:color w:val="auto"/>
          <w:sz w:val="24"/>
          <w:highlight w:val="none"/>
          <w:u w:val="single"/>
        </w:rPr>
        <w:t xml:space="preserve">                        </w:t>
      </w:r>
    </w:p>
    <w:p w14:paraId="2C4B148A">
      <w:pPr>
        <w:pStyle w:val="16"/>
        <w:keepNext w:val="0"/>
        <w:keepLines w:val="0"/>
        <w:pageBreakBefore w:val="0"/>
        <w:widowControl w:val="0"/>
        <w:tabs>
          <w:tab w:val="left" w:pos="5580"/>
        </w:tabs>
        <w:kinsoku/>
        <w:overflowPunct/>
        <w:bidi w:val="0"/>
        <w:spacing w:line="360" w:lineRule="auto"/>
        <w:ind w:firstLine="960" w:firstLineChars="400"/>
        <w:rPr>
          <w:rFonts w:hint="eastAsia" w:hAnsi="宋体" w:cs="宋体"/>
          <w:color w:val="auto"/>
          <w:sz w:val="24"/>
          <w:highlight w:val="none"/>
        </w:rPr>
      </w:pPr>
      <w:r>
        <w:rPr>
          <w:rFonts w:hint="eastAsia" w:hAnsi="宋体" w:cs="宋体"/>
          <w:color w:val="auto"/>
          <w:sz w:val="24"/>
          <w:highlight w:val="none"/>
          <w:u w:val="single" w:color="EEECE1"/>
        </w:rPr>
        <w:t>身</w:t>
      </w:r>
      <w:r>
        <w:rPr>
          <w:rFonts w:hint="eastAsia" w:hAnsi="宋体" w:cs="宋体"/>
          <w:color w:val="auto"/>
          <w:sz w:val="24"/>
          <w:highlight w:val="none"/>
        </w:rPr>
        <w:t>份证号码：</w:t>
      </w:r>
      <w:r>
        <w:rPr>
          <w:rFonts w:hint="eastAsia" w:hAnsi="宋体" w:cs="宋体"/>
          <w:color w:val="auto"/>
          <w:sz w:val="24"/>
          <w:highlight w:val="none"/>
          <w:u w:val="single"/>
        </w:rPr>
        <w:t xml:space="preserve">                                 </w:t>
      </w:r>
      <w:r>
        <w:rPr>
          <w:rFonts w:hint="eastAsia" w:hAnsi="宋体" w:cs="宋体"/>
          <w:color w:val="auto"/>
          <w:sz w:val="24"/>
          <w:highlight w:val="none"/>
        </w:rPr>
        <w:t xml:space="preserve"> </w:t>
      </w:r>
    </w:p>
    <w:p w14:paraId="35B66382">
      <w:pPr>
        <w:pStyle w:val="16"/>
        <w:keepNext w:val="0"/>
        <w:keepLines w:val="0"/>
        <w:pageBreakBefore w:val="0"/>
        <w:widowControl w:val="0"/>
        <w:tabs>
          <w:tab w:val="left" w:pos="5580"/>
        </w:tabs>
        <w:kinsoku/>
        <w:overflowPunct/>
        <w:bidi w:val="0"/>
        <w:spacing w:line="360" w:lineRule="auto"/>
        <w:ind w:firstLine="960" w:firstLineChars="400"/>
        <w:rPr>
          <w:rFonts w:hint="eastAsia" w:hAnsi="宋体" w:eastAsia="宋体" w:cs="宋体"/>
          <w:color w:val="auto"/>
          <w:sz w:val="24"/>
          <w:highlight w:val="none"/>
          <w:u w:val="single"/>
          <w:lang w:val="en-US" w:eastAsia="zh-CN"/>
        </w:rPr>
      </w:pPr>
      <w:r>
        <w:rPr>
          <w:rFonts w:hint="eastAsia" w:hAnsi="宋体" w:cs="宋体"/>
          <w:color w:val="auto"/>
          <w:sz w:val="24"/>
          <w:highlight w:val="none"/>
        </w:rPr>
        <w:t>委托代理人</w:t>
      </w:r>
      <w:r>
        <w:rPr>
          <w:rFonts w:hint="eastAsia" w:ascii="宋体" w:hAnsi="宋体" w:cs="宋体"/>
          <w:color w:val="auto"/>
          <w:sz w:val="24"/>
          <w:highlight w:val="none"/>
        </w:rPr>
        <w:t>（签</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章）</w:t>
      </w:r>
      <w:r>
        <w:rPr>
          <w:rFonts w:hint="eastAsia" w:hAnsi="宋体" w:cs="宋体"/>
          <w:color w:val="auto"/>
          <w:sz w:val="24"/>
          <w:highlight w:val="none"/>
        </w:rPr>
        <w:t>：</w:t>
      </w:r>
      <w:r>
        <w:rPr>
          <w:rFonts w:hint="eastAsia" w:hAnsi="宋体" w:cs="宋体"/>
          <w:color w:val="auto"/>
          <w:sz w:val="24"/>
          <w:highlight w:val="none"/>
          <w:u w:val="single"/>
        </w:rPr>
        <w:t xml:space="preserve">                       </w:t>
      </w:r>
      <w:r>
        <w:rPr>
          <w:rFonts w:hint="eastAsia" w:hAnsi="宋体" w:cs="宋体"/>
          <w:color w:val="auto"/>
          <w:sz w:val="24"/>
          <w:highlight w:val="none"/>
          <w:u w:val="single"/>
          <w:lang w:val="en-US" w:eastAsia="zh-CN"/>
        </w:rPr>
        <w:t xml:space="preserve"> </w:t>
      </w:r>
    </w:p>
    <w:p w14:paraId="6122B8B2">
      <w:pPr>
        <w:pStyle w:val="16"/>
        <w:keepNext w:val="0"/>
        <w:keepLines w:val="0"/>
        <w:pageBreakBefore w:val="0"/>
        <w:widowControl w:val="0"/>
        <w:tabs>
          <w:tab w:val="left" w:pos="5580"/>
        </w:tabs>
        <w:kinsoku/>
        <w:overflowPunct/>
        <w:bidi w:val="0"/>
        <w:spacing w:line="360" w:lineRule="auto"/>
        <w:ind w:firstLine="960" w:firstLineChars="400"/>
        <w:rPr>
          <w:rFonts w:hint="eastAsia" w:hAnsi="宋体" w:cs="宋体"/>
          <w:color w:val="auto"/>
          <w:sz w:val="24"/>
          <w:highlight w:val="none"/>
        </w:rPr>
      </w:pPr>
      <w:r>
        <w:rPr>
          <w:rFonts w:hint="eastAsia" w:hAnsi="宋体" w:cs="宋体"/>
          <w:color w:val="auto"/>
          <w:sz w:val="24"/>
          <w:highlight w:val="none"/>
        </w:rPr>
        <w:t>身份证号码：</w:t>
      </w:r>
      <w:r>
        <w:rPr>
          <w:rFonts w:hint="eastAsia" w:hAnsi="宋体" w:cs="宋体"/>
          <w:color w:val="auto"/>
          <w:sz w:val="24"/>
          <w:highlight w:val="none"/>
          <w:u w:val="single"/>
        </w:rPr>
        <w:t xml:space="preserve">                                 </w:t>
      </w:r>
      <w:r>
        <w:rPr>
          <w:rFonts w:hint="eastAsia" w:hAnsi="宋体" w:cs="宋体"/>
          <w:color w:val="auto"/>
          <w:sz w:val="24"/>
          <w:highlight w:val="none"/>
        </w:rPr>
        <w:t xml:space="preserve">                            </w:t>
      </w:r>
    </w:p>
    <w:p w14:paraId="31E9359E">
      <w:pPr>
        <w:pStyle w:val="16"/>
        <w:keepNext w:val="0"/>
        <w:keepLines w:val="0"/>
        <w:pageBreakBefore w:val="0"/>
        <w:widowControl w:val="0"/>
        <w:tabs>
          <w:tab w:val="left" w:pos="5580"/>
        </w:tabs>
        <w:kinsoku/>
        <w:overflowPunct/>
        <w:bidi w:val="0"/>
        <w:spacing w:line="360" w:lineRule="auto"/>
        <w:ind w:firstLine="960" w:firstLineChars="400"/>
        <w:rPr>
          <w:rFonts w:hint="eastAsia" w:hAnsi="宋体" w:cs="宋体"/>
          <w:color w:val="auto"/>
          <w:sz w:val="24"/>
          <w:highlight w:val="none"/>
        </w:rPr>
      </w:pPr>
      <w:r>
        <w:rPr>
          <w:rFonts w:hint="eastAsia" w:hAnsi="宋体" w:cs="宋体"/>
          <w:color w:val="auto"/>
          <w:sz w:val="24"/>
          <w:highlight w:val="none"/>
        </w:rPr>
        <w:t>详细通讯地址：</w:t>
      </w:r>
      <w:r>
        <w:rPr>
          <w:rFonts w:hint="eastAsia" w:hAnsi="宋体" w:cs="宋体"/>
          <w:color w:val="auto"/>
          <w:sz w:val="24"/>
          <w:highlight w:val="none"/>
          <w:u w:val="single"/>
        </w:rPr>
        <w:t xml:space="preserve">                               </w:t>
      </w:r>
      <w:r>
        <w:rPr>
          <w:rFonts w:hint="eastAsia" w:hAnsi="宋体" w:cs="宋体"/>
          <w:color w:val="auto"/>
          <w:sz w:val="24"/>
          <w:highlight w:val="none"/>
        </w:rPr>
        <w:t xml:space="preserve">                                  </w:t>
      </w:r>
    </w:p>
    <w:p w14:paraId="3C5F9E8C">
      <w:pPr>
        <w:pStyle w:val="16"/>
        <w:keepNext w:val="0"/>
        <w:keepLines w:val="0"/>
        <w:pageBreakBefore w:val="0"/>
        <w:widowControl w:val="0"/>
        <w:tabs>
          <w:tab w:val="left" w:pos="5580"/>
        </w:tabs>
        <w:kinsoku/>
        <w:overflowPunct/>
        <w:bidi w:val="0"/>
        <w:spacing w:line="360" w:lineRule="auto"/>
        <w:ind w:firstLine="960" w:firstLineChars="400"/>
        <w:rPr>
          <w:rFonts w:hint="eastAsia" w:hAnsi="宋体" w:cs="宋体"/>
          <w:color w:val="auto"/>
          <w:sz w:val="24"/>
          <w:highlight w:val="none"/>
          <w:u w:val="single"/>
        </w:rPr>
      </w:pPr>
      <w:r>
        <w:rPr>
          <w:rFonts w:hint="eastAsia" w:hAnsi="宋体" w:cs="宋体"/>
          <w:color w:val="auto"/>
          <w:sz w:val="24"/>
          <w:highlight w:val="none"/>
        </w:rPr>
        <w:t>邮 政 编 码 ：</w:t>
      </w:r>
      <w:r>
        <w:rPr>
          <w:rFonts w:hint="eastAsia" w:hAnsi="宋体" w:cs="宋体"/>
          <w:color w:val="auto"/>
          <w:sz w:val="24"/>
          <w:highlight w:val="none"/>
          <w:u w:val="single"/>
        </w:rPr>
        <w:t xml:space="preserve">                               </w:t>
      </w:r>
    </w:p>
    <w:p w14:paraId="6F3D3D6A">
      <w:pPr>
        <w:pStyle w:val="16"/>
        <w:keepNext w:val="0"/>
        <w:keepLines w:val="0"/>
        <w:pageBreakBefore w:val="0"/>
        <w:widowControl w:val="0"/>
        <w:tabs>
          <w:tab w:val="left" w:pos="5580"/>
        </w:tabs>
        <w:kinsoku/>
        <w:overflowPunct/>
        <w:bidi w:val="0"/>
        <w:spacing w:line="360" w:lineRule="auto"/>
        <w:ind w:firstLine="960" w:firstLineChars="400"/>
        <w:rPr>
          <w:rFonts w:hint="eastAsia" w:ascii="宋体" w:hAnsi="宋体" w:eastAsia="宋体" w:cs="宋体"/>
          <w:color w:val="auto"/>
          <w:sz w:val="24"/>
          <w:highlight w:val="none"/>
          <w:u w:val="single"/>
        </w:rPr>
      </w:pPr>
      <w:r>
        <w:rPr>
          <w:rFonts w:hint="eastAsia" w:hAnsi="宋体" w:cs="宋体"/>
          <w:color w:val="auto"/>
          <w:sz w:val="24"/>
          <w:highlight w:val="none"/>
        </w:rPr>
        <w:t>日       期 ：</w:t>
      </w:r>
      <w:r>
        <w:rPr>
          <w:rFonts w:hint="eastAsia" w:hAnsi="宋体" w:cs="宋体"/>
          <w:color w:val="auto"/>
          <w:sz w:val="24"/>
          <w:highlight w:val="none"/>
          <w:u w:val="single"/>
        </w:rPr>
        <w:t xml:space="preserve">                               </w:t>
      </w:r>
    </w:p>
    <w:p w14:paraId="1841C66D">
      <w:pPr>
        <w:pStyle w:val="16"/>
        <w:keepNext w:val="0"/>
        <w:keepLines w:val="0"/>
        <w:pageBreakBefore w:val="0"/>
        <w:widowControl w:val="0"/>
        <w:tabs>
          <w:tab w:val="left" w:pos="5580"/>
        </w:tabs>
        <w:kinsoku/>
        <w:overflowPunct/>
        <w:bidi w:val="0"/>
        <w:spacing w:line="360" w:lineRule="auto"/>
        <w:ind w:firstLine="480" w:firstLineChars="200"/>
        <w:rPr>
          <w:rFonts w:hint="eastAsia" w:ascii="宋体" w:hAnsi="宋体" w:eastAsia="宋体" w:cs="宋体"/>
          <w:color w:val="auto"/>
          <w:sz w:val="24"/>
          <w:highlight w:val="none"/>
          <w:u w:val="single"/>
        </w:rPr>
      </w:pPr>
    </w:p>
    <w:p w14:paraId="04212E24">
      <w:pPr>
        <w:pStyle w:val="16"/>
        <w:keepNext w:val="0"/>
        <w:keepLines w:val="0"/>
        <w:pageBreakBefore w:val="0"/>
        <w:widowControl w:val="0"/>
        <w:tabs>
          <w:tab w:val="left" w:pos="5580"/>
        </w:tabs>
        <w:kinsoku/>
        <w:overflowPunct/>
        <w:bidi w:val="0"/>
        <w:spacing w:line="360" w:lineRule="auto"/>
        <w:ind w:firstLine="480" w:firstLineChars="200"/>
        <w:rPr>
          <w:rFonts w:hint="eastAsia" w:ascii="宋体" w:hAnsi="宋体" w:eastAsia="宋体" w:cs="宋体"/>
          <w:color w:val="auto"/>
          <w:sz w:val="24"/>
          <w:highlight w:val="none"/>
          <w:u w:val="single"/>
        </w:rPr>
      </w:pPr>
    </w:p>
    <w:p w14:paraId="228CF908">
      <w:pPr>
        <w:pStyle w:val="17"/>
        <w:rPr>
          <w:rFonts w:hint="eastAsia"/>
          <w:color w:val="auto"/>
        </w:rPr>
      </w:pPr>
    </w:p>
    <w:p w14:paraId="1E229DA0">
      <w:pPr>
        <w:pStyle w:val="17"/>
        <w:keepNext w:val="0"/>
        <w:keepLines w:val="0"/>
        <w:pageBreakBefore w:val="0"/>
        <w:widowControl w:val="0"/>
        <w:kinsoku/>
        <w:overflowPunct/>
        <w:bidi w:val="0"/>
        <w:rPr>
          <w:rFonts w:hint="eastAsia"/>
          <w:color w:val="auto"/>
          <w:highlight w:val="none"/>
        </w:rPr>
      </w:pPr>
    </w:p>
    <w:p w14:paraId="0F3C6072">
      <w:pPr>
        <w:keepNext w:val="0"/>
        <w:keepLines w:val="0"/>
        <w:pageBreakBefore w:val="0"/>
        <w:widowControl w:val="0"/>
        <w:tabs>
          <w:tab w:val="left" w:pos="5580"/>
        </w:tabs>
        <w:kinsoku/>
        <w:overflowPunct/>
        <w:bidi w:val="0"/>
        <w:spacing w:line="360" w:lineRule="exact"/>
        <w:rPr>
          <w:rFonts w:hint="eastAsia" w:ascii="宋体" w:hAnsi="宋体" w:eastAsia="宋体" w:cs="宋体"/>
          <w:b/>
          <w:bCs/>
          <w:color w:val="auto"/>
          <w:sz w:val="28"/>
          <w:szCs w:val="28"/>
          <w:highlight w:val="none"/>
        </w:rPr>
      </w:pPr>
    </w:p>
    <w:p w14:paraId="4EB67195">
      <w:pPr>
        <w:keepNext w:val="0"/>
        <w:keepLines w:val="0"/>
        <w:pageBreakBefore w:val="0"/>
        <w:widowControl w:val="0"/>
        <w:numPr>
          <w:ilvl w:val="0"/>
          <w:numId w:val="0"/>
        </w:numPr>
        <w:tabs>
          <w:tab w:val="left" w:pos="5580"/>
        </w:tabs>
        <w:kinsoku/>
        <w:overflowPunct/>
        <w:bidi w:val="0"/>
        <w:spacing w:line="240" w:lineRule="atLeast"/>
        <w:jc w:val="center"/>
        <w:rPr>
          <w:rFonts w:hint="eastAsia" w:ascii="宋体" w:hAnsi="宋体" w:eastAsia="宋体" w:cs="宋体"/>
          <w:b/>
          <w:bCs/>
          <w:color w:val="auto"/>
          <w:sz w:val="28"/>
          <w:szCs w:val="28"/>
          <w:highlight w:val="none"/>
          <w:lang w:val="en-US" w:eastAsia="zh-CN"/>
        </w:rPr>
      </w:pPr>
      <w:r>
        <w:rPr>
          <w:rFonts w:hint="eastAsia" w:ascii="宋体" w:hAnsi="宋体" w:cs="宋体"/>
          <w:b/>
          <w:bCs/>
          <w:color w:val="auto"/>
          <w:sz w:val="28"/>
          <w:szCs w:val="28"/>
          <w:highlight w:val="none"/>
          <w:lang w:val="en-US" w:eastAsia="zh-CN"/>
        </w:rPr>
        <w:t>4</w:t>
      </w:r>
      <w:r>
        <w:rPr>
          <w:rFonts w:hint="eastAsia" w:ascii="宋体" w:hAnsi="宋体" w:eastAsia="宋体" w:cs="宋体"/>
          <w:b/>
          <w:bCs/>
          <w:color w:val="auto"/>
          <w:sz w:val="28"/>
          <w:szCs w:val="28"/>
          <w:highlight w:val="none"/>
          <w:lang w:val="en-US" w:eastAsia="zh-CN"/>
        </w:rPr>
        <w:t>、依法缴纳近六个月中任意一个月的社保凭证；依法缴纳近六个月任意一个月的税收良好记录证明（零申报需加盖税务机关章、无拖欠税收证明需加盖税务机关章、完税证明为非社保缴纳明细）；</w:t>
      </w:r>
    </w:p>
    <w:p w14:paraId="10A37D66">
      <w:pPr>
        <w:pStyle w:val="4"/>
        <w:keepNext w:val="0"/>
        <w:keepLines w:val="0"/>
        <w:pageBreakBefore w:val="0"/>
        <w:widowControl w:val="0"/>
        <w:kinsoku/>
        <w:overflowPunct/>
        <w:bidi w:val="0"/>
        <w:ind w:firstLine="0"/>
        <w:rPr>
          <w:rFonts w:hint="eastAsia" w:ascii="宋体" w:hAnsi="宋体" w:eastAsia="宋体" w:cs="宋体"/>
          <w:color w:val="auto"/>
          <w:highlight w:val="none"/>
        </w:rPr>
      </w:pPr>
    </w:p>
    <w:p w14:paraId="0E0B8882">
      <w:pPr>
        <w:pStyle w:val="4"/>
        <w:keepNext w:val="0"/>
        <w:keepLines w:val="0"/>
        <w:pageBreakBefore w:val="0"/>
        <w:widowControl w:val="0"/>
        <w:kinsoku/>
        <w:overflowPunct/>
        <w:bidi w:val="0"/>
        <w:ind w:firstLine="720" w:firstLineChars="300"/>
        <w:rPr>
          <w:rFonts w:hint="eastAsia" w:ascii="宋体" w:hAnsi="宋体" w:eastAsia="宋体" w:cs="宋体"/>
          <w:color w:val="auto"/>
          <w:highlight w:val="none"/>
        </w:rPr>
      </w:pPr>
      <w:r>
        <w:rPr>
          <w:rFonts w:hint="eastAsia" w:ascii="宋体" w:hAnsi="宋体" w:eastAsia="宋体" w:cs="宋体"/>
          <w:color w:val="auto"/>
          <w:highlight w:val="none"/>
        </w:rPr>
        <w:t>注：1.按照投标人须知资料表中的规定提供复印件。</w:t>
      </w:r>
    </w:p>
    <w:p w14:paraId="6C35B4F5">
      <w:pPr>
        <w:pStyle w:val="4"/>
        <w:keepNext w:val="0"/>
        <w:keepLines w:val="0"/>
        <w:pageBreakBefore w:val="0"/>
        <w:widowControl w:val="0"/>
        <w:kinsoku/>
        <w:overflowPunct/>
        <w:bidi w:val="0"/>
        <w:ind w:firstLine="0"/>
        <w:rPr>
          <w:rFonts w:hint="eastAsia" w:ascii="宋体" w:hAnsi="宋体" w:eastAsia="宋体" w:cs="宋体"/>
          <w:color w:val="auto"/>
          <w:highlight w:val="none"/>
        </w:rPr>
      </w:pPr>
      <w:r>
        <w:rPr>
          <w:rFonts w:hint="eastAsia" w:ascii="宋体" w:hAnsi="宋体" w:eastAsia="宋体" w:cs="宋体"/>
          <w:color w:val="auto"/>
          <w:highlight w:val="none"/>
        </w:rPr>
        <w:t xml:space="preserve">      2.复印件上应加盖本单位章。</w:t>
      </w:r>
    </w:p>
    <w:p w14:paraId="762E9BF3">
      <w:pPr>
        <w:pStyle w:val="4"/>
        <w:keepNext w:val="0"/>
        <w:keepLines w:val="0"/>
        <w:pageBreakBefore w:val="0"/>
        <w:widowControl w:val="0"/>
        <w:kinsoku/>
        <w:overflowPunct/>
        <w:bidi w:val="0"/>
        <w:ind w:firstLine="0"/>
        <w:rPr>
          <w:rFonts w:hint="eastAsia" w:ascii="宋体" w:hAnsi="宋体" w:eastAsia="宋体" w:cs="宋体"/>
          <w:color w:val="auto"/>
          <w:highlight w:val="none"/>
        </w:rPr>
      </w:pPr>
      <w:r>
        <w:rPr>
          <w:rFonts w:hint="eastAsia" w:ascii="宋体" w:hAnsi="宋体" w:eastAsia="宋体" w:cs="宋体"/>
          <w:color w:val="auto"/>
          <w:highlight w:val="none"/>
        </w:rPr>
        <w:t xml:space="preserve">      3.如果是联合体投标，联合体各方均需提供上述证明。</w:t>
      </w:r>
    </w:p>
    <w:p w14:paraId="4655E0F0">
      <w:pPr>
        <w:pStyle w:val="4"/>
        <w:keepNext w:val="0"/>
        <w:keepLines w:val="0"/>
        <w:pageBreakBefore w:val="0"/>
        <w:widowControl w:val="0"/>
        <w:kinsoku/>
        <w:overflowPunct/>
        <w:bidi w:val="0"/>
        <w:ind w:firstLine="0"/>
        <w:rPr>
          <w:rFonts w:hint="eastAsia" w:ascii="宋体" w:hAnsi="宋体" w:eastAsia="宋体" w:cs="宋体"/>
          <w:color w:val="auto"/>
          <w:highlight w:val="none"/>
        </w:rPr>
      </w:pPr>
    </w:p>
    <w:p w14:paraId="33530C11">
      <w:pPr>
        <w:pStyle w:val="4"/>
        <w:keepNext w:val="0"/>
        <w:keepLines w:val="0"/>
        <w:pageBreakBefore w:val="0"/>
        <w:widowControl w:val="0"/>
        <w:kinsoku/>
        <w:overflowPunct/>
        <w:bidi w:val="0"/>
        <w:ind w:firstLine="0"/>
        <w:rPr>
          <w:rFonts w:hint="eastAsia" w:ascii="宋体" w:hAnsi="宋体" w:eastAsia="宋体" w:cs="宋体"/>
          <w:color w:val="auto"/>
          <w:highlight w:val="none"/>
        </w:rPr>
      </w:pPr>
    </w:p>
    <w:p w14:paraId="429F0DF5">
      <w:pPr>
        <w:pStyle w:val="4"/>
        <w:keepNext w:val="0"/>
        <w:keepLines w:val="0"/>
        <w:pageBreakBefore w:val="0"/>
        <w:widowControl w:val="0"/>
        <w:kinsoku/>
        <w:overflowPunct/>
        <w:bidi w:val="0"/>
        <w:ind w:firstLine="0"/>
        <w:rPr>
          <w:rFonts w:hint="eastAsia" w:ascii="宋体" w:hAnsi="宋体" w:eastAsia="宋体" w:cs="宋体"/>
          <w:color w:val="auto"/>
          <w:highlight w:val="none"/>
        </w:rPr>
      </w:pPr>
    </w:p>
    <w:p w14:paraId="3F049324">
      <w:pPr>
        <w:pStyle w:val="4"/>
        <w:keepNext w:val="0"/>
        <w:keepLines w:val="0"/>
        <w:pageBreakBefore w:val="0"/>
        <w:widowControl w:val="0"/>
        <w:kinsoku/>
        <w:overflowPunct/>
        <w:bidi w:val="0"/>
        <w:ind w:firstLine="0"/>
        <w:rPr>
          <w:rFonts w:hint="eastAsia" w:ascii="宋体" w:hAnsi="宋体" w:eastAsia="宋体" w:cs="宋体"/>
          <w:color w:val="auto"/>
          <w:highlight w:val="none"/>
        </w:rPr>
      </w:pPr>
    </w:p>
    <w:p w14:paraId="6650CC71">
      <w:pPr>
        <w:pStyle w:val="4"/>
        <w:keepNext w:val="0"/>
        <w:keepLines w:val="0"/>
        <w:pageBreakBefore w:val="0"/>
        <w:widowControl w:val="0"/>
        <w:kinsoku/>
        <w:wordWrap/>
        <w:overflowPunct/>
        <w:topLinePunct w:val="0"/>
        <w:bidi w:val="0"/>
        <w:snapToGrid/>
        <w:spacing w:line="440" w:lineRule="exact"/>
        <w:ind w:firstLine="0"/>
        <w:textAlignment w:val="auto"/>
        <w:rPr>
          <w:rFonts w:hint="eastAsia" w:ascii="宋体" w:hAnsi="宋体" w:eastAsia="宋体" w:cs="宋体"/>
          <w:color w:val="auto"/>
          <w:highlight w:val="none"/>
        </w:rPr>
      </w:pPr>
    </w:p>
    <w:p w14:paraId="294969E9">
      <w:pPr>
        <w:pStyle w:val="9"/>
        <w:keepNext w:val="0"/>
        <w:keepLines w:val="0"/>
        <w:pageBreakBefore w:val="0"/>
        <w:widowControl w:val="0"/>
        <w:kinsoku/>
        <w:overflowPunct/>
        <w:bidi w:val="0"/>
        <w:rPr>
          <w:rFonts w:hint="eastAsia" w:ascii="宋体" w:hAnsi="宋体" w:eastAsia="宋体" w:cs="宋体"/>
          <w:color w:val="auto"/>
          <w:highlight w:val="none"/>
        </w:rPr>
      </w:pPr>
    </w:p>
    <w:p w14:paraId="7280107F">
      <w:pPr>
        <w:keepNext w:val="0"/>
        <w:keepLines w:val="0"/>
        <w:pageBreakBefore w:val="0"/>
        <w:widowControl w:val="0"/>
        <w:kinsoku/>
        <w:overflowPunct/>
        <w:bidi w:val="0"/>
        <w:rPr>
          <w:rFonts w:hint="eastAsia" w:ascii="宋体" w:hAnsi="宋体" w:eastAsia="宋体" w:cs="宋体"/>
          <w:color w:val="auto"/>
          <w:highlight w:val="none"/>
        </w:rPr>
      </w:pPr>
    </w:p>
    <w:p w14:paraId="71AE67DF">
      <w:pPr>
        <w:pStyle w:val="27"/>
        <w:keepNext w:val="0"/>
        <w:keepLines w:val="0"/>
        <w:pageBreakBefore w:val="0"/>
        <w:widowControl w:val="0"/>
        <w:kinsoku/>
        <w:overflowPunct/>
        <w:bidi w:val="0"/>
        <w:rPr>
          <w:rFonts w:hint="eastAsia" w:ascii="宋体" w:hAnsi="宋体" w:eastAsia="宋体" w:cs="宋体"/>
          <w:color w:val="auto"/>
          <w:highlight w:val="none"/>
        </w:rPr>
      </w:pPr>
    </w:p>
    <w:p w14:paraId="77D9C173">
      <w:pPr>
        <w:keepNext w:val="0"/>
        <w:keepLines w:val="0"/>
        <w:pageBreakBefore w:val="0"/>
        <w:widowControl w:val="0"/>
        <w:numPr>
          <w:ilvl w:val="0"/>
          <w:numId w:val="0"/>
        </w:numPr>
        <w:tabs>
          <w:tab w:val="left" w:pos="5580"/>
        </w:tabs>
        <w:kinsoku/>
        <w:overflowPunct/>
        <w:bidi w:val="0"/>
        <w:spacing w:line="240" w:lineRule="atLeast"/>
        <w:ind w:leftChars="257"/>
        <w:jc w:val="center"/>
        <w:rPr>
          <w:rFonts w:hint="eastAsia" w:ascii="宋体" w:hAnsi="宋体" w:eastAsia="宋体" w:cs="宋体"/>
          <w:b/>
          <w:bCs/>
          <w:color w:val="auto"/>
          <w:sz w:val="28"/>
          <w:szCs w:val="28"/>
          <w:highlight w:val="none"/>
          <w:lang w:val="en-US" w:eastAsia="zh-CN"/>
        </w:rPr>
      </w:pPr>
      <w:r>
        <w:rPr>
          <w:rFonts w:hint="eastAsia" w:ascii="宋体" w:hAnsi="宋体" w:cs="宋体"/>
          <w:b/>
          <w:bCs/>
          <w:color w:val="auto"/>
          <w:sz w:val="28"/>
          <w:szCs w:val="28"/>
          <w:highlight w:val="none"/>
          <w:lang w:val="en-US" w:eastAsia="zh-CN"/>
        </w:rPr>
        <w:t>5</w:t>
      </w:r>
      <w:r>
        <w:rPr>
          <w:rFonts w:hint="eastAsia" w:ascii="宋体" w:hAnsi="宋体" w:eastAsia="宋体" w:cs="宋体"/>
          <w:b/>
          <w:bCs/>
          <w:color w:val="auto"/>
          <w:sz w:val="28"/>
          <w:szCs w:val="28"/>
          <w:highlight w:val="none"/>
          <w:lang w:val="en-US" w:eastAsia="zh-CN"/>
        </w:rPr>
        <w:t>、</w:t>
      </w:r>
      <w:r>
        <w:rPr>
          <w:rFonts w:hint="eastAsia" w:ascii="宋体" w:hAnsi="宋体" w:cs="宋体"/>
          <w:b/>
          <w:bCs/>
          <w:color w:val="auto"/>
          <w:sz w:val="28"/>
          <w:szCs w:val="28"/>
          <w:highlight w:val="none"/>
          <w:lang w:val="en-US" w:eastAsia="zh-CN"/>
        </w:rPr>
        <w:t>2024年度或2025年度经会计事务所出具财务审计报告；（2026年新成立的公司须提供近三个月任意一个月的银行资信证明）</w:t>
      </w:r>
      <w:r>
        <w:rPr>
          <w:rFonts w:hint="eastAsia" w:ascii="宋体" w:hAnsi="宋体" w:eastAsia="宋体" w:cs="宋体"/>
          <w:b/>
          <w:bCs/>
          <w:color w:val="auto"/>
          <w:sz w:val="28"/>
          <w:szCs w:val="28"/>
          <w:highlight w:val="none"/>
          <w:lang w:val="en-US" w:eastAsia="zh-CN"/>
        </w:rPr>
        <w:t>；</w:t>
      </w:r>
    </w:p>
    <w:p w14:paraId="2ED287EA">
      <w:pPr>
        <w:pStyle w:val="4"/>
        <w:keepNext w:val="0"/>
        <w:keepLines w:val="0"/>
        <w:pageBreakBefore w:val="0"/>
        <w:widowControl w:val="0"/>
        <w:kinsoku/>
        <w:overflowPunct/>
        <w:bidi w:val="0"/>
        <w:ind w:firstLine="720" w:firstLineChars="3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注：1、如提供本单位</w:t>
      </w:r>
      <w:r>
        <w:rPr>
          <w:rFonts w:hint="eastAsia" w:hAnsi="宋体" w:cs="宋体"/>
          <w:color w:val="auto"/>
          <w:highlight w:val="none"/>
          <w:lang w:val="en-US" w:eastAsia="zh-CN"/>
        </w:rPr>
        <w:t>2024年度或2025年度</w:t>
      </w:r>
      <w:r>
        <w:rPr>
          <w:rFonts w:hint="eastAsia" w:ascii="宋体" w:hAnsi="宋体" w:eastAsia="宋体" w:cs="宋体"/>
          <w:color w:val="auto"/>
          <w:highlight w:val="none"/>
          <w:lang w:val="en-US" w:eastAsia="zh-CN"/>
        </w:rPr>
        <w:t>经会计师事务所出具的审计报告（</w:t>
      </w:r>
      <w:r>
        <w:rPr>
          <w:rFonts w:hint="eastAsia" w:hAnsi="宋体" w:cs="宋体"/>
          <w:color w:val="auto"/>
          <w:highlight w:val="none"/>
          <w:lang w:val="en-US" w:eastAsia="zh-CN"/>
        </w:rPr>
        <w:t>2026年新成立的公司须提供近三个月任意一个月的银行资信证明</w:t>
      </w:r>
      <w:r>
        <w:rPr>
          <w:rFonts w:hint="eastAsia" w:ascii="宋体" w:hAnsi="宋体" w:eastAsia="宋体" w:cs="宋体"/>
          <w:color w:val="auto"/>
          <w:highlight w:val="none"/>
        </w:rPr>
        <w:t>复印件</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，须加盖本单位章。</w:t>
      </w:r>
    </w:p>
    <w:p w14:paraId="455DCB18">
      <w:pPr>
        <w:pStyle w:val="4"/>
        <w:keepNext w:val="0"/>
        <w:keepLines w:val="0"/>
        <w:pageBreakBefore w:val="0"/>
        <w:widowControl w:val="0"/>
        <w:kinsoku/>
        <w:overflowPunct/>
        <w:bidi w:val="0"/>
        <w:ind w:firstLine="720" w:firstLineChars="300"/>
        <w:rPr>
          <w:rFonts w:hint="eastAsia" w:ascii="宋体" w:hAnsi="宋体" w:eastAsia="宋体" w:cs="宋体"/>
          <w:color w:val="auto"/>
          <w:highlight w:val="none"/>
        </w:rPr>
      </w:pPr>
      <w:r>
        <w:rPr>
          <w:rFonts w:hint="eastAsia" w:ascii="宋体" w:hAnsi="宋体" w:eastAsia="宋体" w:cs="宋体"/>
          <w:color w:val="auto"/>
          <w:highlight w:val="none"/>
        </w:rPr>
        <w:t>2、如提供银行出具的证明文件。银行证明文件可提供原件，也可提供银行开具证明文件的复印件。若提供的是复印件，招标采购单位保留审核原件的权利。银行出具的证明文件应能说明该投标人与银行之间业务往来正常，企业信誉良好等。</w:t>
      </w:r>
    </w:p>
    <w:p w14:paraId="6979B51D">
      <w:pPr>
        <w:pStyle w:val="4"/>
        <w:keepNext w:val="0"/>
        <w:keepLines w:val="0"/>
        <w:pageBreakBefore w:val="0"/>
        <w:widowControl w:val="0"/>
        <w:kinsoku/>
        <w:overflowPunct/>
        <w:bidi w:val="0"/>
        <w:ind w:firstLine="720" w:firstLineChars="300"/>
        <w:rPr>
          <w:rFonts w:hint="eastAsia" w:ascii="宋体" w:hAnsi="宋体" w:eastAsia="宋体" w:cs="宋体"/>
          <w:color w:val="auto"/>
          <w:highlight w:val="none"/>
        </w:rPr>
      </w:pPr>
      <w:r>
        <w:rPr>
          <w:rFonts w:hint="eastAsia" w:ascii="宋体" w:hAnsi="宋体" w:eastAsia="宋体" w:cs="宋体"/>
          <w:color w:val="auto"/>
          <w:highlight w:val="none"/>
        </w:rPr>
        <w:t>3、如果是联合体投标，联合体各方均需提供上述证明。</w:t>
      </w:r>
    </w:p>
    <w:p w14:paraId="0BF73D05">
      <w:pPr>
        <w:pStyle w:val="4"/>
        <w:keepNext w:val="0"/>
        <w:keepLines w:val="0"/>
        <w:pageBreakBefore w:val="0"/>
        <w:widowControl w:val="0"/>
        <w:kinsoku/>
        <w:overflowPunct/>
        <w:bidi w:val="0"/>
        <w:ind w:firstLine="720" w:firstLineChars="300"/>
        <w:rPr>
          <w:rFonts w:hint="eastAsia" w:ascii="宋体" w:hAnsi="宋体" w:eastAsia="宋体" w:cs="宋体"/>
          <w:color w:val="auto"/>
          <w:highlight w:val="none"/>
        </w:rPr>
      </w:pPr>
      <w:r>
        <w:rPr>
          <w:rFonts w:hint="eastAsia" w:ascii="宋体" w:hAnsi="宋体" w:eastAsia="宋体" w:cs="宋体"/>
          <w:color w:val="auto"/>
          <w:highlight w:val="none"/>
        </w:rPr>
        <w:t>4、如采用合格的投标担保函的，可提供投标担保函复印件替代。</w:t>
      </w:r>
    </w:p>
    <w:p w14:paraId="3B60B4A6">
      <w:pPr>
        <w:pStyle w:val="4"/>
        <w:keepNext w:val="0"/>
        <w:keepLines w:val="0"/>
        <w:pageBreakBefore w:val="0"/>
        <w:widowControl w:val="0"/>
        <w:kinsoku/>
        <w:overflowPunct/>
        <w:bidi w:val="0"/>
        <w:ind w:firstLine="0"/>
        <w:rPr>
          <w:rFonts w:hint="eastAsia" w:ascii="宋体" w:hAnsi="宋体" w:eastAsia="宋体" w:cs="宋体"/>
          <w:color w:val="auto"/>
          <w:highlight w:val="none"/>
        </w:rPr>
      </w:pPr>
    </w:p>
    <w:p w14:paraId="7BB743CE">
      <w:pPr>
        <w:pStyle w:val="4"/>
        <w:keepNext w:val="0"/>
        <w:keepLines w:val="0"/>
        <w:pageBreakBefore w:val="0"/>
        <w:widowControl w:val="0"/>
        <w:kinsoku/>
        <w:overflowPunct/>
        <w:bidi w:val="0"/>
        <w:ind w:firstLine="0"/>
        <w:rPr>
          <w:rFonts w:hint="eastAsia" w:ascii="宋体" w:hAnsi="宋体" w:eastAsia="宋体" w:cs="宋体"/>
          <w:color w:val="auto"/>
          <w:highlight w:val="none"/>
        </w:rPr>
      </w:pPr>
    </w:p>
    <w:p w14:paraId="080837F1">
      <w:pPr>
        <w:pStyle w:val="9"/>
        <w:keepNext w:val="0"/>
        <w:keepLines w:val="0"/>
        <w:pageBreakBefore w:val="0"/>
        <w:widowControl w:val="0"/>
        <w:kinsoku/>
        <w:overflowPunct/>
        <w:bidi w:val="0"/>
        <w:rPr>
          <w:rFonts w:hint="eastAsia" w:ascii="宋体" w:hAnsi="宋体" w:eastAsia="宋体" w:cs="宋体"/>
          <w:color w:val="auto"/>
          <w:highlight w:val="none"/>
        </w:rPr>
      </w:pPr>
    </w:p>
    <w:p w14:paraId="0B6ED6D9">
      <w:pPr>
        <w:pStyle w:val="9"/>
        <w:keepNext w:val="0"/>
        <w:keepLines w:val="0"/>
        <w:pageBreakBefore w:val="0"/>
        <w:widowControl w:val="0"/>
        <w:kinsoku/>
        <w:overflowPunct/>
        <w:bidi w:val="0"/>
        <w:rPr>
          <w:rFonts w:hint="eastAsia" w:ascii="宋体" w:hAnsi="宋体" w:eastAsia="宋体" w:cs="宋体"/>
          <w:color w:val="auto"/>
          <w:highlight w:val="none"/>
        </w:rPr>
      </w:pPr>
    </w:p>
    <w:p w14:paraId="775C6F11">
      <w:pPr>
        <w:keepNext w:val="0"/>
        <w:keepLines w:val="0"/>
        <w:pageBreakBefore w:val="0"/>
        <w:widowControl w:val="0"/>
        <w:kinsoku/>
        <w:overflowPunct/>
        <w:bidi w:val="0"/>
        <w:rPr>
          <w:rFonts w:hint="eastAsia" w:ascii="宋体" w:hAnsi="宋体" w:eastAsia="宋体" w:cs="宋体"/>
          <w:color w:val="auto"/>
          <w:highlight w:val="none"/>
        </w:rPr>
      </w:pPr>
    </w:p>
    <w:p w14:paraId="3C109D21">
      <w:pPr>
        <w:pStyle w:val="27"/>
        <w:rPr>
          <w:rFonts w:hint="eastAsia"/>
          <w:color w:val="auto"/>
        </w:rPr>
      </w:pPr>
    </w:p>
    <w:p w14:paraId="151C1BD2">
      <w:pPr>
        <w:pStyle w:val="27"/>
        <w:keepNext w:val="0"/>
        <w:keepLines w:val="0"/>
        <w:pageBreakBefore w:val="0"/>
        <w:widowControl w:val="0"/>
        <w:kinsoku/>
        <w:overflowPunct/>
        <w:bidi w:val="0"/>
        <w:rPr>
          <w:rFonts w:hint="eastAsia" w:ascii="宋体" w:hAnsi="宋体" w:eastAsia="宋体" w:cs="宋体"/>
          <w:color w:val="auto"/>
          <w:highlight w:val="none"/>
        </w:rPr>
      </w:pPr>
    </w:p>
    <w:p w14:paraId="73651E86">
      <w:pPr>
        <w:keepNext w:val="0"/>
        <w:keepLines w:val="0"/>
        <w:pageBreakBefore w:val="0"/>
        <w:widowControl w:val="0"/>
        <w:numPr>
          <w:ilvl w:val="0"/>
          <w:numId w:val="0"/>
        </w:numPr>
        <w:tabs>
          <w:tab w:val="left" w:pos="5580"/>
        </w:tabs>
        <w:kinsoku/>
        <w:overflowPunct/>
        <w:bidi w:val="0"/>
        <w:spacing w:line="240" w:lineRule="atLeast"/>
        <w:ind w:left="540" w:leftChars="257"/>
        <w:jc w:val="center"/>
        <w:rPr>
          <w:rFonts w:hint="eastAsia" w:ascii="宋体" w:hAnsi="宋体" w:eastAsia="宋体" w:cs="宋体"/>
          <w:b/>
          <w:bCs/>
          <w:color w:val="auto"/>
          <w:sz w:val="28"/>
          <w:szCs w:val="28"/>
          <w:highlight w:val="none"/>
          <w:lang w:val="en-US" w:eastAsia="zh-CN"/>
        </w:rPr>
      </w:pPr>
      <w:r>
        <w:rPr>
          <w:rFonts w:hint="eastAsia" w:ascii="宋体" w:hAnsi="宋体" w:cs="宋体"/>
          <w:b/>
          <w:bCs/>
          <w:color w:val="auto"/>
          <w:kern w:val="2"/>
          <w:sz w:val="28"/>
          <w:szCs w:val="28"/>
          <w:highlight w:val="none"/>
          <w:lang w:val="en-US" w:eastAsia="zh-CN" w:bidi="ar-SA"/>
        </w:rPr>
        <w:t>6</w:t>
      </w:r>
      <w:r>
        <w:rPr>
          <w:rFonts w:hint="eastAsia" w:ascii="宋体" w:hAnsi="宋体" w:eastAsia="宋体" w:cs="宋体"/>
          <w:b/>
          <w:bCs/>
          <w:color w:val="auto"/>
          <w:kern w:val="2"/>
          <w:sz w:val="28"/>
          <w:szCs w:val="28"/>
          <w:highlight w:val="none"/>
          <w:lang w:val="en-US" w:eastAsia="zh-CN" w:bidi="ar-SA"/>
        </w:rPr>
        <w:t>、</w:t>
      </w:r>
      <w:r>
        <w:rPr>
          <w:rFonts w:hint="eastAsia" w:ascii="宋体" w:hAnsi="宋体" w:eastAsia="宋体" w:cs="宋体"/>
          <w:b/>
          <w:bCs/>
          <w:color w:val="auto"/>
          <w:sz w:val="28"/>
          <w:szCs w:val="28"/>
          <w:highlight w:val="none"/>
          <w:lang w:val="en-US" w:eastAsia="zh-CN"/>
        </w:rPr>
        <w:t>未在“信用中国”网站 被列入失信被执行人、重大税收违法案件当事人名单；中国政府采购网，</w:t>
      </w:r>
      <w:r>
        <w:rPr>
          <w:rFonts w:hint="eastAsia" w:ascii="宋体" w:hAnsi="宋体" w:eastAsia="宋体" w:cs="宋体"/>
          <w:b/>
          <w:bCs/>
          <w:color w:val="auto"/>
          <w:sz w:val="28"/>
          <w:szCs w:val="28"/>
          <w:highlight w:val="none"/>
          <w:lang w:val="en-US" w:eastAsia="zh-CN"/>
        </w:rPr>
        <w:fldChar w:fldCharType="begin"/>
      </w:r>
      <w:r>
        <w:rPr>
          <w:rFonts w:hint="eastAsia" w:ascii="宋体" w:hAnsi="宋体" w:eastAsia="宋体" w:cs="宋体"/>
          <w:b/>
          <w:bCs/>
          <w:color w:val="auto"/>
          <w:sz w:val="28"/>
          <w:szCs w:val="28"/>
          <w:highlight w:val="none"/>
          <w:lang w:val="en-US" w:eastAsia="zh-CN"/>
        </w:rPr>
        <w:instrText xml:space="preserve"> HYPERLINK "http://www.ccgp.gov.cn/search/cr/%EF%BC%89%E4%B8%A5%E9%87%8D%E8%BF%9D%E6%B3%95%E5%A4%B1%E4%BF%A1%E8%A1%8C%E4%B8%BA%E8%AE%B0%E5%BD%95%E5%90%8D%E5%8D%95%E7%9A%84%EF%BC%88%E5%B0%9A%E5%9C%A8%E5%A4%84%E7%BD%9A%E6%9C%9F%E5%86%85%E7%9A%84%EF%BC%89%EF%BC%8C%E2%80%9C%E5%9B%BD%E5%AE%B6%E4%BC%81%E4%B8%9A%E4%BF%A1%E7%94%A8%E4%BF%A1%E6%81%AF%E5%85%AC%E7%A4%BA%E7%B3%BB%E7%BB%9F%EF%BC%88http://www.gsxt.gov.cn%EF%BC%89%E2%80%9D%E5%88%97%E5%85%A5%E7%BB%8F%E8%90%A5%E5%BC%82%E5%B8%B8%E5%90%8D%E5%BD%95%E4%BF%A1%E6%81%AF%E3%80%81%E5%88%97%E5%85%A5%E4%B8%A5%E9%87%8D%E8%BF%9D%E6%B3%95%E5%A4%B1%E4%BF%A1%E4%BC%81%E4%B8%9A%E5%90%8D%E5%8D%95%EF%BC%88%E9%BB%91%E5%90%8D%E5%8D%95%EF%BC%89%E4%BF%A1%E6%81%AF%E5%8F%8A%E4%BC%81%E4%B8%9A%E4%BF%A1%E7%94%A8%E4%BF%A1%E6%81%AF%E5%85%AC%E7%A4%BA%E6%8A%A5%E5%91%8A%EF%BC%9B%EF%BC%88%E4%BB%A5%E6%8B%9B%E6%A0%87%E4%BB%A3%E7%90%86%E6%88%96%E6%8B%9B%E6%A0%87%E4%BA%BA%E6%9F%A5%E8%AF%A2%E4%B8%BA%E5%87%86%EF%BC%89" </w:instrText>
      </w:r>
      <w:r>
        <w:rPr>
          <w:rFonts w:hint="eastAsia" w:ascii="宋体" w:hAnsi="宋体" w:eastAsia="宋体" w:cs="宋体"/>
          <w:b/>
          <w:bCs/>
          <w:color w:val="auto"/>
          <w:sz w:val="28"/>
          <w:szCs w:val="28"/>
          <w:highlight w:val="none"/>
          <w:lang w:val="en-US" w:eastAsia="zh-CN"/>
        </w:rPr>
        <w:fldChar w:fldCharType="separate"/>
      </w:r>
      <w:r>
        <w:rPr>
          <w:rFonts w:hint="eastAsia" w:ascii="宋体" w:hAnsi="宋体" w:eastAsia="宋体" w:cs="宋体"/>
          <w:b/>
          <w:bCs/>
          <w:color w:val="auto"/>
          <w:sz w:val="28"/>
          <w:szCs w:val="28"/>
          <w:highlight w:val="none"/>
          <w:lang w:val="en-US" w:eastAsia="zh-CN"/>
        </w:rPr>
        <w:t>严重违法失信行为记录名单的（尚在处罚期内的）；“国家企业信用信息公示系统”列入经营异常名录信息、列入严重违法失信企业名单（黑名单）信息的企业</w:t>
      </w:r>
      <w:r>
        <w:rPr>
          <w:rFonts w:hint="eastAsia" w:ascii="宋体" w:hAnsi="宋体" w:eastAsia="宋体" w:cs="宋体"/>
          <w:b/>
          <w:bCs/>
          <w:color w:val="auto"/>
          <w:sz w:val="28"/>
          <w:szCs w:val="28"/>
          <w:highlight w:val="none"/>
          <w:lang w:val="en-US" w:eastAsia="zh-CN"/>
        </w:rPr>
        <w:fldChar w:fldCharType="end"/>
      </w:r>
      <w:r>
        <w:rPr>
          <w:rFonts w:hint="eastAsia" w:ascii="宋体" w:hAnsi="宋体" w:eastAsia="宋体" w:cs="宋体"/>
          <w:b/>
          <w:bCs/>
          <w:color w:val="auto"/>
          <w:sz w:val="28"/>
          <w:szCs w:val="28"/>
          <w:highlight w:val="none"/>
          <w:lang w:val="en-US" w:eastAsia="zh-CN"/>
        </w:rPr>
        <w:t>，附网站</w:t>
      </w:r>
      <w:r>
        <w:rPr>
          <w:rFonts w:hint="eastAsia" w:ascii="宋体" w:hAnsi="宋体" w:cs="宋体"/>
          <w:b/>
          <w:bCs/>
          <w:color w:val="auto"/>
          <w:sz w:val="28"/>
          <w:szCs w:val="28"/>
          <w:highlight w:val="none"/>
          <w:lang w:val="en-US" w:eastAsia="zh-CN"/>
        </w:rPr>
        <w:t>截图或报告；</w:t>
      </w:r>
    </w:p>
    <w:p w14:paraId="0034E341">
      <w:pPr>
        <w:pStyle w:val="27"/>
        <w:keepNext w:val="0"/>
        <w:keepLines w:val="0"/>
        <w:pageBreakBefore w:val="0"/>
        <w:widowControl w:val="0"/>
        <w:numPr>
          <w:ilvl w:val="0"/>
          <w:numId w:val="0"/>
        </w:numPr>
        <w:kinsoku/>
        <w:overflowPunct/>
        <w:bidi w:val="0"/>
        <w:snapToGrid w:val="0"/>
        <w:jc w:val="left"/>
        <w:rPr>
          <w:rFonts w:hint="eastAsia" w:ascii="宋体" w:hAnsi="宋体" w:eastAsia="宋体" w:cs="宋体"/>
          <w:color w:val="auto"/>
          <w:highlight w:val="none"/>
          <w:lang w:val="en-US" w:eastAsia="zh-CN"/>
        </w:rPr>
      </w:pPr>
    </w:p>
    <w:p w14:paraId="31F3EC02">
      <w:pPr>
        <w:pStyle w:val="11"/>
        <w:keepNext w:val="0"/>
        <w:keepLines w:val="0"/>
        <w:pageBreakBefore w:val="0"/>
        <w:widowControl w:val="0"/>
        <w:kinsoku/>
        <w:overflowPunct/>
        <w:bidi w:val="0"/>
        <w:rPr>
          <w:rFonts w:hint="eastAsia" w:ascii="宋体" w:hAnsi="宋体" w:eastAsia="宋体" w:cs="宋体"/>
          <w:color w:val="auto"/>
          <w:highlight w:val="none"/>
          <w:lang w:val="en-US" w:eastAsia="zh-CN"/>
        </w:rPr>
      </w:pPr>
    </w:p>
    <w:p w14:paraId="30D29FF2">
      <w:pPr>
        <w:pStyle w:val="35"/>
        <w:keepNext w:val="0"/>
        <w:keepLines w:val="0"/>
        <w:pageBreakBefore w:val="0"/>
        <w:widowControl w:val="0"/>
        <w:kinsoku/>
        <w:overflowPunct/>
        <w:bidi w:val="0"/>
        <w:rPr>
          <w:rFonts w:hint="eastAsia" w:ascii="宋体" w:hAnsi="宋体" w:eastAsia="宋体" w:cs="宋体"/>
          <w:color w:val="auto"/>
          <w:highlight w:val="none"/>
          <w:lang w:val="en-US" w:eastAsia="zh-CN"/>
        </w:rPr>
      </w:pPr>
    </w:p>
    <w:p w14:paraId="1E55E70C">
      <w:pPr>
        <w:pStyle w:val="27"/>
        <w:rPr>
          <w:rFonts w:hint="eastAsia"/>
          <w:color w:val="auto"/>
          <w:lang w:val="en-US" w:eastAsia="zh-CN"/>
        </w:rPr>
      </w:pPr>
    </w:p>
    <w:p w14:paraId="4B70C4B6">
      <w:pPr>
        <w:pStyle w:val="16"/>
        <w:keepNext w:val="0"/>
        <w:keepLines w:val="0"/>
        <w:pageBreakBefore w:val="0"/>
        <w:widowControl w:val="0"/>
        <w:tabs>
          <w:tab w:val="left" w:pos="5580"/>
        </w:tabs>
        <w:kinsoku/>
        <w:overflowPunct/>
        <w:bidi w:val="0"/>
        <w:spacing w:line="240" w:lineRule="atLeast"/>
        <w:jc w:val="center"/>
        <w:outlineLvl w:val="1"/>
        <w:rPr>
          <w:rFonts w:hint="eastAsia" w:ascii="宋体" w:hAnsi="宋体" w:eastAsia="宋体" w:cs="宋体"/>
          <w:b/>
          <w:color w:val="auto"/>
          <w:kern w:val="0"/>
          <w:sz w:val="28"/>
          <w:szCs w:val="28"/>
          <w:highlight w:val="none"/>
        </w:rPr>
      </w:pPr>
      <w:r>
        <w:rPr>
          <w:rFonts w:hint="eastAsia" w:hAnsi="宋体" w:cs="宋体"/>
          <w:b/>
          <w:bCs/>
          <w:color w:val="auto"/>
          <w:sz w:val="28"/>
          <w:szCs w:val="28"/>
          <w:highlight w:val="none"/>
          <w:lang w:val="en-US" w:eastAsia="zh-CN"/>
        </w:rPr>
        <w:t>7</w:t>
      </w:r>
      <w:r>
        <w:rPr>
          <w:rFonts w:hint="eastAsia" w:ascii="宋体" w:hAnsi="宋体" w:eastAsia="宋体" w:cs="宋体"/>
          <w:b/>
          <w:bCs/>
          <w:color w:val="auto"/>
          <w:sz w:val="28"/>
          <w:szCs w:val="28"/>
          <w:highlight w:val="none"/>
        </w:rPr>
        <w:t>、</w:t>
      </w:r>
      <w:r>
        <w:rPr>
          <w:rFonts w:hint="eastAsia" w:ascii="宋体" w:hAnsi="宋体" w:eastAsia="宋体" w:cs="宋体"/>
          <w:b/>
          <w:color w:val="auto"/>
          <w:kern w:val="0"/>
          <w:sz w:val="28"/>
          <w:szCs w:val="28"/>
          <w:highlight w:val="none"/>
          <w:lang w:val="en-US" w:eastAsia="zh-CN"/>
        </w:rPr>
        <w:t>投标单位</w:t>
      </w:r>
      <w:r>
        <w:rPr>
          <w:rFonts w:hint="eastAsia" w:ascii="宋体" w:hAnsi="宋体" w:eastAsia="宋体" w:cs="宋体"/>
          <w:b/>
          <w:color w:val="auto"/>
          <w:kern w:val="0"/>
          <w:sz w:val="28"/>
          <w:szCs w:val="28"/>
          <w:highlight w:val="none"/>
        </w:rPr>
        <w:t>提供针对本次项目《反商业贿赂承诺书》；</w:t>
      </w:r>
    </w:p>
    <w:p w14:paraId="755DA994">
      <w:pPr>
        <w:pStyle w:val="16"/>
        <w:keepNext w:val="0"/>
        <w:keepLines w:val="0"/>
        <w:pageBreakBefore w:val="0"/>
        <w:widowControl w:val="0"/>
        <w:tabs>
          <w:tab w:val="left" w:pos="5580"/>
        </w:tabs>
        <w:kinsoku/>
        <w:overflowPunct/>
        <w:bidi w:val="0"/>
        <w:spacing w:line="240" w:lineRule="atLeast"/>
        <w:outlineLvl w:val="1"/>
        <w:rPr>
          <w:rFonts w:hint="eastAsia" w:ascii="宋体" w:hAnsi="宋体" w:eastAsia="宋体" w:cs="宋体"/>
          <w:b/>
          <w:color w:val="auto"/>
          <w:kern w:val="0"/>
          <w:sz w:val="24"/>
          <w:szCs w:val="24"/>
          <w:highlight w:val="none"/>
        </w:rPr>
      </w:pPr>
    </w:p>
    <w:p w14:paraId="02CF1251">
      <w:pPr>
        <w:pStyle w:val="4"/>
        <w:keepNext w:val="0"/>
        <w:keepLines w:val="0"/>
        <w:pageBreakBefore w:val="0"/>
        <w:widowControl w:val="0"/>
        <w:kinsoku/>
        <w:overflowPunct/>
        <w:bidi w:val="0"/>
        <w:spacing w:line="600" w:lineRule="auto"/>
        <w:ind w:firstLine="720" w:firstLineChars="300"/>
        <w:rPr>
          <w:rFonts w:hint="eastAsia" w:ascii="宋体" w:hAnsi="宋体" w:eastAsia="宋体" w:cs="宋体"/>
          <w:color w:val="auto"/>
          <w:highlight w:val="none"/>
        </w:rPr>
      </w:pPr>
      <w:r>
        <w:rPr>
          <w:rFonts w:hint="eastAsia" w:ascii="宋体" w:hAnsi="宋体" w:eastAsia="宋体" w:cs="宋体"/>
          <w:color w:val="auto"/>
          <w:highlight w:val="none"/>
        </w:rPr>
        <w:t>我公司承诺在</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招标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 </w:t>
      </w:r>
    </w:p>
    <w:p w14:paraId="53D63778">
      <w:pPr>
        <w:pStyle w:val="4"/>
        <w:keepNext w:val="0"/>
        <w:keepLines w:val="0"/>
        <w:pageBreakBefore w:val="0"/>
        <w:widowControl w:val="0"/>
        <w:kinsoku/>
        <w:overflowPunct/>
        <w:bidi w:val="0"/>
        <w:spacing w:line="600" w:lineRule="auto"/>
        <w:ind w:firstLine="720" w:firstLineChars="300"/>
        <w:rPr>
          <w:rFonts w:hint="eastAsia" w:ascii="宋体" w:hAnsi="宋体" w:eastAsia="宋体" w:cs="宋体"/>
          <w:color w:val="auto"/>
          <w:highlight w:val="none"/>
        </w:rPr>
      </w:pPr>
      <w:r>
        <w:rPr>
          <w:rFonts w:hint="eastAsia" w:ascii="宋体" w:hAnsi="宋体" w:eastAsia="宋体" w:cs="宋体"/>
          <w:color w:val="auto"/>
          <w:highlight w:val="none"/>
        </w:rPr>
        <w:t>公司法人代表（</w:t>
      </w:r>
      <w:r>
        <w:rPr>
          <w:rFonts w:hint="eastAsia" w:ascii="宋体" w:hAnsi="宋体" w:eastAsia="宋体" w:cs="宋体"/>
          <w:color w:val="auto"/>
          <w:highlight w:val="none"/>
          <w:lang w:val="en-US" w:eastAsia="zh-CN"/>
        </w:rPr>
        <w:t>签/章</w:t>
      </w:r>
      <w:r>
        <w:rPr>
          <w:rFonts w:hint="eastAsia" w:ascii="宋体" w:hAnsi="宋体" w:eastAsia="宋体" w:cs="宋体"/>
          <w:color w:val="auto"/>
          <w:highlight w:val="none"/>
        </w:rPr>
        <w:t>）：</w:t>
      </w:r>
    </w:p>
    <w:p w14:paraId="202FBD6D">
      <w:pPr>
        <w:pStyle w:val="4"/>
        <w:keepNext w:val="0"/>
        <w:keepLines w:val="0"/>
        <w:pageBreakBefore w:val="0"/>
        <w:widowControl w:val="0"/>
        <w:kinsoku/>
        <w:overflowPunct/>
        <w:bidi w:val="0"/>
        <w:spacing w:line="600" w:lineRule="auto"/>
        <w:ind w:firstLine="720" w:firstLineChars="300"/>
        <w:rPr>
          <w:rFonts w:hint="eastAsia" w:ascii="宋体" w:hAnsi="宋体" w:eastAsia="宋体" w:cs="宋体"/>
          <w:color w:val="auto"/>
          <w:highlight w:val="none"/>
        </w:rPr>
      </w:pPr>
      <w:r>
        <w:rPr>
          <w:rFonts w:hint="eastAsia" w:ascii="宋体" w:hAnsi="宋体" w:eastAsia="宋体" w:cs="宋体"/>
          <w:color w:val="auto"/>
          <w:highlight w:val="none"/>
        </w:rPr>
        <w:t>法人授权代表（</w:t>
      </w:r>
      <w:r>
        <w:rPr>
          <w:rFonts w:hint="eastAsia" w:ascii="宋体" w:hAnsi="宋体" w:eastAsia="宋体" w:cs="宋体"/>
          <w:color w:val="auto"/>
          <w:highlight w:val="none"/>
          <w:lang w:val="en-US" w:eastAsia="zh-CN"/>
        </w:rPr>
        <w:t>签/章</w:t>
      </w:r>
      <w:r>
        <w:rPr>
          <w:rFonts w:hint="eastAsia" w:ascii="宋体" w:hAnsi="宋体" w:eastAsia="宋体" w:cs="宋体"/>
          <w:color w:val="auto"/>
          <w:highlight w:val="none"/>
        </w:rPr>
        <w:t>）：</w:t>
      </w:r>
    </w:p>
    <w:p w14:paraId="1528EFA9">
      <w:pPr>
        <w:pStyle w:val="4"/>
        <w:keepNext w:val="0"/>
        <w:keepLines w:val="0"/>
        <w:pageBreakBefore w:val="0"/>
        <w:widowControl w:val="0"/>
        <w:kinsoku/>
        <w:overflowPunct/>
        <w:bidi w:val="0"/>
        <w:spacing w:line="600" w:lineRule="auto"/>
        <w:ind w:firstLine="720" w:firstLineChars="300"/>
        <w:rPr>
          <w:rFonts w:hint="eastAsia" w:ascii="宋体" w:hAnsi="宋体" w:eastAsia="宋体" w:cs="宋体"/>
          <w:color w:val="auto"/>
          <w:highlight w:val="none"/>
        </w:rPr>
      </w:pPr>
      <w:r>
        <w:rPr>
          <w:rFonts w:hint="eastAsia" w:ascii="宋体" w:hAnsi="宋体" w:eastAsia="宋体" w:cs="宋体"/>
          <w:color w:val="auto"/>
          <w:highlight w:val="none"/>
        </w:rPr>
        <w:t>项目经办人（</w:t>
      </w:r>
      <w:r>
        <w:rPr>
          <w:rFonts w:hint="eastAsia" w:ascii="宋体" w:hAnsi="宋体" w:eastAsia="宋体" w:cs="宋体"/>
          <w:color w:val="auto"/>
          <w:highlight w:val="none"/>
          <w:lang w:val="en-US" w:eastAsia="zh-CN"/>
        </w:rPr>
        <w:t>签/章</w:t>
      </w:r>
      <w:r>
        <w:rPr>
          <w:rFonts w:hint="eastAsia" w:ascii="宋体" w:hAnsi="宋体" w:eastAsia="宋体" w:cs="宋体"/>
          <w:color w:val="auto"/>
          <w:highlight w:val="none"/>
        </w:rPr>
        <w:t>）：</w:t>
      </w:r>
    </w:p>
    <w:p w14:paraId="1A8AF3BF">
      <w:pPr>
        <w:keepNext w:val="0"/>
        <w:keepLines w:val="0"/>
        <w:pageBreakBefore w:val="0"/>
        <w:widowControl w:val="0"/>
        <w:kinsoku/>
        <w:overflowPunct/>
        <w:bidi w:val="0"/>
        <w:spacing w:before="100" w:beforeAutospacing="1" w:after="100" w:afterAutospacing="1" w:line="360" w:lineRule="auto"/>
        <w:ind w:firstLine="897"/>
        <w:jc w:val="left"/>
        <w:rPr>
          <w:rFonts w:hint="eastAsia" w:ascii="宋体" w:hAnsi="宋体" w:eastAsia="宋体" w:cs="宋体"/>
          <w:color w:val="auto"/>
          <w:szCs w:val="21"/>
          <w:highlight w:val="none"/>
        </w:rPr>
      </w:pPr>
    </w:p>
    <w:p w14:paraId="791DCADA">
      <w:pPr>
        <w:pStyle w:val="4"/>
        <w:keepNext w:val="0"/>
        <w:keepLines w:val="0"/>
        <w:pageBreakBefore w:val="0"/>
        <w:widowControl w:val="0"/>
        <w:kinsoku/>
        <w:overflowPunct/>
        <w:bidi w:val="0"/>
        <w:ind w:firstLine="0"/>
        <w:rPr>
          <w:rFonts w:hint="eastAsia" w:ascii="宋体" w:hAnsi="宋体" w:eastAsia="宋体" w:cs="宋体"/>
          <w:color w:val="auto"/>
          <w:highlight w:val="none"/>
        </w:rPr>
      </w:pPr>
    </w:p>
    <w:p w14:paraId="61A456C3">
      <w:pPr>
        <w:pStyle w:val="4"/>
        <w:keepNext w:val="0"/>
        <w:keepLines w:val="0"/>
        <w:pageBreakBefore w:val="0"/>
        <w:widowControl w:val="0"/>
        <w:numPr>
          <w:ilvl w:val="0"/>
          <w:numId w:val="0"/>
        </w:numPr>
        <w:kinsoku/>
        <w:overflowPunct/>
        <w:bidi w:val="0"/>
        <w:jc w:val="center"/>
        <w:rPr>
          <w:rFonts w:hint="eastAsia" w:ascii="宋体" w:hAnsi="宋体" w:eastAsia="宋体" w:cs="宋体"/>
          <w:b/>
          <w:bCs/>
          <w:color w:val="auto"/>
          <w:sz w:val="28"/>
          <w:szCs w:val="28"/>
          <w:highlight w:val="none"/>
        </w:rPr>
      </w:pPr>
      <w:r>
        <w:rPr>
          <w:rFonts w:hint="eastAsia" w:hAnsi="宋体" w:cs="宋体"/>
          <w:b/>
          <w:bCs/>
          <w:color w:val="auto"/>
          <w:sz w:val="28"/>
          <w:szCs w:val="28"/>
          <w:highlight w:val="none"/>
          <w:lang w:val="en-US" w:eastAsia="zh-CN"/>
        </w:rPr>
        <w:t>8</w:t>
      </w:r>
      <w:r>
        <w:rPr>
          <w:rFonts w:hint="eastAsia" w:ascii="宋体" w:hAnsi="宋体" w:eastAsia="宋体" w:cs="宋体"/>
          <w:b/>
          <w:bCs/>
          <w:color w:val="auto"/>
          <w:sz w:val="28"/>
          <w:szCs w:val="28"/>
          <w:highlight w:val="none"/>
          <w:lang w:val="en-US" w:eastAsia="zh-CN"/>
        </w:rPr>
        <w:t>、</w:t>
      </w:r>
      <w:r>
        <w:rPr>
          <w:rFonts w:hint="eastAsia" w:ascii="宋体" w:hAnsi="宋体" w:eastAsia="宋体" w:cs="宋体"/>
          <w:b/>
          <w:bCs/>
          <w:color w:val="auto"/>
          <w:sz w:val="28"/>
          <w:szCs w:val="28"/>
          <w:highlight w:val="none"/>
        </w:rPr>
        <w:t>参加政府采购活动近3年内，在经营活动中没有重大违法记录的书面声明；</w:t>
      </w:r>
    </w:p>
    <w:p w14:paraId="1647D8B9">
      <w:pPr>
        <w:pStyle w:val="4"/>
        <w:keepNext w:val="0"/>
        <w:keepLines w:val="0"/>
        <w:pageBreakBefore w:val="0"/>
        <w:widowControl w:val="0"/>
        <w:kinsoku/>
        <w:overflowPunct/>
        <w:bidi w:val="0"/>
        <w:ind w:firstLine="720" w:firstLineChars="300"/>
        <w:rPr>
          <w:rFonts w:hint="eastAsia" w:ascii="宋体" w:hAnsi="宋体" w:eastAsia="宋体" w:cs="宋体"/>
          <w:color w:val="auto"/>
          <w:highlight w:val="none"/>
        </w:rPr>
      </w:pPr>
      <w:r>
        <w:rPr>
          <w:rFonts w:hint="eastAsia" w:ascii="宋体" w:hAnsi="宋体" w:eastAsia="宋体" w:cs="宋体"/>
          <w:color w:val="auto"/>
          <w:highlight w:val="none"/>
        </w:rPr>
        <w:t>注：1.投标人应按照相关法规规定如实作出说明。</w:t>
      </w:r>
    </w:p>
    <w:p w14:paraId="15774F43">
      <w:pPr>
        <w:pStyle w:val="4"/>
        <w:keepNext w:val="0"/>
        <w:keepLines w:val="0"/>
        <w:pageBreakBefore w:val="0"/>
        <w:widowControl w:val="0"/>
        <w:kinsoku/>
        <w:overflowPunct/>
        <w:bidi w:val="0"/>
        <w:ind w:firstLine="720" w:firstLineChars="300"/>
        <w:rPr>
          <w:rFonts w:hint="eastAsia" w:ascii="宋体" w:hAnsi="宋体" w:eastAsia="宋体" w:cs="宋体"/>
          <w:color w:val="auto"/>
          <w:highlight w:val="none"/>
        </w:rPr>
      </w:pPr>
      <w:r>
        <w:rPr>
          <w:rFonts w:hint="eastAsia" w:ascii="宋体" w:hAnsi="宋体" w:eastAsia="宋体" w:cs="宋体"/>
          <w:color w:val="auto"/>
          <w:highlight w:val="none"/>
        </w:rPr>
        <w:t>2．按照</w:t>
      </w:r>
      <w:r>
        <w:rPr>
          <w:rFonts w:hint="eastAsia" w:hAnsi="宋体" w:cs="宋体"/>
          <w:color w:val="auto"/>
          <w:highlight w:val="none"/>
          <w:lang w:val="en-US" w:eastAsia="zh-CN"/>
        </w:rPr>
        <w:t>磋商</w:t>
      </w:r>
      <w:r>
        <w:rPr>
          <w:rFonts w:hint="eastAsia" w:ascii="宋体" w:hAnsi="宋体" w:eastAsia="宋体" w:cs="宋体"/>
          <w:color w:val="auto"/>
          <w:highlight w:val="none"/>
        </w:rPr>
        <w:t>文件的规定加盖本单位章（自然人投标的无需盖章，需要签字）。</w:t>
      </w:r>
    </w:p>
    <w:p w14:paraId="29B8C097">
      <w:pPr>
        <w:pStyle w:val="4"/>
        <w:keepNext w:val="0"/>
        <w:keepLines w:val="0"/>
        <w:pageBreakBefore w:val="0"/>
        <w:widowControl w:val="0"/>
        <w:kinsoku/>
        <w:overflowPunct/>
        <w:bidi w:val="0"/>
        <w:ind w:firstLine="0"/>
        <w:rPr>
          <w:rFonts w:hint="eastAsia" w:ascii="宋体" w:hAnsi="宋体" w:eastAsia="宋体" w:cs="宋体"/>
          <w:color w:val="auto"/>
          <w:highlight w:val="none"/>
        </w:rPr>
      </w:pPr>
      <w:r>
        <w:rPr>
          <w:rFonts w:hint="eastAsia" w:ascii="宋体" w:hAnsi="宋体" w:eastAsia="宋体" w:cs="宋体"/>
          <w:color w:val="auto"/>
          <w:highlight w:val="none"/>
        </w:rPr>
        <w:t xml:space="preserve">      3.如果是联合体投标，联合体各方均需提供上述证明。</w:t>
      </w:r>
    </w:p>
    <w:p w14:paraId="173F3330">
      <w:pPr>
        <w:pStyle w:val="4"/>
        <w:keepNext w:val="0"/>
        <w:keepLines w:val="0"/>
        <w:pageBreakBefore w:val="0"/>
        <w:widowControl w:val="0"/>
        <w:kinsoku/>
        <w:overflowPunct/>
        <w:bidi w:val="0"/>
        <w:ind w:firstLine="0"/>
        <w:rPr>
          <w:rFonts w:hint="eastAsia" w:ascii="宋体" w:hAnsi="宋体" w:eastAsia="宋体" w:cs="宋体"/>
          <w:color w:val="auto"/>
          <w:highlight w:val="none"/>
        </w:rPr>
      </w:pPr>
    </w:p>
    <w:p w14:paraId="4C862FA9">
      <w:pPr>
        <w:pStyle w:val="9"/>
        <w:keepNext w:val="0"/>
        <w:keepLines w:val="0"/>
        <w:pageBreakBefore w:val="0"/>
        <w:widowControl w:val="0"/>
        <w:kinsoku/>
        <w:overflowPunct/>
        <w:bidi w:val="0"/>
        <w:rPr>
          <w:rFonts w:hint="eastAsia" w:ascii="宋体" w:hAnsi="宋体" w:eastAsia="宋体" w:cs="宋体"/>
          <w:color w:val="auto"/>
          <w:highlight w:val="none"/>
        </w:rPr>
      </w:pPr>
    </w:p>
    <w:p w14:paraId="37A17A0D">
      <w:pPr>
        <w:keepNext w:val="0"/>
        <w:keepLines w:val="0"/>
        <w:pageBreakBefore w:val="0"/>
        <w:widowControl w:val="0"/>
        <w:kinsoku/>
        <w:overflowPunct/>
        <w:bidi w:val="0"/>
        <w:rPr>
          <w:rFonts w:hint="eastAsia" w:ascii="宋体" w:hAnsi="宋体" w:eastAsia="宋体" w:cs="宋体"/>
          <w:color w:val="auto"/>
          <w:highlight w:val="none"/>
        </w:rPr>
      </w:pPr>
    </w:p>
    <w:p w14:paraId="42C2E3A7">
      <w:pPr>
        <w:pStyle w:val="27"/>
        <w:keepNext w:val="0"/>
        <w:keepLines w:val="0"/>
        <w:pageBreakBefore w:val="0"/>
        <w:widowControl w:val="0"/>
        <w:kinsoku/>
        <w:overflowPunct/>
        <w:bidi w:val="0"/>
        <w:rPr>
          <w:rFonts w:hint="eastAsia" w:ascii="宋体" w:hAnsi="宋体" w:eastAsia="宋体" w:cs="宋体"/>
          <w:color w:val="auto"/>
          <w:highlight w:val="none"/>
        </w:rPr>
      </w:pPr>
    </w:p>
    <w:p w14:paraId="1A7E0E1C">
      <w:pPr>
        <w:pStyle w:val="11"/>
        <w:keepNext w:val="0"/>
        <w:keepLines w:val="0"/>
        <w:pageBreakBefore w:val="0"/>
        <w:widowControl w:val="0"/>
        <w:kinsoku/>
        <w:overflowPunct/>
        <w:bidi w:val="0"/>
        <w:rPr>
          <w:rFonts w:hint="eastAsia" w:ascii="宋体" w:hAnsi="宋体" w:eastAsia="宋体" w:cs="宋体"/>
          <w:color w:val="auto"/>
          <w:highlight w:val="none"/>
        </w:rPr>
      </w:pPr>
    </w:p>
    <w:p w14:paraId="76A9865E">
      <w:pPr>
        <w:pStyle w:val="35"/>
        <w:keepNext w:val="0"/>
        <w:keepLines w:val="0"/>
        <w:pageBreakBefore w:val="0"/>
        <w:widowControl w:val="0"/>
        <w:kinsoku/>
        <w:overflowPunct/>
        <w:bidi w:val="0"/>
        <w:rPr>
          <w:rFonts w:hint="eastAsia" w:ascii="宋体" w:hAnsi="宋体" w:eastAsia="宋体" w:cs="宋体"/>
          <w:color w:val="auto"/>
          <w:highlight w:val="none"/>
        </w:rPr>
      </w:pPr>
    </w:p>
    <w:p w14:paraId="6CC722C0">
      <w:pPr>
        <w:keepNext w:val="0"/>
        <w:keepLines w:val="0"/>
        <w:pageBreakBefore w:val="0"/>
        <w:widowControl w:val="0"/>
        <w:kinsoku/>
        <w:overflowPunct/>
        <w:bidi w:val="0"/>
        <w:rPr>
          <w:rFonts w:hint="eastAsia" w:ascii="宋体" w:hAnsi="宋体" w:eastAsia="宋体" w:cs="宋体"/>
          <w:color w:val="auto"/>
          <w:highlight w:val="none"/>
        </w:rPr>
      </w:pPr>
    </w:p>
    <w:p w14:paraId="5B43D328">
      <w:pPr>
        <w:pStyle w:val="27"/>
        <w:keepNext w:val="0"/>
        <w:keepLines w:val="0"/>
        <w:pageBreakBefore w:val="0"/>
        <w:widowControl w:val="0"/>
        <w:kinsoku/>
        <w:overflowPunct/>
        <w:bidi w:val="0"/>
        <w:rPr>
          <w:rFonts w:hint="eastAsia" w:ascii="宋体" w:hAnsi="宋体" w:eastAsia="宋体" w:cs="宋体"/>
          <w:color w:val="auto"/>
          <w:highlight w:val="none"/>
        </w:rPr>
      </w:pPr>
    </w:p>
    <w:p w14:paraId="211CBB6B">
      <w:pPr>
        <w:pStyle w:val="11"/>
        <w:keepNext w:val="0"/>
        <w:keepLines w:val="0"/>
        <w:pageBreakBefore w:val="0"/>
        <w:widowControl w:val="0"/>
        <w:kinsoku/>
        <w:overflowPunct/>
        <w:bidi w:val="0"/>
        <w:rPr>
          <w:rFonts w:hint="eastAsia" w:ascii="宋体" w:hAnsi="宋体" w:eastAsia="宋体" w:cs="宋体"/>
          <w:color w:val="auto"/>
          <w:highlight w:val="none"/>
        </w:rPr>
      </w:pPr>
    </w:p>
    <w:p w14:paraId="757A38B0">
      <w:pPr>
        <w:pStyle w:val="35"/>
        <w:keepNext w:val="0"/>
        <w:keepLines w:val="0"/>
        <w:pageBreakBefore w:val="0"/>
        <w:widowControl w:val="0"/>
        <w:kinsoku/>
        <w:overflowPunct/>
        <w:bidi w:val="0"/>
        <w:rPr>
          <w:rFonts w:hint="eastAsia" w:ascii="宋体" w:hAnsi="宋体" w:eastAsia="宋体" w:cs="宋体"/>
          <w:color w:val="auto"/>
          <w:highlight w:val="none"/>
        </w:rPr>
      </w:pPr>
    </w:p>
    <w:p w14:paraId="2463FA29">
      <w:pPr>
        <w:keepNext w:val="0"/>
        <w:keepLines w:val="0"/>
        <w:pageBreakBefore w:val="0"/>
        <w:widowControl w:val="0"/>
        <w:tabs>
          <w:tab w:val="left" w:pos="5580"/>
        </w:tabs>
        <w:kinsoku/>
        <w:overflowPunct/>
        <w:bidi w:val="0"/>
        <w:spacing w:line="360" w:lineRule="exact"/>
        <w:jc w:val="center"/>
        <w:rPr>
          <w:rFonts w:hint="eastAsia" w:ascii="宋体" w:hAnsi="宋体" w:eastAsia="宋体" w:cs="宋体"/>
          <w:color w:val="auto"/>
          <w:sz w:val="24"/>
          <w:highlight w:val="none"/>
        </w:rPr>
      </w:pPr>
      <w:r>
        <w:rPr>
          <w:rFonts w:hint="eastAsia" w:ascii="宋体" w:hAnsi="宋体" w:cs="宋体"/>
          <w:b/>
          <w:bCs/>
          <w:color w:val="auto"/>
          <w:sz w:val="28"/>
          <w:szCs w:val="28"/>
          <w:highlight w:val="none"/>
          <w:lang w:val="en-US" w:eastAsia="zh-CN"/>
        </w:rPr>
        <w:t>9、投标保证金缴纳凭证或投标担保函</w:t>
      </w:r>
      <w:r>
        <w:rPr>
          <w:rFonts w:hint="eastAsia" w:ascii="宋体" w:hAnsi="宋体" w:eastAsia="宋体" w:cs="宋体"/>
          <w:color w:val="auto"/>
          <w:highlight w:val="none"/>
        </w:rPr>
        <w:br w:type="page"/>
      </w:r>
    </w:p>
    <w:bookmarkEnd w:id="287"/>
    <w:bookmarkEnd w:id="288"/>
    <w:bookmarkEnd w:id="289"/>
    <w:bookmarkEnd w:id="290"/>
    <w:p w14:paraId="7C0A2A05">
      <w:pPr>
        <w:pStyle w:val="3"/>
        <w:keepNext w:val="0"/>
        <w:keepLines w:val="0"/>
        <w:pageBreakBefore w:val="0"/>
        <w:widowControl w:val="0"/>
        <w:numPr>
          <w:ilvl w:val="0"/>
          <w:numId w:val="2"/>
        </w:numPr>
        <w:kinsoku/>
        <w:overflowPunct/>
        <w:bidi w:val="0"/>
        <w:spacing w:before="0" w:line="240" w:lineRule="atLeast"/>
        <w:ind w:left="1080" w:leftChars="257" w:hanging="540"/>
        <w:rPr>
          <w:rFonts w:hint="eastAsia" w:ascii="宋体" w:hAnsi="宋体" w:eastAsia="宋体" w:cs="宋体"/>
          <w:color w:val="auto"/>
          <w:sz w:val="28"/>
          <w:szCs w:val="21"/>
          <w:highlight w:val="none"/>
        </w:rPr>
      </w:pPr>
      <w:bookmarkStart w:id="301" w:name="_Toc515647816"/>
      <w:bookmarkStart w:id="302" w:name="_Toc11180"/>
      <w:bookmarkStart w:id="303" w:name="_Toc30317"/>
      <w:bookmarkStart w:id="304" w:name="_Toc22967"/>
      <w:r>
        <w:rPr>
          <w:rFonts w:hint="eastAsia" w:ascii="宋体" w:hAnsi="宋体" w:eastAsia="宋体" w:cs="宋体"/>
          <w:color w:val="auto"/>
          <w:sz w:val="24"/>
          <w:highlight w:val="none"/>
        </w:rPr>
        <w:t xml:space="preserve"> </w:t>
      </w:r>
      <w:r>
        <w:rPr>
          <w:rFonts w:hint="eastAsia" w:ascii="宋体" w:hAnsi="宋体" w:eastAsia="宋体" w:cs="宋体"/>
          <w:color w:val="auto"/>
          <w:sz w:val="28"/>
          <w:szCs w:val="21"/>
          <w:highlight w:val="none"/>
        </w:rPr>
        <w:t>商务及技术文件</w:t>
      </w:r>
      <w:bookmarkEnd w:id="301"/>
      <w:bookmarkEnd w:id="302"/>
      <w:bookmarkEnd w:id="303"/>
      <w:bookmarkEnd w:id="304"/>
    </w:p>
    <w:bookmarkEnd w:id="283"/>
    <w:bookmarkEnd w:id="284"/>
    <w:bookmarkEnd w:id="285"/>
    <w:bookmarkEnd w:id="286"/>
    <w:p w14:paraId="09A7A68F">
      <w:pPr>
        <w:pStyle w:val="16"/>
        <w:spacing w:line="400" w:lineRule="exact"/>
        <w:ind w:firstLine="480" w:firstLineChars="200"/>
        <w:rPr>
          <w:rFonts w:hint="eastAsia" w:hAnsi="宋体" w:cs="宋体"/>
          <w:color w:val="000000"/>
          <w:sz w:val="24"/>
          <w:szCs w:val="24"/>
        </w:rPr>
      </w:pPr>
      <w:r>
        <w:rPr>
          <w:rFonts w:hint="eastAsia" w:hAnsi="宋体" w:cs="宋体"/>
          <w:color w:val="000000"/>
          <w:sz w:val="24"/>
          <w:szCs w:val="24"/>
        </w:rPr>
        <w:t>1、磋商书</w:t>
      </w:r>
    </w:p>
    <w:p w14:paraId="3BE946D9">
      <w:pPr>
        <w:pStyle w:val="16"/>
        <w:spacing w:line="400" w:lineRule="exact"/>
        <w:ind w:firstLine="480" w:firstLineChars="200"/>
        <w:rPr>
          <w:rFonts w:hint="eastAsia" w:hAnsi="宋体" w:cs="宋体"/>
          <w:color w:val="000000"/>
          <w:sz w:val="24"/>
          <w:szCs w:val="24"/>
        </w:rPr>
      </w:pPr>
      <w:r>
        <w:rPr>
          <w:rFonts w:hint="eastAsia" w:hAnsi="宋体" w:cs="宋体"/>
          <w:color w:val="000000"/>
          <w:sz w:val="24"/>
          <w:szCs w:val="24"/>
        </w:rPr>
        <w:t>2、磋商分项报价表</w:t>
      </w:r>
    </w:p>
    <w:p w14:paraId="4AE309F4">
      <w:pPr>
        <w:pStyle w:val="16"/>
        <w:spacing w:line="400" w:lineRule="exact"/>
        <w:ind w:firstLine="480" w:firstLineChars="200"/>
        <w:rPr>
          <w:rFonts w:hint="eastAsia" w:hAnsi="宋体" w:cs="宋体"/>
          <w:color w:val="000000"/>
          <w:sz w:val="24"/>
          <w:szCs w:val="24"/>
        </w:rPr>
      </w:pPr>
      <w:r>
        <w:rPr>
          <w:rFonts w:hint="eastAsia" w:hAnsi="宋体" w:cs="宋体"/>
          <w:color w:val="000000"/>
          <w:sz w:val="24"/>
          <w:szCs w:val="24"/>
        </w:rPr>
        <w:t>3、服务说明一览表</w:t>
      </w:r>
    </w:p>
    <w:p w14:paraId="37C9F5D8">
      <w:pPr>
        <w:pStyle w:val="16"/>
        <w:spacing w:line="400" w:lineRule="exact"/>
        <w:ind w:firstLine="480" w:firstLineChars="200"/>
        <w:rPr>
          <w:rFonts w:hint="eastAsia" w:hAnsi="宋体" w:cs="宋体"/>
          <w:color w:val="000000"/>
          <w:sz w:val="24"/>
          <w:szCs w:val="24"/>
        </w:rPr>
      </w:pPr>
      <w:r>
        <w:rPr>
          <w:rFonts w:hint="eastAsia" w:hAnsi="宋体" w:cs="宋体"/>
          <w:color w:val="000000"/>
          <w:sz w:val="24"/>
          <w:szCs w:val="24"/>
        </w:rPr>
        <w:t>4、商务条款偏离表</w:t>
      </w:r>
    </w:p>
    <w:p w14:paraId="4A93CC63">
      <w:pPr>
        <w:pStyle w:val="16"/>
        <w:spacing w:line="400" w:lineRule="exact"/>
        <w:ind w:firstLine="480" w:firstLineChars="200"/>
        <w:rPr>
          <w:rFonts w:hint="eastAsia" w:hAnsi="宋体" w:cs="宋体"/>
          <w:color w:val="000000"/>
          <w:sz w:val="24"/>
          <w:szCs w:val="24"/>
        </w:rPr>
      </w:pPr>
      <w:r>
        <w:rPr>
          <w:rFonts w:hint="eastAsia" w:hAnsi="宋体" w:cs="宋体"/>
          <w:color w:val="000000"/>
          <w:sz w:val="24"/>
          <w:szCs w:val="24"/>
        </w:rPr>
        <w:t>5、投标人企业（单位）类型声明函</w:t>
      </w:r>
    </w:p>
    <w:p w14:paraId="6C216440">
      <w:pPr>
        <w:pStyle w:val="16"/>
        <w:spacing w:line="400" w:lineRule="exact"/>
        <w:ind w:firstLine="480" w:firstLineChars="200"/>
        <w:rPr>
          <w:rFonts w:hint="eastAsia" w:hAnsi="宋体" w:cs="宋体"/>
          <w:color w:val="000000"/>
          <w:sz w:val="24"/>
          <w:szCs w:val="24"/>
        </w:rPr>
      </w:pPr>
      <w:r>
        <w:rPr>
          <w:rFonts w:hint="eastAsia" w:hAnsi="宋体" w:cs="宋体"/>
          <w:color w:val="000000"/>
          <w:sz w:val="24"/>
          <w:szCs w:val="24"/>
        </w:rPr>
        <w:t>5-1、中小企业声明函</w:t>
      </w:r>
    </w:p>
    <w:p w14:paraId="72A11A71">
      <w:pPr>
        <w:pStyle w:val="16"/>
        <w:spacing w:line="400" w:lineRule="exact"/>
        <w:ind w:firstLine="480" w:firstLineChars="200"/>
        <w:rPr>
          <w:rFonts w:hint="eastAsia" w:ascii="宋体" w:hAnsi="宋体" w:eastAsia="宋体" w:cs="宋体"/>
          <w:color w:val="000000"/>
          <w:sz w:val="24"/>
          <w:szCs w:val="24"/>
        </w:rPr>
      </w:pPr>
      <w:r>
        <w:rPr>
          <w:rFonts w:hint="eastAsia" w:hAnsi="宋体" w:cs="宋体"/>
          <w:color w:val="000000"/>
          <w:sz w:val="24"/>
          <w:szCs w:val="24"/>
        </w:rPr>
        <w:t>6</w:t>
      </w:r>
      <w:r>
        <w:rPr>
          <w:rFonts w:hint="eastAsia" w:ascii="宋体" w:hAnsi="宋体" w:eastAsia="宋体" w:cs="宋体"/>
          <w:color w:val="000000"/>
          <w:sz w:val="24"/>
          <w:szCs w:val="24"/>
        </w:rPr>
        <w:t>、供应商关联单位的说明</w:t>
      </w:r>
    </w:p>
    <w:p w14:paraId="7F9FA406">
      <w:pPr>
        <w:pStyle w:val="16"/>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7</w:t>
      </w:r>
      <w:r>
        <w:rPr>
          <w:rFonts w:hint="eastAsia" w:ascii="宋体" w:hAnsi="宋体" w:eastAsia="宋体" w:cs="宋体"/>
          <w:color w:val="000000"/>
          <w:sz w:val="24"/>
          <w:szCs w:val="24"/>
        </w:rPr>
        <w:t>、近三年(具体指</w:t>
      </w:r>
      <w:r>
        <w:rPr>
          <w:rFonts w:hint="eastAsia" w:hAnsi="宋体" w:cs="宋体"/>
          <w:color w:val="000000"/>
          <w:sz w:val="24"/>
          <w:szCs w:val="24"/>
          <w:lang w:eastAsia="zh-CN"/>
        </w:rPr>
        <w:t>2023年6月1日</w:t>
      </w:r>
      <w:r>
        <w:rPr>
          <w:rFonts w:hint="eastAsia" w:ascii="宋体" w:hAnsi="宋体" w:eastAsia="宋体" w:cs="宋体"/>
          <w:color w:val="000000"/>
          <w:sz w:val="24"/>
          <w:szCs w:val="24"/>
        </w:rPr>
        <w:t>至本项目投标截止之日) 同类项目业绩一览表</w:t>
      </w:r>
    </w:p>
    <w:p w14:paraId="7A9D9CC6">
      <w:pPr>
        <w:pStyle w:val="16"/>
        <w:spacing w:line="400" w:lineRule="exact"/>
        <w:ind w:firstLine="480" w:firstLineChars="20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8、项目组组成人员</w:t>
      </w:r>
    </w:p>
    <w:p w14:paraId="44730D8A">
      <w:pPr>
        <w:pStyle w:val="16"/>
        <w:spacing w:line="400" w:lineRule="exact"/>
        <w:ind w:firstLine="480" w:firstLineChars="200"/>
        <w:rPr>
          <w:rFonts w:hint="default" w:ascii="宋体" w:hAnsi="宋体" w:eastAsia="宋体" w:cs="宋体"/>
          <w:color w:val="000000"/>
          <w:sz w:val="24"/>
          <w:szCs w:val="24"/>
          <w:lang w:val="en-US" w:eastAsia="zh-CN"/>
        </w:rPr>
      </w:pPr>
      <w:r>
        <w:rPr>
          <w:rFonts w:hint="eastAsia" w:hAnsi="宋体" w:cs="宋体"/>
          <w:color w:val="000000"/>
          <w:sz w:val="24"/>
          <w:szCs w:val="24"/>
          <w:lang w:val="en-US" w:eastAsia="zh-CN"/>
        </w:rPr>
        <w:t>9、</w:t>
      </w:r>
      <w:r>
        <w:rPr>
          <w:rFonts w:hint="default" w:ascii="宋体" w:hAnsi="宋体" w:eastAsia="宋体" w:cs="宋体"/>
          <w:color w:val="000000"/>
          <w:sz w:val="24"/>
          <w:szCs w:val="24"/>
          <w:lang w:val="en-US" w:eastAsia="zh-CN"/>
        </w:rPr>
        <w:t>完成履约的设备</w:t>
      </w:r>
    </w:p>
    <w:p w14:paraId="206CEB47">
      <w:pPr>
        <w:pStyle w:val="16"/>
        <w:spacing w:line="400" w:lineRule="exact"/>
        <w:ind w:firstLine="480" w:firstLineChars="200"/>
        <w:rPr>
          <w:rFonts w:hint="eastAsia" w:ascii="宋体" w:hAnsi="宋体" w:eastAsia="宋体" w:cs="宋体"/>
          <w:color w:val="000000"/>
          <w:sz w:val="24"/>
          <w:szCs w:val="24"/>
        </w:rPr>
      </w:pPr>
      <w:r>
        <w:rPr>
          <w:rFonts w:hint="eastAsia" w:hAnsi="宋体" w:cs="宋体"/>
          <w:color w:val="000000"/>
          <w:sz w:val="24"/>
          <w:szCs w:val="24"/>
          <w:lang w:val="en-US" w:eastAsia="zh-CN"/>
        </w:rPr>
        <w:t>10</w:t>
      </w: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实施方案</w:t>
      </w:r>
      <w:r>
        <w:rPr>
          <w:rFonts w:hint="eastAsia" w:ascii="宋体" w:hAnsi="宋体" w:eastAsia="宋体" w:cs="宋体"/>
          <w:color w:val="000000"/>
          <w:sz w:val="24"/>
          <w:szCs w:val="24"/>
        </w:rPr>
        <w:t xml:space="preserve"> </w:t>
      </w:r>
    </w:p>
    <w:p w14:paraId="7D5C31DA">
      <w:pPr>
        <w:pStyle w:val="16"/>
        <w:spacing w:line="400" w:lineRule="exact"/>
        <w:ind w:firstLine="480" w:firstLineChars="200"/>
        <w:rPr>
          <w:rFonts w:hint="eastAsia" w:ascii="宋体" w:hAnsi="宋体" w:eastAsia="宋体" w:cs="宋体"/>
          <w:color w:val="000000"/>
          <w:sz w:val="24"/>
          <w:szCs w:val="24"/>
        </w:rPr>
      </w:pPr>
      <w:r>
        <w:rPr>
          <w:rFonts w:hint="eastAsia" w:hAnsi="宋体" w:cs="宋体"/>
          <w:color w:val="000000"/>
          <w:sz w:val="24"/>
          <w:szCs w:val="24"/>
          <w:lang w:val="en-US" w:eastAsia="zh-CN"/>
        </w:rPr>
        <w:t>11</w:t>
      </w: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项目管理机构</w:t>
      </w:r>
    </w:p>
    <w:p w14:paraId="3342DB76">
      <w:pPr>
        <w:pStyle w:val="16"/>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w:t>
      </w:r>
      <w:r>
        <w:rPr>
          <w:rFonts w:hint="eastAsia" w:hAnsi="宋体" w:cs="宋体"/>
          <w:color w:val="000000"/>
          <w:sz w:val="24"/>
          <w:szCs w:val="24"/>
          <w:lang w:val="en-US" w:eastAsia="zh-CN"/>
        </w:rPr>
        <w:t>2</w:t>
      </w: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应急方案</w:t>
      </w:r>
    </w:p>
    <w:p w14:paraId="7A79EDE3">
      <w:pPr>
        <w:pStyle w:val="16"/>
        <w:spacing w:line="400" w:lineRule="exact"/>
        <w:ind w:firstLine="480" w:firstLineChars="200"/>
        <w:rPr>
          <w:rFonts w:hint="eastAsia" w:ascii="宋体" w:hAnsi="宋体" w:eastAsia="宋体" w:cs="宋体"/>
          <w:color w:val="000000"/>
          <w:sz w:val="24"/>
          <w:szCs w:val="24"/>
          <w:lang w:eastAsia="zh-CN"/>
        </w:rPr>
      </w:pPr>
      <w:r>
        <w:rPr>
          <w:rFonts w:hint="eastAsia" w:hAnsi="宋体" w:cs="宋体"/>
          <w:color w:val="000000"/>
          <w:sz w:val="24"/>
          <w:szCs w:val="24"/>
          <w:lang w:val="en-US" w:eastAsia="zh-CN"/>
        </w:rPr>
        <w:t>13</w:t>
      </w:r>
      <w:r>
        <w:rPr>
          <w:rFonts w:hint="eastAsia" w:ascii="宋体" w:hAnsi="宋体" w:eastAsia="宋体" w:cs="宋体"/>
          <w:color w:val="000000"/>
          <w:sz w:val="24"/>
          <w:szCs w:val="24"/>
        </w:rPr>
        <w:t>、投标文件还应包括投标人须知第10条的所有技术文件</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如有</w:t>
      </w:r>
      <w:r>
        <w:rPr>
          <w:rFonts w:hint="eastAsia" w:ascii="宋体" w:hAnsi="宋体" w:eastAsia="宋体" w:cs="宋体"/>
          <w:color w:val="000000"/>
          <w:sz w:val="24"/>
          <w:szCs w:val="24"/>
          <w:lang w:eastAsia="zh-CN"/>
        </w:rPr>
        <w:t>）</w:t>
      </w:r>
    </w:p>
    <w:p w14:paraId="481B9F54">
      <w:pPr>
        <w:pStyle w:val="16"/>
        <w:spacing w:line="400" w:lineRule="exact"/>
        <w:ind w:firstLine="480" w:firstLineChars="200"/>
        <w:rPr>
          <w:rFonts w:hint="eastAsia" w:hAnsi="宋体" w:cs="宋体"/>
          <w:color w:val="000000"/>
          <w:sz w:val="24"/>
          <w:szCs w:val="24"/>
        </w:rPr>
      </w:pPr>
    </w:p>
    <w:p w14:paraId="204741AC">
      <w:pPr>
        <w:pStyle w:val="3"/>
        <w:spacing w:before="0" w:line="240" w:lineRule="atLeast"/>
        <w:rPr>
          <w:rFonts w:hint="eastAsia" w:ascii="宋体" w:hAnsi="宋体" w:eastAsia="宋体" w:cs="宋体"/>
          <w:color w:val="000000"/>
          <w:sz w:val="24"/>
        </w:rPr>
      </w:pPr>
      <w:r>
        <w:rPr>
          <w:rFonts w:hint="eastAsia" w:ascii="宋体" w:hAnsi="宋体" w:eastAsia="宋体" w:cs="宋体"/>
          <w:color w:val="000000"/>
          <w:sz w:val="24"/>
          <w:szCs w:val="24"/>
        </w:rPr>
        <w:br w:type="page"/>
      </w:r>
      <w:bookmarkStart w:id="305" w:name="_Toc12852"/>
      <w:bookmarkStart w:id="306" w:name="_Toc14915"/>
      <w:bookmarkStart w:id="307" w:name="_Toc11475"/>
      <w:bookmarkStart w:id="308" w:name="_Toc515647817"/>
      <w:bookmarkStart w:id="309" w:name="_Toc22432"/>
      <w:bookmarkStart w:id="310" w:name="_Toc18506"/>
      <w:bookmarkStart w:id="311" w:name="_Toc18614"/>
      <w:bookmarkStart w:id="312" w:name="_Toc2041"/>
      <w:bookmarkStart w:id="313" w:name="_Toc8940"/>
      <w:bookmarkStart w:id="314" w:name="_Toc17319"/>
      <w:bookmarkStart w:id="315" w:name="_Toc14858"/>
      <w:r>
        <w:rPr>
          <w:rFonts w:hint="eastAsia" w:ascii="宋体" w:hAnsi="宋体" w:eastAsia="宋体" w:cs="宋体"/>
          <w:color w:val="000000"/>
          <w:sz w:val="24"/>
          <w:szCs w:val="24"/>
        </w:rPr>
        <w:t>1</w:t>
      </w:r>
      <w:bookmarkStart w:id="316" w:name="_Hlt520355504"/>
      <w:bookmarkEnd w:id="316"/>
      <w:r>
        <w:rPr>
          <w:rFonts w:hint="eastAsia" w:ascii="宋体" w:hAnsi="宋体" w:eastAsia="宋体" w:cs="宋体"/>
          <w:color w:val="000000"/>
          <w:sz w:val="24"/>
          <w:szCs w:val="24"/>
        </w:rPr>
        <w:t>、磋商书</w:t>
      </w:r>
      <w:bookmarkEnd w:id="305"/>
      <w:bookmarkEnd w:id="306"/>
      <w:bookmarkEnd w:id="307"/>
      <w:bookmarkEnd w:id="308"/>
      <w:bookmarkEnd w:id="309"/>
      <w:bookmarkEnd w:id="310"/>
      <w:bookmarkEnd w:id="311"/>
      <w:bookmarkEnd w:id="312"/>
      <w:bookmarkEnd w:id="313"/>
      <w:bookmarkEnd w:id="314"/>
      <w:bookmarkEnd w:id="315"/>
    </w:p>
    <w:p w14:paraId="1E3F5F27">
      <w:pPr>
        <w:tabs>
          <w:tab w:val="left" w:pos="5580"/>
        </w:tabs>
        <w:spacing w:line="360" w:lineRule="exact"/>
        <w:ind w:left="1080" w:hanging="1080"/>
        <w:rPr>
          <w:rFonts w:hint="eastAsia" w:ascii="宋体" w:hAnsi="宋体" w:cs="宋体"/>
          <w:color w:val="000000"/>
          <w:sz w:val="24"/>
        </w:rPr>
      </w:pPr>
      <w:r>
        <w:rPr>
          <w:rFonts w:hint="eastAsia" w:ascii="宋体" w:hAnsi="宋体" w:cs="宋体"/>
          <w:color w:val="000000"/>
          <w:sz w:val="24"/>
        </w:rPr>
        <w:t>致：</w:t>
      </w:r>
      <w:r>
        <w:rPr>
          <w:rFonts w:hint="eastAsia" w:ascii="宋体" w:hAnsi="宋体" w:cs="宋体"/>
          <w:color w:val="000000"/>
          <w:sz w:val="24"/>
          <w:u w:val="single"/>
        </w:rPr>
        <w:t>采购代理机构</w:t>
      </w:r>
    </w:p>
    <w:p w14:paraId="7281D705">
      <w:pPr>
        <w:pStyle w:val="16"/>
        <w:tabs>
          <w:tab w:val="left" w:pos="5580"/>
        </w:tabs>
        <w:spacing w:line="360" w:lineRule="exact"/>
        <w:ind w:left="2" w:leftChars="1" w:firstLine="480" w:firstLineChars="200"/>
        <w:rPr>
          <w:rFonts w:hint="eastAsia" w:hAnsi="宋体" w:cs="宋体"/>
          <w:color w:val="000000"/>
          <w:sz w:val="24"/>
          <w:szCs w:val="24"/>
        </w:rPr>
      </w:pPr>
      <w:r>
        <w:rPr>
          <w:rFonts w:hint="eastAsia" w:hAnsi="宋体" w:cs="宋体"/>
          <w:sz w:val="24"/>
        </w:rPr>
        <w:t>根据贵方(</w:t>
      </w:r>
      <w:r>
        <w:rPr>
          <w:rFonts w:hint="eastAsia" w:hAnsi="宋体" w:cs="宋体"/>
          <w:i/>
          <w:sz w:val="24"/>
          <w:u w:val="single"/>
        </w:rPr>
        <w:t>项目名称</w:t>
      </w:r>
      <w:r>
        <w:rPr>
          <w:rFonts w:hint="eastAsia" w:hAnsi="宋体" w:cs="宋体"/>
          <w:sz w:val="24"/>
        </w:rPr>
        <w:t>)项目的投标邀请(</w:t>
      </w:r>
      <w:r>
        <w:rPr>
          <w:rFonts w:hint="eastAsia" w:hAnsi="宋体" w:cs="宋体"/>
          <w:i/>
          <w:sz w:val="24"/>
          <w:u w:val="single"/>
        </w:rPr>
        <w:t>招标编号</w:t>
      </w:r>
      <w:r>
        <w:rPr>
          <w:rFonts w:hint="eastAsia" w:hAnsi="宋体" w:cs="宋体"/>
          <w:sz w:val="24"/>
        </w:rPr>
        <w:t>),签字代表(</w:t>
      </w:r>
      <w:r>
        <w:rPr>
          <w:rFonts w:hint="eastAsia" w:hAnsi="宋体" w:cs="宋体"/>
          <w:i/>
          <w:sz w:val="24"/>
          <w:u w:val="single"/>
        </w:rPr>
        <w:t>姓名、职务</w:t>
      </w:r>
      <w:r>
        <w:rPr>
          <w:rFonts w:hint="eastAsia" w:hAnsi="宋体" w:cs="宋体"/>
          <w:sz w:val="24"/>
        </w:rPr>
        <w:t>)经正式授权并代表投标人（</w:t>
      </w:r>
      <w:r>
        <w:rPr>
          <w:rFonts w:hint="eastAsia" w:hAnsi="宋体" w:cs="宋体"/>
          <w:i/>
          <w:sz w:val="24"/>
          <w:u w:val="single"/>
        </w:rPr>
        <w:t>名称、地址</w:t>
      </w:r>
      <w:r>
        <w:rPr>
          <w:rFonts w:hint="eastAsia" w:hAnsi="宋体" w:cs="宋体"/>
          <w:sz w:val="24"/>
        </w:rPr>
        <w:t>），</w:t>
      </w:r>
      <w:r>
        <w:rPr>
          <w:rFonts w:hint="eastAsia" w:hAnsi="宋体" w:cs="宋体"/>
          <w:color w:val="000000"/>
          <w:sz w:val="24"/>
          <w:szCs w:val="24"/>
        </w:rPr>
        <w:t>并以</w:t>
      </w:r>
      <w:r>
        <w:rPr>
          <w:rFonts w:hint="eastAsia" w:hAnsi="宋体" w:cs="宋体"/>
          <w:color w:val="000000"/>
          <w:sz w:val="24"/>
          <w:szCs w:val="24"/>
          <w:u w:val="single"/>
        </w:rPr>
        <w:t xml:space="preserve">         </w:t>
      </w:r>
      <w:r>
        <w:rPr>
          <w:rFonts w:hint="eastAsia" w:hAnsi="宋体" w:cs="宋体"/>
          <w:color w:val="000000"/>
          <w:sz w:val="24"/>
          <w:szCs w:val="24"/>
        </w:rPr>
        <w:t>形式出具的金额为人民币</w:t>
      </w:r>
      <w:r>
        <w:rPr>
          <w:rFonts w:hint="eastAsia" w:hAnsi="宋体" w:cs="宋体"/>
          <w:color w:val="000000"/>
          <w:sz w:val="24"/>
          <w:szCs w:val="24"/>
          <w:u w:val="single"/>
        </w:rPr>
        <w:t>　　　　</w:t>
      </w:r>
      <w:r>
        <w:rPr>
          <w:rFonts w:hint="eastAsia" w:hAnsi="宋体" w:cs="宋体"/>
          <w:color w:val="000000"/>
          <w:sz w:val="24"/>
          <w:szCs w:val="24"/>
        </w:rPr>
        <w:t>元的磋商保证金。</w:t>
      </w:r>
    </w:p>
    <w:p w14:paraId="3AE338A8">
      <w:pPr>
        <w:pStyle w:val="16"/>
        <w:tabs>
          <w:tab w:val="left" w:pos="5580"/>
        </w:tabs>
        <w:spacing w:line="360" w:lineRule="exact"/>
        <w:ind w:left="1080" w:leftChars="257" w:hanging="540"/>
        <w:rPr>
          <w:rFonts w:hint="eastAsia" w:hAnsi="宋体" w:cs="宋体"/>
          <w:color w:val="000000"/>
          <w:sz w:val="24"/>
          <w:szCs w:val="24"/>
        </w:rPr>
      </w:pPr>
      <w:r>
        <w:rPr>
          <w:rFonts w:hint="eastAsia" w:hAnsi="宋体" w:cs="宋体"/>
          <w:color w:val="000000"/>
          <w:sz w:val="24"/>
          <w:szCs w:val="24"/>
        </w:rPr>
        <w:t>据此，签字代表宣布同意如下：</w:t>
      </w:r>
    </w:p>
    <w:p w14:paraId="5930DD94">
      <w:pPr>
        <w:pStyle w:val="16"/>
        <w:tabs>
          <w:tab w:val="left" w:pos="720"/>
          <w:tab w:val="left" w:pos="900"/>
        </w:tabs>
        <w:spacing w:line="240" w:lineRule="atLeast"/>
        <w:ind w:left="769" w:leftChars="257" w:hanging="229"/>
        <w:rPr>
          <w:rFonts w:hint="eastAsia" w:hAnsi="宋体" w:cs="宋体"/>
          <w:color w:val="000000"/>
          <w:sz w:val="24"/>
          <w:szCs w:val="24"/>
          <w:u w:val="single"/>
        </w:rPr>
      </w:pPr>
      <w:r>
        <w:rPr>
          <w:rFonts w:hint="eastAsia" w:hAnsi="宋体" w:cs="宋体"/>
          <w:color w:val="000000"/>
          <w:sz w:val="24"/>
          <w:szCs w:val="24"/>
        </w:rPr>
        <w:t>（1）附投标价格表中规定的应提供服务的投标总价详见开标一览表，价格为</w:t>
      </w:r>
      <w:r>
        <w:rPr>
          <w:rFonts w:hint="eastAsia" w:hAnsi="宋体" w:cs="宋体"/>
          <w:color w:val="000000"/>
          <w:sz w:val="24"/>
          <w:szCs w:val="24"/>
          <w:u w:val="single"/>
        </w:rPr>
        <w:t>　　      （用文字和数字表示）</w:t>
      </w:r>
      <w:r>
        <w:rPr>
          <w:rFonts w:hint="eastAsia" w:hAnsi="宋体" w:cs="宋体"/>
          <w:color w:val="000000"/>
          <w:sz w:val="24"/>
          <w:szCs w:val="24"/>
        </w:rPr>
        <w:t>。</w:t>
      </w:r>
    </w:p>
    <w:p w14:paraId="094666C3">
      <w:pPr>
        <w:pStyle w:val="16"/>
        <w:tabs>
          <w:tab w:val="left" w:pos="5580"/>
        </w:tabs>
        <w:spacing w:line="240" w:lineRule="atLeast"/>
        <w:ind w:left="1080" w:leftChars="257" w:hanging="540"/>
        <w:rPr>
          <w:rFonts w:hint="eastAsia" w:hAnsi="宋体" w:cs="宋体"/>
          <w:color w:val="000000"/>
          <w:sz w:val="24"/>
          <w:szCs w:val="24"/>
        </w:rPr>
      </w:pPr>
      <w:r>
        <w:rPr>
          <w:rFonts w:hint="eastAsia" w:hAnsi="宋体" w:cs="宋体"/>
          <w:color w:val="000000"/>
          <w:sz w:val="24"/>
          <w:szCs w:val="24"/>
        </w:rPr>
        <w:t>（2）本磋商有效期为自磋商截止之日起</w:t>
      </w:r>
      <w:r>
        <w:rPr>
          <w:rFonts w:hint="eastAsia" w:hAnsi="宋体" w:cs="宋体"/>
          <w:color w:val="000000"/>
          <w:sz w:val="24"/>
          <w:szCs w:val="24"/>
          <w:u w:val="single"/>
        </w:rPr>
        <w:t xml:space="preserve">          </w:t>
      </w:r>
      <w:r>
        <w:rPr>
          <w:rFonts w:hint="eastAsia" w:hAnsi="宋体" w:cs="宋体"/>
          <w:color w:val="000000"/>
          <w:sz w:val="24"/>
          <w:szCs w:val="24"/>
        </w:rPr>
        <w:t>个日历日。</w:t>
      </w:r>
    </w:p>
    <w:p w14:paraId="49A8B4D6">
      <w:pPr>
        <w:pStyle w:val="16"/>
        <w:tabs>
          <w:tab w:val="left" w:pos="5580"/>
        </w:tabs>
        <w:spacing w:line="240" w:lineRule="atLeast"/>
        <w:ind w:left="1080" w:leftChars="257" w:hanging="540"/>
        <w:rPr>
          <w:rFonts w:hint="eastAsia" w:hAnsi="宋体" w:cs="宋体"/>
          <w:color w:val="000000"/>
          <w:sz w:val="24"/>
          <w:szCs w:val="24"/>
        </w:rPr>
      </w:pPr>
      <w:r>
        <w:rPr>
          <w:rFonts w:hint="eastAsia" w:hAnsi="宋体" w:cs="宋体"/>
          <w:color w:val="000000"/>
          <w:sz w:val="24"/>
          <w:szCs w:val="24"/>
        </w:rPr>
        <w:t>（3）联合体中的大中型企业和其他自然人、法人或者非法人组织，与联合体中的小型、微型企业之间</w:t>
      </w:r>
      <w:r>
        <w:rPr>
          <w:rFonts w:hint="eastAsia" w:hAnsi="宋体" w:cs="宋体"/>
          <w:color w:val="000000"/>
          <w:sz w:val="24"/>
          <w:szCs w:val="24"/>
          <w:u w:val="single"/>
        </w:rPr>
        <w:t xml:space="preserve">     （</w:t>
      </w:r>
      <w:r>
        <w:rPr>
          <w:rFonts w:hint="eastAsia" w:hAnsi="宋体" w:cs="宋体"/>
          <w:color w:val="000000"/>
          <w:sz w:val="24"/>
          <w:szCs w:val="24"/>
        </w:rPr>
        <w:t>存在、不存在）投资关系（如果是联合体的话）。</w:t>
      </w:r>
    </w:p>
    <w:p w14:paraId="7B951B52">
      <w:pPr>
        <w:pStyle w:val="16"/>
        <w:tabs>
          <w:tab w:val="left" w:pos="5580"/>
        </w:tabs>
        <w:spacing w:line="240" w:lineRule="atLeast"/>
        <w:ind w:left="1080" w:leftChars="257" w:hanging="540"/>
        <w:rPr>
          <w:rFonts w:hint="eastAsia" w:hAnsi="宋体" w:cs="宋体"/>
          <w:color w:val="000000"/>
          <w:sz w:val="24"/>
          <w:szCs w:val="24"/>
        </w:rPr>
      </w:pPr>
      <w:r>
        <w:rPr>
          <w:rFonts w:hint="eastAsia" w:hAnsi="宋体" w:cs="宋体"/>
          <w:color w:val="000000"/>
          <w:sz w:val="24"/>
          <w:szCs w:val="24"/>
        </w:rPr>
        <w:t>（4）已详细审查全部磋商文件，包括所有补充通知（如果有的话），完全理解并同意放弃对这方面有不明、误解和质疑的权力。</w:t>
      </w:r>
    </w:p>
    <w:p w14:paraId="216A4C73">
      <w:pPr>
        <w:pStyle w:val="16"/>
        <w:tabs>
          <w:tab w:val="left" w:pos="5580"/>
        </w:tabs>
        <w:spacing w:line="240" w:lineRule="atLeast"/>
        <w:ind w:left="1080" w:leftChars="257" w:hanging="540"/>
        <w:rPr>
          <w:rFonts w:hint="eastAsia" w:hAnsi="宋体" w:cs="宋体"/>
          <w:color w:val="000000"/>
          <w:sz w:val="24"/>
          <w:szCs w:val="24"/>
        </w:rPr>
      </w:pPr>
      <w:r>
        <w:rPr>
          <w:rFonts w:hint="eastAsia" w:hAnsi="宋体" w:cs="宋体"/>
          <w:color w:val="000000"/>
          <w:sz w:val="24"/>
          <w:szCs w:val="24"/>
        </w:rPr>
        <w:t>（5）在规定的磋商开启时间后，遵守磋商文件中有关保证金的规定。</w:t>
      </w:r>
    </w:p>
    <w:p w14:paraId="33588EE3">
      <w:pPr>
        <w:pStyle w:val="16"/>
        <w:tabs>
          <w:tab w:val="left" w:pos="5580"/>
        </w:tabs>
        <w:spacing w:line="240" w:lineRule="atLeast"/>
        <w:ind w:left="1080" w:leftChars="257" w:hanging="540"/>
        <w:rPr>
          <w:rFonts w:hint="eastAsia" w:hAnsi="宋体" w:cs="宋体"/>
          <w:color w:val="000000"/>
          <w:sz w:val="24"/>
          <w:szCs w:val="24"/>
        </w:rPr>
      </w:pPr>
      <w:r>
        <w:rPr>
          <w:rFonts w:hint="eastAsia" w:hAnsi="宋体" w:cs="宋体"/>
          <w:color w:val="000000"/>
          <w:sz w:val="24"/>
          <w:szCs w:val="24"/>
        </w:rPr>
        <w:t>（6）我方不是为本项目提供整体设计、规范编制或者项目管理、监理、检测等要求的供应商，我方不是采购代理机构的附属机构。</w:t>
      </w:r>
    </w:p>
    <w:p w14:paraId="3B870F6C">
      <w:pPr>
        <w:pStyle w:val="16"/>
        <w:tabs>
          <w:tab w:val="left" w:pos="5580"/>
        </w:tabs>
        <w:spacing w:line="240" w:lineRule="atLeast"/>
        <w:ind w:left="1080" w:leftChars="257" w:hanging="540"/>
        <w:rPr>
          <w:rFonts w:hint="eastAsia" w:hAnsi="宋体" w:cs="宋体"/>
          <w:color w:val="000000"/>
          <w:sz w:val="24"/>
          <w:szCs w:val="24"/>
        </w:rPr>
      </w:pPr>
      <w:r>
        <w:rPr>
          <w:rFonts w:hint="eastAsia" w:hAnsi="宋体" w:cs="宋体"/>
          <w:color w:val="000000"/>
          <w:sz w:val="24"/>
          <w:szCs w:val="24"/>
        </w:rPr>
        <w:t>（7）在领取成交通知书的同时按磋商文件规定的形式，向贵方一次性支付成交服务费。</w:t>
      </w:r>
    </w:p>
    <w:p w14:paraId="798910A6">
      <w:pPr>
        <w:pStyle w:val="16"/>
        <w:tabs>
          <w:tab w:val="left" w:pos="5580"/>
        </w:tabs>
        <w:spacing w:line="240" w:lineRule="atLeast"/>
        <w:ind w:left="1080" w:leftChars="257" w:hanging="540"/>
        <w:rPr>
          <w:rFonts w:hint="eastAsia" w:hAnsi="宋体" w:cs="宋体"/>
          <w:color w:val="000000"/>
          <w:sz w:val="24"/>
          <w:szCs w:val="24"/>
        </w:rPr>
      </w:pPr>
      <w:r>
        <w:rPr>
          <w:rFonts w:hint="eastAsia" w:hAnsi="宋体" w:cs="宋体"/>
          <w:color w:val="000000"/>
          <w:sz w:val="24"/>
          <w:szCs w:val="24"/>
        </w:rPr>
        <w:t>（8）按照贵方可能要求，提供与其磋商有关的一切数据或资料，完全理解贵方不一定接受最低价的磋商或收到的任何磋商。</w:t>
      </w:r>
    </w:p>
    <w:p w14:paraId="03E942FB">
      <w:pPr>
        <w:pStyle w:val="16"/>
        <w:tabs>
          <w:tab w:val="left" w:pos="5580"/>
        </w:tabs>
        <w:spacing w:line="240" w:lineRule="atLeast"/>
        <w:ind w:left="1080" w:leftChars="257" w:hanging="540"/>
        <w:rPr>
          <w:rFonts w:hint="eastAsia" w:hAnsi="宋体" w:cs="宋体"/>
          <w:color w:val="000000"/>
          <w:sz w:val="24"/>
          <w:szCs w:val="24"/>
        </w:rPr>
      </w:pPr>
      <w:r>
        <w:rPr>
          <w:rFonts w:hint="eastAsia" w:hAnsi="宋体" w:cs="宋体"/>
          <w:color w:val="000000"/>
          <w:sz w:val="24"/>
          <w:szCs w:val="24"/>
        </w:rPr>
        <w:t>（9）按照磋商文件的规定履行合同责任和义务。</w:t>
      </w:r>
    </w:p>
    <w:p w14:paraId="6DEA2F8E">
      <w:pPr>
        <w:pStyle w:val="16"/>
        <w:tabs>
          <w:tab w:val="left" w:pos="5580"/>
        </w:tabs>
        <w:spacing w:line="240" w:lineRule="atLeast"/>
        <w:ind w:left="359" w:leftChars="68" w:hanging="216" w:hangingChars="90"/>
        <w:rPr>
          <w:rFonts w:hint="eastAsia" w:hAnsi="宋体" w:cs="宋体"/>
          <w:color w:val="000000"/>
          <w:sz w:val="24"/>
          <w:szCs w:val="24"/>
        </w:rPr>
      </w:pPr>
      <w:r>
        <w:rPr>
          <w:rFonts w:hint="eastAsia" w:hAnsi="宋体" w:cs="宋体"/>
          <w:color w:val="000000"/>
          <w:sz w:val="24"/>
          <w:szCs w:val="24"/>
        </w:rPr>
        <w:t xml:space="preserve">  与本磋商有关的一切正式往来信函请寄：</w:t>
      </w:r>
    </w:p>
    <w:p w14:paraId="55F3EC16">
      <w:pPr>
        <w:pStyle w:val="16"/>
        <w:tabs>
          <w:tab w:val="left" w:pos="5580"/>
        </w:tabs>
        <w:spacing w:line="240" w:lineRule="atLeast"/>
        <w:ind w:left="1080" w:leftChars="257" w:hanging="540"/>
        <w:rPr>
          <w:rFonts w:hint="eastAsia" w:hAnsi="宋体" w:cs="宋体"/>
          <w:color w:val="000000"/>
          <w:sz w:val="24"/>
          <w:szCs w:val="24"/>
        </w:rPr>
      </w:pPr>
      <w:r>
        <w:rPr>
          <w:rFonts w:hint="eastAsia" w:hAnsi="宋体" w:cs="宋体"/>
          <w:color w:val="000000"/>
          <w:sz w:val="24"/>
          <w:szCs w:val="24"/>
        </w:rPr>
        <w:t>地址</w:t>
      </w:r>
      <w:r>
        <w:rPr>
          <w:rFonts w:hint="eastAsia" w:hAnsi="宋体" w:cs="宋体"/>
          <w:color w:val="000000"/>
          <w:sz w:val="24"/>
          <w:szCs w:val="24"/>
          <w:u w:val="single"/>
        </w:rPr>
        <w:t xml:space="preserve">                         </w:t>
      </w:r>
      <w:r>
        <w:rPr>
          <w:rFonts w:hint="eastAsia" w:hAnsi="宋体" w:cs="宋体"/>
          <w:color w:val="000000"/>
          <w:sz w:val="24"/>
          <w:szCs w:val="24"/>
        </w:rPr>
        <w:t xml:space="preserve">     传真</w:t>
      </w:r>
      <w:r>
        <w:rPr>
          <w:rFonts w:hint="eastAsia" w:hAnsi="宋体" w:cs="宋体"/>
          <w:color w:val="000000"/>
          <w:sz w:val="24"/>
          <w:szCs w:val="24"/>
          <w:u w:val="single"/>
        </w:rPr>
        <w:t xml:space="preserve">                             </w:t>
      </w:r>
    </w:p>
    <w:p w14:paraId="24772564">
      <w:pPr>
        <w:pStyle w:val="16"/>
        <w:tabs>
          <w:tab w:val="left" w:pos="5580"/>
        </w:tabs>
        <w:spacing w:line="240" w:lineRule="atLeast"/>
        <w:ind w:left="1080" w:leftChars="257" w:hanging="540"/>
        <w:rPr>
          <w:rFonts w:hint="eastAsia" w:hAnsi="宋体" w:cs="宋体"/>
          <w:color w:val="000000"/>
          <w:sz w:val="24"/>
          <w:szCs w:val="24"/>
        </w:rPr>
      </w:pPr>
      <w:r>
        <w:rPr>
          <w:rFonts w:hint="eastAsia" w:hAnsi="宋体" w:cs="宋体"/>
          <w:color w:val="000000"/>
          <w:sz w:val="24"/>
          <w:szCs w:val="24"/>
        </w:rPr>
        <w:t>电话</w:t>
      </w:r>
      <w:r>
        <w:rPr>
          <w:rFonts w:hint="eastAsia" w:hAnsi="宋体" w:cs="宋体"/>
          <w:color w:val="000000"/>
          <w:sz w:val="24"/>
          <w:szCs w:val="24"/>
          <w:u w:val="single"/>
        </w:rPr>
        <w:t xml:space="preserve">                         </w:t>
      </w:r>
      <w:r>
        <w:rPr>
          <w:rFonts w:hint="eastAsia" w:hAnsi="宋体" w:cs="宋体"/>
          <w:color w:val="000000"/>
          <w:sz w:val="24"/>
          <w:szCs w:val="24"/>
        </w:rPr>
        <w:t xml:space="preserve">     电子函件</w:t>
      </w:r>
      <w:r>
        <w:rPr>
          <w:rFonts w:hint="eastAsia" w:hAnsi="宋体" w:cs="宋体"/>
          <w:color w:val="000000"/>
          <w:sz w:val="24"/>
          <w:szCs w:val="24"/>
          <w:u w:val="single"/>
        </w:rPr>
        <w:t xml:space="preserve">                         </w:t>
      </w:r>
    </w:p>
    <w:p w14:paraId="3F0CDC86">
      <w:pPr>
        <w:pStyle w:val="16"/>
        <w:tabs>
          <w:tab w:val="left" w:pos="5580"/>
        </w:tabs>
        <w:spacing w:line="240" w:lineRule="atLeast"/>
        <w:ind w:left="1080" w:leftChars="257" w:hanging="540"/>
        <w:rPr>
          <w:rFonts w:hint="eastAsia" w:hAnsi="宋体" w:cs="宋体"/>
          <w:color w:val="000000"/>
          <w:sz w:val="24"/>
          <w:szCs w:val="24"/>
          <w:u w:val="single"/>
        </w:rPr>
      </w:pPr>
      <w:r>
        <w:rPr>
          <w:rFonts w:hint="eastAsia" w:hAnsi="宋体" w:cs="宋体"/>
          <w:color w:val="000000"/>
          <w:sz w:val="24"/>
          <w:szCs w:val="24"/>
        </w:rPr>
        <w:t>法定代表人或其委托代理人（签/章）</w:t>
      </w:r>
      <w:r>
        <w:rPr>
          <w:rFonts w:hint="eastAsia" w:hAnsi="宋体" w:cs="宋体"/>
          <w:color w:val="000000"/>
          <w:sz w:val="24"/>
          <w:szCs w:val="24"/>
          <w:u w:val="single"/>
        </w:rPr>
        <w:t xml:space="preserve">　　　　　　 </w:t>
      </w:r>
    </w:p>
    <w:p w14:paraId="6EE8666E">
      <w:pPr>
        <w:pStyle w:val="16"/>
        <w:tabs>
          <w:tab w:val="left" w:pos="5580"/>
        </w:tabs>
        <w:spacing w:line="240" w:lineRule="atLeast"/>
        <w:ind w:left="1080" w:leftChars="257" w:hanging="540"/>
        <w:rPr>
          <w:rFonts w:hint="eastAsia" w:hAnsi="宋体" w:cs="宋体"/>
          <w:color w:val="000000"/>
          <w:sz w:val="24"/>
          <w:szCs w:val="24"/>
        </w:rPr>
      </w:pPr>
      <w:r>
        <w:rPr>
          <w:rFonts w:hint="eastAsia" w:hAnsi="宋体" w:cs="宋体"/>
          <w:color w:val="000000"/>
          <w:sz w:val="24"/>
          <w:szCs w:val="24"/>
        </w:rPr>
        <w:t>供应商名称（全称）</w:t>
      </w:r>
      <w:r>
        <w:rPr>
          <w:rFonts w:hint="eastAsia" w:hAnsi="宋体" w:cs="宋体"/>
          <w:color w:val="000000"/>
          <w:sz w:val="24"/>
          <w:szCs w:val="24"/>
          <w:u w:val="single"/>
        </w:rPr>
        <w:t xml:space="preserve">　　　　　　 </w:t>
      </w:r>
    </w:p>
    <w:p w14:paraId="3A061D38">
      <w:pPr>
        <w:pStyle w:val="16"/>
        <w:tabs>
          <w:tab w:val="left" w:pos="5580"/>
        </w:tabs>
        <w:spacing w:line="240" w:lineRule="atLeast"/>
        <w:ind w:left="1080" w:leftChars="257" w:hanging="540"/>
        <w:rPr>
          <w:rFonts w:hint="eastAsia" w:hAnsi="宋体" w:cs="宋体"/>
          <w:color w:val="000000"/>
          <w:sz w:val="24"/>
          <w:szCs w:val="24"/>
        </w:rPr>
      </w:pPr>
      <w:r>
        <w:rPr>
          <w:rFonts w:hint="eastAsia" w:hAnsi="宋体" w:cs="宋体"/>
          <w:color w:val="000000"/>
          <w:sz w:val="24"/>
          <w:szCs w:val="24"/>
        </w:rPr>
        <w:t>供应商开户银行（全称）</w:t>
      </w:r>
      <w:r>
        <w:rPr>
          <w:rFonts w:hint="eastAsia" w:hAnsi="宋体" w:cs="宋体"/>
          <w:color w:val="000000"/>
          <w:sz w:val="24"/>
          <w:szCs w:val="24"/>
          <w:u w:val="single"/>
        </w:rPr>
        <w:t xml:space="preserve">　　　　　　 </w:t>
      </w:r>
    </w:p>
    <w:p w14:paraId="1F2BB0A3">
      <w:pPr>
        <w:pStyle w:val="16"/>
        <w:tabs>
          <w:tab w:val="left" w:pos="5580"/>
        </w:tabs>
        <w:spacing w:line="240" w:lineRule="atLeast"/>
        <w:ind w:left="1080" w:leftChars="257" w:hanging="540"/>
        <w:rPr>
          <w:rFonts w:hint="eastAsia" w:hAnsi="宋体" w:cs="宋体"/>
          <w:color w:val="000000"/>
          <w:sz w:val="24"/>
          <w:szCs w:val="24"/>
        </w:rPr>
      </w:pPr>
      <w:r>
        <w:rPr>
          <w:rFonts w:hint="eastAsia" w:hAnsi="宋体" w:cs="宋体"/>
          <w:color w:val="000000"/>
          <w:sz w:val="24"/>
          <w:szCs w:val="24"/>
        </w:rPr>
        <w:t>供应商银行帐号</w:t>
      </w:r>
      <w:r>
        <w:rPr>
          <w:rFonts w:hint="eastAsia" w:hAnsi="宋体" w:cs="宋体"/>
          <w:color w:val="000000"/>
          <w:sz w:val="24"/>
          <w:szCs w:val="24"/>
          <w:u w:val="single"/>
        </w:rPr>
        <w:t>　　　　　　　　 　　</w:t>
      </w:r>
    </w:p>
    <w:p w14:paraId="4571FF67">
      <w:pPr>
        <w:pStyle w:val="16"/>
        <w:tabs>
          <w:tab w:val="left" w:pos="5580"/>
        </w:tabs>
        <w:spacing w:line="240" w:lineRule="atLeast"/>
        <w:ind w:left="1080" w:leftChars="257" w:hanging="540"/>
        <w:rPr>
          <w:rFonts w:hint="eastAsia" w:hAnsi="宋体" w:cs="宋体"/>
          <w:color w:val="000000"/>
          <w:sz w:val="24"/>
          <w:szCs w:val="24"/>
          <w:u w:val="single"/>
        </w:rPr>
      </w:pPr>
      <w:r>
        <w:rPr>
          <w:rFonts w:hint="eastAsia" w:hAnsi="宋体" w:cs="宋体"/>
          <w:color w:val="000000"/>
          <w:sz w:val="24"/>
          <w:szCs w:val="24"/>
        </w:rPr>
        <w:t>供应商（公章）</w:t>
      </w:r>
      <w:r>
        <w:rPr>
          <w:rFonts w:hint="eastAsia" w:hAnsi="宋体" w:cs="宋体"/>
          <w:color w:val="000000"/>
          <w:sz w:val="24"/>
          <w:szCs w:val="24"/>
          <w:u w:val="single"/>
        </w:rPr>
        <w:t xml:space="preserve">　　　　　　       </w:t>
      </w:r>
    </w:p>
    <w:p w14:paraId="4D3F92FD">
      <w:pPr>
        <w:pStyle w:val="16"/>
        <w:tabs>
          <w:tab w:val="left" w:pos="5580"/>
        </w:tabs>
        <w:spacing w:line="240" w:lineRule="atLeast"/>
        <w:ind w:left="1080" w:leftChars="257" w:hanging="540"/>
        <w:rPr>
          <w:rFonts w:hint="eastAsia" w:hAnsi="宋体" w:cs="宋体"/>
          <w:color w:val="000000"/>
          <w:sz w:val="24"/>
          <w:szCs w:val="24"/>
          <w:u w:val="single"/>
        </w:rPr>
      </w:pPr>
      <w:r>
        <w:rPr>
          <w:rFonts w:hint="eastAsia" w:hAnsi="宋体" w:cs="宋体"/>
          <w:color w:val="000000"/>
          <w:sz w:val="24"/>
          <w:szCs w:val="24"/>
        </w:rPr>
        <w:t>日期</w:t>
      </w:r>
      <w:r>
        <w:rPr>
          <w:rFonts w:hint="eastAsia" w:hAnsi="宋体" w:cs="宋体"/>
          <w:color w:val="000000"/>
          <w:sz w:val="24"/>
          <w:szCs w:val="24"/>
          <w:u w:val="single"/>
        </w:rPr>
        <w:t>　　　　　　</w:t>
      </w:r>
      <w:bookmarkStart w:id="317" w:name="_Toc23248"/>
      <w:bookmarkStart w:id="318" w:name="_Toc12874"/>
      <w:bookmarkStart w:id="319" w:name="_Toc29155"/>
      <w:bookmarkStart w:id="320" w:name="_Toc1881"/>
      <w:bookmarkStart w:id="321" w:name="_Toc216582815"/>
      <w:bookmarkStart w:id="322" w:name="_Toc20897"/>
      <w:bookmarkStart w:id="323" w:name="_Toc9110"/>
      <w:bookmarkStart w:id="324" w:name="_Toc22674"/>
      <w:bookmarkStart w:id="325" w:name="_Toc18221"/>
      <w:bookmarkStart w:id="326" w:name="_Toc515647818"/>
      <w:bookmarkStart w:id="327" w:name="_Toc16705"/>
      <w:bookmarkStart w:id="328" w:name="_Toc23321"/>
    </w:p>
    <w:p w14:paraId="6B7C63FC">
      <w:pPr>
        <w:pStyle w:val="16"/>
        <w:tabs>
          <w:tab w:val="left" w:pos="5580"/>
        </w:tabs>
        <w:spacing w:line="240" w:lineRule="atLeast"/>
        <w:ind w:left="1080" w:leftChars="257" w:hanging="540"/>
        <w:rPr>
          <w:rFonts w:hint="eastAsia" w:hAnsi="宋体" w:cs="宋体"/>
          <w:color w:val="000000"/>
          <w:sz w:val="24"/>
          <w:szCs w:val="24"/>
          <w:u w:val="single"/>
        </w:rPr>
      </w:pPr>
    </w:p>
    <w:p w14:paraId="2393F07D">
      <w:pPr>
        <w:pStyle w:val="16"/>
        <w:tabs>
          <w:tab w:val="left" w:pos="5580"/>
        </w:tabs>
        <w:spacing w:line="240" w:lineRule="atLeast"/>
        <w:ind w:left="1080" w:leftChars="257" w:hanging="540"/>
        <w:rPr>
          <w:rFonts w:hint="eastAsia" w:hAnsi="宋体" w:cs="宋体"/>
          <w:color w:val="000000"/>
          <w:sz w:val="24"/>
          <w:szCs w:val="24"/>
          <w:u w:val="single"/>
        </w:rPr>
      </w:pPr>
    </w:p>
    <w:p w14:paraId="3EAB0BC9">
      <w:pPr>
        <w:pStyle w:val="16"/>
        <w:tabs>
          <w:tab w:val="left" w:pos="5580"/>
        </w:tabs>
        <w:spacing w:line="240" w:lineRule="atLeast"/>
        <w:ind w:left="1080" w:leftChars="257" w:hanging="540"/>
        <w:rPr>
          <w:rFonts w:hint="eastAsia" w:hAnsi="宋体" w:cs="宋体"/>
          <w:color w:val="000000"/>
          <w:sz w:val="24"/>
          <w:szCs w:val="24"/>
          <w:u w:val="single"/>
        </w:rPr>
      </w:pPr>
    </w:p>
    <w:p w14:paraId="4CE6C571">
      <w:pPr>
        <w:pStyle w:val="16"/>
        <w:tabs>
          <w:tab w:val="left" w:pos="5580"/>
        </w:tabs>
        <w:spacing w:line="240" w:lineRule="atLeast"/>
        <w:ind w:left="1080" w:leftChars="257" w:hanging="540"/>
        <w:rPr>
          <w:rFonts w:hint="eastAsia" w:hAnsi="宋体" w:cs="宋体"/>
          <w:color w:val="000000"/>
          <w:sz w:val="24"/>
          <w:szCs w:val="24"/>
          <w:u w:val="single"/>
        </w:rPr>
      </w:pPr>
    </w:p>
    <w:p w14:paraId="6A174711">
      <w:pPr>
        <w:pStyle w:val="16"/>
        <w:tabs>
          <w:tab w:val="left" w:pos="5580"/>
        </w:tabs>
        <w:spacing w:line="240" w:lineRule="atLeast"/>
        <w:ind w:left="1080" w:leftChars="257" w:hanging="540"/>
        <w:rPr>
          <w:rFonts w:hint="eastAsia" w:hAnsi="宋体" w:cs="宋体"/>
          <w:color w:val="000000"/>
          <w:sz w:val="24"/>
          <w:szCs w:val="24"/>
          <w:u w:val="single"/>
        </w:rPr>
      </w:pPr>
    </w:p>
    <w:p w14:paraId="0B2DBCF0">
      <w:pPr>
        <w:pStyle w:val="16"/>
        <w:tabs>
          <w:tab w:val="left" w:pos="5580"/>
        </w:tabs>
        <w:spacing w:line="240" w:lineRule="atLeast"/>
        <w:ind w:left="1080" w:leftChars="257" w:hanging="540"/>
        <w:rPr>
          <w:rFonts w:hint="eastAsia" w:hAnsi="宋体" w:cs="宋体"/>
          <w:color w:val="000000"/>
          <w:sz w:val="24"/>
          <w:szCs w:val="24"/>
          <w:u w:val="single"/>
        </w:rPr>
      </w:pPr>
    </w:p>
    <w:p w14:paraId="6BF62773">
      <w:pPr>
        <w:pStyle w:val="16"/>
        <w:tabs>
          <w:tab w:val="left" w:pos="5580"/>
        </w:tabs>
        <w:spacing w:line="240" w:lineRule="atLeast"/>
        <w:ind w:left="1080" w:leftChars="257" w:hanging="540"/>
        <w:rPr>
          <w:rFonts w:hint="eastAsia" w:hAnsi="宋体" w:cs="宋体"/>
          <w:color w:val="000000"/>
          <w:sz w:val="24"/>
          <w:szCs w:val="24"/>
          <w:u w:val="single"/>
        </w:rPr>
      </w:pPr>
    </w:p>
    <w:p w14:paraId="3851C666">
      <w:pPr>
        <w:pStyle w:val="16"/>
        <w:tabs>
          <w:tab w:val="left" w:pos="5580"/>
        </w:tabs>
        <w:spacing w:line="240" w:lineRule="atLeast"/>
        <w:ind w:left="1080" w:leftChars="257" w:hanging="540"/>
        <w:rPr>
          <w:rFonts w:hint="eastAsia" w:hAnsi="宋体" w:cs="宋体"/>
          <w:color w:val="000000"/>
          <w:sz w:val="24"/>
          <w:szCs w:val="24"/>
          <w:u w:val="single"/>
        </w:rPr>
      </w:pPr>
    </w:p>
    <w:p w14:paraId="1842B080">
      <w:pPr>
        <w:pStyle w:val="17"/>
        <w:ind w:left="2520"/>
        <w:rPr>
          <w:rFonts w:hint="eastAsia" w:ascii="宋体" w:hAnsi="宋体" w:cs="宋体"/>
          <w:color w:val="000000"/>
          <w:sz w:val="24"/>
          <w:u w:val="single"/>
        </w:rPr>
      </w:pPr>
    </w:p>
    <w:p w14:paraId="71EA7BA1">
      <w:pPr>
        <w:rPr>
          <w:rFonts w:hint="eastAsia"/>
        </w:rPr>
      </w:pPr>
    </w:p>
    <w:p w14:paraId="45623A94">
      <w:pPr>
        <w:pStyle w:val="16"/>
        <w:tabs>
          <w:tab w:val="left" w:pos="5580"/>
        </w:tabs>
        <w:spacing w:line="240" w:lineRule="atLeast"/>
        <w:ind w:left="1080" w:leftChars="257" w:hanging="540"/>
        <w:rPr>
          <w:rFonts w:hint="eastAsia" w:hAnsi="宋体" w:cs="宋体"/>
          <w:color w:val="000000"/>
          <w:sz w:val="24"/>
          <w:szCs w:val="24"/>
          <w:u w:val="single"/>
        </w:rPr>
      </w:pPr>
    </w:p>
    <w:p w14:paraId="4EA42E41">
      <w:pPr>
        <w:pStyle w:val="16"/>
        <w:tabs>
          <w:tab w:val="left" w:pos="5580"/>
        </w:tabs>
        <w:spacing w:line="240" w:lineRule="atLeast"/>
        <w:ind w:left="1080" w:leftChars="257" w:hanging="540"/>
        <w:rPr>
          <w:rFonts w:hint="eastAsia" w:hAnsi="宋体" w:cs="宋体"/>
          <w:color w:val="000000"/>
          <w:sz w:val="24"/>
          <w:szCs w:val="24"/>
          <w:u w:val="single"/>
        </w:rPr>
      </w:pPr>
    </w:p>
    <w:p w14:paraId="761F51B8">
      <w:pPr>
        <w:pStyle w:val="16"/>
        <w:tabs>
          <w:tab w:val="left" w:pos="5580"/>
        </w:tabs>
        <w:spacing w:line="240" w:lineRule="atLeast"/>
        <w:rPr>
          <w:rFonts w:hint="eastAsia" w:hAnsi="宋体" w:cs="宋体"/>
          <w:color w:val="000000"/>
          <w:sz w:val="24"/>
          <w:szCs w:val="24"/>
          <w:u w:val="single"/>
        </w:rPr>
      </w:pPr>
    </w:p>
    <w:p w14:paraId="6142717C">
      <w:pPr>
        <w:pStyle w:val="16"/>
        <w:tabs>
          <w:tab w:val="left" w:pos="5580"/>
        </w:tabs>
        <w:spacing w:line="240" w:lineRule="atLeast"/>
        <w:jc w:val="center"/>
        <w:rPr>
          <w:rFonts w:hint="eastAsia" w:hAnsi="宋体" w:cs="宋体"/>
          <w:color w:val="000000"/>
          <w:sz w:val="24"/>
          <w:szCs w:val="24"/>
        </w:rPr>
      </w:pPr>
      <w:r>
        <w:rPr>
          <w:rFonts w:hint="eastAsia" w:hAnsi="宋体" w:cs="宋体"/>
          <w:b/>
          <w:bCs/>
          <w:color w:val="000000"/>
          <w:sz w:val="24"/>
          <w:szCs w:val="24"/>
        </w:rPr>
        <w:t>2、磋商分项报价表</w:t>
      </w:r>
      <w:bookmarkEnd w:id="317"/>
      <w:bookmarkEnd w:id="318"/>
      <w:bookmarkEnd w:id="319"/>
      <w:bookmarkEnd w:id="320"/>
      <w:bookmarkEnd w:id="321"/>
      <w:bookmarkEnd w:id="322"/>
      <w:bookmarkEnd w:id="323"/>
      <w:bookmarkEnd w:id="324"/>
      <w:bookmarkEnd w:id="325"/>
      <w:bookmarkEnd w:id="326"/>
      <w:bookmarkEnd w:id="327"/>
      <w:bookmarkEnd w:id="328"/>
    </w:p>
    <w:p w14:paraId="6E5A4301">
      <w:pPr>
        <w:pStyle w:val="16"/>
        <w:spacing w:line="240" w:lineRule="atLeast"/>
        <w:ind w:left="1080" w:leftChars="257" w:hanging="540"/>
        <w:rPr>
          <w:rFonts w:hint="eastAsia" w:hAnsi="宋体" w:cs="宋体"/>
          <w:color w:val="000000"/>
          <w:sz w:val="24"/>
          <w:szCs w:val="24"/>
        </w:rPr>
      </w:pPr>
    </w:p>
    <w:p w14:paraId="40A51193">
      <w:pPr>
        <w:pStyle w:val="16"/>
        <w:spacing w:line="240" w:lineRule="atLeast"/>
        <w:ind w:left="1080" w:leftChars="257" w:hanging="540"/>
        <w:rPr>
          <w:rFonts w:hint="eastAsia" w:hAnsi="宋体" w:cs="宋体"/>
          <w:sz w:val="24"/>
          <w:szCs w:val="24"/>
        </w:rPr>
      </w:pPr>
    </w:p>
    <w:p w14:paraId="488FAEA0">
      <w:pPr>
        <w:pStyle w:val="16"/>
        <w:spacing w:line="240" w:lineRule="atLeast"/>
        <w:ind w:left="1080" w:leftChars="257" w:hanging="540"/>
        <w:rPr>
          <w:rFonts w:hint="eastAsia" w:hAnsi="宋体" w:cs="宋体"/>
          <w:sz w:val="24"/>
          <w:szCs w:val="24"/>
        </w:rPr>
      </w:pPr>
      <w:r>
        <w:rPr>
          <w:rFonts w:hint="eastAsia" w:hAnsi="宋体" w:cs="宋体"/>
          <w:sz w:val="24"/>
          <w:szCs w:val="24"/>
        </w:rPr>
        <w:t xml:space="preserve">项目名称:                              </w:t>
      </w:r>
    </w:p>
    <w:p w14:paraId="78007631">
      <w:pPr>
        <w:pStyle w:val="16"/>
        <w:spacing w:line="240" w:lineRule="atLeast"/>
        <w:ind w:left="1080" w:leftChars="257" w:hanging="540"/>
        <w:rPr>
          <w:rFonts w:hint="eastAsia" w:hAnsi="宋体" w:cs="宋体"/>
          <w:sz w:val="24"/>
          <w:szCs w:val="24"/>
        </w:rPr>
      </w:pPr>
      <w:r>
        <w:rPr>
          <w:rFonts w:hint="eastAsia" w:hAnsi="宋体" w:cs="宋体"/>
          <w:sz w:val="24"/>
          <w:szCs w:val="24"/>
        </w:rPr>
        <w:t>招标编号:                    　</w:t>
      </w:r>
    </w:p>
    <w:p w14:paraId="64A5EDE2">
      <w:pPr>
        <w:pStyle w:val="16"/>
        <w:spacing w:line="240" w:lineRule="atLeast"/>
        <w:ind w:left="1080" w:leftChars="257" w:hanging="540"/>
        <w:rPr>
          <w:rFonts w:hint="eastAsia" w:hAnsi="宋体" w:cs="宋体"/>
          <w:sz w:val="24"/>
          <w:szCs w:val="24"/>
        </w:rPr>
      </w:pPr>
      <w:r>
        <w:rPr>
          <w:rFonts w:hint="eastAsia" w:hAnsi="宋体" w:cs="宋体"/>
          <w:sz w:val="24"/>
          <w:szCs w:val="24"/>
        </w:rPr>
        <w:t>报价单位：人民币元</w:t>
      </w:r>
    </w:p>
    <w:tbl>
      <w:tblPr>
        <w:tblStyle w:val="37"/>
        <w:tblW w:w="98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1336"/>
        <w:gridCol w:w="3607"/>
        <w:gridCol w:w="750"/>
        <w:gridCol w:w="733"/>
        <w:gridCol w:w="1036"/>
        <w:gridCol w:w="843"/>
        <w:gridCol w:w="801"/>
      </w:tblGrid>
      <w:tr w14:paraId="396E5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754" w:type="dxa"/>
            <w:noWrap w:val="0"/>
            <w:vAlign w:val="center"/>
          </w:tcPr>
          <w:p w14:paraId="7627944F">
            <w:pPr>
              <w:pStyle w:val="16"/>
              <w:spacing w:line="240" w:lineRule="atLeast"/>
              <w:jc w:val="center"/>
              <w:rPr>
                <w:rFonts w:hint="eastAsia" w:hAnsi="宋体" w:cs="宋体"/>
                <w:color w:val="000000"/>
                <w:sz w:val="24"/>
                <w:szCs w:val="24"/>
              </w:rPr>
            </w:pPr>
            <w:r>
              <w:rPr>
                <w:rFonts w:hint="eastAsia" w:hAnsi="宋体" w:cs="宋体"/>
                <w:color w:val="000000"/>
                <w:sz w:val="24"/>
                <w:szCs w:val="24"/>
              </w:rPr>
              <w:t>序号</w:t>
            </w:r>
          </w:p>
        </w:tc>
        <w:tc>
          <w:tcPr>
            <w:tcW w:w="1336" w:type="dxa"/>
            <w:noWrap w:val="0"/>
            <w:vAlign w:val="center"/>
          </w:tcPr>
          <w:p w14:paraId="07046239">
            <w:pPr>
              <w:pStyle w:val="16"/>
              <w:spacing w:line="240" w:lineRule="atLeast"/>
              <w:jc w:val="center"/>
              <w:rPr>
                <w:rFonts w:hint="eastAsia" w:hAnsi="宋体" w:cs="宋体"/>
                <w:color w:val="000000"/>
                <w:sz w:val="24"/>
                <w:szCs w:val="24"/>
              </w:rPr>
            </w:pPr>
            <w:r>
              <w:rPr>
                <w:rFonts w:hint="eastAsia" w:hAnsi="宋体" w:cs="宋体"/>
                <w:color w:val="000000"/>
                <w:sz w:val="24"/>
                <w:szCs w:val="24"/>
              </w:rPr>
              <w:t>名称</w:t>
            </w:r>
          </w:p>
        </w:tc>
        <w:tc>
          <w:tcPr>
            <w:tcW w:w="3607" w:type="dxa"/>
            <w:noWrap w:val="0"/>
            <w:vAlign w:val="center"/>
          </w:tcPr>
          <w:p w14:paraId="0D795A63">
            <w:pPr>
              <w:pStyle w:val="16"/>
              <w:spacing w:line="240" w:lineRule="atLeast"/>
              <w:jc w:val="center"/>
              <w:rPr>
                <w:rFonts w:hint="eastAsia" w:hAnsi="宋体" w:cs="宋体"/>
                <w:color w:val="000000"/>
                <w:sz w:val="24"/>
                <w:szCs w:val="24"/>
              </w:rPr>
            </w:pPr>
            <w:r>
              <w:rPr>
                <w:rFonts w:hint="eastAsia" w:hAnsi="宋体" w:cs="宋体"/>
                <w:color w:val="000000"/>
                <w:sz w:val="24"/>
                <w:szCs w:val="24"/>
              </w:rPr>
              <w:t>服务内容</w:t>
            </w:r>
          </w:p>
        </w:tc>
        <w:tc>
          <w:tcPr>
            <w:tcW w:w="750" w:type="dxa"/>
            <w:noWrap w:val="0"/>
            <w:vAlign w:val="center"/>
          </w:tcPr>
          <w:p w14:paraId="338B2B29">
            <w:pPr>
              <w:pStyle w:val="16"/>
              <w:spacing w:line="240" w:lineRule="atLeast"/>
              <w:jc w:val="center"/>
              <w:rPr>
                <w:rFonts w:hint="eastAsia" w:hAnsi="宋体" w:cs="宋体"/>
                <w:color w:val="000000"/>
                <w:sz w:val="24"/>
                <w:szCs w:val="24"/>
              </w:rPr>
            </w:pPr>
            <w:r>
              <w:rPr>
                <w:rFonts w:hint="eastAsia" w:hAnsi="宋体" w:cs="宋体"/>
                <w:color w:val="000000"/>
                <w:sz w:val="24"/>
                <w:szCs w:val="24"/>
              </w:rPr>
              <w:t>数量</w:t>
            </w:r>
          </w:p>
        </w:tc>
        <w:tc>
          <w:tcPr>
            <w:tcW w:w="733" w:type="dxa"/>
            <w:noWrap w:val="0"/>
            <w:vAlign w:val="center"/>
          </w:tcPr>
          <w:p w14:paraId="1BF53AED">
            <w:pPr>
              <w:pStyle w:val="16"/>
              <w:spacing w:line="240" w:lineRule="atLeast"/>
              <w:jc w:val="center"/>
              <w:rPr>
                <w:rFonts w:hint="eastAsia" w:hAnsi="宋体" w:cs="宋体"/>
                <w:color w:val="000000"/>
                <w:sz w:val="24"/>
                <w:szCs w:val="24"/>
              </w:rPr>
            </w:pPr>
            <w:r>
              <w:rPr>
                <w:rFonts w:hint="eastAsia" w:hAnsi="宋体" w:cs="宋体"/>
                <w:color w:val="000000"/>
                <w:sz w:val="24"/>
                <w:szCs w:val="24"/>
              </w:rPr>
              <w:t>单位</w:t>
            </w:r>
          </w:p>
        </w:tc>
        <w:tc>
          <w:tcPr>
            <w:tcW w:w="1036" w:type="dxa"/>
            <w:noWrap w:val="0"/>
            <w:vAlign w:val="center"/>
          </w:tcPr>
          <w:p w14:paraId="1302F2D9">
            <w:pPr>
              <w:pStyle w:val="16"/>
              <w:spacing w:line="240" w:lineRule="atLeast"/>
              <w:jc w:val="center"/>
              <w:rPr>
                <w:rFonts w:hint="eastAsia" w:hAnsi="宋体" w:cs="宋体"/>
                <w:color w:val="000000"/>
                <w:sz w:val="24"/>
                <w:szCs w:val="24"/>
              </w:rPr>
            </w:pPr>
            <w:r>
              <w:rPr>
                <w:rFonts w:hint="eastAsia" w:hAnsi="宋体" w:cs="宋体"/>
                <w:color w:val="000000"/>
                <w:sz w:val="24"/>
                <w:szCs w:val="24"/>
              </w:rPr>
              <w:t>单价</w:t>
            </w:r>
          </w:p>
        </w:tc>
        <w:tc>
          <w:tcPr>
            <w:tcW w:w="843" w:type="dxa"/>
            <w:noWrap w:val="0"/>
            <w:vAlign w:val="center"/>
          </w:tcPr>
          <w:p w14:paraId="676E8C34">
            <w:pPr>
              <w:pStyle w:val="16"/>
              <w:spacing w:line="240" w:lineRule="atLeast"/>
              <w:jc w:val="center"/>
              <w:rPr>
                <w:rFonts w:hint="eastAsia" w:hAnsi="宋体" w:cs="宋体"/>
                <w:color w:val="000000"/>
                <w:sz w:val="24"/>
                <w:szCs w:val="24"/>
              </w:rPr>
            </w:pPr>
            <w:r>
              <w:rPr>
                <w:rFonts w:hint="eastAsia" w:hAnsi="宋体" w:cs="宋体"/>
                <w:color w:val="000000"/>
                <w:sz w:val="24"/>
                <w:szCs w:val="24"/>
              </w:rPr>
              <w:t>总价</w:t>
            </w:r>
          </w:p>
        </w:tc>
        <w:tc>
          <w:tcPr>
            <w:tcW w:w="801" w:type="dxa"/>
            <w:noWrap w:val="0"/>
            <w:vAlign w:val="center"/>
          </w:tcPr>
          <w:p w14:paraId="7EB2EE10">
            <w:pPr>
              <w:pStyle w:val="16"/>
              <w:spacing w:line="240" w:lineRule="atLeast"/>
              <w:jc w:val="center"/>
              <w:rPr>
                <w:rFonts w:hint="eastAsia" w:hAnsi="宋体" w:cs="宋体"/>
                <w:color w:val="000000"/>
                <w:sz w:val="24"/>
                <w:szCs w:val="24"/>
              </w:rPr>
            </w:pPr>
            <w:r>
              <w:rPr>
                <w:rFonts w:hint="eastAsia" w:hAnsi="宋体" w:cs="宋体"/>
                <w:color w:val="000000"/>
                <w:sz w:val="24"/>
                <w:szCs w:val="24"/>
              </w:rPr>
              <w:t>备注</w:t>
            </w:r>
          </w:p>
        </w:tc>
      </w:tr>
      <w:tr w14:paraId="4CEC7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54" w:type="dxa"/>
            <w:noWrap w:val="0"/>
            <w:vAlign w:val="center"/>
          </w:tcPr>
          <w:p w14:paraId="30896769">
            <w:pPr>
              <w:pStyle w:val="16"/>
              <w:spacing w:line="240" w:lineRule="atLeast"/>
              <w:jc w:val="left"/>
              <w:rPr>
                <w:rFonts w:hint="eastAsia" w:hAnsi="宋体" w:cs="宋体"/>
                <w:color w:val="000000"/>
                <w:sz w:val="24"/>
                <w:szCs w:val="24"/>
              </w:rPr>
            </w:pPr>
            <w:r>
              <w:rPr>
                <w:rFonts w:hint="eastAsia" w:hAnsi="宋体" w:cs="宋体"/>
                <w:color w:val="000000"/>
                <w:sz w:val="24"/>
                <w:szCs w:val="24"/>
              </w:rPr>
              <w:t>1.</w:t>
            </w:r>
          </w:p>
        </w:tc>
        <w:tc>
          <w:tcPr>
            <w:tcW w:w="1336" w:type="dxa"/>
            <w:noWrap w:val="0"/>
            <w:vAlign w:val="center"/>
          </w:tcPr>
          <w:p w14:paraId="36AA1043">
            <w:pPr>
              <w:pStyle w:val="16"/>
              <w:spacing w:line="240" w:lineRule="atLeast"/>
              <w:jc w:val="left"/>
              <w:rPr>
                <w:rFonts w:hint="eastAsia" w:hAnsi="宋体" w:cs="宋体"/>
                <w:color w:val="000000"/>
                <w:sz w:val="24"/>
                <w:szCs w:val="24"/>
              </w:rPr>
            </w:pPr>
          </w:p>
        </w:tc>
        <w:tc>
          <w:tcPr>
            <w:tcW w:w="3607" w:type="dxa"/>
            <w:noWrap w:val="0"/>
            <w:vAlign w:val="center"/>
          </w:tcPr>
          <w:p w14:paraId="6BCCE053">
            <w:pPr>
              <w:pStyle w:val="16"/>
              <w:spacing w:line="240" w:lineRule="atLeast"/>
              <w:ind w:left="1080" w:leftChars="257" w:hanging="540"/>
              <w:jc w:val="left"/>
              <w:rPr>
                <w:rFonts w:hint="eastAsia" w:hAnsi="宋体" w:cs="宋体"/>
                <w:color w:val="000000"/>
                <w:sz w:val="24"/>
                <w:szCs w:val="24"/>
              </w:rPr>
            </w:pPr>
          </w:p>
        </w:tc>
        <w:tc>
          <w:tcPr>
            <w:tcW w:w="750" w:type="dxa"/>
            <w:noWrap w:val="0"/>
            <w:vAlign w:val="center"/>
          </w:tcPr>
          <w:p w14:paraId="2B0790F0">
            <w:pPr>
              <w:pStyle w:val="16"/>
              <w:spacing w:line="240" w:lineRule="atLeast"/>
              <w:ind w:left="1080" w:leftChars="257" w:hanging="540"/>
              <w:jc w:val="left"/>
              <w:rPr>
                <w:rFonts w:hint="eastAsia" w:hAnsi="宋体" w:cs="宋体"/>
                <w:color w:val="000000"/>
                <w:sz w:val="24"/>
                <w:szCs w:val="24"/>
              </w:rPr>
            </w:pPr>
          </w:p>
        </w:tc>
        <w:tc>
          <w:tcPr>
            <w:tcW w:w="733" w:type="dxa"/>
            <w:noWrap w:val="0"/>
            <w:vAlign w:val="center"/>
          </w:tcPr>
          <w:p w14:paraId="38BF89F9">
            <w:pPr>
              <w:pStyle w:val="16"/>
              <w:spacing w:line="240" w:lineRule="atLeast"/>
              <w:ind w:left="1080" w:leftChars="257" w:hanging="540"/>
              <w:jc w:val="left"/>
              <w:rPr>
                <w:rFonts w:hint="eastAsia" w:hAnsi="宋体" w:cs="宋体"/>
                <w:color w:val="000000"/>
                <w:sz w:val="24"/>
                <w:szCs w:val="24"/>
              </w:rPr>
            </w:pPr>
          </w:p>
        </w:tc>
        <w:tc>
          <w:tcPr>
            <w:tcW w:w="1036" w:type="dxa"/>
            <w:noWrap w:val="0"/>
            <w:vAlign w:val="center"/>
          </w:tcPr>
          <w:p w14:paraId="12ACE69C">
            <w:pPr>
              <w:pStyle w:val="16"/>
              <w:spacing w:line="240" w:lineRule="atLeast"/>
              <w:ind w:left="1080" w:leftChars="257" w:hanging="540"/>
              <w:jc w:val="left"/>
              <w:rPr>
                <w:rFonts w:hint="eastAsia" w:hAnsi="宋体" w:cs="宋体"/>
                <w:color w:val="000000"/>
                <w:sz w:val="24"/>
                <w:szCs w:val="24"/>
              </w:rPr>
            </w:pPr>
          </w:p>
        </w:tc>
        <w:tc>
          <w:tcPr>
            <w:tcW w:w="843" w:type="dxa"/>
            <w:noWrap w:val="0"/>
            <w:vAlign w:val="center"/>
          </w:tcPr>
          <w:p w14:paraId="2E9942ED">
            <w:pPr>
              <w:pStyle w:val="16"/>
              <w:spacing w:line="240" w:lineRule="atLeast"/>
              <w:ind w:left="1080" w:leftChars="257" w:hanging="540"/>
              <w:jc w:val="left"/>
              <w:rPr>
                <w:rFonts w:hint="eastAsia" w:hAnsi="宋体" w:cs="宋体"/>
                <w:color w:val="000000"/>
                <w:sz w:val="24"/>
                <w:szCs w:val="24"/>
              </w:rPr>
            </w:pPr>
          </w:p>
        </w:tc>
        <w:tc>
          <w:tcPr>
            <w:tcW w:w="801" w:type="dxa"/>
            <w:noWrap w:val="0"/>
            <w:vAlign w:val="center"/>
          </w:tcPr>
          <w:p w14:paraId="22B2EE24">
            <w:pPr>
              <w:pStyle w:val="16"/>
              <w:spacing w:line="240" w:lineRule="atLeast"/>
              <w:ind w:left="1080" w:leftChars="257" w:hanging="540"/>
              <w:jc w:val="left"/>
              <w:rPr>
                <w:rFonts w:hint="eastAsia" w:hAnsi="宋体" w:cs="宋体"/>
                <w:color w:val="000000"/>
                <w:sz w:val="24"/>
                <w:szCs w:val="24"/>
              </w:rPr>
            </w:pPr>
          </w:p>
        </w:tc>
      </w:tr>
      <w:tr w14:paraId="06734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754" w:type="dxa"/>
            <w:noWrap w:val="0"/>
            <w:vAlign w:val="center"/>
          </w:tcPr>
          <w:p w14:paraId="50B85117">
            <w:pPr>
              <w:pStyle w:val="16"/>
              <w:spacing w:line="240" w:lineRule="atLeast"/>
              <w:jc w:val="left"/>
              <w:rPr>
                <w:rFonts w:hint="eastAsia" w:hAnsi="宋体" w:cs="宋体"/>
                <w:color w:val="000000"/>
                <w:sz w:val="24"/>
                <w:szCs w:val="24"/>
              </w:rPr>
            </w:pPr>
            <w:r>
              <w:rPr>
                <w:rFonts w:hint="eastAsia" w:hAnsi="宋体" w:cs="宋体"/>
                <w:color w:val="000000"/>
                <w:sz w:val="24"/>
                <w:szCs w:val="24"/>
              </w:rPr>
              <w:t>2.</w:t>
            </w:r>
          </w:p>
        </w:tc>
        <w:tc>
          <w:tcPr>
            <w:tcW w:w="1336" w:type="dxa"/>
            <w:noWrap w:val="0"/>
            <w:vAlign w:val="center"/>
          </w:tcPr>
          <w:p w14:paraId="6AE94A57">
            <w:pPr>
              <w:pStyle w:val="16"/>
              <w:spacing w:line="240" w:lineRule="atLeast"/>
              <w:jc w:val="left"/>
              <w:rPr>
                <w:rFonts w:hint="eastAsia" w:hAnsi="宋体" w:cs="宋体"/>
                <w:color w:val="000000"/>
                <w:sz w:val="24"/>
                <w:szCs w:val="24"/>
              </w:rPr>
            </w:pPr>
          </w:p>
        </w:tc>
        <w:tc>
          <w:tcPr>
            <w:tcW w:w="3607" w:type="dxa"/>
            <w:noWrap w:val="0"/>
            <w:vAlign w:val="center"/>
          </w:tcPr>
          <w:p w14:paraId="6246D916">
            <w:pPr>
              <w:pStyle w:val="16"/>
              <w:spacing w:line="240" w:lineRule="atLeast"/>
              <w:ind w:left="1080" w:leftChars="257" w:hanging="540"/>
              <w:jc w:val="left"/>
              <w:rPr>
                <w:rFonts w:hint="eastAsia" w:hAnsi="宋体" w:cs="宋体"/>
                <w:color w:val="000000"/>
                <w:sz w:val="24"/>
                <w:szCs w:val="24"/>
              </w:rPr>
            </w:pPr>
          </w:p>
        </w:tc>
        <w:tc>
          <w:tcPr>
            <w:tcW w:w="750" w:type="dxa"/>
            <w:noWrap w:val="0"/>
            <w:vAlign w:val="center"/>
          </w:tcPr>
          <w:p w14:paraId="4D808F34">
            <w:pPr>
              <w:pStyle w:val="16"/>
              <w:spacing w:line="240" w:lineRule="atLeast"/>
              <w:ind w:left="1080" w:leftChars="257" w:hanging="540"/>
              <w:jc w:val="left"/>
              <w:rPr>
                <w:rFonts w:hint="eastAsia" w:hAnsi="宋体" w:cs="宋体"/>
                <w:color w:val="000000"/>
                <w:sz w:val="24"/>
                <w:szCs w:val="24"/>
              </w:rPr>
            </w:pPr>
          </w:p>
        </w:tc>
        <w:tc>
          <w:tcPr>
            <w:tcW w:w="733" w:type="dxa"/>
            <w:noWrap w:val="0"/>
            <w:vAlign w:val="center"/>
          </w:tcPr>
          <w:p w14:paraId="56C5E1C8">
            <w:pPr>
              <w:pStyle w:val="16"/>
              <w:spacing w:line="240" w:lineRule="atLeast"/>
              <w:ind w:left="1080" w:leftChars="257" w:hanging="540"/>
              <w:jc w:val="left"/>
              <w:rPr>
                <w:rFonts w:hint="eastAsia" w:hAnsi="宋体" w:cs="宋体"/>
                <w:color w:val="000000"/>
                <w:sz w:val="24"/>
                <w:szCs w:val="24"/>
              </w:rPr>
            </w:pPr>
          </w:p>
        </w:tc>
        <w:tc>
          <w:tcPr>
            <w:tcW w:w="1036" w:type="dxa"/>
            <w:noWrap w:val="0"/>
            <w:vAlign w:val="center"/>
          </w:tcPr>
          <w:p w14:paraId="5202FEB7">
            <w:pPr>
              <w:pStyle w:val="16"/>
              <w:spacing w:line="240" w:lineRule="atLeast"/>
              <w:ind w:left="1080" w:leftChars="257" w:hanging="540"/>
              <w:jc w:val="left"/>
              <w:rPr>
                <w:rFonts w:hint="eastAsia" w:hAnsi="宋体" w:cs="宋体"/>
                <w:color w:val="000000"/>
                <w:sz w:val="24"/>
                <w:szCs w:val="24"/>
              </w:rPr>
            </w:pPr>
          </w:p>
        </w:tc>
        <w:tc>
          <w:tcPr>
            <w:tcW w:w="843" w:type="dxa"/>
            <w:noWrap w:val="0"/>
            <w:vAlign w:val="center"/>
          </w:tcPr>
          <w:p w14:paraId="73901AF1">
            <w:pPr>
              <w:pStyle w:val="16"/>
              <w:spacing w:line="240" w:lineRule="atLeast"/>
              <w:ind w:left="1080" w:leftChars="257" w:hanging="540"/>
              <w:jc w:val="left"/>
              <w:rPr>
                <w:rFonts w:hint="eastAsia" w:hAnsi="宋体" w:cs="宋体"/>
                <w:color w:val="000000"/>
                <w:sz w:val="24"/>
                <w:szCs w:val="24"/>
              </w:rPr>
            </w:pPr>
          </w:p>
        </w:tc>
        <w:tc>
          <w:tcPr>
            <w:tcW w:w="801" w:type="dxa"/>
            <w:noWrap w:val="0"/>
            <w:vAlign w:val="center"/>
          </w:tcPr>
          <w:p w14:paraId="7B40F2DD">
            <w:pPr>
              <w:pStyle w:val="16"/>
              <w:spacing w:line="240" w:lineRule="atLeast"/>
              <w:ind w:left="1080" w:leftChars="257" w:hanging="540"/>
              <w:jc w:val="left"/>
              <w:rPr>
                <w:rFonts w:hint="eastAsia" w:hAnsi="宋体" w:cs="宋体"/>
                <w:color w:val="000000"/>
                <w:sz w:val="24"/>
                <w:szCs w:val="24"/>
              </w:rPr>
            </w:pPr>
          </w:p>
        </w:tc>
      </w:tr>
      <w:tr w14:paraId="59EEB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754" w:type="dxa"/>
            <w:noWrap w:val="0"/>
            <w:vAlign w:val="center"/>
          </w:tcPr>
          <w:p w14:paraId="2A4018CD">
            <w:pPr>
              <w:pStyle w:val="16"/>
              <w:spacing w:line="240" w:lineRule="atLeast"/>
              <w:jc w:val="left"/>
              <w:rPr>
                <w:rFonts w:hint="eastAsia" w:hAnsi="宋体" w:cs="宋体"/>
                <w:color w:val="000000"/>
                <w:sz w:val="24"/>
                <w:szCs w:val="24"/>
              </w:rPr>
            </w:pPr>
            <w:r>
              <w:rPr>
                <w:rFonts w:hint="eastAsia" w:hAnsi="宋体" w:cs="宋体"/>
                <w:color w:val="000000"/>
                <w:sz w:val="24"/>
                <w:szCs w:val="24"/>
              </w:rPr>
              <w:t>3.</w:t>
            </w:r>
          </w:p>
        </w:tc>
        <w:tc>
          <w:tcPr>
            <w:tcW w:w="1336" w:type="dxa"/>
            <w:noWrap w:val="0"/>
            <w:vAlign w:val="center"/>
          </w:tcPr>
          <w:p w14:paraId="3E70D223">
            <w:pPr>
              <w:pStyle w:val="16"/>
              <w:spacing w:line="240" w:lineRule="atLeast"/>
              <w:jc w:val="left"/>
              <w:rPr>
                <w:rFonts w:hint="eastAsia" w:hAnsi="宋体" w:cs="宋体"/>
                <w:color w:val="000000"/>
                <w:sz w:val="24"/>
                <w:szCs w:val="24"/>
              </w:rPr>
            </w:pPr>
          </w:p>
        </w:tc>
        <w:tc>
          <w:tcPr>
            <w:tcW w:w="3607" w:type="dxa"/>
            <w:noWrap w:val="0"/>
            <w:vAlign w:val="center"/>
          </w:tcPr>
          <w:p w14:paraId="4F9AFC9C">
            <w:pPr>
              <w:pStyle w:val="16"/>
              <w:spacing w:line="240" w:lineRule="atLeast"/>
              <w:ind w:left="1080" w:leftChars="257" w:hanging="540"/>
              <w:jc w:val="left"/>
              <w:rPr>
                <w:rFonts w:hint="eastAsia" w:hAnsi="宋体" w:cs="宋体"/>
                <w:color w:val="000000"/>
                <w:sz w:val="24"/>
                <w:szCs w:val="24"/>
              </w:rPr>
            </w:pPr>
          </w:p>
        </w:tc>
        <w:tc>
          <w:tcPr>
            <w:tcW w:w="750" w:type="dxa"/>
            <w:noWrap w:val="0"/>
            <w:vAlign w:val="center"/>
          </w:tcPr>
          <w:p w14:paraId="63973091">
            <w:pPr>
              <w:pStyle w:val="16"/>
              <w:spacing w:line="240" w:lineRule="atLeast"/>
              <w:ind w:left="1080" w:leftChars="257" w:hanging="540"/>
              <w:jc w:val="left"/>
              <w:rPr>
                <w:rFonts w:hint="eastAsia" w:hAnsi="宋体" w:cs="宋体"/>
                <w:color w:val="000000"/>
                <w:sz w:val="24"/>
                <w:szCs w:val="24"/>
              </w:rPr>
            </w:pPr>
          </w:p>
        </w:tc>
        <w:tc>
          <w:tcPr>
            <w:tcW w:w="733" w:type="dxa"/>
            <w:noWrap w:val="0"/>
            <w:vAlign w:val="center"/>
          </w:tcPr>
          <w:p w14:paraId="0F830351">
            <w:pPr>
              <w:pStyle w:val="16"/>
              <w:spacing w:line="240" w:lineRule="atLeast"/>
              <w:ind w:left="1080" w:leftChars="257" w:hanging="540"/>
              <w:jc w:val="left"/>
              <w:rPr>
                <w:rFonts w:hint="eastAsia" w:hAnsi="宋体" w:cs="宋体"/>
                <w:color w:val="000000"/>
                <w:sz w:val="24"/>
                <w:szCs w:val="24"/>
              </w:rPr>
            </w:pPr>
          </w:p>
        </w:tc>
        <w:tc>
          <w:tcPr>
            <w:tcW w:w="1036" w:type="dxa"/>
            <w:noWrap w:val="0"/>
            <w:vAlign w:val="center"/>
          </w:tcPr>
          <w:p w14:paraId="2766EFAB">
            <w:pPr>
              <w:pStyle w:val="16"/>
              <w:spacing w:line="240" w:lineRule="atLeast"/>
              <w:ind w:left="1080" w:leftChars="257" w:hanging="540"/>
              <w:jc w:val="left"/>
              <w:rPr>
                <w:rFonts w:hint="eastAsia" w:hAnsi="宋体" w:cs="宋体"/>
                <w:color w:val="000000"/>
                <w:sz w:val="24"/>
                <w:szCs w:val="24"/>
              </w:rPr>
            </w:pPr>
          </w:p>
        </w:tc>
        <w:tc>
          <w:tcPr>
            <w:tcW w:w="843" w:type="dxa"/>
            <w:noWrap w:val="0"/>
            <w:vAlign w:val="center"/>
          </w:tcPr>
          <w:p w14:paraId="4D99C1C5">
            <w:pPr>
              <w:pStyle w:val="16"/>
              <w:spacing w:line="240" w:lineRule="atLeast"/>
              <w:ind w:left="1080" w:leftChars="257" w:hanging="540"/>
              <w:jc w:val="left"/>
              <w:rPr>
                <w:rFonts w:hint="eastAsia" w:hAnsi="宋体" w:cs="宋体"/>
                <w:color w:val="000000"/>
                <w:sz w:val="24"/>
                <w:szCs w:val="24"/>
              </w:rPr>
            </w:pPr>
          </w:p>
        </w:tc>
        <w:tc>
          <w:tcPr>
            <w:tcW w:w="801" w:type="dxa"/>
            <w:noWrap w:val="0"/>
            <w:vAlign w:val="center"/>
          </w:tcPr>
          <w:p w14:paraId="1AB66D83">
            <w:pPr>
              <w:pStyle w:val="16"/>
              <w:spacing w:line="240" w:lineRule="atLeast"/>
              <w:ind w:left="1080" w:leftChars="257" w:hanging="540"/>
              <w:jc w:val="left"/>
              <w:rPr>
                <w:rFonts w:hint="eastAsia" w:hAnsi="宋体" w:cs="宋体"/>
                <w:color w:val="000000"/>
                <w:sz w:val="24"/>
                <w:szCs w:val="24"/>
              </w:rPr>
            </w:pPr>
          </w:p>
        </w:tc>
      </w:tr>
      <w:tr w14:paraId="105F9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754" w:type="dxa"/>
            <w:noWrap w:val="0"/>
            <w:vAlign w:val="center"/>
          </w:tcPr>
          <w:p w14:paraId="7E86E80A">
            <w:pPr>
              <w:pStyle w:val="16"/>
              <w:spacing w:line="240" w:lineRule="atLeast"/>
              <w:jc w:val="left"/>
              <w:rPr>
                <w:rFonts w:hint="eastAsia" w:hAnsi="宋体" w:cs="宋体"/>
                <w:color w:val="000000"/>
                <w:sz w:val="24"/>
                <w:szCs w:val="24"/>
              </w:rPr>
            </w:pPr>
            <w:r>
              <w:rPr>
                <w:rFonts w:hint="eastAsia" w:hAnsi="宋体" w:cs="宋体"/>
                <w:color w:val="000000"/>
                <w:sz w:val="24"/>
                <w:szCs w:val="24"/>
              </w:rPr>
              <w:t>4.</w:t>
            </w:r>
          </w:p>
        </w:tc>
        <w:tc>
          <w:tcPr>
            <w:tcW w:w="1336" w:type="dxa"/>
            <w:noWrap w:val="0"/>
            <w:vAlign w:val="center"/>
          </w:tcPr>
          <w:p w14:paraId="7D926AD6">
            <w:pPr>
              <w:pStyle w:val="16"/>
              <w:spacing w:line="240" w:lineRule="atLeast"/>
              <w:jc w:val="left"/>
              <w:rPr>
                <w:rFonts w:hint="eastAsia" w:hAnsi="宋体" w:cs="宋体"/>
                <w:color w:val="000000"/>
                <w:sz w:val="24"/>
                <w:szCs w:val="24"/>
              </w:rPr>
            </w:pPr>
          </w:p>
        </w:tc>
        <w:tc>
          <w:tcPr>
            <w:tcW w:w="3607" w:type="dxa"/>
            <w:noWrap w:val="0"/>
            <w:vAlign w:val="center"/>
          </w:tcPr>
          <w:p w14:paraId="444D5A68">
            <w:pPr>
              <w:pStyle w:val="16"/>
              <w:spacing w:line="240" w:lineRule="atLeast"/>
              <w:ind w:left="1080" w:leftChars="257" w:hanging="540"/>
              <w:jc w:val="left"/>
              <w:rPr>
                <w:rFonts w:hint="eastAsia" w:hAnsi="宋体" w:cs="宋体"/>
                <w:color w:val="000000"/>
                <w:sz w:val="24"/>
                <w:szCs w:val="24"/>
              </w:rPr>
            </w:pPr>
          </w:p>
        </w:tc>
        <w:tc>
          <w:tcPr>
            <w:tcW w:w="750" w:type="dxa"/>
            <w:noWrap w:val="0"/>
            <w:vAlign w:val="center"/>
          </w:tcPr>
          <w:p w14:paraId="7E5256D7">
            <w:pPr>
              <w:pStyle w:val="16"/>
              <w:spacing w:line="240" w:lineRule="atLeast"/>
              <w:ind w:left="1080" w:leftChars="257" w:hanging="540"/>
              <w:jc w:val="left"/>
              <w:rPr>
                <w:rFonts w:hint="eastAsia" w:hAnsi="宋体" w:cs="宋体"/>
                <w:color w:val="000000"/>
                <w:sz w:val="24"/>
                <w:szCs w:val="24"/>
              </w:rPr>
            </w:pPr>
          </w:p>
        </w:tc>
        <w:tc>
          <w:tcPr>
            <w:tcW w:w="733" w:type="dxa"/>
            <w:noWrap w:val="0"/>
            <w:vAlign w:val="center"/>
          </w:tcPr>
          <w:p w14:paraId="733EB6B8">
            <w:pPr>
              <w:pStyle w:val="16"/>
              <w:spacing w:line="240" w:lineRule="atLeast"/>
              <w:ind w:left="1080" w:leftChars="257" w:hanging="540"/>
              <w:jc w:val="left"/>
              <w:rPr>
                <w:rFonts w:hint="eastAsia" w:hAnsi="宋体" w:cs="宋体"/>
                <w:color w:val="000000"/>
                <w:sz w:val="24"/>
                <w:szCs w:val="24"/>
              </w:rPr>
            </w:pPr>
          </w:p>
        </w:tc>
        <w:tc>
          <w:tcPr>
            <w:tcW w:w="1036" w:type="dxa"/>
            <w:noWrap w:val="0"/>
            <w:vAlign w:val="center"/>
          </w:tcPr>
          <w:p w14:paraId="4B3E98AA">
            <w:pPr>
              <w:pStyle w:val="16"/>
              <w:spacing w:line="240" w:lineRule="atLeast"/>
              <w:ind w:left="1080" w:leftChars="257" w:hanging="540"/>
              <w:jc w:val="left"/>
              <w:rPr>
                <w:rFonts w:hint="eastAsia" w:hAnsi="宋体" w:cs="宋体"/>
                <w:color w:val="000000"/>
                <w:sz w:val="24"/>
                <w:szCs w:val="24"/>
              </w:rPr>
            </w:pPr>
          </w:p>
        </w:tc>
        <w:tc>
          <w:tcPr>
            <w:tcW w:w="843" w:type="dxa"/>
            <w:noWrap w:val="0"/>
            <w:vAlign w:val="center"/>
          </w:tcPr>
          <w:p w14:paraId="42C6C29A">
            <w:pPr>
              <w:pStyle w:val="16"/>
              <w:spacing w:line="240" w:lineRule="atLeast"/>
              <w:ind w:left="1080" w:leftChars="257" w:hanging="540"/>
              <w:jc w:val="left"/>
              <w:rPr>
                <w:rFonts w:hint="eastAsia" w:hAnsi="宋体" w:cs="宋体"/>
                <w:color w:val="000000"/>
                <w:sz w:val="24"/>
                <w:szCs w:val="24"/>
              </w:rPr>
            </w:pPr>
          </w:p>
        </w:tc>
        <w:tc>
          <w:tcPr>
            <w:tcW w:w="801" w:type="dxa"/>
            <w:noWrap w:val="0"/>
            <w:vAlign w:val="center"/>
          </w:tcPr>
          <w:p w14:paraId="4AD7C6D8">
            <w:pPr>
              <w:pStyle w:val="16"/>
              <w:spacing w:line="240" w:lineRule="atLeast"/>
              <w:ind w:left="1080" w:leftChars="257" w:hanging="540"/>
              <w:jc w:val="left"/>
              <w:rPr>
                <w:rFonts w:hint="eastAsia" w:hAnsi="宋体" w:cs="宋体"/>
                <w:color w:val="000000"/>
                <w:sz w:val="24"/>
                <w:szCs w:val="24"/>
              </w:rPr>
            </w:pPr>
          </w:p>
        </w:tc>
      </w:tr>
      <w:tr w14:paraId="5EBAA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754" w:type="dxa"/>
            <w:noWrap w:val="0"/>
            <w:vAlign w:val="center"/>
          </w:tcPr>
          <w:p w14:paraId="04AF9D67">
            <w:pPr>
              <w:pStyle w:val="16"/>
              <w:spacing w:line="240" w:lineRule="atLeast"/>
              <w:jc w:val="left"/>
              <w:rPr>
                <w:rFonts w:hint="eastAsia" w:hAnsi="宋体" w:cs="宋体"/>
                <w:color w:val="000000"/>
                <w:sz w:val="24"/>
                <w:szCs w:val="24"/>
              </w:rPr>
            </w:pPr>
            <w:r>
              <w:rPr>
                <w:rFonts w:hint="eastAsia" w:hAnsi="宋体" w:cs="宋体"/>
                <w:color w:val="000000"/>
                <w:sz w:val="24"/>
                <w:szCs w:val="24"/>
              </w:rPr>
              <w:t>5.</w:t>
            </w:r>
          </w:p>
        </w:tc>
        <w:tc>
          <w:tcPr>
            <w:tcW w:w="1336" w:type="dxa"/>
            <w:noWrap w:val="0"/>
            <w:vAlign w:val="center"/>
          </w:tcPr>
          <w:p w14:paraId="6532D0D6">
            <w:pPr>
              <w:pStyle w:val="16"/>
              <w:spacing w:line="240" w:lineRule="atLeast"/>
              <w:jc w:val="left"/>
              <w:rPr>
                <w:rFonts w:hint="eastAsia" w:hAnsi="宋体" w:cs="宋体"/>
                <w:color w:val="000000"/>
                <w:sz w:val="24"/>
                <w:szCs w:val="24"/>
              </w:rPr>
            </w:pPr>
          </w:p>
        </w:tc>
        <w:tc>
          <w:tcPr>
            <w:tcW w:w="3607" w:type="dxa"/>
            <w:noWrap w:val="0"/>
            <w:vAlign w:val="center"/>
          </w:tcPr>
          <w:p w14:paraId="791D20AF">
            <w:pPr>
              <w:pStyle w:val="16"/>
              <w:spacing w:line="240" w:lineRule="atLeast"/>
              <w:ind w:left="1080" w:leftChars="257" w:hanging="540"/>
              <w:jc w:val="left"/>
              <w:rPr>
                <w:rFonts w:hint="eastAsia" w:hAnsi="宋体" w:cs="宋体"/>
                <w:color w:val="000000"/>
                <w:sz w:val="24"/>
                <w:szCs w:val="24"/>
              </w:rPr>
            </w:pPr>
          </w:p>
        </w:tc>
        <w:tc>
          <w:tcPr>
            <w:tcW w:w="750" w:type="dxa"/>
            <w:noWrap w:val="0"/>
            <w:vAlign w:val="center"/>
          </w:tcPr>
          <w:p w14:paraId="404CD159">
            <w:pPr>
              <w:pStyle w:val="16"/>
              <w:spacing w:line="240" w:lineRule="atLeast"/>
              <w:ind w:left="1080" w:leftChars="257" w:hanging="540"/>
              <w:jc w:val="left"/>
              <w:rPr>
                <w:rFonts w:hint="eastAsia" w:hAnsi="宋体" w:cs="宋体"/>
                <w:color w:val="000000"/>
                <w:sz w:val="24"/>
                <w:szCs w:val="24"/>
              </w:rPr>
            </w:pPr>
          </w:p>
        </w:tc>
        <w:tc>
          <w:tcPr>
            <w:tcW w:w="733" w:type="dxa"/>
            <w:noWrap w:val="0"/>
            <w:vAlign w:val="center"/>
          </w:tcPr>
          <w:p w14:paraId="7F20AF06">
            <w:pPr>
              <w:pStyle w:val="16"/>
              <w:spacing w:line="240" w:lineRule="atLeast"/>
              <w:ind w:left="1080" w:leftChars="257" w:hanging="540"/>
              <w:jc w:val="left"/>
              <w:rPr>
                <w:rFonts w:hint="eastAsia" w:hAnsi="宋体" w:cs="宋体"/>
                <w:color w:val="000000"/>
                <w:sz w:val="24"/>
                <w:szCs w:val="24"/>
              </w:rPr>
            </w:pPr>
          </w:p>
        </w:tc>
        <w:tc>
          <w:tcPr>
            <w:tcW w:w="1036" w:type="dxa"/>
            <w:noWrap w:val="0"/>
            <w:vAlign w:val="center"/>
          </w:tcPr>
          <w:p w14:paraId="68A0FB62">
            <w:pPr>
              <w:pStyle w:val="16"/>
              <w:spacing w:line="240" w:lineRule="atLeast"/>
              <w:ind w:left="1080" w:leftChars="257" w:hanging="540"/>
              <w:jc w:val="left"/>
              <w:rPr>
                <w:rFonts w:hint="eastAsia" w:hAnsi="宋体" w:cs="宋体"/>
                <w:color w:val="000000"/>
                <w:sz w:val="24"/>
                <w:szCs w:val="24"/>
              </w:rPr>
            </w:pPr>
          </w:p>
        </w:tc>
        <w:tc>
          <w:tcPr>
            <w:tcW w:w="843" w:type="dxa"/>
            <w:noWrap w:val="0"/>
            <w:vAlign w:val="center"/>
          </w:tcPr>
          <w:p w14:paraId="66732193">
            <w:pPr>
              <w:pStyle w:val="16"/>
              <w:spacing w:line="240" w:lineRule="atLeast"/>
              <w:ind w:left="1080" w:leftChars="257" w:hanging="540"/>
              <w:jc w:val="left"/>
              <w:rPr>
                <w:rFonts w:hint="eastAsia" w:hAnsi="宋体" w:cs="宋体"/>
                <w:color w:val="000000"/>
                <w:sz w:val="24"/>
                <w:szCs w:val="24"/>
              </w:rPr>
            </w:pPr>
          </w:p>
        </w:tc>
        <w:tc>
          <w:tcPr>
            <w:tcW w:w="801" w:type="dxa"/>
            <w:noWrap w:val="0"/>
            <w:vAlign w:val="center"/>
          </w:tcPr>
          <w:p w14:paraId="2E312230">
            <w:pPr>
              <w:pStyle w:val="16"/>
              <w:spacing w:line="240" w:lineRule="atLeast"/>
              <w:ind w:left="1080" w:leftChars="257" w:hanging="540"/>
              <w:jc w:val="left"/>
              <w:rPr>
                <w:rFonts w:hint="eastAsia" w:hAnsi="宋体" w:cs="宋体"/>
                <w:color w:val="000000"/>
                <w:sz w:val="24"/>
                <w:szCs w:val="24"/>
              </w:rPr>
            </w:pPr>
          </w:p>
        </w:tc>
      </w:tr>
      <w:tr w14:paraId="7FA02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8" w:hRule="atLeast"/>
          <w:jc w:val="center"/>
        </w:trPr>
        <w:tc>
          <w:tcPr>
            <w:tcW w:w="9059" w:type="dxa"/>
            <w:gridSpan w:val="7"/>
            <w:noWrap w:val="0"/>
            <w:vAlign w:val="center"/>
          </w:tcPr>
          <w:p w14:paraId="7F3DFFD2">
            <w:pPr>
              <w:pStyle w:val="16"/>
              <w:spacing w:line="240" w:lineRule="atLeast"/>
              <w:ind w:left="1080" w:leftChars="257" w:hanging="540"/>
              <w:jc w:val="left"/>
              <w:rPr>
                <w:rFonts w:hint="eastAsia" w:hAnsi="宋体" w:cs="宋体"/>
                <w:color w:val="000000"/>
                <w:sz w:val="24"/>
                <w:szCs w:val="24"/>
              </w:rPr>
            </w:pPr>
            <w:r>
              <w:rPr>
                <w:rFonts w:hint="eastAsia" w:hAnsi="宋体" w:cs="宋体"/>
                <w:color w:val="000000"/>
                <w:sz w:val="24"/>
                <w:szCs w:val="24"/>
              </w:rPr>
              <w:t>总价：</w:t>
            </w:r>
          </w:p>
        </w:tc>
        <w:tc>
          <w:tcPr>
            <w:tcW w:w="801" w:type="dxa"/>
            <w:noWrap w:val="0"/>
            <w:vAlign w:val="center"/>
          </w:tcPr>
          <w:p w14:paraId="366B9DD4">
            <w:pPr>
              <w:pStyle w:val="16"/>
              <w:spacing w:line="240" w:lineRule="atLeast"/>
              <w:ind w:left="1080" w:leftChars="257" w:hanging="540"/>
              <w:jc w:val="left"/>
              <w:rPr>
                <w:rFonts w:hint="eastAsia" w:hAnsi="宋体" w:cs="宋体"/>
                <w:color w:val="000000"/>
                <w:sz w:val="24"/>
                <w:szCs w:val="24"/>
              </w:rPr>
            </w:pPr>
          </w:p>
        </w:tc>
      </w:tr>
    </w:tbl>
    <w:p w14:paraId="46A3FE3F">
      <w:pPr>
        <w:pStyle w:val="16"/>
        <w:spacing w:line="240" w:lineRule="atLeast"/>
        <w:ind w:left="1080" w:leftChars="257" w:hanging="540"/>
        <w:rPr>
          <w:rFonts w:hint="eastAsia" w:hAnsi="宋体" w:cs="宋体"/>
          <w:sz w:val="24"/>
          <w:szCs w:val="24"/>
        </w:rPr>
      </w:pPr>
    </w:p>
    <w:p w14:paraId="0945C988">
      <w:pPr>
        <w:pStyle w:val="16"/>
        <w:tabs>
          <w:tab w:val="left" w:pos="5370"/>
        </w:tabs>
        <w:spacing w:line="240" w:lineRule="atLeast"/>
        <w:ind w:left="1154" w:leftChars="485" w:hanging="136" w:hangingChars="57"/>
        <w:rPr>
          <w:rFonts w:hint="eastAsia" w:hAnsi="宋体" w:cs="宋体"/>
          <w:sz w:val="24"/>
          <w:szCs w:val="24"/>
        </w:rPr>
      </w:pPr>
    </w:p>
    <w:p w14:paraId="64AD4B21">
      <w:pPr>
        <w:pStyle w:val="16"/>
        <w:tabs>
          <w:tab w:val="left" w:pos="5370"/>
        </w:tabs>
        <w:spacing w:line="240" w:lineRule="atLeast"/>
        <w:ind w:firstLine="720" w:firstLineChars="300"/>
        <w:rPr>
          <w:rFonts w:hint="eastAsia" w:hAnsi="宋体" w:cs="宋体"/>
          <w:sz w:val="24"/>
          <w:szCs w:val="24"/>
          <w:u w:val="single"/>
        </w:rPr>
      </w:pPr>
      <w:r>
        <w:rPr>
          <w:rFonts w:hint="eastAsia" w:hAnsi="宋体" w:cs="宋体"/>
          <w:sz w:val="24"/>
          <w:szCs w:val="24"/>
        </w:rPr>
        <w:t>投标人(盖单位章):</w:t>
      </w:r>
      <w:r>
        <w:rPr>
          <w:rFonts w:hint="eastAsia" w:hAnsi="宋体" w:cs="宋体"/>
          <w:sz w:val="24"/>
          <w:szCs w:val="24"/>
          <w:u w:val="single"/>
        </w:rPr>
        <w:tab/>
      </w:r>
      <w:r>
        <w:rPr>
          <w:rFonts w:hint="eastAsia" w:hAnsi="宋体" w:cs="宋体"/>
          <w:sz w:val="24"/>
          <w:szCs w:val="24"/>
          <w:u w:val="single"/>
        </w:rPr>
        <w:t xml:space="preserve">      </w:t>
      </w:r>
    </w:p>
    <w:p w14:paraId="637801C9">
      <w:pPr>
        <w:pStyle w:val="16"/>
        <w:tabs>
          <w:tab w:val="left" w:pos="5370"/>
        </w:tabs>
        <w:spacing w:line="240" w:lineRule="atLeast"/>
        <w:ind w:left="1080" w:leftChars="257" w:hanging="540"/>
        <w:rPr>
          <w:rFonts w:hint="eastAsia" w:hAnsi="宋体" w:cs="宋体"/>
          <w:sz w:val="24"/>
          <w:szCs w:val="24"/>
          <w:u w:val="single"/>
        </w:rPr>
      </w:pPr>
    </w:p>
    <w:p w14:paraId="3F09CBF0">
      <w:pPr>
        <w:pStyle w:val="35"/>
        <w:ind w:firstLine="720" w:firstLineChars="300"/>
        <w:rPr>
          <w:rFonts w:ascii="宋体" w:hAnsi="宋体" w:eastAsia="宋体" w:cs="宋体"/>
          <w:szCs w:val="24"/>
        </w:rPr>
      </w:pPr>
      <w:r>
        <w:rPr>
          <w:rFonts w:ascii="宋体" w:hAnsi="宋体" w:eastAsia="宋体" w:cs="宋体"/>
          <w:szCs w:val="24"/>
        </w:rPr>
        <w:t>法定代表人或其委托代理人</w:t>
      </w:r>
      <w:r>
        <w:rPr>
          <w:rFonts w:ascii="宋体" w:hAnsi="宋体" w:eastAsia="宋体" w:cs="宋体"/>
          <w:color w:val="000000"/>
          <w:szCs w:val="24"/>
        </w:rPr>
        <w:t>（签/章）</w:t>
      </w:r>
      <w:r>
        <w:rPr>
          <w:rFonts w:ascii="宋体" w:hAnsi="宋体" w:eastAsia="宋体" w:cs="宋体"/>
          <w:szCs w:val="24"/>
        </w:rPr>
        <w:t>:</w:t>
      </w:r>
      <w:r>
        <w:rPr>
          <w:rFonts w:ascii="宋体" w:hAnsi="宋体" w:eastAsia="宋体" w:cs="宋体"/>
          <w:szCs w:val="24"/>
          <w:u w:val="single"/>
        </w:rPr>
        <w:t xml:space="preserve">     </w:t>
      </w:r>
      <w:r>
        <w:rPr>
          <w:rFonts w:ascii="宋体" w:hAnsi="宋体" w:eastAsia="宋体" w:cs="宋体"/>
          <w:szCs w:val="24"/>
          <w:u w:val="single"/>
        </w:rPr>
        <w:tab/>
      </w:r>
      <w:r>
        <w:rPr>
          <w:rFonts w:ascii="宋体" w:hAnsi="宋体" w:eastAsia="宋体" w:cs="宋体"/>
          <w:szCs w:val="24"/>
          <w:u w:val="single"/>
        </w:rPr>
        <w:t xml:space="preserve">   </w:t>
      </w:r>
    </w:p>
    <w:p w14:paraId="17A9051F">
      <w:pPr>
        <w:pStyle w:val="16"/>
        <w:spacing w:line="240" w:lineRule="atLeast"/>
        <w:ind w:left="1080" w:leftChars="257" w:hanging="540"/>
        <w:rPr>
          <w:rFonts w:hint="eastAsia" w:hAnsi="宋体" w:cs="宋体"/>
          <w:color w:val="000000"/>
          <w:sz w:val="24"/>
          <w:szCs w:val="24"/>
        </w:rPr>
      </w:pPr>
    </w:p>
    <w:p w14:paraId="61CDA286">
      <w:pPr>
        <w:pStyle w:val="16"/>
        <w:spacing w:line="240" w:lineRule="atLeast"/>
        <w:ind w:left="1080" w:leftChars="257" w:hanging="540"/>
        <w:rPr>
          <w:rFonts w:hint="eastAsia" w:hAnsi="宋体" w:cs="宋体"/>
          <w:color w:val="000000"/>
          <w:sz w:val="24"/>
          <w:szCs w:val="24"/>
        </w:rPr>
      </w:pPr>
      <w:r>
        <w:rPr>
          <w:rFonts w:hint="eastAsia" w:hAnsi="宋体" w:cs="宋体"/>
          <w:color w:val="000000"/>
          <w:sz w:val="24"/>
          <w:szCs w:val="24"/>
        </w:rPr>
        <w:t>注:1.如果供应商认为需要，每种服务填写一份该表。</w:t>
      </w:r>
    </w:p>
    <w:p w14:paraId="6B0C6B5C">
      <w:pPr>
        <w:pStyle w:val="16"/>
        <w:spacing w:line="240" w:lineRule="atLeast"/>
        <w:ind w:left="1079" w:leftChars="428" w:hanging="180" w:hangingChars="75"/>
        <w:rPr>
          <w:rFonts w:hint="eastAsia" w:hAnsi="宋体" w:cs="宋体"/>
          <w:color w:val="000000"/>
          <w:sz w:val="24"/>
          <w:szCs w:val="24"/>
        </w:rPr>
      </w:pPr>
      <w:r>
        <w:rPr>
          <w:rFonts w:hint="eastAsia" w:hAnsi="宋体" w:cs="宋体"/>
          <w:color w:val="000000"/>
          <w:sz w:val="24"/>
          <w:szCs w:val="24"/>
        </w:rPr>
        <w:t>2.如果按单价计算的结果与总价不一致,以单价为准修正总价。</w:t>
      </w:r>
    </w:p>
    <w:p w14:paraId="6E517F8E">
      <w:pPr>
        <w:pStyle w:val="16"/>
        <w:spacing w:line="240" w:lineRule="atLeast"/>
        <w:ind w:left="1080" w:leftChars="257" w:hanging="540"/>
        <w:rPr>
          <w:rFonts w:hint="eastAsia" w:hAnsi="宋体" w:cs="宋体"/>
          <w:color w:val="000000"/>
          <w:sz w:val="24"/>
          <w:szCs w:val="24"/>
        </w:rPr>
      </w:pPr>
      <w:r>
        <w:rPr>
          <w:rFonts w:hint="eastAsia" w:hAnsi="宋体" w:cs="宋体"/>
          <w:color w:val="000000"/>
          <w:sz w:val="24"/>
          <w:szCs w:val="24"/>
        </w:rPr>
        <w:t xml:space="preserve">   </w:t>
      </w:r>
      <w:r>
        <w:rPr>
          <w:rFonts w:hint="eastAsia" w:hAnsi="宋体" w:cs="宋体"/>
          <w:color w:val="000000"/>
          <w:sz w:val="24"/>
          <w:szCs w:val="24"/>
          <w:lang w:val="en-US" w:eastAsia="zh-CN"/>
        </w:rPr>
        <w:t>3</w:t>
      </w:r>
      <w:r>
        <w:rPr>
          <w:rFonts w:hint="eastAsia" w:hAnsi="宋体" w:cs="宋体"/>
          <w:color w:val="000000"/>
          <w:sz w:val="24"/>
          <w:szCs w:val="24"/>
        </w:rPr>
        <w:t>.如果磋商开启一览表（报价表）内容与磋商文件中明细表内容不一致的，以磋商开启一览表（报价表）内容为准。</w:t>
      </w:r>
      <w:bookmarkStart w:id="329" w:name="_Toc24292"/>
      <w:bookmarkStart w:id="330" w:name="_Toc14037"/>
      <w:bookmarkStart w:id="331" w:name="_Toc25251"/>
      <w:bookmarkStart w:id="332" w:name="_Toc515647819"/>
      <w:bookmarkStart w:id="333" w:name="_Toc18267"/>
      <w:bookmarkStart w:id="334" w:name="_Toc6343"/>
      <w:bookmarkStart w:id="335" w:name="_Toc22216"/>
      <w:bookmarkStart w:id="336" w:name="_Toc12151"/>
      <w:bookmarkStart w:id="337" w:name="_Toc22104"/>
      <w:bookmarkStart w:id="338" w:name="_Toc22132"/>
      <w:bookmarkStart w:id="339" w:name="_Toc216582816"/>
      <w:bookmarkStart w:id="340" w:name="_Toc9921"/>
    </w:p>
    <w:p w14:paraId="13403432">
      <w:pPr>
        <w:pStyle w:val="16"/>
        <w:spacing w:line="240" w:lineRule="atLeast"/>
        <w:ind w:left="1080" w:leftChars="257" w:hanging="540"/>
        <w:rPr>
          <w:rFonts w:hint="eastAsia" w:hAnsi="宋体" w:cs="宋体"/>
          <w:color w:val="000000"/>
          <w:sz w:val="24"/>
          <w:szCs w:val="24"/>
        </w:rPr>
      </w:pPr>
    </w:p>
    <w:p w14:paraId="76A5A949">
      <w:pPr>
        <w:pStyle w:val="16"/>
        <w:spacing w:line="240" w:lineRule="atLeast"/>
        <w:ind w:left="1080" w:leftChars="257" w:hanging="540"/>
        <w:rPr>
          <w:rFonts w:hint="eastAsia" w:hAnsi="宋体" w:cs="宋体"/>
          <w:color w:val="000000"/>
          <w:sz w:val="24"/>
          <w:szCs w:val="24"/>
        </w:rPr>
      </w:pPr>
    </w:p>
    <w:p w14:paraId="283F7C1C">
      <w:pPr>
        <w:pStyle w:val="16"/>
        <w:spacing w:line="240" w:lineRule="atLeast"/>
        <w:ind w:left="1080" w:leftChars="257" w:hanging="540"/>
        <w:rPr>
          <w:rFonts w:hint="eastAsia" w:hAnsi="宋体" w:cs="宋体"/>
          <w:color w:val="000000"/>
          <w:sz w:val="24"/>
          <w:szCs w:val="24"/>
        </w:rPr>
      </w:pPr>
    </w:p>
    <w:p w14:paraId="05850B46">
      <w:pPr>
        <w:pStyle w:val="16"/>
        <w:spacing w:line="240" w:lineRule="atLeast"/>
        <w:ind w:left="1080" w:leftChars="257" w:hanging="540"/>
        <w:rPr>
          <w:rFonts w:hint="eastAsia" w:hAnsi="宋体" w:cs="宋体"/>
          <w:color w:val="000000"/>
          <w:sz w:val="24"/>
          <w:szCs w:val="24"/>
        </w:rPr>
      </w:pPr>
    </w:p>
    <w:p w14:paraId="14B7431F">
      <w:pPr>
        <w:pStyle w:val="16"/>
        <w:spacing w:line="240" w:lineRule="atLeast"/>
        <w:ind w:left="1080" w:leftChars="257" w:hanging="540"/>
        <w:rPr>
          <w:rFonts w:hint="eastAsia" w:hAnsi="宋体" w:cs="宋体"/>
          <w:color w:val="000000"/>
          <w:sz w:val="24"/>
          <w:szCs w:val="24"/>
        </w:rPr>
      </w:pPr>
    </w:p>
    <w:p w14:paraId="082F85BD">
      <w:pPr>
        <w:pStyle w:val="17"/>
        <w:rPr>
          <w:rFonts w:hint="eastAsia" w:hAnsi="宋体" w:cs="宋体"/>
          <w:color w:val="000000"/>
          <w:sz w:val="24"/>
          <w:szCs w:val="24"/>
        </w:rPr>
      </w:pPr>
    </w:p>
    <w:p w14:paraId="4723C773">
      <w:pPr>
        <w:rPr>
          <w:rFonts w:hint="eastAsia"/>
        </w:rPr>
      </w:pPr>
    </w:p>
    <w:p w14:paraId="051C3228">
      <w:pPr>
        <w:pStyle w:val="16"/>
        <w:spacing w:line="240" w:lineRule="atLeast"/>
        <w:ind w:left="1080" w:leftChars="257" w:hanging="540"/>
        <w:rPr>
          <w:rFonts w:hint="eastAsia" w:hAnsi="宋体" w:cs="宋体"/>
          <w:color w:val="000000"/>
          <w:sz w:val="24"/>
          <w:szCs w:val="24"/>
        </w:rPr>
      </w:pPr>
    </w:p>
    <w:p w14:paraId="3EF6454B">
      <w:pPr>
        <w:pStyle w:val="16"/>
        <w:spacing w:line="240" w:lineRule="atLeast"/>
        <w:ind w:left="1080" w:leftChars="257" w:hanging="540"/>
        <w:rPr>
          <w:rFonts w:hint="eastAsia" w:hAnsi="宋体" w:cs="宋体"/>
          <w:color w:val="000000"/>
          <w:sz w:val="24"/>
          <w:szCs w:val="24"/>
        </w:rPr>
      </w:pPr>
    </w:p>
    <w:p w14:paraId="1A543577">
      <w:pPr>
        <w:pStyle w:val="16"/>
        <w:spacing w:line="240" w:lineRule="atLeast"/>
        <w:ind w:left="1080" w:leftChars="257" w:hanging="540"/>
        <w:rPr>
          <w:rFonts w:hint="eastAsia" w:hAnsi="宋体" w:cs="宋体"/>
          <w:color w:val="000000"/>
          <w:sz w:val="24"/>
          <w:szCs w:val="24"/>
        </w:rPr>
      </w:pPr>
    </w:p>
    <w:p w14:paraId="26575F39">
      <w:pPr>
        <w:pStyle w:val="16"/>
        <w:spacing w:line="240" w:lineRule="atLeast"/>
        <w:rPr>
          <w:rFonts w:hint="eastAsia" w:hAnsi="宋体" w:cs="宋体"/>
          <w:color w:val="000000"/>
          <w:sz w:val="24"/>
          <w:szCs w:val="24"/>
        </w:rPr>
      </w:pPr>
    </w:p>
    <w:bookmarkEnd w:id="329"/>
    <w:bookmarkEnd w:id="330"/>
    <w:bookmarkEnd w:id="331"/>
    <w:bookmarkEnd w:id="332"/>
    <w:bookmarkEnd w:id="333"/>
    <w:bookmarkEnd w:id="334"/>
    <w:bookmarkEnd w:id="335"/>
    <w:bookmarkEnd w:id="336"/>
    <w:bookmarkEnd w:id="337"/>
    <w:bookmarkEnd w:id="338"/>
    <w:bookmarkEnd w:id="339"/>
    <w:bookmarkEnd w:id="340"/>
    <w:p w14:paraId="13912483">
      <w:pPr>
        <w:pStyle w:val="16"/>
        <w:spacing w:line="240" w:lineRule="atLeast"/>
        <w:ind w:left="1080" w:leftChars="257" w:hanging="540"/>
        <w:jc w:val="center"/>
        <w:rPr>
          <w:rFonts w:hint="eastAsia" w:hAnsi="宋体" w:cs="宋体"/>
          <w:b/>
          <w:bCs/>
          <w:color w:val="000000"/>
          <w:sz w:val="24"/>
          <w:szCs w:val="24"/>
        </w:rPr>
      </w:pPr>
      <w:r>
        <w:rPr>
          <w:rFonts w:hint="eastAsia" w:hAnsi="宋体" w:cs="宋体"/>
          <w:b/>
          <w:bCs/>
          <w:color w:val="000000"/>
          <w:sz w:val="24"/>
          <w:szCs w:val="24"/>
        </w:rPr>
        <w:t>3、服务说明一览表</w:t>
      </w:r>
    </w:p>
    <w:p w14:paraId="45BC7703">
      <w:pPr>
        <w:pStyle w:val="16"/>
        <w:spacing w:line="240" w:lineRule="atLeast"/>
        <w:ind w:left="1080" w:leftChars="257" w:hanging="540"/>
        <w:rPr>
          <w:rFonts w:hint="eastAsia" w:hAnsi="宋体" w:cs="宋体"/>
          <w:color w:val="000000"/>
          <w:sz w:val="24"/>
          <w:szCs w:val="24"/>
        </w:rPr>
      </w:pPr>
    </w:p>
    <w:p w14:paraId="696915EB">
      <w:pPr>
        <w:pStyle w:val="16"/>
        <w:spacing w:line="240" w:lineRule="atLeast"/>
        <w:ind w:left="1080" w:leftChars="257" w:hanging="540"/>
        <w:rPr>
          <w:rFonts w:hint="eastAsia" w:hAnsi="宋体" w:cs="宋体"/>
          <w:color w:val="000000"/>
          <w:sz w:val="24"/>
          <w:szCs w:val="24"/>
        </w:rPr>
      </w:pPr>
      <w:r>
        <w:rPr>
          <w:rFonts w:hint="eastAsia" w:hAnsi="宋体" w:cs="宋体"/>
          <w:color w:val="000000"/>
          <w:sz w:val="24"/>
          <w:szCs w:val="24"/>
        </w:rPr>
        <w:t xml:space="preserve">项目名称:                </w:t>
      </w:r>
    </w:p>
    <w:p w14:paraId="3D4DFAE0">
      <w:pPr>
        <w:pStyle w:val="16"/>
        <w:spacing w:line="240" w:lineRule="atLeast"/>
        <w:ind w:left="1080" w:leftChars="257" w:hanging="540"/>
        <w:rPr>
          <w:rFonts w:hint="eastAsia" w:hAnsi="宋体" w:cs="宋体"/>
          <w:color w:val="000000"/>
          <w:sz w:val="24"/>
          <w:szCs w:val="24"/>
        </w:rPr>
      </w:pPr>
      <w:r>
        <w:rPr>
          <w:rFonts w:hint="eastAsia" w:hAnsi="宋体" w:cs="宋体"/>
          <w:color w:val="000000"/>
          <w:sz w:val="24"/>
          <w:szCs w:val="24"/>
        </w:rPr>
        <w:t xml:space="preserve">项目编号:                                             </w:t>
      </w: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317"/>
        <w:gridCol w:w="1196"/>
        <w:gridCol w:w="1078"/>
        <w:gridCol w:w="1317"/>
        <w:gridCol w:w="1436"/>
        <w:gridCol w:w="1317"/>
      </w:tblGrid>
      <w:tr w14:paraId="6042C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959" w:type="dxa"/>
            <w:noWrap w:val="0"/>
            <w:vAlign w:val="center"/>
          </w:tcPr>
          <w:p w14:paraId="33456849">
            <w:pPr>
              <w:pStyle w:val="16"/>
              <w:spacing w:line="240" w:lineRule="atLeast"/>
              <w:jc w:val="center"/>
              <w:rPr>
                <w:rFonts w:hint="eastAsia" w:hAnsi="宋体" w:cs="宋体"/>
                <w:color w:val="000000"/>
                <w:sz w:val="24"/>
                <w:szCs w:val="24"/>
              </w:rPr>
            </w:pPr>
            <w:r>
              <w:rPr>
                <w:rFonts w:hint="eastAsia" w:hAnsi="宋体" w:cs="宋体"/>
                <w:color w:val="000000"/>
                <w:sz w:val="24"/>
                <w:szCs w:val="24"/>
              </w:rPr>
              <w:t>序号</w:t>
            </w:r>
          </w:p>
        </w:tc>
        <w:tc>
          <w:tcPr>
            <w:tcW w:w="1317" w:type="dxa"/>
            <w:noWrap w:val="0"/>
            <w:vAlign w:val="center"/>
          </w:tcPr>
          <w:p w14:paraId="0BCD4B42">
            <w:pPr>
              <w:pStyle w:val="16"/>
              <w:spacing w:line="240" w:lineRule="atLeast"/>
              <w:jc w:val="center"/>
              <w:rPr>
                <w:rFonts w:hint="eastAsia" w:hAnsi="宋体" w:cs="宋体"/>
                <w:color w:val="000000"/>
                <w:sz w:val="24"/>
                <w:szCs w:val="24"/>
              </w:rPr>
            </w:pPr>
            <w:r>
              <w:rPr>
                <w:rFonts w:hint="eastAsia" w:hAnsi="宋体" w:cs="宋体"/>
                <w:color w:val="000000"/>
                <w:sz w:val="24"/>
                <w:szCs w:val="24"/>
              </w:rPr>
              <w:t>服务名称</w:t>
            </w:r>
          </w:p>
        </w:tc>
        <w:tc>
          <w:tcPr>
            <w:tcW w:w="1196" w:type="dxa"/>
            <w:noWrap w:val="0"/>
            <w:vAlign w:val="center"/>
          </w:tcPr>
          <w:p w14:paraId="46DE0863">
            <w:pPr>
              <w:pStyle w:val="16"/>
              <w:spacing w:line="240" w:lineRule="atLeast"/>
              <w:jc w:val="center"/>
              <w:rPr>
                <w:rFonts w:hint="eastAsia" w:hAnsi="宋体" w:cs="宋体"/>
                <w:color w:val="000000"/>
                <w:sz w:val="24"/>
                <w:szCs w:val="24"/>
              </w:rPr>
            </w:pPr>
            <w:r>
              <w:rPr>
                <w:rFonts w:hint="eastAsia" w:hAnsi="宋体" w:cs="宋体"/>
                <w:color w:val="000000"/>
                <w:sz w:val="24"/>
                <w:szCs w:val="24"/>
              </w:rPr>
              <w:t>服务内容</w:t>
            </w:r>
          </w:p>
        </w:tc>
        <w:tc>
          <w:tcPr>
            <w:tcW w:w="1078" w:type="dxa"/>
            <w:noWrap w:val="0"/>
            <w:vAlign w:val="center"/>
          </w:tcPr>
          <w:p w14:paraId="4D75332A">
            <w:pPr>
              <w:pStyle w:val="16"/>
              <w:spacing w:line="240" w:lineRule="atLeast"/>
              <w:jc w:val="center"/>
              <w:rPr>
                <w:rFonts w:hint="eastAsia" w:hAnsi="宋体" w:cs="宋体"/>
                <w:color w:val="000000"/>
                <w:sz w:val="24"/>
                <w:szCs w:val="24"/>
              </w:rPr>
            </w:pPr>
            <w:r>
              <w:rPr>
                <w:rFonts w:hint="eastAsia" w:hAnsi="宋体" w:cs="宋体"/>
                <w:color w:val="000000"/>
                <w:sz w:val="24"/>
                <w:szCs w:val="24"/>
              </w:rPr>
              <w:t>数量</w:t>
            </w:r>
          </w:p>
        </w:tc>
        <w:tc>
          <w:tcPr>
            <w:tcW w:w="1317" w:type="dxa"/>
            <w:noWrap w:val="0"/>
            <w:vAlign w:val="center"/>
          </w:tcPr>
          <w:p w14:paraId="747EA78F">
            <w:pPr>
              <w:pStyle w:val="16"/>
              <w:spacing w:line="240" w:lineRule="atLeast"/>
              <w:jc w:val="center"/>
              <w:rPr>
                <w:rFonts w:hint="eastAsia" w:hAnsi="宋体" w:cs="宋体"/>
                <w:color w:val="000000"/>
                <w:sz w:val="24"/>
                <w:szCs w:val="24"/>
              </w:rPr>
            </w:pPr>
            <w:r>
              <w:rPr>
                <w:rFonts w:hint="eastAsia" w:hAnsi="宋体" w:cs="宋体"/>
                <w:color w:val="000000"/>
                <w:sz w:val="24"/>
                <w:szCs w:val="24"/>
              </w:rPr>
              <w:t>服务期限</w:t>
            </w:r>
          </w:p>
        </w:tc>
        <w:tc>
          <w:tcPr>
            <w:tcW w:w="1436" w:type="dxa"/>
            <w:noWrap w:val="0"/>
            <w:vAlign w:val="center"/>
          </w:tcPr>
          <w:p w14:paraId="2C18184F">
            <w:pPr>
              <w:pStyle w:val="16"/>
              <w:spacing w:line="240" w:lineRule="atLeast"/>
              <w:jc w:val="center"/>
              <w:rPr>
                <w:rFonts w:hint="eastAsia" w:hAnsi="宋体" w:cs="宋体"/>
                <w:color w:val="000000"/>
                <w:sz w:val="24"/>
                <w:szCs w:val="24"/>
              </w:rPr>
            </w:pPr>
            <w:r>
              <w:rPr>
                <w:rFonts w:hint="eastAsia" w:hAnsi="宋体" w:cs="宋体"/>
                <w:color w:val="000000"/>
                <w:sz w:val="24"/>
                <w:szCs w:val="24"/>
              </w:rPr>
              <w:t>服务地点</w:t>
            </w:r>
          </w:p>
        </w:tc>
        <w:tc>
          <w:tcPr>
            <w:tcW w:w="1317" w:type="dxa"/>
            <w:noWrap w:val="0"/>
            <w:vAlign w:val="center"/>
          </w:tcPr>
          <w:p w14:paraId="7894CA98">
            <w:pPr>
              <w:pStyle w:val="16"/>
              <w:spacing w:line="240" w:lineRule="atLeast"/>
              <w:jc w:val="center"/>
              <w:rPr>
                <w:rFonts w:hint="eastAsia" w:hAnsi="宋体" w:cs="宋体"/>
                <w:color w:val="000000"/>
                <w:sz w:val="24"/>
                <w:szCs w:val="24"/>
              </w:rPr>
            </w:pPr>
            <w:r>
              <w:rPr>
                <w:rFonts w:hint="eastAsia" w:hAnsi="宋体" w:cs="宋体"/>
                <w:color w:val="000000"/>
                <w:sz w:val="24"/>
                <w:szCs w:val="24"/>
              </w:rPr>
              <w:t>其它</w:t>
            </w:r>
          </w:p>
        </w:tc>
      </w:tr>
      <w:tr w14:paraId="10434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959" w:type="dxa"/>
            <w:noWrap w:val="0"/>
            <w:vAlign w:val="top"/>
          </w:tcPr>
          <w:p w14:paraId="6FE2D656">
            <w:pPr>
              <w:pStyle w:val="16"/>
              <w:spacing w:line="240" w:lineRule="atLeast"/>
              <w:ind w:left="1080" w:leftChars="257" w:hanging="540"/>
              <w:rPr>
                <w:rFonts w:hint="eastAsia" w:hAnsi="宋体" w:cs="宋体"/>
                <w:color w:val="000000"/>
                <w:sz w:val="24"/>
                <w:szCs w:val="24"/>
              </w:rPr>
            </w:pPr>
          </w:p>
        </w:tc>
        <w:tc>
          <w:tcPr>
            <w:tcW w:w="1317" w:type="dxa"/>
            <w:noWrap w:val="0"/>
            <w:vAlign w:val="top"/>
          </w:tcPr>
          <w:p w14:paraId="48BB3744">
            <w:pPr>
              <w:pStyle w:val="16"/>
              <w:spacing w:line="240" w:lineRule="atLeast"/>
              <w:ind w:left="1080" w:leftChars="257" w:hanging="540"/>
              <w:rPr>
                <w:rFonts w:hint="eastAsia" w:hAnsi="宋体" w:cs="宋体"/>
                <w:color w:val="000000"/>
                <w:sz w:val="24"/>
                <w:szCs w:val="24"/>
              </w:rPr>
            </w:pPr>
          </w:p>
        </w:tc>
        <w:tc>
          <w:tcPr>
            <w:tcW w:w="1196" w:type="dxa"/>
            <w:noWrap w:val="0"/>
            <w:vAlign w:val="top"/>
          </w:tcPr>
          <w:p w14:paraId="2C71A8C4">
            <w:pPr>
              <w:pStyle w:val="16"/>
              <w:spacing w:line="240" w:lineRule="atLeast"/>
              <w:ind w:left="1080" w:leftChars="257" w:hanging="540"/>
              <w:rPr>
                <w:rFonts w:hint="eastAsia" w:hAnsi="宋体" w:cs="宋体"/>
                <w:color w:val="000000"/>
                <w:sz w:val="24"/>
                <w:szCs w:val="24"/>
              </w:rPr>
            </w:pPr>
          </w:p>
        </w:tc>
        <w:tc>
          <w:tcPr>
            <w:tcW w:w="1078" w:type="dxa"/>
            <w:noWrap w:val="0"/>
            <w:vAlign w:val="top"/>
          </w:tcPr>
          <w:p w14:paraId="5A4C6F08">
            <w:pPr>
              <w:pStyle w:val="16"/>
              <w:spacing w:line="240" w:lineRule="atLeast"/>
              <w:ind w:left="1080" w:leftChars="257" w:hanging="540"/>
              <w:rPr>
                <w:rFonts w:hint="eastAsia" w:hAnsi="宋体" w:cs="宋体"/>
                <w:color w:val="000000"/>
                <w:sz w:val="24"/>
                <w:szCs w:val="24"/>
              </w:rPr>
            </w:pPr>
          </w:p>
        </w:tc>
        <w:tc>
          <w:tcPr>
            <w:tcW w:w="1317" w:type="dxa"/>
            <w:noWrap w:val="0"/>
            <w:vAlign w:val="top"/>
          </w:tcPr>
          <w:p w14:paraId="701587DB">
            <w:pPr>
              <w:pStyle w:val="16"/>
              <w:spacing w:line="240" w:lineRule="atLeast"/>
              <w:ind w:left="1080" w:leftChars="257" w:hanging="540"/>
              <w:rPr>
                <w:rFonts w:hint="eastAsia" w:hAnsi="宋体" w:cs="宋体"/>
                <w:color w:val="000000"/>
                <w:sz w:val="24"/>
                <w:szCs w:val="24"/>
              </w:rPr>
            </w:pPr>
          </w:p>
        </w:tc>
        <w:tc>
          <w:tcPr>
            <w:tcW w:w="1436" w:type="dxa"/>
            <w:noWrap w:val="0"/>
            <w:vAlign w:val="top"/>
          </w:tcPr>
          <w:p w14:paraId="049EA070">
            <w:pPr>
              <w:pStyle w:val="16"/>
              <w:spacing w:line="240" w:lineRule="atLeast"/>
              <w:ind w:left="1080" w:leftChars="257" w:hanging="540"/>
              <w:rPr>
                <w:rFonts w:hint="eastAsia" w:hAnsi="宋体" w:cs="宋体"/>
                <w:color w:val="000000"/>
                <w:sz w:val="24"/>
                <w:szCs w:val="24"/>
              </w:rPr>
            </w:pPr>
          </w:p>
        </w:tc>
        <w:tc>
          <w:tcPr>
            <w:tcW w:w="1317" w:type="dxa"/>
            <w:noWrap w:val="0"/>
            <w:vAlign w:val="top"/>
          </w:tcPr>
          <w:p w14:paraId="49E38899">
            <w:pPr>
              <w:pStyle w:val="16"/>
              <w:spacing w:line="240" w:lineRule="atLeast"/>
              <w:ind w:left="1080" w:leftChars="257" w:hanging="540"/>
              <w:rPr>
                <w:rFonts w:hint="eastAsia" w:hAnsi="宋体" w:cs="宋体"/>
                <w:color w:val="000000"/>
                <w:sz w:val="24"/>
                <w:szCs w:val="24"/>
              </w:rPr>
            </w:pPr>
          </w:p>
        </w:tc>
      </w:tr>
      <w:tr w14:paraId="79EA2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959" w:type="dxa"/>
            <w:noWrap w:val="0"/>
            <w:vAlign w:val="top"/>
          </w:tcPr>
          <w:p w14:paraId="0AEB42D3">
            <w:pPr>
              <w:pStyle w:val="16"/>
              <w:spacing w:line="240" w:lineRule="atLeast"/>
              <w:ind w:left="1080" w:leftChars="257" w:hanging="540"/>
              <w:rPr>
                <w:rFonts w:hint="eastAsia" w:hAnsi="宋体" w:cs="宋体"/>
                <w:color w:val="000000"/>
                <w:sz w:val="24"/>
                <w:szCs w:val="24"/>
              </w:rPr>
            </w:pPr>
          </w:p>
        </w:tc>
        <w:tc>
          <w:tcPr>
            <w:tcW w:w="1317" w:type="dxa"/>
            <w:noWrap w:val="0"/>
            <w:vAlign w:val="top"/>
          </w:tcPr>
          <w:p w14:paraId="107AF0AD">
            <w:pPr>
              <w:pStyle w:val="16"/>
              <w:spacing w:line="240" w:lineRule="atLeast"/>
              <w:ind w:left="1080" w:leftChars="257" w:hanging="540"/>
              <w:rPr>
                <w:rFonts w:hint="eastAsia" w:hAnsi="宋体" w:cs="宋体"/>
                <w:color w:val="000000"/>
                <w:sz w:val="24"/>
                <w:szCs w:val="24"/>
              </w:rPr>
            </w:pPr>
          </w:p>
        </w:tc>
        <w:tc>
          <w:tcPr>
            <w:tcW w:w="1196" w:type="dxa"/>
            <w:noWrap w:val="0"/>
            <w:vAlign w:val="top"/>
          </w:tcPr>
          <w:p w14:paraId="1B6ABC9B">
            <w:pPr>
              <w:pStyle w:val="16"/>
              <w:spacing w:line="240" w:lineRule="atLeast"/>
              <w:ind w:left="1080" w:leftChars="257" w:hanging="540"/>
              <w:rPr>
                <w:rFonts w:hint="eastAsia" w:hAnsi="宋体" w:cs="宋体"/>
                <w:color w:val="000000"/>
                <w:sz w:val="24"/>
                <w:szCs w:val="24"/>
              </w:rPr>
            </w:pPr>
          </w:p>
        </w:tc>
        <w:tc>
          <w:tcPr>
            <w:tcW w:w="1078" w:type="dxa"/>
            <w:noWrap w:val="0"/>
            <w:vAlign w:val="top"/>
          </w:tcPr>
          <w:p w14:paraId="047C907E">
            <w:pPr>
              <w:pStyle w:val="16"/>
              <w:spacing w:line="240" w:lineRule="atLeast"/>
              <w:ind w:left="1080" w:leftChars="257" w:hanging="540"/>
              <w:rPr>
                <w:rFonts w:hint="eastAsia" w:hAnsi="宋体" w:cs="宋体"/>
                <w:color w:val="000000"/>
                <w:sz w:val="24"/>
                <w:szCs w:val="24"/>
              </w:rPr>
            </w:pPr>
          </w:p>
        </w:tc>
        <w:tc>
          <w:tcPr>
            <w:tcW w:w="1317" w:type="dxa"/>
            <w:noWrap w:val="0"/>
            <w:vAlign w:val="top"/>
          </w:tcPr>
          <w:p w14:paraId="4A3A4289">
            <w:pPr>
              <w:pStyle w:val="16"/>
              <w:spacing w:line="240" w:lineRule="atLeast"/>
              <w:ind w:left="1080" w:leftChars="257" w:hanging="540"/>
              <w:rPr>
                <w:rFonts w:hint="eastAsia" w:hAnsi="宋体" w:cs="宋体"/>
                <w:color w:val="000000"/>
                <w:sz w:val="24"/>
                <w:szCs w:val="24"/>
              </w:rPr>
            </w:pPr>
          </w:p>
        </w:tc>
        <w:tc>
          <w:tcPr>
            <w:tcW w:w="1436" w:type="dxa"/>
            <w:noWrap w:val="0"/>
            <w:vAlign w:val="top"/>
          </w:tcPr>
          <w:p w14:paraId="7E11716E">
            <w:pPr>
              <w:pStyle w:val="16"/>
              <w:spacing w:line="240" w:lineRule="atLeast"/>
              <w:ind w:left="1080" w:leftChars="257" w:hanging="540"/>
              <w:rPr>
                <w:rFonts w:hint="eastAsia" w:hAnsi="宋体" w:cs="宋体"/>
                <w:color w:val="000000"/>
                <w:sz w:val="24"/>
                <w:szCs w:val="24"/>
              </w:rPr>
            </w:pPr>
          </w:p>
        </w:tc>
        <w:tc>
          <w:tcPr>
            <w:tcW w:w="1317" w:type="dxa"/>
            <w:noWrap w:val="0"/>
            <w:vAlign w:val="top"/>
          </w:tcPr>
          <w:p w14:paraId="784D2822">
            <w:pPr>
              <w:pStyle w:val="16"/>
              <w:spacing w:line="240" w:lineRule="atLeast"/>
              <w:ind w:left="1080" w:leftChars="257" w:hanging="540"/>
              <w:rPr>
                <w:rFonts w:hint="eastAsia" w:hAnsi="宋体" w:cs="宋体"/>
                <w:color w:val="000000"/>
                <w:sz w:val="24"/>
                <w:szCs w:val="24"/>
              </w:rPr>
            </w:pPr>
          </w:p>
        </w:tc>
      </w:tr>
      <w:tr w14:paraId="0F732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959" w:type="dxa"/>
            <w:noWrap w:val="0"/>
            <w:vAlign w:val="top"/>
          </w:tcPr>
          <w:p w14:paraId="0CE3C1E6">
            <w:pPr>
              <w:pStyle w:val="16"/>
              <w:spacing w:line="240" w:lineRule="atLeast"/>
              <w:ind w:left="1080" w:leftChars="257" w:hanging="540"/>
              <w:rPr>
                <w:rFonts w:hint="eastAsia" w:hAnsi="宋体" w:cs="宋体"/>
                <w:color w:val="000000"/>
                <w:sz w:val="24"/>
                <w:szCs w:val="24"/>
              </w:rPr>
            </w:pPr>
          </w:p>
        </w:tc>
        <w:tc>
          <w:tcPr>
            <w:tcW w:w="1317" w:type="dxa"/>
            <w:noWrap w:val="0"/>
            <w:vAlign w:val="top"/>
          </w:tcPr>
          <w:p w14:paraId="74743B73">
            <w:pPr>
              <w:pStyle w:val="16"/>
              <w:spacing w:line="240" w:lineRule="atLeast"/>
              <w:ind w:left="1080" w:leftChars="257" w:hanging="540"/>
              <w:rPr>
                <w:rFonts w:hint="eastAsia" w:hAnsi="宋体" w:cs="宋体"/>
                <w:color w:val="000000"/>
                <w:sz w:val="24"/>
                <w:szCs w:val="24"/>
              </w:rPr>
            </w:pPr>
          </w:p>
        </w:tc>
        <w:tc>
          <w:tcPr>
            <w:tcW w:w="1196" w:type="dxa"/>
            <w:noWrap w:val="0"/>
            <w:vAlign w:val="top"/>
          </w:tcPr>
          <w:p w14:paraId="1CA84E5A">
            <w:pPr>
              <w:pStyle w:val="16"/>
              <w:spacing w:line="240" w:lineRule="atLeast"/>
              <w:ind w:left="1080" w:leftChars="257" w:hanging="540"/>
              <w:rPr>
                <w:rFonts w:hint="eastAsia" w:hAnsi="宋体" w:cs="宋体"/>
                <w:color w:val="000000"/>
                <w:sz w:val="24"/>
                <w:szCs w:val="24"/>
              </w:rPr>
            </w:pPr>
          </w:p>
        </w:tc>
        <w:tc>
          <w:tcPr>
            <w:tcW w:w="1078" w:type="dxa"/>
            <w:noWrap w:val="0"/>
            <w:vAlign w:val="top"/>
          </w:tcPr>
          <w:p w14:paraId="77C5DE0C">
            <w:pPr>
              <w:pStyle w:val="16"/>
              <w:spacing w:line="240" w:lineRule="atLeast"/>
              <w:ind w:left="1080" w:leftChars="257" w:hanging="540"/>
              <w:rPr>
                <w:rFonts w:hint="eastAsia" w:hAnsi="宋体" w:cs="宋体"/>
                <w:color w:val="000000"/>
                <w:sz w:val="24"/>
                <w:szCs w:val="24"/>
              </w:rPr>
            </w:pPr>
          </w:p>
        </w:tc>
        <w:tc>
          <w:tcPr>
            <w:tcW w:w="1317" w:type="dxa"/>
            <w:noWrap w:val="0"/>
            <w:vAlign w:val="top"/>
          </w:tcPr>
          <w:p w14:paraId="0295E5A2">
            <w:pPr>
              <w:pStyle w:val="16"/>
              <w:spacing w:line="240" w:lineRule="atLeast"/>
              <w:ind w:left="1080" w:leftChars="257" w:hanging="540"/>
              <w:rPr>
                <w:rFonts w:hint="eastAsia" w:hAnsi="宋体" w:cs="宋体"/>
                <w:color w:val="000000"/>
                <w:sz w:val="24"/>
                <w:szCs w:val="24"/>
              </w:rPr>
            </w:pPr>
          </w:p>
        </w:tc>
        <w:tc>
          <w:tcPr>
            <w:tcW w:w="1436" w:type="dxa"/>
            <w:noWrap w:val="0"/>
            <w:vAlign w:val="top"/>
          </w:tcPr>
          <w:p w14:paraId="59473840">
            <w:pPr>
              <w:pStyle w:val="16"/>
              <w:spacing w:line="240" w:lineRule="atLeast"/>
              <w:ind w:left="1080" w:leftChars="257" w:hanging="540"/>
              <w:rPr>
                <w:rFonts w:hint="eastAsia" w:hAnsi="宋体" w:cs="宋体"/>
                <w:color w:val="000000"/>
                <w:sz w:val="24"/>
                <w:szCs w:val="24"/>
              </w:rPr>
            </w:pPr>
          </w:p>
        </w:tc>
        <w:tc>
          <w:tcPr>
            <w:tcW w:w="1317" w:type="dxa"/>
            <w:noWrap w:val="0"/>
            <w:vAlign w:val="top"/>
          </w:tcPr>
          <w:p w14:paraId="2C68B5CE">
            <w:pPr>
              <w:pStyle w:val="16"/>
              <w:spacing w:line="240" w:lineRule="atLeast"/>
              <w:ind w:left="1080" w:leftChars="257" w:hanging="540"/>
              <w:rPr>
                <w:rFonts w:hint="eastAsia" w:hAnsi="宋体" w:cs="宋体"/>
                <w:color w:val="000000"/>
                <w:sz w:val="24"/>
                <w:szCs w:val="24"/>
              </w:rPr>
            </w:pPr>
          </w:p>
        </w:tc>
      </w:tr>
      <w:tr w14:paraId="28A54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959" w:type="dxa"/>
            <w:noWrap w:val="0"/>
            <w:vAlign w:val="top"/>
          </w:tcPr>
          <w:p w14:paraId="65B5C365">
            <w:pPr>
              <w:pStyle w:val="16"/>
              <w:spacing w:line="240" w:lineRule="atLeast"/>
              <w:ind w:left="1080" w:leftChars="257" w:hanging="540"/>
              <w:rPr>
                <w:rFonts w:hint="eastAsia" w:hAnsi="宋体" w:cs="宋体"/>
                <w:color w:val="000000"/>
                <w:sz w:val="24"/>
                <w:szCs w:val="24"/>
              </w:rPr>
            </w:pPr>
          </w:p>
        </w:tc>
        <w:tc>
          <w:tcPr>
            <w:tcW w:w="1317" w:type="dxa"/>
            <w:noWrap w:val="0"/>
            <w:vAlign w:val="top"/>
          </w:tcPr>
          <w:p w14:paraId="4E5A3B6E">
            <w:pPr>
              <w:pStyle w:val="16"/>
              <w:spacing w:line="240" w:lineRule="atLeast"/>
              <w:ind w:left="1080" w:leftChars="257" w:hanging="540"/>
              <w:rPr>
                <w:rFonts w:hint="eastAsia" w:hAnsi="宋体" w:cs="宋体"/>
                <w:color w:val="000000"/>
                <w:sz w:val="24"/>
                <w:szCs w:val="24"/>
              </w:rPr>
            </w:pPr>
          </w:p>
        </w:tc>
        <w:tc>
          <w:tcPr>
            <w:tcW w:w="1196" w:type="dxa"/>
            <w:noWrap w:val="0"/>
            <w:vAlign w:val="top"/>
          </w:tcPr>
          <w:p w14:paraId="41E90811">
            <w:pPr>
              <w:pStyle w:val="16"/>
              <w:spacing w:line="240" w:lineRule="atLeast"/>
              <w:ind w:left="1080" w:leftChars="257" w:hanging="540"/>
              <w:rPr>
                <w:rFonts w:hint="eastAsia" w:hAnsi="宋体" w:cs="宋体"/>
                <w:color w:val="000000"/>
                <w:sz w:val="24"/>
                <w:szCs w:val="24"/>
              </w:rPr>
            </w:pPr>
          </w:p>
        </w:tc>
        <w:tc>
          <w:tcPr>
            <w:tcW w:w="1078" w:type="dxa"/>
            <w:noWrap w:val="0"/>
            <w:vAlign w:val="top"/>
          </w:tcPr>
          <w:p w14:paraId="3C0D39CC">
            <w:pPr>
              <w:pStyle w:val="16"/>
              <w:spacing w:line="240" w:lineRule="atLeast"/>
              <w:ind w:left="1080" w:leftChars="257" w:hanging="540"/>
              <w:rPr>
                <w:rFonts w:hint="eastAsia" w:hAnsi="宋体" w:cs="宋体"/>
                <w:color w:val="000000"/>
                <w:sz w:val="24"/>
                <w:szCs w:val="24"/>
              </w:rPr>
            </w:pPr>
          </w:p>
        </w:tc>
        <w:tc>
          <w:tcPr>
            <w:tcW w:w="1317" w:type="dxa"/>
            <w:noWrap w:val="0"/>
            <w:vAlign w:val="top"/>
          </w:tcPr>
          <w:p w14:paraId="53A51D90">
            <w:pPr>
              <w:pStyle w:val="16"/>
              <w:spacing w:line="240" w:lineRule="atLeast"/>
              <w:ind w:left="1080" w:leftChars="257" w:hanging="540"/>
              <w:rPr>
                <w:rFonts w:hint="eastAsia" w:hAnsi="宋体" w:cs="宋体"/>
                <w:color w:val="000000"/>
                <w:sz w:val="24"/>
                <w:szCs w:val="24"/>
              </w:rPr>
            </w:pPr>
          </w:p>
        </w:tc>
        <w:tc>
          <w:tcPr>
            <w:tcW w:w="1436" w:type="dxa"/>
            <w:noWrap w:val="0"/>
            <w:vAlign w:val="top"/>
          </w:tcPr>
          <w:p w14:paraId="27E84A94">
            <w:pPr>
              <w:pStyle w:val="16"/>
              <w:spacing w:line="240" w:lineRule="atLeast"/>
              <w:ind w:left="1080" w:leftChars="257" w:hanging="540"/>
              <w:rPr>
                <w:rFonts w:hint="eastAsia" w:hAnsi="宋体" w:cs="宋体"/>
                <w:color w:val="000000"/>
                <w:sz w:val="24"/>
                <w:szCs w:val="24"/>
              </w:rPr>
            </w:pPr>
          </w:p>
        </w:tc>
        <w:tc>
          <w:tcPr>
            <w:tcW w:w="1317" w:type="dxa"/>
            <w:noWrap w:val="0"/>
            <w:vAlign w:val="top"/>
          </w:tcPr>
          <w:p w14:paraId="7A844573">
            <w:pPr>
              <w:pStyle w:val="16"/>
              <w:spacing w:line="240" w:lineRule="atLeast"/>
              <w:ind w:left="1080" w:leftChars="257" w:hanging="540"/>
              <w:rPr>
                <w:rFonts w:hint="eastAsia" w:hAnsi="宋体" w:cs="宋体"/>
                <w:color w:val="000000"/>
                <w:sz w:val="24"/>
                <w:szCs w:val="24"/>
              </w:rPr>
            </w:pPr>
          </w:p>
        </w:tc>
      </w:tr>
      <w:tr w14:paraId="197FB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959" w:type="dxa"/>
            <w:noWrap w:val="0"/>
            <w:vAlign w:val="top"/>
          </w:tcPr>
          <w:p w14:paraId="3A616D79">
            <w:pPr>
              <w:pStyle w:val="16"/>
              <w:spacing w:line="240" w:lineRule="atLeast"/>
              <w:ind w:left="1080" w:leftChars="257" w:hanging="540"/>
              <w:rPr>
                <w:rFonts w:hint="eastAsia" w:hAnsi="宋体" w:cs="宋体"/>
                <w:color w:val="000000"/>
                <w:sz w:val="24"/>
                <w:szCs w:val="24"/>
              </w:rPr>
            </w:pPr>
          </w:p>
        </w:tc>
        <w:tc>
          <w:tcPr>
            <w:tcW w:w="1317" w:type="dxa"/>
            <w:noWrap w:val="0"/>
            <w:vAlign w:val="top"/>
          </w:tcPr>
          <w:p w14:paraId="2084C9F5">
            <w:pPr>
              <w:pStyle w:val="16"/>
              <w:spacing w:line="240" w:lineRule="atLeast"/>
              <w:ind w:left="1080" w:leftChars="257" w:hanging="540"/>
              <w:rPr>
                <w:rFonts w:hint="eastAsia" w:hAnsi="宋体" w:cs="宋体"/>
                <w:color w:val="000000"/>
                <w:sz w:val="24"/>
                <w:szCs w:val="24"/>
              </w:rPr>
            </w:pPr>
          </w:p>
        </w:tc>
        <w:tc>
          <w:tcPr>
            <w:tcW w:w="1196" w:type="dxa"/>
            <w:noWrap w:val="0"/>
            <w:vAlign w:val="top"/>
          </w:tcPr>
          <w:p w14:paraId="0CEF9846">
            <w:pPr>
              <w:pStyle w:val="16"/>
              <w:spacing w:line="240" w:lineRule="atLeast"/>
              <w:ind w:left="1080" w:leftChars="257" w:hanging="540"/>
              <w:rPr>
                <w:rFonts w:hint="eastAsia" w:hAnsi="宋体" w:cs="宋体"/>
                <w:color w:val="000000"/>
                <w:sz w:val="24"/>
                <w:szCs w:val="24"/>
              </w:rPr>
            </w:pPr>
          </w:p>
        </w:tc>
        <w:tc>
          <w:tcPr>
            <w:tcW w:w="1078" w:type="dxa"/>
            <w:noWrap w:val="0"/>
            <w:vAlign w:val="top"/>
          </w:tcPr>
          <w:p w14:paraId="5C250367">
            <w:pPr>
              <w:pStyle w:val="16"/>
              <w:spacing w:line="240" w:lineRule="atLeast"/>
              <w:ind w:left="1080" w:leftChars="257" w:hanging="540"/>
              <w:rPr>
                <w:rFonts w:hint="eastAsia" w:hAnsi="宋体" w:cs="宋体"/>
                <w:color w:val="000000"/>
                <w:sz w:val="24"/>
                <w:szCs w:val="24"/>
              </w:rPr>
            </w:pPr>
          </w:p>
        </w:tc>
        <w:tc>
          <w:tcPr>
            <w:tcW w:w="1317" w:type="dxa"/>
            <w:noWrap w:val="0"/>
            <w:vAlign w:val="top"/>
          </w:tcPr>
          <w:p w14:paraId="23E17D3C">
            <w:pPr>
              <w:pStyle w:val="16"/>
              <w:spacing w:line="240" w:lineRule="atLeast"/>
              <w:ind w:left="1080" w:leftChars="257" w:hanging="540"/>
              <w:rPr>
                <w:rFonts w:hint="eastAsia" w:hAnsi="宋体" w:cs="宋体"/>
                <w:color w:val="000000"/>
                <w:sz w:val="24"/>
                <w:szCs w:val="24"/>
              </w:rPr>
            </w:pPr>
          </w:p>
        </w:tc>
        <w:tc>
          <w:tcPr>
            <w:tcW w:w="1436" w:type="dxa"/>
            <w:noWrap w:val="0"/>
            <w:vAlign w:val="top"/>
          </w:tcPr>
          <w:p w14:paraId="4A90B0B5">
            <w:pPr>
              <w:pStyle w:val="16"/>
              <w:spacing w:line="240" w:lineRule="atLeast"/>
              <w:ind w:left="1080" w:leftChars="257" w:hanging="540"/>
              <w:rPr>
                <w:rFonts w:hint="eastAsia" w:hAnsi="宋体" w:cs="宋体"/>
                <w:color w:val="000000"/>
                <w:sz w:val="24"/>
                <w:szCs w:val="24"/>
              </w:rPr>
            </w:pPr>
          </w:p>
        </w:tc>
        <w:tc>
          <w:tcPr>
            <w:tcW w:w="1317" w:type="dxa"/>
            <w:noWrap w:val="0"/>
            <w:vAlign w:val="top"/>
          </w:tcPr>
          <w:p w14:paraId="6A9B15A8">
            <w:pPr>
              <w:pStyle w:val="16"/>
              <w:spacing w:line="240" w:lineRule="atLeast"/>
              <w:ind w:left="1080" w:leftChars="257" w:hanging="540"/>
              <w:rPr>
                <w:rFonts w:hint="eastAsia" w:hAnsi="宋体" w:cs="宋体"/>
                <w:color w:val="000000"/>
                <w:sz w:val="24"/>
                <w:szCs w:val="24"/>
              </w:rPr>
            </w:pPr>
          </w:p>
        </w:tc>
      </w:tr>
      <w:tr w14:paraId="7EDCE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959" w:type="dxa"/>
            <w:noWrap w:val="0"/>
            <w:vAlign w:val="top"/>
          </w:tcPr>
          <w:p w14:paraId="2FF8327A">
            <w:pPr>
              <w:pStyle w:val="16"/>
              <w:spacing w:line="240" w:lineRule="atLeast"/>
              <w:ind w:left="1080" w:leftChars="257" w:hanging="540"/>
              <w:rPr>
                <w:rFonts w:hint="eastAsia" w:hAnsi="宋体" w:cs="宋体"/>
                <w:color w:val="000000"/>
                <w:sz w:val="24"/>
                <w:szCs w:val="24"/>
              </w:rPr>
            </w:pPr>
          </w:p>
        </w:tc>
        <w:tc>
          <w:tcPr>
            <w:tcW w:w="1317" w:type="dxa"/>
            <w:noWrap w:val="0"/>
            <w:vAlign w:val="top"/>
          </w:tcPr>
          <w:p w14:paraId="159B9B2B">
            <w:pPr>
              <w:pStyle w:val="16"/>
              <w:spacing w:line="240" w:lineRule="atLeast"/>
              <w:ind w:left="1080" w:leftChars="257" w:hanging="540"/>
              <w:rPr>
                <w:rFonts w:hint="eastAsia" w:hAnsi="宋体" w:cs="宋体"/>
                <w:color w:val="000000"/>
                <w:sz w:val="24"/>
                <w:szCs w:val="24"/>
              </w:rPr>
            </w:pPr>
          </w:p>
        </w:tc>
        <w:tc>
          <w:tcPr>
            <w:tcW w:w="1196" w:type="dxa"/>
            <w:noWrap w:val="0"/>
            <w:vAlign w:val="top"/>
          </w:tcPr>
          <w:p w14:paraId="73B3F1C3">
            <w:pPr>
              <w:pStyle w:val="16"/>
              <w:spacing w:line="240" w:lineRule="atLeast"/>
              <w:ind w:left="1080" w:leftChars="257" w:hanging="540"/>
              <w:rPr>
                <w:rFonts w:hint="eastAsia" w:hAnsi="宋体" w:cs="宋体"/>
                <w:color w:val="000000"/>
                <w:sz w:val="24"/>
                <w:szCs w:val="24"/>
              </w:rPr>
            </w:pPr>
          </w:p>
        </w:tc>
        <w:tc>
          <w:tcPr>
            <w:tcW w:w="1078" w:type="dxa"/>
            <w:noWrap w:val="0"/>
            <w:vAlign w:val="top"/>
          </w:tcPr>
          <w:p w14:paraId="19C1C9D1">
            <w:pPr>
              <w:pStyle w:val="16"/>
              <w:spacing w:line="240" w:lineRule="atLeast"/>
              <w:ind w:left="1080" w:leftChars="257" w:hanging="540"/>
              <w:rPr>
                <w:rFonts w:hint="eastAsia" w:hAnsi="宋体" w:cs="宋体"/>
                <w:color w:val="000000"/>
                <w:sz w:val="24"/>
                <w:szCs w:val="24"/>
              </w:rPr>
            </w:pPr>
          </w:p>
        </w:tc>
        <w:tc>
          <w:tcPr>
            <w:tcW w:w="1317" w:type="dxa"/>
            <w:noWrap w:val="0"/>
            <w:vAlign w:val="top"/>
          </w:tcPr>
          <w:p w14:paraId="0A405960">
            <w:pPr>
              <w:pStyle w:val="16"/>
              <w:spacing w:line="240" w:lineRule="atLeast"/>
              <w:ind w:left="1080" w:leftChars="257" w:hanging="540"/>
              <w:rPr>
                <w:rFonts w:hint="eastAsia" w:hAnsi="宋体" w:cs="宋体"/>
                <w:color w:val="000000"/>
                <w:sz w:val="24"/>
                <w:szCs w:val="24"/>
              </w:rPr>
            </w:pPr>
          </w:p>
        </w:tc>
        <w:tc>
          <w:tcPr>
            <w:tcW w:w="1436" w:type="dxa"/>
            <w:noWrap w:val="0"/>
            <w:vAlign w:val="top"/>
          </w:tcPr>
          <w:p w14:paraId="75BF680B">
            <w:pPr>
              <w:pStyle w:val="16"/>
              <w:spacing w:line="240" w:lineRule="atLeast"/>
              <w:ind w:left="1080" w:leftChars="257" w:hanging="540"/>
              <w:rPr>
                <w:rFonts w:hint="eastAsia" w:hAnsi="宋体" w:cs="宋体"/>
                <w:color w:val="000000"/>
                <w:sz w:val="24"/>
                <w:szCs w:val="24"/>
              </w:rPr>
            </w:pPr>
          </w:p>
        </w:tc>
        <w:tc>
          <w:tcPr>
            <w:tcW w:w="1317" w:type="dxa"/>
            <w:noWrap w:val="0"/>
            <w:vAlign w:val="top"/>
          </w:tcPr>
          <w:p w14:paraId="53E3AC78">
            <w:pPr>
              <w:pStyle w:val="16"/>
              <w:spacing w:line="240" w:lineRule="atLeast"/>
              <w:ind w:left="1080" w:leftChars="257" w:hanging="540"/>
              <w:rPr>
                <w:rFonts w:hint="eastAsia" w:hAnsi="宋体" w:cs="宋体"/>
                <w:color w:val="000000"/>
                <w:sz w:val="24"/>
                <w:szCs w:val="24"/>
              </w:rPr>
            </w:pPr>
          </w:p>
        </w:tc>
      </w:tr>
      <w:tr w14:paraId="70990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959" w:type="dxa"/>
            <w:noWrap w:val="0"/>
            <w:vAlign w:val="top"/>
          </w:tcPr>
          <w:p w14:paraId="3974ABE8">
            <w:pPr>
              <w:pStyle w:val="16"/>
              <w:spacing w:line="240" w:lineRule="atLeast"/>
              <w:ind w:left="1080" w:leftChars="257" w:hanging="540"/>
              <w:rPr>
                <w:rFonts w:hint="eastAsia" w:hAnsi="宋体" w:cs="宋体"/>
                <w:color w:val="000000"/>
                <w:sz w:val="24"/>
                <w:szCs w:val="24"/>
              </w:rPr>
            </w:pPr>
          </w:p>
        </w:tc>
        <w:tc>
          <w:tcPr>
            <w:tcW w:w="1317" w:type="dxa"/>
            <w:noWrap w:val="0"/>
            <w:vAlign w:val="top"/>
          </w:tcPr>
          <w:p w14:paraId="1A7790A1">
            <w:pPr>
              <w:pStyle w:val="16"/>
              <w:spacing w:line="240" w:lineRule="atLeast"/>
              <w:ind w:left="1080" w:leftChars="257" w:hanging="540"/>
              <w:rPr>
                <w:rFonts w:hint="eastAsia" w:hAnsi="宋体" w:cs="宋体"/>
                <w:color w:val="000000"/>
                <w:sz w:val="24"/>
                <w:szCs w:val="24"/>
              </w:rPr>
            </w:pPr>
          </w:p>
        </w:tc>
        <w:tc>
          <w:tcPr>
            <w:tcW w:w="1196" w:type="dxa"/>
            <w:noWrap w:val="0"/>
            <w:vAlign w:val="top"/>
          </w:tcPr>
          <w:p w14:paraId="5ECA432D">
            <w:pPr>
              <w:pStyle w:val="16"/>
              <w:spacing w:line="240" w:lineRule="atLeast"/>
              <w:ind w:left="1080" w:leftChars="257" w:hanging="540"/>
              <w:rPr>
                <w:rFonts w:hint="eastAsia" w:hAnsi="宋体" w:cs="宋体"/>
                <w:color w:val="000000"/>
                <w:sz w:val="24"/>
                <w:szCs w:val="24"/>
              </w:rPr>
            </w:pPr>
          </w:p>
        </w:tc>
        <w:tc>
          <w:tcPr>
            <w:tcW w:w="1078" w:type="dxa"/>
            <w:noWrap w:val="0"/>
            <w:vAlign w:val="top"/>
          </w:tcPr>
          <w:p w14:paraId="43915623">
            <w:pPr>
              <w:pStyle w:val="16"/>
              <w:spacing w:line="240" w:lineRule="atLeast"/>
              <w:ind w:left="1080" w:leftChars="257" w:hanging="540"/>
              <w:rPr>
                <w:rFonts w:hint="eastAsia" w:hAnsi="宋体" w:cs="宋体"/>
                <w:color w:val="000000"/>
                <w:sz w:val="24"/>
                <w:szCs w:val="24"/>
              </w:rPr>
            </w:pPr>
          </w:p>
        </w:tc>
        <w:tc>
          <w:tcPr>
            <w:tcW w:w="1317" w:type="dxa"/>
            <w:noWrap w:val="0"/>
            <w:vAlign w:val="top"/>
          </w:tcPr>
          <w:p w14:paraId="22E9A8CD">
            <w:pPr>
              <w:pStyle w:val="16"/>
              <w:spacing w:line="240" w:lineRule="atLeast"/>
              <w:ind w:left="1080" w:leftChars="257" w:hanging="540"/>
              <w:rPr>
                <w:rFonts w:hint="eastAsia" w:hAnsi="宋体" w:cs="宋体"/>
                <w:color w:val="000000"/>
                <w:sz w:val="24"/>
                <w:szCs w:val="24"/>
              </w:rPr>
            </w:pPr>
          </w:p>
        </w:tc>
        <w:tc>
          <w:tcPr>
            <w:tcW w:w="1436" w:type="dxa"/>
            <w:noWrap w:val="0"/>
            <w:vAlign w:val="top"/>
          </w:tcPr>
          <w:p w14:paraId="0B20E297">
            <w:pPr>
              <w:pStyle w:val="16"/>
              <w:spacing w:line="240" w:lineRule="atLeast"/>
              <w:ind w:left="1080" w:leftChars="257" w:hanging="540"/>
              <w:rPr>
                <w:rFonts w:hint="eastAsia" w:hAnsi="宋体" w:cs="宋体"/>
                <w:color w:val="000000"/>
                <w:sz w:val="24"/>
                <w:szCs w:val="24"/>
              </w:rPr>
            </w:pPr>
          </w:p>
        </w:tc>
        <w:tc>
          <w:tcPr>
            <w:tcW w:w="1317" w:type="dxa"/>
            <w:noWrap w:val="0"/>
            <w:vAlign w:val="top"/>
          </w:tcPr>
          <w:p w14:paraId="0D958590">
            <w:pPr>
              <w:pStyle w:val="16"/>
              <w:spacing w:line="240" w:lineRule="atLeast"/>
              <w:ind w:left="1080" w:leftChars="257" w:hanging="540"/>
              <w:rPr>
                <w:rFonts w:hint="eastAsia" w:hAnsi="宋体" w:cs="宋体"/>
                <w:color w:val="000000"/>
                <w:sz w:val="24"/>
                <w:szCs w:val="24"/>
              </w:rPr>
            </w:pPr>
          </w:p>
        </w:tc>
      </w:tr>
      <w:tr w14:paraId="22F07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959" w:type="dxa"/>
            <w:noWrap w:val="0"/>
            <w:vAlign w:val="top"/>
          </w:tcPr>
          <w:p w14:paraId="082C2422">
            <w:pPr>
              <w:pStyle w:val="16"/>
              <w:spacing w:line="240" w:lineRule="atLeast"/>
              <w:ind w:left="1080" w:leftChars="257" w:hanging="540"/>
              <w:rPr>
                <w:rFonts w:hint="eastAsia" w:hAnsi="宋体" w:cs="宋体"/>
                <w:color w:val="000000"/>
                <w:sz w:val="24"/>
                <w:szCs w:val="24"/>
              </w:rPr>
            </w:pPr>
          </w:p>
        </w:tc>
        <w:tc>
          <w:tcPr>
            <w:tcW w:w="1317" w:type="dxa"/>
            <w:noWrap w:val="0"/>
            <w:vAlign w:val="top"/>
          </w:tcPr>
          <w:p w14:paraId="43F9AD1A">
            <w:pPr>
              <w:pStyle w:val="16"/>
              <w:spacing w:line="240" w:lineRule="atLeast"/>
              <w:ind w:left="1080" w:leftChars="257" w:hanging="540"/>
              <w:rPr>
                <w:rFonts w:hint="eastAsia" w:hAnsi="宋体" w:cs="宋体"/>
                <w:color w:val="000000"/>
                <w:sz w:val="24"/>
                <w:szCs w:val="24"/>
              </w:rPr>
            </w:pPr>
          </w:p>
        </w:tc>
        <w:tc>
          <w:tcPr>
            <w:tcW w:w="1196" w:type="dxa"/>
            <w:noWrap w:val="0"/>
            <w:vAlign w:val="top"/>
          </w:tcPr>
          <w:p w14:paraId="799A4F81">
            <w:pPr>
              <w:pStyle w:val="16"/>
              <w:spacing w:line="240" w:lineRule="atLeast"/>
              <w:ind w:left="1080" w:leftChars="257" w:hanging="540"/>
              <w:rPr>
                <w:rFonts w:hint="eastAsia" w:hAnsi="宋体" w:cs="宋体"/>
                <w:color w:val="000000"/>
                <w:sz w:val="24"/>
                <w:szCs w:val="24"/>
              </w:rPr>
            </w:pPr>
          </w:p>
        </w:tc>
        <w:tc>
          <w:tcPr>
            <w:tcW w:w="1078" w:type="dxa"/>
            <w:noWrap w:val="0"/>
            <w:vAlign w:val="top"/>
          </w:tcPr>
          <w:p w14:paraId="1F9ACB41">
            <w:pPr>
              <w:pStyle w:val="16"/>
              <w:spacing w:line="240" w:lineRule="atLeast"/>
              <w:ind w:left="1080" w:leftChars="257" w:hanging="540"/>
              <w:rPr>
                <w:rFonts w:hint="eastAsia" w:hAnsi="宋体" w:cs="宋体"/>
                <w:color w:val="000000"/>
                <w:sz w:val="24"/>
                <w:szCs w:val="24"/>
              </w:rPr>
            </w:pPr>
          </w:p>
        </w:tc>
        <w:tc>
          <w:tcPr>
            <w:tcW w:w="1317" w:type="dxa"/>
            <w:noWrap w:val="0"/>
            <w:vAlign w:val="top"/>
          </w:tcPr>
          <w:p w14:paraId="605E5A65">
            <w:pPr>
              <w:pStyle w:val="16"/>
              <w:spacing w:line="240" w:lineRule="atLeast"/>
              <w:ind w:left="1080" w:leftChars="257" w:hanging="540"/>
              <w:rPr>
                <w:rFonts w:hint="eastAsia" w:hAnsi="宋体" w:cs="宋体"/>
                <w:color w:val="000000"/>
                <w:sz w:val="24"/>
                <w:szCs w:val="24"/>
              </w:rPr>
            </w:pPr>
          </w:p>
        </w:tc>
        <w:tc>
          <w:tcPr>
            <w:tcW w:w="1436" w:type="dxa"/>
            <w:noWrap w:val="0"/>
            <w:vAlign w:val="top"/>
          </w:tcPr>
          <w:p w14:paraId="158326DB">
            <w:pPr>
              <w:pStyle w:val="16"/>
              <w:spacing w:line="240" w:lineRule="atLeast"/>
              <w:ind w:left="1080" w:leftChars="257" w:hanging="540"/>
              <w:rPr>
                <w:rFonts w:hint="eastAsia" w:hAnsi="宋体" w:cs="宋体"/>
                <w:color w:val="000000"/>
                <w:sz w:val="24"/>
                <w:szCs w:val="24"/>
              </w:rPr>
            </w:pPr>
          </w:p>
        </w:tc>
        <w:tc>
          <w:tcPr>
            <w:tcW w:w="1317" w:type="dxa"/>
            <w:noWrap w:val="0"/>
            <w:vAlign w:val="top"/>
          </w:tcPr>
          <w:p w14:paraId="5ECEC64C">
            <w:pPr>
              <w:pStyle w:val="16"/>
              <w:spacing w:line="240" w:lineRule="atLeast"/>
              <w:ind w:left="1080" w:leftChars="257" w:hanging="540"/>
              <w:rPr>
                <w:rFonts w:hint="eastAsia" w:hAnsi="宋体" w:cs="宋体"/>
                <w:color w:val="000000"/>
                <w:sz w:val="24"/>
                <w:szCs w:val="24"/>
              </w:rPr>
            </w:pPr>
          </w:p>
        </w:tc>
      </w:tr>
    </w:tbl>
    <w:p w14:paraId="0275DE2D">
      <w:pPr>
        <w:pStyle w:val="16"/>
        <w:spacing w:line="240" w:lineRule="atLeast"/>
        <w:ind w:left="1080" w:leftChars="257" w:hanging="540"/>
        <w:rPr>
          <w:rFonts w:hint="eastAsia" w:hAnsi="宋体" w:cs="宋体"/>
          <w:color w:val="000000"/>
          <w:sz w:val="24"/>
          <w:szCs w:val="24"/>
        </w:rPr>
      </w:pPr>
    </w:p>
    <w:p w14:paraId="1BAA2EA0">
      <w:pPr>
        <w:snapToGrid w:val="0"/>
        <w:spacing w:line="360" w:lineRule="auto"/>
        <w:ind w:firstLine="480" w:firstLineChars="200"/>
        <w:rPr>
          <w:rFonts w:hint="eastAsia" w:ascii="宋体" w:hAnsi="宋体" w:cs="宋体"/>
          <w:color w:val="000000"/>
          <w:sz w:val="24"/>
        </w:rPr>
      </w:pPr>
      <w:r>
        <w:rPr>
          <w:rFonts w:hint="eastAsia" w:ascii="宋体" w:hAnsi="宋体" w:cs="宋体"/>
          <w:color w:val="000000"/>
          <w:sz w:val="24"/>
        </w:rPr>
        <w:t>注：凡响应文件中服务条款（包括项目服务期、内容）与磋商文件有偏差的，均应在此表中列出（内容较多的可以标注见投标文件第几页，偏差包括正偏差和负偏差），未在此表中列出的视同完全满足磋商文件要求。</w:t>
      </w:r>
    </w:p>
    <w:p w14:paraId="184821B4">
      <w:pPr>
        <w:pStyle w:val="16"/>
        <w:spacing w:line="240" w:lineRule="atLeast"/>
        <w:ind w:left="1080" w:leftChars="257" w:hanging="540"/>
        <w:rPr>
          <w:rFonts w:hint="eastAsia" w:hAnsi="宋体" w:cs="宋体"/>
          <w:color w:val="000000"/>
          <w:sz w:val="24"/>
          <w:szCs w:val="24"/>
        </w:rPr>
      </w:pPr>
    </w:p>
    <w:p w14:paraId="51DB9B40">
      <w:pPr>
        <w:pStyle w:val="35"/>
        <w:ind w:firstLine="240"/>
        <w:rPr>
          <w:rFonts w:ascii="宋体" w:hAnsi="宋体" w:eastAsia="宋体" w:cs="宋体"/>
          <w:color w:val="000000"/>
          <w:szCs w:val="24"/>
        </w:rPr>
      </w:pPr>
    </w:p>
    <w:p w14:paraId="6510293C">
      <w:pPr>
        <w:pStyle w:val="16"/>
        <w:tabs>
          <w:tab w:val="left" w:pos="5370"/>
        </w:tabs>
        <w:spacing w:line="240" w:lineRule="atLeast"/>
        <w:ind w:left="1154" w:leftChars="485" w:hanging="136" w:hangingChars="57"/>
        <w:rPr>
          <w:rFonts w:hint="eastAsia" w:hAnsi="宋体" w:cs="宋体"/>
          <w:color w:val="000000"/>
          <w:sz w:val="24"/>
          <w:szCs w:val="24"/>
          <w:u w:val="single"/>
        </w:rPr>
      </w:pPr>
      <w:r>
        <w:rPr>
          <w:rFonts w:hint="eastAsia" w:hAnsi="宋体" w:cs="宋体"/>
          <w:color w:val="000000"/>
          <w:sz w:val="24"/>
          <w:szCs w:val="24"/>
        </w:rPr>
        <w:t>投标人(盖单位章):</w:t>
      </w:r>
      <w:r>
        <w:rPr>
          <w:rFonts w:hint="eastAsia" w:hAnsi="宋体" w:cs="宋体"/>
          <w:color w:val="000000"/>
          <w:sz w:val="24"/>
          <w:szCs w:val="24"/>
          <w:u w:val="single"/>
        </w:rPr>
        <w:tab/>
      </w:r>
      <w:r>
        <w:rPr>
          <w:rFonts w:hint="eastAsia" w:hAnsi="宋体" w:cs="宋体"/>
          <w:color w:val="000000"/>
          <w:sz w:val="24"/>
          <w:szCs w:val="24"/>
          <w:u w:val="single"/>
        </w:rPr>
        <w:t xml:space="preserve">      </w:t>
      </w:r>
    </w:p>
    <w:p w14:paraId="018E7323">
      <w:pPr>
        <w:pStyle w:val="16"/>
        <w:tabs>
          <w:tab w:val="left" w:pos="5370"/>
        </w:tabs>
        <w:spacing w:line="240" w:lineRule="atLeast"/>
        <w:ind w:left="1080" w:leftChars="257" w:hanging="540"/>
        <w:rPr>
          <w:rFonts w:hint="eastAsia" w:hAnsi="宋体" w:cs="宋体"/>
          <w:color w:val="000000"/>
          <w:sz w:val="24"/>
          <w:szCs w:val="24"/>
          <w:u w:val="single"/>
        </w:rPr>
      </w:pPr>
    </w:p>
    <w:p w14:paraId="2260F2F1">
      <w:pPr>
        <w:pStyle w:val="35"/>
        <w:ind w:firstLine="960" w:firstLineChars="400"/>
        <w:rPr>
          <w:rFonts w:ascii="宋体" w:hAnsi="宋体" w:eastAsia="宋体" w:cs="宋体"/>
          <w:color w:val="000000"/>
          <w:szCs w:val="24"/>
        </w:rPr>
      </w:pPr>
      <w:r>
        <w:rPr>
          <w:rFonts w:ascii="宋体" w:hAnsi="宋体" w:eastAsia="宋体" w:cs="宋体"/>
          <w:color w:val="000000"/>
          <w:szCs w:val="24"/>
        </w:rPr>
        <w:t>法定代表人或其委托代理人（签/章）:</w:t>
      </w:r>
      <w:r>
        <w:rPr>
          <w:rFonts w:ascii="宋体" w:hAnsi="宋体" w:eastAsia="宋体" w:cs="宋体"/>
          <w:color w:val="000000"/>
          <w:szCs w:val="24"/>
          <w:u w:val="single"/>
        </w:rPr>
        <w:t xml:space="preserve">     </w:t>
      </w:r>
      <w:r>
        <w:rPr>
          <w:rFonts w:ascii="宋体" w:hAnsi="宋体" w:eastAsia="宋体" w:cs="宋体"/>
          <w:color w:val="000000"/>
          <w:szCs w:val="24"/>
          <w:u w:val="single"/>
        </w:rPr>
        <w:tab/>
      </w:r>
      <w:r>
        <w:rPr>
          <w:rFonts w:ascii="宋体" w:hAnsi="宋体" w:eastAsia="宋体" w:cs="宋体"/>
          <w:color w:val="000000"/>
          <w:szCs w:val="24"/>
          <w:u w:val="single"/>
        </w:rPr>
        <w:t xml:space="preserve">   </w:t>
      </w:r>
    </w:p>
    <w:p w14:paraId="0CAC5FB2">
      <w:pPr>
        <w:pStyle w:val="16"/>
        <w:spacing w:line="240" w:lineRule="atLeast"/>
        <w:ind w:left="1080" w:leftChars="257" w:hanging="540"/>
        <w:rPr>
          <w:rFonts w:hint="eastAsia" w:hAnsi="宋体" w:cs="宋体"/>
          <w:color w:val="000000"/>
          <w:sz w:val="24"/>
          <w:szCs w:val="24"/>
        </w:rPr>
      </w:pPr>
    </w:p>
    <w:p w14:paraId="5B92F69F">
      <w:pPr>
        <w:pStyle w:val="16"/>
        <w:spacing w:line="240" w:lineRule="atLeast"/>
        <w:ind w:left="1080" w:leftChars="257" w:hanging="540"/>
        <w:jc w:val="center"/>
        <w:rPr>
          <w:rFonts w:hint="eastAsia" w:hAnsi="宋体" w:cs="宋体"/>
          <w:color w:val="000000"/>
          <w:sz w:val="24"/>
          <w:szCs w:val="24"/>
        </w:rPr>
      </w:pPr>
    </w:p>
    <w:p w14:paraId="594E0608">
      <w:pPr>
        <w:pStyle w:val="16"/>
        <w:spacing w:line="240" w:lineRule="atLeast"/>
        <w:ind w:left="1080" w:leftChars="257" w:hanging="540"/>
        <w:jc w:val="center"/>
        <w:rPr>
          <w:rFonts w:hint="eastAsia" w:hAnsi="宋体" w:cs="宋体"/>
          <w:color w:val="000000"/>
          <w:sz w:val="24"/>
          <w:szCs w:val="24"/>
        </w:rPr>
        <w:sectPr>
          <w:footerReference r:id="rId5" w:type="default"/>
          <w:pgSz w:w="11906" w:h="16838"/>
          <w:pgMar w:top="1440" w:right="1797" w:bottom="1440" w:left="1797" w:header="851" w:footer="992" w:gutter="0"/>
          <w:pgNumType w:start="1"/>
          <w:cols w:space="720" w:num="1"/>
          <w:docGrid w:linePitch="312" w:charSpace="0"/>
        </w:sectPr>
      </w:pPr>
    </w:p>
    <w:p w14:paraId="147E456B">
      <w:pPr>
        <w:pStyle w:val="3"/>
        <w:spacing w:before="0" w:line="240" w:lineRule="atLeast"/>
        <w:ind w:left="1080" w:leftChars="257" w:hanging="540"/>
        <w:rPr>
          <w:rFonts w:hint="eastAsia" w:ascii="宋体" w:hAnsi="宋体" w:eastAsia="宋体" w:cs="宋体"/>
          <w:color w:val="000000"/>
          <w:sz w:val="24"/>
          <w:szCs w:val="24"/>
        </w:rPr>
      </w:pPr>
      <w:bookmarkStart w:id="341" w:name="_Toc515647820"/>
      <w:bookmarkStart w:id="342" w:name="_Toc1130"/>
      <w:bookmarkStart w:id="343" w:name="_Toc28959"/>
      <w:bookmarkStart w:id="344" w:name="_Toc1232"/>
      <w:bookmarkStart w:id="345" w:name="_Toc216582817"/>
      <w:bookmarkStart w:id="346" w:name="_Toc338"/>
      <w:bookmarkStart w:id="347" w:name="_Toc32689"/>
      <w:bookmarkStart w:id="348" w:name="_Toc9012"/>
      <w:bookmarkStart w:id="349" w:name="_Toc22563"/>
      <w:bookmarkStart w:id="350" w:name="_Toc24864"/>
      <w:bookmarkStart w:id="351" w:name="_Toc4880"/>
      <w:bookmarkStart w:id="352" w:name="_Toc30176"/>
      <w:r>
        <w:rPr>
          <w:rFonts w:hint="eastAsia" w:ascii="宋体" w:hAnsi="宋体" w:eastAsia="宋体" w:cs="宋体"/>
          <w:color w:val="000000"/>
          <w:sz w:val="24"/>
          <w:szCs w:val="24"/>
        </w:rPr>
        <w:t>4</w:t>
      </w:r>
      <w:bookmarkEnd w:id="341"/>
      <w:bookmarkEnd w:id="342"/>
      <w:bookmarkEnd w:id="343"/>
      <w:bookmarkEnd w:id="344"/>
      <w:bookmarkEnd w:id="345"/>
      <w:bookmarkEnd w:id="346"/>
      <w:bookmarkEnd w:id="347"/>
      <w:bookmarkEnd w:id="348"/>
      <w:bookmarkEnd w:id="349"/>
      <w:bookmarkEnd w:id="350"/>
      <w:bookmarkEnd w:id="351"/>
      <w:bookmarkStart w:id="353" w:name="_Toc3060"/>
      <w:bookmarkStart w:id="354" w:name="_Toc1980"/>
      <w:bookmarkStart w:id="355" w:name="_Toc24350"/>
      <w:bookmarkStart w:id="356" w:name="_Toc15724"/>
      <w:bookmarkStart w:id="357" w:name="_Toc4467"/>
      <w:bookmarkStart w:id="358" w:name="_Toc23"/>
      <w:bookmarkStart w:id="359" w:name="_Toc515647821"/>
      <w:bookmarkStart w:id="360" w:name="_Toc216582818"/>
      <w:bookmarkStart w:id="361" w:name="_Toc3332"/>
      <w:bookmarkStart w:id="362" w:name="_Toc13810"/>
      <w:bookmarkStart w:id="363" w:name="_Toc3484"/>
      <w:r>
        <w:rPr>
          <w:rFonts w:hint="eastAsia" w:ascii="宋体" w:hAnsi="宋体" w:eastAsia="宋体" w:cs="宋体"/>
          <w:color w:val="000000"/>
          <w:sz w:val="24"/>
          <w:szCs w:val="24"/>
        </w:rPr>
        <w:t>、商务条款偏离表</w:t>
      </w:r>
      <w:bookmarkEnd w:id="352"/>
      <w:bookmarkEnd w:id="353"/>
      <w:bookmarkEnd w:id="354"/>
      <w:bookmarkEnd w:id="355"/>
      <w:bookmarkEnd w:id="356"/>
      <w:bookmarkEnd w:id="357"/>
      <w:bookmarkEnd w:id="358"/>
      <w:bookmarkEnd w:id="359"/>
      <w:bookmarkEnd w:id="360"/>
      <w:bookmarkEnd w:id="361"/>
      <w:bookmarkEnd w:id="362"/>
      <w:bookmarkEnd w:id="363"/>
    </w:p>
    <w:p w14:paraId="61D4AE76">
      <w:pPr>
        <w:pStyle w:val="16"/>
        <w:spacing w:line="240" w:lineRule="atLeast"/>
        <w:ind w:left="1080" w:leftChars="257" w:hanging="540"/>
        <w:rPr>
          <w:rFonts w:hint="eastAsia" w:hAnsi="宋体" w:cs="宋体"/>
          <w:color w:val="000000"/>
          <w:sz w:val="24"/>
          <w:szCs w:val="24"/>
        </w:rPr>
      </w:pPr>
      <w:r>
        <w:rPr>
          <w:rFonts w:hint="eastAsia" w:hAnsi="宋体" w:cs="宋体"/>
          <w:color w:val="000000"/>
          <w:sz w:val="24"/>
          <w:szCs w:val="24"/>
        </w:rPr>
        <w:t xml:space="preserve">项目名称:                      </w:t>
      </w:r>
    </w:p>
    <w:p w14:paraId="2A8D511F">
      <w:pPr>
        <w:pStyle w:val="16"/>
        <w:spacing w:line="240" w:lineRule="atLeast"/>
        <w:ind w:left="1080" w:leftChars="257" w:hanging="540"/>
        <w:rPr>
          <w:rFonts w:hint="eastAsia" w:hAnsi="宋体" w:cs="宋体"/>
          <w:color w:val="000000"/>
          <w:sz w:val="24"/>
          <w:szCs w:val="24"/>
        </w:rPr>
      </w:pPr>
      <w:r>
        <w:rPr>
          <w:rFonts w:hint="eastAsia" w:hAnsi="宋体" w:cs="宋体"/>
          <w:color w:val="000000"/>
          <w:sz w:val="24"/>
          <w:szCs w:val="24"/>
        </w:rPr>
        <w:t xml:space="preserve">项目编号:                                 </w:t>
      </w:r>
    </w:p>
    <w:tbl>
      <w:tblPr>
        <w:tblStyle w:val="37"/>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2040"/>
        <w:gridCol w:w="2520"/>
        <w:gridCol w:w="2520"/>
        <w:gridCol w:w="900"/>
      </w:tblGrid>
      <w:tr w14:paraId="3F75D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center"/>
          </w:tcPr>
          <w:p w14:paraId="58A4ACC7">
            <w:pPr>
              <w:pStyle w:val="16"/>
              <w:jc w:val="center"/>
              <w:rPr>
                <w:rFonts w:hint="eastAsia" w:hAnsi="宋体" w:cs="宋体"/>
                <w:color w:val="000000"/>
                <w:sz w:val="24"/>
                <w:szCs w:val="24"/>
              </w:rPr>
            </w:pPr>
            <w:r>
              <w:rPr>
                <w:rFonts w:hint="eastAsia" w:hAnsi="宋体" w:cs="宋体"/>
                <w:color w:val="000000"/>
                <w:sz w:val="24"/>
                <w:szCs w:val="24"/>
              </w:rPr>
              <w:t>序号</w:t>
            </w:r>
          </w:p>
        </w:tc>
        <w:tc>
          <w:tcPr>
            <w:tcW w:w="2040" w:type="dxa"/>
            <w:noWrap w:val="0"/>
            <w:vAlign w:val="center"/>
          </w:tcPr>
          <w:p w14:paraId="045B95FF">
            <w:pPr>
              <w:pStyle w:val="16"/>
              <w:jc w:val="center"/>
              <w:rPr>
                <w:rFonts w:hint="eastAsia" w:hAnsi="宋体" w:cs="宋体"/>
                <w:color w:val="000000"/>
                <w:sz w:val="24"/>
                <w:szCs w:val="24"/>
              </w:rPr>
            </w:pPr>
            <w:r>
              <w:rPr>
                <w:rFonts w:hint="eastAsia" w:hAnsi="宋体" w:cs="宋体"/>
                <w:color w:val="000000"/>
                <w:sz w:val="24"/>
                <w:szCs w:val="24"/>
              </w:rPr>
              <w:t>磋商文件条款号</w:t>
            </w:r>
          </w:p>
        </w:tc>
        <w:tc>
          <w:tcPr>
            <w:tcW w:w="2520" w:type="dxa"/>
            <w:noWrap w:val="0"/>
            <w:vAlign w:val="center"/>
          </w:tcPr>
          <w:p w14:paraId="4EDF9D3B">
            <w:pPr>
              <w:pStyle w:val="16"/>
              <w:jc w:val="center"/>
              <w:rPr>
                <w:rFonts w:hint="eastAsia" w:hAnsi="宋体" w:cs="宋体"/>
                <w:color w:val="000000"/>
                <w:sz w:val="24"/>
                <w:szCs w:val="24"/>
              </w:rPr>
            </w:pPr>
            <w:r>
              <w:rPr>
                <w:rFonts w:hint="eastAsia" w:hAnsi="宋体" w:cs="宋体"/>
                <w:color w:val="000000"/>
                <w:sz w:val="24"/>
                <w:szCs w:val="24"/>
              </w:rPr>
              <w:t>磋商文件的商务条款</w:t>
            </w:r>
          </w:p>
        </w:tc>
        <w:tc>
          <w:tcPr>
            <w:tcW w:w="2520" w:type="dxa"/>
            <w:noWrap w:val="0"/>
            <w:vAlign w:val="center"/>
          </w:tcPr>
          <w:p w14:paraId="321ACDAC">
            <w:pPr>
              <w:pStyle w:val="16"/>
              <w:jc w:val="center"/>
              <w:rPr>
                <w:rFonts w:hint="eastAsia" w:hAnsi="宋体" w:cs="宋体"/>
                <w:color w:val="000000"/>
                <w:sz w:val="24"/>
                <w:szCs w:val="24"/>
              </w:rPr>
            </w:pPr>
            <w:r>
              <w:rPr>
                <w:rFonts w:hint="eastAsia" w:hAnsi="宋体" w:cs="宋体"/>
                <w:color w:val="000000"/>
                <w:sz w:val="24"/>
                <w:szCs w:val="24"/>
              </w:rPr>
              <w:t>磋商文件的商务条款</w:t>
            </w:r>
          </w:p>
        </w:tc>
        <w:tc>
          <w:tcPr>
            <w:tcW w:w="900" w:type="dxa"/>
            <w:noWrap w:val="0"/>
            <w:vAlign w:val="center"/>
          </w:tcPr>
          <w:p w14:paraId="58EF89CD">
            <w:pPr>
              <w:pStyle w:val="16"/>
              <w:jc w:val="center"/>
              <w:rPr>
                <w:rFonts w:hint="eastAsia" w:hAnsi="宋体" w:cs="宋体"/>
                <w:color w:val="000000"/>
                <w:sz w:val="24"/>
                <w:szCs w:val="24"/>
              </w:rPr>
            </w:pPr>
            <w:r>
              <w:rPr>
                <w:rFonts w:hint="eastAsia" w:hAnsi="宋体" w:cs="宋体"/>
                <w:color w:val="000000"/>
                <w:sz w:val="24"/>
                <w:szCs w:val="24"/>
              </w:rPr>
              <w:t>说明</w:t>
            </w:r>
          </w:p>
        </w:tc>
      </w:tr>
      <w:tr w14:paraId="39DB0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7BC4A389">
            <w:pPr>
              <w:pStyle w:val="16"/>
              <w:spacing w:line="240" w:lineRule="atLeast"/>
              <w:ind w:left="1080" w:leftChars="257" w:hanging="540"/>
              <w:rPr>
                <w:rFonts w:hint="eastAsia" w:hAnsi="宋体" w:cs="宋体"/>
                <w:color w:val="000000"/>
                <w:sz w:val="24"/>
                <w:szCs w:val="24"/>
              </w:rPr>
            </w:pPr>
          </w:p>
        </w:tc>
        <w:tc>
          <w:tcPr>
            <w:tcW w:w="2040" w:type="dxa"/>
            <w:noWrap w:val="0"/>
            <w:vAlign w:val="top"/>
          </w:tcPr>
          <w:p w14:paraId="298204A6">
            <w:pPr>
              <w:pStyle w:val="16"/>
              <w:spacing w:line="240" w:lineRule="atLeast"/>
              <w:ind w:left="1080" w:leftChars="257" w:hanging="540"/>
              <w:rPr>
                <w:rFonts w:hint="eastAsia" w:hAnsi="宋体" w:cs="宋体"/>
                <w:color w:val="000000"/>
                <w:sz w:val="24"/>
                <w:szCs w:val="24"/>
              </w:rPr>
            </w:pPr>
          </w:p>
        </w:tc>
        <w:tc>
          <w:tcPr>
            <w:tcW w:w="2520" w:type="dxa"/>
            <w:noWrap w:val="0"/>
            <w:vAlign w:val="top"/>
          </w:tcPr>
          <w:p w14:paraId="54316E52">
            <w:pPr>
              <w:pStyle w:val="16"/>
              <w:spacing w:line="240" w:lineRule="atLeast"/>
              <w:ind w:left="1080" w:leftChars="257" w:hanging="540"/>
              <w:jc w:val="center"/>
              <w:rPr>
                <w:rFonts w:hint="eastAsia" w:hAnsi="宋体" w:cs="宋体"/>
                <w:color w:val="000000"/>
                <w:sz w:val="24"/>
                <w:szCs w:val="24"/>
              </w:rPr>
            </w:pPr>
          </w:p>
        </w:tc>
        <w:tc>
          <w:tcPr>
            <w:tcW w:w="2520" w:type="dxa"/>
            <w:noWrap w:val="0"/>
            <w:vAlign w:val="top"/>
          </w:tcPr>
          <w:p w14:paraId="7B38BCA6">
            <w:pPr>
              <w:pStyle w:val="16"/>
              <w:spacing w:line="240" w:lineRule="atLeast"/>
              <w:ind w:left="1080" w:leftChars="257" w:hanging="540"/>
              <w:jc w:val="center"/>
              <w:rPr>
                <w:rFonts w:hint="eastAsia" w:hAnsi="宋体" w:cs="宋体"/>
                <w:color w:val="000000"/>
                <w:sz w:val="24"/>
                <w:szCs w:val="24"/>
              </w:rPr>
            </w:pPr>
          </w:p>
        </w:tc>
        <w:tc>
          <w:tcPr>
            <w:tcW w:w="900" w:type="dxa"/>
            <w:noWrap w:val="0"/>
            <w:vAlign w:val="top"/>
          </w:tcPr>
          <w:p w14:paraId="21D1CD78">
            <w:pPr>
              <w:pStyle w:val="16"/>
              <w:spacing w:line="240" w:lineRule="atLeast"/>
              <w:ind w:left="1080" w:leftChars="257" w:hanging="540"/>
              <w:rPr>
                <w:rFonts w:hint="eastAsia" w:hAnsi="宋体" w:cs="宋体"/>
                <w:color w:val="000000"/>
                <w:sz w:val="24"/>
                <w:szCs w:val="24"/>
              </w:rPr>
            </w:pPr>
          </w:p>
        </w:tc>
      </w:tr>
      <w:tr w14:paraId="19CA3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4126A26B">
            <w:pPr>
              <w:pStyle w:val="16"/>
              <w:spacing w:line="240" w:lineRule="atLeast"/>
              <w:ind w:left="1080" w:leftChars="257" w:hanging="540"/>
              <w:rPr>
                <w:rFonts w:hint="eastAsia" w:hAnsi="宋体" w:cs="宋体"/>
                <w:color w:val="000000"/>
                <w:sz w:val="24"/>
                <w:szCs w:val="24"/>
              </w:rPr>
            </w:pPr>
          </w:p>
        </w:tc>
        <w:tc>
          <w:tcPr>
            <w:tcW w:w="2040" w:type="dxa"/>
            <w:noWrap w:val="0"/>
            <w:vAlign w:val="top"/>
          </w:tcPr>
          <w:p w14:paraId="38F11B33">
            <w:pPr>
              <w:pStyle w:val="16"/>
              <w:spacing w:line="240" w:lineRule="atLeast"/>
              <w:ind w:left="1080" w:leftChars="257" w:hanging="540"/>
              <w:rPr>
                <w:rFonts w:hint="eastAsia" w:hAnsi="宋体" w:cs="宋体"/>
                <w:color w:val="000000"/>
                <w:sz w:val="24"/>
                <w:szCs w:val="24"/>
              </w:rPr>
            </w:pPr>
          </w:p>
        </w:tc>
        <w:tc>
          <w:tcPr>
            <w:tcW w:w="2520" w:type="dxa"/>
            <w:noWrap w:val="0"/>
            <w:vAlign w:val="top"/>
          </w:tcPr>
          <w:p w14:paraId="03B17054">
            <w:pPr>
              <w:pStyle w:val="16"/>
              <w:spacing w:line="240" w:lineRule="atLeast"/>
              <w:ind w:left="1080" w:leftChars="257" w:hanging="540"/>
              <w:rPr>
                <w:rFonts w:hint="eastAsia" w:hAnsi="宋体" w:cs="宋体"/>
                <w:color w:val="000000"/>
                <w:sz w:val="24"/>
                <w:szCs w:val="24"/>
              </w:rPr>
            </w:pPr>
          </w:p>
        </w:tc>
        <w:tc>
          <w:tcPr>
            <w:tcW w:w="2520" w:type="dxa"/>
            <w:noWrap w:val="0"/>
            <w:vAlign w:val="top"/>
          </w:tcPr>
          <w:p w14:paraId="59707360">
            <w:pPr>
              <w:pStyle w:val="16"/>
              <w:spacing w:line="240" w:lineRule="atLeast"/>
              <w:ind w:left="1080" w:leftChars="257" w:hanging="540"/>
              <w:rPr>
                <w:rFonts w:hint="eastAsia" w:hAnsi="宋体" w:cs="宋体"/>
                <w:color w:val="000000"/>
                <w:sz w:val="24"/>
                <w:szCs w:val="24"/>
              </w:rPr>
            </w:pPr>
          </w:p>
        </w:tc>
        <w:tc>
          <w:tcPr>
            <w:tcW w:w="900" w:type="dxa"/>
            <w:noWrap w:val="0"/>
            <w:vAlign w:val="top"/>
          </w:tcPr>
          <w:p w14:paraId="1D9AD30A">
            <w:pPr>
              <w:pStyle w:val="16"/>
              <w:spacing w:line="240" w:lineRule="atLeast"/>
              <w:ind w:left="1080" w:leftChars="257" w:hanging="540"/>
              <w:rPr>
                <w:rFonts w:hint="eastAsia" w:hAnsi="宋体" w:cs="宋体"/>
                <w:color w:val="000000"/>
                <w:sz w:val="24"/>
                <w:szCs w:val="24"/>
              </w:rPr>
            </w:pPr>
          </w:p>
        </w:tc>
      </w:tr>
      <w:tr w14:paraId="41422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43E73FD0">
            <w:pPr>
              <w:pStyle w:val="16"/>
              <w:spacing w:line="240" w:lineRule="atLeast"/>
              <w:ind w:left="1080" w:leftChars="257" w:hanging="540"/>
              <w:rPr>
                <w:rFonts w:hint="eastAsia" w:hAnsi="宋体" w:cs="宋体"/>
                <w:color w:val="000000"/>
                <w:sz w:val="24"/>
                <w:szCs w:val="24"/>
              </w:rPr>
            </w:pPr>
          </w:p>
        </w:tc>
        <w:tc>
          <w:tcPr>
            <w:tcW w:w="2040" w:type="dxa"/>
            <w:noWrap w:val="0"/>
            <w:vAlign w:val="top"/>
          </w:tcPr>
          <w:p w14:paraId="3F75D480">
            <w:pPr>
              <w:pStyle w:val="16"/>
              <w:spacing w:line="240" w:lineRule="atLeast"/>
              <w:ind w:left="1080" w:leftChars="257" w:hanging="540"/>
              <w:rPr>
                <w:rFonts w:hint="eastAsia" w:hAnsi="宋体" w:cs="宋体"/>
                <w:color w:val="000000"/>
                <w:sz w:val="24"/>
                <w:szCs w:val="24"/>
              </w:rPr>
            </w:pPr>
          </w:p>
        </w:tc>
        <w:tc>
          <w:tcPr>
            <w:tcW w:w="2520" w:type="dxa"/>
            <w:noWrap w:val="0"/>
            <w:vAlign w:val="top"/>
          </w:tcPr>
          <w:p w14:paraId="7BD051FC">
            <w:pPr>
              <w:pStyle w:val="16"/>
              <w:spacing w:line="240" w:lineRule="atLeast"/>
              <w:ind w:left="1080" w:leftChars="257" w:hanging="540"/>
              <w:rPr>
                <w:rFonts w:hint="eastAsia" w:hAnsi="宋体" w:cs="宋体"/>
                <w:color w:val="000000"/>
                <w:sz w:val="24"/>
                <w:szCs w:val="24"/>
              </w:rPr>
            </w:pPr>
          </w:p>
        </w:tc>
        <w:tc>
          <w:tcPr>
            <w:tcW w:w="2520" w:type="dxa"/>
            <w:noWrap w:val="0"/>
            <w:vAlign w:val="top"/>
          </w:tcPr>
          <w:p w14:paraId="37598C44">
            <w:pPr>
              <w:pStyle w:val="16"/>
              <w:spacing w:line="240" w:lineRule="atLeast"/>
              <w:ind w:left="1080" w:leftChars="257" w:hanging="540"/>
              <w:rPr>
                <w:rFonts w:hint="eastAsia" w:hAnsi="宋体" w:cs="宋体"/>
                <w:color w:val="000000"/>
                <w:sz w:val="24"/>
                <w:szCs w:val="24"/>
              </w:rPr>
            </w:pPr>
          </w:p>
        </w:tc>
        <w:tc>
          <w:tcPr>
            <w:tcW w:w="900" w:type="dxa"/>
            <w:noWrap w:val="0"/>
            <w:vAlign w:val="top"/>
          </w:tcPr>
          <w:p w14:paraId="69E7C305">
            <w:pPr>
              <w:pStyle w:val="16"/>
              <w:spacing w:line="240" w:lineRule="atLeast"/>
              <w:ind w:left="1080" w:leftChars="257" w:hanging="540"/>
              <w:rPr>
                <w:rFonts w:hint="eastAsia" w:hAnsi="宋体" w:cs="宋体"/>
                <w:color w:val="000000"/>
                <w:sz w:val="24"/>
                <w:szCs w:val="24"/>
              </w:rPr>
            </w:pPr>
          </w:p>
        </w:tc>
      </w:tr>
      <w:tr w14:paraId="56A21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6A8502C8">
            <w:pPr>
              <w:pStyle w:val="16"/>
              <w:spacing w:line="240" w:lineRule="atLeast"/>
              <w:ind w:left="1080" w:leftChars="257" w:hanging="540"/>
              <w:rPr>
                <w:rFonts w:hint="eastAsia" w:hAnsi="宋体" w:cs="宋体"/>
                <w:color w:val="000000"/>
                <w:sz w:val="24"/>
                <w:szCs w:val="24"/>
              </w:rPr>
            </w:pPr>
          </w:p>
        </w:tc>
        <w:tc>
          <w:tcPr>
            <w:tcW w:w="2040" w:type="dxa"/>
            <w:noWrap w:val="0"/>
            <w:vAlign w:val="top"/>
          </w:tcPr>
          <w:p w14:paraId="00D0B5BF">
            <w:pPr>
              <w:pStyle w:val="16"/>
              <w:spacing w:line="240" w:lineRule="atLeast"/>
              <w:ind w:left="1080" w:leftChars="257" w:hanging="540"/>
              <w:rPr>
                <w:rFonts w:hint="eastAsia" w:hAnsi="宋体" w:cs="宋体"/>
                <w:color w:val="000000"/>
                <w:sz w:val="24"/>
                <w:szCs w:val="24"/>
              </w:rPr>
            </w:pPr>
          </w:p>
        </w:tc>
        <w:tc>
          <w:tcPr>
            <w:tcW w:w="2520" w:type="dxa"/>
            <w:noWrap w:val="0"/>
            <w:vAlign w:val="top"/>
          </w:tcPr>
          <w:p w14:paraId="0617C277">
            <w:pPr>
              <w:pStyle w:val="16"/>
              <w:spacing w:line="240" w:lineRule="atLeast"/>
              <w:ind w:left="1080" w:leftChars="257" w:hanging="540"/>
              <w:rPr>
                <w:rFonts w:hint="eastAsia" w:hAnsi="宋体" w:cs="宋体"/>
                <w:color w:val="000000"/>
                <w:sz w:val="24"/>
                <w:szCs w:val="24"/>
              </w:rPr>
            </w:pPr>
          </w:p>
        </w:tc>
        <w:tc>
          <w:tcPr>
            <w:tcW w:w="2520" w:type="dxa"/>
            <w:noWrap w:val="0"/>
            <w:vAlign w:val="top"/>
          </w:tcPr>
          <w:p w14:paraId="0414072A">
            <w:pPr>
              <w:pStyle w:val="16"/>
              <w:spacing w:line="240" w:lineRule="atLeast"/>
              <w:ind w:left="1080" w:leftChars="257" w:hanging="540"/>
              <w:rPr>
                <w:rFonts w:hint="eastAsia" w:hAnsi="宋体" w:cs="宋体"/>
                <w:color w:val="000000"/>
                <w:sz w:val="24"/>
                <w:szCs w:val="24"/>
              </w:rPr>
            </w:pPr>
          </w:p>
        </w:tc>
        <w:tc>
          <w:tcPr>
            <w:tcW w:w="900" w:type="dxa"/>
            <w:noWrap w:val="0"/>
            <w:vAlign w:val="top"/>
          </w:tcPr>
          <w:p w14:paraId="6527CD24">
            <w:pPr>
              <w:pStyle w:val="16"/>
              <w:spacing w:line="240" w:lineRule="atLeast"/>
              <w:ind w:left="1080" w:leftChars="257" w:hanging="540"/>
              <w:rPr>
                <w:rFonts w:hint="eastAsia" w:hAnsi="宋体" w:cs="宋体"/>
                <w:color w:val="000000"/>
                <w:sz w:val="24"/>
                <w:szCs w:val="24"/>
              </w:rPr>
            </w:pPr>
          </w:p>
        </w:tc>
      </w:tr>
      <w:tr w14:paraId="2B321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172D3274">
            <w:pPr>
              <w:pStyle w:val="16"/>
              <w:spacing w:line="240" w:lineRule="atLeast"/>
              <w:ind w:left="1080" w:leftChars="257" w:hanging="540"/>
              <w:rPr>
                <w:rFonts w:hint="eastAsia" w:hAnsi="宋体" w:cs="宋体"/>
                <w:color w:val="000000"/>
                <w:sz w:val="24"/>
                <w:szCs w:val="24"/>
              </w:rPr>
            </w:pPr>
          </w:p>
        </w:tc>
        <w:tc>
          <w:tcPr>
            <w:tcW w:w="2040" w:type="dxa"/>
            <w:noWrap w:val="0"/>
            <w:vAlign w:val="top"/>
          </w:tcPr>
          <w:p w14:paraId="20C8D15D">
            <w:pPr>
              <w:pStyle w:val="16"/>
              <w:spacing w:line="240" w:lineRule="atLeast"/>
              <w:ind w:left="1080" w:leftChars="257" w:hanging="540"/>
              <w:rPr>
                <w:rFonts w:hint="eastAsia" w:hAnsi="宋体" w:cs="宋体"/>
                <w:color w:val="000000"/>
                <w:sz w:val="24"/>
                <w:szCs w:val="24"/>
              </w:rPr>
            </w:pPr>
          </w:p>
        </w:tc>
        <w:tc>
          <w:tcPr>
            <w:tcW w:w="2520" w:type="dxa"/>
            <w:noWrap w:val="0"/>
            <w:vAlign w:val="top"/>
          </w:tcPr>
          <w:p w14:paraId="12A12F44">
            <w:pPr>
              <w:pStyle w:val="16"/>
              <w:spacing w:line="240" w:lineRule="atLeast"/>
              <w:ind w:left="1080" w:leftChars="257" w:hanging="540"/>
              <w:rPr>
                <w:rFonts w:hint="eastAsia" w:hAnsi="宋体" w:cs="宋体"/>
                <w:color w:val="000000"/>
                <w:sz w:val="24"/>
                <w:szCs w:val="24"/>
              </w:rPr>
            </w:pPr>
          </w:p>
        </w:tc>
        <w:tc>
          <w:tcPr>
            <w:tcW w:w="2520" w:type="dxa"/>
            <w:noWrap w:val="0"/>
            <w:vAlign w:val="top"/>
          </w:tcPr>
          <w:p w14:paraId="0317604D">
            <w:pPr>
              <w:pStyle w:val="16"/>
              <w:spacing w:line="240" w:lineRule="atLeast"/>
              <w:ind w:left="1080" w:leftChars="257" w:hanging="540"/>
              <w:rPr>
                <w:rFonts w:hint="eastAsia" w:hAnsi="宋体" w:cs="宋体"/>
                <w:color w:val="000000"/>
                <w:sz w:val="24"/>
                <w:szCs w:val="24"/>
              </w:rPr>
            </w:pPr>
          </w:p>
        </w:tc>
        <w:tc>
          <w:tcPr>
            <w:tcW w:w="900" w:type="dxa"/>
            <w:noWrap w:val="0"/>
            <w:vAlign w:val="top"/>
          </w:tcPr>
          <w:p w14:paraId="352B44DC">
            <w:pPr>
              <w:pStyle w:val="16"/>
              <w:spacing w:line="240" w:lineRule="atLeast"/>
              <w:ind w:left="1080" w:leftChars="257" w:hanging="540"/>
              <w:rPr>
                <w:rFonts w:hint="eastAsia" w:hAnsi="宋体" w:cs="宋体"/>
                <w:color w:val="000000"/>
                <w:sz w:val="24"/>
                <w:szCs w:val="24"/>
              </w:rPr>
            </w:pPr>
          </w:p>
        </w:tc>
      </w:tr>
      <w:tr w14:paraId="38FAC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7ABA2D39">
            <w:pPr>
              <w:pStyle w:val="16"/>
              <w:spacing w:line="240" w:lineRule="atLeast"/>
              <w:ind w:left="1080" w:leftChars="257" w:hanging="540"/>
              <w:rPr>
                <w:rFonts w:hint="eastAsia" w:hAnsi="宋体" w:cs="宋体"/>
                <w:color w:val="000000"/>
                <w:sz w:val="24"/>
                <w:szCs w:val="24"/>
              </w:rPr>
            </w:pPr>
          </w:p>
        </w:tc>
        <w:tc>
          <w:tcPr>
            <w:tcW w:w="2040" w:type="dxa"/>
            <w:noWrap w:val="0"/>
            <w:vAlign w:val="top"/>
          </w:tcPr>
          <w:p w14:paraId="79373B05">
            <w:pPr>
              <w:pStyle w:val="16"/>
              <w:spacing w:line="240" w:lineRule="atLeast"/>
              <w:ind w:left="1080" w:leftChars="257" w:hanging="540"/>
              <w:rPr>
                <w:rFonts w:hint="eastAsia" w:hAnsi="宋体" w:cs="宋体"/>
                <w:color w:val="000000"/>
                <w:sz w:val="24"/>
                <w:szCs w:val="24"/>
              </w:rPr>
            </w:pPr>
          </w:p>
        </w:tc>
        <w:tc>
          <w:tcPr>
            <w:tcW w:w="2520" w:type="dxa"/>
            <w:noWrap w:val="0"/>
            <w:vAlign w:val="top"/>
          </w:tcPr>
          <w:p w14:paraId="7F018394">
            <w:pPr>
              <w:pStyle w:val="16"/>
              <w:spacing w:line="240" w:lineRule="atLeast"/>
              <w:ind w:left="1080" w:leftChars="257" w:hanging="540"/>
              <w:rPr>
                <w:rFonts w:hint="eastAsia" w:hAnsi="宋体" w:cs="宋体"/>
                <w:color w:val="000000"/>
                <w:sz w:val="24"/>
                <w:szCs w:val="24"/>
              </w:rPr>
            </w:pPr>
          </w:p>
        </w:tc>
        <w:tc>
          <w:tcPr>
            <w:tcW w:w="2520" w:type="dxa"/>
            <w:noWrap w:val="0"/>
            <w:vAlign w:val="top"/>
          </w:tcPr>
          <w:p w14:paraId="72492D03">
            <w:pPr>
              <w:pStyle w:val="16"/>
              <w:spacing w:line="240" w:lineRule="atLeast"/>
              <w:ind w:left="1080" w:leftChars="257" w:hanging="540"/>
              <w:rPr>
                <w:rFonts w:hint="eastAsia" w:hAnsi="宋体" w:cs="宋体"/>
                <w:color w:val="000000"/>
                <w:sz w:val="24"/>
                <w:szCs w:val="24"/>
              </w:rPr>
            </w:pPr>
          </w:p>
        </w:tc>
        <w:tc>
          <w:tcPr>
            <w:tcW w:w="900" w:type="dxa"/>
            <w:noWrap w:val="0"/>
            <w:vAlign w:val="top"/>
          </w:tcPr>
          <w:p w14:paraId="1D0B8878">
            <w:pPr>
              <w:pStyle w:val="16"/>
              <w:spacing w:line="240" w:lineRule="atLeast"/>
              <w:ind w:left="1080" w:leftChars="257" w:hanging="540"/>
              <w:rPr>
                <w:rFonts w:hint="eastAsia" w:hAnsi="宋体" w:cs="宋体"/>
                <w:color w:val="000000"/>
                <w:sz w:val="24"/>
                <w:szCs w:val="24"/>
              </w:rPr>
            </w:pPr>
          </w:p>
        </w:tc>
      </w:tr>
      <w:tr w14:paraId="606B8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2617335C">
            <w:pPr>
              <w:pStyle w:val="16"/>
              <w:spacing w:line="240" w:lineRule="atLeast"/>
              <w:ind w:left="1080" w:leftChars="257" w:hanging="540"/>
              <w:rPr>
                <w:rFonts w:hint="eastAsia" w:hAnsi="宋体" w:cs="宋体"/>
                <w:color w:val="000000"/>
                <w:sz w:val="24"/>
                <w:szCs w:val="24"/>
              </w:rPr>
            </w:pPr>
          </w:p>
        </w:tc>
        <w:tc>
          <w:tcPr>
            <w:tcW w:w="2040" w:type="dxa"/>
            <w:noWrap w:val="0"/>
            <w:vAlign w:val="top"/>
          </w:tcPr>
          <w:p w14:paraId="3DE325AC">
            <w:pPr>
              <w:pStyle w:val="16"/>
              <w:spacing w:line="240" w:lineRule="atLeast"/>
              <w:ind w:left="1080" w:leftChars="257" w:hanging="540"/>
              <w:rPr>
                <w:rFonts w:hint="eastAsia" w:hAnsi="宋体" w:cs="宋体"/>
                <w:color w:val="000000"/>
                <w:sz w:val="24"/>
                <w:szCs w:val="24"/>
              </w:rPr>
            </w:pPr>
          </w:p>
        </w:tc>
        <w:tc>
          <w:tcPr>
            <w:tcW w:w="2520" w:type="dxa"/>
            <w:noWrap w:val="0"/>
            <w:vAlign w:val="top"/>
          </w:tcPr>
          <w:p w14:paraId="17307C16">
            <w:pPr>
              <w:pStyle w:val="16"/>
              <w:spacing w:line="240" w:lineRule="atLeast"/>
              <w:ind w:left="1080" w:leftChars="257" w:hanging="540"/>
              <w:rPr>
                <w:rFonts w:hint="eastAsia" w:hAnsi="宋体" w:cs="宋体"/>
                <w:color w:val="000000"/>
                <w:sz w:val="24"/>
                <w:szCs w:val="24"/>
              </w:rPr>
            </w:pPr>
          </w:p>
        </w:tc>
        <w:tc>
          <w:tcPr>
            <w:tcW w:w="2520" w:type="dxa"/>
            <w:noWrap w:val="0"/>
            <w:vAlign w:val="top"/>
          </w:tcPr>
          <w:p w14:paraId="5E8C645E">
            <w:pPr>
              <w:pStyle w:val="16"/>
              <w:spacing w:line="240" w:lineRule="atLeast"/>
              <w:ind w:left="1080" w:leftChars="257" w:hanging="540"/>
              <w:rPr>
                <w:rFonts w:hint="eastAsia" w:hAnsi="宋体" w:cs="宋体"/>
                <w:color w:val="000000"/>
                <w:sz w:val="24"/>
                <w:szCs w:val="24"/>
              </w:rPr>
            </w:pPr>
          </w:p>
        </w:tc>
        <w:tc>
          <w:tcPr>
            <w:tcW w:w="900" w:type="dxa"/>
            <w:noWrap w:val="0"/>
            <w:vAlign w:val="top"/>
          </w:tcPr>
          <w:p w14:paraId="5514A384">
            <w:pPr>
              <w:pStyle w:val="16"/>
              <w:spacing w:line="240" w:lineRule="atLeast"/>
              <w:ind w:left="1080" w:leftChars="257" w:hanging="540"/>
              <w:rPr>
                <w:rFonts w:hint="eastAsia" w:hAnsi="宋体" w:cs="宋体"/>
                <w:color w:val="000000"/>
                <w:sz w:val="24"/>
                <w:szCs w:val="24"/>
              </w:rPr>
            </w:pPr>
          </w:p>
        </w:tc>
      </w:tr>
      <w:tr w14:paraId="524BF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649ED3D1">
            <w:pPr>
              <w:pStyle w:val="16"/>
              <w:spacing w:line="240" w:lineRule="atLeast"/>
              <w:ind w:left="1080" w:leftChars="257" w:hanging="540"/>
              <w:rPr>
                <w:rFonts w:hint="eastAsia" w:hAnsi="宋体" w:cs="宋体"/>
                <w:color w:val="000000"/>
                <w:sz w:val="24"/>
                <w:szCs w:val="24"/>
              </w:rPr>
            </w:pPr>
          </w:p>
        </w:tc>
        <w:tc>
          <w:tcPr>
            <w:tcW w:w="2040" w:type="dxa"/>
            <w:noWrap w:val="0"/>
            <w:vAlign w:val="top"/>
          </w:tcPr>
          <w:p w14:paraId="69177361">
            <w:pPr>
              <w:pStyle w:val="16"/>
              <w:spacing w:line="240" w:lineRule="atLeast"/>
              <w:ind w:left="1080" w:leftChars="257" w:hanging="540"/>
              <w:rPr>
                <w:rFonts w:hint="eastAsia" w:hAnsi="宋体" w:cs="宋体"/>
                <w:color w:val="000000"/>
                <w:sz w:val="24"/>
                <w:szCs w:val="24"/>
              </w:rPr>
            </w:pPr>
          </w:p>
        </w:tc>
        <w:tc>
          <w:tcPr>
            <w:tcW w:w="2520" w:type="dxa"/>
            <w:noWrap w:val="0"/>
            <w:vAlign w:val="top"/>
          </w:tcPr>
          <w:p w14:paraId="37133EF7">
            <w:pPr>
              <w:pStyle w:val="16"/>
              <w:spacing w:line="240" w:lineRule="atLeast"/>
              <w:ind w:left="1080" w:leftChars="257" w:hanging="540"/>
              <w:rPr>
                <w:rFonts w:hint="eastAsia" w:hAnsi="宋体" w:cs="宋体"/>
                <w:color w:val="000000"/>
                <w:sz w:val="24"/>
                <w:szCs w:val="24"/>
              </w:rPr>
            </w:pPr>
          </w:p>
        </w:tc>
        <w:tc>
          <w:tcPr>
            <w:tcW w:w="2520" w:type="dxa"/>
            <w:noWrap w:val="0"/>
            <w:vAlign w:val="top"/>
          </w:tcPr>
          <w:p w14:paraId="730D4E5B">
            <w:pPr>
              <w:pStyle w:val="16"/>
              <w:spacing w:line="240" w:lineRule="atLeast"/>
              <w:ind w:left="1080" w:leftChars="257" w:hanging="540"/>
              <w:rPr>
                <w:rFonts w:hint="eastAsia" w:hAnsi="宋体" w:cs="宋体"/>
                <w:color w:val="000000"/>
                <w:sz w:val="24"/>
                <w:szCs w:val="24"/>
              </w:rPr>
            </w:pPr>
          </w:p>
        </w:tc>
        <w:tc>
          <w:tcPr>
            <w:tcW w:w="900" w:type="dxa"/>
            <w:noWrap w:val="0"/>
            <w:vAlign w:val="top"/>
          </w:tcPr>
          <w:p w14:paraId="64204ED0">
            <w:pPr>
              <w:pStyle w:val="16"/>
              <w:spacing w:line="240" w:lineRule="atLeast"/>
              <w:ind w:left="1080" w:leftChars="257" w:hanging="540"/>
              <w:rPr>
                <w:rFonts w:hint="eastAsia" w:hAnsi="宋体" w:cs="宋体"/>
                <w:color w:val="000000"/>
                <w:sz w:val="24"/>
                <w:szCs w:val="24"/>
              </w:rPr>
            </w:pPr>
          </w:p>
        </w:tc>
      </w:tr>
      <w:tr w14:paraId="74ED5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1BCBC266">
            <w:pPr>
              <w:pStyle w:val="16"/>
              <w:spacing w:line="240" w:lineRule="atLeast"/>
              <w:ind w:left="1080" w:leftChars="257" w:hanging="540"/>
              <w:rPr>
                <w:rFonts w:hint="eastAsia" w:hAnsi="宋体" w:cs="宋体"/>
                <w:color w:val="000000"/>
                <w:sz w:val="24"/>
                <w:szCs w:val="24"/>
              </w:rPr>
            </w:pPr>
          </w:p>
        </w:tc>
        <w:tc>
          <w:tcPr>
            <w:tcW w:w="2040" w:type="dxa"/>
            <w:noWrap w:val="0"/>
            <w:vAlign w:val="top"/>
          </w:tcPr>
          <w:p w14:paraId="292C573B">
            <w:pPr>
              <w:pStyle w:val="16"/>
              <w:spacing w:line="240" w:lineRule="atLeast"/>
              <w:ind w:left="1080" w:leftChars="257" w:hanging="540"/>
              <w:rPr>
                <w:rFonts w:hint="eastAsia" w:hAnsi="宋体" w:cs="宋体"/>
                <w:color w:val="000000"/>
                <w:sz w:val="24"/>
                <w:szCs w:val="24"/>
              </w:rPr>
            </w:pPr>
          </w:p>
        </w:tc>
        <w:tc>
          <w:tcPr>
            <w:tcW w:w="2520" w:type="dxa"/>
            <w:noWrap w:val="0"/>
            <w:vAlign w:val="top"/>
          </w:tcPr>
          <w:p w14:paraId="7FE0DBC5">
            <w:pPr>
              <w:pStyle w:val="16"/>
              <w:spacing w:line="240" w:lineRule="atLeast"/>
              <w:ind w:left="1080" w:leftChars="257" w:hanging="540"/>
              <w:rPr>
                <w:rFonts w:hint="eastAsia" w:hAnsi="宋体" w:cs="宋体"/>
                <w:color w:val="000000"/>
                <w:sz w:val="24"/>
                <w:szCs w:val="24"/>
              </w:rPr>
            </w:pPr>
          </w:p>
        </w:tc>
        <w:tc>
          <w:tcPr>
            <w:tcW w:w="2520" w:type="dxa"/>
            <w:noWrap w:val="0"/>
            <w:vAlign w:val="top"/>
          </w:tcPr>
          <w:p w14:paraId="5DC9FEFD">
            <w:pPr>
              <w:pStyle w:val="16"/>
              <w:spacing w:line="240" w:lineRule="atLeast"/>
              <w:ind w:left="1080" w:leftChars="257" w:hanging="540"/>
              <w:rPr>
                <w:rFonts w:hint="eastAsia" w:hAnsi="宋体" w:cs="宋体"/>
                <w:color w:val="000000"/>
                <w:sz w:val="24"/>
                <w:szCs w:val="24"/>
              </w:rPr>
            </w:pPr>
          </w:p>
        </w:tc>
        <w:tc>
          <w:tcPr>
            <w:tcW w:w="900" w:type="dxa"/>
            <w:noWrap w:val="0"/>
            <w:vAlign w:val="top"/>
          </w:tcPr>
          <w:p w14:paraId="79646B42">
            <w:pPr>
              <w:pStyle w:val="16"/>
              <w:spacing w:line="240" w:lineRule="atLeast"/>
              <w:ind w:left="1080" w:leftChars="257" w:hanging="540"/>
              <w:rPr>
                <w:rFonts w:hint="eastAsia" w:hAnsi="宋体" w:cs="宋体"/>
                <w:color w:val="000000"/>
                <w:sz w:val="24"/>
                <w:szCs w:val="24"/>
              </w:rPr>
            </w:pPr>
          </w:p>
        </w:tc>
      </w:tr>
      <w:tr w14:paraId="469C8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0B1A407E">
            <w:pPr>
              <w:pStyle w:val="16"/>
              <w:spacing w:line="240" w:lineRule="atLeast"/>
              <w:ind w:left="1080" w:leftChars="257" w:hanging="540"/>
              <w:rPr>
                <w:rFonts w:hint="eastAsia" w:hAnsi="宋体" w:cs="宋体"/>
                <w:color w:val="000000"/>
                <w:sz w:val="24"/>
                <w:szCs w:val="24"/>
              </w:rPr>
            </w:pPr>
          </w:p>
        </w:tc>
        <w:tc>
          <w:tcPr>
            <w:tcW w:w="2040" w:type="dxa"/>
            <w:noWrap w:val="0"/>
            <w:vAlign w:val="top"/>
          </w:tcPr>
          <w:p w14:paraId="4D0DA4C5">
            <w:pPr>
              <w:pStyle w:val="16"/>
              <w:spacing w:line="240" w:lineRule="atLeast"/>
              <w:ind w:left="1080" w:leftChars="257" w:hanging="540"/>
              <w:rPr>
                <w:rFonts w:hint="eastAsia" w:hAnsi="宋体" w:cs="宋体"/>
                <w:color w:val="000000"/>
                <w:sz w:val="24"/>
                <w:szCs w:val="24"/>
              </w:rPr>
            </w:pPr>
          </w:p>
        </w:tc>
        <w:tc>
          <w:tcPr>
            <w:tcW w:w="2520" w:type="dxa"/>
            <w:noWrap w:val="0"/>
            <w:vAlign w:val="top"/>
          </w:tcPr>
          <w:p w14:paraId="7F32EC17">
            <w:pPr>
              <w:pStyle w:val="16"/>
              <w:spacing w:line="240" w:lineRule="atLeast"/>
              <w:ind w:left="1080" w:leftChars="257" w:hanging="540"/>
              <w:rPr>
                <w:rFonts w:hint="eastAsia" w:hAnsi="宋体" w:cs="宋体"/>
                <w:color w:val="000000"/>
                <w:sz w:val="24"/>
                <w:szCs w:val="24"/>
              </w:rPr>
            </w:pPr>
          </w:p>
        </w:tc>
        <w:tc>
          <w:tcPr>
            <w:tcW w:w="2520" w:type="dxa"/>
            <w:noWrap w:val="0"/>
            <w:vAlign w:val="top"/>
          </w:tcPr>
          <w:p w14:paraId="4ED7FCC5">
            <w:pPr>
              <w:pStyle w:val="16"/>
              <w:spacing w:line="240" w:lineRule="atLeast"/>
              <w:ind w:left="1080" w:leftChars="257" w:hanging="540"/>
              <w:rPr>
                <w:rFonts w:hint="eastAsia" w:hAnsi="宋体" w:cs="宋体"/>
                <w:color w:val="000000"/>
                <w:sz w:val="24"/>
                <w:szCs w:val="24"/>
              </w:rPr>
            </w:pPr>
          </w:p>
        </w:tc>
        <w:tc>
          <w:tcPr>
            <w:tcW w:w="900" w:type="dxa"/>
            <w:noWrap w:val="0"/>
            <w:vAlign w:val="top"/>
          </w:tcPr>
          <w:p w14:paraId="47C4E3BF">
            <w:pPr>
              <w:pStyle w:val="16"/>
              <w:spacing w:line="240" w:lineRule="atLeast"/>
              <w:ind w:left="1080" w:leftChars="257" w:hanging="540"/>
              <w:rPr>
                <w:rFonts w:hint="eastAsia" w:hAnsi="宋体" w:cs="宋体"/>
                <w:color w:val="000000"/>
                <w:sz w:val="24"/>
                <w:szCs w:val="24"/>
              </w:rPr>
            </w:pPr>
          </w:p>
        </w:tc>
      </w:tr>
      <w:tr w14:paraId="65942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6E726C9E">
            <w:pPr>
              <w:pStyle w:val="16"/>
              <w:spacing w:line="240" w:lineRule="atLeast"/>
              <w:ind w:left="1080" w:leftChars="257" w:hanging="540"/>
              <w:rPr>
                <w:rFonts w:hint="eastAsia" w:hAnsi="宋体" w:cs="宋体"/>
                <w:color w:val="000000"/>
                <w:sz w:val="24"/>
                <w:szCs w:val="24"/>
              </w:rPr>
            </w:pPr>
          </w:p>
        </w:tc>
        <w:tc>
          <w:tcPr>
            <w:tcW w:w="2040" w:type="dxa"/>
            <w:noWrap w:val="0"/>
            <w:vAlign w:val="top"/>
          </w:tcPr>
          <w:p w14:paraId="17D6D546">
            <w:pPr>
              <w:pStyle w:val="16"/>
              <w:spacing w:line="240" w:lineRule="atLeast"/>
              <w:ind w:left="1080" w:leftChars="257" w:hanging="540"/>
              <w:rPr>
                <w:rFonts w:hint="eastAsia" w:hAnsi="宋体" w:cs="宋体"/>
                <w:color w:val="000000"/>
                <w:sz w:val="24"/>
                <w:szCs w:val="24"/>
              </w:rPr>
            </w:pPr>
          </w:p>
        </w:tc>
        <w:tc>
          <w:tcPr>
            <w:tcW w:w="2520" w:type="dxa"/>
            <w:noWrap w:val="0"/>
            <w:vAlign w:val="top"/>
          </w:tcPr>
          <w:p w14:paraId="108BDC8F">
            <w:pPr>
              <w:pStyle w:val="16"/>
              <w:spacing w:line="240" w:lineRule="atLeast"/>
              <w:ind w:left="1080" w:leftChars="257" w:hanging="540"/>
              <w:rPr>
                <w:rFonts w:hint="eastAsia" w:hAnsi="宋体" w:cs="宋体"/>
                <w:color w:val="000000"/>
                <w:sz w:val="24"/>
                <w:szCs w:val="24"/>
              </w:rPr>
            </w:pPr>
          </w:p>
        </w:tc>
        <w:tc>
          <w:tcPr>
            <w:tcW w:w="2520" w:type="dxa"/>
            <w:noWrap w:val="0"/>
            <w:vAlign w:val="top"/>
          </w:tcPr>
          <w:p w14:paraId="32EBB550">
            <w:pPr>
              <w:pStyle w:val="16"/>
              <w:spacing w:line="240" w:lineRule="atLeast"/>
              <w:ind w:left="1080" w:leftChars="257" w:hanging="540"/>
              <w:rPr>
                <w:rFonts w:hint="eastAsia" w:hAnsi="宋体" w:cs="宋体"/>
                <w:color w:val="000000"/>
                <w:sz w:val="24"/>
                <w:szCs w:val="24"/>
              </w:rPr>
            </w:pPr>
          </w:p>
        </w:tc>
        <w:tc>
          <w:tcPr>
            <w:tcW w:w="900" w:type="dxa"/>
            <w:noWrap w:val="0"/>
            <w:vAlign w:val="top"/>
          </w:tcPr>
          <w:p w14:paraId="43A99169">
            <w:pPr>
              <w:pStyle w:val="16"/>
              <w:spacing w:line="240" w:lineRule="atLeast"/>
              <w:ind w:left="1080" w:leftChars="257" w:hanging="540"/>
              <w:rPr>
                <w:rFonts w:hint="eastAsia" w:hAnsi="宋体" w:cs="宋体"/>
                <w:color w:val="000000"/>
                <w:sz w:val="24"/>
                <w:szCs w:val="24"/>
              </w:rPr>
            </w:pPr>
          </w:p>
        </w:tc>
      </w:tr>
      <w:tr w14:paraId="270F0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715D2322">
            <w:pPr>
              <w:pStyle w:val="16"/>
              <w:spacing w:line="240" w:lineRule="atLeast"/>
              <w:ind w:left="1080" w:leftChars="257" w:hanging="540"/>
              <w:rPr>
                <w:rFonts w:hint="eastAsia" w:hAnsi="宋体" w:cs="宋体"/>
                <w:color w:val="000000"/>
                <w:sz w:val="24"/>
                <w:szCs w:val="24"/>
              </w:rPr>
            </w:pPr>
          </w:p>
        </w:tc>
        <w:tc>
          <w:tcPr>
            <w:tcW w:w="2040" w:type="dxa"/>
            <w:noWrap w:val="0"/>
            <w:vAlign w:val="top"/>
          </w:tcPr>
          <w:p w14:paraId="17280BC0">
            <w:pPr>
              <w:pStyle w:val="16"/>
              <w:spacing w:line="240" w:lineRule="atLeast"/>
              <w:ind w:left="1080" w:leftChars="257" w:hanging="540"/>
              <w:rPr>
                <w:rFonts w:hint="eastAsia" w:hAnsi="宋体" w:cs="宋体"/>
                <w:color w:val="000000"/>
                <w:sz w:val="24"/>
                <w:szCs w:val="24"/>
              </w:rPr>
            </w:pPr>
          </w:p>
        </w:tc>
        <w:tc>
          <w:tcPr>
            <w:tcW w:w="2520" w:type="dxa"/>
            <w:noWrap w:val="0"/>
            <w:vAlign w:val="top"/>
          </w:tcPr>
          <w:p w14:paraId="71168F90">
            <w:pPr>
              <w:pStyle w:val="16"/>
              <w:spacing w:line="240" w:lineRule="atLeast"/>
              <w:ind w:left="1080" w:leftChars="257" w:hanging="540"/>
              <w:rPr>
                <w:rFonts w:hint="eastAsia" w:hAnsi="宋体" w:cs="宋体"/>
                <w:color w:val="000000"/>
                <w:sz w:val="24"/>
                <w:szCs w:val="24"/>
              </w:rPr>
            </w:pPr>
          </w:p>
        </w:tc>
        <w:tc>
          <w:tcPr>
            <w:tcW w:w="2520" w:type="dxa"/>
            <w:noWrap w:val="0"/>
            <w:vAlign w:val="top"/>
          </w:tcPr>
          <w:p w14:paraId="6948047A">
            <w:pPr>
              <w:pStyle w:val="16"/>
              <w:spacing w:line="240" w:lineRule="atLeast"/>
              <w:ind w:left="1080" w:leftChars="257" w:hanging="540"/>
              <w:rPr>
                <w:rFonts w:hint="eastAsia" w:hAnsi="宋体" w:cs="宋体"/>
                <w:color w:val="000000"/>
                <w:sz w:val="24"/>
                <w:szCs w:val="24"/>
              </w:rPr>
            </w:pPr>
          </w:p>
        </w:tc>
        <w:tc>
          <w:tcPr>
            <w:tcW w:w="900" w:type="dxa"/>
            <w:noWrap w:val="0"/>
            <w:vAlign w:val="top"/>
          </w:tcPr>
          <w:p w14:paraId="09D0549F">
            <w:pPr>
              <w:pStyle w:val="16"/>
              <w:spacing w:line="240" w:lineRule="atLeast"/>
              <w:ind w:left="1080" w:leftChars="257" w:hanging="540"/>
              <w:rPr>
                <w:rFonts w:hint="eastAsia" w:hAnsi="宋体" w:cs="宋体"/>
                <w:color w:val="000000"/>
                <w:sz w:val="24"/>
                <w:szCs w:val="24"/>
              </w:rPr>
            </w:pPr>
          </w:p>
        </w:tc>
      </w:tr>
      <w:tr w14:paraId="3A42D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16825446">
            <w:pPr>
              <w:pStyle w:val="16"/>
              <w:spacing w:line="240" w:lineRule="atLeast"/>
              <w:ind w:left="1080" w:leftChars="257" w:hanging="540"/>
              <w:rPr>
                <w:rFonts w:hint="eastAsia" w:hAnsi="宋体" w:cs="宋体"/>
                <w:color w:val="000000"/>
                <w:sz w:val="24"/>
                <w:szCs w:val="24"/>
              </w:rPr>
            </w:pPr>
          </w:p>
        </w:tc>
        <w:tc>
          <w:tcPr>
            <w:tcW w:w="2040" w:type="dxa"/>
            <w:noWrap w:val="0"/>
            <w:vAlign w:val="top"/>
          </w:tcPr>
          <w:p w14:paraId="17FC4763">
            <w:pPr>
              <w:pStyle w:val="16"/>
              <w:spacing w:line="240" w:lineRule="atLeast"/>
              <w:ind w:left="1080" w:leftChars="257" w:hanging="540"/>
              <w:rPr>
                <w:rFonts w:hint="eastAsia" w:hAnsi="宋体" w:cs="宋体"/>
                <w:color w:val="000000"/>
                <w:sz w:val="24"/>
                <w:szCs w:val="24"/>
              </w:rPr>
            </w:pPr>
          </w:p>
        </w:tc>
        <w:tc>
          <w:tcPr>
            <w:tcW w:w="2520" w:type="dxa"/>
            <w:noWrap w:val="0"/>
            <w:vAlign w:val="top"/>
          </w:tcPr>
          <w:p w14:paraId="682CC7CE">
            <w:pPr>
              <w:pStyle w:val="16"/>
              <w:spacing w:line="240" w:lineRule="atLeast"/>
              <w:ind w:left="1080" w:leftChars="257" w:hanging="540"/>
              <w:rPr>
                <w:rFonts w:hint="eastAsia" w:hAnsi="宋体" w:cs="宋体"/>
                <w:color w:val="000000"/>
                <w:sz w:val="24"/>
                <w:szCs w:val="24"/>
              </w:rPr>
            </w:pPr>
          </w:p>
        </w:tc>
        <w:tc>
          <w:tcPr>
            <w:tcW w:w="2520" w:type="dxa"/>
            <w:noWrap w:val="0"/>
            <w:vAlign w:val="top"/>
          </w:tcPr>
          <w:p w14:paraId="13FAE63C">
            <w:pPr>
              <w:pStyle w:val="16"/>
              <w:spacing w:line="240" w:lineRule="atLeast"/>
              <w:ind w:left="1080" w:leftChars="257" w:hanging="540"/>
              <w:rPr>
                <w:rFonts w:hint="eastAsia" w:hAnsi="宋体" w:cs="宋体"/>
                <w:color w:val="000000"/>
                <w:sz w:val="24"/>
                <w:szCs w:val="24"/>
              </w:rPr>
            </w:pPr>
          </w:p>
        </w:tc>
        <w:tc>
          <w:tcPr>
            <w:tcW w:w="900" w:type="dxa"/>
            <w:noWrap w:val="0"/>
            <w:vAlign w:val="top"/>
          </w:tcPr>
          <w:p w14:paraId="393FDD76">
            <w:pPr>
              <w:pStyle w:val="16"/>
              <w:spacing w:line="240" w:lineRule="atLeast"/>
              <w:ind w:left="1080" w:leftChars="257" w:hanging="540"/>
              <w:rPr>
                <w:rFonts w:hint="eastAsia" w:hAnsi="宋体" w:cs="宋体"/>
                <w:color w:val="000000"/>
                <w:sz w:val="24"/>
                <w:szCs w:val="24"/>
              </w:rPr>
            </w:pPr>
          </w:p>
        </w:tc>
      </w:tr>
      <w:tr w14:paraId="186C1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26DD5780">
            <w:pPr>
              <w:pStyle w:val="16"/>
              <w:spacing w:line="240" w:lineRule="atLeast"/>
              <w:ind w:left="1080" w:leftChars="257" w:hanging="540"/>
              <w:rPr>
                <w:rFonts w:hint="eastAsia" w:hAnsi="宋体" w:cs="宋体"/>
                <w:color w:val="000000"/>
                <w:sz w:val="24"/>
                <w:szCs w:val="24"/>
              </w:rPr>
            </w:pPr>
          </w:p>
        </w:tc>
        <w:tc>
          <w:tcPr>
            <w:tcW w:w="2040" w:type="dxa"/>
            <w:noWrap w:val="0"/>
            <w:vAlign w:val="top"/>
          </w:tcPr>
          <w:p w14:paraId="54E017DD">
            <w:pPr>
              <w:pStyle w:val="16"/>
              <w:spacing w:line="240" w:lineRule="atLeast"/>
              <w:ind w:left="1080" w:leftChars="257" w:hanging="540"/>
              <w:rPr>
                <w:rFonts w:hint="eastAsia" w:hAnsi="宋体" w:cs="宋体"/>
                <w:color w:val="000000"/>
                <w:sz w:val="24"/>
                <w:szCs w:val="24"/>
              </w:rPr>
            </w:pPr>
          </w:p>
        </w:tc>
        <w:tc>
          <w:tcPr>
            <w:tcW w:w="2520" w:type="dxa"/>
            <w:noWrap w:val="0"/>
            <w:vAlign w:val="top"/>
          </w:tcPr>
          <w:p w14:paraId="66E1987D">
            <w:pPr>
              <w:pStyle w:val="16"/>
              <w:spacing w:line="240" w:lineRule="atLeast"/>
              <w:ind w:left="1080" w:leftChars="257" w:hanging="540"/>
              <w:rPr>
                <w:rFonts w:hint="eastAsia" w:hAnsi="宋体" w:cs="宋体"/>
                <w:color w:val="000000"/>
                <w:sz w:val="24"/>
                <w:szCs w:val="24"/>
              </w:rPr>
            </w:pPr>
          </w:p>
        </w:tc>
        <w:tc>
          <w:tcPr>
            <w:tcW w:w="2520" w:type="dxa"/>
            <w:noWrap w:val="0"/>
            <w:vAlign w:val="top"/>
          </w:tcPr>
          <w:p w14:paraId="184F4BCD">
            <w:pPr>
              <w:pStyle w:val="16"/>
              <w:spacing w:line="240" w:lineRule="atLeast"/>
              <w:ind w:left="1080" w:leftChars="257" w:hanging="540"/>
              <w:rPr>
                <w:rFonts w:hint="eastAsia" w:hAnsi="宋体" w:cs="宋体"/>
                <w:color w:val="000000"/>
                <w:sz w:val="24"/>
                <w:szCs w:val="24"/>
              </w:rPr>
            </w:pPr>
          </w:p>
        </w:tc>
        <w:tc>
          <w:tcPr>
            <w:tcW w:w="900" w:type="dxa"/>
            <w:noWrap w:val="0"/>
            <w:vAlign w:val="top"/>
          </w:tcPr>
          <w:p w14:paraId="247A25F3">
            <w:pPr>
              <w:pStyle w:val="16"/>
              <w:spacing w:line="240" w:lineRule="atLeast"/>
              <w:ind w:left="1080" w:leftChars="257" w:hanging="540"/>
              <w:rPr>
                <w:rFonts w:hint="eastAsia" w:hAnsi="宋体" w:cs="宋体"/>
                <w:color w:val="000000"/>
                <w:sz w:val="24"/>
                <w:szCs w:val="24"/>
              </w:rPr>
            </w:pPr>
          </w:p>
        </w:tc>
      </w:tr>
    </w:tbl>
    <w:p w14:paraId="13B17B03">
      <w:pPr>
        <w:pStyle w:val="16"/>
        <w:spacing w:line="240" w:lineRule="atLeast"/>
        <w:ind w:left="1080" w:leftChars="257" w:hanging="540"/>
        <w:rPr>
          <w:rFonts w:hint="eastAsia" w:hAnsi="宋体" w:cs="宋体"/>
          <w:color w:val="000000"/>
          <w:sz w:val="24"/>
          <w:szCs w:val="24"/>
        </w:rPr>
      </w:pPr>
    </w:p>
    <w:p w14:paraId="2A7F9D38">
      <w:pPr>
        <w:pStyle w:val="16"/>
        <w:spacing w:line="240" w:lineRule="atLeast"/>
        <w:ind w:left="1080" w:leftChars="257" w:hanging="540"/>
        <w:rPr>
          <w:rFonts w:hint="eastAsia" w:hAnsi="宋体" w:cs="宋体"/>
          <w:color w:val="000000"/>
          <w:sz w:val="24"/>
          <w:szCs w:val="24"/>
        </w:rPr>
      </w:pPr>
    </w:p>
    <w:p w14:paraId="7C694FB3">
      <w:pPr>
        <w:snapToGrid w:val="0"/>
        <w:spacing w:line="360" w:lineRule="auto"/>
        <w:ind w:firstLine="480" w:firstLineChars="200"/>
        <w:rPr>
          <w:rFonts w:hint="eastAsia" w:ascii="宋体" w:hAnsi="宋体" w:cs="宋体"/>
          <w:color w:val="000000"/>
          <w:sz w:val="24"/>
        </w:rPr>
      </w:pPr>
      <w:r>
        <w:rPr>
          <w:rFonts w:hint="eastAsia" w:ascii="宋体" w:hAnsi="宋体" w:cs="宋体"/>
          <w:color w:val="000000"/>
          <w:sz w:val="24"/>
        </w:rPr>
        <w:t>注：凡投标文件中商务条款与磋商招标文件有偏差的，均应在此表中列出（内容较多的可以标注见投标文件第几页，偏差包括正偏差和负偏差），未在此表中列出的视同完全满足磋商文件要求。</w:t>
      </w:r>
    </w:p>
    <w:p w14:paraId="710EE419">
      <w:pPr>
        <w:pStyle w:val="16"/>
        <w:spacing w:line="240" w:lineRule="atLeast"/>
        <w:ind w:left="1080" w:leftChars="257" w:hanging="540"/>
        <w:rPr>
          <w:rFonts w:hint="eastAsia" w:hAnsi="宋体" w:cs="宋体"/>
          <w:color w:val="000000"/>
          <w:sz w:val="24"/>
          <w:szCs w:val="24"/>
        </w:rPr>
      </w:pPr>
    </w:p>
    <w:p w14:paraId="42225799">
      <w:pPr>
        <w:rPr>
          <w:rFonts w:ascii="宋体" w:hAnsi="宋体" w:cs="宋体"/>
          <w:color w:val="000000"/>
        </w:rPr>
      </w:pPr>
    </w:p>
    <w:p w14:paraId="6E111BF1">
      <w:pPr>
        <w:pStyle w:val="27"/>
      </w:pPr>
    </w:p>
    <w:p w14:paraId="321642F9">
      <w:pPr>
        <w:pStyle w:val="16"/>
        <w:tabs>
          <w:tab w:val="left" w:pos="5370"/>
        </w:tabs>
        <w:spacing w:line="240" w:lineRule="atLeast"/>
        <w:ind w:left="1154" w:leftChars="485" w:hanging="136" w:hangingChars="57"/>
        <w:rPr>
          <w:rFonts w:hint="eastAsia" w:hAnsi="宋体" w:cs="宋体"/>
          <w:color w:val="000000"/>
          <w:sz w:val="24"/>
          <w:szCs w:val="24"/>
          <w:u w:val="single"/>
        </w:rPr>
      </w:pPr>
      <w:r>
        <w:rPr>
          <w:rFonts w:hint="eastAsia" w:hAnsi="宋体" w:cs="宋体"/>
          <w:color w:val="000000"/>
          <w:sz w:val="24"/>
          <w:szCs w:val="24"/>
        </w:rPr>
        <w:t>投标人(盖单位章):</w:t>
      </w:r>
      <w:r>
        <w:rPr>
          <w:rFonts w:hint="eastAsia" w:hAnsi="宋体" w:cs="宋体"/>
          <w:color w:val="000000"/>
          <w:sz w:val="24"/>
          <w:szCs w:val="24"/>
          <w:u w:val="single"/>
        </w:rPr>
        <w:tab/>
      </w:r>
      <w:r>
        <w:rPr>
          <w:rFonts w:hint="eastAsia" w:hAnsi="宋体" w:cs="宋体"/>
          <w:color w:val="000000"/>
          <w:sz w:val="24"/>
          <w:szCs w:val="24"/>
          <w:u w:val="single"/>
        </w:rPr>
        <w:t xml:space="preserve">      </w:t>
      </w:r>
    </w:p>
    <w:p w14:paraId="50194266">
      <w:pPr>
        <w:pStyle w:val="16"/>
        <w:tabs>
          <w:tab w:val="left" w:pos="5370"/>
        </w:tabs>
        <w:spacing w:line="240" w:lineRule="atLeast"/>
        <w:ind w:left="1080" w:leftChars="257" w:hanging="540"/>
        <w:rPr>
          <w:rFonts w:hint="eastAsia" w:hAnsi="宋体" w:cs="宋体"/>
          <w:color w:val="000000"/>
          <w:sz w:val="24"/>
          <w:szCs w:val="24"/>
          <w:u w:val="single"/>
        </w:rPr>
      </w:pPr>
    </w:p>
    <w:p w14:paraId="7BDABCB3">
      <w:pPr>
        <w:pStyle w:val="35"/>
        <w:ind w:firstLine="960" w:firstLineChars="400"/>
        <w:rPr>
          <w:rFonts w:ascii="宋体" w:hAnsi="宋体" w:eastAsia="宋体" w:cs="宋体"/>
          <w:color w:val="000000"/>
          <w:szCs w:val="24"/>
        </w:rPr>
      </w:pPr>
      <w:r>
        <w:rPr>
          <w:rFonts w:ascii="宋体" w:hAnsi="宋体" w:eastAsia="宋体" w:cs="宋体"/>
          <w:color w:val="000000"/>
          <w:szCs w:val="24"/>
        </w:rPr>
        <w:t>法定代表人或其委托代理人（签/章）:</w:t>
      </w:r>
      <w:r>
        <w:rPr>
          <w:rFonts w:ascii="宋体" w:hAnsi="宋体" w:eastAsia="宋体" w:cs="宋体"/>
          <w:color w:val="000000"/>
          <w:szCs w:val="24"/>
          <w:u w:val="single"/>
        </w:rPr>
        <w:t xml:space="preserve">     </w:t>
      </w:r>
      <w:r>
        <w:rPr>
          <w:rFonts w:ascii="宋体" w:hAnsi="宋体" w:eastAsia="宋体" w:cs="宋体"/>
          <w:color w:val="000000"/>
          <w:szCs w:val="24"/>
          <w:u w:val="single"/>
        </w:rPr>
        <w:tab/>
      </w:r>
      <w:r>
        <w:rPr>
          <w:rFonts w:ascii="宋体" w:hAnsi="宋体" w:eastAsia="宋体" w:cs="宋体"/>
          <w:color w:val="000000"/>
          <w:szCs w:val="24"/>
          <w:u w:val="single"/>
        </w:rPr>
        <w:t xml:space="preserve">   </w:t>
      </w:r>
    </w:p>
    <w:p w14:paraId="68D5DF26">
      <w:pPr>
        <w:pStyle w:val="16"/>
        <w:tabs>
          <w:tab w:val="left" w:pos="5370"/>
        </w:tabs>
        <w:spacing w:line="240" w:lineRule="atLeast"/>
        <w:ind w:left="1080" w:leftChars="257" w:hanging="540"/>
        <w:rPr>
          <w:rFonts w:hint="eastAsia" w:hAnsi="宋体" w:cs="宋体"/>
          <w:color w:val="000000"/>
          <w:sz w:val="24"/>
          <w:szCs w:val="24"/>
          <w:u w:val="single"/>
        </w:rPr>
      </w:pPr>
    </w:p>
    <w:p w14:paraId="2C22CC4F">
      <w:pPr>
        <w:pStyle w:val="16"/>
        <w:spacing w:line="240" w:lineRule="atLeast"/>
        <w:rPr>
          <w:rFonts w:hint="eastAsia" w:hAnsi="宋体" w:cs="宋体"/>
          <w:color w:val="000000"/>
          <w:sz w:val="24"/>
          <w:szCs w:val="24"/>
        </w:rPr>
      </w:pPr>
    </w:p>
    <w:p w14:paraId="2564A69C">
      <w:pPr>
        <w:pStyle w:val="16"/>
        <w:spacing w:line="240" w:lineRule="atLeast"/>
        <w:rPr>
          <w:rFonts w:hint="eastAsia" w:hAnsi="宋体" w:cs="宋体"/>
          <w:color w:val="000000"/>
          <w:sz w:val="24"/>
          <w:szCs w:val="24"/>
        </w:rPr>
      </w:pPr>
    </w:p>
    <w:p w14:paraId="48FC3AB1">
      <w:pPr>
        <w:pStyle w:val="16"/>
        <w:spacing w:line="240" w:lineRule="atLeast"/>
        <w:rPr>
          <w:rFonts w:hint="eastAsia" w:hAnsi="宋体" w:cs="宋体"/>
          <w:color w:val="000000"/>
          <w:sz w:val="24"/>
          <w:szCs w:val="24"/>
        </w:rPr>
      </w:pPr>
    </w:p>
    <w:p w14:paraId="6DCCF2A4">
      <w:pPr>
        <w:pStyle w:val="16"/>
        <w:spacing w:line="240" w:lineRule="atLeast"/>
        <w:rPr>
          <w:rFonts w:hint="eastAsia" w:hAnsi="宋体" w:cs="宋体"/>
          <w:color w:val="000000"/>
          <w:sz w:val="24"/>
          <w:szCs w:val="24"/>
        </w:rPr>
      </w:pPr>
    </w:p>
    <w:p w14:paraId="7B2E7693">
      <w:pPr>
        <w:pStyle w:val="16"/>
        <w:spacing w:line="240" w:lineRule="atLeast"/>
        <w:ind w:left="1080" w:leftChars="257" w:hanging="540"/>
        <w:jc w:val="center"/>
        <w:rPr>
          <w:rFonts w:hint="eastAsia" w:hAnsi="宋体" w:cs="宋体"/>
          <w:b/>
          <w:bCs/>
          <w:color w:val="000000"/>
          <w:sz w:val="24"/>
          <w:szCs w:val="24"/>
        </w:rPr>
      </w:pPr>
      <w:bookmarkStart w:id="364" w:name="_Toc10725"/>
      <w:bookmarkStart w:id="365" w:name="_Toc32368"/>
      <w:bookmarkStart w:id="366" w:name="_Toc388"/>
      <w:bookmarkStart w:id="367" w:name="_Toc29837"/>
      <w:bookmarkStart w:id="368" w:name="_Toc6526"/>
      <w:bookmarkStart w:id="369" w:name="_Toc515647823"/>
      <w:bookmarkStart w:id="370" w:name="_Toc15566"/>
      <w:bookmarkStart w:id="371" w:name="_Toc10444"/>
      <w:bookmarkStart w:id="372" w:name="_Toc6055"/>
      <w:bookmarkStart w:id="373" w:name="_Toc21312"/>
      <w:bookmarkStart w:id="374" w:name="_Toc22578"/>
      <w:r>
        <w:rPr>
          <w:rFonts w:hint="eastAsia" w:hAnsi="宋体" w:cs="宋体"/>
          <w:b/>
          <w:bCs/>
          <w:color w:val="000000"/>
          <w:sz w:val="24"/>
          <w:szCs w:val="24"/>
        </w:rPr>
        <w:t>5、</w:t>
      </w:r>
      <w:bookmarkEnd w:id="364"/>
      <w:bookmarkEnd w:id="365"/>
      <w:bookmarkEnd w:id="366"/>
      <w:bookmarkEnd w:id="367"/>
      <w:bookmarkEnd w:id="368"/>
      <w:bookmarkEnd w:id="369"/>
      <w:bookmarkEnd w:id="370"/>
      <w:bookmarkEnd w:id="371"/>
      <w:bookmarkEnd w:id="372"/>
      <w:bookmarkEnd w:id="373"/>
      <w:bookmarkEnd w:id="374"/>
      <w:r>
        <w:rPr>
          <w:rFonts w:hint="eastAsia" w:hAnsi="宋体" w:cs="宋体"/>
          <w:b/>
          <w:bCs/>
          <w:color w:val="000000"/>
          <w:sz w:val="24"/>
          <w:szCs w:val="24"/>
        </w:rPr>
        <w:t>投标人企业（单位）类型声明函</w:t>
      </w:r>
    </w:p>
    <w:p w14:paraId="50420C08">
      <w:pPr>
        <w:spacing w:line="240" w:lineRule="atLeast"/>
        <w:ind w:left="1080" w:leftChars="257" w:hanging="540"/>
        <w:jc w:val="center"/>
        <w:rPr>
          <w:rFonts w:ascii="方正仿宋_GB2312" w:hAnsi="Arial" w:eastAsia="方正仿宋_GB2312"/>
          <w:b/>
          <w:color w:val="000000"/>
          <w:kern w:val="0"/>
          <w:sz w:val="24"/>
          <w:szCs w:val="20"/>
        </w:rPr>
      </w:pPr>
    </w:p>
    <w:p w14:paraId="1D672C84">
      <w:pPr>
        <w:widowControl/>
        <w:spacing w:before="100" w:beforeAutospacing="1" w:after="100" w:afterAutospacing="1" w:line="330" w:lineRule="atLeas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本企业（单位）郑重声明下列事项（按照实际情况勾选或填空）：</w:t>
      </w:r>
    </w:p>
    <w:p w14:paraId="07C94DC9">
      <w:pPr>
        <w:widowControl/>
        <w:spacing w:before="100" w:beforeAutospacing="1" w:after="100" w:afterAutospacing="1" w:line="330" w:lineRule="atLeast"/>
        <w:ind w:firstLine="420"/>
        <w:jc w:val="left"/>
        <w:rPr>
          <w:rFonts w:hint="eastAsia" w:ascii="宋体" w:hAnsi="宋体" w:cs="宋体"/>
          <w:color w:val="000000"/>
          <w:kern w:val="0"/>
          <w:sz w:val="24"/>
        </w:rPr>
      </w:pPr>
      <w:r>
        <w:rPr>
          <w:rFonts w:hint="eastAsia" w:ascii="宋体" w:hAnsi="宋体" w:cs="宋体"/>
          <w:color w:val="000000"/>
          <w:kern w:val="0"/>
          <w:sz w:val="24"/>
        </w:rPr>
        <w:t>1、□本企业（单位）为直接投标人，提供本企业（单位）服务。</w:t>
      </w:r>
    </w:p>
    <w:p w14:paraId="5B43966F">
      <w:pPr>
        <w:widowControl/>
        <w:spacing w:before="100" w:beforeAutospacing="1" w:after="100" w:afterAutospacing="1" w:line="330" w:lineRule="atLeas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（1）</w:t>
      </w:r>
      <w:r>
        <w:rPr>
          <w:rFonts w:hint="eastAsia" w:ascii="宋体" w:hAnsi="宋体" w:cs="宋体"/>
          <w:kern w:val="0"/>
          <w:sz w:val="24"/>
          <w:shd w:val="clear" w:color="auto" w:fill="FFFFFF"/>
        </w:rPr>
        <w:t>《政府采购促进中小企业发展管理办法》（财库﹝2020﹞46号）的规定</w:t>
      </w:r>
      <w:r>
        <w:rPr>
          <w:rFonts w:hint="eastAsia" w:ascii="宋体" w:hAnsi="宋体" w:cs="宋体"/>
          <w:color w:val="000000"/>
          <w:kern w:val="0"/>
          <w:sz w:val="24"/>
        </w:rPr>
        <w:t>的划分标准，本企业为______（请填写：中型、小型、微型）企业。</w:t>
      </w:r>
    </w:p>
    <w:p w14:paraId="2EE04BCE">
      <w:pPr>
        <w:widowControl/>
        <w:spacing w:before="100" w:beforeAutospacing="1" w:after="100" w:afterAutospacing="1" w:line="330" w:lineRule="atLeast"/>
        <w:ind w:firstLine="420"/>
        <w:jc w:val="left"/>
        <w:rPr>
          <w:rFonts w:hint="eastAsia" w:ascii="宋体" w:hAnsi="宋体" w:cs="宋体"/>
          <w:color w:val="000000"/>
          <w:kern w:val="0"/>
          <w:sz w:val="24"/>
        </w:rPr>
      </w:pPr>
      <w:r>
        <w:rPr>
          <w:rFonts w:hint="eastAsia" w:ascii="宋体" w:hAnsi="宋体" w:cs="宋体"/>
          <w:color w:val="000000"/>
          <w:kern w:val="0"/>
          <w:sz w:val="24"/>
        </w:rPr>
        <w:t>（2）本企业</w:t>
      </w:r>
      <w:r>
        <w:rPr>
          <w:rFonts w:hint="eastAsia" w:ascii="宋体" w:hAnsi="宋体" w:cs="宋体"/>
          <w:color w:val="000000"/>
          <w:kern w:val="0"/>
          <w:sz w:val="24"/>
          <w:u w:val="single"/>
        </w:rPr>
        <w:t xml:space="preserve">        </w:t>
      </w:r>
      <w:r>
        <w:rPr>
          <w:rFonts w:hint="eastAsia" w:ascii="宋体" w:hAnsi="宋体" w:cs="宋体"/>
          <w:color w:val="000000"/>
          <w:kern w:val="0"/>
          <w:sz w:val="24"/>
        </w:rPr>
        <w:t>（请填写：是、不是）监狱企业。后附省级以上监狱管理局、戒毒管理局（含新疆生产建设兵团）出具的属于监狱企业的证明文件。</w:t>
      </w:r>
    </w:p>
    <w:p w14:paraId="0BAFC235">
      <w:pPr>
        <w:widowControl/>
        <w:spacing w:before="100" w:beforeAutospacing="1" w:after="100" w:afterAutospacing="1" w:line="330" w:lineRule="atLeast"/>
        <w:ind w:firstLine="420"/>
        <w:jc w:val="left"/>
        <w:rPr>
          <w:rFonts w:hint="eastAsia" w:ascii="宋体" w:hAnsi="宋体" w:cs="宋体"/>
          <w:color w:val="000000"/>
          <w:kern w:val="0"/>
          <w:sz w:val="24"/>
        </w:rPr>
      </w:pPr>
      <w:r>
        <w:rPr>
          <w:rFonts w:hint="eastAsia" w:ascii="宋体" w:hAnsi="宋体" w:cs="宋体"/>
          <w:color w:val="000000"/>
          <w:kern w:val="0"/>
          <w:sz w:val="24"/>
        </w:rPr>
        <w:t>（3）根据《关于促进残疾人就业政府采购政策的通知》（财库〔2017〕141号）。本单位</w:t>
      </w:r>
      <w:r>
        <w:rPr>
          <w:rFonts w:hint="eastAsia" w:ascii="宋体" w:hAnsi="宋体" w:cs="宋体"/>
          <w:color w:val="000000"/>
          <w:kern w:val="0"/>
          <w:sz w:val="24"/>
          <w:u w:val="single"/>
        </w:rPr>
        <w:t xml:space="preserve">        </w:t>
      </w:r>
      <w:r>
        <w:rPr>
          <w:rFonts w:hint="eastAsia" w:ascii="宋体" w:hAnsi="宋体" w:cs="宋体"/>
          <w:color w:val="000000"/>
          <w:kern w:val="0"/>
          <w:sz w:val="24"/>
        </w:rPr>
        <w:t>（请填写：是、不是）残疾人福利性单位。</w:t>
      </w:r>
    </w:p>
    <w:p w14:paraId="7C50153A">
      <w:pPr>
        <w:widowControl/>
        <w:spacing w:before="100" w:beforeAutospacing="1" w:after="100" w:afterAutospacing="1" w:line="330" w:lineRule="atLeast"/>
        <w:ind w:firstLine="420"/>
        <w:jc w:val="left"/>
        <w:rPr>
          <w:rFonts w:hint="eastAsia" w:ascii="宋体" w:hAnsi="宋体" w:cs="宋体"/>
          <w:color w:val="000000"/>
          <w:kern w:val="0"/>
          <w:sz w:val="24"/>
        </w:rPr>
      </w:pPr>
      <w:r>
        <w:rPr>
          <w:rFonts w:hint="eastAsia" w:ascii="宋体" w:hAnsi="宋体" w:cs="宋体"/>
          <w:color w:val="000000"/>
          <w:kern w:val="0"/>
          <w:sz w:val="24"/>
        </w:rPr>
        <w:t>2、□本企业（单位）为联合体一方，提供本企业（单位）服务，由本企业（单位）提供服务。本企业（单位）提供协议合同金额占到共同投标协议合同总金额的比例为</w:t>
      </w:r>
      <w:r>
        <w:rPr>
          <w:rFonts w:hint="eastAsia" w:ascii="宋体" w:hAnsi="宋体" w:cs="宋体"/>
          <w:color w:val="000000"/>
          <w:kern w:val="0"/>
          <w:sz w:val="24"/>
          <w:u w:val="single"/>
        </w:rPr>
        <w:t xml:space="preserve">       </w:t>
      </w:r>
      <w:r>
        <w:rPr>
          <w:rFonts w:hint="eastAsia" w:ascii="宋体" w:hAnsi="宋体" w:cs="宋体"/>
          <w:color w:val="000000"/>
          <w:kern w:val="0"/>
          <w:sz w:val="24"/>
        </w:rPr>
        <w:t>。</w:t>
      </w:r>
    </w:p>
    <w:p w14:paraId="5601ABCB">
      <w:pPr>
        <w:widowControl/>
        <w:spacing w:before="100" w:beforeAutospacing="1" w:after="100" w:afterAutospacing="1" w:line="330" w:lineRule="atLeast"/>
        <w:jc w:val="left"/>
        <w:rPr>
          <w:rFonts w:hint="eastAsia" w:ascii="宋体" w:hAnsi="宋体" w:cs="宋体"/>
          <w:color w:val="000000"/>
          <w:kern w:val="0"/>
          <w:sz w:val="24"/>
        </w:rPr>
      </w:pPr>
      <w:r>
        <w:rPr>
          <w:rFonts w:hint="eastAsia" w:ascii="宋体" w:hAnsi="宋体" w:cs="宋体"/>
          <w:color w:val="000000"/>
          <w:kern w:val="0"/>
          <w:sz w:val="24"/>
        </w:rPr>
        <w:t>　　本企业（单位）对上述声明的真实性负责。如有虚假，将依法承担相应责任。</w:t>
      </w:r>
    </w:p>
    <w:p w14:paraId="4951533E">
      <w:pPr>
        <w:widowControl/>
        <w:spacing w:before="100" w:beforeAutospacing="1" w:after="100" w:afterAutospacing="1" w:line="330" w:lineRule="atLeast"/>
        <w:jc w:val="left"/>
        <w:rPr>
          <w:rFonts w:hint="eastAsia" w:ascii="宋体" w:hAnsi="宋体" w:cs="宋体"/>
          <w:color w:val="000000"/>
          <w:kern w:val="0"/>
          <w:sz w:val="24"/>
        </w:rPr>
      </w:pPr>
      <w:r>
        <w:rPr>
          <w:rFonts w:hint="eastAsia" w:ascii="宋体" w:hAnsi="宋体" w:cs="宋体"/>
          <w:color w:val="000000"/>
          <w:kern w:val="0"/>
          <w:sz w:val="24"/>
        </w:rPr>
        <w:t>　　</w:t>
      </w:r>
    </w:p>
    <w:p w14:paraId="7A1B5414">
      <w:pPr>
        <w:widowControl/>
        <w:spacing w:before="100" w:beforeAutospacing="1" w:after="100" w:afterAutospacing="1" w:line="330" w:lineRule="atLeast"/>
        <w:jc w:val="left"/>
        <w:rPr>
          <w:rFonts w:hint="eastAsia" w:ascii="宋体" w:hAnsi="宋体" w:cs="宋体"/>
          <w:color w:val="000000"/>
          <w:kern w:val="0"/>
          <w:sz w:val="24"/>
        </w:rPr>
      </w:pPr>
    </w:p>
    <w:p w14:paraId="6341647A">
      <w:pPr>
        <w:widowControl/>
        <w:spacing w:before="100" w:beforeAutospacing="1" w:after="100" w:afterAutospacing="1" w:line="330" w:lineRule="atLeast"/>
        <w:jc w:val="left"/>
        <w:rPr>
          <w:rFonts w:hint="eastAsia" w:ascii="宋体" w:hAnsi="宋体" w:cs="宋体"/>
          <w:color w:val="000000"/>
          <w:kern w:val="0"/>
          <w:sz w:val="24"/>
        </w:rPr>
      </w:pPr>
    </w:p>
    <w:p w14:paraId="37E4AE83">
      <w:pPr>
        <w:pStyle w:val="27"/>
        <w:rPr>
          <w:rFonts w:hint="eastAsia" w:ascii="宋体" w:hAnsi="宋体" w:cs="宋体"/>
          <w:color w:val="000000"/>
          <w:kern w:val="0"/>
          <w:sz w:val="24"/>
        </w:rPr>
      </w:pPr>
    </w:p>
    <w:p w14:paraId="41447FD7">
      <w:pPr>
        <w:pStyle w:val="11"/>
        <w:rPr>
          <w:rFonts w:hint="eastAsia"/>
        </w:rPr>
      </w:pPr>
    </w:p>
    <w:p w14:paraId="12C67548">
      <w:pPr>
        <w:spacing w:line="240" w:lineRule="atLeast"/>
        <w:ind w:left="1080" w:leftChars="257" w:hanging="540"/>
        <w:jc w:val="center"/>
        <w:rPr>
          <w:rFonts w:hint="eastAsia" w:ascii="宋体" w:hAnsi="宋体" w:cs="宋体"/>
          <w:b/>
          <w:color w:val="000000"/>
          <w:kern w:val="0"/>
          <w:sz w:val="24"/>
          <w:szCs w:val="20"/>
        </w:rPr>
      </w:pPr>
      <w:r>
        <w:rPr>
          <w:rFonts w:hint="eastAsia" w:ascii="宋体" w:hAnsi="宋体" w:cs="宋体"/>
          <w:b/>
          <w:color w:val="000000"/>
          <w:kern w:val="0"/>
          <w:sz w:val="24"/>
          <w:szCs w:val="20"/>
        </w:rPr>
        <w:t>　</w:t>
      </w:r>
    </w:p>
    <w:p w14:paraId="794C4CDC">
      <w:pPr>
        <w:widowControl/>
        <w:spacing w:before="100" w:beforeAutospacing="1" w:after="100" w:afterAutospacing="1" w:line="330" w:lineRule="atLeast"/>
        <w:ind w:firstLine="3960" w:firstLineChars="1650"/>
        <w:jc w:val="left"/>
        <w:rPr>
          <w:rFonts w:hint="eastAsia" w:ascii="宋体" w:hAnsi="宋体" w:cs="宋体"/>
          <w:color w:val="000000"/>
          <w:kern w:val="0"/>
          <w:sz w:val="24"/>
        </w:rPr>
      </w:pPr>
      <w:r>
        <w:rPr>
          <w:rFonts w:hint="eastAsia" w:ascii="宋体" w:hAnsi="宋体" w:cs="宋体"/>
          <w:color w:val="000000"/>
          <w:kern w:val="0"/>
          <w:sz w:val="24"/>
        </w:rPr>
        <w:t>投标人名称（盖单位章）：</w:t>
      </w:r>
      <w:r>
        <w:rPr>
          <w:rFonts w:hint="eastAsia" w:ascii="宋体" w:hAnsi="宋体" w:cs="宋体"/>
          <w:color w:val="000000"/>
          <w:kern w:val="0"/>
          <w:sz w:val="24"/>
          <w:u w:val="single"/>
        </w:rPr>
        <w:t xml:space="preserve">             </w:t>
      </w:r>
    </w:p>
    <w:p w14:paraId="0C7E4E8A">
      <w:pPr>
        <w:widowControl/>
        <w:spacing w:before="100" w:beforeAutospacing="1" w:after="100" w:afterAutospacing="1" w:line="330" w:lineRule="atLeast"/>
        <w:ind w:firstLine="3720" w:firstLineChars="1550"/>
        <w:jc w:val="left"/>
        <w:rPr>
          <w:rFonts w:hint="eastAsia" w:ascii="宋体" w:hAnsi="宋体" w:cs="宋体"/>
          <w:color w:val="000000"/>
          <w:kern w:val="0"/>
          <w:sz w:val="24"/>
          <w:u w:val="single"/>
        </w:rPr>
      </w:pPr>
      <w:r>
        <w:rPr>
          <w:rFonts w:hint="eastAsia" w:ascii="宋体" w:hAnsi="宋体" w:cs="宋体"/>
          <w:color w:val="000000"/>
          <w:kern w:val="0"/>
          <w:sz w:val="24"/>
        </w:rPr>
        <w:t>　日　                期：</w:t>
      </w:r>
      <w:r>
        <w:rPr>
          <w:rFonts w:hint="eastAsia" w:ascii="宋体" w:hAnsi="宋体" w:cs="宋体"/>
          <w:color w:val="000000"/>
          <w:kern w:val="0"/>
          <w:sz w:val="24"/>
          <w:u w:val="single"/>
        </w:rPr>
        <w:t xml:space="preserve">             </w:t>
      </w:r>
    </w:p>
    <w:p w14:paraId="7A8771A8">
      <w:pPr>
        <w:rPr>
          <w:rFonts w:hint="eastAsia" w:ascii="微软雅黑" w:hAnsi="微软雅黑" w:eastAsia="微软雅黑" w:cs="微软雅黑"/>
          <w:b/>
          <w:bCs/>
          <w:kern w:val="0"/>
          <w:sz w:val="32"/>
          <w:szCs w:val="32"/>
        </w:rPr>
      </w:pPr>
    </w:p>
    <w:p w14:paraId="3627BDE3">
      <w:pPr>
        <w:rPr>
          <w:rFonts w:hint="eastAsia" w:ascii="微软雅黑" w:hAnsi="微软雅黑" w:eastAsia="微软雅黑" w:cs="微软雅黑"/>
          <w:b/>
          <w:bCs/>
          <w:kern w:val="0"/>
          <w:sz w:val="32"/>
          <w:szCs w:val="32"/>
        </w:rPr>
      </w:pPr>
    </w:p>
    <w:p w14:paraId="5CBC0EF4">
      <w:pPr>
        <w:rPr>
          <w:rFonts w:hint="eastAsia" w:ascii="微软雅黑" w:hAnsi="微软雅黑" w:eastAsia="微软雅黑" w:cs="微软雅黑"/>
          <w:b/>
          <w:bCs/>
          <w:kern w:val="0"/>
          <w:sz w:val="32"/>
          <w:szCs w:val="32"/>
        </w:rPr>
      </w:pPr>
    </w:p>
    <w:p w14:paraId="28AD3FC5">
      <w:pPr>
        <w:pStyle w:val="3"/>
        <w:spacing w:before="0" w:line="440" w:lineRule="exact"/>
        <w:rPr>
          <w:rFonts w:hint="eastAsia" w:ascii="宋体" w:hAnsi="宋体" w:eastAsia="宋体" w:cs="宋体"/>
          <w:sz w:val="24"/>
          <w:szCs w:val="24"/>
        </w:rPr>
      </w:pPr>
      <w:r>
        <w:rPr>
          <w:rFonts w:hint="eastAsia" w:ascii="宋体" w:hAnsi="宋体" w:eastAsia="宋体" w:cs="宋体"/>
          <w:sz w:val="24"/>
          <w:szCs w:val="24"/>
        </w:rPr>
        <w:t>5-1、中小企业声明函</w:t>
      </w:r>
    </w:p>
    <w:p w14:paraId="18D1AA13">
      <w:pPr>
        <w:widowControl/>
        <w:spacing w:before="100" w:beforeAutospacing="1" w:after="100" w:afterAutospacing="1" w:line="348" w:lineRule="atLeast"/>
        <w:ind w:firstLine="676" w:firstLineChars="282"/>
        <w:jc w:val="left"/>
        <w:rPr>
          <w:rFonts w:hint="eastAsia" w:ascii="宋体" w:hAnsi="宋体" w:cs="宋体"/>
          <w:sz w:val="24"/>
        </w:rPr>
      </w:pPr>
      <w:r>
        <w:rPr>
          <w:rFonts w:hint="eastAsia" w:ascii="宋体" w:hAnsi="宋体" w:cs="宋体"/>
          <w:kern w:val="0"/>
          <w:sz w:val="24"/>
          <w:shd w:val="clear" w:color="auto" w:fill="FFFFFF"/>
        </w:rPr>
        <w:t>本公司（联合体）郑重声明，根据《政府采购促进中小企业发展管理办法》（财库﹝2020﹞46号）的规定，本公司参加</w:t>
      </w:r>
      <w:r>
        <w:rPr>
          <w:rFonts w:hint="eastAsia" w:ascii="宋体" w:hAnsi="宋体" w:cs="宋体"/>
          <w:kern w:val="0"/>
          <w:sz w:val="24"/>
          <w:u w:val="single"/>
          <w:shd w:val="clear" w:color="auto" w:fill="FFFFFF"/>
        </w:rPr>
        <w:t>     （单位名称）</w:t>
      </w:r>
      <w:r>
        <w:rPr>
          <w:rFonts w:hint="eastAsia" w:ascii="宋体" w:hAnsi="宋体" w:cs="宋体"/>
          <w:kern w:val="0"/>
          <w:sz w:val="24"/>
          <w:shd w:val="clear" w:color="auto" w:fill="FFFFFF"/>
        </w:rPr>
        <w:t>的</w:t>
      </w:r>
      <w:r>
        <w:rPr>
          <w:rFonts w:hint="eastAsia" w:ascii="宋体" w:hAnsi="宋体" w:cs="宋体"/>
          <w:kern w:val="0"/>
          <w:sz w:val="24"/>
          <w:u w:val="single"/>
          <w:shd w:val="clear" w:color="auto" w:fill="FFFFFF"/>
        </w:rPr>
        <w:t>    （项目名称）</w:t>
      </w:r>
      <w:r>
        <w:rPr>
          <w:rFonts w:hint="eastAsia" w:ascii="宋体" w:hAnsi="宋体" w:cs="宋体"/>
          <w:kern w:val="0"/>
          <w:sz w:val="24"/>
          <w:shd w:val="clear" w:color="auto" w:fill="FFFFFF"/>
        </w:rPr>
        <w:t>采购活动，服务全部由符合政策要求的中小企业承接。相关企业（含联合体中的中小企业、签订分包意向协议的中小企业）的具体情况如下：</w:t>
      </w:r>
    </w:p>
    <w:p w14:paraId="3C62AB5B">
      <w:pPr>
        <w:widowControl/>
        <w:spacing w:before="100" w:beforeAutospacing="1" w:after="100" w:afterAutospacing="1" w:line="348" w:lineRule="atLeast"/>
        <w:ind w:firstLine="384"/>
        <w:jc w:val="left"/>
        <w:rPr>
          <w:rFonts w:hint="eastAsia" w:ascii="宋体" w:hAnsi="宋体" w:cs="宋体"/>
          <w:sz w:val="24"/>
        </w:rPr>
      </w:pPr>
      <w:r>
        <w:rPr>
          <w:rFonts w:hint="eastAsia" w:ascii="宋体" w:hAnsi="宋体" w:cs="宋体"/>
          <w:kern w:val="0"/>
          <w:sz w:val="24"/>
          <w:shd w:val="clear" w:color="auto" w:fill="FFFFFF"/>
        </w:rPr>
        <w:t>1.</w:t>
      </w:r>
      <w:r>
        <w:rPr>
          <w:rFonts w:hint="eastAsia" w:ascii="宋体" w:hAnsi="宋体" w:cs="宋体"/>
          <w:kern w:val="0"/>
          <w:sz w:val="24"/>
          <w:u w:val="single"/>
          <w:shd w:val="clear" w:color="auto" w:fill="FFFFFF"/>
        </w:rPr>
        <w:t>     （标的名称）</w:t>
      </w:r>
      <w:r>
        <w:rPr>
          <w:rFonts w:hint="eastAsia" w:ascii="宋体" w:hAnsi="宋体" w:cs="宋体"/>
          <w:kern w:val="0"/>
          <w:sz w:val="24"/>
          <w:shd w:val="clear" w:color="auto" w:fill="FFFFFF"/>
        </w:rPr>
        <w:t>，属于</w:t>
      </w:r>
      <w:r>
        <w:rPr>
          <w:rFonts w:hint="eastAsia" w:ascii="宋体" w:hAnsi="宋体" w:cs="宋体"/>
          <w:kern w:val="0"/>
          <w:sz w:val="24"/>
          <w:u w:val="single"/>
          <w:shd w:val="clear" w:color="auto" w:fill="FFFFFF"/>
        </w:rPr>
        <w:t>     （采购文件中明确的所属行业）</w:t>
      </w:r>
      <w:r>
        <w:rPr>
          <w:rFonts w:hint="eastAsia" w:ascii="宋体" w:hAnsi="宋体" w:cs="宋体"/>
          <w:kern w:val="0"/>
          <w:sz w:val="24"/>
          <w:shd w:val="clear" w:color="auto" w:fill="FFFFFF"/>
        </w:rPr>
        <w:t>行业；承接企业为</w:t>
      </w:r>
      <w:r>
        <w:rPr>
          <w:rFonts w:hint="eastAsia" w:ascii="宋体" w:hAnsi="宋体" w:cs="宋体"/>
          <w:kern w:val="0"/>
          <w:sz w:val="24"/>
          <w:u w:val="single"/>
          <w:shd w:val="clear" w:color="auto" w:fill="FFFFFF"/>
        </w:rPr>
        <w:t>       （企业名称）</w:t>
      </w:r>
      <w:r>
        <w:rPr>
          <w:rFonts w:hint="eastAsia" w:ascii="宋体" w:hAnsi="宋体" w:cs="宋体"/>
          <w:kern w:val="0"/>
          <w:sz w:val="24"/>
          <w:shd w:val="clear" w:color="auto" w:fill="FFFFFF"/>
        </w:rPr>
        <w:t>，从业人员</w:t>
      </w:r>
      <w:r>
        <w:rPr>
          <w:rFonts w:hint="eastAsia" w:ascii="宋体" w:hAnsi="宋体" w:cs="宋体"/>
          <w:kern w:val="0"/>
          <w:sz w:val="24"/>
          <w:u w:val="single"/>
          <w:shd w:val="clear" w:color="auto" w:fill="FFFFFF"/>
        </w:rPr>
        <w:t>    </w:t>
      </w:r>
      <w:r>
        <w:rPr>
          <w:rFonts w:hint="eastAsia" w:ascii="宋体" w:hAnsi="宋体" w:cs="宋体"/>
          <w:kern w:val="0"/>
          <w:sz w:val="24"/>
          <w:shd w:val="clear" w:color="auto" w:fill="FFFFFF"/>
        </w:rPr>
        <w:t>人，营业收入为</w:t>
      </w:r>
      <w:r>
        <w:rPr>
          <w:rFonts w:hint="eastAsia" w:ascii="宋体" w:hAnsi="宋体" w:cs="宋体"/>
          <w:kern w:val="0"/>
          <w:sz w:val="24"/>
          <w:u w:val="single"/>
          <w:shd w:val="clear" w:color="auto" w:fill="FFFFFF"/>
        </w:rPr>
        <w:t>    </w:t>
      </w:r>
      <w:r>
        <w:rPr>
          <w:rFonts w:hint="eastAsia" w:ascii="宋体" w:hAnsi="宋体" w:cs="宋体"/>
          <w:kern w:val="0"/>
          <w:sz w:val="24"/>
          <w:shd w:val="clear" w:color="auto" w:fill="FFFFFF"/>
        </w:rPr>
        <w:t>万元，资产总额为</w:t>
      </w:r>
      <w:r>
        <w:rPr>
          <w:rFonts w:hint="eastAsia" w:ascii="宋体" w:hAnsi="宋体" w:cs="宋体"/>
          <w:kern w:val="0"/>
          <w:sz w:val="24"/>
          <w:u w:val="single"/>
          <w:shd w:val="clear" w:color="auto" w:fill="FFFFFF"/>
        </w:rPr>
        <w:t>   </w:t>
      </w:r>
      <w:r>
        <w:rPr>
          <w:rFonts w:hint="eastAsia" w:ascii="宋体" w:hAnsi="宋体" w:cs="宋体"/>
          <w:kern w:val="0"/>
          <w:sz w:val="24"/>
          <w:shd w:val="clear" w:color="auto" w:fill="FFFFFF"/>
        </w:rPr>
        <w:t>万元，属于</w:t>
      </w:r>
      <w:r>
        <w:rPr>
          <w:rFonts w:hint="eastAsia" w:ascii="宋体" w:hAnsi="宋体" w:cs="宋体"/>
          <w:kern w:val="0"/>
          <w:sz w:val="24"/>
          <w:u w:val="single"/>
          <w:shd w:val="clear" w:color="auto" w:fill="FFFFFF"/>
        </w:rPr>
        <w:t>     （中型企业、小型企业、微型企业）</w:t>
      </w:r>
      <w:r>
        <w:rPr>
          <w:rFonts w:hint="eastAsia" w:ascii="宋体" w:hAnsi="宋体" w:cs="宋体"/>
          <w:kern w:val="0"/>
          <w:sz w:val="24"/>
          <w:shd w:val="clear" w:color="auto" w:fill="FFFFFF"/>
        </w:rPr>
        <w:t>；</w:t>
      </w:r>
    </w:p>
    <w:p w14:paraId="7E5E626B">
      <w:pPr>
        <w:widowControl/>
        <w:spacing w:before="100" w:beforeAutospacing="1" w:after="100" w:afterAutospacing="1" w:line="348" w:lineRule="atLeast"/>
        <w:ind w:firstLine="384"/>
        <w:jc w:val="left"/>
        <w:rPr>
          <w:rFonts w:hint="eastAsia" w:ascii="宋体" w:hAnsi="宋体" w:cs="宋体"/>
          <w:sz w:val="24"/>
        </w:rPr>
      </w:pPr>
      <w:r>
        <w:rPr>
          <w:rFonts w:hint="eastAsia" w:ascii="宋体" w:hAnsi="宋体" w:cs="宋体"/>
          <w:kern w:val="0"/>
          <w:sz w:val="24"/>
          <w:shd w:val="clear" w:color="auto" w:fill="FFFFFF"/>
        </w:rPr>
        <w:t>2.</w:t>
      </w:r>
      <w:r>
        <w:rPr>
          <w:rFonts w:hint="eastAsia" w:ascii="宋体" w:hAnsi="宋体" w:cs="宋体"/>
          <w:kern w:val="0"/>
          <w:sz w:val="24"/>
          <w:u w:val="single"/>
          <w:shd w:val="clear" w:color="auto" w:fill="FFFFFF"/>
        </w:rPr>
        <w:t>     （标的名称）</w:t>
      </w:r>
      <w:r>
        <w:rPr>
          <w:rFonts w:hint="eastAsia" w:ascii="宋体" w:hAnsi="宋体" w:cs="宋体"/>
          <w:kern w:val="0"/>
          <w:sz w:val="24"/>
          <w:shd w:val="clear" w:color="auto" w:fill="FFFFFF"/>
        </w:rPr>
        <w:t>，属于</w:t>
      </w:r>
      <w:r>
        <w:rPr>
          <w:rFonts w:hint="eastAsia" w:ascii="宋体" w:hAnsi="宋体" w:cs="宋体"/>
          <w:kern w:val="0"/>
          <w:sz w:val="24"/>
          <w:u w:val="single"/>
          <w:shd w:val="clear" w:color="auto" w:fill="FFFFFF"/>
        </w:rPr>
        <w:t>     （采购文件中明确的所属行业）</w:t>
      </w:r>
      <w:r>
        <w:rPr>
          <w:rFonts w:hint="eastAsia" w:ascii="宋体" w:hAnsi="宋体" w:cs="宋体"/>
          <w:kern w:val="0"/>
          <w:sz w:val="24"/>
          <w:shd w:val="clear" w:color="auto" w:fill="FFFFFF"/>
        </w:rPr>
        <w:t>行业；承接企业为</w:t>
      </w:r>
      <w:r>
        <w:rPr>
          <w:rFonts w:hint="eastAsia" w:ascii="宋体" w:hAnsi="宋体" w:cs="宋体"/>
          <w:kern w:val="0"/>
          <w:sz w:val="24"/>
          <w:u w:val="single"/>
          <w:shd w:val="clear" w:color="auto" w:fill="FFFFFF"/>
        </w:rPr>
        <w:t>       （企业名称）</w:t>
      </w:r>
      <w:r>
        <w:rPr>
          <w:rFonts w:hint="eastAsia" w:ascii="宋体" w:hAnsi="宋体" w:cs="宋体"/>
          <w:kern w:val="0"/>
          <w:sz w:val="24"/>
          <w:shd w:val="clear" w:color="auto" w:fill="FFFFFF"/>
        </w:rPr>
        <w:t>，从业人员</w:t>
      </w:r>
      <w:r>
        <w:rPr>
          <w:rFonts w:hint="eastAsia" w:ascii="宋体" w:hAnsi="宋体" w:cs="宋体"/>
          <w:kern w:val="0"/>
          <w:sz w:val="24"/>
          <w:u w:val="single"/>
          <w:shd w:val="clear" w:color="auto" w:fill="FFFFFF"/>
        </w:rPr>
        <w:t>    </w:t>
      </w:r>
      <w:r>
        <w:rPr>
          <w:rFonts w:hint="eastAsia" w:ascii="宋体" w:hAnsi="宋体" w:cs="宋体"/>
          <w:kern w:val="0"/>
          <w:sz w:val="24"/>
          <w:shd w:val="clear" w:color="auto" w:fill="FFFFFF"/>
        </w:rPr>
        <w:t>人，营业收入为</w:t>
      </w:r>
      <w:r>
        <w:rPr>
          <w:rFonts w:hint="eastAsia" w:ascii="宋体" w:hAnsi="宋体" w:cs="宋体"/>
          <w:kern w:val="0"/>
          <w:sz w:val="24"/>
          <w:u w:val="single"/>
          <w:shd w:val="clear" w:color="auto" w:fill="FFFFFF"/>
        </w:rPr>
        <w:t>    </w:t>
      </w:r>
      <w:r>
        <w:rPr>
          <w:rFonts w:hint="eastAsia" w:ascii="宋体" w:hAnsi="宋体" w:cs="宋体"/>
          <w:kern w:val="0"/>
          <w:sz w:val="24"/>
          <w:shd w:val="clear" w:color="auto" w:fill="FFFFFF"/>
        </w:rPr>
        <w:t>万元，资产总额为</w:t>
      </w:r>
      <w:r>
        <w:rPr>
          <w:rFonts w:hint="eastAsia" w:ascii="宋体" w:hAnsi="宋体" w:cs="宋体"/>
          <w:kern w:val="0"/>
          <w:sz w:val="24"/>
          <w:u w:val="single"/>
          <w:shd w:val="clear" w:color="auto" w:fill="FFFFFF"/>
        </w:rPr>
        <w:t>   </w:t>
      </w:r>
      <w:r>
        <w:rPr>
          <w:rFonts w:hint="eastAsia" w:ascii="宋体" w:hAnsi="宋体" w:cs="宋体"/>
          <w:kern w:val="0"/>
          <w:sz w:val="24"/>
          <w:shd w:val="clear" w:color="auto" w:fill="FFFFFF"/>
        </w:rPr>
        <w:t>万元，属于</w:t>
      </w:r>
      <w:r>
        <w:rPr>
          <w:rFonts w:hint="eastAsia" w:ascii="宋体" w:hAnsi="宋体" w:cs="宋体"/>
          <w:kern w:val="0"/>
          <w:sz w:val="24"/>
          <w:u w:val="single"/>
          <w:shd w:val="clear" w:color="auto" w:fill="FFFFFF"/>
        </w:rPr>
        <w:t>     （中型企业、小型企业、微型企业）</w:t>
      </w:r>
      <w:r>
        <w:rPr>
          <w:rFonts w:hint="eastAsia" w:ascii="宋体" w:hAnsi="宋体" w:cs="宋体"/>
          <w:kern w:val="0"/>
          <w:sz w:val="24"/>
          <w:shd w:val="clear" w:color="auto" w:fill="FFFFFF"/>
        </w:rPr>
        <w:t>；</w:t>
      </w:r>
    </w:p>
    <w:p w14:paraId="5DB0581D">
      <w:pPr>
        <w:widowControl/>
        <w:spacing w:before="100" w:beforeAutospacing="1" w:after="100" w:afterAutospacing="1" w:line="348" w:lineRule="atLeast"/>
        <w:ind w:firstLine="384"/>
        <w:jc w:val="left"/>
        <w:rPr>
          <w:rFonts w:hint="eastAsia" w:ascii="宋体" w:hAnsi="宋体" w:cs="宋体"/>
          <w:sz w:val="24"/>
        </w:rPr>
      </w:pPr>
      <w:r>
        <w:rPr>
          <w:rFonts w:hint="eastAsia" w:ascii="宋体" w:hAnsi="宋体" w:cs="宋体"/>
          <w:kern w:val="0"/>
          <w:sz w:val="24"/>
          <w:shd w:val="clear" w:color="auto" w:fill="FFFFFF"/>
        </w:rPr>
        <w:t>……</w:t>
      </w:r>
    </w:p>
    <w:p w14:paraId="6F369E1A">
      <w:pPr>
        <w:widowControl/>
        <w:spacing w:before="100" w:beforeAutospacing="1" w:after="100" w:afterAutospacing="1" w:line="348" w:lineRule="atLeast"/>
        <w:ind w:firstLine="384"/>
        <w:jc w:val="left"/>
        <w:rPr>
          <w:rFonts w:hint="eastAsia" w:ascii="宋体" w:hAnsi="宋体" w:cs="宋体"/>
          <w:sz w:val="24"/>
        </w:rPr>
      </w:pPr>
      <w:r>
        <w:rPr>
          <w:rFonts w:hint="eastAsia" w:ascii="宋体" w:hAnsi="宋体" w:cs="宋体"/>
          <w:kern w:val="0"/>
          <w:sz w:val="24"/>
          <w:shd w:val="clear" w:color="auto" w:fill="FFFFFF"/>
        </w:rPr>
        <w:t>以上企业，不属于大企业的分支机构，不存在控股股东为大企业的情形，也不存在与大企业的负责人为同一人的情形。</w:t>
      </w:r>
    </w:p>
    <w:p w14:paraId="198D27D8">
      <w:pPr>
        <w:widowControl/>
        <w:spacing w:before="100" w:beforeAutospacing="1" w:after="100" w:afterAutospacing="1" w:line="348" w:lineRule="atLeast"/>
        <w:ind w:firstLine="384"/>
        <w:jc w:val="left"/>
        <w:rPr>
          <w:rFonts w:hint="eastAsia" w:ascii="宋体" w:hAnsi="宋体" w:cs="宋体"/>
          <w:sz w:val="24"/>
        </w:rPr>
      </w:pPr>
      <w:r>
        <w:rPr>
          <w:rFonts w:hint="eastAsia" w:ascii="宋体" w:hAnsi="宋体" w:cs="宋体"/>
          <w:kern w:val="0"/>
          <w:sz w:val="24"/>
          <w:shd w:val="clear" w:color="auto" w:fill="FFFFFF"/>
        </w:rPr>
        <w:t>本企业对上述声明内容的真实性负责。如有虚假，将依法承担相应责任。</w:t>
      </w:r>
    </w:p>
    <w:p w14:paraId="334A5A81">
      <w:pPr>
        <w:widowControl/>
        <w:spacing w:before="100" w:beforeAutospacing="1" w:after="100" w:afterAutospacing="1" w:line="348" w:lineRule="atLeast"/>
        <w:ind w:firstLine="384"/>
        <w:jc w:val="left"/>
        <w:rPr>
          <w:rFonts w:hint="eastAsia" w:ascii="宋体" w:hAnsi="宋体" w:cs="宋体"/>
          <w:sz w:val="24"/>
        </w:rPr>
      </w:pPr>
      <w:r>
        <w:rPr>
          <w:rFonts w:hint="eastAsia" w:ascii="宋体" w:hAnsi="宋体" w:cs="宋体"/>
          <w:kern w:val="0"/>
          <w:sz w:val="24"/>
          <w:shd w:val="clear" w:color="auto" w:fill="FFFFFF"/>
        </w:rPr>
        <w:t>  </w:t>
      </w:r>
    </w:p>
    <w:p w14:paraId="53B1730B">
      <w:pPr>
        <w:widowControl/>
        <w:spacing w:before="100" w:beforeAutospacing="1" w:after="100" w:afterAutospacing="1" w:line="348" w:lineRule="atLeast"/>
        <w:ind w:firstLine="4224"/>
        <w:jc w:val="left"/>
        <w:rPr>
          <w:rFonts w:hint="eastAsia" w:ascii="宋体" w:hAnsi="宋体" w:cs="宋体"/>
          <w:sz w:val="24"/>
        </w:rPr>
      </w:pPr>
      <w:r>
        <w:rPr>
          <w:rFonts w:hint="eastAsia" w:ascii="宋体" w:hAnsi="宋体" w:cs="宋体"/>
          <w:kern w:val="0"/>
          <w:sz w:val="24"/>
          <w:shd w:val="clear" w:color="auto" w:fill="FFFFFF"/>
        </w:rPr>
        <w:t>企业名称（盖章）：</w:t>
      </w:r>
    </w:p>
    <w:p w14:paraId="3666DBAD">
      <w:pPr>
        <w:jc w:val="center"/>
        <w:rPr>
          <w:rFonts w:hint="eastAsia" w:ascii="宋体" w:hAnsi="宋体" w:cs="宋体"/>
          <w:kern w:val="0"/>
          <w:sz w:val="24"/>
          <w:shd w:val="clear" w:color="auto" w:fill="FFFFFF"/>
        </w:rPr>
      </w:pPr>
      <w:r>
        <w:rPr>
          <w:rFonts w:hint="eastAsia" w:ascii="宋体" w:hAnsi="宋体" w:cs="宋体"/>
          <w:kern w:val="0"/>
          <w:sz w:val="24"/>
          <w:shd w:val="clear" w:color="auto" w:fill="FFFFFF"/>
        </w:rPr>
        <w:t xml:space="preserve">        日 期：</w:t>
      </w:r>
    </w:p>
    <w:p w14:paraId="52B27CD8">
      <w:pPr>
        <w:rPr>
          <w:rFonts w:hint="eastAsia" w:ascii="微软雅黑" w:hAnsi="微软雅黑" w:eastAsia="微软雅黑" w:cs="微软雅黑"/>
          <w:b/>
          <w:bCs/>
          <w:kern w:val="0"/>
          <w:sz w:val="32"/>
          <w:szCs w:val="32"/>
        </w:rPr>
      </w:pPr>
    </w:p>
    <w:p w14:paraId="583F5D42">
      <w:pPr>
        <w:rPr>
          <w:rFonts w:hint="eastAsia" w:ascii="微软雅黑" w:hAnsi="微软雅黑" w:eastAsia="微软雅黑" w:cs="微软雅黑"/>
          <w:b/>
          <w:bCs/>
          <w:kern w:val="0"/>
          <w:sz w:val="32"/>
          <w:szCs w:val="32"/>
        </w:rPr>
      </w:pPr>
    </w:p>
    <w:p w14:paraId="00B4600F">
      <w:pPr>
        <w:rPr>
          <w:rFonts w:hint="eastAsia" w:ascii="微软雅黑" w:hAnsi="微软雅黑" w:eastAsia="微软雅黑" w:cs="微软雅黑"/>
          <w:b/>
          <w:bCs/>
          <w:kern w:val="0"/>
          <w:sz w:val="32"/>
          <w:szCs w:val="32"/>
        </w:rPr>
      </w:pPr>
    </w:p>
    <w:p w14:paraId="4917E70A">
      <w:pPr>
        <w:pStyle w:val="11"/>
        <w:rPr>
          <w:rFonts w:hint="eastAsia"/>
        </w:rPr>
      </w:pPr>
    </w:p>
    <w:p w14:paraId="7A117EE0">
      <w:pPr>
        <w:pStyle w:val="35"/>
        <w:ind w:firstLine="240"/>
      </w:pPr>
    </w:p>
    <w:p w14:paraId="68035F7C">
      <w:pPr>
        <w:rPr>
          <w:rFonts w:ascii="宋体" w:hAnsi="宋体" w:eastAsia="微软雅黑" w:cs="宋体"/>
          <w:b/>
          <w:bCs/>
          <w:kern w:val="0"/>
          <w:sz w:val="32"/>
          <w:szCs w:val="32"/>
        </w:rPr>
      </w:pPr>
      <w:r>
        <w:rPr>
          <w:rFonts w:hint="eastAsia" w:ascii="微软雅黑" w:hAnsi="微软雅黑" w:eastAsia="微软雅黑" w:cs="微软雅黑"/>
          <w:b/>
          <w:bCs/>
          <w:kern w:val="0"/>
          <w:sz w:val="32"/>
          <w:szCs w:val="32"/>
        </w:rPr>
        <w:t>本项目所属行业为租赁和商务服务业。</w:t>
      </w:r>
    </w:p>
    <w:p w14:paraId="3279AAD1">
      <w:pPr>
        <w:rPr>
          <w:rFonts w:hint="eastAsia" w:ascii="宋体" w:hAnsi="宋体" w:cs="宋体"/>
          <w:b/>
          <w:bCs/>
          <w:sz w:val="24"/>
        </w:rPr>
      </w:pPr>
      <w:r>
        <w:rPr>
          <w:rFonts w:hint="eastAsia" w:ascii="宋体" w:hAnsi="宋体" w:cs="宋体"/>
          <w:b/>
          <w:bCs/>
          <w:sz w:val="24"/>
        </w:rPr>
        <w:t>注：潜在投标企业属于中小微企业的，请在投标文件中提供“投标人企业（单位）类型声明函”，如果未提供或提供虚假的“中小企业声明函”，投标企业将承担由此造成的一切不利后果。</w:t>
      </w:r>
    </w:p>
    <w:p w14:paraId="1E5650E4">
      <w:pPr>
        <w:jc w:val="left"/>
        <w:rPr>
          <w:rFonts w:hint="eastAsia" w:ascii="宋体" w:hAnsi="宋体" w:cs="宋体"/>
          <w:b/>
          <w:bCs/>
          <w:kern w:val="0"/>
          <w:sz w:val="24"/>
        </w:rPr>
      </w:pPr>
      <w:r>
        <w:rPr>
          <w:rFonts w:hint="eastAsia" w:ascii="宋体" w:hAnsi="宋体" w:cs="宋体"/>
          <w:b/>
          <w:bCs/>
          <w:kern w:val="0"/>
          <w:sz w:val="24"/>
        </w:rPr>
        <w:t>附：</w:t>
      </w:r>
    </w:p>
    <w:p w14:paraId="741CB72C">
      <w:pPr>
        <w:jc w:val="center"/>
        <w:rPr>
          <w:rFonts w:hint="eastAsia" w:ascii="宋体" w:hAnsi="宋体" w:cs="宋体"/>
          <w:b/>
          <w:bCs/>
          <w:kern w:val="0"/>
          <w:sz w:val="24"/>
        </w:rPr>
      </w:pPr>
      <w:r>
        <w:rPr>
          <w:rFonts w:hint="eastAsia" w:ascii="宋体" w:hAnsi="宋体" w:cs="宋体"/>
          <w:b/>
          <w:bCs/>
          <w:kern w:val="0"/>
          <w:sz w:val="24"/>
        </w:rPr>
        <w:t>中小微企业划型标准</w:t>
      </w:r>
    </w:p>
    <w:tbl>
      <w:tblPr>
        <w:tblStyle w:val="37"/>
        <w:tblW w:w="9610" w:type="dxa"/>
        <w:jc w:val="center"/>
        <w:tblLayout w:type="fixed"/>
        <w:tblCellMar>
          <w:top w:w="0" w:type="dxa"/>
          <w:left w:w="108" w:type="dxa"/>
          <w:bottom w:w="0" w:type="dxa"/>
          <w:right w:w="108" w:type="dxa"/>
        </w:tblCellMar>
      </w:tblPr>
      <w:tblGrid>
        <w:gridCol w:w="1570"/>
        <w:gridCol w:w="1660"/>
        <w:gridCol w:w="1466"/>
        <w:gridCol w:w="1903"/>
        <w:gridCol w:w="1877"/>
        <w:gridCol w:w="1134"/>
      </w:tblGrid>
      <w:tr w14:paraId="5733A93F">
        <w:tblPrEx>
          <w:tblCellMar>
            <w:top w:w="0" w:type="dxa"/>
            <w:left w:w="108" w:type="dxa"/>
            <w:bottom w:w="0" w:type="dxa"/>
            <w:right w:w="108" w:type="dxa"/>
          </w:tblCellMar>
        </w:tblPrEx>
        <w:trPr>
          <w:trHeight w:val="451" w:hRule="atLeast"/>
          <w:jc w:val="center"/>
        </w:trPr>
        <w:tc>
          <w:tcPr>
            <w:tcW w:w="1570" w:type="dxa"/>
            <w:tcBorders>
              <w:top w:val="single" w:color="auto" w:sz="4" w:space="0"/>
              <w:left w:val="single" w:color="auto" w:sz="4" w:space="0"/>
              <w:bottom w:val="single" w:color="auto" w:sz="4" w:space="0"/>
              <w:right w:val="single" w:color="auto" w:sz="4" w:space="0"/>
            </w:tcBorders>
            <w:noWrap w:val="0"/>
            <w:vAlign w:val="center"/>
          </w:tcPr>
          <w:p w14:paraId="73F117FA">
            <w:pPr>
              <w:widowControl/>
              <w:snapToGrid w:val="0"/>
              <w:contextualSpacing/>
              <w:jc w:val="center"/>
              <w:rPr>
                <w:rFonts w:hint="eastAsia" w:ascii="宋体" w:hAnsi="宋体" w:cs="宋体"/>
                <w:b/>
                <w:kern w:val="0"/>
                <w:sz w:val="24"/>
              </w:rPr>
            </w:pPr>
            <w:r>
              <w:rPr>
                <w:rFonts w:hint="eastAsia" w:ascii="宋体" w:hAnsi="宋体" w:cs="宋体"/>
                <w:b/>
                <w:kern w:val="0"/>
                <w:sz w:val="24"/>
              </w:rPr>
              <w:t>行业名称</w:t>
            </w:r>
          </w:p>
        </w:tc>
        <w:tc>
          <w:tcPr>
            <w:tcW w:w="1660" w:type="dxa"/>
            <w:tcBorders>
              <w:top w:val="single" w:color="auto" w:sz="4" w:space="0"/>
              <w:left w:val="nil"/>
              <w:bottom w:val="single" w:color="auto" w:sz="4" w:space="0"/>
              <w:right w:val="single" w:color="auto" w:sz="4" w:space="0"/>
            </w:tcBorders>
            <w:noWrap w:val="0"/>
            <w:vAlign w:val="center"/>
          </w:tcPr>
          <w:p w14:paraId="66DEA5C4">
            <w:pPr>
              <w:widowControl/>
              <w:snapToGrid w:val="0"/>
              <w:contextualSpacing/>
              <w:jc w:val="center"/>
              <w:rPr>
                <w:rFonts w:hint="eastAsia" w:ascii="宋体" w:hAnsi="宋体" w:cs="宋体"/>
                <w:b/>
                <w:kern w:val="0"/>
                <w:sz w:val="24"/>
              </w:rPr>
            </w:pPr>
            <w:r>
              <w:rPr>
                <w:rFonts w:hint="eastAsia" w:ascii="宋体" w:hAnsi="宋体" w:cs="宋体"/>
                <w:b/>
                <w:kern w:val="0"/>
                <w:sz w:val="24"/>
              </w:rPr>
              <w:t>指标名称</w:t>
            </w:r>
          </w:p>
        </w:tc>
        <w:tc>
          <w:tcPr>
            <w:tcW w:w="1466" w:type="dxa"/>
            <w:tcBorders>
              <w:top w:val="single" w:color="auto" w:sz="4" w:space="0"/>
              <w:left w:val="nil"/>
              <w:bottom w:val="single" w:color="auto" w:sz="4" w:space="0"/>
              <w:right w:val="single" w:color="auto" w:sz="4" w:space="0"/>
            </w:tcBorders>
            <w:noWrap w:val="0"/>
            <w:vAlign w:val="center"/>
          </w:tcPr>
          <w:p w14:paraId="0C24F708">
            <w:pPr>
              <w:widowControl/>
              <w:snapToGrid w:val="0"/>
              <w:contextualSpacing/>
              <w:jc w:val="center"/>
              <w:rPr>
                <w:rFonts w:hint="eastAsia" w:ascii="宋体" w:hAnsi="宋体" w:cs="宋体"/>
                <w:b/>
                <w:kern w:val="0"/>
                <w:sz w:val="24"/>
              </w:rPr>
            </w:pPr>
            <w:r>
              <w:rPr>
                <w:rFonts w:hint="eastAsia" w:ascii="宋体" w:hAnsi="宋体" w:cs="宋体"/>
                <w:b/>
                <w:kern w:val="0"/>
                <w:sz w:val="24"/>
              </w:rPr>
              <w:t>计量单位</w:t>
            </w:r>
          </w:p>
        </w:tc>
        <w:tc>
          <w:tcPr>
            <w:tcW w:w="1903" w:type="dxa"/>
            <w:tcBorders>
              <w:top w:val="single" w:color="auto" w:sz="4" w:space="0"/>
              <w:left w:val="nil"/>
              <w:bottom w:val="single" w:color="auto" w:sz="4" w:space="0"/>
              <w:right w:val="single" w:color="auto" w:sz="4" w:space="0"/>
            </w:tcBorders>
            <w:noWrap w:val="0"/>
            <w:vAlign w:val="center"/>
          </w:tcPr>
          <w:p w14:paraId="601FACB8">
            <w:pPr>
              <w:widowControl/>
              <w:snapToGrid w:val="0"/>
              <w:contextualSpacing/>
              <w:jc w:val="center"/>
              <w:rPr>
                <w:rFonts w:hint="eastAsia" w:ascii="宋体" w:hAnsi="宋体" w:cs="宋体"/>
                <w:b/>
                <w:kern w:val="0"/>
                <w:sz w:val="24"/>
              </w:rPr>
            </w:pPr>
            <w:r>
              <w:rPr>
                <w:rFonts w:hint="eastAsia" w:ascii="宋体" w:hAnsi="宋体" w:cs="宋体"/>
                <w:b/>
                <w:kern w:val="0"/>
                <w:sz w:val="24"/>
              </w:rPr>
              <w:t>中型</w:t>
            </w:r>
          </w:p>
        </w:tc>
        <w:tc>
          <w:tcPr>
            <w:tcW w:w="1877" w:type="dxa"/>
            <w:tcBorders>
              <w:top w:val="single" w:color="auto" w:sz="4" w:space="0"/>
              <w:left w:val="nil"/>
              <w:bottom w:val="single" w:color="auto" w:sz="4" w:space="0"/>
              <w:right w:val="single" w:color="auto" w:sz="4" w:space="0"/>
            </w:tcBorders>
            <w:noWrap w:val="0"/>
            <w:vAlign w:val="center"/>
          </w:tcPr>
          <w:p w14:paraId="55B9CE7E">
            <w:pPr>
              <w:widowControl/>
              <w:snapToGrid w:val="0"/>
              <w:contextualSpacing/>
              <w:jc w:val="center"/>
              <w:rPr>
                <w:rFonts w:hint="eastAsia" w:ascii="宋体" w:hAnsi="宋体" w:cs="宋体"/>
                <w:b/>
                <w:kern w:val="0"/>
                <w:sz w:val="24"/>
              </w:rPr>
            </w:pPr>
            <w:r>
              <w:rPr>
                <w:rFonts w:hint="eastAsia" w:ascii="宋体" w:hAnsi="宋体" w:cs="宋体"/>
                <w:b/>
                <w:kern w:val="0"/>
                <w:sz w:val="24"/>
              </w:rPr>
              <w:t>小型</w:t>
            </w:r>
          </w:p>
        </w:tc>
        <w:tc>
          <w:tcPr>
            <w:tcW w:w="1134" w:type="dxa"/>
            <w:tcBorders>
              <w:top w:val="single" w:color="auto" w:sz="4" w:space="0"/>
              <w:left w:val="nil"/>
              <w:bottom w:val="single" w:color="auto" w:sz="4" w:space="0"/>
              <w:right w:val="single" w:color="auto" w:sz="4" w:space="0"/>
            </w:tcBorders>
            <w:noWrap w:val="0"/>
            <w:vAlign w:val="center"/>
          </w:tcPr>
          <w:p w14:paraId="26253DCA">
            <w:pPr>
              <w:widowControl/>
              <w:snapToGrid w:val="0"/>
              <w:contextualSpacing/>
              <w:jc w:val="center"/>
              <w:rPr>
                <w:rFonts w:hint="eastAsia" w:ascii="宋体" w:hAnsi="宋体" w:cs="宋体"/>
                <w:b/>
                <w:kern w:val="0"/>
                <w:sz w:val="24"/>
              </w:rPr>
            </w:pPr>
            <w:r>
              <w:rPr>
                <w:rFonts w:hint="eastAsia" w:ascii="宋体" w:hAnsi="宋体" w:cs="宋体"/>
                <w:b/>
                <w:kern w:val="0"/>
                <w:sz w:val="24"/>
              </w:rPr>
              <w:t>微型</w:t>
            </w:r>
          </w:p>
        </w:tc>
      </w:tr>
      <w:tr w14:paraId="3B34501A">
        <w:tblPrEx>
          <w:tblCellMar>
            <w:top w:w="0" w:type="dxa"/>
            <w:left w:w="108" w:type="dxa"/>
            <w:bottom w:w="0" w:type="dxa"/>
            <w:right w:w="108" w:type="dxa"/>
          </w:tblCellMar>
        </w:tblPrEx>
        <w:trPr>
          <w:trHeight w:val="505" w:hRule="atLeast"/>
          <w:jc w:val="center"/>
        </w:trPr>
        <w:tc>
          <w:tcPr>
            <w:tcW w:w="1570" w:type="dxa"/>
            <w:tcBorders>
              <w:top w:val="nil"/>
              <w:left w:val="single" w:color="auto" w:sz="4" w:space="0"/>
              <w:bottom w:val="single" w:color="auto" w:sz="4" w:space="0"/>
              <w:right w:val="single" w:color="auto" w:sz="4" w:space="0"/>
            </w:tcBorders>
            <w:noWrap w:val="0"/>
            <w:vAlign w:val="center"/>
          </w:tcPr>
          <w:p w14:paraId="3EF5CE0A">
            <w:pPr>
              <w:widowControl/>
              <w:snapToGrid w:val="0"/>
              <w:contextualSpacing/>
              <w:jc w:val="center"/>
              <w:rPr>
                <w:rFonts w:hint="eastAsia" w:ascii="宋体" w:hAnsi="宋体" w:cs="宋体"/>
                <w:b/>
                <w:bCs/>
                <w:kern w:val="0"/>
                <w:sz w:val="24"/>
              </w:rPr>
            </w:pPr>
            <w:r>
              <w:rPr>
                <w:rFonts w:hint="eastAsia" w:ascii="宋体" w:hAnsi="宋体" w:cs="宋体"/>
                <w:b/>
                <w:bCs/>
                <w:kern w:val="0"/>
                <w:sz w:val="24"/>
              </w:rPr>
              <w:t>农、林、牧、渔</w:t>
            </w:r>
          </w:p>
        </w:tc>
        <w:tc>
          <w:tcPr>
            <w:tcW w:w="1660" w:type="dxa"/>
            <w:tcBorders>
              <w:top w:val="nil"/>
              <w:left w:val="nil"/>
              <w:bottom w:val="single" w:color="auto" w:sz="4" w:space="0"/>
              <w:right w:val="single" w:color="auto" w:sz="4" w:space="0"/>
            </w:tcBorders>
            <w:noWrap w:val="0"/>
            <w:vAlign w:val="center"/>
          </w:tcPr>
          <w:p w14:paraId="0CA81758">
            <w:pPr>
              <w:widowControl/>
              <w:snapToGrid w:val="0"/>
              <w:contextualSpacing/>
              <w:jc w:val="center"/>
              <w:rPr>
                <w:rFonts w:hint="eastAsia" w:ascii="宋体" w:hAnsi="宋体" w:cs="宋体"/>
                <w:kern w:val="0"/>
                <w:sz w:val="24"/>
              </w:rPr>
            </w:pPr>
            <w:r>
              <w:rPr>
                <w:rFonts w:hint="eastAsia" w:ascii="宋体" w:hAnsi="宋体" w:cs="宋体"/>
                <w:kern w:val="0"/>
                <w:sz w:val="24"/>
              </w:rPr>
              <w:t>营业收入（Y）</w:t>
            </w:r>
          </w:p>
        </w:tc>
        <w:tc>
          <w:tcPr>
            <w:tcW w:w="1466" w:type="dxa"/>
            <w:tcBorders>
              <w:top w:val="nil"/>
              <w:left w:val="nil"/>
              <w:bottom w:val="single" w:color="auto" w:sz="4" w:space="0"/>
              <w:right w:val="single" w:color="auto" w:sz="4" w:space="0"/>
            </w:tcBorders>
            <w:noWrap w:val="0"/>
            <w:vAlign w:val="center"/>
          </w:tcPr>
          <w:p w14:paraId="306325BF">
            <w:pPr>
              <w:widowControl/>
              <w:snapToGrid w:val="0"/>
              <w:contextualSpacing/>
              <w:jc w:val="center"/>
              <w:rPr>
                <w:rFonts w:hint="eastAsia" w:ascii="宋体" w:hAnsi="宋体" w:cs="宋体"/>
                <w:kern w:val="0"/>
                <w:sz w:val="24"/>
              </w:rPr>
            </w:pPr>
            <w:r>
              <w:rPr>
                <w:rFonts w:hint="eastAsia" w:ascii="宋体" w:hAnsi="宋体" w:cs="宋体"/>
                <w:kern w:val="0"/>
                <w:sz w:val="24"/>
              </w:rPr>
              <w:t>万元</w:t>
            </w:r>
          </w:p>
        </w:tc>
        <w:tc>
          <w:tcPr>
            <w:tcW w:w="1903" w:type="dxa"/>
            <w:tcBorders>
              <w:top w:val="nil"/>
              <w:left w:val="nil"/>
              <w:bottom w:val="single" w:color="auto" w:sz="4" w:space="0"/>
              <w:right w:val="single" w:color="auto" w:sz="4" w:space="0"/>
            </w:tcBorders>
            <w:noWrap w:val="0"/>
            <w:vAlign w:val="center"/>
          </w:tcPr>
          <w:p w14:paraId="79A69808">
            <w:pPr>
              <w:widowControl/>
              <w:snapToGrid w:val="0"/>
              <w:contextualSpacing/>
              <w:jc w:val="center"/>
              <w:rPr>
                <w:rFonts w:hint="eastAsia" w:ascii="宋体" w:hAnsi="宋体" w:cs="宋体"/>
                <w:kern w:val="0"/>
                <w:sz w:val="24"/>
              </w:rPr>
            </w:pPr>
            <w:r>
              <w:rPr>
                <w:rFonts w:hint="eastAsia" w:ascii="宋体" w:hAnsi="宋体" w:cs="宋体"/>
                <w:kern w:val="0"/>
                <w:sz w:val="24"/>
              </w:rPr>
              <w:t>500≤Y＜20000</w:t>
            </w:r>
          </w:p>
        </w:tc>
        <w:tc>
          <w:tcPr>
            <w:tcW w:w="1877" w:type="dxa"/>
            <w:tcBorders>
              <w:top w:val="nil"/>
              <w:left w:val="nil"/>
              <w:bottom w:val="single" w:color="auto" w:sz="4" w:space="0"/>
              <w:right w:val="single" w:color="auto" w:sz="4" w:space="0"/>
            </w:tcBorders>
            <w:noWrap w:val="0"/>
            <w:vAlign w:val="center"/>
          </w:tcPr>
          <w:p w14:paraId="6EB9602C">
            <w:pPr>
              <w:widowControl/>
              <w:snapToGrid w:val="0"/>
              <w:contextualSpacing/>
              <w:jc w:val="center"/>
              <w:rPr>
                <w:rFonts w:hint="eastAsia" w:ascii="宋体" w:hAnsi="宋体" w:cs="宋体"/>
                <w:kern w:val="0"/>
                <w:sz w:val="24"/>
              </w:rPr>
            </w:pPr>
            <w:r>
              <w:rPr>
                <w:rFonts w:hint="eastAsia" w:ascii="宋体" w:hAnsi="宋体" w:cs="宋体"/>
                <w:kern w:val="0"/>
                <w:sz w:val="24"/>
              </w:rPr>
              <w:t>50≤Y＜500</w:t>
            </w:r>
          </w:p>
        </w:tc>
        <w:tc>
          <w:tcPr>
            <w:tcW w:w="1134" w:type="dxa"/>
            <w:tcBorders>
              <w:top w:val="nil"/>
              <w:left w:val="nil"/>
              <w:bottom w:val="single" w:color="auto" w:sz="4" w:space="0"/>
              <w:right w:val="single" w:color="auto" w:sz="4" w:space="0"/>
            </w:tcBorders>
            <w:noWrap w:val="0"/>
            <w:vAlign w:val="center"/>
          </w:tcPr>
          <w:p w14:paraId="0985F0ED">
            <w:pPr>
              <w:widowControl/>
              <w:snapToGrid w:val="0"/>
              <w:contextualSpacing/>
              <w:jc w:val="center"/>
              <w:rPr>
                <w:rFonts w:hint="eastAsia" w:ascii="宋体" w:hAnsi="宋体" w:cs="宋体"/>
                <w:kern w:val="0"/>
                <w:sz w:val="24"/>
              </w:rPr>
            </w:pPr>
            <w:r>
              <w:rPr>
                <w:rFonts w:hint="eastAsia" w:ascii="宋体" w:hAnsi="宋体" w:cs="宋体"/>
                <w:kern w:val="0"/>
                <w:sz w:val="24"/>
              </w:rPr>
              <w:t>Y＜50</w:t>
            </w:r>
          </w:p>
        </w:tc>
      </w:tr>
      <w:tr w14:paraId="7EE921FA">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6F36FD78">
            <w:pPr>
              <w:widowControl/>
              <w:snapToGrid w:val="0"/>
              <w:contextualSpacing/>
              <w:jc w:val="center"/>
              <w:rPr>
                <w:rFonts w:hint="eastAsia" w:ascii="宋体" w:hAnsi="宋体" w:cs="宋体"/>
                <w:b/>
                <w:bCs/>
                <w:kern w:val="0"/>
                <w:sz w:val="24"/>
              </w:rPr>
            </w:pPr>
            <w:r>
              <w:rPr>
                <w:rFonts w:hint="eastAsia" w:ascii="宋体" w:hAnsi="宋体" w:cs="宋体"/>
                <w:b/>
                <w:bCs/>
                <w:kern w:val="0"/>
                <w:sz w:val="24"/>
              </w:rPr>
              <w:t>工业</w:t>
            </w:r>
          </w:p>
        </w:tc>
        <w:tc>
          <w:tcPr>
            <w:tcW w:w="1660" w:type="dxa"/>
            <w:tcBorders>
              <w:top w:val="nil"/>
              <w:left w:val="nil"/>
              <w:bottom w:val="single" w:color="auto" w:sz="4" w:space="0"/>
              <w:right w:val="single" w:color="auto" w:sz="4" w:space="0"/>
            </w:tcBorders>
            <w:noWrap w:val="0"/>
            <w:vAlign w:val="center"/>
          </w:tcPr>
          <w:p w14:paraId="6CD190EE">
            <w:pPr>
              <w:widowControl/>
              <w:snapToGrid w:val="0"/>
              <w:contextualSpacing/>
              <w:jc w:val="center"/>
              <w:rPr>
                <w:rFonts w:hint="eastAsia" w:ascii="宋体" w:hAnsi="宋体" w:cs="宋体"/>
                <w:kern w:val="0"/>
                <w:sz w:val="24"/>
              </w:rPr>
            </w:pPr>
            <w:r>
              <w:rPr>
                <w:rFonts w:hint="eastAsia" w:ascii="宋体" w:hAnsi="宋体" w:cs="宋体"/>
                <w:kern w:val="0"/>
                <w:sz w:val="24"/>
              </w:rPr>
              <w:t>从业人员（X）</w:t>
            </w:r>
          </w:p>
        </w:tc>
        <w:tc>
          <w:tcPr>
            <w:tcW w:w="1466" w:type="dxa"/>
            <w:tcBorders>
              <w:top w:val="nil"/>
              <w:left w:val="nil"/>
              <w:bottom w:val="single" w:color="auto" w:sz="4" w:space="0"/>
              <w:right w:val="single" w:color="auto" w:sz="4" w:space="0"/>
            </w:tcBorders>
            <w:noWrap w:val="0"/>
            <w:vAlign w:val="center"/>
          </w:tcPr>
          <w:p w14:paraId="1124E872">
            <w:pPr>
              <w:widowControl/>
              <w:snapToGrid w:val="0"/>
              <w:contextualSpacing/>
              <w:jc w:val="center"/>
              <w:rPr>
                <w:rFonts w:hint="eastAsia" w:ascii="宋体" w:hAnsi="宋体" w:cs="宋体"/>
                <w:kern w:val="0"/>
                <w:sz w:val="24"/>
              </w:rPr>
            </w:pPr>
            <w:r>
              <w:rPr>
                <w:rFonts w:hint="eastAsia" w:ascii="宋体" w:hAnsi="宋体" w:cs="宋体"/>
                <w:kern w:val="0"/>
                <w:sz w:val="24"/>
              </w:rPr>
              <w:t>人</w:t>
            </w:r>
          </w:p>
        </w:tc>
        <w:tc>
          <w:tcPr>
            <w:tcW w:w="1903" w:type="dxa"/>
            <w:tcBorders>
              <w:top w:val="nil"/>
              <w:left w:val="nil"/>
              <w:bottom w:val="single" w:color="auto" w:sz="4" w:space="0"/>
              <w:right w:val="single" w:color="auto" w:sz="4" w:space="0"/>
            </w:tcBorders>
            <w:noWrap w:val="0"/>
            <w:vAlign w:val="center"/>
          </w:tcPr>
          <w:p w14:paraId="30988E8A">
            <w:pPr>
              <w:widowControl/>
              <w:snapToGrid w:val="0"/>
              <w:contextualSpacing/>
              <w:jc w:val="center"/>
              <w:rPr>
                <w:rFonts w:hint="eastAsia" w:ascii="宋体" w:hAnsi="宋体" w:cs="宋体"/>
                <w:kern w:val="0"/>
                <w:sz w:val="24"/>
              </w:rPr>
            </w:pPr>
            <w:r>
              <w:rPr>
                <w:rFonts w:hint="eastAsia" w:ascii="宋体" w:hAnsi="宋体" w:cs="宋体"/>
                <w:kern w:val="0"/>
                <w:sz w:val="24"/>
              </w:rPr>
              <w:t>300≤X＜1000</w:t>
            </w:r>
          </w:p>
        </w:tc>
        <w:tc>
          <w:tcPr>
            <w:tcW w:w="1877" w:type="dxa"/>
            <w:tcBorders>
              <w:top w:val="nil"/>
              <w:left w:val="nil"/>
              <w:bottom w:val="single" w:color="auto" w:sz="4" w:space="0"/>
              <w:right w:val="single" w:color="auto" w:sz="4" w:space="0"/>
            </w:tcBorders>
            <w:noWrap w:val="0"/>
            <w:vAlign w:val="center"/>
          </w:tcPr>
          <w:p w14:paraId="11879E68">
            <w:pPr>
              <w:widowControl/>
              <w:snapToGrid w:val="0"/>
              <w:contextualSpacing/>
              <w:jc w:val="center"/>
              <w:rPr>
                <w:rFonts w:hint="eastAsia" w:ascii="宋体" w:hAnsi="宋体" w:cs="宋体"/>
                <w:kern w:val="0"/>
                <w:sz w:val="24"/>
              </w:rPr>
            </w:pPr>
            <w:r>
              <w:rPr>
                <w:rFonts w:hint="eastAsia" w:ascii="宋体" w:hAnsi="宋体" w:cs="宋体"/>
                <w:kern w:val="0"/>
                <w:sz w:val="24"/>
              </w:rPr>
              <w:t>20≤X＜300</w:t>
            </w:r>
          </w:p>
        </w:tc>
        <w:tc>
          <w:tcPr>
            <w:tcW w:w="1134" w:type="dxa"/>
            <w:tcBorders>
              <w:top w:val="nil"/>
              <w:left w:val="nil"/>
              <w:bottom w:val="single" w:color="auto" w:sz="4" w:space="0"/>
              <w:right w:val="single" w:color="auto" w:sz="4" w:space="0"/>
            </w:tcBorders>
            <w:noWrap w:val="0"/>
            <w:vAlign w:val="center"/>
          </w:tcPr>
          <w:p w14:paraId="0F2CF879">
            <w:pPr>
              <w:widowControl/>
              <w:snapToGrid w:val="0"/>
              <w:contextualSpacing/>
              <w:jc w:val="center"/>
              <w:rPr>
                <w:rFonts w:hint="eastAsia" w:ascii="宋体" w:hAnsi="宋体" w:cs="宋体"/>
                <w:kern w:val="0"/>
                <w:sz w:val="24"/>
              </w:rPr>
            </w:pPr>
            <w:r>
              <w:rPr>
                <w:rFonts w:hint="eastAsia" w:ascii="宋体" w:hAnsi="宋体" w:cs="宋体"/>
                <w:kern w:val="0"/>
                <w:sz w:val="24"/>
              </w:rPr>
              <w:t>X＜20</w:t>
            </w:r>
          </w:p>
        </w:tc>
      </w:tr>
      <w:tr w14:paraId="39D64AF5">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31726ACF">
            <w:pPr>
              <w:widowControl/>
              <w:snapToGrid w:val="0"/>
              <w:contextualSpacing/>
              <w:jc w:val="center"/>
              <w:rPr>
                <w:rFonts w:hint="eastAsia" w:ascii="宋体" w:hAnsi="宋体" w:cs="宋体"/>
                <w:b/>
                <w:bCs/>
                <w:kern w:val="0"/>
                <w:sz w:val="24"/>
              </w:rPr>
            </w:pPr>
          </w:p>
        </w:tc>
        <w:tc>
          <w:tcPr>
            <w:tcW w:w="1660" w:type="dxa"/>
            <w:tcBorders>
              <w:top w:val="nil"/>
              <w:left w:val="nil"/>
              <w:bottom w:val="single" w:color="auto" w:sz="4" w:space="0"/>
              <w:right w:val="single" w:color="auto" w:sz="4" w:space="0"/>
            </w:tcBorders>
            <w:noWrap w:val="0"/>
            <w:vAlign w:val="center"/>
          </w:tcPr>
          <w:p w14:paraId="1850E56F">
            <w:pPr>
              <w:widowControl/>
              <w:snapToGrid w:val="0"/>
              <w:contextualSpacing/>
              <w:jc w:val="center"/>
              <w:rPr>
                <w:rFonts w:hint="eastAsia" w:ascii="宋体" w:hAnsi="宋体" w:cs="宋体"/>
                <w:kern w:val="0"/>
                <w:sz w:val="24"/>
              </w:rPr>
            </w:pPr>
            <w:r>
              <w:rPr>
                <w:rFonts w:hint="eastAsia" w:ascii="宋体" w:hAnsi="宋体" w:cs="宋体"/>
                <w:kern w:val="0"/>
                <w:sz w:val="24"/>
              </w:rPr>
              <w:t>营业收入（Y）</w:t>
            </w:r>
          </w:p>
        </w:tc>
        <w:tc>
          <w:tcPr>
            <w:tcW w:w="1466" w:type="dxa"/>
            <w:tcBorders>
              <w:top w:val="nil"/>
              <w:left w:val="nil"/>
              <w:bottom w:val="single" w:color="auto" w:sz="4" w:space="0"/>
              <w:right w:val="single" w:color="auto" w:sz="4" w:space="0"/>
            </w:tcBorders>
            <w:noWrap w:val="0"/>
            <w:vAlign w:val="center"/>
          </w:tcPr>
          <w:p w14:paraId="40E4F333">
            <w:pPr>
              <w:widowControl/>
              <w:snapToGrid w:val="0"/>
              <w:contextualSpacing/>
              <w:jc w:val="center"/>
              <w:rPr>
                <w:rFonts w:hint="eastAsia" w:ascii="宋体" w:hAnsi="宋体" w:cs="宋体"/>
                <w:kern w:val="0"/>
                <w:sz w:val="24"/>
              </w:rPr>
            </w:pPr>
            <w:r>
              <w:rPr>
                <w:rFonts w:hint="eastAsia" w:ascii="宋体" w:hAnsi="宋体" w:cs="宋体"/>
                <w:kern w:val="0"/>
                <w:sz w:val="24"/>
              </w:rPr>
              <w:t>万元</w:t>
            </w:r>
          </w:p>
        </w:tc>
        <w:tc>
          <w:tcPr>
            <w:tcW w:w="1903" w:type="dxa"/>
            <w:tcBorders>
              <w:top w:val="nil"/>
              <w:left w:val="nil"/>
              <w:bottom w:val="single" w:color="auto" w:sz="4" w:space="0"/>
              <w:right w:val="single" w:color="auto" w:sz="4" w:space="0"/>
            </w:tcBorders>
            <w:noWrap w:val="0"/>
            <w:vAlign w:val="center"/>
          </w:tcPr>
          <w:p w14:paraId="35B8FF1C">
            <w:pPr>
              <w:widowControl/>
              <w:snapToGrid w:val="0"/>
              <w:contextualSpacing/>
              <w:jc w:val="center"/>
              <w:rPr>
                <w:rFonts w:hint="eastAsia" w:ascii="宋体" w:hAnsi="宋体" w:cs="宋体"/>
                <w:kern w:val="0"/>
                <w:sz w:val="24"/>
              </w:rPr>
            </w:pPr>
            <w:r>
              <w:rPr>
                <w:rFonts w:hint="eastAsia" w:ascii="宋体" w:hAnsi="宋体" w:cs="宋体"/>
                <w:kern w:val="0"/>
                <w:sz w:val="24"/>
              </w:rPr>
              <w:t>2000≤Y＜40000</w:t>
            </w:r>
          </w:p>
        </w:tc>
        <w:tc>
          <w:tcPr>
            <w:tcW w:w="1877" w:type="dxa"/>
            <w:tcBorders>
              <w:top w:val="nil"/>
              <w:left w:val="nil"/>
              <w:bottom w:val="single" w:color="auto" w:sz="4" w:space="0"/>
              <w:right w:val="single" w:color="auto" w:sz="4" w:space="0"/>
            </w:tcBorders>
            <w:noWrap w:val="0"/>
            <w:vAlign w:val="center"/>
          </w:tcPr>
          <w:p w14:paraId="3B93CA56">
            <w:pPr>
              <w:widowControl/>
              <w:snapToGrid w:val="0"/>
              <w:contextualSpacing/>
              <w:jc w:val="center"/>
              <w:rPr>
                <w:rFonts w:hint="eastAsia" w:ascii="宋体" w:hAnsi="宋体" w:cs="宋体"/>
                <w:kern w:val="0"/>
                <w:sz w:val="24"/>
              </w:rPr>
            </w:pPr>
            <w:r>
              <w:rPr>
                <w:rFonts w:hint="eastAsia" w:ascii="宋体" w:hAnsi="宋体" w:cs="宋体"/>
                <w:kern w:val="0"/>
                <w:sz w:val="24"/>
              </w:rPr>
              <w:t>300≤Y＜2000</w:t>
            </w:r>
          </w:p>
        </w:tc>
        <w:tc>
          <w:tcPr>
            <w:tcW w:w="1134" w:type="dxa"/>
            <w:tcBorders>
              <w:top w:val="nil"/>
              <w:left w:val="nil"/>
              <w:bottom w:val="single" w:color="auto" w:sz="4" w:space="0"/>
              <w:right w:val="single" w:color="auto" w:sz="4" w:space="0"/>
            </w:tcBorders>
            <w:noWrap w:val="0"/>
            <w:vAlign w:val="center"/>
          </w:tcPr>
          <w:p w14:paraId="62BE4F12">
            <w:pPr>
              <w:widowControl/>
              <w:snapToGrid w:val="0"/>
              <w:contextualSpacing/>
              <w:jc w:val="center"/>
              <w:rPr>
                <w:rFonts w:hint="eastAsia" w:ascii="宋体" w:hAnsi="宋体" w:cs="宋体"/>
                <w:kern w:val="0"/>
                <w:sz w:val="24"/>
              </w:rPr>
            </w:pPr>
            <w:r>
              <w:rPr>
                <w:rFonts w:hint="eastAsia" w:ascii="宋体" w:hAnsi="宋体" w:cs="宋体"/>
                <w:kern w:val="0"/>
                <w:sz w:val="24"/>
              </w:rPr>
              <w:t>Y＜300</w:t>
            </w:r>
          </w:p>
        </w:tc>
      </w:tr>
      <w:tr w14:paraId="4CDA6EDE">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4B98C59A">
            <w:pPr>
              <w:widowControl/>
              <w:snapToGrid w:val="0"/>
              <w:contextualSpacing/>
              <w:jc w:val="center"/>
              <w:rPr>
                <w:rFonts w:hint="eastAsia" w:ascii="宋体" w:hAnsi="宋体" w:cs="宋体"/>
                <w:b/>
                <w:bCs/>
                <w:kern w:val="0"/>
                <w:sz w:val="24"/>
              </w:rPr>
            </w:pPr>
            <w:r>
              <w:rPr>
                <w:rFonts w:hint="eastAsia" w:ascii="宋体" w:hAnsi="宋体" w:cs="宋体"/>
                <w:b/>
                <w:bCs/>
                <w:kern w:val="0"/>
                <w:sz w:val="24"/>
              </w:rPr>
              <w:t>建筑业</w:t>
            </w:r>
          </w:p>
        </w:tc>
        <w:tc>
          <w:tcPr>
            <w:tcW w:w="1660" w:type="dxa"/>
            <w:tcBorders>
              <w:top w:val="nil"/>
              <w:left w:val="nil"/>
              <w:bottom w:val="single" w:color="auto" w:sz="4" w:space="0"/>
              <w:right w:val="single" w:color="auto" w:sz="4" w:space="0"/>
            </w:tcBorders>
            <w:noWrap w:val="0"/>
            <w:vAlign w:val="center"/>
          </w:tcPr>
          <w:p w14:paraId="27BA87EB">
            <w:pPr>
              <w:widowControl/>
              <w:snapToGrid w:val="0"/>
              <w:contextualSpacing/>
              <w:jc w:val="center"/>
              <w:rPr>
                <w:rFonts w:hint="eastAsia" w:ascii="宋体" w:hAnsi="宋体" w:cs="宋体"/>
                <w:kern w:val="0"/>
                <w:sz w:val="24"/>
              </w:rPr>
            </w:pPr>
            <w:r>
              <w:rPr>
                <w:rFonts w:hint="eastAsia" w:ascii="宋体" w:hAnsi="宋体" w:cs="宋体"/>
                <w:kern w:val="0"/>
                <w:sz w:val="24"/>
              </w:rPr>
              <w:t>营业收入（Y）</w:t>
            </w:r>
          </w:p>
        </w:tc>
        <w:tc>
          <w:tcPr>
            <w:tcW w:w="1466" w:type="dxa"/>
            <w:tcBorders>
              <w:top w:val="nil"/>
              <w:left w:val="nil"/>
              <w:bottom w:val="single" w:color="auto" w:sz="4" w:space="0"/>
              <w:right w:val="single" w:color="auto" w:sz="4" w:space="0"/>
            </w:tcBorders>
            <w:noWrap w:val="0"/>
            <w:vAlign w:val="center"/>
          </w:tcPr>
          <w:p w14:paraId="31E1E1BA">
            <w:pPr>
              <w:widowControl/>
              <w:snapToGrid w:val="0"/>
              <w:contextualSpacing/>
              <w:jc w:val="center"/>
              <w:rPr>
                <w:rFonts w:hint="eastAsia" w:ascii="宋体" w:hAnsi="宋体" w:cs="宋体"/>
                <w:kern w:val="0"/>
                <w:sz w:val="24"/>
              </w:rPr>
            </w:pPr>
            <w:r>
              <w:rPr>
                <w:rFonts w:hint="eastAsia" w:ascii="宋体" w:hAnsi="宋体" w:cs="宋体"/>
                <w:kern w:val="0"/>
                <w:sz w:val="24"/>
              </w:rPr>
              <w:t>万元</w:t>
            </w:r>
          </w:p>
        </w:tc>
        <w:tc>
          <w:tcPr>
            <w:tcW w:w="1903" w:type="dxa"/>
            <w:tcBorders>
              <w:top w:val="nil"/>
              <w:left w:val="nil"/>
              <w:bottom w:val="single" w:color="auto" w:sz="4" w:space="0"/>
              <w:right w:val="single" w:color="auto" w:sz="4" w:space="0"/>
            </w:tcBorders>
            <w:noWrap w:val="0"/>
            <w:vAlign w:val="center"/>
          </w:tcPr>
          <w:p w14:paraId="58D3A62E">
            <w:pPr>
              <w:widowControl/>
              <w:snapToGrid w:val="0"/>
              <w:contextualSpacing/>
              <w:jc w:val="center"/>
              <w:rPr>
                <w:rFonts w:hint="eastAsia" w:ascii="宋体" w:hAnsi="宋体" w:cs="宋体"/>
                <w:kern w:val="0"/>
                <w:sz w:val="24"/>
              </w:rPr>
            </w:pPr>
            <w:r>
              <w:rPr>
                <w:rFonts w:hint="eastAsia" w:ascii="宋体" w:hAnsi="宋体" w:cs="宋体"/>
                <w:kern w:val="0"/>
                <w:sz w:val="24"/>
              </w:rPr>
              <w:t>6000≤Y＜80000</w:t>
            </w:r>
          </w:p>
        </w:tc>
        <w:tc>
          <w:tcPr>
            <w:tcW w:w="1877" w:type="dxa"/>
            <w:tcBorders>
              <w:top w:val="nil"/>
              <w:left w:val="nil"/>
              <w:bottom w:val="single" w:color="auto" w:sz="4" w:space="0"/>
              <w:right w:val="single" w:color="auto" w:sz="4" w:space="0"/>
            </w:tcBorders>
            <w:noWrap w:val="0"/>
            <w:vAlign w:val="center"/>
          </w:tcPr>
          <w:p w14:paraId="588930CD">
            <w:pPr>
              <w:widowControl/>
              <w:snapToGrid w:val="0"/>
              <w:contextualSpacing/>
              <w:jc w:val="center"/>
              <w:rPr>
                <w:rFonts w:hint="eastAsia" w:ascii="宋体" w:hAnsi="宋体" w:cs="宋体"/>
                <w:kern w:val="0"/>
                <w:sz w:val="24"/>
              </w:rPr>
            </w:pPr>
            <w:r>
              <w:rPr>
                <w:rFonts w:hint="eastAsia" w:ascii="宋体" w:hAnsi="宋体" w:cs="宋体"/>
                <w:kern w:val="0"/>
                <w:sz w:val="24"/>
              </w:rPr>
              <w:t>300≤Y＜6000</w:t>
            </w:r>
          </w:p>
        </w:tc>
        <w:tc>
          <w:tcPr>
            <w:tcW w:w="1134" w:type="dxa"/>
            <w:tcBorders>
              <w:top w:val="nil"/>
              <w:left w:val="nil"/>
              <w:bottom w:val="single" w:color="auto" w:sz="4" w:space="0"/>
              <w:right w:val="single" w:color="auto" w:sz="4" w:space="0"/>
            </w:tcBorders>
            <w:noWrap w:val="0"/>
            <w:vAlign w:val="center"/>
          </w:tcPr>
          <w:p w14:paraId="65E20C2A">
            <w:pPr>
              <w:widowControl/>
              <w:snapToGrid w:val="0"/>
              <w:contextualSpacing/>
              <w:jc w:val="center"/>
              <w:rPr>
                <w:rFonts w:hint="eastAsia" w:ascii="宋体" w:hAnsi="宋体" w:cs="宋体"/>
                <w:kern w:val="0"/>
                <w:sz w:val="24"/>
              </w:rPr>
            </w:pPr>
            <w:r>
              <w:rPr>
                <w:rFonts w:hint="eastAsia" w:ascii="宋体" w:hAnsi="宋体" w:cs="宋体"/>
                <w:kern w:val="0"/>
                <w:sz w:val="24"/>
              </w:rPr>
              <w:t>Y＜300</w:t>
            </w:r>
          </w:p>
        </w:tc>
      </w:tr>
      <w:tr w14:paraId="64D8C01B">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26F229EF">
            <w:pPr>
              <w:widowControl/>
              <w:snapToGrid w:val="0"/>
              <w:contextualSpacing/>
              <w:jc w:val="center"/>
              <w:rPr>
                <w:rFonts w:hint="eastAsia" w:ascii="宋体" w:hAnsi="宋体" w:cs="宋体"/>
                <w:b/>
                <w:bCs/>
                <w:kern w:val="0"/>
                <w:sz w:val="24"/>
              </w:rPr>
            </w:pPr>
          </w:p>
        </w:tc>
        <w:tc>
          <w:tcPr>
            <w:tcW w:w="1660" w:type="dxa"/>
            <w:tcBorders>
              <w:top w:val="nil"/>
              <w:left w:val="nil"/>
              <w:bottom w:val="single" w:color="auto" w:sz="4" w:space="0"/>
              <w:right w:val="single" w:color="auto" w:sz="4" w:space="0"/>
            </w:tcBorders>
            <w:noWrap w:val="0"/>
            <w:vAlign w:val="center"/>
          </w:tcPr>
          <w:p w14:paraId="1AB094FF">
            <w:pPr>
              <w:widowControl/>
              <w:snapToGrid w:val="0"/>
              <w:contextualSpacing/>
              <w:jc w:val="center"/>
              <w:rPr>
                <w:rFonts w:hint="eastAsia" w:ascii="宋体" w:hAnsi="宋体" w:cs="宋体"/>
                <w:kern w:val="0"/>
                <w:sz w:val="24"/>
              </w:rPr>
            </w:pPr>
            <w:r>
              <w:rPr>
                <w:rFonts w:hint="eastAsia" w:ascii="宋体" w:hAnsi="宋体" w:cs="宋体"/>
                <w:kern w:val="0"/>
                <w:sz w:val="24"/>
              </w:rPr>
              <w:t>资产总额（Z）</w:t>
            </w:r>
          </w:p>
        </w:tc>
        <w:tc>
          <w:tcPr>
            <w:tcW w:w="1466" w:type="dxa"/>
            <w:tcBorders>
              <w:top w:val="nil"/>
              <w:left w:val="nil"/>
              <w:bottom w:val="single" w:color="auto" w:sz="4" w:space="0"/>
              <w:right w:val="single" w:color="auto" w:sz="4" w:space="0"/>
            </w:tcBorders>
            <w:noWrap w:val="0"/>
            <w:vAlign w:val="center"/>
          </w:tcPr>
          <w:p w14:paraId="7AE91FDB">
            <w:pPr>
              <w:widowControl/>
              <w:snapToGrid w:val="0"/>
              <w:contextualSpacing/>
              <w:jc w:val="center"/>
              <w:rPr>
                <w:rFonts w:hint="eastAsia" w:ascii="宋体" w:hAnsi="宋体" w:cs="宋体"/>
                <w:kern w:val="0"/>
                <w:sz w:val="24"/>
              </w:rPr>
            </w:pPr>
            <w:r>
              <w:rPr>
                <w:rFonts w:hint="eastAsia" w:ascii="宋体" w:hAnsi="宋体" w:cs="宋体"/>
                <w:kern w:val="0"/>
                <w:sz w:val="24"/>
              </w:rPr>
              <w:t>万元</w:t>
            </w:r>
          </w:p>
        </w:tc>
        <w:tc>
          <w:tcPr>
            <w:tcW w:w="1903" w:type="dxa"/>
            <w:tcBorders>
              <w:top w:val="nil"/>
              <w:left w:val="nil"/>
              <w:bottom w:val="single" w:color="auto" w:sz="4" w:space="0"/>
              <w:right w:val="single" w:color="auto" w:sz="4" w:space="0"/>
            </w:tcBorders>
            <w:noWrap w:val="0"/>
            <w:vAlign w:val="center"/>
          </w:tcPr>
          <w:p w14:paraId="37CD321D">
            <w:pPr>
              <w:widowControl/>
              <w:snapToGrid w:val="0"/>
              <w:contextualSpacing/>
              <w:jc w:val="center"/>
              <w:rPr>
                <w:rFonts w:hint="eastAsia" w:ascii="宋体" w:hAnsi="宋体" w:cs="宋体"/>
                <w:kern w:val="0"/>
                <w:sz w:val="24"/>
              </w:rPr>
            </w:pPr>
            <w:r>
              <w:rPr>
                <w:rFonts w:hint="eastAsia" w:ascii="宋体" w:hAnsi="宋体" w:cs="宋体"/>
                <w:kern w:val="0"/>
                <w:sz w:val="24"/>
              </w:rPr>
              <w:t>5000≤Z＜80000</w:t>
            </w:r>
          </w:p>
        </w:tc>
        <w:tc>
          <w:tcPr>
            <w:tcW w:w="1877" w:type="dxa"/>
            <w:tcBorders>
              <w:top w:val="nil"/>
              <w:left w:val="nil"/>
              <w:bottom w:val="single" w:color="auto" w:sz="4" w:space="0"/>
              <w:right w:val="single" w:color="auto" w:sz="4" w:space="0"/>
            </w:tcBorders>
            <w:noWrap w:val="0"/>
            <w:vAlign w:val="center"/>
          </w:tcPr>
          <w:p w14:paraId="32D43CC8">
            <w:pPr>
              <w:widowControl/>
              <w:snapToGrid w:val="0"/>
              <w:contextualSpacing/>
              <w:jc w:val="center"/>
              <w:rPr>
                <w:rFonts w:hint="eastAsia" w:ascii="宋体" w:hAnsi="宋体" w:cs="宋体"/>
                <w:kern w:val="0"/>
                <w:sz w:val="24"/>
              </w:rPr>
            </w:pPr>
            <w:r>
              <w:rPr>
                <w:rFonts w:hint="eastAsia" w:ascii="宋体" w:hAnsi="宋体" w:cs="宋体"/>
                <w:kern w:val="0"/>
                <w:sz w:val="24"/>
              </w:rPr>
              <w:t>300≤Z＜5000</w:t>
            </w:r>
          </w:p>
        </w:tc>
        <w:tc>
          <w:tcPr>
            <w:tcW w:w="1134" w:type="dxa"/>
            <w:tcBorders>
              <w:top w:val="nil"/>
              <w:left w:val="nil"/>
              <w:bottom w:val="single" w:color="auto" w:sz="4" w:space="0"/>
              <w:right w:val="single" w:color="auto" w:sz="4" w:space="0"/>
            </w:tcBorders>
            <w:noWrap w:val="0"/>
            <w:vAlign w:val="center"/>
          </w:tcPr>
          <w:p w14:paraId="3A4D8821">
            <w:pPr>
              <w:widowControl/>
              <w:snapToGrid w:val="0"/>
              <w:contextualSpacing/>
              <w:jc w:val="center"/>
              <w:rPr>
                <w:rFonts w:hint="eastAsia" w:ascii="宋体" w:hAnsi="宋体" w:cs="宋体"/>
                <w:kern w:val="0"/>
                <w:sz w:val="24"/>
              </w:rPr>
            </w:pPr>
            <w:r>
              <w:rPr>
                <w:rFonts w:hint="eastAsia" w:ascii="宋体" w:hAnsi="宋体" w:cs="宋体"/>
                <w:kern w:val="0"/>
                <w:sz w:val="24"/>
              </w:rPr>
              <w:t>Z＜300</w:t>
            </w:r>
          </w:p>
        </w:tc>
      </w:tr>
      <w:tr w14:paraId="567C242A">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63E55860">
            <w:pPr>
              <w:widowControl/>
              <w:snapToGrid w:val="0"/>
              <w:contextualSpacing/>
              <w:jc w:val="center"/>
              <w:rPr>
                <w:rFonts w:hint="eastAsia" w:ascii="宋体" w:hAnsi="宋体" w:cs="宋体"/>
                <w:b/>
                <w:bCs/>
                <w:kern w:val="0"/>
                <w:sz w:val="24"/>
              </w:rPr>
            </w:pPr>
            <w:r>
              <w:rPr>
                <w:rFonts w:hint="eastAsia" w:ascii="宋体" w:hAnsi="宋体" w:cs="宋体"/>
                <w:b/>
                <w:bCs/>
                <w:kern w:val="0"/>
                <w:sz w:val="24"/>
              </w:rPr>
              <w:t>批发业</w:t>
            </w:r>
          </w:p>
        </w:tc>
        <w:tc>
          <w:tcPr>
            <w:tcW w:w="1660" w:type="dxa"/>
            <w:tcBorders>
              <w:top w:val="nil"/>
              <w:left w:val="nil"/>
              <w:bottom w:val="single" w:color="auto" w:sz="4" w:space="0"/>
              <w:right w:val="single" w:color="auto" w:sz="4" w:space="0"/>
            </w:tcBorders>
            <w:noWrap w:val="0"/>
            <w:vAlign w:val="center"/>
          </w:tcPr>
          <w:p w14:paraId="6CE90F73">
            <w:pPr>
              <w:widowControl/>
              <w:snapToGrid w:val="0"/>
              <w:contextualSpacing/>
              <w:jc w:val="center"/>
              <w:rPr>
                <w:rFonts w:hint="eastAsia" w:ascii="宋体" w:hAnsi="宋体" w:cs="宋体"/>
                <w:kern w:val="0"/>
                <w:sz w:val="24"/>
              </w:rPr>
            </w:pPr>
            <w:r>
              <w:rPr>
                <w:rFonts w:hint="eastAsia" w:ascii="宋体" w:hAnsi="宋体" w:cs="宋体"/>
                <w:kern w:val="0"/>
                <w:sz w:val="24"/>
              </w:rPr>
              <w:t>从业人员（X）</w:t>
            </w:r>
          </w:p>
        </w:tc>
        <w:tc>
          <w:tcPr>
            <w:tcW w:w="1466" w:type="dxa"/>
            <w:tcBorders>
              <w:top w:val="nil"/>
              <w:left w:val="nil"/>
              <w:bottom w:val="single" w:color="auto" w:sz="4" w:space="0"/>
              <w:right w:val="single" w:color="auto" w:sz="4" w:space="0"/>
            </w:tcBorders>
            <w:noWrap w:val="0"/>
            <w:vAlign w:val="center"/>
          </w:tcPr>
          <w:p w14:paraId="10FDEA17">
            <w:pPr>
              <w:widowControl/>
              <w:snapToGrid w:val="0"/>
              <w:contextualSpacing/>
              <w:jc w:val="center"/>
              <w:rPr>
                <w:rFonts w:hint="eastAsia" w:ascii="宋体" w:hAnsi="宋体" w:cs="宋体"/>
                <w:kern w:val="0"/>
                <w:sz w:val="24"/>
              </w:rPr>
            </w:pPr>
            <w:r>
              <w:rPr>
                <w:rFonts w:hint="eastAsia" w:ascii="宋体" w:hAnsi="宋体" w:cs="宋体"/>
                <w:kern w:val="0"/>
                <w:sz w:val="24"/>
              </w:rPr>
              <w:t>人</w:t>
            </w:r>
          </w:p>
        </w:tc>
        <w:tc>
          <w:tcPr>
            <w:tcW w:w="1903" w:type="dxa"/>
            <w:tcBorders>
              <w:top w:val="nil"/>
              <w:left w:val="nil"/>
              <w:bottom w:val="single" w:color="auto" w:sz="4" w:space="0"/>
              <w:right w:val="single" w:color="auto" w:sz="4" w:space="0"/>
            </w:tcBorders>
            <w:noWrap w:val="0"/>
            <w:vAlign w:val="center"/>
          </w:tcPr>
          <w:p w14:paraId="5495D2EC">
            <w:pPr>
              <w:widowControl/>
              <w:snapToGrid w:val="0"/>
              <w:contextualSpacing/>
              <w:jc w:val="center"/>
              <w:rPr>
                <w:rFonts w:hint="eastAsia" w:ascii="宋体" w:hAnsi="宋体" w:cs="宋体"/>
                <w:kern w:val="0"/>
                <w:sz w:val="24"/>
              </w:rPr>
            </w:pPr>
            <w:r>
              <w:rPr>
                <w:rFonts w:hint="eastAsia" w:ascii="宋体" w:hAnsi="宋体" w:cs="宋体"/>
                <w:kern w:val="0"/>
                <w:sz w:val="24"/>
              </w:rPr>
              <w:t>20≤X＜200</w:t>
            </w:r>
          </w:p>
        </w:tc>
        <w:tc>
          <w:tcPr>
            <w:tcW w:w="1877" w:type="dxa"/>
            <w:tcBorders>
              <w:top w:val="nil"/>
              <w:left w:val="nil"/>
              <w:bottom w:val="single" w:color="auto" w:sz="4" w:space="0"/>
              <w:right w:val="single" w:color="auto" w:sz="4" w:space="0"/>
            </w:tcBorders>
            <w:noWrap w:val="0"/>
            <w:vAlign w:val="center"/>
          </w:tcPr>
          <w:p w14:paraId="6E832BFE">
            <w:pPr>
              <w:widowControl/>
              <w:snapToGrid w:val="0"/>
              <w:contextualSpacing/>
              <w:jc w:val="center"/>
              <w:rPr>
                <w:rFonts w:hint="eastAsia" w:ascii="宋体" w:hAnsi="宋体" w:cs="宋体"/>
                <w:kern w:val="0"/>
                <w:sz w:val="24"/>
              </w:rPr>
            </w:pPr>
            <w:r>
              <w:rPr>
                <w:rFonts w:hint="eastAsia" w:ascii="宋体" w:hAnsi="宋体" w:cs="宋体"/>
                <w:kern w:val="0"/>
                <w:sz w:val="24"/>
              </w:rPr>
              <w:t>5≤X＜20</w:t>
            </w:r>
          </w:p>
        </w:tc>
        <w:tc>
          <w:tcPr>
            <w:tcW w:w="1134" w:type="dxa"/>
            <w:tcBorders>
              <w:top w:val="nil"/>
              <w:left w:val="nil"/>
              <w:bottom w:val="single" w:color="auto" w:sz="4" w:space="0"/>
              <w:right w:val="single" w:color="auto" w:sz="4" w:space="0"/>
            </w:tcBorders>
            <w:noWrap w:val="0"/>
            <w:vAlign w:val="center"/>
          </w:tcPr>
          <w:p w14:paraId="0FACA4E5">
            <w:pPr>
              <w:widowControl/>
              <w:snapToGrid w:val="0"/>
              <w:contextualSpacing/>
              <w:jc w:val="center"/>
              <w:rPr>
                <w:rFonts w:hint="eastAsia" w:ascii="宋体" w:hAnsi="宋体" w:cs="宋体"/>
                <w:kern w:val="0"/>
                <w:sz w:val="24"/>
              </w:rPr>
            </w:pPr>
            <w:r>
              <w:rPr>
                <w:rFonts w:hint="eastAsia" w:ascii="宋体" w:hAnsi="宋体" w:cs="宋体"/>
                <w:kern w:val="0"/>
                <w:sz w:val="24"/>
              </w:rPr>
              <w:t>X＜5</w:t>
            </w:r>
          </w:p>
        </w:tc>
      </w:tr>
      <w:tr w14:paraId="0AE825C9">
        <w:tblPrEx>
          <w:tblCellMar>
            <w:top w:w="0" w:type="dxa"/>
            <w:left w:w="108" w:type="dxa"/>
            <w:bottom w:w="0" w:type="dxa"/>
            <w:right w:w="108" w:type="dxa"/>
          </w:tblCellMar>
        </w:tblPrEx>
        <w:trPr>
          <w:trHeight w:val="90"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0B3C6C1E">
            <w:pPr>
              <w:widowControl/>
              <w:snapToGrid w:val="0"/>
              <w:contextualSpacing/>
              <w:jc w:val="center"/>
              <w:rPr>
                <w:rFonts w:hint="eastAsia" w:ascii="宋体" w:hAnsi="宋体" w:cs="宋体"/>
                <w:b/>
                <w:bCs/>
                <w:kern w:val="0"/>
                <w:sz w:val="24"/>
              </w:rPr>
            </w:pPr>
          </w:p>
        </w:tc>
        <w:tc>
          <w:tcPr>
            <w:tcW w:w="1660" w:type="dxa"/>
            <w:tcBorders>
              <w:top w:val="nil"/>
              <w:left w:val="nil"/>
              <w:bottom w:val="single" w:color="auto" w:sz="4" w:space="0"/>
              <w:right w:val="single" w:color="auto" w:sz="4" w:space="0"/>
            </w:tcBorders>
            <w:noWrap w:val="0"/>
            <w:vAlign w:val="center"/>
          </w:tcPr>
          <w:p w14:paraId="36148D87">
            <w:pPr>
              <w:widowControl/>
              <w:snapToGrid w:val="0"/>
              <w:contextualSpacing/>
              <w:jc w:val="center"/>
              <w:rPr>
                <w:rFonts w:hint="eastAsia" w:ascii="宋体" w:hAnsi="宋体" w:cs="宋体"/>
                <w:kern w:val="0"/>
                <w:sz w:val="24"/>
              </w:rPr>
            </w:pPr>
            <w:r>
              <w:rPr>
                <w:rFonts w:hint="eastAsia" w:ascii="宋体" w:hAnsi="宋体" w:cs="宋体"/>
                <w:kern w:val="0"/>
                <w:sz w:val="24"/>
              </w:rPr>
              <w:t>营业收入（Y）</w:t>
            </w:r>
          </w:p>
        </w:tc>
        <w:tc>
          <w:tcPr>
            <w:tcW w:w="1466" w:type="dxa"/>
            <w:tcBorders>
              <w:top w:val="nil"/>
              <w:left w:val="nil"/>
              <w:bottom w:val="single" w:color="auto" w:sz="4" w:space="0"/>
              <w:right w:val="single" w:color="auto" w:sz="4" w:space="0"/>
            </w:tcBorders>
            <w:noWrap w:val="0"/>
            <w:vAlign w:val="center"/>
          </w:tcPr>
          <w:p w14:paraId="0E7F131E">
            <w:pPr>
              <w:widowControl/>
              <w:snapToGrid w:val="0"/>
              <w:contextualSpacing/>
              <w:jc w:val="center"/>
              <w:rPr>
                <w:rFonts w:hint="eastAsia" w:ascii="宋体" w:hAnsi="宋体" w:cs="宋体"/>
                <w:kern w:val="0"/>
                <w:sz w:val="24"/>
              </w:rPr>
            </w:pPr>
            <w:r>
              <w:rPr>
                <w:rFonts w:hint="eastAsia" w:ascii="宋体" w:hAnsi="宋体" w:cs="宋体"/>
                <w:kern w:val="0"/>
                <w:sz w:val="24"/>
              </w:rPr>
              <w:t>万元</w:t>
            </w:r>
          </w:p>
        </w:tc>
        <w:tc>
          <w:tcPr>
            <w:tcW w:w="1903" w:type="dxa"/>
            <w:tcBorders>
              <w:top w:val="nil"/>
              <w:left w:val="nil"/>
              <w:bottom w:val="single" w:color="auto" w:sz="4" w:space="0"/>
              <w:right w:val="single" w:color="auto" w:sz="4" w:space="0"/>
            </w:tcBorders>
            <w:noWrap w:val="0"/>
            <w:vAlign w:val="center"/>
          </w:tcPr>
          <w:p w14:paraId="61C49978">
            <w:pPr>
              <w:widowControl/>
              <w:snapToGrid w:val="0"/>
              <w:contextualSpacing/>
              <w:jc w:val="center"/>
              <w:rPr>
                <w:rFonts w:hint="eastAsia" w:ascii="宋体" w:hAnsi="宋体" w:cs="宋体"/>
                <w:kern w:val="0"/>
                <w:sz w:val="24"/>
              </w:rPr>
            </w:pPr>
            <w:r>
              <w:rPr>
                <w:rFonts w:hint="eastAsia" w:ascii="宋体" w:hAnsi="宋体" w:cs="宋体"/>
                <w:kern w:val="0"/>
                <w:sz w:val="24"/>
              </w:rPr>
              <w:t>5000≤Y＜40000</w:t>
            </w:r>
          </w:p>
        </w:tc>
        <w:tc>
          <w:tcPr>
            <w:tcW w:w="1877" w:type="dxa"/>
            <w:tcBorders>
              <w:top w:val="nil"/>
              <w:left w:val="nil"/>
              <w:bottom w:val="single" w:color="auto" w:sz="4" w:space="0"/>
              <w:right w:val="single" w:color="auto" w:sz="4" w:space="0"/>
            </w:tcBorders>
            <w:noWrap w:val="0"/>
            <w:vAlign w:val="center"/>
          </w:tcPr>
          <w:p w14:paraId="04A27A3D">
            <w:pPr>
              <w:widowControl/>
              <w:snapToGrid w:val="0"/>
              <w:contextualSpacing/>
              <w:jc w:val="center"/>
              <w:rPr>
                <w:rFonts w:hint="eastAsia" w:ascii="宋体" w:hAnsi="宋体" w:cs="宋体"/>
                <w:kern w:val="0"/>
                <w:sz w:val="24"/>
              </w:rPr>
            </w:pPr>
            <w:r>
              <w:rPr>
                <w:rFonts w:hint="eastAsia" w:ascii="宋体" w:hAnsi="宋体" w:cs="宋体"/>
                <w:kern w:val="0"/>
                <w:sz w:val="24"/>
              </w:rPr>
              <w:t>1000≤Y＜5000</w:t>
            </w:r>
          </w:p>
        </w:tc>
        <w:tc>
          <w:tcPr>
            <w:tcW w:w="1134" w:type="dxa"/>
            <w:tcBorders>
              <w:top w:val="nil"/>
              <w:left w:val="nil"/>
              <w:bottom w:val="single" w:color="auto" w:sz="4" w:space="0"/>
              <w:right w:val="single" w:color="auto" w:sz="4" w:space="0"/>
            </w:tcBorders>
            <w:noWrap w:val="0"/>
            <w:vAlign w:val="center"/>
          </w:tcPr>
          <w:p w14:paraId="27E3023E">
            <w:pPr>
              <w:widowControl/>
              <w:snapToGrid w:val="0"/>
              <w:contextualSpacing/>
              <w:jc w:val="center"/>
              <w:rPr>
                <w:rFonts w:hint="eastAsia" w:ascii="宋体" w:hAnsi="宋体" w:cs="宋体"/>
                <w:kern w:val="0"/>
                <w:sz w:val="24"/>
              </w:rPr>
            </w:pPr>
            <w:r>
              <w:rPr>
                <w:rFonts w:hint="eastAsia" w:ascii="宋体" w:hAnsi="宋体" w:cs="宋体"/>
                <w:kern w:val="0"/>
                <w:sz w:val="24"/>
              </w:rPr>
              <w:t>Y＜1000</w:t>
            </w:r>
          </w:p>
        </w:tc>
      </w:tr>
      <w:tr w14:paraId="5D3AB1D7">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0C288EC7">
            <w:pPr>
              <w:widowControl/>
              <w:snapToGrid w:val="0"/>
              <w:contextualSpacing/>
              <w:jc w:val="center"/>
              <w:rPr>
                <w:rFonts w:hint="eastAsia" w:ascii="宋体" w:hAnsi="宋体" w:cs="宋体"/>
                <w:b/>
                <w:bCs/>
                <w:kern w:val="0"/>
                <w:sz w:val="24"/>
              </w:rPr>
            </w:pPr>
            <w:r>
              <w:rPr>
                <w:rFonts w:hint="eastAsia" w:ascii="宋体" w:hAnsi="宋体" w:cs="宋体"/>
                <w:b/>
                <w:bCs/>
                <w:kern w:val="0"/>
                <w:sz w:val="24"/>
              </w:rPr>
              <w:t>零售业</w:t>
            </w:r>
          </w:p>
        </w:tc>
        <w:tc>
          <w:tcPr>
            <w:tcW w:w="1660" w:type="dxa"/>
            <w:tcBorders>
              <w:top w:val="nil"/>
              <w:left w:val="nil"/>
              <w:bottom w:val="single" w:color="auto" w:sz="4" w:space="0"/>
              <w:right w:val="single" w:color="auto" w:sz="4" w:space="0"/>
            </w:tcBorders>
            <w:noWrap w:val="0"/>
            <w:vAlign w:val="center"/>
          </w:tcPr>
          <w:p w14:paraId="00AEF7D3">
            <w:pPr>
              <w:widowControl/>
              <w:snapToGrid w:val="0"/>
              <w:contextualSpacing/>
              <w:jc w:val="center"/>
              <w:rPr>
                <w:rFonts w:hint="eastAsia" w:ascii="宋体" w:hAnsi="宋体" w:cs="宋体"/>
                <w:kern w:val="0"/>
                <w:sz w:val="24"/>
              </w:rPr>
            </w:pPr>
            <w:r>
              <w:rPr>
                <w:rFonts w:hint="eastAsia" w:ascii="宋体" w:hAnsi="宋体" w:cs="宋体"/>
                <w:kern w:val="0"/>
                <w:sz w:val="24"/>
              </w:rPr>
              <w:t>从业人员（X）</w:t>
            </w:r>
          </w:p>
        </w:tc>
        <w:tc>
          <w:tcPr>
            <w:tcW w:w="1466" w:type="dxa"/>
            <w:tcBorders>
              <w:top w:val="nil"/>
              <w:left w:val="nil"/>
              <w:bottom w:val="single" w:color="auto" w:sz="4" w:space="0"/>
              <w:right w:val="single" w:color="auto" w:sz="4" w:space="0"/>
            </w:tcBorders>
            <w:noWrap w:val="0"/>
            <w:vAlign w:val="center"/>
          </w:tcPr>
          <w:p w14:paraId="2FB91826">
            <w:pPr>
              <w:widowControl/>
              <w:snapToGrid w:val="0"/>
              <w:contextualSpacing/>
              <w:jc w:val="center"/>
              <w:rPr>
                <w:rFonts w:hint="eastAsia" w:ascii="宋体" w:hAnsi="宋体" w:cs="宋体"/>
                <w:kern w:val="0"/>
                <w:sz w:val="24"/>
              </w:rPr>
            </w:pPr>
            <w:r>
              <w:rPr>
                <w:rFonts w:hint="eastAsia" w:ascii="宋体" w:hAnsi="宋体" w:cs="宋体"/>
                <w:kern w:val="0"/>
                <w:sz w:val="24"/>
              </w:rPr>
              <w:t>人</w:t>
            </w:r>
          </w:p>
        </w:tc>
        <w:tc>
          <w:tcPr>
            <w:tcW w:w="1903" w:type="dxa"/>
            <w:tcBorders>
              <w:top w:val="nil"/>
              <w:left w:val="nil"/>
              <w:bottom w:val="single" w:color="auto" w:sz="4" w:space="0"/>
              <w:right w:val="single" w:color="auto" w:sz="4" w:space="0"/>
            </w:tcBorders>
            <w:noWrap w:val="0"/>
            <w:vAlign w:val="center"/>
          </w:tcPr>
          <w:p w14:paraId="394450A6">
            <w:pPr>
              <w:widowControl/>
              <w:snapToGrid w:val="0"/>
              <w:contextualSpacing/>
              <w:jc w:val="center"/>
              <w:rPr>
                <w:rFonts w:hint="eastAsia" w:ascii="宋体" w:hAnsi="宋体" w:cs="宋体"/>
                <w:kern w:val="0"/>
                <w:sz w:val="24"/>
              </w:rPr>
            </w:pPr>
            <w:r>
              <w:rPr>
                <w:rFonts w:hint="eastAsia" w:ascii="宋体" w:hAnsi="宋体" w:cs="宋体"/>
                <w:kern w:val="0"/>
                <w:sz w:val="24"/>
              </w:rPr>
              <w:t>50≤X＜300</w:t>
            </w:r>
          </w:p>
        </w:tc>
        <w:tc>
          <w:tcPr>
            <w:tcW w:w="1877" w:type="dxa"/>
            <w:tcBorders>
              <w:top w:val="nil"/>
              <w:left w:val="nil"/>
              <w:bottom w:val="single" w:color="auto" w:sz="4" w:space="0"/>
              <w:right w:val="single" w:color="auto" w:sz="4" w:space="0"/>
            </w:tcBorders>
            <w:noWrap w:val="0"/>
            <w:vAlign w:val="center"/>
          </w:tcPr>
          <w:p w14:paraId="02BEDECE">
            <w:pPr>
              <w:widowControl/>
              <w:snapToGrid w:val="0"/>
              <w:contextualSpacing/>
              <w:jc w:val="center"/>
              <w:rPr>
                <w:rFonts w:hint="eastAsia" w:ascii="宋体" w:hAnsi="宋体" w:cs="宋体"/>
                <w:kern w:val="0"/>
                <w:sz w:val="24"/>
              </w:rPr>
            </w:pPr>
            <w:r>
              <w:rPr>
                <w:rFonts w:hint="eastAsia" w:ascii="宋体" w:hAnsi="宋体" w:cs="宋体"/>
                <w:kern w:val="0"/>
                <w:sz w:val="24"/>
              </w:rPr>
              <w:t>10≤X＜50</w:t>
            </w:r>
          </w:p>
        </w:tc>
        <w:tc>
          <w:tcPr>
            <w:tcW w:w="1134" w:type="dxa"/>
            <w:tcBorders>
              <w:top w:val="nil"/>
              <w:left w:val="nil"/>
              <w:bottom w:val="single" w:color="auto" w:sz="4" w:space="0"/>
              <w:right w:val="single" w:color="auto" w:sz="4" w:space="0"/>
            </w:tcBorders>
            <w:noWrap w:val="0"/>
            <w:vAlign w:val="center"/>
          </w:tcPr>
          <w:p w14:paraId="03FC2142">
            <w:pPr>
              <w:widowControl/>
              <w:snapToGrid w:val="0"/>
              <w:contextualSpacing/>
              <w:jc w:val="center"/>
              <w:rPr>
                <w:rFonts w:hint="eastAsia" w:ascii="宋体" w:hAnsi="宋体" w:cs="宋体"/>
                <w:kern w:val="0"/>
                <w:sz w:val="24"/>
              </w:rPr>
            </w:pPr>
            <w:r>
              <w:rPr>
                <w:rFonts w:hint="eastAsia" w:ascii="宋体" w:hAnsi="宋体" w:cs="宋体"/>
                <w:kern w:val="0"/>
                <w:sz w:val="24"/>
              </w:rPr>
              <w:t>X＜10</w:t>
            </w:r>
          </w:p>
        </w:tc>
      </w:tr>
      <w:tr w14:paraId="4192A741">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2C6E4F31">
            <w:pPr>
              <w:widowControl/>
              <w:snapToGrid w:val="0"/>
              <w:contextualSpacing/>
              <w:jc w:val="center"/>
              <w:rPr>
                <w:rFonts w:hint="eastAsia" w:ascii="宋体" w:hAnsi="宋体" w:cs="宋体"/>
                <w:b/>
                <w:bCs/>
                <w:kern w:val="0"/>
                <w:sz w:val="24"/>
              </w:rPr>
            </w:pPr>
          </w:p>
        </w:tc>
        <w:tc>
          <w:tcPr>
            <w:tcW w:w="1660" w:type="dxa"/>
            <w:tcBorders>
              <w:top w:val="nil"/>
              <w:left w:val="nil"/>
              <w:bottom w:val="single" w:color="auto" w:sz="4" w:space="0"/>
              <w:right w:val="single" w:color="auto" w:sz="4" w:space="0"/>
            </w:tcBorders>
            <w:noWrap w:val="0"/>
            <w:vAlign w:val="center"/>
          </w:tcPr>
          <w:p w14:paraId="13587234">
            <w:pPr>
              <w:widowControl/>
              <w:snapToGrid w:val="0"/>
              <w:contextualSpacing/>
              <w:jc w:val="center"/>
              <w:rPr>
                <w:rFonts w:hint="eastAsia" w:ascii="宋体" w:hAnsi="宋体" w:cs="宋体"/>
                <w:kern w:val="0"/>
                <w:sz w:val="24"/>
              </w:rPr>
            </w:pPr>
            <w:r>
              <w:rPr>
                <w:rFonts w:hint="eastAsia" w:ascii="宋体" w:hAnsi="宋体" w:cs="宋体"/>
                <w:kern w:val="0"/>
                <w:sz w:val="24"/>
              </w:rPr>
              <w:t>营业收入（Y）</w:t>
            </w:r>
          </w:p>
        </w:tc>
        <w:tc>
          <w:tcPr>
            <w:tcW w:w="1466" w:type="dxa"/>
            <w:tcBorders>
              <w:top w:val="nil"/>
              <w:left w:val="nil"/>
              <w:bottom w:val="single" w:color="auto" w:sz="4" w:space="0"/>
              <w:right w:val="single" w:color="auto" w:sz="4" w:space="0"/>
            </w:tcBorders>
            <w:noWrap w:val="0"/>
            <w:vAlign w:val="center"/>
          </w:tcPr>
          <w:p w14:paraId="55AE6EFC">
            <w:pPr>
              <w:widowControl/>
              <w:snapToGrid w:val="0"/>
              <w:contextualSpacing/>
              <w:jc w:val="center"/>
              <w:rPr>
                <w:rFonts w:hint="eastAsia" w:ascii="宋体" w:hAnsi="宋体" w:cs="宋体"/>
                <w:kern w:val="0"/>
                <w:sz w:val="24"/>
              </w:rPr>
            </w:pPr>
            <w:r>
              <w:rPr>
                <w:rFonts w:hint="eastAsia" w:ascii="宋体" w:hAnsi="宋体" w:cs="宋体"/>
                <w:kern w:val="0"/>
                <w:sz w:val="24"/>
              </w:rPr>
              <w:t>万元</w:t>
            </w:r>
          </w:p>
        </w:tc>
        <w:tc>
          <w:tcPr>
            <w:tcW w:w="1903" w:type="dxa"/>
            <w:tcBorders>
              <w:top w:val="nil"/>
              <w:left w:val="nil"/>
              <w:bottom w:val="single" w:color="auto" w:sz="4" w:space="0"/>
              <w:right w:val="single" w:color="auto" w:sz="4" w:space="0"/>
            </w:tcBorders>
            <w:noWrap w:val="0"/>
            <w:vAlign w:val="center"/>
          </w:tcPr>
          <w:p w14:paraId="1A9C03C1">
            <w:pPr>
              <w:widowControl/>
              <w:snapToGrid w:val="0"/>
              <w:contextualSpacing/>
              <w:jc w:val="center"/>
              <w:rPr>
                <w:rFonts w:hint="eastAsia" w:ascii="宋体" w:hAnsi="宋体" w:cs="宋体"/>
                <w:kern w:val="0"/>
                <w:sz w:val="24"/>
              </w:rPr>
            </w:pPr>
            <w:r>
              <w:rPr>
                <w:rFonts w:hint="eastAsia" w:ascii="宋体" w:hAnsi="宋体" w:cs="宋体"/>
                <w:kern w:val="0"/>
                <w:sz w:val="24"/>
              </w:rPr>
              <w:t>500≤Y＜20000</w:t>
            </w:r>
          </w:p>
        </w:tc>
        <w:tc>
          <w:tcPr>
            <w:tcW w:w="1877" w:type="dxa"/>
            <w:tcBorders>
              <w:top w:val="nil"/>
              <w:left w:val="nil"/>
              <w:bottom w:val="single" w:color="auto" w:sz="4" w:space="0"/>
              <w:right w:val="single" w:color="auto" w:sz="4" w:space="0"/>
            </w:tcBorders>
            <w:noWrap w:val="0"/>
            <w:vAlign w:val="center"/>
          </w:tcPr>
          <w:p w14:paraId="094442A9">
            <w:pPr>
              <w:widowControl/>
              <w:snapToGrid w:val="0"/>
              <w:contextualSpacing/>
              <w:jc w:val="center"/>
              <w:rPr>
                <w:rFonts w:hint="eastAsia" w:ascii="宋体" w:hAnsi="宋体" w:cs="宋体"/>
                <w:kern w:val="0"/>
                <w:sz w:val="24"/>
              </w:rPr>
            </w:pPr>
            <w:r>
              <w:rPr>
                <w:rFonts w:hint="eastAsia" w:ascii="宋体" w:hAnsi="宋体" w:cs="宋体"/>
                <w:kern w:val="0"/>
                <w:sz w:val="24"/>
              </w:rPr>
              <w:t>100≤Y＜500</w:t>
            </w:r>
          </w:p>
        </w:tc>
        <w:tc>
          <w:tcPr>
            <w:tcW w:w="1134" w:type="dxa"/>
            <w:tcBorders>
              <w:top w:val="nil"/>
              <w:left w:val="nil"/>
              <w:bottom w:val="single" w:color="auto" w:sz="4" w:space="0"/>
              <w:right w:val="single" w:color="auto" w:sz="4" w:space="0"/>
            </w:tcBorders>
            <w:noWrap w:val="0"/>
            <w:vAlign w:val="center"/>
          </w:tcPr>
          <w:p w14:paraId="7EA61336">
            <w:pPr>
              <w:widowControl/>
              <w:snapToGrid w:val="0"/>
              <w:contextualSpacing/>
              <w:jc w:val="center"/>
              <w:rPr>
                <w:rFonts w:hint="eastAsia" w:ascii="宋体" w:hAnsi="宋体" w:cs="宋体"/>
                <w:kern w:val="0"/>
                <w:sz w:val="24"/>
              </w:rPr>
            </w:pPr>
            <w:r>
              <w:rPr>
                <w:rFonts w:hint="eastAsia" w:ascii="宋体" w:hAnsi="宋体" w:cs="宋体"/>
                <w:kern w:val="0"/>
                <w:sz w:val="24"/>
              </w:rPr>
              <w:t>Y＜100</w:t>
            </w:r>
          </w:p>
        </w:tc>
      </w:tr>
      <w:tr w14:paraId="64C38B93">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2F9A5801">
            <w:pPr>
              <w:widowControl/>
              <w:snapToGrid w:val="0"/>
              <w:contextualSpacing/>
              <w:jc w:val="center"/>
              <w:rPr>
                <w:rFonts w:hint="eastAsia" w:ascii="宋体" w:hAnsi="宋体" w:cs="宋体"/>
                <w:b/>
                <w:bCs/>
                <w:kern w:val="0"/>
                <w:sz w:val="24"/>
              </w:rPr>
            </w:pPr>
            <w:r>
              <w:rPr>
                <w:rFonts w:hint="eastAsia" w:ascii="宋体" w:hAnsi="宋体" w:cs="宋体"/>
                <w:b/>
                <w:bCs/>
                <w:kern w:val="0"/>
                <w:sz w:val="24"/>
              </w:rPr>
              <w:t>交通运输业</w:t>
            </w:r>
          </w:p>
        </w:tc>
        <w:tc>
          <w:tcPr>
            <w:tcW w:w="1660" w:type="dxa"/>
            <w:tcBorders>
              <w:top w:val="nil"/>
              <w:left w:val="nil"/>
              <w:bottom w:val="single" w:color="auto" w:sz="4" w:space="0"/>
              <w:right w:val="single" w:color="auto" w:sz="4" w:space="0"/>
            </w:tcBorders>
            <w:noWrap w:val="0"/>
            <w:vAlign w:val="center"/>
          </w:tcPr>
          <w:p w14:paraId="7786A838">
            <w:pPr>
              <w:widowControl/>
              <w:snapToGrid w:val="0"/>
              <w:contextualSpacing/>
              <w:jc w:val="center"/>
              <w:rPr>
                <w:rFonts w:hint="eastAsia" w:ascii="宋体" w:hAnsi="宋体" w:cs="宋体"/>
                <w:kern w:val="0"/>
                <w:sz w:val="24"/>
              </w:rPr>
            </w:pPr>
            <w:r>
              <w:rPr>
                <w:rFonts w:hint="eastAsia" w:ascii="宋体" w:hAnsi="宋体" w:cs="宋体"/>
                <w:kern w:val="0"/>
                <w:sz w:val="24"/>
              </w:rPr>
              <w:t>从业人员（X）</w:t>
            </w:r>
          </w:p>
        </w:tc>
        <w:tc>
          <w:tcPr>
            <w:tcW w:w="1466" w:type="dxa"/>
            <w:tcBorders>
              <w:top w:val="nil"/>
              <w:left w:val="nil"/>
              <w:bottom w:val="single" w:color="auto" w:sz="4" w:space="0"/>
              <w:right w:val="single" w:color="auto" w:sz="4" w:space="0"/>
            </w:tcBorders>
            <w:noWrap w:val="0"/>
            <w:vAlign w:val="center"/>
          </w:tcPr>
          <w:p w14:paraId="0ECABBB6">
            <w:pPr>
              <w:widowControl/>
              <w:snapToGrid w:val="0"/>
              <w:contextualSpacing/>
              <w:jc w:val="center"/>
              <w:rPr>
                <w:rFonts w:hint="eastAsia" w:ascii="宋体" w:hAnsi="宋体" w:cs="宋体"/>
                <w:kern w:val="0"/>
                <w:sz w:val="24"/>
              </w:rPr>
            </w:pPr>
            <w:r>
              <w:rPr>
                <w:rFonts w:hint="eastAsia" w:ascii="宋体" w:hAnsi="宋体" w:cs="宋体"/>
                <w:kern w:val="0"/>
                <w:sz w:val="24"/>
              </w:rPr>
              <w:t>人</w:t>
            </w:r>
          </w:p>
        </w:tc>
        <w:tc>
          <w:tcPr>
            <w:tcW w:w="1903" w:type="dxa"/>
            <w:tcBorders>
              <w:top w:val="nil"/>
              <w:left w:val="nil"/>
              <w:bottom w:val="single" w:color="auto" w:sz="4" w:space="0"/>
              <w:right w:val="single" w:color="auto" w:sz="4" w:space="0"/>
            </w:tcBorders>
            <w:noWrap w:val="0"/>
            <w:vAlign w:val="center"/>
          </w:tcPr>
          <w:p w14:paraId="307179D9">
            <w:pPr>
              <w:widowControl/>
              <w:snapToGrid w:val="0"/>
              <w:contextualSpacing/>
              <w:jc w:val="center"/>
              <w:rPr>
                <w:rFonts w:hint="eastAsia" w:ascii="宋体" w:hAnsi="宋体" w:cs="宋体"/>
                <w:kern w:val="0"/>
                <w:sz w:val="24"/>
              </w:rPr>
            </w:pPr>
            <w:r>
              <w:rPr>
                <w:rFonts w:hint="eastAsia" w:ascii="宋体" w:hAnsi="宋体" w:cs="宋体"/>
                <w:kern w:val="0"/>
                <w:sz w:val="24"/>
              </w:rPr>
              <w:t>300≤X＜1000</w:t>
            </w:r>
          </w:p>
        </w:tc>
        <w:tc>
          <w:tcPr>
            <w:tcW w:w="1877" w:type="dxa"/>
            <w:tcBorders>
              <w:top w:val="nil"/>
              <w:left w:val="nil"/>
              <w:bottom w:val="single" w:color="auto" w:sz="4" w:space="0"/>
              <w:right w:val="single" w:color="auto" w:sz="4" w:space="0"/>
            </w:tcBorders>
            <w:noWrap w:val="0"/>
            <w:vAlign w:val="center"/>
          </w:tcPr>
          <w:p w14:paraId="714DC04E">
            <w:pPr>
              <w:widowControl/>
              <w:snapToGrid w:val="0"/>
              <w:contextualSpacing/>
              <w:jc w:val="center"/>
              <w:rPr>
                <w:rFonts w:hint="eastAsia" w:ascii="宋体" w:hAnsi="宋体" w:cs="宋体"/>
                <w:kern w:val="0"/>
                <w:sz w:val="24"/>
              </w:rPr>
            </w:pPr>
            <w:r>
              <w:rPr>
                <w:rFonts w:hint="eastAsia" w:ascii="宋体" w:hAnsi="宋体" w:cs="宋体"/>
                <w:kern w:val="0"/>
                <w:sz w:val="24"/>
              </w:rPr>
              <w:t>20≤X＜300</w:t>
            </w:r>
          </w:p>
        </w:tc>
        <w:tc>
          <w:tcPr>
            <w:tcW w:w="1134" w:type="dxa"/>
            <w:tcBorders>
              <w:top w:val="nil"/>
              <w:left w:val="nil"/>
              <w:bottom w:val="single" w:color="auto" w:sz="4" w:space="0"/>
              <w:right w:val="single" w:color="auto" w:sz="4" w:space="0"/>
            </w:tcBorders>
            <w:noWrap w:val="0"/>
            <w:vAlign w:val="center"/>
          </w:tcPr>
          <w:p w14:paraId="0A98503F">
            <w:pPr>
              <w:widowControl/>
              <w:snapToGrid w:val="0"/>
              <w:contextualSpacing/>
              <w:jc w:val="center"/>
              <w:rPr>
                <w:rFonts w:hint="eastAsia" w:ascii="宋体" w:hAnsi="宋体" w:cs="宋体"/>
                <w:kern w:val="0"/>
                <w:sz w:val="24"/>
              </w:rPr>
            </w:pPr>
            <w:r>
              <w:rPr>
                <w:rFonts w:hint="eastAsia" w:ascii="宋体" w:hAnsi="宋体" w:cs="宋体"/>
                <w:kern w:val="0"/>
                <w:sz w:val="24"/>
              </w:rPr>
              <w:t>X＜20</w:t>
            </w:r>
          </w:p>
        </w:tc>
      </w:tr>
      <w:tr w14:paraId="106729AC">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53C5FAA6">
            <w:pPr>
              <w:widowControl/>
              <w:snapToGrid w:val="0"/>
              <w:contextualSpacing/>
              <w:jc w:val="center"/>
              <w:rPr>
                <w:rFonts w:hint="eastAsia" w:ascii="宋体" w:hAnsi="宋体" w:cs="宋体"/>
                <w:b/>
                <w:bCs/>
                <w:kern w:val="0"/>
                <w:sz w:val="24"/>
              </w:rPr>
            </w:pPr>
          </w:p>
        </w:tc>
        <w:tc>
          <w:tcPr>
            <w:tcW w:w="1660" w:type="dxa"/>
            <w:tcBorders>
              <w:top w:val="nil"/>
              <w:left w:val="nil"/>
              <w:bottom w:val="single" w:color="auto" w:sz="4" w:space="0"/>
              <w:right w:val="single" w:color="auto" w:sz="4" w:space="0"/>
            </w:tcBorders>
            <w:noWrap w:val="0"/>
            <w:vAlign w:val="center"/>
          </w:tcPr>
          <w:p w14:paraId="32028929">
            <w:pPr>
              <w:widowControl/>
              <w:snapToGrid w:val="0"/>
              <w:contextualSpacing/>
              <w:jc w:val="center"/>
              <w:rPr>
                <w:rFonts w:hint="eastAsia" w:ascii="宋体" w:hAnsi="宋体" w:cs="宋体"/>
                <w:kern w:val="0"/>
                <w:sz w:val="24"/>
              </w:rPr>
            </w:pPr>
            <w:r>
              <w:rPr>
                <w:rFonts w:hint="eastAsia" w:ascii="宋体" w:hAnsi="宋体" w:cs="宋体"/>
                <w:kern w:val="0"/>
                <w:sz w:val="24"/>
              </w:rPr>
              <w:t>营业收入（Y）</w:t>
            </w:r>
          </w:p>
        </w:tc>
        <w:tc>
          <w:tcPr>
            <w:tcW w:w="1466" w:type="dxa"/>
            <w:tcBorders>
              <w:top w:val="nil"/>
              <w:left w:val="nil"/>
              <w:bottom w:val="single" w:color="auto" w:sz="4" w:space="0"/>
              <w:right w:val="single" w:color="auto" w:sz="4" w:space="0"/>
            </w:tcBorders>
            <w:noWrap w:val="0"/>
            <w:vAlign w:val="center"/>
          </w:tcPr>
          <w:p w14:paraId="0950970F">
            <w:pPr>
              <w:widowControl/>
              <w:snapToGrid w:val="0"/>
              <w:contextualSpacing/>
              <w:jc w:val="center"/>
              <w:rPr>
                <w:rFonts w:hint="eastAsia" w:ascii="宋体" w:hAnsi="宋体" w:cs="宋体"/>
                <w:kern w:val="0"/>
                <w:sz w:val="24"/>
              </w:rPr>
            </w:pPr>
            <w:r>
              <w:rPr>
                <w:rFonts w:hint="eastAsia" w:ascii="宋体" w:hAnsi="宋体" w:cs="宋体"/>
                <w:kern w:val="0"/>
                <w:sz w:val="24"/>
              </w:rPr>
              <w:t>万元</w:t>
            </w:r>
          </w:p>
        </w:tc>
        <w:tc>
          <w:tcPr>
            <w:tcW w:w="1903" w:type="dxa"/>
            <w:tcBorders>
              <w:top w:val="nil"/>
              <w:left w:val="nil"/>
              <w:bottom w:val="single" w:color="auto" w:sz="4" w:space="0"/>
              <w:right w:val="single" w:color="auto" w:sz="4" w:space="0"/>
            </w:tcBorders>
            <w:noWrap w:val="0"/>
            <w:vAlign w:val="center"/>
          </w:tcPr>
          <w:p w14:paraId="75A3EA94">
            <w:pPr>
              <w:widowControl/>
              <w:snapToGrid w:val="0"/>
              <w:contextualSpacing/>
              <w:jc w:val="center"/>
              <w:rPr>
                <w:rFonts w:hint="eastAsia" w:ascii="宋体" w:hAnsi="宋体" w:cs="宋体"/>
                <w:kern w:val="0"/>
                <w:sz w:val="24"/>
              </w:rPr>
            </w:pPr>
            <w:r>
              <w:rPr>
                <w:rFonts w:hint="eastAsia" w:ascii="宋体" w:hAnsi="宋体" w:cs="宋体"/>
                <w:kern w:val="0"/>
                <w:sz w:val="24"/>
              </w:rPr>
              <w:t>3000≤Y＜30000</w:t>
            </w:r>
          </w:p>
        </w:tc>
        <w:tc>
          <w:tcPr>
            <w:tcW w:w="1877" w:type="dxa"/>
            <w:tcBorders>
              <w:top w:val="nil"/>
              <w:left w:val="nil"/>
              <w:bottom w:val="single" w:color="auto" w:sz="4" w:space="0"/>
              <w:right w:val="single" w:color="auto" w:sz="4" w:space="0"/>
            </w:tcBorders>
            <w:noWrap w:val="0"/>
            <w:vAlign w:val="center"/>
          </w:tcPr>
          <w:p w14:paraId="5886F2B2">
            <w:pPr>
              <w:widowControl/>
              <w:snapToGrid w:val="0"/>
              <w:contextualSpacing/>
              <w:jc w:val="center"/>
              <w:rPr>
                <w:rFonts w:hint="eastAsia" w:ascii="宋体" w:hAnsi="宋体" w:cs="宋体"/>
                <w:kern w:val="0"/>
                <w:sz w:val="24"/>
              </w:rPr>
            </w:pPr>
            <w:r>
              <w:rPr>
                <w:rFonts w:hint="eastAsia" w:ascii="宋体" w:hAnsi="宋体" w:cs="宋体"/>
                <w:kern w:val="0"/>
                <w:sz w:val="24"/>
              </w:rPr>
              <w:t>200≤Y＜3000</w:t>
            </w:r>
          </w:p>
        </w:tc>
        <w:tc>
          <w:tcPr>
            <w:tcW w:w="1134" w:type="dxa"/>
            <w:tcBorders>
              <w:top w:val="nil"/>
              <w:left w:val="nil"/>
              <w:bottom w:val="single" w:color="auto" w:sz="4" w:space="0"/>
              <w:right w:val="single" w:color="auto" w:sz="4" w:space="0"/>
            </w:tcBorders>
            <w:noWrap w:val="0"/>
            <w:vAlign w:val="center"/>
          </w:tcPr>
          <w:p w14:paraId="0328AC91">
            <w:pPr>
              <w:widowControl/>
              <w:snapToGrid w:val="0"/>
              <w:contextualSpacing/>
              <w:jc w:val="center"/>
              <w:rPr>
                <w:rFonts w:hint="eastAsia" w:ascii="宋体" w:hAnsi="宋体" w:cs="宋体"/>
                <w:kern w:val="0"/>
                <w:sz w:val="24"/>
              </w:rPr>
            </w:pPr>
            <w:r>
              <w:rPr>
                <w:rFonts w:hint="eastAsia" w:ascii="宋体" w:hAnsi="宋体" w:cs="宋体"/>
                <w:kern w:val="0"/>
                <w:sz w:val="24"/>
              </w:rPr>
              <w:t>Y＜200</w:t>
            </w:r>
          </w:p>
        </w:tc>
      </w:tr>
      <w:tr w14:paraId="1B7B3BA9">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3655E84D">
            <w:pPr>
              <w:widowControl/>
              <w:snapToGrid w:val="0"/>
              <w:contextualSpacing/>
              <w:jc w:val="center"/>
              <w:rPr>
                <w:rFonts w:hint="eastAsia" w:ascii="宋体" w:hAnsi="宋体" w:cs="宋体"/>
                <w:b/>
                <w:bCs/>
                <w:kern w:val="0"/>
                <w:sz w:val="24"/>
              </w:rPr>
            </w:pPr>
            <w:r>
              <w:rPr>
                <w:rFonts w:hint="eastAsia" w:ascii="宋体" w:hAnsi="宋体" w:cs="宋体"/>
                <w:b/>
                <w:bCs/>
                <w:kern w:val="0"/>
                <w:sz w:val="24"/>
              </w:rPr>
              <w:t>仓储业</w:t>
            </w:r>
          </w:p>
        </w:tc>
        <w:tc>
          <w:tcPr>
            <w:tcW w:w="1660" w:type="dxa"/>
            <w:tcBorders>
              <w:top w:val="nil"/>
              <w:left w:val="nil"/>
              <w:bottom w:val="single" w:color="auto" w:sz="4" w:space="0"/>
              <w:right w:val="single" w:color="auto" w:sz="4" w:space="0"/>
            </w:tcBorders>
            <w:noWrap w:val="0"/>
            <w:vAlign w:val="center"/>
          </w:tcPr>
          <w:p w14:paraId="7DC3354A">
            <w:pPr>
              <w:widowControl/>
              <w:snapToGrid w:val="0"/>
              <w:contextualSpacing/>
              <w:jc w:val="center"/>
              <w:rPr>
                <w:rFonts w:hint="eastAsia" w:ascii="宋体" w:hAnsi="宋体" w:cs="宋体"/>
                <w:kern w:val="0"/>
                <w:sz w:val="24"/>
              </w:rPr>
            </w:pPr>
            <w:r>
              <w:rPr>
                <w:rFonts w:hint="eastAsia" w:ascii="宋体" w:hAnsi="宋体" w:cs="宋体"/>
                <w:kern w:val="0"/>
                <w:sz w:val="24"/>
              </w:rPr>
              <w:t>从业人员（X）</w:t>
            </w:r>
          </w:p>
        </w:tc>
        <w:tc>
          <w:tcPr>
            <w:tcW w:w="1466" w:type="dxa"/>
            <w:tcBorders>
              <w:top w:val="nil"/>
              <w:left w:val="nil"/>
              <w:bottom w:val="single" w:color="auto" w:sz="4" w:space="0"/>
              <w:right w:val="single" w:color="auto" w:sz="4" w:space="0"/>
            </w:tcBorders>
            <w:noWrap w:val="0"/>
            <w:vAlign w:val="center"/>
          </w:tcPr>
          <w:p w14:paraId="70167DBB">
            <w:pPr>
              <w:widowControl/>
              <w:snapToGrid w:val="0"/>
              <w:contextualSpacing/>
              <w:jc w:val="center"/>
              <w:rPr>
                <w:rFonts w:hint="eastAsia" w:ascii="宋体" w:hAnsi="宋体" w:cs="宋体"/>
                <w:kern w:val="0"/>
                <w:sz w:val="24"/>
              </w:rPr>
            </w:pPr>
            <w:r>
              <w:rPr>
                <w:rFonts w:hint="eastAsia" w:ascii="宋体" w:hAnsi="宋体" w:cs="宋体"/>
                <w:kern w:val="0"/>
                <w:sz w:val="24"/>
              </w:rPr>
              <w:t>人</w:t>
            </w:r>
          </w:p>
        </w:tc>
        <w:tc>
          <w:tcPr>
            <w:tcW w:w="1903" w:type="dxa"/>
            <w:tcBorders>
              <w:top w:val="nil"/>
              <w:left w:val="nil"/>
              <w:bottom w:val="single" w:color="auto" w:sz="4" w:space="0"/>
              <w:right w:val="single" w:color="auto" w:sz="4" w:space="0"/>
            </w:tcBorders>
            <w:noWrap w:val="0"/>
            <w:vAlign w:val="center"/>
          </w:tcPr>
          <w:p w14:paraId="21654E82">
            <w:pPr>
              <w:widowControl/>
              <w:snapToGrid w:val="0"/>
              <w:contextualSpacing/>
              <w:jc w:val="center"/>
              <w:rPr>
                <w:rFonts w:hint="eastAsia" w:ascii="宋体" w:hAnsi="宋体" w:cs="宋体"/>
                <w:kern w:val="0"/>
                <w:sz w:val="24"/>
              </w:rPr>
            </w:pPr>
            <w:r>
              <w:rPr>
                <w:rFonts w:hint="eastAsia" w:ascii="宋体" w:hAnsi="宋体" w:cs="宋体"/>
                <w:kern w:val="0"/>
                <w:sz w:val="24"/>
              </w:rPr>
              <w:t>100≤X＜200</w:t>
            </w:r>
          </w:p>
        </w:tc>
        <w:tc>
          <w:tcPr>
            <w:tcW w:w="1877" w:type="dxa"/>
            <w:tcBorders>
              <w:top w:val="nil"/>
              <w:left w:val="nil"/>
              <w:bottom w:val="single" w:color="auto" w:sz="4" w:space="0"/>
              <w:right w:val="single" w:color="auto" w:sz="4" w:space="0"/>
            </w:tcBorders>
            <w:noWrap w:val="0"/>
            <w:vAlign w:val="center"/>
          </w:tcPr>
          <w:p w14:paraId="4A6E4A95">
            <w:pPr>
              <w:widowControl/>
              <w:snapToGrid w:val="0"/>
              <w:contextualSpacing/>
              <w:jc w:val="center"/>
              <w:rPr>
                <w:rFonts w:hint="eastAsia" w:ascii="宋体" w:hAnsi="宋体" w:cs="宋体"/>
                <w:kern w:val="0"/>
                <w:sz w:val="24"/>
              </w:rPr>
            </w:pPr>
            <w:r>
              <w:rPr>
                <w:rFonts w:hint="eastAsia" w:ascii="宋体" w:hAnsi="宋体" w:cs="宋体"/>
                <w:kern w:val="0"/>
                <w:sz w:val="24"/>
              </w:rPr>
              <w:t>20≤X＜100</w:t>
            </w:r>
          </w:p>
        </w:tc>
        <w:tc>
          <w:tcPr>
            <w:tcW w:w="1134" w:type="dxa"/>
            <w:tcBorders>
              <w:top w:val="nil"/>
              <w:left w:val="nil"/>
              <w:bottom w:val="single" w:color="auto" w:sz="4" w:space="0"/>
              <w:right w:val="single" w:color="auto" w:sz="4" w:space="0"/>
            </w:tcBorders>
            <w:noWrap w:val="0"/>
            <w:vAlign w:val="center"/>
          </w:tcPr>
          <w:p w14:paraId="73BC4382">
            <w:pPr>
              <w:widowControl/>
              <w:snapToGrid w:val="0"/>
              <w:contextualSpacing/>
              <w:jc w:val="center"/>
              <w:rPr>
                <w:rFonts w:hint="eastAsia" w:ascii="宋体" w:hAnsi="宋体" w:cs="宋体"/>
                <w:kern w:val="0"/>
                <w:sz w:val="24"/>
              </w:rPr>
            </w:pPr>
            <w:r>
              <w:rPr>
                <w:rFonts w:hint="eastAsia" w:ascii="宋体" w:hAnsi="宋体" w:cs="宋体"/>
                <w:kern w:val="0"/>
                <w:sz w:val="24"/>
              </w:rPr>
              <w:t>X＜20</w:t>
            </w:r>
          </w:p>
        </w:tc>
      </w:tr>
      <w:tr w14:paraId="4328BB4C">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3AF7A40E">
            <w:pPr>
              <w:widowControl/>
              <w:snapToGrid w:val="0"/>
              <w:contextualSpacing/>
              <w:jc w:val="center"/>
              <w:rPr>
                <w:rFonts w:hint="eastAsia" w:ascii="宋体" w:hAnsi="宋体" w:cs="宋体"/>
                <w:b/>
                <w:bCs/>
                <w:kern w:val="0"/>
                <w:sz w:val="24"/>
              </w:rPr>
            </w:pPr>
          </w:p>
        </w:tc>
        <w:tc>
          <w:tcPr>
            <w:tcW w:w="1660" w:type="dxa"/>
            <w:tcBorders>
              <w:top w:val="nil"/>
              <w:left w:val="nil"/>
              <w:bottom w:val="single" w:color="auto" w:sz="4" w:space="0"/>
              <w:right w:val="single" w:color="auto" w:sz="4" w:space="0"/>
            </w:tcBorders>
            <w:noWrap w:val="0"/>
            <w:vAlign w:val="center"/>
          </w:tcPr>
          <w:p w14:paraId="5D9B7903">
            <w:pPr>
              <w:widowControl/>
              <w:snapToGrid w:val="0"/>
              <w:contextualSpacing/>
              <w:jc w:val="center"/>
              <w:rPr>
                <w:rFonts w:hint="eastAsia" w:ascii="宋体" w:hAnsi="宋体" w:cs="宋体"/>
                <w:kern w:val="0"/>
                <w:sz w:val="24"/>
              </w:rPr>
            </w:pPr>
            <w:r>
              <w:rPr>
                <w:rFonts w:hint="eastAsia" w:ascii="宋体" w:hAnsi="宋体" w:cs="宋体"/>
                <w:kern w:val="0"/>
                <w:sz w:val="24"/>
              </w:rPr>
              <w:t>营业收入（Y）</w:t>
            </w:r>
          </w:p>
        </w:tc>
        <w:tc>
          <w:tcPr>
            <w:tcW w:w="1466" w:type="dxa"/>
            <w:tcBorders>
              <w:top w:val="nil"/>
              <w:left w:val="nil"/>
              <w:bottom w:val="single" w:color="auto" w:sz="4" w:space="0"/>
              <w:right w:val="single" w:color="auto" w:sz="4" w:space="0"/>
            </w:tcBorders>
            <w:noWrap w:val="0"/>
            <w:vAlign w:val="center"/>
          </w:tcPr>
          <w:p w14:paraId="1FEF8E03">
            <w:pPr>
              <w:widowControl/>
              <w:snapToGrid w:val="0"/>
              <w:contextualSpacing/>
              <w:jc w:val="center"/>
              <w:rPr>
                <w:rFonts w:hint="eastAsia" w:ascii="宋体" w:hAnsi="宋体" w:cs="宋体"/>
                <w:kern w:val="0"/>
                <w:sz w:val="24"/>
              </w:rPr>
            </w:pPr>
            <w:r>
              <w:rPr>
                <w:rFonts w:hint="eastAsia" w:ascii="宋体" w:hAnsi="宋体" w:cs="宋体"/>
                <w:kern w:val="0"/>
                <w:sz w:val="24"/>
              </w:rPr>
              <w:t>万元</w:t>
            </w:r>
          </w:p>
        </w:tc>
        <w:tc>
          <w:tcPr>
            <w:tcW w:w="1903" w:type="dxa"/>
            <w:tcBorders>
              <w:top w:val="nil"/>
              <w:left w:val="nil"/>
              <w:bottom w:val="single" w:color="auto" w:sz="4" w:space="0"/>
              <w:right w:val="single" w:color="auto" w:sz="4" w:space="0"/>
            </w:tcBorders>
            <w:noWrap w:val="0"/>
            <w:vAlign w:val="center"/>
          </w:tcPr>
          <w:p w14:paraId="68B47F1A">
            <w:pPr>
              <w:widowControl/>
              <w:snapToGrid w:val="0"/>
              <w:contextualSpacing/>
              <w:jc w:val="center"/>
              <w:rPr>
                <w:rFonts w:hint="eastAsia" w:ascii="宋体" w:hAnsi="宋体" w:cs="宋体"/>
                <w:kern w:val="0"/>
                <w:sz w:val="24"/>
              </w:rPr>
            </w:pPr>
            <w:r>
              <w:rPr>
                <w:rFonts w:hint="eastAsia" w:ascii="宋体" w:hAnsi="宋体" w:cs="宋体"/>
                <w:kern w:val="0"/>
                <w:sz w:val="24"/>
              </w:rPr>
              <w:t>1000≤Y＜30000</w:t>
            </w:r>
          </w:p>
        </w:tc>
        <w:tc>
          <w:tcPr>
            <w:tcW w:w="1877" w:type="dxa"/>
            <w:tcBorders>
              <w:top w:val="nil"/>
              <w:left w:val="nil"/>
              <w:bottom w:val="single" w:color="auto" w:sz="4" w:space="0"/>
              <w:right w:val="single" w:color="auto" w:sz="4" w:space="0"/>
            </w:tcBorders>
            <w:noWrap w:val="0"/>
            <w:vAlign w:val="center"/>
          </w:tcPr>
          <w:p w14:paraId="299601F7">
            <w:pPr>
              <w:widowControl/>
              <w:snapToGrid w:val="0"/>
              <w:contextualSpacing/>
              <w:jc w:val="center"/>
              <w:rPr>
                <w:rFonts w:hint="eastAsia" w:ascii="宋体" w:hAnsi="宋体" w:cs="宋体"/>
                <w:kern w:val="0"/>
                <w:sz w:val="24"/>
              </w:rPr>
            </w:pPr>
            <w:r>
              <w:rPr>
                <w:rFonts w:hint="eastAsia" w:ascii="宋体" w:hAnsi="宋体" w:cs="宋体"/>
                <w:kern w:val="0"/>
                <w:sz w:val="24"/>
              </w:rPr>
              <w:t>100≤Y＜1000</w:t>
            </w:r>
          </w:p>
        </w:tc>
        <w:tc>
          <w:tcPr>
            <w:tcW w:w="1134" w:type="dxa"/>
            <w:tcBorders>
              <w:top w:val="nil"/>
              <w:left w:val="nil"/>
              <w:bottom w:val="single" w:color="auto" w:sz="4" w:space="0"/>
              <w:right w:val="single" w:color="auto" w:sz="4" w:space="0"/>
            </w:tcBorders>
            <w:noWrap w:val="0"/>
            <w:vAlign w:val="center"/>
          </w:tcPr>
          <w:p w14:paraId="136D05BA">
            <w:pPr>
              <w:widowControl/>
              <w:snapToGrid w:val="0"/>
              <w:contextualSpacing/>
              <w:jc w:val="center"/>
              <w:rPr>
                <w:rFonts w:hint="eastAsia" w:ascii="宋体" w:hAnsi="宋体" w:cs="宋体"/>
                <w:kern w:val="0"/>
                <w:sz w:val="24"/>
              </w:rPr>
            </w:pPr>
            <w:r>
              <w:rPr>
                <w:rFonts w:hint="eastAsia" w:ascii="宋体" w:hAnsi="宋体" w:cs="宋体"/>
                <w:kern w:val="0"/>
                <w:sz w:val="24"/>
              </w:rPr>
              <w:t>Y＜100</w:t>
            </w:r>
          </w:p>
        </w:tc>
      </w:tr>
      <w:tr w14:paraId="0F46A85B">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00D4C38B">
            <w:pPr>
              <w:widowControl/>
              <w:snapToGrid w:val="0"/>
              <w:contextualSpacing/>
              <w:jc w:val="center"/>
              <w:rPr>
                <w:rFonts w:hint="eastAsia" w:ascii="宋体" w:hAnsi="宋体" w:cs="宋体"/>
                <w:b/>
                <w:bCs/>
                <w:kern w:val="0"/>
                <w:sz w:val="24"/>
              </w:rPr>
            </w:pPr>
            <w:r>
              <w:rPr>
                <w:rFonts w:hint="eastAsia" w:ascii="宋体" w:hAnsi="宋体" w:cs="宋体"/>
                <w:b/>
                <w:bCs/>
                <w:kern w:val="0"/>
                <w:sz w:val="24"/>
              </w:rPr>
              <w:t>邮政业</w:t>
            </w:r>
          </w:p>
        </w:tc>
        <w:tc>
          <w:tcPr>
            <w:tcW w:w="1660" w:type="dxa"/>
            <w:tcBorders>
              <w:top w:val="nil"/>
              <w:left w:val="nil"/>
              <w:bottom w:val="single" w:color="auto" w:sz="4" w:space="0"/>
              <w:right w:val="single" w:color="auto" w:sz="4" w:space="0"/>
            </w:tcBorders>
            <w:noWrap w:val="0"/>
            <w:vAlign w:val="center"/>
          </w:tcPr>
          <w:p w14:paraId="1ADFB007">
            <w:pPr>
              <w:widowControl/>
              <w:snapToGrid w:val="0"/>
              <w:contextualSpacing/>
              <w:jc w:val="center"/>
              <w:rPr>
                <w:rFonts w:hint="eastAsia" w:ascii="宋体" w:hAnsi="宋体" w:cs="宋体"/>
                <w:kern w:val="0"/>
                <w:sz w:val="24"/>
              </w:rPr>
            </w:pPr>
            <w:r>
              <w:rPr>
                <w:rFonts w:hint="eastAsia" w:ascii="宋体" w:hAnsi="宋体" w:cs="宋体"/>
                <w:kern w:val="0"/>
                <w:sz w:val="24"/>
              </w:rPr>
              <w:t>从业人员（X）</w:t>
            </w:r>
          </w:p>
        </w:tc>
        <w:tc>
          <w:tcPr>
            <w:tcW w:w="1466" w:type="dxa"/>
            <w:tcBorders>
              <w:top w:val="nil"/>
              <w:left w:val="nil"/>
              <w:bottom w:val="single" w:color="auto" w:sz="4" w:space="0"/>
              <w:right w:val="single" w:color="auto" w:sz="4" w:space="0"/>
            </w:tcBorders>
            <w:noWrap w:val="0"/>
            <w:vAlign w:val="center"/>
          </w:tcPr>
          <w:p w14:paraId="5FFDC35B">
            <w:pPr>
              <w:widowControl/>
              <w:snapToGrid w:val="0"/>
              <w:contextualSpacing/>
              <w:jc w:val="center"/>
              <w:rPr>
                <w:rFonts w:hint="eastAsia" w:ascii="宋体" w:hAnsi="宋体" w:cs="宋体"/>
                <w:kern w:val="0"/>
                <w:sz w:val="24"/>
              </w:rPr>
            </w:pPr>
            <w:r>
              <w:rPr>
                <w:rFonts w:hint="eastAsia" w:ascii="宋体" w:hAnsi="宋体" w:cs="宋体"/>
                <w:kern w:val="0"/>
                <w:sz w:val="24"/>
              </w:rPr>
              <w:t>人</w:t>
            </w:r>
          </w:p>
        </w:tc>
        <w:tc>
          <w:tcPr>
            <w:tcW w:w="1903" w:type="dxa"/>
            <w:tcBorders>
              <w:top w:val="nil"/>
              <w:left w:val="nil"/>
              <w:bottom w:val="single" w:color="auto" w:sz="4" w:space="0"/>
              <w:right w:val="single" w:color="auto" w:sz="4" w:space="0"/>
            </w:tcBorders>
            <w:noWrap w:val="0"/>
            <w:vAlign w:val="center"/>
          </w:tcPr>
          <w:p w14:paraId="0B83649D">
            <w:pPr>
              <w:widowControl/>
              <w:snapToGrid w:val="0"/>
              <w:contextualSpacing/>
              <w:jc w:val="center"/>
              <w:rPr>
                <w:rFonts w:hint="eastAsia" w:ascii="宋体" w:hAnsi="宋体" w:cs="宋体"/>
                <w:kern w:val="0"/>
                <w:sz w:val="24"/>
              </w:rPr>
            </w:pPr>
            <w:r>
              <w:rPr>
                <w:rFonts w:hint="eastAsia" w:ascii="宋体" w:hAnsi="宋体" w:cs="宋体"/>
                <w:kern w:val="0"/>
                <w:sz w:val="24"/>
              </w:rPr>
              <w:t>300≤X＜1000</w:t>
            </w:r>
          </w:p>
        </w:tc>
        <w:tc>
          <w:tcPr>
            <w:tcW w:w="1877" w:type="dxa"/>
            <w:tcBorders>
              <w:top w:val="nil"/>
              <w:left w:val="nil"/>
              <w:bottom w:val="single" w:color="auto" w:sz="4" w:space="0"/>
              <w:right w:val="single" w:color="auto" w:sz="4" w:space="0"/>
            </w:tcBorders>
            <w:noWrap w:val="0"/>
            <w:vAlign w:val="center"/>
          </w:tcPr>
          <w:p w14:paraId="74320369">
            <w:pPr>
              <w:widowControl/>
              <w:snapToGrid w:val="0"/>
              <w:contextualSpacing/>
              <w:jc w:val="center"/>
              <w:rPr>
                <w:rFonts w:hint="eastAsia" w:ascii="宋体" w:hAnsi="宋体" w:cs="宋体"/>
                <w:kern w:val="0"/>
                <w:sz w:val="24"/>
              </w:rPr>
            </w:pPr>
            <w:r>
              <w:rPr>
                <w:rFonts w:hint="eastAsia" w:ascii="宋体" w:hAnsi="宋体" w:cs="宋体"/>
                <w:kern w:val="0"/>
                <w:sz w:val="24"/>
              </w:rPr>
              <w:t>20≤X＜300</w:t>
            </w:r>
          </w:p>
        </w:tc>
        <w:tc>
          <w:tcPr>
            <w:tcW w:w="1134" w:type="dxa"/>
            <w:tcBorders>
              <w:top w:val="nil"/>
              <w:left w:val="nil"/>
              <w:bottom w:val="single" w:color="auto" w:sz="4" w:space="0"/>
              <w:right w:val="single" w:color="auto" w:sz="4" w:space="0"/>
            </w:tcBorders>
            <w:noWrap w:val="0"/>
            <w:vAlign w:val="center"/>
          </w:tcPr>
          <w:p w14:paraId="7C287B5C">
            <w:pPr>
              <w:widowControl/>
              <w:snapToGrid w:val="0"/>
              <w:contextualSpacing/>
              <w:jc w:val="center"/>
              <w:rPr>
                <w:rFonts w:hint="eastAsia" w:ascii="宋体" w:hAnsi="宋体" w:cs="宋体"/>
                <w:kern w:val="0"/>
                <w:sz w:val="24"/>
              </w:rPr>
            </w:pPr>
            <w:r>
              <w:rPr>
                <w:rFonts w:hint="eastAsia" w:ascii="宋体" w:hAnsi="宋体" w:cs="宋体"/>
                <w:kern w:val="0"/>
                <w:sz w:val="24"/>
              </w:rPr>
              <w:t>X＜20</w:t>
            </w:r>
          </w:p>
        </w:tc>
      </w:tr>
      <w:tr w14:paraId="27F50EA3">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243360C6">
            <w:pPr>
              <w:widowControl/>
              <w:snapToGrid w:val="0"/>
              <w:contextualSpacing/>
              <w:jc w:val="center"/>
              <w:rPr>
                <w:rFonts w:hint="eastAsia" w:ascii="宋体" w:hAnsi="宋体" w:cs="宋体"/>
                <w:b/>
                <w:bCs/>
                <w:kern w:val="0"/>
                <w:sz w:val="24"/>
              </w:rPr>
            </w:pPr>
          </w:p>
        </w:tc>
        <w:tc>
          <w:tcPr>
            <w:tcW w:w="1660" w:type="dxa"/>
            <w:tcBorders>
              <w:top w:val="nil"/>
              <w:left w:val="nil"/>
              <w:bottom w:val="single" w:color="auto" w:sz="4" w:space="0"/>
              <w:right w:val="single" w:color="auto" w:sz="4" w:space="0"/>
            </w:tcBorders>
            <w:noWrap w:val="0"/>
            <w:vAlign w:val="center"/>
          </w:tcPr>
          <w:p w14:paraId="328FFCEF">
            <w:pPr>
              <w:widowControl/>
              <w:snapToGrid w:val="0"/>
              <w:contextualSpacing/>
              <w:jc w:val="center"/>
              <w:rPr>
                <w:rFonts w:hint="eastAsia" w:ascii="宋体" w:hAnsi="宋体" w:cs="宋体"/>
                <w:kern w:val="0"/>
                <w:sz w:val="24"/>
              </w:rPr>
            </w:pPr>
            <w:r>
              <w:rPr>
                <w:rFonts w:hint="eastAsia" w:ascii="宋体" w:hAnsi="宋体" w:cs="宋体"/>
                <w:kern w:val="0"/>
                <w:sz w:val="24"/>
              </w:rPr>
              <w:t>营业收入（Y）</w:t>
            </w:r>
          </w:p>
        </w:tc>
        <w:tc>
          <w:tcPr>
            <w:tcW w:w="1466" w:type="dxa"/>
            <w:tcBorders>
              <w:top w:val="nil"/>
              <w:left w:val="nil"/>
              <w:bottom w:val="single" w:color="auto" w:sz="4" w:space="0"/>
              <w:right w:val="single" w:color="auto" w:sz="4" w:space="0"/>
            </w:tcBorders>
            <w:noWrap w:val="0"/>
            <w:vAlign w:val="center"/>
          </w:tcPr>
          <w:p w14:paraId="7D5BDF96">
            <w:pPr>
              <w:widowControl/>
              <w:snapToGrid w:val="0"/>
              <w:contextualSpacing/>
              <w:jc w:val="center"/>
              <w:rPr>
                <w:rFonts w:hint="eastAsia" w:ascii="宋体" w:hAnsi="宋体" w:cs="宋体"/>
                <w:kern w:val="0"/>
                <w:sz w:val="24"/>
              </w:rPr>
            </w:pPr>
            <w:r>
              <w:rPr>
                <w:rFonts w:hint="eastAsia" w:ascii="宋体" w:hAnsi="宋体" w:cs="宋体"/>
                <w:kern w:val="0"/>
                <w:sz w:val="24"/>
              </w:rPr>
              <w:t>万元</w:t>
            </w:r>
          </w:p>
        </w:tc>
        <w:tc>
          <w:tcPr>
            <w:tcW w:w="1903" w:type="dxa"/>
            <w:tcBorders>
              <w:top w:val="nil"/>
              <w:left w:val="nil"/>
              <w:bottom w:val="single" w:color="auto" w:sz="4" w:space="0"/>
              <w:right w:val="single" w:color="auto" w:sz="4" w:space="0"/>
            </w:tcBorders>
            <w:noWrap w:val="0"/>
            <w:vAlign w:val="center"/>
          </w:tcPr>
          <w:p w14:paraId="52A952C5">
            <w:pPr>
              <w:widowControl/>
              <w:snapToGrid w:val="0"/>
              <w:contextualSpacing/>
              <w:jc w:val="center"/>
              <w:rPr>
                <w:rFonts w:hint="eastAsia" w:ascii="宋体" w:hAnsi="宋体" w:cs="宋体"/>
                <w:kern w:val="0"/>
                <w:sz w:val="24"/>
              </w:rPr>
            </w:pPr>
            <w:r>
              <w:rPr>
                <w:rFonts w:hint="eastAsia" w:ascii="宋体" w:hAnsi="宋体" w:cs="宋体"/>
                <w:kern w:val="0"/>
                <w:sz w:val="24"/>
              </w:rPr>
              <w:t>2000≤Y＜30000</w:t>
            </w:r>
          </w:p>
        </w:tc>
        <w:tc>
          <w:tcPr>
            <w:tcW w:w="1877" w:type="dxa"/>
            <w:tcBorders>
              <w:top w:val="nil"/>
              <w:left w:val="nil"/>
              <w:bottom w:val="single" w:color="auto" w:sz="4" w:space="0"/>
              <w:right w:val="single" w:color="auto" w:sz="4" w:space="0"/>
            </w:tcBorders>
            <w:noWrap w:val="0"/>
            <w:vAlign w:val="center"/>
          </w:tcPr>
          <w:p w14:paraId="0F113712">
            <w:pPr>
              <w:widowControl/>
              <w:snapToGrid w:val="0"/>
              <w:contextualSpacing/>
              <w:jc w:val="center"/>
              <w:rPr>
                <w:rFonts w:hint="eastAsia" w:ascii="宋体" w:hAnsi="宋体" w:cs="宋体"/>
                <w:kern w:val="0"/>
                <w:sz w:val="24"/>
              </w:rPr>
            </w:pPr>
            <w:r>
              <w:rPr>
                <w:rFonts w:hint="eastAsia" w:ascii="宋体" w:hAnsi="宋体" w:cs="宋体"/>
                <w:kern w:val="0"/>
                <w:sz w:val="24"/>
              </w:rPr>
              <w:t>100≤Y＜2000</w:t>
            </w:r>
          </w:p>
        </w:tc>
        <w:tc>
          <w:tcPr>
            <w:tcW w:w="1134" w:type="dxa"/>
            <w:tcBorders>
              <w:top w:val="nil"/>
              <w:left w:val="nil"/>
              <w:bottom w:val="single" w:color="auto" w:sz="4" w:space="0"/>
              <w:right w:val="single" w:color="auto" w:sz="4" w:space="0"/>
            </w:tcBorders>
            <w:noWrap w:val="0"/>
            <w:vAlign w:val="center"/>
          </w:tcPr>
          <w:p w14:paraId="76ABE010">
            <w:pPr>
              <w:widowControl/>
              <w:snapToGrid w:val="0"/>
              <w:contextualSpacing/>
              <w:jc w:val="center"/>
              <w:rPr>
                <w:rFonts w:hint="eastAsia" w:ascii="宋体" w:hAnsi="宋体" w:cs="宋体"/>
                <w:kern w:val="0"/>
                <w:sz w:val="24"/>
              </w:rPr>
            </w:pPr>
            <w:r>
              <w:rPr>
                <w:rFonts w:hint="eastAsia" w:ascii="宋体" w:hAnsi="宋体" w:cs="宋体"/>
                <w:kern w:val="0"/>
                <w:sz w:val="24"/>
              </w:rPr>
              <w:t>Y＜100</w:t>
            </w:r>
          </w:p>
        </w:tc>
      </w:tr>
      <w:tr w14:paraId="77197BB5">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5C533677">
            <w:pPr>
              <w:widowControl/>
              <w:snapToGrid w:val="0"/>
              <w:contextualSpacing/>
              <w:jc w:val="center"/>
              <w:rPr>
                <w:rFonts w:hint="eastAsia" w:ascii="宋体" w:hAnsi="宋体" w:cs="宋体"/>
                <w:b/>
                <w:bCs/>
                <w:kern w:val="0"/>
                <w:sz w:val="24"/>
              </w:rPr>
            </w:pPr>
            <w:r>
              <w:rPr>
                <w:rFonts w:hint="eastAsia" w:ascii="宋体" w:hAnsi="宋体" w:cs="宋体"/>
                <w:b/>
                <w:bCs/>
                <w:kern w:val="0"/>
                <w:sz w:val="24"/>
              </w:rPr>
              <w:t>住宿业</w:t>
            </w:r>
          </w:p>
        </w:tc>
        <w:tc>
          <w:tcPr>
            <w:tcW w:w="1660" w:type="dxa"/>
            <w:tcBorders>
              <w:top w:val="nil"/>
              <w:left w:val="nil"/>
              <w:bottom w:val="single" w:color="auto" w:sz="4" w:space="0"/>
              <w:right w:val="single" w:color="auto" w:sz="4" w:space="0"/>
            </w:tcBorders>
            <w:noWrap w:val="0"/>
            <w:vAlign w:val="center"/>
          </w:tcPr>
          <w:p w14:paraId="4AB3CF5A">
            <w:pPr>
              <w:widowControl/>
              <w:snapToGrid w:val="0"/>
              <w:contextualSpacing/>
              <w:jc w:val="center"/>
              <w:rPr>
                <w:rFonts w:hint="eastAsia" w:ascii="宋体" w:hAnsi="宋体" w:cs="宋体"/>
                <w:kern w:val="0"/>
                <w:sz w:val="24"/>
              </w:rPr>
            </w:pPr>
            <w:r>
              <w:rPr>
                <w:rFonts w:hint="eastAsia" w:ascii="宋体" w:hAnsi="宋体" w:cs="宋体"/>
                <w:kern w:val="0"/>
                <w:sz w:val="24"/>
              </w:rPr>
              <w:t>从业人员（X）</w:t>
            </w:r>
          </w:p>
        </w:tc>
        <w:tc>
          <w:tcPr>
            <w:tcW w:w="1466" w:type="dxa"/>
            <w:tcBorders>
              <w:top w:val="nil"/>
              <w:left w:val="nil"/>
              <w:bottom w:val="single" w:color="auto" w:sz="4" w:space="0"/>
              <w:right w:val="single" w:color="auto" w:sz="4" w:space="0"/>
            </w:tcBorders>
            <w:noWrap w:val="0"/>
            <w:vAlign w:val="center"/>
          </w:tcPr>
          <w:p w14:paraId="4C1D6E8B">
            <w:pPr>
              <w:widowControl/>
              <w:snapToGrid w:val="0"/>
              <w:contextualSpacing/>
              <w:jc w:val="center"/>
              <w:rPr>
                <w:rFonts w:hint="eastAsia" w:ascii="宋体" w:hAnsi="宋体" w:cs="宋体"/>
                <w:kern w:val="0"/>
                <w:sz w:val="24"/>
              </w:rPr>
            </w:pPr>
            <w:r>
              <w:rPr>
                <w:rFonts w:hint="eastAsia" w:ascii="宋体" w:hAnsi="宋体" w:cs="宋体"/>
                <w:kern w:val="0"/>
                <w:sz w:val="24"/>
              </w:rPr>
              <w:t>人</w:t>
            </w:r>
          </w:p>
        </w:tc>
        <w:tc>
          <w:tcPr>
            <w:tcW w:w="1903" w:type="dxa"/>
            <w:tcBorders>
              <w:top w:val="nil"/>
              <w:left w:val="nil"/>
              <w:bottom w:val="single" w:color="auto" w:sz="4" w:space="0"/>
              <w:right w:val="single" w:color="auto" w:sz="4" w:space="0"/>
            </w:tcBorders>
            <w:noWrap w:val="0"/>
            <w:vAlign w:val="center"/>
          </w:tcPr>
          <w:p w14:paraId="428EEE78">
            <w:pPr>
              <w:widowControl/>
              <w:snapToGrid w:val="0"/>
              <w:contextualSpacing/>
              <w:jc w:val="center"/>
              <w:rPr>
                <w:rFonts w:hint="eastAsia" w:ascii="宋体" w:hAnsi="宋体" w:cs="宋体"/>
                <w:kern w:val="0"/>
                <w:sz w:val="24"/>
              </w:rPr>
            </w:pPr>
            <w:r>
              <w:rPr>
                <w:rFonts w:hint="eastAsia" w:ascii="宋体" w:hAnsi="宋体" w:cs="宋体"/>
                <w:kern w:val="0"/>
                <w:sz w:val="24"/>
              </w:rPr>
              <w:t>100≤X＜300</w:t>
            </w:r>
          </w:p>
        </w:tc>
        <w:tc>
          <w:tcPr>
            <w:tcW w:w="1877" w:type="dxa"/>
            <w:tcBorders>
              <w:top w:val="nil"/>
              <w:left w:val="nil"/>
              <w:bottom w:val="single" w:color="auto" w:sz="4" w:space="0"/>
              <w:right w:val="single" w:color="auto" w:sz="4" w:space="0"/>
            </w:tcBorders>
            <w:noWrap w:val="0"/>
            <w:vAlign w:val="center"/>
          </w:tcPr>
          <w:p w14:paraId="1B7DEA17">
            <w:pPr>
              <w:widowControl/>
              <w:snapToGrid w:val="0"/>
              <w:contextualSpacing/>
              <w:jc w:val="center"/>
              <w:rPr>
                <w:rFonts w:hint="eastAsia" w:ascii="宋体" w:hAnsi="宋体" w:cs="宋体"/>
                <w:kern w:val="0"/>
                <w:sz w:val="24"/>
              </w:rPr>
            </w:pPr>
            <w:r>
              <w:rPr>
                <w:rFonts w:hint="eastAsia" w:ascii="宋体" w:hAnsi="宋体" w:cs="宋体"/>
                <w:kern w:val="0"/>
                <w:sz w:val="24"/>
              </w:rPr>
              <w:t>10≤X＜100</w:t>
            </w:r>
          </w:p>
        </w:tc>
        <w:tc>
          <w:tcPr>
            <w:tcW w:w="1134" w:type="dxa"/>
            <w:tcBorders>
              <w:top w:val="nil"/>
              <w:left w:val="nil"/>
              <w:bottom w:val="single" w:color="auto" w:sz="4" w:space="0"/>
              <w:right w:val="single" w:color="auto" w:sz="4" w:space="0"/>
            </w:tcBorders>
            <w:noWrap w:val="0"/>
            <w:vAlign w:val="center"/>
          </w:tcPr>
          <w:p w14:paraId="348B8E65">
            <w:pPr>
              <w:widowControl/>
              <w:snapToGrid w:val="0"/>
              <w:contextualSpacing/>
              <w:jc w:val="center"/>
              <w:rPr>
                <w:rFonts w:hint="eastAsia" w:ascii="宋体" w:hAnsi="宋体" w:cs="宋体"/>
                <w:kern w:val="0"/>
                <w:sz w:val="24"/>
              </w:rPr>
            </w:pPr>
            <w:r>
              <w:rPr>
                <w:rFonts w:hint="eastAsia" w:ascii="宋体" w:hAnsi="宋体" w:cs="宋体"/>
                <w:kern w:val="0"/>
                <w:sz w:val="24"/>
              </w:rPr>
              <w:t>X＜10</w:t>
            </w:r>
          </w:p>
        </w:tc>
      </w:tr>
      <w:tr w14:paraId="1DFF7E72">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17C3A1E2">
            <w:pPr>
              <w:widowControl/>
              <w:snapToGrid w:val="0"/>
              <w:contextualSpacing/>
              <w:jc w:val="center"/>
              <w:rPr>
                <w:rFonts w:hint="eastAsia" w:ascii="宋体" w:hAnsi="宋体" w:cs="宋体"/>
                <w:b/>
                <w:bCs/>
                <w:kern w:val="0"/>
                <w:sz w:val="24"/>
              </w:rPr>
            </w:pPr>
          </w:p>
        </w:tc>
        <w:tc>
          <w:tcPr>
            <w:tcW w:w="1660" w:type="dxa"/>
            <w:tcBorders>
              <w:top w:val="nil"/>
              <w:left w:val="nil"/>
              <w:bottom w:val="single" w:color="auto" w:sz="4" w:space="0"/>
              <w:right w:val="single" w:color="auto" w:sz="4" w:space="0"/>
            </w:tcBorders>
            <w:noWrap w:val="0"/>
            <w:vAlign w:val="center"/>
          </w:tcPr>
          <w:p w14:paraId="4B0C8D6C">
            <w:pPr>
              <w:widowControl/>
              <w:snapToGrid w:val="0"/>
              <w:contextualSpacing/>
              <w:jc w:val="center"/>
              <w:rPr>
                <w:rFonts w:hint="eastAsia" w:ascii="宋体" w:hAnsi="宋体" w:cs="宋体"/>
                <w:kern w:val="0"/>
                <w:sz w:val="24"/>
              </w:rPr>
            </w:pPr>
            <w:r>
              <w:rPr>
                <w:rFonts w:hint="eastAsia" w:ascii="宋体" w:hAnsi="宋体" w:cs="宋体"/>
                <w:kern w:val="0"/>
                <w:sz w:val="24"/>
              </w:rPr>
              <w:t>营业收入（Y）</w:t>
            </w:r>
          </w:p>
        </w:tc>
        <w:tc>
          <w:tcPr>
            <w:tcW w:w="1466" w:type="dxa"/>
            <w:tcBorders>
              <w:top w:val="nil"/>
              <w:left w:val="nil"/>
              <w:bottom w:val="single" w:color="auto" w:sz="4" w:space="0"/>
              <w:right w:val="single" w:color="auto" w:sz="4" w:space="0"/>
            </w:tcBorders>
            <w:noWrap w:val="0"/>
            <w:vAlign w:val="center"/>
          </w:tcPr>
          <w:p w14:paraId="7C1A8CC7">
            <w:pPr>
              <w:widowControl/>
              <w:snapToGrid w:val="0"/>
              <w:contextualSpacing/>
              <w:jc w:val="center"/>
              <w:rPr>
                <w:rFonts w:hint="eastAsia" w:ascii="宋体" w:hAnsi="宋体" w:cs="宋体"/>
                <w:kern w:val="0"/>
                <w:sz w:val="24"/>
              </w:rPr>
            </w:pPr>
            <w:r>
              <w:rPr>
                <w:rFonts w:hint="eastAsia" w:ascii="宋体" w:hAnsi="宋体" w:cs="宋体"/>
                <w:kern w:val="0"/>
                <w:sz w:val="24"/>
              </w:rPr>
              <w:t>万元</w:t>
            </w:r>
          </w:p>
        </w:tc>
        <w:tc>
          <w:tcPr>
            <w:tcW w:w="1903" w:type="dxa"/>
            <w:tcBorders>
              <w:top w:val="nil"/>
              <w:left w:val="nil"/>
              <w:bottom w:val="single" w:color="auto" w:sz="4" w:space="0"/>
              <w:right w:val="single" w:color="auto" w:sz="4" w:space="0"/>
            </w:tcBorders>
            <w:noWrap w:val="0"/>
            <w:vAlign w:val="center"/>
          </w:tcPr>
          <w:p w14:paraId="128FCF04">
            <w:pPr>
              <w:widowControl/>
              <w:snapToGrid w:val="0"/>
              <w:contextualSpacing/>
              <w:jc w:val="center"/>
              <w:rPr>
                <w:rFonts w:hint="eastAsia" w:ascii="宋体" w:hAnsi="宋体" w:cs="宋体"/>
                <w:kern w:val="0"/>
                <w:sz w:val="24"/>
              </w:rPr>
            </w:pPr>
            <w:r>
              <w:rPr>
                <w:rFonts w:hint="eastAsia" w:ascii="宋体" w:hAnsi="宋体" w:cs="宋体"/>
                <w:kern w:val="0"/>
                <w:sz w:val="24"/>
              </w:rPr>
              <w:t>2000≤Y＜10000</w:t>
            </w:r>
          </w:p>
        </w:tc>
        <w:tc>
          <w:tcPr>
            <w:tcW w:w="1877" w:type="dxa"/>
            <w:tcBorders>
              <w:top w:val="nil"/>
              <w:left w:val="nil"/>
              <w:bottom w:val="single" w:color="auto" w:sz="4" w:space="0"/>
              <w:right w:val="single" w:color="auto" w:sz="4" w:space="0"/>
            </w:tcBorders>
            <w:noWrap w:val="0"/>
            <w:vAlign w:val="center"/>
          </w:tcPr>
          <w:p w14:paraId="315CF7E2">
            <w:pPr>
              <w:widowControl/>
              <w:snapToGrid w:val="0"/>
              <w:contextualSpacing/>
              <w:jc w:val="center"/>
              <w:rPr>
                <w:rFonts w:hint="eastAsia" w:ascii="宋体" w:hAnsi="宋体" w:cs="宋体"/>
                <w:kern w:val="0"/>
                <w:sz w:val="24"/>
              </w:rPr>
            </w:pPr>
            <w:r>
              <w:rPr>
                <w:rFonts w:hint="eastAsia" w:ascii="宋体" w:hAnsi="宋体" w:cs="宋体"/>
                <w:kern w:val="0"/>
                <w:sz w:val="24"/>
              </w:rPr>
              <w:t>100≤Y＜2000</w:t>
            </w:r>
          </w:p>
        </w:tc>
        <w:tc>
          <w:tcPr>
            <w:tcW w:w="1134" w:type="dxa"/>
            <w:tcBorders>
              <w:top w:val="nil"/>
              <w:left w:val="nil"/>
              <w:bottom w:val="single" w:color="auto" w:sz="4" w:space="0"/>
              <w:right w:val="single" w:color="auto" w:sz="4" w:space="0"/>
            </w:tcBorders>
            <w:noWrap w:val="0"/>
            <w:vAlign w:val="center"/>
          </w:tcPr>
          <w:p w14:paraId="616C4B65">
            <w:pPr>
              <w:widowControl/>
              <w:snapToGrid w:val="0"/>
              <w:contextualSpacing/>
              <w:jc w:val="center"/>
              <w:rPr>
                <w:rFonts w:hint="eastAsia" w:ascii="宋体" w:hAnsi="宋体" w:cs="宋体"/>
                <w:kern w:val="0"/>
                <w:sz w:val="24"/>
              </w:rPr>
            </w:pPr>
            <w:r>
              <w:rPr>
                <w:rFonts w:hint="eastAsia" w:ascii="宋体" w:hAnsi="宋体" w:cs="宋体"/>
                <w:kern w:val="0"/>
                <w:sz w:val="24"/>
              </w:rPr>
              <w:t>Y＜100</w:t>
            </w:r>
          </w:p>
        </w:tc>
      </w:tr>
      <w:tr w14:paraId="68D45D0B">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355C9706">
            <w:pPr>
              <w:widowControl/>
              <w:snapToGrid w:val="0"/>
              <w:contextualSpacing/>
              <w:jc w:val="center"/>
              <w:rPr>
                <w:rFonts w:hint="eastAsia" w:ascii="宋体" w:hAnsi="宋体" w:cs="宋体"/>
                <w:b/>
                <w:bCs/>
                <w:kern w:val="0"/>
                <w:sz w:val="24"/>
              </w:rPr>
            </w:pPr>
            <w:r>
              <w:rPr>
                <w:rFonts w:hint="eastAsia" w:ascii="宋体" w:hAnsi="宋体" w:cs="宋体"/>
                <w:b/>
                <w:bCs/>
                <w:kern w:val="0"/>
                <w:sz w:val="24"/>
              </w:rPr>
              <w:t>餐饮业</w:t>
            </w:r>
          </w:p>
        </w:tc>
        <w:tc>
          <w:tcPr>
            <w:tcW w:w="1660" w:type="dxa"/>
            <w:tcBorders>
              <w:top w:val="nil"/>
              <w:left w:val="nil"/>
              <w:bottom w:val="single" w:color="auto" w:sz="4" w:space="0"/>
              <w:right w:val="single" w:color="auto" w:sz="4" w:space="0"/>
            </w:tcBorders>
            <w:noWrap w:val="0"/>
            <w:vAlign w:val="center"/>
          </w:tcPr>
          <w:p w14:paraId="53124A36">
            <w:pPr>
              <w:widowControl/>
              <w:snapToGrid w:val="0"/>
              <w:contextualSpacing/>
              <w:jc w:val="center"/>
              <w:rPr>
                <w:rFonts w:hint="eastAsia" w:ascii="宋体" w:hAnsi="宋体" w:cs="宋体"/>
                <w:kern w:val="0"/>
                <w:sz w:val="24"/>
              </w:rPr>
            </w:pPr>
            <w:r>
              <w:rPr>
                <w:rFonts w:hint="eastAsia" w:ascii="宋体" w:hAnsi="宋体" w:cs="宋体"/>
                <w:kern w:val="0"/>
                <w:sz w:val="24"/>
              </w:rPr>
              <w:t>从业人员（X）</w:t>
            </w:r>
          </w:p>
        </w:tc>
        <w:tc>
          <w:tcPr>
            <w:tcW w:w="1466" w:type="dxa"/>
            <w:tcBorders>
              <w:top w:val="nil"/>
              <w:left w:val="nil"/>
              <w:bottom w:val="single" w:color="auto" w:sz="4" w:space="0"/>
              <w:right w:val="single" w:color="auto" w:sz="4" w:space="0"/>
            </w:tcBorders>
            <w:noWrap w:val="0"/>
            <w:vAlign w:val="center"/>
          </w:tcPr>
          <w:p w14:paraId="12E003F6">
            <w:pPr>
              <w:widowControl/>
              <w:snapToGrid w:val="0"/>
              <w:contextualSpacing/>
              <w:jc w:val="center"/>
              <w:rPr>
                <w:rFonts w:hint="eastAsia" w:ascii="宋体" w:hAnsi="宋体" w:cs="宋体"/>
                <w:kern w:val="0"/>
                <w:sz w:val="24"/>
              </w:rPr>
            </w:pPr>
            <w:r>
              <w:rPr>
                <w:rFonts w:hint="eastAsia" w:ascii="宋体" w:hAnsi="宋体" w:cs="宋体"/>
                <w:kern w:val="0"/>
                <w:sz w:val="24"/>
              </w:rPr>
              <w:t>人</w:t>
            </w:r>
          </w:p>
        </w:tc>
        <w:tc>
          <w:tcPr>
            <w:tcW w:w="1903" w:type="dxa"/>
            <w:tcBorders>
              <w:top w:val="nil"/>
              <w:left w:val="nil"/>
              <w:bottom w:val="single" w:color="auto" w:sz="4" w:space="0"/>
              <w:right w:val="single" w:color="auto" w:sz="4" w:space="0"/>
            </w:tcBorders>
            <w:noWrap w:val="0"/>
            <w:vAlign w:val="center"/>
          </w:tcPr>
          <w:p w14:paraId="580D37E1">
            <w:pPr>
              <w:widowControl/>
              <w:snapToGrid w:val="0"/>
              <w:contextualSpacing/>
              <w:jc w:val="center"/>
              <w:rPr>
                <w:rFonts w:hint="eastAsia" w:ascii="宋体" w:hAnsi="宋体" w:cs="宋体"/>
                <w:kern w:val="0"/>
                <w:sz w:val="24"/>
              </w:rPr>
            </w:pPr>
            <w:r>
              <w:rPr>
                <w:rFonts w:hint="eastAsia" w:ascii="宋体" w:hAnsi="宋体" w:cs="宋体"/>
                <w:kern w:val="0"/>
                <w:sz w:val="24"/>
              </w:rPr>
              <w:t>100≤X＜300</w:t>
            </w:r>
          </w:p>
        </w:tc>
        <w:tc>
          <w:tcPr>
            <w:tcW w:w="1877" w:type="dxa"/>
            <w:tcBorders>
              <w:top w:val="nil"/>
              <w:left w:val="nil"/>
              <w:bottom w:val="single" w:color="auto" w:sz="4" w:space="0"/>
              <w:right w:val="single" w:color="auto" w:sz="4" w:space="0"/>
            </w:tcBorders>
            <w:noWrap w:val="0"/>
            <w:vAlign w:val="center"/>
          </w:tcPr>
          <w:p w14:paraId="4FEE3DAD">
            <w:pPr>
              <w:widowControl/>
              <w:snapToGrid w:val="0"/>
              <w:contextualSpacing/>
              <w:jc w:val="center"/>
              <w:rPr>
                <w:rFonts w:hint="eastAsia" w:ascii="宋体" w:hAnsi="宋体" w:cs="宋体"/>
                <w:kern w:val="0"/>
                <w:sz w:val="24"/>
              </w:rPr>
            </w:pPr>
            <w:r>
              <w:rPr>
                <w:rFonts w:hint="eastAsia" w:ascii="宋体" w:hAnsi="宋体" w:cs="宋体"/>
                <w:kern w:val="0"/>
                <w:sz w:val="24"/>
              </w:rPr>
              <w:t>10≤X＜100</w:t>
            </w:r>
          </w:p>
        </w:tc>
        <w:tc>
          <w:tcPr>
            <w:tcW w:w="1134" w:type="dxa"/>
            <w:tcBorders>
              <w:top w:val="nil"/>
              <w:left w:val="nil"/>
              <w:bottom w:val="single" w:color="auto" w:sz="4" w:space="0"/>
              <w:right w:val="single" w:color="auto" w:sz="4" w:space="0"/>
            </w:tcBorders>
            <w:noWrap w:val="0"/>
            <w:vAlign w:val="center"/>
          </w:tcPr>
          <w:p w14:paraId="07CAB444">
            <w:pPr>
              <w:widowControl/>
              <w:snapToGrid w:val="0"/>
              <w:contextualSpacing/>
              <w:jc w:val="center"/>
              <w:rPr>
                <w:rFonts w:hint="eastAsia" w:ascii="宋体" w:hAnsi="宋体" w:cs="宋体"/>
                <w:kern w:val="0"/>
                <w:sz w:val="24"/>
              </w:rPr>
            </w:pPr>
            <w:r>
              <w:rPr>
                <w:rFonts w:hint="eastAsia" w:ascii="宋体" w:hAnsi="宋体" w:cs="宋体"/>
                <w:kern w:val="0"/>
                <w:sz w:val="24"/>
              </w:rPr>
              <w:t>X＜10</w:t>
            </w:r>
          </w:p>
        </w:tc>
      </w:tr>
      <w:tr w14:paraId="0E485016">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16A9C9AE">
            <w:pPr>
              <w:widowControl/>
              <w:snapToGrid w:val="0"/>
              <w:contextualSpacing/>
              <w:jc w:val="center"/>
              <w:rPr>
                <w:rFonts w:hint="eastAsia" w:ascii="宋体" w:hAnsi="宋体" w:cs="宋体"/>
                <w:b/>
                <w:bCs/>
                <w:kern w:val="0"/>
                <w:sz w:val="24"/>
              </w:rPr>
            </w:pPr>
          </w:p>
        </w:tc>
        <w:tc>
          <w:tcPr>
            <w:tcW w:w="1660" w:type="dxa"/>
            <w:tcBorders>
              <w:top w:val="nil"/>
              <w:left w:val="nil"/>
              <w:bottom w:val="single" w:color="auto" w:sz="4" w:space="0"/>
              <w:right w:val="single" w:color="auto" w:sz="4" w:space="0"/>
            </w:tcBorders>
            <w:noWrap w:val="0"/>
            <w:vAlign w:val="center"/>
          </w:tcPr>
          <w:p w14:paraId="7B3CBA2E">
            <w:pPr>
              <w:widowControl/>
              <w:snapToGrid w:val="0"/>
              <w:contextualSpacing/>
              <w:jc w:val="center"/>
              <w:rPr>
                <w:rFonts w:hint="eastAsia" w:ascii="宋体" w:hAnsi="宋体" w:cs="宋体"/>
                <w:kern w:val="0"/>
                <w:sz w:val="24"/>
              </w:rPr>
            </w:pPr>
            <w:r>
              <w:rPr>
                <w:rFonts w:hint="eastAsia" w:ascii="宋体" w:hAnsi="宋体" w:cs="宋体"/>
                <w:kern w:val="0"/>
                <w:sz w:val="24"/>
              </w:rPr>
              <w:t>营业收入（Y）</w:t>
            </w:r>
          </w:p>
        </w:tc>
        <w:tc>
          <w:tcPr>
            <w:tcW w:w="1466" w:type="dxa"/>
            <w:tcBorders>
              <w:top w:val="nil"/>
              <w:left w:val="nil"/>
              <w:bottom w:val="single" w:color="auto" w:sz="4" w:space="0"/>
              <w:right w:val="single" w:color="auto" w:sz="4" w:space="0"/>
            </w:tcBorders>
            <w:noWrap w:val="0"/>
            <w:vAlign w:val="center"/>
          </w:tcPr>
          <w:p w14:paraId="68002FAF">
            <w:pPr>
              <w:widowControl/>
              <w:snapToGrid w:val="0"/>
              <w:contextualSpacing/>
              <w:jc w:val="center"/>
              <w:rPr>
                <w:rFonts w:hint="eastAsia" w:ascii="宋体" w:hAnsi="宋体" w:cs="宋体"/>
                <w:kern w:val="0"/>
                <w:sz w:val="24"/>
              </w:rPr>
            </w:pPr>
            <w:r>
              <w:rPr>
                <w:rFonts w:hint="eastAsia" w:ascii="宋体" w:hAnsi="宋体" w:cs="宋体"/>
                <w:kern w:val="0"/>
                <w:sz w:val="24"/>
              </w:rPr>
              <w:t>万元</w:t>
            </w:r>
          </w:p>
        </w:tc>
        <w:tc>
          <w:tcPr>
            <w:tcW w:w="1903" w:type="dxa"/>
            <w:tcBorders>
              <w:top w:val="nil"/>
              <w:left w:val="nil"/>
              <w:bottom w:val="single" w:color="auto" w:sz="4" w:space="0"/>
              <w:right w:val="single" w:color="auto" w:sz="4" w:space="0"/>
            </w:tcBorders>
            <w:noWrap w:val="0"/>
            <w:vAlign w:val="center"/>
          </w:tcPr>
          <w:p w14:paraId="6CD12831">
            <w:pPr>
              <w:widowControl/>
              <w:snapToGrid w:val="0"/>
              <w:contextualSpacing/>
              <w:jc w:val="center"/>
              <w:rPr>
                <w:rFonts w:hint="eastAsia" w:ascii="宋体" w:hAnsi="宋体" w:cs="宋体"/>
                <w:kern w:val="0"/>
                <w:sz w:val="24"/>
              </w:rPr>
            </w:pPr>
            <w:r>
              <w:rPr>
                <w:rFonts w:hint="eastAsia" w:ascii="宋体" w:hAnsi="宋体" w:cs="宋体"/>
                <w:kern w:val="0"/>
                <w:sz w:val="24"/>
              </w:rPr>
              <w:t>2000≤Y＜10000</w:t>
            </w:r>
          </w:p>
        </w:tc>
        <w:tc>
          <w:tcPr>
            <w:tcW w:w="1877" w:type="dxa"/>
            <w:tcBorders>
              <w:top w:val="nil"/>
              <w:left w:val="nil"/>
              <w:bottom w:val="single" w:color="auto" w:sz="4" w:space="0"/>
              <w:right w:val="single" w:color="auto" w:sz="4" w:space="0"/>
            </w:tcBorders>
            <w:noWrap w:val="0"/>
            <w:vAlign w:val="center"/>
          </w:tcPr>
          <w:p w14:paraId="5DCD680E">
            <w:pPr>
              <w:widowControl/>
              <w:snapToGrid w:val="0"/>
              <w:contextualSpacing/>
              <w:jc w:val="center"/>
              <w:rPr>
                <w:rFonts w:hint="eastAsia" w:ascii="宋体" w:hAnsi="宋体" w:cs="宋体"/>
                <w:kern w:val="0"/>
                <w:sz w:val="24"/>
              </w:rPr>
            </w:pPr>
            <w:r>
              <w:rPr>
                <w:rFonts w:hint="eastAsia" w:ascii="宋体" w:hAnsi="宋体" w:cs="宋体"/>
                <w:kern w:val="0"/>
                <w:sz w:val="24"/>
              </w:rPr>
              <w:t>100≤Y＜2000</w:t>
            </w:r>
          </w:p>
        </w:tc>
        <w:tc>
          <w:tcPr>
            <w:tcW w:w="1134" w:type="dxa"/>
            <w:tcBorders>
              <w:top w:val="nil"/>
              <w:left w:val="nil"/>
              <w:bottom w:val="single" w:color="auto" w:sz="4" w:space="0"/>
              <w:right w:val="single" w:color="auto" w:sz="4" w:space="0"/>
            </w:tcBorders>
            <w:noWrap w:val="0"/>
            <w:vAlign w:val="center"/>
          </w:tcPr>
          <w:p w14:paraId="0705DB50">
            <w:pPr>
              <w:widowControl/>
              <w:snapToGrid w:val="0"/>
              <w:contextualSpacing/>
              <w:jc w:val="center"/>
              <w:rPr>
                <w:rFonts w:hint="eastAsia" w:ascii="宋体" w:hAnsi="宋体" w:cs="宋体"/>
                <w:kern w:val="0"/>
                <w:sz w:val="24"/>
              </w:rPr>
            </w:pPr>
            <w:r>
              <w:rPr>
                <w:rFonts w:hint="eastAsia" w:ascii="宋体" w:hAnsi="宋体" w:cs="宋体"/>
                <w:kern w:val="0"/>
                <w:sz w:val="24"/>
              </w:rPr>
              <w:t>Y＜100</w:t>
            </w:r>
          </w:p>
        </w:tc>
      </w:tr>
      <w:tr w14:paraId="19B203E1">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5E9D824D">
            <w:pPr>
              <w:widowControl/>
              <w:snapToGrid w:val="0"/>
              <w:contextualSpacing/>
              <w:jc w:val="center"/>
              <w:rPr>
                <w:rFonts w:hint="eastAsia" w:ascii="宋体" w:hAnsi="宋体" w:cs="宋体"/>
                <w:b/>
                <w:bCs/>
                <w:kern w:val="0"/>
                <w:sz w:val="24"/>
              </w:rPr>
            </w:pPr>
            <w:r>
              <w:rPr>
                <w:rFonts w:hint="eastAsia" w:ascii="宋体" w:hAnsi="宋体" w:cs="宋体"/>
                <w:b/>
                <w:bCs/>
                <w:kern w:val="0"/>
                <w:sz w:val="24"/>
              </w:rPr>
              <w:t>信息传输业</w:t>
            </w:r>
          </w:p>
        </w:tc>
        <w:tc>
          <w:tcPr>
            <w:tcW w:w="1660" w:type="dxa"/>
            <w:tcBorders>
              <w:top w:val="nil"/>
              <w:left w:val="nil"/>
              <w:bottom w:val="single" w:color="auto" w:sz="4" w:space="0"/>
              <w:right w:val="single" w:color="auto" w:sz="4" w:space="0"/>
            </w:tcBorders>
            <w:noWrap w:val="0"/>
            <w:vAlign w:val="center"/>
          </w:tcPr>
          <w:p w14:paraId="37A6CE63">
            <w:pPr>
              <w:widowControl/>
              <w:snapToGrid w:val="0"/>
              <w:contextualSpacing/>
              <w:jc w:val="center"/>
              <w:rPr>
                <w:rFonts w:hint="eastAsia" w:ascii="宋体" w:hAnsi="宋体" w:cs="宋体"/>
                <w:kern w:val="0"/>
                <w:sz w:val="24"/>
              </w:rPr>
            </w:pPr>
            <w:r>
              <w:rPr>
                <w:rFonts w:hint="eastAsia" w:ascii="宋体" w:hAnsi="宋体" w:cs="宋体"/>
                <w:kern w:val="0"/>
                <w:sz w:val="24"/>
              </w:rPr>
              <w:t>从业人员（X）</w:t>
            </w:r>
          </w:p>
        </w:tc>
        <w:tc>
          <w:tcPr>
            <w:tcW w:w="1466" w:type="dxa"/>
            <w:tcBorders>
              <w:top w:val="nil"/>
              <w:left w:val="nil"/>
              <w:bottom w:val="single" w:color="auto" w:sz="4" w:space="0"/>
              <w:right w:val="single" w:color="auto" w:sz="4" w:space="0"/>
            </w:tcBorders>
            <w:noWrap w:val="0"/>
            <w:vAlign w:val="center"/>
          </w:tcPr>
          <w:p w14:paraId="53459763">
            <w:pPr>
              <w:widowControl/>
              <w:snapToGrid w:val="0"/>
              <w:contextualSpacing/>
              <w:jc w:val="center"/>
              <w:rPr>
                <w:rFonts w:hint="eastAsia" w:ascii="宋体" w:hAnsi="宋体" w:cs="宋体"/>
                <w:kern w:val="0"/>
                <w:sz w:val="24"/>
              </w:rPr>
            </w:pPr>
            <w:r>
              <w:rPr>
                <w:rFonts w:hint="eastAsia" w:ascii="宋体" w:hAnsi="宋体" w:cs="宋体"/>
                <w:kern w:val="0"/>
                <w:sz w:val="24"/>
              </w:rPr>
              <w:t>人</w:t>
            </w:r>
          </w:p>
        </w:tc>
        <w:tc>
          <w:tcPr>
            <w:tcW w:w="1903" w:type="dxa"/>
            <w:tcBorders>
              <w:top w:val="nil"/>
              <w:left w:val="nil"/>
              <w:bottom w:val="single" w:color="auto" w:sz="4" w:space="0"/>
              <w:right w:val="single" w:color="auto" w:sz="4" w:space="0"/>
            </w:tcBorders>
            <w:noWrap w:val="0"/>
            <w:vAlign w:val="center"/>
          </w:tcPr>
          <w:p w14:paraId="627BF2B7">
            <w:pPr>
              <w:widowControl/>
              <w:snapToGrid w:val="0"/>
              <w:contextualSpacing/>
              <w:jc w:val="center"/>
              <w:rPr>
                <w:rFonts w:hint="eastAsia" w:ascii="宋体" w:hAnsi="宋体" w:cs="宋体"/>
                <w:kern w:val="0"/>
                <w:sz w:val="24"/>
              </w:rPr>
            </w:pPr>
            <w:r>
              <w:rPr>
                <w:rFonts w:hint="eastAsia" w:ascii="宋体" w:hAnsi="宋体" w:cs="宋体"/>
                <w:kern w:val="0"/>
                <w:sz w:val="24"/>
              </w:rPr>
              <w:t>100≤X＜2000</w:t>
            </w:r>
          </w:p>
        </w:tc>
        <w:tc>
          <w:tcPr>
            <w:tcW w:w="1877" w:type="dxa"/>
            <w:tcBorders>
              <w:top w:val="nil"/>
              <w:left w:val="nil"/>
              <w:bottom w:val="single" w:color="auto" w:sz="4" w:space="0"/>
              <w:right w:val="single" w:color="auto" w:sz="4" w:space="0"/>
            </w:tcBorders>
            <w:noWrap w:val="0"/>
            <w:vAlign w:val="center"/>
          </w:tcPr>
          <w:p w14:paraId="4FF1F72D">
            <w:pPr>
              <w:widowControl/>
              <w:snapToGrid w:val="0"/>
              <w:contextualSpacing/>
              <w:jc w:val="center"/>
              <w:rPr>
                <w:rFonts w:hint="eastAsia" w:ascii="宋体" w:hAnsi="宋体" w:cs="宋体"/>
                <w:kern w:val="0"/>
                <w:sz w:val="24"/>
              </w:rPr>
            </w:pPr>
            <w:r>
              <w:rPr>
                <w:rFonts w:hint="eastAsia" w:ascii="宋体" w:hAnsi="宋体" w:cs="宋体"/>
                <w:kern w:val="0"/>
                <w:sz w:val="24"/>
              </w:rPr>
              <w:t>10≤X＜100</w:t>
            </w:r>
          </w:p>
        </w:tc>
        <w:tc>
          <w:tcPr>
            <w:tcW w:w="1134" w:type="dxa"/>
            <w:tcBorders>
              <w:top w:val="nil"/>
              <w:left w:val="nil"/>
              <w:bottom w:val="single" w:color="auto" w:sz="4" w:space="0"/>
              <w:right w:val="single" w:color="auto" w:sz="4" w:space="0"/>
            </w:tcBorders>
            <w:noWrap w:val="0"/>
            <w:vAlign w:val="center"/>
          </w:tcPr>
          <w:p w14:paraId="05AF3BCD">
            <w:pPr>
              <w:widowControl/>
              <w:snapToGrid w:val="0"/>
              <w:contextualSpacing/>
              <w:jc w:val="center"/>
              <w:rPr>
                <w:rFonts w:hint="eastAsia" w:ascii="宋体" w:hAnsi="宋体" w:cs="宋体"/>
                <w:kern w:val="0"/>
                <w:sz w:val="24"/>
              </w:rPr>
            </w:pPr>
            <w:r>
              <w:rPr>
                <w:rFonts w:hint="eastAsia" w:ascii="宋体" w:hAnsi="宋体" w:cs="宋体"/>
                <w:kern w:val="0"/>
                <w:sz w:val="24"/>
              </w:rPr>
              <w:t>X＜10</w:t>
            </w:r>
          </w:p>
        </w:tc>
      </w:tr>
      <w:tr w14:paraId="639A48DD">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720A38FF">
            <w:pPr>
              <w:widowControl/>
              <w:snapToGrid w:val="0"/>
              <w:contextualSpacing/>
              <w:jc w:val="center"/>
              <w:rPr>
                <w:rFonts w:hint="eastAsia" w:ascii="宋体" w:hAnsi="宋体" w:cs="宋体"/>
                <w:b/>
                <w:bCs/>
                <w:kern w:val="0"/>
                <w:sz w:val="24"/>
              </w:rPr>
            </w:pPr>
          </w:p>
        </w:tc>
        <w:tc>
          <w:tcPr>
            <w:tcW w:w="1660" w:type="dxa"/>
            <w:tcBorders>
              <w:top w:val="nil"/>
              <w:left w:val="nil"/>
              <w:bottom w:val="single" w:color="auto" w:sz="4" w:space="0"/>
              <w:right w:val="single" w:color="auto" w:sz="4" w:space="0"/>
            </w:tcBorders>
            <w:noWrap w:val="0"/>
            <w:vAlign w:val="center"/>
          </w:tcPr>
          <w:p w14:paraId="74804328">
            <w:pPr>
              <w:widowControl/>
              <w:snapToGrid w:val="0"/>
              <w:contextualSpacing/>
              <w:jc w:val="center"/>
              <w:rPr>
                <w:rFonts w:hint="eastAsia" w:ascii="宋体" w:hAnsi="宋体" w:cs="宋体"/>
                <w:kern w:val="0"/>
                <w:sz w:val="24"/>
              </w:rPr>
            </w:pPr>
            <w:r>
              <w:rPr>
                <w:rFonts w:hint="eastAsia" w:ascii="宋体" w:hAnsi="宋体" w:cs="宋体"/>
                <w:kern w:val="0"/>
                <w:sz w:val="24"/>
              </w:rPr>
              <w:t>营业收入（Y）</w:t>
            </w:r>
          </w:p>
        </w:tc>
        <w:tc>
          <w:tcPr>
            <w:tcW w:w="1466" w:type="dxa"/>
            <w:tcBorders>
              <w:top w:val="nil"/>
              <w:left w:val="nil"/>
              <w:bottom w:val="single" w:color="auto" w:sz="4" w:space="0"/>
              <w:right w:val="single" w:color="auto" w:sz="4" w:space="0"/>
            </w:tcBorders>
            <w:noWrap w:val="0"/>
            <w:vAlign w:val="center"/>
          </w:tcPr>
          <w:p w14:paraId="71F01049">
            <w:pPr>
              <w:widowControl/>
              <w:snapToGrid w:val="0"/>
              <w:contextualSpacing/>
              <w:jc w:val="center"/>
              <w:rPr>
                <w:rFonts w:hint="eastAsia" w:ascii="宋体" w:hAnsi="宋体" w:cs="宋体"/>
                <w:kern w:val="0"/>
                <w:sz w:val="24"/>
              </w:rPr>
            </w:pPr>
            <w:r>
              <w:rPr>
                <w:rFonts w:hint="eastAsia" w:ascii="宋体" w:hAnsi="宋体" w:cs="宋体"/>
                <w:kern w:val="0"/>
                <w:sz w:val="24"/>
              </w:rPr>
              <w:t>万元</w:t>
            </w:r>
          </w:p>
        </w:tc>
        <w:tc>
          <w:tcPr>
            <w:tcW w:w="1903" w:type="dxa"/>
            <w:tcBorders>
              <w:top w:val="nil"/>
              <w:left w:val="nil"/>
              <w:bottom w:val="single" w:color="auto" w:sz="4" w:space="0"/>
              <w:right w:val="single" w:color="auto" w:sz="4" w:space="0"/>
            </w:tcBorders>
            <w:noWrap w:val="0"/>
            <w:vAlign w:val="center"/>
          </w:tcPr>
          <w:p w14:paraId="3E3BACED">
            <w:pPr>
              <w:widowControl/>
              <w:snapToGrid w:val="0"/>
              <w:contextualSpacing/>
              <w:jc w:val="center"/>
              <w:rPr>
                <w:rFonts w:hint="eastAsia" w:ascii="宋体" w:hAnsi="宋体" w:cs="宋体"/>
                <w:kern w:val="0"/>
                <w:sz w:val="24"/>
              </w:rPr>
            </w:pPr>
            <w:r>
              <w:rPr>
                <w:rFonts w:hint="eastAsia" w:ascii="宋体" w:hAnsi="宋体" w:cs="宋体"/>
                <w:kern w:val="0"/>
                <w:sz w:val="24"/>
              </w:rPr>
              <w:t>1000≤Y＜100000</w:t>
            </w:r>
          </w:p>
        </w:tc>
        <w:tc>
          <w:tcPr>
            <w:tcW w:w="1877" w:type="dxa"/>
            <w:tcBorders>
              <w:top w:val="nil"/>
              <w:left w:val="nil"/>
              <w:bottom w:val="single" w:color="auto" w:sz="4" w:space="0"/>
              <w:right w:val="single" w:color="auto" w:sz="4" w:space="0"/>
            </w:tcBorders>
            <w:noWrap w:val="0"/>
            <w:vAlign w:val="center"/>
          </w:tcPr>
          <w:p w14:paraId="31D6F7C9">
            <w:pPr>
              <w:widowControl/>
              <w:snapToGrid w:val="0"/>
              <w:contextualSpacing/>
              <w:jc w:val="center"/>
              <w:rPr>
                <w:rFonts w:hint="eastAsia" w:ascii="宋体" w:hAnsi="宋体" w:cs="宋体"/>
                <w:kern w:val="0"/>
                <w:sz w:val="24"/>
              </w:rPr>
            </w:pPr>
            <w:r>
              <w:rPr>
                <w:rFonts w:hint="eastAsia" w:ascii="宋体" w:hAnsi="宋体" w:cs="宋体"/>
                <w:kern w:val="0"/>
                <w:sz w:val="24"/>
              </w:rPr>
              <w:t>100≤Y＜1000</w:t>
            </w:r>
          </w:p>
        </w:tc>
        <w:tc>
          <w:tcPr>
            <w:tcW w:w="1134" w:type="dxa"/>
            <w:tcBorders>
              <w:top w:val="nil"/>
              <w:left w:val="nil"/>
              <w:bottom w:val="single" w:color="auto" w:sz="4" w:space="0"/>
              <w:right w:val="single" w:color="auto" w:sz="4" w:space="0"/>
            </w:tcBorders>
            <w:noWrap w:val="0"/>
            <w:vAlign w:val="center"/>
          </w:tcPr>
          <w:p w14:paraId="4FCD4ECF">
            <w:pPr>
              <w:widowControl/>
              <w:snapToGrid w:val="0"/>
              <w:contextualSpacing/>
              <w:jc w:val="center"/>
              <w:rPr>
                <w:rFonts w:hint="eastAsia" w:ascii="宋体" w:hAnsi="宋体" w:cs="宋体"/>
                <w:kern w:val="0"/>
                <w:sz w:val="24"/>
              </w:rPr>
            </w:pPr>
            <w:r>
              <w:rPr>
                <w:rFonts w:hint="eastAsia" w:ascii="宋体" w:hAnsi="宋体" w:cs="宋体"/>
                <w:kern w:val="0"/>
                <w:sz w:val="24"/>
              </w:rPr>
              <w:t>Y＜100</w:t>
            </w:r>
          </w:p>
        </w:tc>
      </w:tr>
      <w:tr w14:paraId="48388560">
        <w:tblPrEx>
          <w:tblCellMar>
            <w:top w:w="0" w:type="dxa"/>
            <w:left w:w="108" w:type="dxa"/>
            <w:bottom w:w="0" w:type="dxa"/>
            <w:right w:w="108" w:type="dxa"/>
          </w:tblCellMar>
        </w:tblPrEx>
        <w:trPr>
          <w:trHeight w:val="394"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3637FBF4">
            <w:pPr>
              <w:widowControl/>
              <w:snapToGrid w:val="0"/>
              <w:contextualSpacing/>
              <w:jc w:val="center"/>
              <w:rPr>
                <w:rFonts w:hint="eastAsia" w:ascii="宋体" w:hAnsi="宋体" w:cs="宋体"/>
                <w:b/>
                <w:bCs/>
                <w:kern w:val="0"/>
                <w:sz w:val="24"/>
              </w:rPr>
            </w:pPr>
            <w:r>
              <w:rPr>
                <w:rFonts w:hint="eastAsia" w:ascii="宋体" w:hAnsi="宋体" w:cs="宋体"/>
                <w:b/>
                <w:bCs/>
                <w:kern w:val="0"/>
                <w:sz w:val="24"/>
              </w:rPr>
              <w:t>软件和信息技术服务业</w:t>
            </w:r>
          </w:p>
        </w:tc>
        <w:tc>
          <w:tcPr>
            <w:tcW w:w="1660" w:type="dxa"/>
            <w:tcBorders>
              <w:top w:val="nil"/>
              <w:left w:val="nil"/>
              <w:bottom w:val="single" w:color="auto" w:sz="4" w:space="0"/>
              <w:right w:val="single" w:color="auto" w:sz="4" w:space="0"/>
            </w:tcBorders>
            <w:noWrap w:val="0"/>
            <w:vAlign w:val="center"/>
          </w:tcPr>
          <w:p w14:paraId="71B9DB6B">
            <w:pPr>
              <w:widowControl/>
              <w:snapToGrid w:val="0"/>
              <w:contextualSpacing/>
              <w:jc w:val="center"/>
              <w:rPr>
                <w:rFonts w:hint="eastAsia" w:ascii="宋体" w:hAnsi="宋体" w:cs="宋体"/>
                <w:kern w:val="0"/>
                <w:sz w:val="24"/>
              </w:rPr>
            </w:pPr>
            <w:r>
              <w:rPr>
                <w:rFonts w:hint="eastAsia" w:ascii="宋体" w:hAnsi="宋体" w:cs="宋体"/>
                <w:kern w:val="0"/>
                <w:sz w:val="24"/>
              </w:rPr>
              <w:t>从业人员（X）</w:t>
            </w:r>
          </w:p>
        </w:tc>
        <w:tc>
          <w:tcPr>
            <w:tcW w:w="1466" w:type="dxa"/>
            <w:tcBorders>
              <w:top w:val="nil"/>
              <w:left w:val="nil"/>
              <w:bottom w:val="single" w:color="auto" w:sz="4" w:space="0"/>
              <w:right w:val="single" w:color="auto" w:sz="4" w:space="0"/>
            </w:tcBorders>
            <w:noWrap w:val="0"/>
            <w:vAlign w:val="center"/>
          </w:tcPr>
          <w:p w14:paraId="08920F9D">
            <w:pPr>
              <w:widowControl/>
              <w:snapToGrid w:val="0"/>
              <w:contextualSpacing/>
              <w:jc w:val="center"/>
              <w:rPr>
                <w:rFonts w:hint="eastAsia" w:ascii="宋体" w:hAnsi="宋体" w:cs="宋体"/>
                <w:kern w:val="0"/>
                <w:sz w:val="24"/>
              </w:rPr>
            </w:pPr>
            <w:r>
              <w:rPr>
                <w:rFonts w:hint="eastAsia" w:ascii="宋体" w:hAnsi="宋体" w:cs="宋体"/>
                <w:kern w:val="0"/>
                <w:sz w:val="24"/>
              </w:rPr>
              <w:t>人</w:t>
            </w:r>
          </w:p>
        </w:tc>
        <w:tc>
          <w:tcPr>
            <w:tcW w:w="1903" w:type="dxa"/>
            <w:tcBorders>
              <w:top w:val="nil"/>
              <w:left w:val="nil"/>
              <w:bottom w:val="single" w:color="auto" w:sz="4" w:space="0"/>
              <w:right w:val="single" w:color="auto" w:sz="4" w:space="0"/>
            </w:tcBorders>
            <w:noWrap w:val="0"/>
            <w:vAlign w:val="center"/>
          </w:tcPr>
          <w:p w14:paraId="4CCCD4A0">
            <w:pPr>
              <w:widowControl/>
              <w:snapToGrid w:val="0"/>
              <w:contextualSpacing/>
              <w:jc w:val="center"/>
              <w:rPr>
                <w:rFonts w:hint="eastAsia" w:ascii="宋体" w:hAnsi="宋体" w:cs="宋体"/>
                <w:kern w:val="0"/>
                <w:sz w:val="24"/>
              </w:rPr>
            </w:pPr>
            <w:r>
              <w:rPr>
                <w:rFonts w:hint="eastAsia" w:ascii="宋体" w:hAnsi="宋体" w:cs="宋体"/>
                <w:kern w:val="0"/>
                <w:sz w:val="24"/>
              </w:rPr>
              <w:t>100≤X＜300</w:t>
            </w:r>
          </w:p>
        </w:tc>
        <w:tc>
          <w:tcPr>
            <w:tcW w:w="1877" w:type="dxa"/>
            <w:tcBorders>
              <w:top w:val="nil"/>
              <w:left w:val="nil"/>
              <w:bottom w:val="single" w:color="auto" w:sz="4" w:space="0"/>
              <w:right w:val="single" w:color="auto" w:sz="4" w:space="0"/>
            </w:tcBorders>
            <w:noWrap w:val="0"/>
            <w:vAlign w:val="center"/>
          </w:tcPr>
          <w:p w14:paraId="1E38495E">
            <w:pPr>
              <w:widowControl/>
              <w:snapToGrid w:val="0"/>
              <w:contextualSpacing/>
              <w:jc w:val="center"/>
              <w:rPr>
                <w:rFonts w:hint="eastAsia" w:ascii="宋体" w:hAnsi="宋体" w:cs="宋体"/>
                <w:kern w:val="0"/>
                <w:sz w:val="24"/>
              </w:rPr>
            </w:pPr>
            <w:r>
              <w:rPr>
                <w:rFonts w:hint="eastAsia" w:ascii="宋体" w:hAnsi="宋体" w:cs="宋体"/>
                <w:kern w:val="0"/>
                <w:sz w:val="24"/>
              </w:rPr>
              <w:t>10≤X＜100</w:t>
            </w:r>
          </w:p>
        </w:tc>
        <w:tc>
          <w:tcPr>
            <w:tcW w:w="1134" w:type="dxa"/>
            <w:tcBorders>
              <w:top w:val="nil"/>
              <w:left w:val="nil"/>
              <w:bottom w:val="single" w:color="auto" w:sz="4" w:space="0"/>
              <w:right w:val="single" w:color="auto" w:sz="4" w:space="0"/>
            </w:tcBorders>
            <w:noWrap w:val="0"/>
            <w:vAlign w:val="center"/>
          </w:tcPr>
          <w:p w14:paraId="3FDEBD0F">
            <w:pPr>
              <w:widowControl/>
              <w:snapToGrid w:val="0"/>
              <w:contextualSpacing/>
              <w:jc w:val="center"/>
              <w:rPr>
                <w:rFonts w:hint="eastAsia" w:ascii="宋体" w:hAnsi="宋体" w:cs="宋体"/>
                <w:kern w:val="0"/>
                <w:sz w:val="24"/>
              </w:rPr>
            </w:pPr>
            <w:r>
              <w:rPr>
                <w:rFonts w:hint="eastAsia" w:ascii="宋体" w:hAnsi="宋体" w:cs="宋体"/>
                <w:kern w:val="0"/>
                <w:sz w:val="24"/>
              </w:rPr>
              <w:t>X＜10</w:t>
            </w:r>
          </w:p>
        </w:tc>
      </w:tr>
      <w:tr w14:paraId="35D3B1DE">
        <w:tblPrEx>
          <w:tblCellMar>
            <w:top w:w="0" w:type="dxa"/>
            <w:left w:w="108" w:type="dxa"/>
            <w:bottom w:w="0" w:type="dxa"/>
            <w:right w:w="108" w:type="dxa"/>
          </w:tblCellMar>
        </w:tblPrEx>
        <w:trPr>
          <w:trHeight w:val="377"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76DB0015">
            <w:pPr>
              <w:widowControl/>
              <w:snapToGrid w:val="0"/>
              <w:contextualSpacing/>
              <w:jc w:val="center"/>
              <w:rPr>
                <w:rFonts w:hint="eastAsia" w:ascii="宋体" w:hAnsi="宋体" w:cs="宋体"/>
                <w:kern w:val="0"/>
                <w:sz w:val="24"/>
              </w:rPr>
            </w:pPr>
          </w:p>
        </w:tc>
        <w:tc>
          <w:tcPr>
            <w:tcW w:w="1660" w:type="dxa"/>
            <w:tcBorders>
              <w:top w:val="nil"/>
              <w:left w:val="nil"/>
              <w:bottom w:val="single" w:color="auto" w:sz="4" w:space="0"/>
              <w:right w:val="single" w:color="auto" w:sz="4" w:space="0"/>
            </w:tcBorders>
            <w:noWrap w:val="0"/>
            <w:vAlign w:val="center"/>
          </w:tcPr>
          <w:p w14:paraId="6F3B7365">
            <w:pPr>
              <w:widowControl/>
              <w:snapToGrid w:val="0"/>
              <w:contextualSpacing/>
              <w:jc w:val="center"/>
              <w:rPr>
                <w:rFonts w:hint="eastAsia" w:ascii="宋体" w:hAnsi="宋体" w:cs="宋体"/>
                <w:kern w:val="0"/>
                <w:sz w:val="24"/>
              </w:rPr>
            </w:pPr>
            <w:r>
              <w:rPr>
                <w:rFonts w:hint="eastAsia" w:ascii="宋体" w:hAnsi="宋体" w:cs="宋体"/>
                <w:kern w:val="0"/>
                <w:sz w:val="24"/>
              </w:rPr>
              <w:t>营业收入（Y）</w:t>
            </w:r>
          </w:p>
        </w:tc>
        <w:tc>
          <w:tcPr>
            <w:tcW w:w="1466" w:type="dxa"/>
            <w:tcBorders>
              <w:top w:val="nil"/>
              <w:left w:val="nil"/>
              <w:bottom w:val="single" w:color="auto" w:sz="4" w:space="0"/>
              <w:right w:val="single" w:color="auto" w:sz="4" w:space="0"/>
            </w:tcBorders>
            <w:noWrap w:val="0"/>
            <w:vAlign w:val="center"/>
          </w:tcPr>
          <w:p w14:paraId="7FC558AD">
            <w:pPr>
              <w:widowControl/>
              <w:snapToGrid w:val="0"/>
              <w:contextualSpacing/>
              <w:jc w:val="center"/>
              <w:rPr>
                <w:rFonts w:hint="eastAsia" w:ascii="宋体" w:hAnsi="宋体" w:cs="宋体"/>
                <w:kern w:val="0"/>
                <w:sz w:val="24"/>
              </w:rPr>
            </w:pPr>
            <w:r>
              <w:rPr>
                <w:rFonts w:hint="eastAsia" w:ascii="宋体" w:hAnsi="宋体" w:cs="宋体"/>
                <w:kern w:val="0"/>
                <w:sz w:val="24"/>
              </w:rPr>
              <w:t>万元</w:t>
            </w:r>
          </w:p>
        </w:tc>
        <w:tc>
          <w:tcPr>
            <w:tcW w:w="1903" w:type="dxa"/>
            <w:tcBorders>
              <w:top w:val="nil"/>
              <w:left w:val="nil"/>
              <w:bottom w:val="single" w:color="auto" w:sz="4" w:space="0"/>
              <w:right w:val="single" w:color="auto" w:sz="4" w:space="0"/>
            </w:tcBorders>
            <w:noWrap w:val="0"/>
            <w:vAlign w:val="center"/>
          </w:tcPr>
          <w:p w14:paraId="0C5154DC">
            <w:pPr>
              <w:widowControl/>
              <w:snapToGrid w:val="0"/>
              <w:contextualSpacing/>
              <w:jc w:val="center"/>
              <w:rPr>
                <w:rFonts w:hint="eastAsia" w:ascii="宋体" w:hAnsi="宋体" w:cs="宋体"/>
                <w:kern w:val="0"/>
                <w:sz w:val="24"/>
              </w:rPr>
            </w:pPr>
            <w:r>
              <w:rPr>
                <w:rFonts w:hint="eastAsia" w:ascii="宋体" w:hAnsi="宋体" w:cs="宋体"/>
                <w:kern w:val="0"/>
                <w:sz w:val="24"/>
              </w:rPr>
              <w:t>1000≤Y＜10000</w:t>
            </w:r>
          </w:p>
        </w:tc>
        <w:tc>
          <w:tcPr>
            <w:tcW w:w="1877" w:type="dxa"/>
            <w:tcBorders>
              <w:top w:val="nil"/>
              <w:left w:val="nil"/>
              <w:bottom w:val="single" w:color="auto" w:sz="4" w:space="0"/>
              <w:right w:val="single" w:color="auto" w:sz="4" w:space="0"/>
            </w:tcBorders>
            <w:noWrap w:val="0"/>
            <w:vAlign w:val="center"/>
          </w:tcPr>
          <w:p w14:paraId="2EE8DAFF">
            <w:pPr>
              <w:widowControl/>
              <w:snapToGrid w:val="0"/>
              <w:contextualSpacing/>
              <w:jc w:val="center"/>
              <w:rPr>
                <w:rFonts w:hint="eastAsia" w:ascii="宋体" w:hAnsi="宋体" w:cs="宋体"/>
                <w:kern w:val="0"/>
                <w:sz w:val="24"/>
              </w:rPr>
            </w:pPr>
            <w:r>
              <w:rPr>
                <w:rFonts w:hint="eastAsia" w:ascii="宋体" w:hAnsi="宋体" w:cs="宋体"/>
                <w:kern w:val="0"/>
                <w:sz w:val="24"/>
              </w:rPr>
              <w:t>50≤Y＜1000</w:t>
            </w:r>
          </w:p>
        </w:tc>
        <w:tc>
          <w:tcPr>
            <w:tcW w:w="1134" w:type="dxa"/>
            <w:tcBorders>
              <w:top w:val="nil"/>
              <w:left w:val="nil"/>
              <w:bottom w:val="single" w:color="auto" w:sz="4" w:space="0"/>
              <w:right w:val="single" w:color="auto" w:sz="4" w:space="0"/>
            </w:tcBorders>
            <w:noWrap w:val="0"/>
            <w:vAlign w:val="center"/>
          </w:tcPr>
          <w:p w14:paraId="4B08D5DD">
            <w:pPr>
              <w:widowControl/>
              <w:snapToGrid w:val="0"/>
              <w:contextualSpacing/>
              <w:jc w:val="center"/>
              <w:rPr>
                <w:rFonts w:hint="eastAsia" w:ascii="宋体" w:hAnsi="宋体" w:cs="宋体"/>
                <w:kern w:val="0"/>
                <w:sz w:val="24"/>
              </w:rPr>
            </w:pPr>
            <w:r>
              <w:rPr>
                <w:rFonts w:hint="eastAsia" w:ascii="宋体" w:hAnsi="宋体" w:cs="宋体"/>
                <w:kern w:val="0"/>
                <w:sz w:val="24"/>
              </w:rPr>
              <w:t>Y＜50</w:t>
            </w:r>
          </w:p>
        </w:tc>
      </w:tr>
      <w:tr w14:paraId="6D9F272A">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5942E784">
            <w:pPr>
              <w:widowControl/>
              <w:snapToGrid w:val="0"/>
              <w:contextualSpacing/>
              <w:jc w:val="center"/>
              <w:rPr>
                <w:rFonts w:hint="eastAsia" w:ascii="宋体" w:hAnsi="宋体" w:cs="宋体"/>
                <w:b/>
                <w:bCs/>
                <w:kern w:val="0"/>
                <w:sz w:val="24"/>
              </w:rPr>
            </w:pPr>
            <w:r>
              <w:rPr>
                <w:rFonts w:hint="eastAsia" w:ascii="宋体" w:hAnsi="宋体" w:cs="宋体"/>
                <w:b/>
                <w:bCs/>
                <w:kern w:val="0"/>
                <w:sz w:val="24"/>
              </w:rPr>
              <w:t>房地产开发经营</w:t>
            </w:r>
          </w:p>
        </w:tc>
        <w:tc>
          <w:tcPr>
            <w:tcW w:w="1660" w:type="dxa"/>
            <w:tcBorders>
              <w:top w:val="nil"/>
              <w:left w:val="nil"/>
              <w:bottom w:val="single" w:color="auto" w:sz="4" w:space="0"/>
              <w:right w:val="single" w:color="auto" w:sz="4" w:space="0"/>
            </w:tcBorders>
            <w:noWrap w:val="0"/>
            <w:vAlign w:val="center"/>
          </w:tcPr>
          <w:p w14:paraId="79E5879E">
            <w:pPr>
              <w:widowControl/>
              <w:snapToGrid w:val="0"/>
              <w:contextualSpacing/>
              <w:jc w:val="center"/>
              <w:rPr>
                <w:rFonts w:hint="eastAsia" w:ascii="宋体" w:hAnsi="宋体" w:cs="宋体"/>
                <w:kern w:val="0"/>
                <w:sz w:val="24"/>
              </w:rPr>
            </w:pPr>
            <w:r>
              <w:rPr>
                <w:rFonts w:hint="eastAsia" w:ascii="宋体" w:hAnsi="宋体" w:cs="宋体"/>
                <w:kern w:val="0"/>
                <w:sz w:val="24"/>
              </w:rPr>
              <w:t>营业收入（Y）</w:t>
            </w:r>
          </w:p>
        </w:tc>
        <w:tc>
          <w:tcPr>
            <w:tcW w:w="1466" w:type="dxa"/>
            <w:tcBorders>
              <w:top w:val="nil"/>
              <w:left w:val="nil"/>
              <w:bottom w:val="single" w:color="auto" w:sz="4" w:space="0"/>
              <w:right w:val="single" w:color="auto" w:sz="4" w:space="0"/>
            </w:tcBorders>
            <w:noWrap w:val="0"/>
            <w:vAlign w:val="center"/>
          </w:tcPr>
          <w:p w14:paraId="623CACAE">
            <w:pPr>
              <w:widowControl/>
              <w:snapToGrid w:val="0"/>
              <w:contextualSpacing/>
              <w:jc w:val="center"/>
              <w:rPr>
                <w:rFonts w:hint="eastAsia" w:ascii="宋体" w:hAnsi="宋体" w:cs="宋体"/>
                <w:kern w:val="0"/>
                <w:sz w:val="24"/>
              </w:rPr>
            </w:pPr>
            <w:r>
              <w:rPr>
                <w:rFonts w:hint="eastAsia" w:ascii="宋体" w:hAnsi="宋体" w:cs="宋体"/>
                <w:kern w:val="0"/>
                <w:sz w:val="24"/>
              </w:rPr>
              <w:t>万元</w:t>
            </w:r>
          </w:p>
        </w:tc>
        <w:tc>
          <w:tcPr>
            <w:tcW w:w="1903" w:type="dxa"/>
            <w:tcBorders>
              <w:top w:val="nil"/>
              <w:left w:val="nil"/>
              <w:bottom w:val="single" w:color="auto" w:sz="4" w:space="0"/>
              <w:right w:val="single" w:color="auto" w:sz="4" w:space="0"/>
            </w:tcBorders>
            <w:noWrap w:val="0"/>
            <w:vAlign w:val="center"/>
          </w:tcPr>
          <w:p w14:paraId="7530F0E1">
            <w:pPr>
              <w:widowControl/>
              <w:snapToGrid w:val="0"/>
              <w:contextualSpacing/>
              <w:jc w:val="center"/>
              <w:rPr>
                <w:rFonts w:hint="eastAsia" w:ascii="宋体" w:hAnsi="宋体" w:cs="宋体"/>
                <w:kern w:val="0"/>
                <w:sz w:val="24"/>
              </w:rPr>
            </w:pPr>
            <w:r>
              <w:rPr>
                <w:rFonts w:hint="eastAsia" w:ascii="宋体" w:hAnsi="宋体" w:cs="宋体"/>
                <w:kern w:val="0"/>
                <w:sz w:val="24"/>
              </w:rPr>
              <w:t>1000≤Y＜200000</w:t>
            </w:r>
          </w:p>
        </w:tc>
        <w:tc>
          <w:tcPr>
            <w:tcW w:w="1877" w:type="dxa"/>
            <w:tcBorders>
              <w:top w:val="nil"/>
              <w:left w:val="nil"/>
              <w:bottom w:val="single" w:color="auto" w:sz="4" w:space="0"/>
              <w:right w:val="single" w:color="auto" w:sz="4" w:space="0"/>
            </w:tcBorders>
            <w:noWrap w:val="0"/>
            <w:vAlign w:val="center"/>
          </w:tcPr>
          <w:p w14:paraId="0380CD32">
            <w:pPr>
              <w:widowControl/>
              <w:snapToGrid w:val="0"/>
              <w:contextualSpacing/>
              <w:jc w:val="center"/>
              <w:rPr>
                <w:rFonts w:hint="eastAsia" w:ascii="宋体" w:hAnsi="宋体" w:cs="宋体"/>
                <w:kern w:val="0"/>
                <w:sz w:val="24"/>
              </w:rPr>
            </w:pPr>
            <w:r>
              <w:rPr>
                <w:rFonts w:hint="eastAsia" w:ascii="宋体" w:hAnsi="宋体" w:cs="宋体"/>
                <w:kern w:val="0"/>
                <w:sz w:val="24"/>
              </w:rPr>
              <w:t>100≤X＜1000</w:t>
            </w:r>
          </w:p>
        </w:tc>
        <w:tc>
          <w:tcPr>
            <w:tcW w:w="1134" w:type="dxa"/>
            <w:tcBorders>
              <w:top w:val="nil"/>
              <w:left w:val="nil"/>
              <w:bottom w:val="single" w:color="auto" w:sz="4" w:space="0"/>
              <w:right w:val="single" w:color="auto" w:sz="4" w:space="0"/>
            </w:tcBorders>
            <w:noWrap w:val="0"/>
            <w:vAlign w:val="center"/>
          </w:tcPr>
          <w:p w14:paraId="59DD4848">
            <w:pPr>
              <w:widowControl/>
              <w:snapToGrid w:val="0"/>
              <w:contextualSpacing/>
              <w:jc w:val="center"/>
              <w:rPr>
                <w:rFonts w:hint="eastAsia" w:ascii="宋体" w:hAnsi="宋体" w:cs="宋体"/>
                <w:kern w:val="0"/>
                <w:sz w:val="24"/>
              </w:rPr>
            </w:pPr>
            <w:r>
              <w:rPr>
                <w:rFonts w:hint="eastAsia" w:ascii="宋体" w:hAnsi="宋体" w:cs="宋体"/>
                <w:kern w:val="0"/>
                <w:sz w:val="24"/>
              </w:rPr>
              <w:t>X＜100</w:t>
            </w:r>
          </w:p>
        </w:tc>
      </w:tr>
      <w:tr w14:paraId="0EF0D6C0">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5FB2638A">
            <w:pPr>
              <w:widowControl/>
              <w:snapToGrid w:val="0"/>
              <w:contextualSpacing/>
              <w:jc w:val="center"/>
              <w:rPr>
                <w:rFonts w:hint="eastAsia" w:ascii="宋体" w:hAnsi="宋体" w:cs="宋体"/>
                <w:b/>
                <w:bCs/>
                <w:kern w:val="0"/>
                <w:sz w:val="24"/>
              </w:rPr>
            </w:pPr>
          </w:p>
        </w:tc>
        <w:tc>
          <w:tcPr>
            <w:tcW w:w="1660" w:type="dxa"/>
            <w:tcBorders>
              <w:top w:val="nil"/>
              <w:left w:val="nil"/>
              <w:bottom w:val="single" w:color="auto" w:sz="4" w:space="0"/>
              <w:right w:val="single" w:color="auto" w:sz="4" w:space="0"/>
            </w:tcBorders>
            <w:noWrap w:val="0"/>
            <w:vAlign w:val="center"/>
          </w:tcPr>
          <w:p w14:paraId="3D4A4123">
            <w:pPr>
              <w:widowControl/>
              <w:snapToGrid w:val="0"/>
              <w:contextualSpacing/>
              <w:jc w:val="center"/>
              <w:rPr>
                <w:rFonts w:hint="eastAsia" w:ascii="宋体" w:hAnsi="宋体" w:cs="宋体"/>
                <w:kern w:val="0"/>
                <w:sz w:val="24"/>
              </w:rPr>
            </w:pPr>
            <w:r>
              <w:rPr>
                <w:rFonts w:hint="eastAsia" w:ascii="宋体" w:hAnsi="宋体" w:cs="宋体"/>
                <w:kern w:val="0"/>
                <w:sz w:val="24"/>
              </w:rPr>
              <w:t>资产总额（Z）</w:t>
            </w:r>
          </w:p>
        </w:tc>
        <w:tc>
          <w:tcPr>
            <w:tcW w:w="1466" w:type="dxa"/>
            <w:tcBorders>
              <w:top w:val="nil"/>
              <w:left w:val="nil"/>
              <w:bottom w:val="single" w:color="auto" w:sz="4" w:space="0"/>
              <w:right w:val="single" w:color="auto" w:sz="4" w:space="0"/>
            </w:tcBorders>
            <w:noWrap w:val="0"/>
            <w:vAlign w:val="center"/>
          </w:tcPr>
          <w:p w14:paraId="25961555">
            <w:pPr>
              <w:widowControl/>
              <w:snapToGrid w:val="0"/>
              <w:contextualSpacing/>
              <w:jc w:val="center"/>
              <w:rPr>
                <w:rFonts w:hint="eastAsia" w:ascii="宋体" w:hAnsi="宋体" w:cs="宋体"/>
                <w:kern w:val="0"/>
                <w:sz w:val="24"/>
              </w:rPr>
            </w:pPr>
            <w:r>
              <w:rPr>
                <w:rFonts w:hint="eastAsia" w:ascii="宋体" w:hAnsi="宋体" w:cs="宋体"/>
                <w:kern w:val="0"/>
                <w:sz w:val="24"/>
              </w:rPr>
              <w:t>万元</w:t>
            </w:r>
          </w:p>
        </w:tc>
        <w:tc>
          <w:tcPr>
            <w:tcW w:w="1903" w:type="dxa"/>
            <w:tcBorders>
              <w:top w:val="nil"/>
              <w:left w:val="nil"/>
              <w:bottom w:val="single" w:color="auto" w:sz="4" w:space="0"/>
              <w:right w:val="single" w:color="auto" w:sz="4" w:space="0"/>
            </w:tcBorders>
            <w:noWrap w:val="0"/>
            <w:vAlign w:val="center"/>
          </w:tcPr>
          <w:p w14:paraId="1809A5CF">
            <w:pPr>
              <w:widowControl/>
              <w:snapToGrid w:val="0"/>
              <w:contextualSpacing/>
              <w:jc w:val="center"/>
              <w:rPr>
                <w:rFonts w:hint="eastAsia" w:ascii="宋体" w:hAnsi="宋体" w:cs="宋体"/>
                <w:kern w:val="0"/>
                <w:sz w:val="24"/>
              </w:rPr>
            </w:pPr>
            <w:r>
              <w:rPr>
                <w:rFonts w:hint="eastAsia" w:ascii="宋体" w:hAnsi="宋体" w:cs="宋体"/>
                <w:kern w:val="0"/>
                <w:sz w:val="24"/>
              </w:rPr>
              <w:t>5000≤Z＜10000</w:t>
            </w:r>
          </w:p>
        </w:tc>
        <w:tc>
          <w:tcPr>
            <w:tcW w:w="1877" w:type="dxa"/>
            <w:tcBorders>
              <w:top w:val="nil"/>
              <w:left w:val="nil"/>
              <w:bottom w:val="single" w:color="auto" w:sz="4" w:space="0"/>
              <w:right w:val="single" w:color="auto" w:sz="4" w:space="0"/>
            </w:tcBorders>
            <w:noWrap w:val="0"/>
            <w:vAlign w:val="center"/>
          </w:tcPr>
          <w:p w14:paraId="44C1F9EE">
            <w:pPr>
              <w:widowControl/>
              <w:snapToGrid w:val="0"/>
              <w:contextualSpacing/>
              <w:jc w:val="center"/>
              <w:rPr>
                <w:rFonts w:hint="eastAsia" w:ascii="宋体" w:hAnsi="宋体" w:cs="宋体"/>
                <w:kern w:val="0"/>
                <w:sz w:val="24"/>
              </w:rPr>
            </w:pPr>
            <w:r>
              <w:rPr>
                <w:rFonts w:hint="eastAsia" w:ascii="宋体" w:hAnsi="宋体" w:cs="宋体"/>
                <w:kern w:val="0"/>
                <w:sz w:val="24"/>
              </w:rPr>
              <w:t>2000≤Y＜5000</w:t>
            </w:r>
          </w:p>
        </w:tc>
        <w:tc>
          <w:tcPr>
            <w:tcW w:w="1134" w:type="dxa"/>
            <w:tcBorders>
              <w:top w:val="nil"/>
              <w:left w:val="nil"/>
              <w:bottom w:val="single" w:color="auto" w:sz="4" w:space="0"/>
              <w:right w:val="single" w:color="auto" w:sz="4" w:space="0"/>
            </w:tcBorders>
            <w:noWrap w:val="0"/>
            <w:vAlign w:val="center"/>
          </w:tcPr>
          <w:p w14:paraId="05DAA32E">
            <w:pPr>
              <w:widowControl/>
              <w:snapToGrid w:val="0"/>
              <w:contextualSpacing/>
              <w:jc w:val="center"/>
              <w:rPr>
                <w:rFonts w:hint="eastAsia" w:ascii="宋体" w:hAnsi="宋体" w:cs="宋体"/>
                <w:kern w:val="0"/>
                <w:sz w:val="24"/>
              </w:rPr>
            </w:pPr>
            <w:r>
              <w:rPr>
                <w:rFonts w:hint="eastAsia" w:ascii="宋体" w:hAnsi="宋体" w:cs="宋体"/>
                <w:kern w:val="0"/>
                <w:sz w:val="24"/>
              </w:rPr>
              <w:t>Y＜2000</w:t>
            </w:r>
          </w:p>
        </w:tc>
      </w:tr>
      <w:tr w14:paraId="7609D467">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6EE9A4A6">
            <w:pPr>
              <w:widowControl/>
              <w:snapToGrid w:val="0"/>
              <w:contextualSpacing/>
              <w:jc w:val="center"/>
              <w:rPr>
                <w:rFonts w:hint="eastAsia" w:ascii="宋体" w:hAnsi="宋体" w:cs="宋体"/>
                <w:b/>
                <w:bCs/>
                <w:kern w:val="0"/>
                <w:sz w:val="24"/>
              </w:rPr>
            </w:pPr>
            <w:r>
              <w:rPr>
                <w:rFonts w:hint="eastAsia" w:ascii="宋体" w:hAnsi="宋体" w:cs="宋体"/>
                <w:b/>
                <w:bCs/>
                <w:kern w:val="0"/>
                <w:sz w:val="24"/>
              </w:rPr>
              <w:t>物业管理</w:t>
            </w:r>
          </w:p>
        </w:tc>
        <w:tc>
          <w:tcPr>
            <w:tcW w:w="1660" w:type="dxa"/>
            <w:tcBorders>
              <w:top w:val="nil"/>
              <w:left w:val="nil"/>
              <w:bottom w:val="single" w:color="auto" w:sz="4" w:space="0"/>
              <w:right w:val="single" w:color="auto" w:sz="4" w:space="0"/>
            </w:tcBorders>
            <w:noWrap w:val="0"/>
            <w:vAlign w:val="center"/>
          </w:tcPr>
          <w:p w14:paraId="2F284336">
            <w:pPr>
              <w:widowControl/>
              <w:snapToGrid w:val="0"/>
              <w:contextualSpacing/>
              <w:jc w:val="center"/>
              <w:rPr>
                <w:rFonts w:hint="eastAsia" w:ascii="宋体" w:hAnsi="宋体" w:cs="宋体"/>
                <w:kern w:val="0"/>
                <w:sz w:val="24"/>
              </w:rPr>
            </w:pPr>
            <w:r>
              <w:rPr>
                <w:rFonts w:hint="eastAsia" w:ascii="宋体" w:hAnsi="宋体" w:cs="宋体"/>
                <w:kern w:val="0"/>
                <w:sz w:val="24"/>
              </w:rPr>
              <w:t>从业人员（X）</w:t>
            </w:r>
          </w:p>
        </w:tc>
        <w:tc>
          <w:tcPr>
            <w:tcW w:w="1466" w:type="dxa"/>
            <w:tcBorders>
              <w:top w:val="nil"/>
              <w:left w:val="nil"/>
              <w:bottom w:val="single" w:color="auto" w:sz="4" w:space="0"/>
              <w:right w:val="single" w:color="auto" w:sz="4" w:space="0"/>
            </w:tcBorders>
            <w:noWrap w:val="0"/>
            <w:vAlign w:val="center"/>
          </w:tcPr>
          <w:p w14:paraId="28C429EF">
            <w:pPr>
              <w:widowControl/>
              <w:snapToGrid w:val="0"/>
              <w:contextualSpacing/>
              <w:jc w:val="center"/>
              <w:rPr>
                <w:rFonts w:hint="eastAsia" w:ascii="宋体" w:hAnsi="宋体" w:cs="宋体"/>
                <w:kern w:val="0"/>
                <w:sz w:val="24"/>
              </w:rPr>
            </w:pPr>
            <w:r>
              <w:rPr>
                <w:rFonts w:hint="eastAsia" w:ascii="宋体" w:hAnsi="宋体" w:cs="宋体"/>
                <w:kern w:val="0"/>
                <w:sz w:val="24"/>
              </w:rPr>
              <w:t>人</w:t>
            </w:r>
          </w:p>
        </w:tc>
        <w:tc>
          <w:tcPr>
            <w:tcW w:w="1903" w:type="dxa"/>
            <w:tcBorders>
              <w:top w:val="nil"/>
              <w:left w:val="nil"/>
              <w:bottom w:val="single" w:color="auto" w:sz="4" w:space="0"/>
              <w:right w:val="single" w:color="auto" w:sz="4" w:space="0"/>
            </w:tcBorders>
            <w:noWrap w:val="0"/>
            <w:vAlign w:val="center"/>
          </w:tcPr>
          <w:p w14:paraId="44FD49DF">
            <w:pPr>
              <w:widowControl/>
              <w:snapToGrid w:val="0"/>
              <w:contextualSpacing/>
              <w:jc w:val="center"/>
              <w:rPr>
                <w:rFonts w:hint="eastAsia" w:ascii="宋体" w:hAnsi="宋体" w:cs="宋体"/>
                <w:kern w:val="0"/>
                <w:sz w:val="24"/>
              </w:rPr>
            </w:pPr>
            <w:r>
              <w:rPr>
                <w:rFonts w:hint="eastAsia" w:ascii="宋体" w:hAnsi="宋体" w:cs="宋体"/>
                <w:kern w:val="0"/>
                <w:sz w:val="24"/>
              </w:rPr>
              <w:t>300≤X＜1000</w:t>
            </w:r>
          </w:p>
        </w:tc>
        <w:tc>
          <w:tcPr>
            <w:tcW w:w="1877" w:type="dxa"/>
            <w:tcBorders>
              <w:top w:val="nil"/>
              <w:left w:val="nil"/>
              <w:bottom w:val="single" w:color="auto" w:sz="4" w:space="0"/>
              <w:right w:val="single" w:color="auto" w:sz="4" w:space="0"/>
            </w:tcBorders>
            <w:noWrap w:val="0"/>
            <w:vAlign w:val="center"/>
          </w:tcPr>
          <w:p w14:paraId="683D3F33">
            <w:pPr>
              <w:widowControl/>
              <w:snapToGrid w:val="0"/>
              <w:contextualSpacing/>
              <w:jc w:val="center"/>
              <w:rPr>
                <w:rFonts w:hint="eastAsia" w:ascii="宋体" w:hAnsi="宋体" w:cs="宋体"/>
                <w:kern w:val="0"/>
                <w:sz w:val="24"/>
              </w:rPr>
            </w:pPr>
            <w:r>
              <w:rPr>
                <w:rFonts w:hint="eastAsia" w:ascii="宋体" w:hAnsi="宋体" w:cs="宋体"/>
                <w:kern w:val="0"/>
                <w:sz w:val="24"/>
              </w:rPr>
              <w:t>100≤X＜300</w:t>
            </w:r>
          </w:p>
        </w:tc>
        <w:tc>
          <w:tcPr>
            <w:tcW w:w="1134" w:type="dxa"/>
            <w:tcBorders>
              <w:top w:val="nil"/>
              <w:left w:val="nil"/>
              <w:bottom w:val="single" w:color="auto" w:sz="4" w:space="0"/>
              <w:right w:val="single" w:color="auto" w:sz="4" w:space="0"/>
            </w:tcBorders>
            <w:noWrap w:val="0"/>
            <w:vAlign w:val="center"/>
          </w:tcPr>
          <w:p w14:paraId="1BDE28C4">
            <w:pPr>
              <w:widowControl/>
              <w:snapToGrid w:val="0"/>
              <w:contextualSpacing/>
              <w:jc w:val="center"/>
              <w:rPr>
                <w:rFonts w:hint="eastAsia" w:ascii="宋体" w:hAnsi="宋体" w:cs="宋体"/>
                <w:kern w:val="0"/>
                <w:sz w:val="24"/>
              </w:rPr>
            </w:pPr>
            <w:r>
              <w:rPr>
                <w:rFonts w:hint="eastAsia" w:ascii="宋体" w:hAnsi="宋体" w:cs="宋体"/>
                <w:kern w:val="0"/>
                <w:sz w:val="24"/>
              </w:rPr>
              <w:t>X＜100</w:t>
            </w:r>
          </w:p>
        </w:tc>
      </w:tr>
      <w:tr w14:paraId="08FE223E">
        <w:tblPrEx>
          <w:tblCellMar>
            <w:top w:w="0" w:type="dxa"/>
            <w:left w:w="108" w:type="dxa"/>
            <w:bottom w:w="0" w:type="dxa"/>
            <w:right w:w="108" w:type="dxa"/>
          </w:tblCellMar>
        </w:tblPrEx>
        <w:trPr>
          <w:trHeight w:val="90"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00523979">
            <w:pPr>
              <w:widowControl/>
              <w:snapToGrid w:val="0"/>
              <w:contextualSpacing/>
              <w:jc w:val="center"/>
              <w:rPr>
                <w:rFonts w:hint="eastAsia" w:ascii="宋体" w:hAnsi="宋体" w:cs="宋体"/>
                <w:b/>
                <w:bCs/>
                <w:kern w:val="0"/>
                <w:sz w:val="24"/>
              </w:rPr>
            </w:pPr>
          </w:p>
        </w:tc>
        <w:tc>
          <w:tcPr>
            <w:tcW w:w="1660" w:type="dxa"/>
            <w:tcBorders>
              <w:top w:val="nil"/>
              <w:left w:val="nil"/>
              <w:bottom w:val="single" w:color="auto" w:sz="4" w:space="0"/>
              <w:right w:val="single" w:color="auto" w:sz="4" w:space="0"/>
            </w:tcBorders>
            <w:noWrap w:val="0"/>
            <w:vAlign w:val="center"/>
          </w:tcPr>
          <w:p w14:paraId="05BBF0ED">
            <w:pPr>
              <w:widowControl/>
              <w:snapToGrid w:val="0"/>
              <w:contextualSpacing/>
              <w:jc w:val="center"/>
              <w:rPr>
                <w:rFonts w:hint="eastAsia" w:ascii="宋体" w:hAnsi="宋体" w:cs="宋体"/>
                <w:kern w:val="0"/>
                <w:sz w:val="24"/>
              </w:rPr>
            </w:pPr>
            <w:r>
              <w:rPr>
                <w:rFonts w:hint="eastAsia" w:ascii="宋体" w:hAnsi="宋体" w:cs="宋体"/>
                <w:kern w:val="0"/>
                <w:sz w:val="24"/>
              </w:rPr>
              <w:t>营业收入（Y）</w:t>
            </w:r>
          </w:p>
        </w:tc>
        <w:tc>
          <w:tcPr>
            <w:tcW w:w="1466" w:type="dxa"/>
            <w:tcBorders>
              <w:top w:val="nil"/>
              <w:left w:val="nil"/>
              <w:bottom w:val="single" w:color="auto" w:sz="4" w:space="0"/>
              <w:right w:val="single" w:color="auto" w:sz="4" w:space="0"/>
            </w:tcBorders>
            <w:noWrap w:val="0"/>
            <w:vAlign w:val="center"/>
          </w:tcPr>
          <w:p w14:paraId="18A842C8">
            <w:pPr>
              <w:widowControl/>
              <w:snapToGrid w:val="0"/>
              <w:contextualSpacing/>
              <w:jc w:val="center"/>
              <w:rPr>
                <w:rFonts w:hint="eastAsia" w:ascii="宋体" w:hAnsi="宋体" w:cs="宋体"/>
                <w:kern w:val="0"/>
                <w:sz w:val="24"/>
              </w:rPr>
            </w:pPr>
            <w:r>
              <w:rPr>
                <w:rFonts w:hint="eastAsia" w:ascii="宋体" w:hAnsi="宋体" w:cs="宋体"/>
                <w:kern w:val="0"/>
                <w:sz w:val="24"/>
              </w:rPr>
              <w:t>万元</w:t>
            </w:r>
          </w:p>
        </w:tc>
        <w:tc>
          <w:tcPr>
            <w:tcW w:w="1903" w:type="dxa"/>
            <w:tcBorders>
              <w:top w:val="nil"/>
              <w:left w:val="nil"/>
              <w:bottom w:val="single" w:color="auto" w:sz="4" w:space="0"/>
              <w:right w:val="single" w:color="auto" w:sz="4" w:space="0"/>
            </w:tcBorders>
            <w:noWrap w:val="0"/>
            <w:vAlign w:val="center"/>
          </w:tcPr>
          <w:p w14:paraId="437F4868">
            <w:pPr>
              <w:widowControl/>
              <w:snapToGrid w:val="0"/>
              <w:contextualSpacing/>
              <w:jc w:val="center"/>
              <w:rPr>
                <w:rFonts w:hint="eastAsia" w:ascii="宋体" w:hAnsi="宋体" w:cs="宋体"/>
                <w:kern w:val="0"/>
                <w:sz w:val="24"/>
              </w:rPr>
            </w:pPr>
            <w:r>
              <w:rPr>
                <w:rFonts w:hint="eastAsia" w:ascii="宋体" w:hAnsi="宋体" w:cs="宋体"/>
                <w:kern w:val="0"/>
                <w:sz w:val="24"/>
              </w:rPr>
              <w:t>1000≤Y＜5000</w:t>
            </w:r>
          </w:p>
        </w:tc>
        <w:tc>
          <w:tcPr>
            <w:tcW w:w="1877" w:type="dxa"/>
            <w:tcBorders>
              <w:top w:val="nil"/>
              <w:left w:val="nil"/>
              <w:bottom w:val="single" w:color="auto" w:sz="4" w:space="0"/>
              <w:right w:val="single" w:color="auto" w:sz="4" w:space="0"/>
            </w:tcBorders>
            <w:noWrap w:val="0"/>
            <w:vAlign w:val="center"/>
          </w:tcPr>
          <w:p w14:paraId="54EC36C7">
            <w:pPr>
              <w:widowControl/>
              <w:snapToGrid w:val="0"/>
              <w:contextualSpacing/>
              <w:jc w:val="center"/>
              <w:rPr>
                <w:rFonts w:hint="eastAsia" w:ascii="宋体" w:hAnsi="宋体" w:cs="宋体"/>
                <w:kern w:val="0"/>
                <w:sz w:val="24"/>
              </w:rPr>
            </w:pPr>
            <w:r>
              <w:rPr>
                <w:rFonts w:hint="eastAsia" w:ascii="宋体" w:hAnsi="宋体" w:cs="宋体"/>
                <w:kern w:val="0"/>
                <w:sz w:val="24"/>
              </w:rPr>
              <w:t>500≤Y＜1000</w:t>
            </w:r>
          </w:p>
        </w:tc>
        <w:tc>
          <w:tcPr>
            <w:tcW w:w="1134" w:type="dxa"/>
            <w:tcBorders>
              <w:top w:val="nil"/>
              <w:left w:val="nil"/>
              <w:bottom w:val="single" w:color="auto" w:sz="4" w:space="0"/>
              <w:right w:val="single" w:color="auto" w:sz="4" w:space="0"/>
            </w:tcBorders>
            <w:noWrap w:val="0"/>
            <w:vAlign w:val="center"/>
          </w:tcPr>
          <w:p w14:paraId="3678C7F0">
            <w:pPr>
              <w:widowControl/>
              <w:snapToGrid w:val="0"/>
              <w:contextualSpacing/>
              <w:jc w:val="center"/>
              <w:rPr>
                <w:rFonts w:hint="eastAsia" w:ascii="宋体" w:hAnsi="宋体" w:cs="宋体"/>
                <w:kern w:val="0"/>
                <w:sz w:val="24"/>
              </w:rPr>
            </w:pPr>
            <w:r>
              <w:rPr>
                <w:rFonts w:hint="eastAsia" w:ascii="宋体" w:hAnsi="宋体" w:cs="宋体"/>
                <w:kern w:val="0"/>
                <w:sz w:val="24"/>
              </w:rPr>
              <w:t>Y＜500</w:t>
            </w:r>
          </w:p>
        </w:tc>
      </w:tr>
      <w:tr w14:paraId="74B5DF83">
        <w:tblPrEx>
          <w:tblCellMar>
            <w:top w:w="0" w:type="dxa"/>
            <w:left w:w="108" w:type="dxa"/>
            <w:bottom w:w="0" w:type="dxa"/>
            <w:right w:w="108" w:type="dxa"/>
          </w:tblCellMar>
        </w:tblPrEx>
        <w:trPr>
          <w:trHeight w:val="242"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63761D6F">
            <w:pPr>
              <w:widowControl/>
              <w:snapToGrid w:val="0"/>
              <w:contextualSpacing/>
              <w:jc w:val="center"/>
              <w:rPr>
                <w:rFonts w:hint="eastAsia" w:ascii="宋体" w:hAnsi="宋体" w:cs="宋体"/>
                <w:b/>
                <w:bCs/>
                <w:kern w:val="0"/>
                <w:sz w:val="24"/>
              </w:rPr>
            </w:pPr>
            <w:r>
              <w:rPr>
                <w:rFonts w:hint="eastAsia" w:ascii="宋体" w:hAnsi="宋体" w:cs="宋体"/>
                <w:b/>
                <w:bCs/>
                <w:kern w:val="0"/>
                <w:sz w:val="24"/>
              </w:rPr>
              <w:t>租赁和商务服务业</w:t>
            </w:r>
          </w:p>
        </w:tc>
        <w:tc>
          <w:tcPr>
            <w:tcW w:w="1660" w:type="dxa"/>
            <w:tcBorders>
              <w:top w:val="nil"/>
              <w:left w:val="nil"/>
              <w:bottom w:val="single" w:color="auto" w:sz="4" w:space="0"/>
              <w:right w:val="single" w:color="auto" w:sz="4" w:space="0"/>
            </w:tcBorders>
            <w:noWrap w:val="0"/>
            <w:vAlign w:val="center"/>
          </w:tcPr>
          <w:p w14:paraId="6DE108D3">
            <w:pPr>
              <w:widowControl/>
              <w:snapToGrid w:val="0"/>
              <w:contextualSpacing/>
              <w:jc w:val="center"/>
              <w:rPr>
                <w:rFonts w:hint="eastAsia" w:ascii="宋体" w:hAnsi="宋体" w:cs="宋体"/>
                <w:kern w:val="0"/>
                <w:sz w:val="24"/>
              </w:rPr>
            </w:pPr>
            <w:r>
              <w:rPr>
                <w:rFonts w:hint="eastAsia" w:ascii="宋体" w:hAnsi="宋体" w:cs="宋体"/>
                <w:kern w:val="0"/>
                <w:sz w:val="24"/>
              </w:rPr>
              <w:t>从业人员（X）</w:t>
            </w:r>
          </w:p>
        </w:tc>
        <w:tc>
          <w:tcPr>
            <w:tcW w:w="1466" w:type="dxa"/>
            <w:tcBorders>
              <w:top w:val="nil"/>
              <w:left w:val="nil"/>
              <w:bottom w:val="single" w:color="auto" w:sz="4" w:space="0"/>
              <w:right w:val="single" w:color="auto" w:sz="4" w:space="0"/>
            </w:tcBorders>
            <w:noWrap w:val="0"/>
            <w:vAlign w:val="center"/>
          </w:tcPr>
          <w:p w14:paraId="70A4318D">
            <w:pPr>
              <w:widowControl/>
              <w:snapToGrid w:val="0"/>
              <w:contextualSpacing/>
              <w:jc w:val="center"/>
              <w:rPr>
                <w:rFonts w:hint="eastAsia" w:ascii="宋体" w:hAnsi="宋体" w:cs="宋体"/>
                <w:kern w:val="0"/>
                <w:sz w:val="24"/>
              </w:rPr>
            </w:pPr>
            <w:r>
              <w:rPr>
                <w:rFonts w:hint="eastAsia" w:ascii="宋体" w:hAnsi="宋体" w:cs="宋体"/>
                <w:kern w:val="0"/>
                <w:sz w:val="24"/>
              </w:rPr>
              <w:t>人</w:t>
            </w:r>
          </w:p>
        </w:tc>
        <w:tc>
          <w:tcPr>
            <w:tcW w:w="1903" w:type="dxa"/>
            <w:tcBorders>
              <w:top w:val="nil"/>
              <w:left w:val="nil"/>
              <w:bottom w:val="single" w:color="auto" w:sz="4" w:space="0"/>
              <w:right w:val="single" w:color="auto" w:sz="4" w:space="0"/>
            </w:tcBorders>
            <w:noWrap w:val="0"/>
            <w:vAlign w:val="center"/>
          </w:tcPr>
          <w:p w14:paraId="35314892">
            <w:pPr>
              <w:widowControl/>
              <w:snapToGrid w:val="0"/>
              <w:contextualSpacing/>
              <w:jc w:val="center"/>
              <w:rPr>
                <w:rFonts w:hint="eastAsia" w:ascii="宋体" w:hAnsi="宋体" w:cs="宋体"/>
                <w:kern w:val="0"/>
                <w:sz w:val="24"/>
              </w:rPr>
            </w:pPr>
            <w:r>
              <w:rPr>
                <w:rFonts w:hint="eastAsia" w:ascii="宋体" w:hAnsi="宋体" w:cs="宋体"/>
                <w:kern w:val="0"/>
                <w:sz w:val="24"/>
              </w:rPr>
              <w:t>100≤X＜300</w:t>
            </w:r>
          </w:p>
        </w:tc>
        <w:tc>
          <w:tcPr>
            <w:tcW w:w="1877" w:type="dxa"/>
            <w:tcBorders>
              <w:top w:val="nil"/>
              <w:left w:val="nil"/>
              <w:bottom w:val="single" w:color="auto" w:sz="4" w:space="0"/>
              <w:right w:val="single" w:color="auto" w:sz="4" w:space="0"/>
            </w:tcBorders>
            <w:noWrap w:val="0"/>
            <w:vAlign w:val="center"/>
          </w:tcPr>
          <w:p w14:paraId="3AA9288B">
            <w:pPr>
              <w:widowControl/>
              <w:snapToGrid w:val="0"/>
              <w:contextualSpacing/>
              <w:jc w:val="center"/>
              <w:rPr>
                <w:rFonts w:hint="eastAsia" w:ascii="宋体" w:hAnsi="宋体" w:cs="宋体"/>
                <w:kern w:val="0"/>
                <w:sz w:val="24"/>
              </w:rPr>
            </w:pPr>
            <w:r>
              <w:rPr>
                <w:rFonts w:hint="eastAsia" w:ascii="宋体" w:hAnsi="宋体" w:cs="宋体"/>
                <w:kern w:val="0"/>
                <w:sz w:val="24"/>
              </w:rPr>
              <w:t>10≤X＜100</w:t>
            </w:r>
          </w:p>
        </w:tc>
        <w:tc>
          <w:tcPr>
            <w:tcW w:w="1134" w:type="dxa"/>
            <w:tcBorders>
              <w:top w:val="nil"/>
              <w:left w:val="nil"/>
              <w:bottom w:val="single" w:color="auto" w:sz="4" w:space="0"/>
              <w:right w:val="single" w:color="auto" w:sz="4" w:space="0"/>
            </w:tcBorders>
            <w:noWrap w:val="0"/>
            <w:vAlign w:val="center"/>
          </w:tcPr>
          <w:p w14:paraId="5E7F0B9F">
            <w:pPr>
              <w:widowControl/>
              <w:snapToGrid w:val="0"/>
              <w:contextualSpacing/>
              <w:jc w:val="center"/>
              <w:rPr>
                <w:rFonts w:hint="eastAsia" w:ascii="宋体" w:hAnsi="宋体" w:cs="宋体"/>
                <w:kern w:val="0"/>
                <w:sz w:val="24"/>
              </w:rPr>
            </w:pPr>
            <w:r>
              <w:rPr>
                <w:rFonts w:hint="eastAsia" w:ascii="宋体" w:hAnsi="宋体" w:cs="宋体"/>
                <w:kern w:val="0"/>
                <w:sz w:val="24"/>
              </w:rPr>
              <w:t>X＜10</w:t>
            </w:r>
          </w:p>
        </w:tc>
      </w:tr>
      <w:tr w14:paraId="22F13CEC">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3BE930D8">
            <w:pPr>
              <w:widowControl/>
              <w:snapToGrid w:val="0"/>
              <w:contextualSpacing/>
              <w:jc w:val="center"/>
              <w:rPr>
                <w:rFonts w:hint="eastAsia" w:ascii="宋体" w:hAnsi="宋体" w:cs="宋体"/>
                <w:b/>
                <w:bCs/>
                <w:kern w:val="0"/>
                <w:sz w:val="24"/>
              </w:rPr>
            </w:pPr>
          </w:p>
        </w:tc>
        <w:tc>
          <w:tcPr>
            <w:tcW w:w="1660" w:type="dxa"/>
            <w:tcBorders>
              <w:top w:val="nil"/>
              <w:left w:val="nil"/>
              <w:bottom w:val="single" w:color="auto" w:sz="4" w:space="0"/>
              <w:right w:val="single" w:color="auto" w:sz="4" w:space="0"/>
            </w:tcBorders>
            <w:noWrap w:val="0"/>
            <w:vAlign w:val="center"/>
          </w:tcPr>
          <w:p w14:paraId="010DF3FE">
            <w:pPr>
              <w:widowControl/>
              <w:snapToGrid w:val="0"/>
              <w:contextualSpacing/>
              <w:jc w:val="center"/>
              <w:rPr>
                <w:rFonts w:hint="eastAsia" w:ascii="宋体" w:hAnsi="宋体" w:cs="宋体"/>
                <w:kern w:val="0"/>
                <w:sz w:val="24"/>
              </w:rPr>
            </w:pPr>
            <w:r>
              <w:rPr>
                <w:rFonts w:hint="eastAsia" w:ascii="宋体" w:hAnsi="宋体" w:cs="宋体"/>
                <w:kern w:val="0"/>
                <w:sz w:val="24"/>
              </w:rPr>
              <w:t>资产总额（Z）</w:t>
            </w:r>
          </w:p>
        </w:tc>
        <w:tc>
          <w:tcPr>
            <w:tcW w:w="1466" w:type="dxa"/>
            <w:tcBorders>
              <w:top w:val="nil"/>
              <w:left w:val="nil"/>
              <w:bottom w:val="single" w:color="auto" w:sz="4" w:space="0"/>
              <w:right w:val="single" w:color="auto" w:sz="4" w:space="0"/>
            </w:tcBorders>
            <w:noWrap w:val="0"/>
            <w:vAlign w:val="center"/>
          </w:tcPr>
          <w:p w14:paraId="4B65EDA9">
            <w:pPr>
              <w:widowControl/>
              <w:snapToGrid w:val="0"/>
              <w:contextualSpacing/>
              <w:jc w:val="center"/>
              <w:rPr>
                <w:rFonts w:hint="eastAsia" w:ascii="宋体" w:hAnsi="宋体" w:cs="宋体"/>
                <w:kern w:val="0"/>
                <w:sz w:val="24"/>
              </w:rPr>
            </w:pPr>
            <w:r>
              <w:rPr>
                <w:rFonts w:hint="eastAsia" w:ascii="宋体" w:hAnsi="宋体" w:cs="宋体"/>
                <w:kern w:val="0"/>
                <w:sz w:val="24"/>
              </w:rPr>
              <w:t>万元</w:t>
            </w:r>
          </w:p>
        </w:tc>
        <w:tc>
          <w:tcPr>
            <w:tcW w:w="1903" w:type="dxa"/>
            <w:tcBorders>
              <w:top w:val="nil"/>
              <w:left w:val="nil"/>
              <w:bottom w:val="single" w:color="auto" w:sz="4" w:space="0"/>
              <w:right w:val="single" w:color="auto" w:sz="4" w:space="0"/>
            </w:tcBorders>
            <w:noWrap w:val="0"/>
            <w:vAlign w:val="center"/>
          </w:tcPr>
          <w:p w14:paraId="06D564F5">
            <w:pPr>
              <w:widowControl/>
              <w:snapToGrid w:val="0"/>
              <w:contextualSpacing/>
              <w:jc w:val="center"/>
              <w:rPr>
                <w:rFonts w:hint="eastAsia" w:ascii="宋体" w:hAnsi="宋体" w:cs="宋体"/>
                <w:kern w:val="0"/>
                <w:sz w:val="24"/>
              </w:rPr>
            </w:pPr>
            <w:r>
              <w:rPr>
                <w:rFonts w:hint="eastAsia" w:ascii="宋体" w:hAnsi="宋体" w:cs="宋体"/>
                <w:kern w:val="0"/>
                <w:sz w:val="24"/>
              </w:rPr>
              <w:t>8000≤Z＜120000</w:t>
            </w:r>
          </w:p>
        </w:tc>
        <w:tc>
          <w:tcPr>
            <w:tcW w:w="1877" w:type="dxa"/>
            <w:tcBorders>
              <w:top w:val="nil"/>
              <w:left w:val="nil"/>
              <w:bottom w:val="single" w:color="auto" w:sz="4" w:space="0"/>
              <w:right w:val="single" w:color="auto" w:sz="4" w:space="0"/>
            </w:tcBorders>
            <w:noWrap w:val="0"/>
            <w:vAlign w:val="center"/>
          </w:tcPr>
          <w:p w14:paraId="7991BFC8">
            <w:pPr>
              <w:widowControl/>
              <w:snapToGrid w:val="0"/>
              <w:contextualSpacing/>
              <w:jc w:val="center"/>
              <w:rPr>
                <w:rFonts w:hint="eastAsia" w:ascii="宋体" w:hAnsi="宋体" w:cs="宋体"/>
                <w:kern w:val="0"/>
                <w:sz w:val="24"/>
              </w:rPr>
            </w:pPr>
            <w:r>
              <w:rPr>
                <w:rFonts w:hint="eastAsia" w:ascii="宋体" w:hAnsi="宋体" w:cs="宋体"/>
                <w:kern w:val="0"/>
                <w:sz w:val="24"/>
              </w:rPr>
              <w:t>100≤Z＜8000</w:t>
            </w:r>
          </w:p>
        </w:tc>
        <w:tc>
          <w:tcPr>
            <w:tcW w:w="1134" w:type="dxa"/>
            <w:tcBorders>
              <w:top w:val="nil"/>
              <w:left w:val="nil"/>
              <w:bottom w:val="single" w:color="auto" w:sz="4" w:space="0"/>
              <w:right w:val="single" w:color="auto" w:sz="4" w:space="0"/>
            </w:tcBorders>
            <w:noWrap w:val="0"/>
            <w:vAlign w:val="center"/>
          </w:tcPr>
          <w:p w14:paraId="239ED8E1">
            <w:pPr>
              <w:widowControl/>
              <w:snapToGrid w:val="0"/>
              <w:contextualSpacing/>
              <w:jc w:val="center"/>
              <w:rPr>
                <w:rFonts w:hint="eastAsia" w:ascii="宋体" w:hAnsi="宋体" w:cs="宋体"/>
                <w:kern w:val="0"/>
                <w:sz w:val="24"/>
              </w:rPr>
            </w:pPr>
            <w:r>
              <w:rPr>
                <w:rFonts w:hint="eastAsia" w:ascii="宋体" w:hAnsi="宋体" w:cs="宋体"/>
                <w:kern w:val="0"/>
                <w:sz w:val="24"/>
              </w:rPr>
              <w:t>Y＜100</w:t>
            </w:r>
          </w:p>
        </w:tc>
      </w:tr>
      <w:tr w14:paraId="481CA045">
        <w:tblPrEx>
          <w:tblCellMar>
            <w:top w:w="0" w:type="dxa"/>
            <w:left w:w="108" w:type="dxa"/>
            <w:bottom w:w="0" w:type="dxa"/>
            <w:right w:w="108" w:type="dxa"/>
          </w:tblCellMar>
        </w:tblPrEx>
        <w:trPr>
          <w:trHeight w:val="199" w:hRule="atLeast"/>
          <w:jc w:val="center"/>
        </w:trPr>
        <w:tc>
          <w:tcPr>
            <w:tcW w:w="1570" w:type="dxa"/>
            <w:tcBorders>
              <w:top w:val="nil"/>
              <w:left w:val="single" w:color="auto" w:sz="4" w:space="0"/>
              <w:bottom w:val="single" w:color="auto" w:sz="4" w:space="0"/>
              <w:right w:val="single" w:color="auto" w:sz="4" w:space="0"/>
            </w:tcBorders>
            <w:noWrap w:val="0"/>
            <w:vAlign w:val="center"/>
          </w:tcPr>
          <w:p w14:paraId="5C1DC550">
            <w:pPr>
              <w:widowControl/>
              <w:snapToGrid w:val="0"/>
              <w:contextualSpacing/>
              <w:jc w:val="center"/>
              <w:rPr>
                <w:rFonts w:hint="eastAsia" w:ascii="宋体" w:hAnsi="宋体" w:cs="宋体"/>
                <w:b/>
                <w:bCs/>
                <w:kern w:val="0"/>
                <w:sz w:val="24"/>
              </w:rPr>
            </w:pPr>
            <w:r>
              <w:rPr>
                <w:rFonts w:hint="eastAsia" w:ascii="宋体" w:hAnsi="宋体" w:cs="宋体"/>
                <w:b/>
                <w:bCs/>
                <w:kern w:val="0"/>
                <w:sz w:val="24"/>
              </w:rPr>
              <w:t>其他未列明行业</w:t>
            </w:r>
          </w:p>
        </w:tc>
        <w:tc>
          <w:tcPr>
            <w:tcW w:w="1660" w:type="dxa"/>
            <w:tcBorders>
              <w:top w:val="nil"/>
              <w:left w:val="nil"/>
              <w:bottom w:val="single" w:color="auto" w:sz="4" w:space="0"/>
              <w:right w:val="single" w:color="auto" w:sz="4" w:space="0"/>
            </w:tcBorders>
            <w:noWrap w:val="0"/>
            <w:vAlign w:val="center"/>
          </w:tcPr>
          <w:p w14:paraId="0858A1E0">
            <w:pPr>
              <w:widowControl/>
              <w:snapToGrid w:val="0"/>
              <w:contextualSpacing/>
              <w:jc w:val="center"/>
              <w:rPr>
                <w:rFonts w:hint="eastAsia" w:ascii="宋体" w:hAnsi="宋体" w:cs="宋体"/>
                <w:kern w:val="0"/>
                <w:sz w:val="24"/>
              </w:rPr>
            </w:pPr>
            <w:r>
              <w:rPr>
                <w:rFonts w:hint="eastAsia" w:ascii="宋体" w:hAnsi="宋体" w:cs="宋体"/>
                <w:kern w:val="0"/>
                <w:sz w:val="24"/>
              </w:rPr>
              <w:t>从业人员（X）</w:t>
            </w:r>
          </w:p>
        </w:tc>
        <w:tc>
          <w:tcPr>
            <w:tcW w:w="1466" w:type="dxa"/>
            <w:tcBorders>
              <w:top w:val="nil"/>
              <w:left w:val="nil"/>
              <w:bottom w:val="single" w:color="auto" w:sz="4" w:space="0"/>
              <w:right w:val="single" w:color="auto" w:sz="4" w:space="0"/>
            </w:tcBorders>
            <w:noWrap w:val="0"/>
            <w:vAlign w:val="center"/>
          </w:tcPr>
          <w:p w14:paraId="71CF9548">
            <w:pPr>
              <w:widowControl/>
              <w:snapToGrid w:val="0"/>
              <w:contextualSpacing/>
              <w:jc w:val="center"/>
              <w:rPr>
                <w:rFonts w:hint="eastAsia" w:ascii="宋体" w:hAnsi="宋体" w:cs="宋体"/>
                <w:kern w:val="0"/>
                <w:sz w:val="24"/>
              </w:rPr>
            </w:pPr>
            <w:r>
              <w:rPr>
                <w:rFonts w:hint="eastAsia" w:ascii="宋体" w:hAnsi="宋体" w:cs="宋体"/>
                <w:kern w:val="0"/>
                <w:sz w:val="24"/>
              </w:rPr>
              <w:t>人</w:t>
            </w:r>
          </w:p>
        </w:tc>
        <w:tc>
          <w:tcPr>
            <w:tcW w:w="1903" w:type="dxa"/>
            <w:tcBorders>
              <w:top w:val="nil"/>
              <w:left w:val="nil"/>
              <w:bottom w:val="single" w:color="auto" w:sz="4" w:space="0"/>
              <w:right w:val="single" w:color="auto" w:sz="4" w:space="0"/>
            </w:tcBorders>
            <w:noWrap w:val="0"/>
            <w:vAlign w:val="center"/>
          </w:tcPr>
          <w:p w14:paraId="59EBD4B1">
            <w:pPr>
              <w:widowControl/>
              <w:snapToGrid w:val="0"/>
              <w:contextualSpacing/>
              <w:jc w:val="center"/>
              <w:rPr>
                <w:rFonts w:hint="eastAsia" w:ascii="宋体" w:hAnsi="宋体" w:cs="宋体"/>
                <w:kern w:val="0"/>
                <w:sz w:val="24"/>
              </w:rPr>
            </w:pPr>
            <w:r>
              <w:rPr>
                <w:rFonts w:hint="eastAsia" w:ascii="宋体" w:hAnsi="宋体" w:cs="宋体"/>
                <w:kern w:val="0"/>
                <w:sz w:val="24"/>
              </w:rPr>
              <w:t>100≤X＜300</w:t>
            </w:r>
          </w:p>
        </w:tc>
        <w:tc>
          <w:tcPr>
            <w:tcW w:w="1877" w:type="dxa"/>
            <w:tcBorders>
              <w:top w:val="nil"/>
              <w:left w:val="nil"/>
              <w:bottom w:val="single" w:color="auto" w:sz="4" w:space="0"/>
              <w:right w:val="single" w:color="auto" w:sz="4" w:space="0"/>
            </w:tcBorders>
            <w:noWrap w:val="0"/>
            <w:vAlign w:val="center"/>
          </w:tcPr>
          <w:p w14:paraId="79FA04A4">
            <w:pPr>
              <w:widowControl/>
              <w:snapToGrid w:val="0"/>
              <w:contextualSpacing/>
              <w:jc w:val="center"/>
              <w:rPr>
                <w:rFonts w:hint="eastAsia" w:ascii="宋体" w:hAnsi="宋体" w:cs="宋体"/>
                <w:kern w:val="0"/>
                <w:sz w:val="24"/>
              </w:rPr>
            </w:pPr>
            <w:r>
              <w:rPr>
                <w:rFonts w:hint="eastAsia" w:ascii="宋体" w:hAnsi="宋体" w:cs="宋体"/>
                <w:kern w:val="0"/>
                <w:sz w:val="24"/>
              </w:rPr>
              <w:t>10≤X＜100</w:t>
            </w:r>
          </w:p>
        </w:tc>
        <w:tc>
          <w:tcPr>
            <w:tcW w:w="1134" w:type="dxa"/>
            <w:tcBorders>
              <w:top w:val="nil"/>
              <w:left w:val="nil"/>
              <w:bottom w:val="single" w:color="auto" w:sz="4" w:space="0"/>
              <w:right w:val="single" w:color="auto" w:sz="4" w:space="0"/>
            </w:tcBorders>
            <w:noWrap w:val="0"/>
            <w:vAlign w:val="center"/>
          </w:tcPr>
          <w:p w14:paraId="3D532D62">
            <w:pPr>
              <w:widowControl/>
              <w:snapToGrid w:val="0"/>
              <w:contextualSpacing/>
              <w:jc w:val="center"/>
              <w:rPr>
                <w:rFonts w:hint="eastAsia" w:ascii="宋体" w:hAnsi="宋体" w:cs="宋体"/>
                <w:kern w:val="0"/>
                <w:sz w:val="24"/>
              </w:rPr>
            </w:pPr>
            <w:r>
              <w:rPr>
                <w:rFonts w:hint="eastAsia" w:ascii="宋体" w:hAnsi="宋体" w:cs="宋体"/>
                <w:kern w:val="0"/>
                <w:sz w:val="24"/>
              </w:rPr>
              <w:t>X＜10</w:t>
            </w:r>
          </w:p>
        </w:tc>
      </w:tr>
    </w:tbl>
    <w:p w14:paraId="23D5870B">
      <w:pPr>
        <w:spacing w:line="240" w:lineRule="atLeast"/>
        <w:rPr>
          <w:rFonts w:hint="eastAsia" w:ascii="宋体" w:hAnsi="宋体" w:cs="宋体"/>
          <w:b/>
          <w:color w:val="000000"/>
          <w:kern w:val="0"/>
          <w:sz w:val="24"/>
        </w:rPr>
      </w:pPr>
      <w:r>
        <w:rPr>
          <w:rFonts w:hint="eastAsia" w:ascii="宋体" w:hAnsi="宋体" w:cs="宋体"/>
          <w:b/>
          <w:sz w:val="24"/>
        </w:rPr>
        <w:t>说明：</w:t>
      </w:r>
      <w:r>
        <w:rPr>
          <w:rFonts w:hint="eastAsia" w:ascii="宋体" w:hAnsi="宋体" w:cs="宋体"/>
          <w:sz w:val="24"/>
        </w:rPr>
        <w:t>上述标准参照《关于印发中小企业划型标准规定的通知》（工信部联企业[2011]300号），大型、中型和小型企业须同时满足所列指标的下限，否则下划一档；微型企业只须满足所列指标中的一项即可。</w:t>
      </w:r>
    </w:p>
    <w:p w14:paraId="31EEB383">
      <w:pPr>
        <w:spacing w:line="240" w:lineRule="atLeast"/>
        <w:ind w:left="1080" w:leftChars="257" w:hanging="540"/>
        <w:jc w:val="center"/>
        <w:rPr>
          <w:rFonts w:hint="eastAsia" w:ascii="宋体" w:hAnsi="宋体" w:cs="宋体"/>
          <w:b/>
          <w:color w:val="000000"/>
          <w:kern w:val="0"/>
          <w:sz w:val="24"/>
        </w:rPr>
      </w:pPr>
    </w:p>
    <w:p w14:paraId="72941B6E">
      <w:pPr>
        <w:pStyle w:val="3"/>
        <w:spacing w:before="0" w:line="240" w:lineRule="atLeast"/>
        <w:ind w:left="1080" w:leftChars="257" w:hanging="540"/>
        <w:rPr>
          <w:rFonts w:hint="eastAsia" w:ascii="宋体" w:hAnsi="宋体" w:eastAsia="宋体" w:cs="宋体"/>
          <w:color w:val="000000"/>
          <w:sz w:val="24"/>
          <w:szCs w:val="24"/>
        </w:rPr>
      </w:pPr>
      <w:bookmarkStart w:id="375" w:name="_Toc4574"/>
      <w:bookmarkStart w:id="376" w:name="_Toc6531"/>
      <w:bookmarkStart w:id="377" w:name="_Toc3587"/>
      <w:bookmarkStart w:id="378" w:name="_Toc30054"/>
      <w:bookmarkStart w:id="379" w:name="_Toc18365"/>
      <w:bookmarkStart w:id="380" w:name="_Toc28099"/>
      <w:bookmarkStart w:id="381" w:name="_Toc515647827"/>
      <w:bookmarkStart w:id="382" w:name="_Toc28516"/>
      <w:bookmarkStart w:id="383" w:name="_Toc17196"/>
      <w:bookmarkStart w:id="384" w:name="_Toc30795"/>
      <w:bookmarkStart w:id="385" w:name="_Toc6452"/>
      <w:r>
        <w:rPr>
          <w:rFonts w:hint="eastAsia" w:ascii="宋体" w:hAnsi="宋体" w:eastAsia="宋体" w:cs="宋体"/>
          <w:color w:val="000000"/>
          <w:sz w:val="24"/>
          <w:szCs w:val="24"/>
        </w:rPr>
        <w:t>6、供应商关联单位的说明</w:t>
      </w:r>
      <w:bookmarkEnd w:id="375"/>
      <w:bookmarkEnd w:id="376"/>
      <w:bookmarkEnd w:id="377"/>
      <w:bookmarkEnd w:id="378"/>
      <w:bookmarkEnd w:id="379"/>
      <w:bookmarkEnd w:id="380"/>
      <w:bookmarkEnd w:id="381"/>
      <w:bookmarkEnd w:id="382"/>
      <w:bookmarkEnd w:id="383"/>
      <w:bookmarkEnd w:id="384"/>
      <w:bookmarkEnd w:id="385"/>
    </w:p>
    <w:p w14:paraId="65D7E05E">
      <w:pPr>
        <w:pStyle w:val="4"/>
        <w:jc w:val="center"/>
        <w:rPr>
          <w:rFonts w:hint="eastAsia" w:hAnsi="宋体" w:cs="宋体"/>
          <w:color w:val="000000"/>
          <w:szCs w:val="24"/>
        </w:rPr>
      </w:pPr>
    </w:p>
    <w:p w14:paraId="2DF2FBD6">
      <w:pPr>
        <w:pStyle w:val="4"/>
        <w:ind w:firstLine="480" w:firstLineChars="200"/>
        <w:rPr>
          <w:rFonts w:hint="eastAsia" w:hAnsi="宋体" w:cs="宋体"/>
          <w:color w:val="000000"/>
          <w:szCs w:val="24"/>
        </w:rPr>
      </w:pPr>
      <w:r>
        <w:rPr>
          <w:rFonts w:hint="eastAsia" w:hAnsi="宋体" w:cs="宋体"/>
          <w:color w:val="000000"/>
          <w:szCs w:val="24"/>
        </w:rPr>
        <w:t>说明：供应商应当如实披露与本单位存在下列关联关系的单位名称：</w:t>
      </w:r>
    </w:p>
    <w:p w14:paraId="3851F18C">
      <w:pPr>
        <w:pStyle w:val="4"/>
        <w:numPr>
          <w:ilvl w:val="0"/>
          <w:numId w:val="3"/>
        </w:numPr>
        <w:ind w:firstLine="480" w:firstLineChars="200"/>
        <w:rPr>
          <w:rFonts w:hint="eastAsia" w:hAnsi="宋体" w:cs="宋体"/>
          <w:color w:val="000000"/>
          <w:szCs w:val="24"/>
        </w:rPr>
      </w:pPr>
      <w:r>
        <w:rPr>
          <w:rFonts w:hint="eastAsia" w:hAnsi="宋体" w:cs="宋体"/>
          <w:color w:val="000000"/>
          <w:szCs w:val="24"/>
        </w:rPr>
        <w:t>与供应商单位负责人为同一人的其他单位；</w:t>
      </w:r>
    </w:p>
    <w:p w14:paraId="4A89C0BA">
      <w:pPr>
        <w:pStyle w:val="4"/>
        <w:numPr>
          <w:ilvl w:val="0"/>
          <w:numId w:val="3"/>
        </w:numPr>
        <w:ind w:firstLine="480" w:firstLineChars="200"/>
        <w:rPr>
          <w:rFonts w:hint="eastAsia" w:hAnsi="宋体" w:cs="宋体"/>
          <w:color w:val="000000"/>
          <w:szCs w:val="24"/>
        </w:rPr>
      </w:pPr>
      <w:r>
        <w:rPr>
          <w:rFonts w:hint="eastAsia" w:hAnsi="宋体" w:cs="宋体"/>
          <w:color w:val="000000"/>
          <w:szCs w:val="24"/>
        </w:rPr>
        <w:t>与供应商存在直接控股、管理关系的其他单位。</w:t>
      </w:r>
    </w:p>
    <w:p w14:paraId="2CF7ED3E">
      <w:pPr>
        <w:pStyle w:val="16"/>
        <w:spacing w:line="240" w:lineRule="atLeast"/>
        <w:ind w:left="1080" w:leftChars="257" w:hanging="540"/>
        <w:rPr>
          <w:rFonts w:hint="eastAsia" w:hAnsi="宋体" w:cs="宋体"/>
          <w:color w:val="000000"/>
          <w:sz w:val="24"/>
          <w:szCs w:val="24"/>
        </w:rPr>
      </w:pPr>
    </w:p>
    <w:p w14:paraId="347ADF56">
      <w:pPr>
        <w:pStyle w:val="16"/>
        <w:spacing w:line="240" w:lineRule="atLeast"/>
        <w:ind w:left="1080" w:leftChars="257" w:hanging="540"/>
        <w:rPr>
          <w:rFonts w:hint="eastAsia" w:hAnsi="宋体" w:cs="宋体"/>
          <w:color w:val="000000"/>
          <w:sz w:val="24"/>
          <w:szCs w:val="24"/>
        </w:rPr>
      </w:pPr>
    </w:p>
    <w:p w14:paraId="67E7421B">
      <w:pPr>
        <w:pStyle w:val="16"/>
        <w:spacing w:line="240" w:lineRule="atLeast"/>
        <w:ind w:left="1080" w:leftChars="257" w:hanging="540"/>
        <w:rPr>
          <w:rFonts w:hint="eastAsia" w:hAnsi="宋体" w:cs="宋体"/>
          <w:color w:val="000000"/>
          <w:sz w:val="24"/>
          <w:szCs w:val="24"/>
        </w:rPr>
      </w:pPr>
    </w:p>
    <w:p w14:paraId="32831F93">
      <w:pPr>
        <w:pStyle w:val="16"/>
        <w:spacing w:line="240" w:lineRule="atLeast"/>
        <w:ind w:left="1080" w:leftChars="257" w:hanging="540"/>
        <w:rPr>
          <w:rFonts w:hint="eastAsia" w:hAnsi="宋体" w:cs="宋体"/>
          <w:color w:val="000000"/>
          <w:sz w:val="24"/>
          <w:szCs w:val="24"/>
        </w:rPr>
      </w:pPr>
    </w:p>
    <w:p w14:paraId="7DCD49D5">
      <w:pPr>
        <w:pStyle w:val="16"/>
        <w:spacing w:line="240" w:lineRule="atLeast"/>
        <w:ind w:left="1080" w:leftChars="257" w:hanging="540"/>
        <w:rPr>
          <w:rFonts w:hint="eastAsia" w:hAnsi="宋体" w:cs="宋体"/>
          <w:color w:val="000000"/>
          <w:sz w:val="24"/>
          <w:szCs w:val="24"/>
        </w:rPr>
      </w:pPr>
    </w:p>
    <w:p w14:paraId="2533F8D3">
      <w:pPr>
        <w:pStyle w:val="16"/>
        <w:spacing w:line="240" w:lineRule="atLeast"/>
        <w:ind w:left="1080" w:leftChars="257" w:hanging="540"/>
        <w:rPr>
          <w:rFonts w:hint="eastAsia" w:hAnsi="宋体" w:cs="宋体"/>
          <w:color w:val="000000"/>
          <w:sz w:val="24"/>
          <w:szCs w:val="24"/>
        </w:rPr>
      </w:pPr>
    </w:p>
    <w:p w14:paraId="33963ADF">
      <w:pPr>
        <w:pStyle w:val="16"/>
        <w:spacing w:line="240" w:lineRule="atLeast"/>
        <w:ind w:left="1080" w:leftChars="257" w:hanging="540"/>
        <w:rPr>
          <w:rFonts w:hint="eastAsia" w:hAnsi="宋体" w:cs="宋体"/>
          <w:color w:val="000000"/>
          <w:sz w:val="24"/>
          <w:szCs w:val="24"/>
        </w:rPr>
      </w:pPr>
    </w:p>
    <w:p w14:paraId="158E41B3">
      <w:pPr>
        <w:pStyle w:val="16"/>
        <w:spacing w:line="240" w:lineRule="atLeast"/>
        <w:ind w:left="1080" w:leftChars="257" w:hanging="540"/>
        <w:rPr>
          <w:rFonts w:hint="eastAsia" w:hAnsi="宋体" w:cs="宋体"/>
          <w:color w:val="000000"/>
          <w:sz w:val="24"/>
          <w:szCs w:val="24"/>
        </w:rPr>
      </w:pPr>
    </w:p>
    <w:p w14:paraId="413206DD">
      <w:pPr>
        <w:pStyle w:val="16"/>
        <w:spacing w:line="240" w:lineRule="atLeast"/>
        <w:ind w:left="1080" w:leftChars="257" w:hanging="540"/>
        <w:rPr>
          <w:rFonts w:hint="eastAsia" w:hAnsi="宋体" w:cs="宋体"/>
          <w:color w:val="000000"/>
          <w:sz w:val="24"/>
          <w:szCs w:val="24"/>
        </w:rPr>
      </w:pPr>
    </w:p>
    <w:p w14:paraId="40889A0E">
      <w:pPr>
        <w:pStyle w:val="16"/>
        <w:spacing w:line="240" w:lineRule="atLeast"/>
        <w:ind w:left="1080" w:leftChars="257" w:hanging="540"/>
        <w:rPr>
          <w:rFonts w:hint="eastAsia" w:hAnsi="宋体" w:cs="宋体"/>
          <w:color w:val="000000"/>
          <w:sz w:val="24"/>
          <w:szCs w:val="24"/>
        </w:rPr>
      </w:pPr>
    </w:p>
    <w:p w14:paraId="434F0D3F">
      <w:pPr>
        <w:pStyle w:val="16"/>
        <w:spacing w:line="240" w:lineRule="atLeast"/>
        <w:ind w:left="1080" w:leftChars="257" w:hanging="540"/>
        <w:rPr>
          <w:rFonts w:hint="eastAsia" w:hAnsi="宋体" w:cs="宋体"/>
          <w:color w:val="000000"/>
          <w:sz w:val="24"/>
          <w:szCs w:val="24"/>
        </w:rPr>
      </w:pPr>
    </w:p>
    <w:p w14:paraId="18CE0627">
      <w:pPr>
        <w:pStyle w:val="16"/>
        <w:spacing w:line="240" w:lineRule="atLeast"/>
        <w:ind w:left="1080" w:leftChars="257" w:hanging="540"/>
        <w:rPr>
          <w:rFonts w:hint="eastAsia" w:hAnsi="宋体" w:cs="宋体"/>
          <w:color w:val="000000"/>
          <w:sz w:val="24"/>
          <w:szCs w:val="24"/>
        </w:rPr>
      </w:pPr>
    </w:p>
    <w:p w14:paraId="1D146435">
      <w:pPr>
        <w:pStyle w:val="16"/>
        <w:spacing w:line="240" w:lineRule="atLeast"/>
        <w:ind w:left="1080" w:leftChars="257" w:hanging="540"/>
        <w:rPr>
          <w:rFonts w:hint="eastAsia" w:hAnsi="宋体" w:cs="宋体"/>
          <w:color w:val="000000"/>
          <w:sz w:val="24"/>
          <w:szCs w:val="24"/>
        </w:rPr>
      </w:pPr>
    </w:p>
    <w:p w14:paraId="218CC83A">
      <w:pPr>
        <w:pStyle w:val="16"/>
        <w:spacing w:line="240" w:lineRule="atLeast"/>
        <w:ind w:left="1080" w:leftChars="257" w:hanging="540"/>
        <w:rPr>
          <w:rFonts w:hint="eastAsia" w:hAnsi="宋体" w:cs="宋体"/>
          <w:color w:val="000000"/>
          <w:sz w:val="24"/>
          <w:szCs w:val="24"/>
        </w:rPr>
      </w:pPr>
    </w:p>
    <w:p w14:paraId="6EBFA001">
      <w:pPr>
        <w:pStyle w:val="16"/>
        <w:spacing w:line="240" w:lineRule="atLeast"/>
        <w:ind w:left="1080" w:leftChars="257" w:hanging="540"/>
        <w:rPr>
          <w:rFonts w:hint="eastAsia" w:hAnsi="宋体" w:cs="宋体"/>
          <w:color w:val="000000"/>
          <w:sz w:val="24"/>
          <w:szCs w:val="24"/>
        </w:rPr>
      </w:pPr>
    </w:p>
    <w:p w14:paraId="1939D714">
      <w:pPr>
        <w:pStyle w:val="16"/>
        <w:spacing w:line="240" w:lineRule="atLeast"/>
        <w:ind w:left="1080" w:leftChars="257" w:hanging="540"/>
        <w:rPr>
          <w:rFonts w:hint="eastAsia" w:hAnsi="宋体" w:cs="宋体"/>
          <w:color w:val="000000"/>
          <w:sz w:val="24"/>
          <w:szCs w:val="24"/>
        </w:rPr>
      </w:pPr>
    </w:p>
    <w:p w14:paraId="011BB712">
      <w:pPr>
        <w:pStyle w:val="16"/>
        <w:spacing w:line="240" w:lineRule="atLeast"/>
        <w:ind w:left="1080" w:leftChars="257" w:hanging="540"/>
        <w:rPr>
          <w:rFonts w:hint="eastAsia" w:hAnsi="宋体" w:cs="宋体"/>
          <w:color w:val="000000"/>
          <w:sz w:val="24"/>
          <w:szCs w:val="24"/>
        </w:rPr>
      </w:pPr>
    </w:p>
    <w:p w14:paraId="42026AD6">
      <w:pPr>
        <w:pStyle w:val="16"/>
        <w:spacing w:line="240" w:lineRule="atLeast"/>
        <w:ind w:left="1080" w:leftChars="257" w:hanging="540"/>
        <w:rPr>
          <w:rFonts w:hint="eastAsia" w:hAnsi="宋体" w:cs="宋体"/>
          <w:color w:val="000000"/>
          <w:sz w:val="24"/>
          <w:szCs w:val="24"/>
        </w:rPr>
      </w:pPr>
    </w:p>
    <w:p w14:paraId="611D78FD">
      <w:pPr>
        <w:pStyle w:val="16"/>
        <w:spacing w:line="240" w:lineRule="atLeast"/>
        <w:ind w:left="1080" w:leftChars="257" w:hanging="540"/>
        <w:rPr>
          <w:rFonts w:hint="eastAsia" w:hAnsi="宋体" w:cs="宋体"/>
          <w:color w:val="000000"/>
          <w:sz w:val="24"/>
          <w:szCs w:val="24"/>
        </w:rPr>
      </w:pPr>
    </w:p>
    <w:p w14:paraId="02075AE5">
      <w:pPr>
        <w:pStyle w:val="16"/>
        <w:spacing w:line="240" w:lineRule="atLeast"/>
        <w:ind w:left="1080" w:leftChars="257" w:hanging="540"/>
        <w:rPr>
          <w:rFonts w:hint="eastAsia" w:hAnsi="宋体" w:cs="宋体"/>
          <w:color w:val="000000"/>
          <w:sz w:val="24"/>
          <w:szCs w:val="24"/>
        </w:rPr>
      </w:pPr>
    </w:p>
    <w:p w14:paraId="73370E6E">
      <w:pPr>
        <w:pStyle w:val="16"/>
        <w:spacing w:line="240" w:lineRule="atLeast"/>
        <w:ind w:left="1080" w:leftChars="257" w:hanging="540"/>
        <w:rPr>
          <w:rFonts w:hint="eastAsia" w:hAnsi="宋体" w:cs="宋体"/>
          <w:color w:val="000000"/>
          <w:sz w:val="24"/>
          <w:szCs w:val="24"/>
        </w:rPr>
      </w:pPr>
    </w:p>
    <w:p w14:paraId="2BE8A303">
      <w:pPr>
        <w:pStyle w:val="3"/>
        <w:tabs>
          <w:tab w:val="left" w:pos="540"/>
        </w:tabs>
        <w:jc w:val="both"/>
        <w:rPr>
          <w:rFonts w:hint="eastAsia" w:ascii="宋体" w:hAnsi="宋体" w:eastAsia="宋体" w:cs="宋体"/>
          <w:color w:val="000000"/>
          <w:sz w:val="24"/>
          <w:szCs w:val="24"/>
        </w:rPr>
      </w:pPr>
    </w:p>
    <w:p w14:paraId="5D95469F">
      <w:pPr>
        <w:pStyle w:val="49"/>
        <w:rPr>
          <w:rFonts w:hint="eastAsia" w:hAnsi="宋体"/>
          <w:b/>
          <w:bCs/>
        </w:rPr>
      </w:pPr>
    </w:p>
    <w:p w14:paraId="4B3231D0">
      <w:pPr>
        <w:pStyle w:val="49"/>
        <w:rPr>
          <w:rFonts w:hint="eastAsia" w:hAnsi="宋体"/>
          <w:b/>
          <w:bCs/>
        </w:rPr>
      </w:pPr>
    </w:p>
    <w:p w14:paraId="7882C54F">
      <w:pPr>
        <w:pStyle w:val="49"/>
        <w:rPr>
          <w:rFonts w:hint="eastAsia" w:hAnsi="宋体"/>
          <w:b/>
          <w:bCs/>
        </w:rPr>
      </w:pPr>
    </w:p>
    <w:p w14:paraId="0D9E78D6">
      <w:pPr>
        <w:pStyle w:val="49"/>
        <w:rPr>
          <w:rFonts w:hint="eastAsia" w:hAnsi="宋体"/>
          <w:b/>
          <w:bCs/>
        </w:rPr>
      </w:pPr>
    </w:p>
    <w:p w14:paraId="66333F71">
      <w:pPr>
        <w:pStyle w:val="49"/>
        <w:rPr>
          <w:rFonts w:hint="eastAsia" w:hAnsi="宋体"/>
          <w:b/>
          <w:bCs/>
        </w:rPr>
      </w:pPr>
    </w:p>
    <w:p w14:paraId="2DE0374A">
      <w:pPr>
        <w:pStyle w:val="49"/>
        <w:rPr>
          <w:rFonts w:hint="eastAsia" w:hAnsi="宋体"/>
          <w:b/>
          <w:bCs/>
        </w:rPr>
      </w:pPr>
    </w:p>
    <w:p w14:paraId="557684D9">
      <w:pPr>
        <w:pStyle w:val="49"/>
        <w:rPr>
          <w:rFonts w:hint="eastAsia" w:hAnsi="宋体"/>
          <w:b/>
          <w:bCs/>
        </w:rPr>
      </w:pPr>
    </w:p>
    <w:p w14:paraId="378283B7">
      <w:pPr>
        <w:pStyle w:val="49"/>
        <w:rPr>
          <w:rFonts w:hint="eastAsia" w:hAnsi="宋体"/>
          <w:b/>
          <w:bCs/>
        </w:rPr>
      </w:pPr>
    </w:p>
    <w:p w14:paraId="1AEFFADF">
      <w:pPr>
        <w:pStyle w:val="49"/>
        <w:rPr>
          <w:rFonts w:hint="eastAsia" w:hAnsi="宋体"/>
          <w:b/>
          <w:bCs/>
        </w:rPr>
      </w:pPr>
    </w:p>
    <w:p w14:paraId="1B62C877">
      <w:pPr>
        <w:pStyle w:val="49"/>
        <w:rPr>
          <w:rFonts w:hint="eastAsia" w:hAnsi="宋体"/>
          <w:b/>
          <w:bCs/>
        </w:rPr>
      </w:pPr>
    </w:p>
    <w:p w14:paraId="0C019761">
      <w:pPr>
        <w:pStyle w:val="49"/>
        <w:rPr>
          <w:rFonts w:hint="eastAsia" w:hAnsi="宋体"/>
          <w:b/>
          <w:bCs/>
        </w:rPr>
      </w:pPr>
    </w:p>
    <w:p w14:paraId="786B78A2">
      <w:pPr>
        <w:pStyle w:val="49"/>
        <w:rPr>
          <w:rFonts w:hint="eastAsia" w:hAnsi="宋体"/>
          <w:b/>
          <w:bCs/>
        </w:rPr>
      </w:pPr>
    </w:p>
    <w:p w14:paraId="73AA2B7C">
      <w:pPr>
        <w:pStyle w:val="49"/>
        <w:rPr>
          <w:rFonts w:hint="eastAsia" w:hAnsi="宋体"/>
          <w:b/>
          <w:bCs/>
        </w:rPr>
      </w:pPr>
    </w:p>
    <w:p w14:paraId="7B397E82">
      <w:pPr>
        <w:pStyle w:val="49"/>
        <w:rPr>
          <w:rFonts w:hint="eastAsia" w:hAnsi="宋体"/>
          <w:b/>
          <w:bCs/>
        </w:rPr>
      </w:pPr>
    </w:p>
    <w:p w14:paraId="6A3E879D">
      <w:pPr>
        <w:pStyle w:val="49"/>
        <w:rPr>
          <w:rFonts w:hint="eastAsia" w:hAnsi="宋体"/>
          <w:b/>
          <w:bCs/>
        </w:rPr>
      </w:pPr>
    </w:p>
    <w:p w14:paraId="23C89B32">
      <w:pPr>
        <w:pStyle w:val="49"/>
        <w:rPr>
          <w:rFonts w:hint="eastAsia" w:hAnsi="宋体"/>
          <w:b/>
          <w:bCs/>
        </w:rPr>
      </w:pPr>
    </w:p>
    <w:p w14:paraId="7B9AE38E">
      <w:pPr>
        <w:pStyle w:val="49"/>
        <w:rPr>
          <w:rFonts w:hint="eastAsia" w:hAnsi="宋体"/>
          <w:b/>
          <w:bCs/>
        </w:rPr>
      </w:pPr>
    </w:p>
    <w:p w14:paraId="6F13BD6E">
      <w:pPr>
        <w:numPr>
          <w:ilvl w:val="0"/>
          <w:numId w:val="0"/>
        </w:numPr>
        <w:snapToGrid w:val="0"/>
        <w:spacing w:line="360" w:lineRule="auto"/>
        <w:jc w:val="center"/>
        <w:rPr>
          <w:rFonts w:hint="eastAsia" w:ascii="宋体" w:hAnsi="宋体" w:cs="宋体"/>
          <w:b/>
          <w:bCs/>
          <w:color w:val="000000"/>
          <w:sz w:val="24"/>
        </w:rPr>
      </w:pPr>
      <w:r>
        <w:rPr>
          <w:rFonts w:hint="eastAsia" w:ascii="宋体" w:hAnsi="宋体" w:cs="宋体"/>
          <w:b/>
          <w:bCs/>
          <w:color w:val="000000"/>
          <w:kern w:val="2"/>
          <w:sz w:val="24"/>
          <w:szCs w:val="24"/>
          <w:lang w:val="en-US" w:eastAsia="zh-CN" w:bidi="ar-SA"/>
        </w:rPr>
        <w:t>7、</w:t>
      </w:r>
      <w:r>
        <w:rPr>
          <w:rFonts w:hint="eastAsia" w:ascii="宋体" w:hAnsi="宋体" w:cs="宋体"/>
          <w:b/>
          <w:bCs/>
          <w:color w:val="000000"/>
          <w:sz w:val="24"/>
        </w:rPr>
        <w:t>近三年(具体指</w:t>
      </w:r>
      <w:r>
        <w:rPr>
          <w:rFonts w:hint="eastAsia" w:ascii="宋体" w:hAnsi="宋体" w:cs="宋体"/>
          <w:b/>
          <w:bCs/>
          <w:color w:val="000000"/>
          <w:sz w:val="24"/>
          <w:lang w:eastAsia="zh-CN"/>
        </w:rPr>
        <w:t>2023年6月1日</w:t>
      </w:r>
      <w:r>
        <w:rPr>
          <w:rFonts w:hint="eastAsia" w:ascii="宋体" w:hAnsi="宋体" w:cs="宋体"/>
          <w:b/>
          <w:bCs/>
          <w:color w:val="000000"/>
          <w:sz w:val="24"/>
        </w:rPr>
        <w:t xml:space="preserve">至本项目投标截止之日) </w:t>
      </w:r>
    </w:p>
    <w:p w14:paraId="11DC57E7">
      <w:pPr>
        <w:numPr>
          <w:ilvl w:val="0"/>
          <w:numId w:val="0"/>
        </w:numPr>
        <w:snapToGrid w:val="0"/>
        <w:spacing w:line="360" w:lineRule="auto"/>
        <w:jc w:val="center"/>
        <w:rPr>
          <w:rFonts w:hint="eastAsia" w:ascii="宋体" w:hAnsi="宋体" w:cs="宋体"/>
          <w:color w:val="000000"/>
          <w:sz w:val="22"/>
          <w:szCs w:val="22"/>
        </w:rPr>
      </w:pPr>
      <w:r>
        <w:rPr>
          <w:rFonts w:hint="eastAsia" w:ascii="宋体" w:hAnsi="宋体" w:cs="宋体"/>
          <w:b/>
          <w:bCs/>
          <w:color w:val="000000"/>
          <w:sz w:val="24"/>
        </w:rPr>
        <w:t>同类项目业绩一览表</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2018"/>
        <w:gridCol w:w="1401"/>
        <w:gridCol w:w="1303"/>
        <w:gridCol w:w="1374"/>
        <w:gridCol w:w="1256"/>
        <w:gridCol w:w="852"/>
      </w:tblGrid>
      <w:tr w14:paraId="476B1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765" w:type="dxa"/>
            <w:noWrap w:val="0"/>
            <w:vAlign w:val="center"/>
          </w:tcPr>
          <w:p w14:paraId="55FC65DC">
            <w:pPr>
              <w:snapToGrid w:val="0"/>
              <w:jc w:val="center"/>
              <w:rPr>
                <w:rFonts w:hint="eastAsia" w:ascii="宋体" w:hAnsi="宋体" w:cs="宋体"/>
                <w:b/>
                <w:bCs/>
                <w:color w:val="000000"/>
                <w:sz w:val="24"/>
              </w:rPr>
            </w:pPr>
            <w:r>
              <w:rPr>
                <w:rFonts w:hint="eastAsia" w:ascii="宋体" w:hAnsi="宋体" w:cs="宋体"/>
                <w:b/>
                <w:bCs/>
                <w:color w:val="000000"/>
                <w:sz w:val="24"/>
              </w:rPr>
              <w:t>序号</w:t>
            </w:r>
          </w:p>
        </w:tc>
        <w:tc>
          <w:tcPr>
            <w:tcW w:w="2018" w:type="dxa"/>
            <w:noWrap w:val="0"/>
            <w:vAlign w:val="center"/>
          </w:tcPr>
          <w:p w14:paraId="2077155C">
            <w:pPr>
              <w:snapToGrid w:val="0"/>
              <w:jc w:val="center"/>
              <w:rPr>
                <w:rFonts w:hint="eastAsia" w:ascii="宋体" w:hAnsi="宋体" w:cs="宋体"/>
                <w:b/>
                <w:bCs/>
                <w:color w:val="000000"/>
                <w:sz w:val="24"/>
              </w:rPr>
            </w:pPr>
            <w:r>
              <w:rPr>
                <w:rFonts w:hint="eastAsia" w:ascii="宋体" w:hAnsi="宋体" w:cs="宋体"/>
                <w:b/>
                <w:bCs/>
                <w:color w:val="000000"/>
                <w:sz w:val="24"/>
              </w:rPr>
              <w:t>项目名称</w:t>
            </w:r>
          </w:p>
        </w:tc>
        <w:tc>
          <w:tcPr>
            <w:tcW w:w="1401" w:type="dxa"/>
            <w:noWrap w:val="0"/>
            <w:vAlign w:val="center"/>
          </w:tcPr>
          <w:p w14:paraId="0DF48E80">
            <w:pPr>
              <w:snapToGrid w:val="0"/>
              <w:jc w:val="center"/>
              <w:rPr>
                <w:rFonts w:hint="eastAsia" w:ascii="宋体" w:hAnsi="宋体" w:cs="宋体"/>
                <w:b/>
                <w:bCs/>
                <w:color w:val="000000"/>
                <w:sz w:val="24"/>
              </w:rPr>
            </w:pPr>
            <w:r>
              <w:rPr>
                <w:rFonts w:hint="eastAsia" w:ascii="宋体" w:hAnsi="宋体" w:cs="宋体"/>
                <w:b/>
                <w:bCs/>
                <w:color w:val="000000"/>
                <w:sz w:val="24"/>
              </w:rPr>
              <w:t>合同金额</w:t>
            </w:r>
          </w:p>
        </w:tc>
        <w:tc>
          <w:tcPr>
            <w:tcW w:w="1303" w:type="dxa"/>
            <w:noWrap w:val="0"/>
            <w:vAlign w:val="center"/>
          </w:tcPr>
          <w:p w14:paraId="53483A1B">
            <w:pPr>
              <w:snapToGrid w:val="0"/>
              <w:jc w:val="center"/>
              <w:rPr>
                <w:rFonts w:hint="eastAsia" w:ascii="宋体" w:hAnsi="宋体" w:cs="宋体"/>
                <w:b/>
                <w:bCs/>
                <w:color w:val="000000"/>
                <w:sz w:val="24"/>
              </w:rPr>
            </w:pPr>
            <w:r>
              <w:rPr>
                <w:rFonts w:hint="eastAsia" w:ascii="宋体" w:hAnsi="宋体" w:cs="宋体"/>
                <w:b/>
                <w:bCs/>
                <w:color w:val="000000"/>
                <w:sz w:val="24"/>
              </w:rPr>
              <w:t>业主名称</w:t>
            </w:r>
          </w:p>
        </w:tc>
        <w:tc>
          <w:tcPr>
            <w:tcW w:w="1374" w:type="dxa"/>
            <w:noWrap w:val="0"/>
            <w:vAlign w:val="center"/>
          </w:tcPr>
          <w:p w14:paraId="38BB3BEF">
            <w:pPr>
              <w:snapToGrid w:val="0"/>
              <w:jc w:val="center"/>
              <w:rPr>
                <w:rFonts w:hint="eastAsia" w:ascii="宋体" w:hAnsi="宋体" w:cs="宋体"/>
                <w:b/>
                <w:bCs/>
                <w:color w:val="000000"/>
                <w:sz w:val="24"/>
              </w:rPr>
            </w:pPr>
            <w:r>
              <w:rPr>
                <w:rFonts w:hint="eastAsia" w:ascii="宋体" w:hAnsi="宋体" w:cs="宋体"/>
                <w:b/>
                <w:bCs/>
                <w:color w:val="000000"/>
                <w:sz w:val="24"/>
              </w:rPr>
              <w:t>签约时间</w:t>
            </w:r>
          </w:p>
        </w:tc>
        <w:tc>
          <w:tcPr>
            <w:tcW w:w="1256" w:type="dxa"/>
            <w:noWrap w:val="0"/>
            <w:vAlign w:val="center"/>
          </w:tcPr>
          <w:p w14:paraId="78DB7BA7">
            <w:pPr>
              <w:snapToGrid w:val="0"/>
              <w:jc w:val="center"/>
              <w:rPr>
                <w:rFonts w:hint="eastAsia" w:ascii="宋体" w:hAnsi="宋体" w:cs="宋体"/>
                <w:b/>
                <w:bCs/>
                <w:color w:val="000000"/>
                <w:sz w:val="24"/>
              </w:rPr>
            </w:pPr>
            <w:r>
              <w:rPr>
                <w:rFonts w:hint="eastAsia" w:ascii="宋体" w:hAnsi="宋体" w:cs="宋体"/>
                <w:b/>
                <w:bCs/>
                <w:color w:val="000000"/>
                <w:sz w:val="24"/>
              </w:rPr>
              <w:t>完成情况</w:t>
            </w:r>
          </w:p>
        </w:tc>
        <w:tc>
          <w:tcPr>
            <w:tcW w:w="852" w:type="dxa"/>
            <w:noWrap w:val="0"/>
            <w:vAlign w:val="center"/>
          </w:tcPr>
          <w:p w14:paraId="1F3D4229">
            <w:pPr>
              <w:snapToGrid w:val="0"/>
              <w:jc w:val="center"/>
              <w:rPr>
                <w:rFonts w:hint="eastAsia" w:ascii="宋体" w:hAnsi="宋体" w:cs="宋体"/>
                <w:b/>
                <w:bCs/>
                <w:color w:val="000000"/>
                <w:sz w:val="24"/>
              </w:rPr>
            </w:pPr>
            <w:r>
              <w:rPr>
                <w:rFonts w:hint="eastAsia" w:ascii="宋体" w:hAnsi="宋体" w:cs="宋体"/>
                <w:b/>
                <w:bCs/>
                <w:color w:val="000000"/>
                <w:sz w:val="24"/>
              </w:rPr>
              <w:t>备注</w:t>
            </w:r>
          </w:p>
        </w:tc>
      </w:tr>
      <w:tr w14:paraId="12C3F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top"/>
          </w:tcPr>
          <w:p w14:paraId="086C2F8C">
            <w:pPr>
              <w:snapToGrid w:val="0"/>
              <w:spacing w:line="360" w:lineRule="auto"/>
              <w:rPr>
                <w:rFonts w:hint="eastAsia" w:ascii="宋体" w:hAnsi="宋体" w:cs="宋体"/>
                <w:color w:val="000000"/>
                <w:sz w:val="24"/>
              </w:rPr>
            </w:pPr>
          </w:p>
        </w:tc>
        <w:tc>
          <w:tcPr>
            <w:tcW w:w="2018" w:type="dxa"/>
            <w:noWrap w:val="0"/>
            <w:vAlign w:val="top"/>
          </w:tcPr>
          <w:p w14:paraId="68E0FE1D">
            <w:pPr>
              <w:snapToGrid w:val="0"/>
              <w:spacing w:line="360" w:lineRule="auto"/>
              <w:rPr>
                <w:rFonts w:hint="eastAsia" w:ascii="宋体" w:hAnsi="宋体" w:cs="宋体"/>
                <w:color w:val="000000"/>
                <w:sz w:val="24"/>
              </w:rPr>
            </w:pPr>
          </w:p>
        </w:tc>
        <w:tc>
          <w:tcPr>
            <w:tcW w:w="1401" w:type="dxa"/>
            <w:noWrap w:val="0"/>
            <w:vAlign w:val="top"/>
          </w:tcPr>
          <w:p w14:paraId="1805AFB9">
            <w:pPr>
              <w:snapToGrid w:val="0"/>
              <w:spacing w:line="360" w:lineRule="auto"/>
              <w:rPr>
                <w:rFonts w:hint="eastAsia" w:ascii="宋体" w:hAnsi="宋体" w:cs="宋体"/>
                <w:color w:val="000000"/>
                <w:sz w:val="24"/>
              </w:rPr>
            </w:pPr>
          </w:p>
        </w:tc>
        <w:tc>
          <w:tcPr>
            <w:tcW w:w="1303" w:type="dxa"/>
            <w:noWrap w:val="0"/>
            <w:vAlign w:val="top"/>
          </w:tcPr>
          <w:p w14:paraId="6B1F07A4">
            <w:pPr>
              <w:snapToGrid w:val="0"/>
              <w:spacing w:line="360" w:lineRule="auto"/>
              <w:rPr>
                <w:rFonts w:hint="eastAsia" w:ascii="宋体" w:hAnsi="宋体" w:cs="宋体"/>
                <w:color w:val="000000"/>
                <w:sz w:val="24"/>
              </w:rPr>
            </w:pPr>
          </w:p>
        </w:tc>
        <w:tc>
          <w:tcPr>
            <w:tcW w:w="1374" w:type="dxa"/>
            <w:noWrap w:val="0"/>
            <w:vAlign w:val="top"/>
          </w:tcPr>
          <w:p w14:paraId="1BD144EC">
            <w:pPr>
              <w:snapToGrid w:val="0"/>
              <w:spacing w:line="360" w:lineRule="auto"/>
              <w:rPr>
                <w:rFonts w:hint="eastAsia" w:ascii="宋体" w:hAnsi="宋体" w:cs="宋体"/>
                <w:color w:val="000000"/>
                <w:sz w:val="24"/>
              </w:rPr>
            </w:pPr>
          </w:p>
        </w:tc>
        <w:tc>
          <w:tcPr>
            <w:tcW w:w="1256" w:type="dxa"/>
            <w:noWrap w:val="0"/>
            <w:vAlign w:val="top"/>
          </w:tcPr>
          <w:p w14:paraId="5A4ABAA6">
            <w:pPr>
              <w:snapToGrid w:val="0"/>
              <w:spacing w:line="360" w:lineRule="auto"/>
              <w:rPr>
                <w:rFonts w:hint="eastAsia" w:ascii="宋体" w:hAnsi="宋体" w:cs="宋体"/>
                <w:color w:val="000000"/>
                <w:sz w:val="24"/>
              </w:rPr>
            </w:pPr>
          </w:p>
        </w:tc>
        <w:tc>
          <w:tcPr>
            <w:tcW w:w="852" w:type="dxa"/>
            <w:noWrap w:val="0"/>
            <w:vAlign w:val="top"/>
          </w:tcPr>
          <w:p w14:paraId="2CC17658">
            <w:pPr>
              <w:snapToGrid w:val="0"/>
              <w:spacing w:line="360" w:lineRule="auto"/>
              <w:rPr>
                <w:rFonts w:hint="eastAsia" w:ascii="宋体" w:hAnsi="宋体" w:cs="宋体"/>
                <w:color w:val="000000"/>
                <w:sz w:val="24"/>
              </w:rPr>
            </w:pPr>
          </w:p>
        </w:tc>
      </w:tr>
      <w:tr w14:paraId="132DB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top"/>
          </w:tcPr>
          <w:p w14:paraId="2477A37E">
            <w:pPr>
              <w:snapToGrid w:val="0"/>
              <w:spacing w:line="360" w:lineRule="auto"/>
              <w:rPr>
                <w:rFonts w:hint="eastAsia" w:ascii="宋体" w:hAnsi="宋体" w:cs="宋体"/>
                <w:color w:val="000000"/>
                <w:sz w:val="24"/>
              </w:rPr>
            </w:pPr>
          </w:p>
        </w:tc>
        <w:tc>
          <w:tcPr>
            <w:tcW w:w="2018" w:type="dxa"/>
            <w:noWrap w:val="0"/>
            <w:vAlign w:val="top"/>
          </w:tcPr>
          <w:p w14:paraId="2C1F7CBE">
            <w:pPr>
              <w:snapToGrid w:val="0"/>
              <w:spacing w:line="360" w:lineRule="auto"/>
              <w:rPr>
                <w:rFonts w:hint="eastAsia" w:ascii="宋体" w:hAnsi="宋体" w:cs="宋体"/>
                <w:color w:val="000000"/>
                <w:sz w:val="24"/>
              </w:rPr>
            </w:pPr>
          </w:p>
        </w:tc>
        <w:tc>
          <w:tcPr>
            <w:tcW w:w="1401" w:type="dxa"/>
            <w:noWrap w:val="0"/>
            <w:vAlign w:val="top"/>
          </w:tcPr>
          <w:p w14:paraId="7669EF68">
            <w:pPr>
              <w:snapToGrid w:val="0"/>
              <w:spacing w:line="360" w:lineRule="auto"/>
              <w:rPr>
                <w:rFonts w:hint="eastAsia" w:ascii="宋体" w:hAnsi="宋体" w:cs="宋体"/>
                <w:color w:val="000000"/>
                <w:sz w:val="24"/>
              </w:rPr>
            </w:pPr>
          </w:p>
        </w:tc>
        <w:tc>
          <w:tcPr>
            <w:tcW w:w="1303" w:type="dxa"/>
            <w:noWrap w:val="0"/>
            <w:vAlign w:val="top"/>
          </w:tcPr>
          <w:p w14:paraId="2E5AB050">
            <w:pPr>
              <w:snapToGrid w:val="0"/>
              <w:spacing w:line="360" w:lineRule="auto"/>
              <w:rPr>
                <w:rFonts w:hint="eastAsia" w:ascii="宋体" w:hAnsi="宋体" w:cs="宋体"/>
                <w:color w:val="000000"/>
                <w:sz w:val="24"/>
              </w:rPr>
            </w:pPr>
          </w:p>
        </w:tc>
        <w:tc>
          <w:tcPr>
            <w:tcW w:w="1374" w:type="dxa"/>
            <w:noWrap w:val="0"/>
            <w:vAlign w:val="top"/>
          </w:tcPr>
          <w:p w14:paraId="644D683E">
            <w:pPr>
              <w:snapToGrid w:val="0"/>
              <w:spacing w:line="360" w:lineRule="auto"/>
              <w:rPr>
                <w:rFonts w:hint="eastAsia" w:ascii="宋体" w:hAnsi="宋体" w:cs="宋体"/>
                <w:color w:val="000000"/>
                <w:sz w:val="24"/>
              </w:rPr>
            </w:pPr>
          </w:p>
        </w:tc>
        <w:tc>
          <w:tcPr>
            <w:tcW w:w="1256" w:type="dxa"/>
            <w:noWrap w:val="0"/>
            <w:vAlign w:val="top"/>
          </w:tcPr>
          <w:p w14:paraId="6EF82656">
            <w:pPr>
              <w:snapToGrid w:val="0"/>
              <w:spacing w:line="360" w:lineRule="auto"/>
              <w:rPr>
                <w:rFonts w:hint="eastAsia" w:ascii="宋体" w:hAnsi="宋体" w:cs="宋体"/>
                <w:color w:val="000000"/>
                <w:sz w:val="24"/>
              </w:rPr>
            </w:pPr>
          </w:p>
        </w:tc>
        <w:tc>
          <w:tcPr>
            <w:tcW w:w="852" w:type="dxa"/>
            <w:noWrap w:val="0"/>
            <w:vAlign w:val="top"/>
          </w:tcPr>
          <w:p w14:paraId="463973DD">
            <w:pPr>
              <w:snapToGrid w:val="0"/>
              <w:spacing w:line="360" w:lineRule="auto"/>
              <w:rPr>
                <w:rFonts w:hint="eastAsia" w:ascii="宋体" w:hAnsi="宋体" w:cs="宋体"/>
                <w:color w:val="000000"/>
                <w:sz w:val="24"/>
              </w:rPr>
            </w:pPr>
          </w:p>
        </w:tc>
      </w:tr>
      <w:tr w14:paraId="32D34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top"/>
          </w:tcPr>
          <w:p w14:paraId="79A9061E">
            <w:pPr>
              <w:snapToGrid w:val="0"/>
              <w:spacing w:line="360" w:lineRule="auto"/>
              <w:rPr>
                <w:rFonts w:hint="eastAsia" w:ascii="宋体" w:hAnsi="宋体" w:cs="宋体"/>
                <w:color w:val="000000"/>
                <w:sz w:val="24"/>
              </w:rPr>
            </w:pPr>
          </w:p>
        </w:tc>
        <w:tc>
          <w:tcPr>
            <w:tcW w:w="2018" w:type="dxa"/>
            <w:noWrap w:val="0"/>
            <w:vAlign w:val="top"/>
          </w:tcPr>
          <w:p w14:paraId="483C647D">
            <w:pPr>
              <w:snapToGrid w:val="0"/>
              <w:spacing w:line="360" w:lineRule="auto"/>
              <w:rPr>
                <w:rFonts w:hint="eastAsia" w:ascii="宋体" w:hAnsi="宋体" w:cs="宋体"/>
                <w:color w:val="000000"/>
                <w:sz w:val="24"/>
              </w:rPr>
            </w:pPr>
          </w:p>
        </w:tc>
        <w:tc>
          <w:tcPr>
            <w:tcW w:w="1401" w:type="dxa"/>
            <w:noWrap w:val="0"/>
            <w:vAlign w:val="top"/>
          </w:tcPr>
          <w:p w14:paraId="4284CF3D">
            <w:pPr>
              <w:snapToGrid w:val="0"/>
              <w:spacing w:line="360" w:lineRule="auto"/>
              <w:rPr>
                <w:rFonts w:hint="eastAsia" w:ascii="宋体" w:hAnsi="宋体" w:cs="宋体"/>
                <w:color w:val="000000"/>
                <w:sz w:val="24"/>
              </w:rPr>
            </w:pPr>
          </w:p>
        </w:tc>
        <w:tc>
          <w:tcPr>
            <w:tcW w:w="1303" w:type="dxa"/>
            <w:noWrap w:val="0"/>
            <w:vAlign w:val="top"/>
          </w:tcPr>
          <w:p w14:paraId="5282E188">
            <w:pPr>
              <w:snapToGrid w:val="0"/>
              <w:spacing w:line="360" w:lineRule="auto"/>
              <w:rPr>
                <w:rFonts w:hint="eastAsia" w:ascii="宋体" w:hAnsi="宋体" w:cs="宋体"/>
                <w:color w:val="000000"/>
                <w:sz w:val="24"/>
              </w:rPr>
            </w:pPr>
          </w:p>
        </w:tc>
        <w:tc>
          <w:tcPr>
            <w:tcW w:w="1374" w:type="dxa"/>
            <w:noWrap w:val="0"/>
            <w:vAlign w:val="top"/>
          </w:tcPr>
          <w:p w14:paraId="35B22A79">
            <w:pPr>
              <w:snapToGrid w:val="0"/>
              <w:spacing w:line="360" w:lineRule="auto"/>
              <w:rPr>
                <w:rFonts w:hint="eastAsia" w:ascii="宋体" w:hAnsi="宋体" w:cs="宋体"/>
                <w:color w:val="000000"/>
                <w:sz w:val="24"/>
              </w:rPr>
            </w:pPr>
          </w:p>
        </w:tc>
        <w:tc>
          <w:tcPr>
            <w:tcW w:w="1256" w:type="dxa"/>
            <w:noWrap w:val="0"/>
            <w:vAlign w:val="top"/>
          </w:tcPr>
          <w:p w14:paraId="33185A97">
            <w:pPr>
              <w:snapToGrid w:val="0"/>
              <w:spacing w:line="360" w:lineRule="auto"/>
              <w:rPr>
                <w:rFonts w:hint="eastAsia" w:ascii="宋体" w:hAnsi="宋体" w:cs="宋体"/>
                <w:color w:val="000000"/>
                <w:sz w:val="24"/>
              </w:rPr>
            </w:pPr>
          </w:p>
        </w:tc>
        <w:tc>
          <w:tcPr>
            <w:tcW w:w="852" w:type="dxa"/>
            <w:noWrap w:val="0"/>
            <w:vAlign w:val="top"/>
          </w:tcPr>
          <w:p w14:paraId="3FF03554">
            <w:pPr>
              <w:snapToGrid w:val="0"/>
              <w:spacing w:line="360" w:lineRule="auto"/>
              <w:rPr>
                <w:rFonts w:hint="eastAsia" w:ascii="宋体" w:hAnsi="宋体" w:cs="宋体"/>
                <w:color w:val="000000"/>
                <w:sz w:val="24"/>
              </w:rPr>
            </w:pPr>
          </w:p>
        </w:tc>
      </w:tr>
      <w:tr w14:paraId="386B6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top"/>
          </w:tcPr>
          <w:p w14:paraId="674FADAE">
            <w:pPr>
              <w:snapToGrid w:val="0"/>
              <w:spacing w:line="360" w:lineRule="auto"/>
              <w:rPr>
                <w:rFonts w:hint="eastAsia" w:ascii="宋体" w:hAnsi="宋体" w:cs="宋体"/>
                <w:color w:val="000000"/>
                <w:sz w:val="24"/>
              </w:rPr>
            </w:pPr>
          </w:p>
        </w:tc>
        <w:tc>
          <w:tcPr>
            <w:tcW w:w="2018" w:type="dxa"/>
            <w:noWrap w:val="0"/>
            <w:vAlign w:val="top"/>
          </w:tcPr>
          <w:p w14:paraId="7D93BDF5">
            <w:pPr>
              <w:snapToGrid w:val="0"/>
              <w:spacing w:line="360" w:lineRule="auto"/>
              <w:rPr>
                <w:rFonts w:hint="eastAsia" w:ascii="宋体" w:hAnsi="宋体" w:cs="宋体"/>
                <w:color w:val="000000"/>
                <w:sz w:val="24"/>
              </w:rPr>
            </w:pPr>
          </w:p>
        </w:tc>
        <w:tc>
          <w:tcPr>
            <w:tcW w:w="1401" w:type="dxa"/>
            <w:noWrap w:val="0"/>
            <w:vAlign w:val="top"/>
          </w:tcPr>
          <w:p w14:paraId="79E23865">
            <w:pPr>
              <w:snapToGrid w:val="0"/>
              <w:spacing w:line="360" w:lineRule="auto"/>
              <w:rPr>
                <w:rFonts w:hint="eastAsia" w:ascii="宋体" w:hAnsi="宋体" w:cs="宋体"/>
                <w:color w:val="000000"/>
                <w:sz w:val="24"/>
              </w:rPr>
            </w:pPr>
          </w:p>
        </w:tc>
        <w:tc>
          <w:tcPr>
            <w:tcW w:w="1303" w:type="dxa"/>
            <w:noWrap w:val="0"/>
            <w:vAlign w:val="top"/>
          </w:tcPr>
          <w:p w14:paraId="3AC38617">
            <w:pPr>
              <w:snapToGrid w:val="0"/>
              <w:spacing w:line="360" w:lineRule="auto"/>
              <w:rPr>
                <w:rFonts w:hint="eastAsia" w:ascii="宋体" w:hAnsi="宋体" w:cs="宋体"/>
                <w:color w:val="000000"/>
                <w:sz w:val="24"/>
              </w:rPr>
            </w:pPr>
          </w:p>
        </w:tc>
        <w:tc>
          <w:tcPr>
            <w:tcW w:w="1374" w:type="dxa"/>
            <w:noWrap w:val="0"/>
            <w:vAlign w:val="top"/>
          </w:tcPr>
          <w:p w14:paraId="0CB9A0DA">
            <w:pPr>
              <w:snapToGrid w:val="0"/>
              <w:spacing w:line="360" w:lineRule="auto"/>
              <w:rPr>
                <w:rFonts w:hint="eastAsia" w:ascii="宋体" w:hAnsi="宋体" w:cs="宋体"/>
                <w:color w:val="000000"/>
                <w:sz w:val="24"/>
              </w:rPr>
            </w:pPr>
          </w:p>
        </w:tc>
        <w:tc>
          <w:tcPr>
            <w:tcW w:w="1256" w:type="dxa"/>
            <w:noWrap w:val="0"/>
            <w:vAlign w:val="top"/>
          </w:tcPr>
          <w:p w14:paraId="20C5267A">
            <w:pPr>
              <w:snapToGrid w:val="0"/>
              <w:spacing w:line="360" w:lineRule="auto"/>
              <w:rPr>
                <w:rFonts w:hint="eastAsia" w:ascii="宋体" w:hAnsi="宋体" w:cs="宋体"/>
                <w:color w:val="000000"/>
                <w:sz w:val="24"/>
              </w:rPr>
            </w:pPr>
          </w:p>
        </w:tc>
        <w:tc>
          <w:tcPr>
            <w:tcW w:w="852" w:type="dxa"/>
            <w:noWrap w:val="0"/>
            <w:vAlign w:val="top"/>
          </w:tcPr>
          <w:p w14:paraId="21E83FFE">
            <w:pPr>
              <w:snapToGrid w:val="0"/>
              <w:spacing w:line="360" w:lineRule="auto"/>
              <w:rPr>
                <w:rFonts w:hint="eastAsia" w:ascii="宋体" w:hAnsi="宋体" w:cs="宋体"/>
                <w:color w:val="000000"/>
                <w:sz w:val="24"/>
              </w:rPr>
            </w:pPr>
          </w:p>
        </w:tc>
      </w:tr>
      <w:tr w14:paraId="6D9E8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top"/>
          </w:tcPr>
          <w:p w14:paraId="6E7D4A8F">
            <w:pPr>
              <w:snapToGrid w:val="0"/>
              <w:spacing w:line="360" w:lineRule="auto"/>
              <w:rPr>
                <w:rFonts w:hint="eastAsia" w:ascii="宋体" w:hAnsi="宋体" w:cs="宋体"/>
                <w:color w:val="000000"/>
                <w:sz w:val="24"/>
              </w:rPr>
            </w:pPr>
          </w:p>
        </w:tc>
        <w:tc>
          <w:tcPr>
            <w:tcW w:w="2018" w:type="dxa"/>
            <w:noWrap w:val="0"/>
            <w:vAlign w:val="top"/>
          </w:tcPr>
          <w:p w14:paraId="6A9CF50C">
            <w:pPr>
              <w:snapToGrid w:val="0"/>
              <w:spacing w:line="360" w:lineRule="auto"/>
              <w:rPr>
                <w:rFonts w:hint="eastAsia" w:ascii="宋体" w:hAnsi="宋体" w:cs="宋体"/>
                <w:color w:val="000000"/>
                <w:sz w:val="24"/>
              </w:rPr>
            </w:pPr>
          </w:p>
        </w:tc>
        <w:tc>
          <w:tcPr>
            <w:tcW w:w="1401" w:type="dxa"/>
            <w:noWrap w:val="0"/>
            <w:vAlign w:val="top"/>
          </w:tcPr>
          <w:p w14:paraId="249E1A33">
            <w:pPr>
              <w:snapToGrid w:val="0"/>
              <w:spacing w:line="360" w:lineRule="auto"/>
              <w:rPr>
                <w:rFonts w:hint="eastAsia" w:ascii="宋体" w:hAnsi="宋体" w:cs="宋体"/>
                <w:color w:val="000000"/>
                <w:sz w:val="24"/>
              </w:rPr>
            </w:pPr>
          </w:p>
        </w:tc>
        <w:tc>
          <w:tcPr>
            <w:tcW w:w="1303" w:type="dxa"/>
            <w:noWrap w:val="0"/>
            <w:vAlign w:val="top"/>
          </w:tcPr>
          <w:p w14:paraId="3648C943">
            <w:pPr>
              <w:snapToGrid w:val="0"/>
              <w:spacing w:line="360" w:lineRule="auto"/>
              <w:rPr>
                <w:rFonts w:hint="eastAsia" w:ascii="宋体" w:hAnsi="宋体" w:cs="宋体"/>
                <w:color w:val="000000"/>
                <w:sz w:val="24"/>
              </w:rPr>
            </w:pPr>
          </w:p>
        </w:tc>
        <w:tc>
          <w:tcPr>
            <w:tcW w:w="1374" w:type="dxa"/>
            <w:noWrap w:val="0"/>
            <w:vAlign w:val="top"/>
          </w:tcPr>
          <w:p w14:paraId="05E39ABB">
            <w:pPr>
              <w:snapToGrid w:val="0"/>
              <w:spacing w:line="360" w:lineRule="auto"/>
              <w:rPr>
                <w:rFonts w:hint="eastAsia" w:ascii="宋体" w:hAnsi="宋体" w:cs="宋体"/>
                <w:color w:val="000000"/>
                <w:sz w:val="24"/>
              </w:rPr>
            </w:pPr>
          </w:p>
        </w:tc>
        <w:tc>
          <w:tcPr>
            <w:tcW w:w="1256" w:type="dxa"/>
            <w:noWrap w:val="0"/>
            <w:vAlign w:val="top"/>
          </w:tcPr>
          <w:p w14:paraId="1F93250D">
            <w:pPr>
              <w:snapToGrid w:val="0"/>
              <w:spacing w:line="360" w:lineRule="auto"/>
              <w:rPr>
                <w:rFonts w:hint="eastAsia" w:ascii="宋体" w:hAnsi="宋体" w:cs="宋体"/>
                <w:color w:val="000000"/>
                <w:sz w:val="24"/>
              </w:rPr>
            </w:pPr>
          </w:p>
        </w:tc>
        <w:tc>
          <w:tcPr>
            <w:tcW w:w="852" w:type="dxa"/>
            <w:noWrap w:val="0"/>
            <w:vAlign w:val="top"/>
          </w:tcPr>
          <w:p w14:paraId="4F38E8BF">
            <w:pPr>
              <w:snapToGrid w:val="0"/>
              <w:spacing w:line="360" w:lineRule="auto"/>
              <w:rPr>
                <w:rFonts w:hint="eastAsia" w:ascii="宋体" w:hAnsi="宋体" w:cs="宋体"/>
                <w:color w:val="000000"/>
                <w:sz w:val="24"/>
              </w:rPr>
            </w:pPr>
          </w:p>
        </w:tc>
      </w:tr>
      <w:tr w14:paraId="5ACF0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top"/>
          </w:tcPr>
          <w:p w14:paraId="6501CDEB">
            <w:pPr>
              <w:snapToGrid w:val="0"/>
              <w:spacing w:line="360" w:lineRule="auto"/>
              <w:rPr>
                <w:rFonts w:hint="eastAsia" w:ascii="宋体" w:hAnsi="宋体" w:cs="宋体"/>
                <w:color w:val="000000"/>
                <w:sz w:val="24"/>
              </w:rPr>
            </w:pPr>
          </w:p>
        </w:tc>
        <w:tc>
          <w:tcPr>
            <w:tcW w:w="2018" w:type="dxa"/>
            <w:noWrap w:val="0"/>
            <w:vAlign w:val="top"/>
          </w:tcPr>
          <w:p w14:paraId="422559CF">
            <w:pPr>
              <w:snapToGrid w:val="0"/>
              <w:spacing w:line="360" w:lineRule="auto"/>
              <w:rPr>
                <w:rFonts w:hint="eastAsia" w:ascii="宋体" w:hAnsi="宋体" w:cs="宋体"/>
                <w:color w:val="000000"/>
                <w:sz w:val="24"/>
              </w:rPr>
            </w:pPr>
          </w:p>
        </w:tc>
        <w:tc>
          <w:tcPr>
            <w:tcW w:w="1401" w:type="dxa"/>
            <w:noWrap w:val="0"/>
            <w:vAlign w:val="top"/>
          </w:tcPr>
          <w:p w14:paraId="4C9FDF86">
            <w:pPr>
              <w:snapToGrid w:val="0"/>
              <w:spacing w:line="360" w:lineRule="auto"/>
              <w:rPr>
                <w:rFonts w:hint="eastAsia" w:ascii="宋体" w:hAnsi="宋体" w:cs="宋体"/>
                <w:color w:val="000000"/>
                <w:sz w:val="24"/>
              </w:rPr>
            </w:pPr>
          </w:p>
        </w:tc>
        <w:tc>
          <w:tcPr>
            <w:tcW w:w="1303" w:type="dxa"/>
            <w:noWrap w:val="0"/>
            <w:vAlign w:val="top"/>
          </w:tcPr>
          <w:p w14:paraId="43F96B8E">
            <w:pPr>
              <w:snapToGrid w:val="0"/>
              <w:spacing w:line="360" w:lineRule="auto"/>
              <w:rPr>
                <w:rFonts w:hint="eastAsia" w:ascii="宋体" w:hAnsi="宋体" w:cs="宋体"/>
                <w:color w:val="000000"/>
                <w:sz w:val="24"/>
              </w:rPr>
            </w:pPr>
          </w:p>
        </w:tc>
        <w:tc>
          <w:tcPr>
            <w:tcW w:w="1374" w:type="dxa"/>
            <w:noWrap w:val="0"/>
            <w:vAlign w:val="top"/>
          </w:tcPr>
          <w:p w14:paraId="57FD6BFC">
            <w:pPr>
              <w:snapToGrid w:val="0"/>
              <w:spacing w:line="360" w:lineRule="auto"/>
              <w:rPr>
                <w:rFonts w:hint="eastAsia" w:ascii="宋体" w:hAnsi="宋体" w:cs="宋体"/>
                <w:color w:val="000000"/>
                <w:sz w:val="24"/>
              </w:rPr>
            </w:pPr>
          </w:p>
        </w:tc>
        <w:tc>
          <w:tcPr>
            <w:tcW w:w="1256" w:type="dxa"/>
            <w:noWrap w:val="0"/>
            <w:vAlign w:val="top"/>
          </w:tcPr>
          <w:p w14:paraId="0E992341">
            <w:pPr>
              <w:snapToGrid w:val="0"/>
              <w:spacing w:line="360" w:lineRule="auto"/>
              <w:rPr>
                <w:rFonts w:hint="eastAsia" w:ascii="宋体" w:hAnsi="宋体" w:cs="宋体"/>
                <w:color w:val="000000"/>
                <w:sz w:val="24"/>
              </w:rPr>
            </w:pPr>
          </w:p>
        </w:tc>
        <w:tc>
          <w:tcPr>
            <w:tcW w:w="852" w:type="dxa"/>
            <w:noWrap w:val="0"/>
            <w:vAlign w:val="top"/>
          </w:tcPr>
          <w:p w14:paraId="63FFEAAD">
            <w:pPr>
              <w:snapToGrid w:val="0"/>
              <w:spacing w:line="360" w:lineRule="auto"/>
              <w:rPr>
                <w:rFonts w:hint="eastAsia" w:ascii="宋体" w:hAnsi="宋体" w:cs="宋体"/>
                <w:color w:val="000000"/>
                <w:sz w:val="24"/>
              </w:rPr>
            </w:pPr>
          </w:p>
        </w:tc>
      </w:tr>
      <w:tr w14:paraId="54E40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top"/>
          </w:tcPr>
          <w:p w14:paraId="0239D8E9">
            <w:pPr>
              <w:snapToGrid w:val="0"/>
              <w:spacing w:line="360" w:lineRule="auto"/>
              <w:rPr>
                <w:rFonts w:hint="eastAsia" w:ascii="宋体" w:hAnsi="宋体" w:cs="宋体"/>
                <w:color w:val="000000"/>
                <w:sz w:val="24"/>
              </w:rPr>
            </w:pPr>
          </w:p>
        </w:tc>
        <w:tc>
          <w:tcPr>
            <w:tcW w:w="2018" w:type="dxa"/>
            <w:noWrap w:val="0"/>
            <w:vAlign w:val="top"/>
          </w:tcPr>
          <w:p w14:paraId="04C0B67B">
            <w:pPr>
              <w:snapToGrid w:val="0"/>
              <w:spacing w:line="360" w:lineRule="auto"/>
              <w:rPr>
                <w:rFonts w:hint="eastAsia" w:ascii="宋体" w:hAnsi="宋体" w:cs="宋体"/>
                <w:color w:val="000000"/>
                <w:sz w:val="24"/>
              </w:rPr>
            </w:pPr>
          </w:p>
        </w:tc>
        <w:tc>
          <w:tcPr>
            <w:tcW w:w="1401" w:type="dxa"/>
            <w:noWrap w:val="0"/>
            <w:vAlign w:val="top"/>
          </w:tcPr>
          <w:p w14:paraId="03D3AB2B">
            <w:pPr>
              <w:snapToGrid w:val="0"/>
              <w:spacing w:line="360" w:lineRule="auto"/>
              <w:rPr>
                <w:rFonts w:hint="eastAsia" w:ascii="宋体" w:hAnsi="宋体" w:cs="宋体"/>
                <w:color w:val="000000"/>
                <w:sz w:val="24"/>
              </w:rPr>
            </w:pPr>
          </w:p>
        </w:tc>
        <w:tc>
          <w:tcPr>
            <w:tcW w:w="1303" w:type="dxa"/>
            <w:noWrap w:val="0"/>
            <w:vAlign w:val="top"/>
          </w:tcPr>
          <w:p w14:paraId="035AE606">
            <w:pPr>
              <w:snapToGrid w:val="0"/>
              <w:spacing w:line="360" w:lineRule="auto"/>
              <w:rPr>
                <w:rFonts w:hint="eastAsia" w:ascii="宋体" w:hAnsi="宋体" w:cs="宋体"/>
                <w:color w:val="000000"/>
                <w:sz w:val="24"/>
              </w:rPr>
            </w:pPr>
          </w:p>
        </w:tc>
        <w:tc>
          <w:tcPr>
            <w:tcW w:w="1374" w:type="dxa"/>
            <w:noWrap w:val="0"/>
            <w:vAlign w:val="top"/>
          </w:tcPr>
          <w:p w14:paraId="622EB972">
            <w:pPr>
              <w:snapToGrid w:val="0"/>
              <w:spacing w:line="360" w:lineRule="auto"/>
              <w:rPr>
                <w:rFonts w:hint="eastAsia" w:ascii="宋体" w:hAnsi="宋体" w:cs="宋体"/>
                <w:color w:val="000000"/>
                <w:sz w:val="24"/>
              </w:rPr>
            </w:pPr>
          </w:p>
        </w:tc>
        <w:tc>
          <w:tcPr>
            <w:tcW w:w="1256" w:type="dxa"/>
            <w:noWrap w:val="0"/>
            <w:vAlign w:val="top"/>
          </w:tcPr>
          <w:p w14:paraId="4B4C38DB">
            <w:pPr>
              <w:snapToGrid w:val="0"/>
              <w:spacing w:line="360" w:lineRule="auto"/>
              <w:rPr>
                <w:rFonts w:hint="eastAsia" w:ascii="宋体" w:hAnsi="宋体" w:cs="宋体"/>
                <w:color w:val="000000"/>
                <w:sz w:val="24"/>
              </w:rPr>
            </w:pPr>
          </w:p>
        </w:tc>
        <w:tc>
          <w:tcPr>
            <w:tcW w:w="852" w:type="dxa"/>
            <w:noWrap w:val="0"/>
            <w:vAlign w:val="top"/>
          </w:tcPr>
          <w:p w14:paraId="408544B9">
            <w:pPr>
              <w:snapToGrid w:val="0"/>
              <w:spacing w:line="360" w:lineRule="auto"/>
              <w:rPr>
                <w:rFonts w:hint="eastAsia" w:ascii="宋体" w:hAnsi="宋体" w:cs="宋体"/>
                <w:color w:val="000000"/>
                <w:sz w:val="24"/>
              </w:rPr>
            </w:pPr>
          </w:p>
        </w:tc>
      </w:tr>
      <w:tr w14:paraId="0393B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top"/>
          </w:tcPr>
          <w:p w14:paraId="035E0728">
            <w:pPr>
              <w:snapToGrid w:val="0"/>
              <w:spacing w:line="360" w:lineRule="auto"/>
              <w:rPr>
                <w:rFonts w:hint="eastAsia" w:ascii="宋体" w:hAnsi="宋体" w:cs="宋体"/>
                <w:color w:val="000000"/>
                <w:sz w:val="24"/>
              </w:rPr>
            </w:pPr>
          </w:p>
        </w:tc>
        <w:tc>
          <w:tcPr>
            <w:tcW w:w="2018" w:type="dxa"/>
            <w:noWrap w:val="0"/>
            <w:vAlign w:val="top"/>
          </w:tcPr>
          <w:p w14:paraId="563F4017">
            <w:pPr>
              <w:snapToGrid w:val="0"/>
              <w:spacing w:line="360" w:lineRule="auto"/>
              <w:rPr>
                <w:rFonts w:hint="eastAsia" w:ascii="宋体" w:hAnsi="宋体" w:cs="宋体"/>
                <w:color w:val="000000"/>
                <w:sz w:val="24"/>
              </w:rPr>
            </w:pPr>
          </w:p>
        </w:tc>
        <w:tc>
          <w:tcPr>
            <w:tcW w:w="1401" w:type="dxa"/>
            <w:noWrap w:val="0"/>
            <w:vAlign w:val="top"/>
          </w:tcPr>
          <w:p w14:paraId="5448ADAE">
            <w:pPr>
              <w:snapToGrid w:val="0"/>
              <w:spacing w:line="360" w:lineRule="auto"/>
              <w:rPr>
                <w:rFonts w:hint="eastAsia" w:ascii="宋体" w:hAnsi="宋体" w:cs="宋体"/>
                <w:color w:val="000000"/>
                <w:sz w:val="24"/>
              </w:rPr>
            </w:pPr>
          </w:p>
        </w:tc>
        <w:tc>
          <w:tcPr>
            <w:tcW w:w="1303" w:type="dxa"/>
            <w:noWrap w:val="0"/>
            <w:vAlign w:val="top"/>
          </w:tcPr>
          <w:p w14:paraId="3826643D">
            <w:pPr>
              <w:snapToGrid w:val="0"/>
              <w:spacing w:line="360" w:lineRule="auto"/>
              <w:rPr>
                <w:rFonts w:hint="eastAsia" w:ascii="宋体" w:hAnsi="宋体" w:cs="宋体"/>
                <w:color w:val="000000"/>
                <w:sz w:val="24"/>
              </w:rPr>
            </w:pPr>
          </w:p>
        </w:tc>
        <w:tc>
          <w:tcPr>
            <w:tcW w:w="1374" w:type="dxa"/>
            <w:noWrap w:val="0"/>
            <w:vAlign w:val="top"/>
          </w:tcPr>
          <w:p w14:paraId="60BBC5CE">
            <w:pPr>
              <w:snapToGrid w:val="0"/>
              <w:spacing w:line="360" w:lineRule="auto"/>
              <w:rPr>
                <w:rFonts w:hint="eastAsia" w:ascii="宋体" w:hAnsi="宋体" w:cs="宋体"/>
                <w:color w:val="000000"/>
                <w:sz w:val="24"/>
              </w:rPr>
            </w:pPr>
          </w:p>
        </w:tc>
        <w:tc>
          <w:tcPr>
            <w:tcW w:w="1256" w:type="dxa"/>
            <w:noWrap w:val="0"/>
            <w:vAlign w:val="top"/>
          </w:tcPr>
          <w:p w14:paraId="63DC26AA">
            <w:pPr>
              <w:snapToGrid w:val="0"/>
              <w:spacing w:line="360" w:lineRule="auto"/>
              <w:rPr>
                <w:rFonts w:hint="eastAsia" w:ascii="宋体" w:hAnsi="宋体" w:cs="宋体"/>
                <w:color w:val="000000"/>
                <w:sz w:val="24"/>
              </w:rPr>
            </w:pPr>
          </w:p>
        </w:tc>
        <w:tc>
          <w:tcPr>
            <w:tcW w:w="852" w:type="dxa"/>
            <w:noWrap w:val="0"/>
            <w:vAlign w:val="top"/>
          </w:tcPr>
          <w:p w14:paraId="77BE1F6B">
            <w:pPr>
              <w:snapToGrid w:val="0"/>
              <w:spacing w:line="360" w:lineRule="auto"/>
              <w:rPr>
                <w:rFonts w:hint="eastAsia" w:ascii="宋体" w:hAnsi="宋体" w:cs="宋体"/>
                <w:color w:val="000000"/>
                <w:sz w:val="24"/>
              </w:rPr>
            </w:pPr>
          </w:p>
        </w:tc>
      </w:tr>
      <w:tr w14:paraId="45E07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top"/>
          </w:tcPr>
          <w:p w14:paraId="33C23A72">
            <w:pPr>
              <w:snapToGrid w:val="0"/>
              <w:spacing w:line="360" w:lineRule="auto"/>
              <w:rPr>
                <w:rFonts w:hint="eastAsia" w:ascii="宋体" w:hAnsi="宋体" w:cs="宋体"/>
                <w:color w:val="000000"/>
                <w:sz w:val="24"/>
              </w:rPr>
            </w:pPr>
          </w:p>
        </w:tc>
        <w:tc>
          <w:tcPr>
            <w:tcW w:w="2018" w:type="dxa"/>
            <w:noWrap w:val="0"/>
            <w:vAlign w:val="top"/>
          </w:tcPr>
          <w:p w14:paraId="5B7EB7B1">
            <w:pPr>
              <w:snapToGrid w:val="0"/>
              <w:spacing w:line="360" w:lineRule="auto"/>
              <w:rPr>
                <w:rFonts w:hint="eastAsia" w:ascii="宋体" w:hAnsi="宋体" w:cs="宋体"/>
                <w:color w:val="000000"/>
                <w:sz w:val="24"/>
              </w:rPr>
            </w:pPr>
          </w:p>
        </w:tc>
        <w:tc>
          <w:tcPr>
            <w:tcW w:w="1401" w:type="dxa"/>
            <w:noWrap w:val="0"/>
            <w:vAlign w:val="top"/>
          </w:tcPr>
          <w:p w14:paraId="7CFED984">
            <w:pPr>
              <w:snapToGrid w:val="0"/>
              <w:spacing w:line="360" w:lineRule="auto"/>
              <w:rPr>
                <w:rFonts w:hint="eastAsia" w:ascii="宋体" w:hAnsi="宋体" w:cs="宋体"/>
                <w:color w:val="000000"/>
                <w:sz w:val="24"/>
              </w:rPr>
            </w:pPr>
          </w:p>
        </w:tc>
        <w:tc>
          <w:tcPr>
            <w:tcW w:w="1303" w:type="dxa"/>
            <w:noWrap w:val="0"/>
            <w:vAlign w:val="top"/>
          </w:tcPr>
          <w:p w14:paraId="08C120DB">
            <w:pPr>
              <w:snapToGrid w:val="0"/>
              <w:spacing w:line="360" w:lineRule="auto"/>
              <w:rPr>
                <w:rFonts w:hint="eastAsia" w:ascii="宋体" w:hAnsi="宋体" w:cs="宋体"/>
                <w:color w:val="000000"/>
                <w:sz w:val="24"/>
              </w:rPr>
            </w:pPr>
          </w:p>
        </w:tc>
        <w:tc>
          <w:tcPr>
            <w:tcW w:w="1374" w:type="dxa"/>
            <w:noWrap w:val="0"/>
            <w:vAlign w:val="top"/>
          </w:tcPr>
          <w:p w14:paraId="7C31B3AC">
            <w:pPr>
              <w:snapToGrid w:val="0"/>
              <w:spacing w:line="360" w:lineRule="auto"/>
              <w:rPr>
                <w:rFonts w:hint="eastAsia" w:ascii="宋体" w:hAnsi="宋体" w:cs="宋体"/>
                <w:color w:val="000000"/>
                <w:sz w:val="24"/>
              </w:rPr>
            </w:pPr>
          </w:p>
        </w:tc>
        <w:tc>
          <w:tcPr>
            <w:tcW w:w="1256" w:type="dxa"/>
            <w:noWrap w:val="0"/>
            <w:vAlign w:val="top"/>
          </w:tcPr>
          <w:p w14:paraId="67A7F73D">
            <w:pPr>
              <w:snapToGrid w:val="0"/>
              <w:spacing w:line="360" w:lineRule="auto"/>
              <w:rPr>
                <w:rFonts w:hint="eastAsia" w:ascii="宋体" w:hAnsi="宋体" w:cs="宋体"/>
                <w:color w:val="000000"/>
                <w:sz w:val="24"/>
              </w:rPr>
            </w:pPr>
          </w:p>
        </w:tc>
        <w:tc>
          <w:tcPr>
            <w:tcW w:w="852" w:type="dxa"/>
            <w:noWrap w:val="0"/>
            <w:vAlign w:val="top"/>
          </w:tcPr>
          <w:p w14:paraId="64F590A3">
            <w:pPr>
              <w:snapToGrid w:val="0"/>
              <w:spacing w:line="360" w:lineRule="auto"/>
              <w:rPr>
                <w:rFonts w:hint="eastAsia" w:ascii="宋体" w:hAnsi="宋体" w:cs="宋体"/>
                <w:color w:val="000000"/>
                <w:sz w:val="24"/>
              </w:rPr>
            </w:pPr>
          </w:p>
        </w:tc>
      </w:tr>
    </w:tbl>
    <w:p w14:paraId="5985105F">
      <w:pPr>
        <w:snapToGrid w:val="0"/>
        <w:spacing w:line="360" w:lineRule="auto"/>
        <w:ind w:firstLine="480" w:firstLineChars="200"/>
        <w:rPr>
          <w:rFonts w:hint="eastAsia" w:ascii="宋体" w:hAnsi="宋体" w:cs="宋体"/>
          <w:color w:val="000000"/>
          <w:sz w:val="24"/>
        </w:rPr>
      </w:pPr>
    </w:p>
    <w:p w14:paraId="1ABA884E">
      <w:pPr>
        <w:snapToGrid w:val="0"/>
        <w:spacing w:line="360" w:lineRule="auto"/>
        <w:ind w:right="105" w:rightChars="50"/>
        <w:rPr>
          <w:rFonts w:hint="eastAsia" w:ascii="宋体" w:hAnsi="宋体" w:cs="宋体"/>
          <w:color w:val="000000"/>
          <w:sz w:val="24"/>
        </w:rPr>
      </w:pPr>
    </w:p>
    <w:p w14:paraId="74E71020">
      <w:pPr>
        <w:pStyle w:val="16"/>
        <w:rPr>
          <w:rFonts w:hint="eastAsia" w:hAnsi="宋体" w:cs="宋体"/>
          <w:b/>
          <w:bCs/>
          <w:color w:val="000000"/>
          <w:sz w:val="24"/>
          <w:szCs w:val="24"/>
        </w:rPr>
      </w:pPr>
    </w:p>
    <w:p w14:paraId="1751B3BB">
      <w:pPr>
        <w:pStyle w:val="16"/>
        <w:ind w:firstLine="241" w:firstLineChars="100"/>
        <w:rPr>
          <w:rFonts w:hint="eastAsia" w:hAnsi="宋体" w:cs="宋体"/>
          <w:color w:val="000000"/>
          <w:sz w:val="24"/>
          <w:szCs w:val="24"/>
        </w:rPr>
      </w:pPr>
      <w:r>
        <w:rPr>
          <w:rFonts w:hint="eastAsia" w:hAnsi="宋体" w:cs="宋体"/>
          <w:b/>
          <w:bCs/>
          <w:color w:val="000000"/>
          <w:sz w:val="24"/>
        </w:rPr>
        <w:t>注：类似项目业绩（附中标通知书或合同等其他有效证明材料复印件）；</w:t>
      </w:r>
    </w:p>
    <w:p w14:paraId="2DF4F1C6">
      <w:pPr>
        <w:widowControl/>
        <w:autoSpaceDE w:val="0"/>
        <w:autoSpaceDN w:val="0"/>
        <w:adjustRightInd w:val="0"/>
        <w:spacing w:line="360" w:lineRule="auto"/>
        <w:rPr>
          <w:rFonts w:hint="eastAsia" w:ascii="宋体" w:hAnsi="宋体" w:cs="宋体"/>
          <w:b/>
          <w:bCs/>
          <w:color w:val="000000"/>
          <w:sz w:val="24"/>
          <w:u w:val="single"/>
        </w:rPr>
      </w:pPr>
    </w:p>
    <w:p w14:paraId="411D437A">
      <w:pPr>
        <w:widowControl/>
        <w:autoSpaceDE w:val="0"/>
        <w:autoSpaceDN w:val="0"/>
        <w:adjustRightInd w:val="0"/>
        <w:spacing w:line="360" w:lineRule="auto"/>
        <w:rPr>
          <w:rFonts w:hint="eastAsia" w:ascii="宋体" w:hAnsi="宋体" w:cs="宋体"/>
          <w:b/>
          <w:bCs/>
          <w:color w:val="000000"/>
          <w:sz w:val="24"/>
          <w:u w:val="single"/>
        </w:rPr>
      </w:pPr>
    </w:p>
    <w:p w14:paraId="2CBA5EF6">
      <w:pPr>
        <w:widowControl/>
        <w:autoSpaceDE w:val="0"/>
        <w:autoSpaceDN w:val="0"/>
        <w:adjustRightInd w:val="0"/>
        <w:spacing w:line="360" w:lineRule="auto"/>
        <w:rPr>
          <w:rFonts w:hint="eastAsia" w:ascii="宋体" w:hAnsi="宋体" w:cs="宋体"/>
          <w:b/>
          <w:bCs/>
          <w:color w:val="000000"/>
          <w:sz w:val="24"/>
          <w:u w:val="single"/>
        </w:rPr>
      </w:pPr>
    </w:p>
    <w:p w14:paraId="25D84AD7">
      <w:pPr>
        <w:pStyle w:val="3"/>
        <w:tabs>
          <w:tab w:val="left" w:pos="540"/>
        </w:tabs>
        <w:rPr>
          <w:rFonts w:hint="eastAsia" w:ascii="宋体" w:hAnsi="宋体" w:eastAsia="宋体" w:cs="宋体"/>
          <w:color w:val="000000"/>
          <w:sz w:val="24"/>
          <w:szCs w:val="24"/>
        </w:rPr>
      </w:pPr>
    </w:p>
    <w:p w14:paraId="7CE0A9EE">
      <w:pPr>
        <w:widowControl/>
        <w:autoSpaceDE w:val="0"/>
        <w:autoSpaceDN w:val="0"/>
        <w:adjustRightInd w:val="0"/>
        <w:spacing w:line="360" w:lineRule="auto"/>
        <w:rPr>
          <w:rFonts w:hint="eastAsia" w:ascii="宋体" w:hAnsi="宋体" w:cs="宋体"/>
          <w:b/>
          <w:bCs/>
          <w:color w:val="000000"/>
          <w:sz w:val="24"/>
          <w:u w:val="single"/>
        </w:rPr>
      </w:pPr>
    </w:p>
    <w:p w14:paraId="71D1C549">
      <w:pPr>
        <w:snapToGrid w:val="0"/>
        <w:spacing w:line="360" w:lineRule="auto"/>
        <w:jc w:val="left"/>
        <w:rPr>
          <w:rFonts w:hint="eastAsia" w:ascii="宋体" w:hAnsi="宋体" w:cs="宋体"/>
          <w:b/>
          <w:color w:val="000000"/>
          <w:sz w:val="24"/>
        </w:rPr>
      </w:pPr>
    </w:p>
    <w:p w14:paraId="408DDED2">
      <w:pPr>
        <w:tabs>
          <w:tab w:val="left" w:pos="900"/>
        </w:tabs>
        <w:adjustRightInd w:val="0"/>
        <w:snapToGrid w:val="0"/>
        <w:spacing w:line="360" w:lineRule="auto"/>
        <w:jc w:val="left"/>
        <w:rPr>
          <w:rFonts w:hint="eastAsia" w:ascii="宋体" w:hAnsi="宋体" w:cs="宋体"/>
          <w:color w:val="000000"/>
          <w:sz w:val="24"/>
        </w:rPr>
      </w:pPr>
    </w:p>
    <w:p w14:paraId="31E78DC2">
      <w:pPr>
        <w:snapToGrid w:val="0"/>
        <w:spacing w:line="360" w:lineRule="auto"/>
        <w:jc w:val="center"/>
        <w:rPr>
          <w:rFonts w:hint="eastAsia" w:ascii="宋体" w:hAnsi="宋体" w:cs="宋体"/>
          <w:color w:val="000000"/>
          <w:sz w:val="24"/>
        </w:rPr>
      </w:pPr>
    </w:p>
    <w:p w14:paraId="6296B7C7">
      <w:pPr>
        <w:rPr>
          <w:rFonts w:hint="eastAsia" w:ascii="宋体" w:hAnsi="宋体" w:cs="宋体"/>
          <w:b/>
          <w:color w:val="000000"/>
          <w:sz w:val="24"/>
        </w:rPr>
      </w:pPr>
    </w:p>
    <w:p w14:paraId="41E8CD75">
      <w:pPr>
        <w:pStyle w:val="3"/>
        <w:tabs>
          <w:tab w:val="left" w:pos="540"/>
        </w:tabs>
        <w:rPr>
          <w:rFonts w:hint="eastAsia" w:ascii="宋体" w:hAnsi="宋体" w:eastAsia="宋体" w:cs="宋体"/>
          <w:color w:val="000000"/>
          <w:sz w:val="24"/>
          <w:szCs w:val="24"/>
        </w:rPr>
      </w:pPr>
    </w:p>
    <w:p w14:paraId="3DE50A7B">
      <w:pPr>
        <w:pStyle w:val="16"/>
        <w:spacing w:line="240" w:lineRule="atLeast"/>
        <w:ind w:firstLine="720" w:firstLineChars="300"/>
        <w:rPr>
          <w:rFonts w:hint="eastAsia" w:hAnsi="宋体" w:cs="宋体"/>
          <w:color w:val="000000"/>
          <w:sz w:val="24"/>
          <w:szCs w:val="24"/>
        </w:rPr>
      </w:pPr>
      <w:bookmarkStart w:id="386" w:name="_Hlt520350918"/>
      <w:bookmarkEnd w:id="386"/>
      <w:bookmarkStart w:id="387" w:name="_Hlt520350957"/>
      <w:bookmarkEnd w:id="387"/>
      <w:bookmarkStart w:id="388" w:name="_Hlt520274407"/>
      <w:bookmarkEnd w:id="388"/>
      <w:bookmarkStart w:id="389" w:name="_Hlt520274065"/>
      <w:bookmarkEnd w:id="389"/>
      <w:bookmarkStart w:id="390" w:name="_Hlt520273973"/>
      <w:bookmarkEnd w:id="390"/>
      <w:bookmarkStart w:id="391" w:name="_Hlt520274393"/>
      <w:bookmarkEnd w:id="391"/>
      <w:bookmarkStart w:id="392" w:name="_Hlt520343392"/>
      <w:bookmarkEnd w:id="392"/>
      <w:bookmarkStart w:id="393" w:name="_Hlt520273711"/>
      <w:bookmarkEnd w:id="393"/>
      <w:bookmarkStart w:id="394" w:name="_Hlt520274911"/>
      <w:bookmarkEnd w:id="394"/>
      <w:bookmarkStart w:id="395" w:name="_Hlt520271212"/>
      <w:bookmarkEnd w:id="395"/>
      <w:bookmarkStart w:id="396" w:name="_Hlt520343000"/>
      <w:bookmarkEnd w:id="396"/>
    </w:p>
    <w:p w14:paraId="06CA0D15">
      <w:pPr>
        <w:pStyle w:val="17"/>
        <w:ind w:left="2520"/>
        <w:rPr>
          <w:rFonts w:hint="eastAsia" w:ascii="宋体" w:hAnsi="宋体" w:cs="宋体"/>
          <w:color w:val="000000"/>
          <w:sz w:val="24"/>
        </w:rPr>
      </w:pPr>
    </w:p>
    <w:p w14:paraId="0A3A72A7">
      <w:pPr>
        <w:rPr>
          <w:rFonts w:hint="eastAsia"/>
        </w:rPr>
      </w:pPr>
    </w:p>
    <w:p w14:paraId="166141DA">
      <w:pPr>
        <w:pStyle w:val="17"/>
        <w:ind w:left="2520"/>
        <w:rPr>
          <w:rFonts w:hint="eastAsia"/>
        </w:rPr>
      </w:pPr>
    </w:p>
    <w:p w14:paraId="137DED7A">
      <w:pPr>
        <w:pStyle w:val="16"/>
        <w:spacing w:line="240" w:lineRule="atLeast"/>
        <w:ind w:firstLine="720" w:firstLineChars="300"/>
        <w:rPr>
          <w:rFonts w:hint="eastAsia" w:hAnsi="宋体" w:cs="宋体"/>
          <w:color w:val="000000"/>
          <w:sz w:val="24"/>
          <w:szCs w:val="24"/>
        </w:rPr>
      </w:pPr>
    </w:p>
    <w:p w14:paraId="689DFBCC">
      <w:pPr>
        <w:pStyle w:val="16"/>
        <w:spacing w:line="240" w:lineRule="atLeast"/>
        <w:ind w:firstLine="720" w:firstLineChars="300"/>
        <w:rPr>
          <w:rFonts w:hint="eastAsia" w:hAnsi="宋体" w:cs="宋体"/>
          <w:color w:val="000000"/>
          <w:sz w:val="24"/>
          <w:szCs w:val="24"/>
        </w:rPr>
      </w:pPr>
    </w:p>
    <w:p w14:paraId="317F61B9">
      <w:pPr>
        <w:pStyle w:val="16"/>
        <w:spacing w:line="720" w:lineRule="auto"/>
        <w:rPr>
          <w:rFonts w:hint="eastAsia" w:hAnsi="宋体" w:cs="宋体"/>
          <w:b/>
          <w:bCs/>
          <w:color w:val="000000"/>
          <w:sz w:val="24"/>
          <w:szCs w:val="24"/>
          <w:lang w:val="en-US" w:eastAsia="zh-CN"/>
        </w:rPr>
      </w:pPr>
      <w:r>
        <w:rPr>
          <w:rFonts w:hint="eastAsia" w:hAnsi="宋体" w:cs="宋体"/>
          <w:b/>
          <w:bCs/>
          <w:color w:val="000000"/>
          <w:sz w:val="24"/>
          <w:szCs w:val="24"/>
          <w:lang w:val="en-US" w:eastAsia="zh-CN"/>
        </w:rPr>
        <w:t>8、项目组组成人员</w:t>
      </w:r>
    </w:p>
    <w:p w14:paraId="7E6032BA">
      <w:pPr>
        <w:pStyle w:val="16"/>
        <w:spacing w:line="720" w:lineRule="auto"/>
        <w:rPr>
          <w:rFonts w:hint="default" w:hAnsi="宋体" w:cs="宋体"/>
          <w:b/>
          <w:bCs/>
          <w:color w:val="000000"/>
          <w:sz w:val="24"/>
          <w:szCs w:val="24"/>
          <w:lang w:val="en-US" w:eastAsia="zh-CN"/>
        </w:rPr>
      </w:pPr>
      <w:r>
        <w:rPr>
          <w:rFonts w:hint="eastAsia" w:hAnsi="宋体" w:cs="宋体"/>
          <w:b/>
          <w:bCs/>
          <w:color w:val="000000"/>
          <w:sz w:val="24"/>
          <w:szCs w:val="24"/>
          <w:lang w:val="en-US" w:eastAsia="zh-CN"/>
        </w:rPr>
        <w:t>9、</w:t>
      </w:r>
      <w:r>
        <w:rPr>
          <w:rFonts w:hint="default" w:hAnsi="宋体" w:cs="宋体"/>
          <w:b/>
          <w:bCs/>
          <w:color w:val="000000"/>
          <w:sz w:val="24"/>
          <w:szCs w:val="24"/>
          <w:lang w:val="en-US" w:eastAsia="zh-CN"/>
        </w:rPr>
        <w:t>完成履约的设备</w:t>
      </w:r>
    </w:p>
    <w:p w14:paraId="212D51A4">
      <w:pPr>
        <w:pStyle w:val="16"/>
        <w:spacing w:line="720" w:lineRule="auto"/>
        <w:rPr>
          <w:rFonts w:hint="eastAsia" w:hAnsi="宋体" w:cs="宋体"/>
          <w:b/>
          <w:bCs/>
          <w:color w:val="000000"/>
          <w:sz w:val="24"/>
          <w:szCs w:val="24"/>
        </w:rPr>
      </w:pPr>
      <w:r>
        <w:rPr>
          <w:rFonts w:hint="eastAsia" w:hAnsi="宋体" w:cs="宋体"/>
          <w:b/>
          <w:bCs/>
          <w:color w:val="000000"/>
          <w:sz w:val="24"/>
          <w:szCs w:val="24"/>
          <w:lang w:val="en-US" w:eastAsia="zh-CN"/>
        </w:rPr>
        <w:t>10</w:t>
      </w:r>
      <w:r>
        <w:rPr>
          <w:rFonts w:hint="eastAsia" w:hAnsi="宋体" w:cs="宋体"/>
          <w:b/>
          <w:bCs/>
          <w:color w:val="000000"/>
          <w:sz w:val="24"/>
          <w:szCs w:val="24"/>
        </w:rPr>
        <w:t>、</w:t>
      </w:r>
      <w:r>
        <w:rPr>
          <w:rFonts w:hint="eastAsia" w:hAnsi="宋体" w:cs="宋体"/>
          <w:b/>
          <w:bCs/>
          <w:color w:val="000000"/>
          <w:sz w:val="24"/>
          <w:szCs w:val="24"/>
          <w:lang w:val="en-US" w:eastAsia="zh-CN"/>
        </w:rPr>
        <w:t>实施方案</w:t>
      </w:r>
      <w:r>
        <w:rPr>
          <w:rFonts w:hint="eastAsia" w:hAnsi="宋体" w:cs="宋体"/>
          <w:b/>
          <w:bCs/>
          <w:color w:val="000000"/>
          <w:sz w:val="24"/>
          <w:szCs w:val="24"/>
        </w:rPr>
        <w:t xml:space="preserve"> </w:t>
      </w:r>
    </w:p>
    <w:p w14:paraId="4554E148">
      <w:pPr>
        <w:pStyle w:val="16"/>
        <w:spacing w:line="720" w:lineRule="auto"/>
        <w:rPr>
          <w:rFonts w:hint="eastAsia" w:hAnsi="宋体" w:cs="宋体"/>
          <w:b/>
          <w:bCs/>
          <w:color w:val="000000"/>
          <w:sz w:val="24"/>
          <w:szCs w:val="24"/>
        </w:rPr>
      </w:pPr>
      <w:r>
        <w:rPr>
          <w:rFonts w:hint="eastAsia" w:hAnsi="宋体" w:cs="宋体"/>
          <w:b/>
          <w:bCs/>
          <w:color w:val="000000"/>
          <w:sz w:val="24"/>
          <w:szCs w:val="24"/>
          <w:lang w:val="en-US" w:eastAsia="zh-CN"/>
        </w:rPr>
        <w:t>11</w:t>
      </w:r>
      <w:r>
        <w:rPr>
          <w:rFonts w:hint="eastAsia" w:hAnsi="宋体" w:cs="宋体"/>
          <w:b/>
          <w:bCs/>
          <w:color w:val="000000"/>
          <w:sz w:val="24"/>
          <w:szCs w:val="24"/>
        </w:rPr>
        <w:t>、</w:t>
      </w:r>
      <w:r>
        <w:rPr>
          <w:rFonts w:hint="eastAsia" w:hAnsi="宋体" w:cs="宋体"/>
          <w:b/>
          <w:bCs/>
          <w:color w:val="000000"/>
          <w:sz w:val="24"/>
          <w:szCs w:val="24"/>
          <w:lang w:val="en-US" w:eastAsia="zh-CN"/>
        </w:rPr>
        <w:t>项目管理机构</w:t>
      </w:r>
    </w:p>
    <w:p w14:paraId="1218791D">
      <w:pPr>
        <w:pStyle w:val="16"/>
        <w:spacing w:line="720" w:lineRule="auto"/>
        <w:rPr>
          <w:rFonts w:hint="eastAsia" w:hAnsi="宋体" w:cs="宋体"/>
          <w:b/>
          <w:bCs/>
          <w:color w:val="000000"/>
          <w:sz w:val="24"/>
          <w:szCs w:val="24"/>
        </w:rPr>
      </w:pPr>
      <w:r>
        <w:rPr>
          <w:rFonts w:hint="eastAsia" w:hAnsi="宋体" w:cs="宋体"/>
          <w:b/>
          <w:bCs/>
          <w:color w:val="000000"/>
          <w:sz w:val="24"/>
          <w:szCs w:val="24"/>
        </w:rPr>
        <w:t>1</w:t>
      </w:r>
      <w:r>
        <w:rPr>
          <w:rFonts w:hint="eastAsia" w:hAnsi="宋体" w:cs="宋体"/>
          <w:b/>
          <w:bCs/>
          <w:color w:val="000000"/>
          <w:sz w:val="24"/>
          <w:szCs w:val="24"/>
          <w:lang w:val="en-US" w:eastAsia="zh-CN"/>
        </w:rPr>
        <w:t>2</w:t>
      </w:r>
      <w:r>
        <w:rPr>
          <w:rFonts w:hint="eastAsia" w:hAnsi="宋体" w:cs="宋体"/>
          <w:b/>
          <w:bCs/>
          <w:color w:val="000000"/>
          <w:sz w:val="24"/>
          <w:szCs w:val="24"/>
        </w:rPr>
        <w:t>、</w:t>
      </w:r>
      <w:r>
        <w:rPr>
          <w:rFonts w:hint="eastAsia" w:hAnsi="宋体" w:cs="宋体"/>
          <w:b/>
          <w:bCs/>
          <w:color w:val="000000"/>
          <w:sz w:val="24"/>
          <w:szCs w:val="24"/>
          <w:lang w:val="en-US" w:eastAsia="zh-CN"/>
        </w:rPr>
        <w:t>应急方案</w:t>
      </w:r>
    </w:p>
    <w:p w14:paraId="3F21278D">
      <w:pPr>
        <w:pStyle w:val="16"/>
        <w:spacing w:line="720" w:lineRule="auto"/>
        <w:rPr>
          <w:rFonts w:hint="eastAsia" w:hAnsi="宋体" w:cs="宋体"/>
          <w:b/>
          <w:bCs/>
          <w:color w:val="000000"/>
          <w:sz w:val="24"/>
          <w:szCs w:val="24"/>
          <w:lang w:eastAsia="zh-CN"/>
        </w:rPr>
      </w:pPr>
      <w:r>
        <w:rPr>
          <w:rFonts w:hint="eastAsia" w:hAnsi="宋体" w:cs="宋体"/>
          <w:b/>
          <w:bCs/>
          <w:color w:val="000000"/>
          <w:sz w:val="24"/>
          <w:szCs w:val="24"/>
          <w:lang w:val="en-US" w:eastAsia="zh-CN"/>
        </w:rPr>
        <w:t>13</w:t>
      </w:r>
      <w:r>
        <w:rPr>
          <w:rFonts w:hint="eastAsia" w:hAnsi="宋体" w:cs="宋体"/>
          <w:b/>
          <w:bCs/>
          <w:color w:val="000000"/>
          <w:sz w:val="24"/>
          <w:szCs w:val="24"/>
        </w:rPr>
        <w:t>、投标文件还应包括投标人须知第10条的所有技术文件</w:t>
      </w:r>
      <w:r>
        <w:rPr>
          <w:rFonts w:hint="eastAsia" w:hAnsi="宋体" w:cs="宋体"/>
          <w:b/>
          <w:bCs/>
          <w:color w:val="000000"/>
          <w:sz w:val="24"/>
          <w:szCs w:val="24"/>
          <w:lang w:eastAsia="zh-CN"/>
        </w:rPr>
        <w:t>（</w:t>
      </w:r>
      <w:r>
        <w:rPr>
          <w:rFonts w:hint="eastAsia" w:hAnsi="宋体" w:cs="宋体"/>
          <w:b/>
          <w:bCs/>
          <w:color w:val="000000"/>
          <w:sz w:val="24"/>
          <w:szCs w:val="24"/>
          <w:lang w:val="en-US" w:eastAsia="zh-CN"/>
        </w:rPr>
        <w:t>如有</w:t>
      </w:r>
      <w:r>
        <w:rPr>
          <w:rFonts w:hint="eastAsia" w:hAnsi="宋体" w:cs="宋体"/>
          <w:b/>
          <w:bCs/>
          <w:color w:val="000000"/>
          <w:sz w:val="24"/>
          <w:szCs w:val="24"/>
          <w:lang w:eastAsia="zh-CN"/>
        </w:rPr>
        <w:t>）</w:t>
      </w:r>
    </w:p>
    <w:p w14:paraId="3207ADAB">
      <w:pPr>
        <w:pStyle w:val="16"/>
        <w:spacing w:line="240" w:lineRule="atLeast"/>
        <w:rPr>
          <w:rFonts w:hint="eastAsia" w:hAnsi="宋体" w:cs="宋体"/>
          <w:b/>
          <w:bCs/>
          <w:color w:val="auto"/>
          <w:sz w:val="24"/>
          <w:szCs w:val="24"/>
        </w:rPr>
      </w:pPr>
    </w:p>
    <w:p w14:paraId="0960605A">
      <w:pPr>
        <w:pStyle w:val="32"/>
        <w:keepNext w:val="0"/>
        <w:keepLines w:val="0"/>
        <w:pageBreakBefore w:val="0"/>
        <w:widowControl w:val="0"/>
        <w:suppressLineNumbers w:val="0"/>
        <w:kinsoku/>
        <w:wordWrap/>
        <w:overflowPunct/>
        <w:topLinePunct w:val="0"/>
        <w:autoSpaceDE/>
        <w:autoSpaceDN/>
        <w:bidi w:val="0"/>
        <w:adjustRightInd/>
        <w:snapToGrid/>
        <w:spacing w:line="480" w:lineRule="auto"/>
        <w:jc w:val="both"/>
        <w:textAlignment w:val="auto"/>
        <w:rPr>
          <w:rFonts w:hint="eastAsia" w:ascii="宋体" w:hAnsi="宋体" w:cs="宋体"/>
          <w:b/>
          <w:color w:val="auto"/>
          <w:kern w:val="0"/>
          <w:sz w:val="24"/>
          <w:szCs w:val="20"/>
          <w:highlight w:val="none"/>
          <w:lang w:val="en-US" w:eastAsia="zh-CN"/>
        </w:rPr>
      </w:pPr>
    </w:p>
    <w:p w14:paraId="113169B4">
      <w:pPr>
        <w:pStyle w:val="32"/>
        <w:keepNext w:val="0"/>
        <w:keepLines w:val="0"/>
        <w:pageBreakBefore w:val="0"/>
        <w:widowControl w:val="0"/>
        <w:suppressLineNumbers w:val="0"/>
        <w:kinsoku/>
        <w:wordWrap/>
        <w:overflowPunct/>
        <w:topLinePunct w:val="0"/>
        <w:autoSpaceDE/>
        <w:autoSpaceDN/>
        <w:bidi w:val="0"/>
        <w:adjustRightInd/>
        <w:snapToGrid/>
        <w:spacing w:line="480" w:lineRule="auto"/>
        <w:jc w:val="both"/>
        <w:textAlignment w:val="auto"/>
        <w:rPr>
          <w:rFonts w:hint="eastAsia" w:ascii="宋体" w:hAnsi="宋体" w:cs="宋体"/>
          <w:b/>
          <w:color w:val="auto"/>
          <w:kern w:val="0"/>
          <w:sz w:val="24"/>
          <w:szCs w:val="20"/>
          <w:highlight w:val="none"/>
          <w:lang w:val="en-US" w:eastAsia="zh-CN"/>
        </w:rPr>
      </w:pPr>
    </w:p>
    <w:p w14:paraId="51163594">
      <w:pPr>
        <w:pStyle w:val="32"/>
        <w:keepNext w:val="0"/>
        <w:keepLines w:val="0"/>
        <w:pageBreakBefore w:val="0"/>
        <w:widowControl w:val="0"/>
        <w:suppressLineNumbers w:val="0"/>
        <w:kinsoku/>
        <w:wordWrap/>
        <w:overflowPunct/>
        <w:topLinePunct w:val="0"/>
        <w:autoSpaceDE/>
        <w:autoSpaceDN/>
        <w:bidi w:val="0"/>
        <w:adjustRightInd/>
        <w:snapToGrid/>
        <w:spacing w:line="480" w:lineRule="auto"/>
        <w:jc w:val="both"/>
        <w:textAlignment w:val="auto"/>
        <w:rPr>
          <w:rFonts w:hint="eastAsia" w:ascii="宋体" w:hAnsi="宋体" w:cs="宋体"/>
          <w:b/>
          <w:color w:val="auto"/>
          <w:kern w:val="0"/>
          <w:sz w:val="24"/>
          <w:szCs w:val="20"/>
          <w:highlight w:val="none"/>
          <w:lang w:val="en-US" w:eastAsia="zh-CN"/>
        </w:rPr>
      </w:pPr>
    </w:p>
    <w:p w14:paraId="0888156A">
      <w:pPr>
        <w:pStyle w:val="32"/>
        <w:keepNext w:val="0"/>
        <w:keepLines w:val="0"/>
        <w:pageBreakBefore w:val="0"/>
        <w:widowControl w:val="0"/>
        <w:suppressLineNumbers w:val="0"/>
        <w:kinsoku/>
        <w:wordWrap/>
        <w:overflowPunct/>
        <w:topLinePunct w:val="0"/>
        <w:autoSpaceDE/>
        <w:autoSpaceDN/>
        <w:bidi w:val="0"/>
        <w:adjustRightInd/>
        <w:snapToGrid/>
        <w:spacing w:line="480" w:lineRule="auto"/>
        <w:jc w:val="both"/>
        <w:textAlignment w:val="auto"/>
        <w:rPr>
          <w:rFonts w:hint="eastAsia" w:ascii="宋体" w:hAnsi="宋体" w:cs="宋体"/>
          <w:b/>
          <w:color w:val="auto"/>
          <w:kern w:val="0"/>
          <w:sz w:val="24"/>
          <w:szCs w:val="20"/>
          <w:highlight w:val="none"/>
          <w:lang w:val="en-US" w:eastAsia="zh-CN"/>
        </w:rPr>
      </w:pPr>
    </w:p>
    <w:p w14:paraId="21091883">
      <w:pPr>
        <w:pStyle w:val="32"/>
        <w:keepNext w:val="0"/>
        <w:keepLines w:val="0"/>
        <w:pageBreakBefore w:val="0"/>
        <w:widowControl w:val="0"/>
        <w:suppressLineNumbers w:val="0"/>
        <w:kinsoku/>
        <w:wordWrap/>
        <w:overflowPunct/>
        <w:topLinePunct w:val="0"/>
        <w:autoSpaceDE/>
        <w:autoSpaceDN/>
        <w:bidi w:val="0"/>
        <w:adjustRightInd/>
        <w:snapToGrid/>
        <w:spacing w:line="480" w:lineRule="auto"/>
        <w:jc w:val="both"/>
        <w:textAlignment w:val="auto"/>
        <w:rPr>
          <w:rFonts w:hint="eastAsia" w:ascii="宋体" w:hAnsi="宋体" w:cs="宋体"/>
          <w:b/>
          <w:color w:val="auto"/>
          <w:kern w:val="0"/>
          <w:sz w:val="24"/>
          <w:szCs w:val="20"/>
          <w:highlight w:val="none"/>
          <w:lang w:val="en-US" w:eastAsia="zh-CN"/>
        </w:rPr>
      </w:pPr>
    </w:p>
    <w:p w14:paraId="64C423DE">
      <w:pPr>
        <w:pStyle w:val="32"/>
        <w:keepNext w:val="0"/>
        <w:keepLines w:val="0"/>
        <w:pageBreakBefore w:val="0"/>
        <w:widowControl w:val="0"/>
        <w:suppressLineNumbers w:val="0"/>
        <w:kinsoku/>
        <w:wordWrap/>
        <w:overflowPunct/>
        <w:topLinePunct w:val="0"/>
        <w:autoSpaceDE/>
        <w:autoSpaceDN/>
        <w:bidi w:val="0"/>
        <w:adjustRightInd/>
        <w:snapToGrid/>
        <w:spacing w:line="480" w:lineRule="auto"/>
        <w:jc w:val="both"/>
        <w:textAlignment w:val="auto"/>
        <w:rPr>
          <w:rFonts w:hint="eastAsia" w:ascii="宋体" w:hAnsi="宋体" w:cs="宋体"/>
          <w:b/>
          <w:color w:val="auto"/>
          <w:kern w:val="0"/>
          <w:sz w:val="24"/>
          <w:szCs w:val="20"/>
          <w:highlight w:val="none"/>
          <w:lang w:val="en-US" w:eastAsia="zh-CN"/>
        </w:rPr>
      </w:pPr>
    </w:p>
    <w:p w14:paraId="4986684C">
      <w:pPr>
        <w:pStyle w:val="32"/>
        <w:keepNext w:val="0"/>
        <w:keepLines w:val="0"/>
        <w:pageBreakBefore w:val="0"/>
        <w:widowControl w:val="0"/>
        <w:suppressLineNumbers w:val="0"/>
        <w:kinsoku/>
        <w:wordWrap/>
        <w:overflowPunct/>
        <w:topLinePunct w:val="0"/>
        <w:autoSpaceDE/>
        <w:autoSpaceDN/>
        <w:bidi w:val="0"/>
        <w:adjustRightInd/>
        <w:snapToGrid/>
        <w:spacing w:line="480" w:lineRule="auto"/>
        <w:jc w:val="both"/>
        <w:textAlignment w:val="auto"/>
        <w:rPr>
          <w:rFonts w:hint="eastAsia" w:ascii="宋体" w:hAnsi="宋体" w:cs="宋体"/>
          <w:b/>
          <w:color w:val="auto"/>
          <w:kern w:val="0"/>
          <w:sz w:val="24"/>
          <w:szCs w:val="20"/>
          <w:highlight w:val="none"/>
          <w:lang w:val="en-US" w:eastAsia="zh-CN"/>
        </w:rPr>
      </w:pPr>
    </w:p>
    <w:p w14:paraId="171EE736">
      <w:pPr>
        <w:pStyle w:val="32"/>
        <w:keepNext w:val="0"/>
        <w:keepLines w:val="0"/>
        <w:pageBreakBefore w:val="0"/>
        <w:widowControl w:val="0"/>
        <w:suppressLineNumbers w:val="0"/>
        <w:kinsoku/>
        <w:wordWrap/>
        <w:overflowPunct/>
        <w:topLinePunct w:val="0"/>
        <w:autoSpaceDE/>
        <w:autoSpaceDN/>
        <w:bidi w:val="0"/>
        <w:adjustRightInd/>
        <w:snapToGrid/>
        <w:spacing w:line="480" w:lineRule="auto"/>
        <w:jc w:val="both"/>
        <w:textAlignment w:val="auto"/>
        <w:rPr>
          <w:rFonts w:hint="eastAsia" w:ascii="宋体" w:hAnsi="宋体" w:cs="宋体"/>
          <w:b/>
          <w:color w:val="auto"/>
          <w:kern w:val="0"/>
          <w:sz w:val="24"/>
          <w:szCs w:val="20"/>
          <w:highlight w:val="none"/>
          <w:lang w:val="en-US" w:eastAsia="zh-CN"/>
        </w:rPr>
      </w:pPr>
    </w:p>
    <w:p w14:paraId="257EC42C">
      <w:pPr>
        <w:pStyle w:val="32"/>
        <w:keepNext w:val="0"/>
        <w:keepLines w:val="0"/>
        <w:pageBreakBefore w:val="0"/>
        <w:widowControl w:val="0"/>
        <w:suppressLineNumbers w:val="0"/>
        <w:kinsoku/>
        <w:wordWrap/>
        <w:overflowPunct/>
        <w:topLinePunct w:val="0"/>
        <w:autoSpaceDE/>
        <w:autoSpaceDN/>
        <w:bidi w:val="0"/>
        <w:adjustRightInd/>
        <w:snapToGrid/>
        <w:spacing w:line="480" w:lineRule="auto"/>
        <w:jc w:val="both"/>
        <w:textAlignment w:val="auto"/>
        <w:rPr>
          <w:rFonts w:hint="eastAsia" w:ascii="宋体" w:hAnsi="宋体" w:cs="宋体"/>
          <w:b/>
          <w:color w:val="auto"/>
          <w:kern w:val="0"/>
          <w:sz w:val="24"/>
          <w:szCs w:val="20"/>
          <w:highlight w:val="none"/>
          <w:lang w:val="en-US" w:eastAsia="zh-CN"/>
        </w:rPr>
      </w:pPr>
    </w:p>
    <w:p w14:paraId="5FC52E56">
      <w:pPr>
        <w:pStyle w:val="32"/>
        <w:keepNext w:val="0"/>
        <w:keepLines w:val="0"/>
        <w:pageBreakBefore w:val="0"/>
        <w:widowControl w:val="0"/>
        <w:suppressLineNumbers w:val="0"/>
        <w:kinsoku/>
        <w:wordWrap/>
        <w:overflowPunct/>
        <w:topLinePunct w:val="0"/>
        <w:autoSpaceDE/>
        <w:autoSpaceDN/>
        <w:bidi w:val="0"/>
        <w:adjustRightInd/>
        <w:snapToGrid/>
        <w:spacing w:line="480" w:lineRule="auto"/>
        <w:jc w:val="both"/>
        <w:textAlignment w:val="auto"/>
        <w:rPr>
          <w:rFonts w:hint="eastAsia" w:ascii="宋体" w:hAnsi="宋体" w:cs="宋体"/>
          <w:b/>
          <w:color w:val="auto"/>
          <w:kern w:val="0"/>
          <w:sz w:val="24"/>
          <w:szCs w:val="20"/>
          <w:highlight w:val="none"/>
          <w:lang w:val="en-US" w:eastAsia="zh-CN"/>
        </w:rPr>
      </w:pPr>
    </w:p>
    <w:p w14:paraId="589C57BD">
      <w:pPr>
        <w:pStyle w:val="32"/>
        <w:keepNext w:val="0"/>
        <w:keepLines w:val="0"/>
        <w:pageBreakBefore w:val="0"/>
        <w:widowControl w:val="0"/>
        <w:suppressLineNumbers w:val="0"/>
        <w:kinsoku/>
        <w:wordWrap/>
        <w:overflowPunct/>
        <w:topLinePunct w:val="0"/>
        <w:autoSpaceDE/>
        <w:autoSpaceDN/>
        <w:bidi w:val="0"/>
        <w:adjustRightInd/>
        <w:snapToGrid/>
        <w:spacing w:line="480" w:lineRule="auto"/>
        <w:jc w:val="both"/>
        <w:textAlignment w:val="auto"/>
        <w:rPr>
          <w:rFonts w:hint="eastAsia" w:ascii="宋体" w:hAnsi="宋体" w:cs="宋体"/>
          <w:b/>
          <w:color w:val="auto"/>
          <w:kern w:val="0"/>
          <w:sz w:val="24"/>
          <w:szCs w:val="20"/>
          <w:highlight w:val="none"/>
          <w:lang w:val="en-US" w:eastAsia="zh-CN"/>
        </w:rPr>
      </w:pPr>
    </w:p>
    <w:p w14:paraId="649E9033">
      <w:pPr>
        <w:pStyle w:val="32"/>
        <w:keepNext w:val="0"/>
        <w:keepLines w:val="0"/>
        <w:pageBreakBefore w:val="0"/>
        <w:widowControl w:val="0"/>
        <w:suppressLineNumbers w:val="0"/>
        <w:kinsoku/>
        <w:wordWrap/>
        <w:overflowPunct/>
        <w:topLinePunct w:val="0"/>
        <w:autoSpaceDE/>
        <w:autoSpaceDN/>
        <w:bidi w:val="0"/>
        <w:adjustRightInd/>
        <w:snapToGrid/>
        <w:spacing w:line="480" w:lineRule="auto"/>
        <w:jc w:val="both"/>
        <w:textAlignment w:val="auto"/>
        <w:rPr>
          <w:rFonts w:hint="eastAsia" w:ascii="宋体" w:hAnsi="宋体" w:cs="宋体"/>
          <w:b/>
          <w:color w:val="auto"/>
          <w:kern w:val="0"/>
          <w:sz w:val="24"/>
          <w:szCs w:val="20"/>
          <w:highlight w:val="none"/>
          <w:lang w:val="en-US" w:eastAsia="zh-CN"/>
        </w:rPr>
      </w:pPr>
    </w:p>
    <w:p w14:paraId="7685F37E">
      <w:pPr>
        <w:pStyle w:val="32"/>
        <w:keepNext w:val="0"/>
        <w:keepLines w:val="0"/>
        <w:pageBreakBefore w:val="0"/>
        <w:widowControl w:val="0"/>
        <w:suppressLineNumbers w:val="0"/>
        <w:kinsoku/>
        <w:wordWrap/>
        <w:overflowPunct/>
        <w:topLinePunct w:val="0"/>
        <w:autoSpaceDE/>
        <w:autoSpaceDN/>
        <w:bidi w:val="0"/>
        <w:adjustRightInd/>
        <w:snapToGrid/>
        <w:spacing w:line="480" w:lineRule="auto"/>
        <w:jc w:val="both"/>
        <w:textAlignment w:val="auto"/>
        <w:rPr>
          <w:rFonts w:hint="eastAsia" w:ascii="宋体" w:hAnsi="宋体" w:eastAsia="宋体" w:cs="宋体"/>
          <w:b/>
          <w:color w:val="auto"/>
          <w:kern w:val="0"/>
          <w:sz w:val="24"/>
          <w:szCs w:val="20"/>
          <w:highlight w:val="none"/>
        </w:rPr>
      </w:pPr>
      <w:r>
        <w:rPr>
          <w:rFonts w:hint="eastAsia" w:ascii="宋体" w:hAnsi="宋体" w:cs="宋体"/>
          <w:b/>
          <w:color w:val="auto"/>
          <w:kern w:val="0"/>
          <w:sz w:val="24"/>
          <w:szCs w:val="20"/>
          <w:highlight w:val="none"/>
          <w:lang w:val="en-US" w:eastAsia="zh-CN"/>
        </w:rPr>
        <w:t>响应文件</w:t>
      </w:r>
      <w:r>
        <w:rPr>
          <w:rFonts w:hint="eastAsia" w:ascii="宋体" w:hAnsi="宋体" w:eastAsia="宋体" w:cs="宋体"/>
          <w:b/>
          <w:color w:val="auto"/>
          <w:kern w:val="0"/>
          <w:sz w:val="24"/>
          <w:szCs w:val="20"/>
          <w:highlight w:val="none"/>
        </w:rPr>
        <w:t>格式范本</w:t>
      </w:r>
    </w:p>
    <w:tbl>
      <w:tblPr>
        <w:tblStyle w:val="37"/>
        <w:tblpPr w:leftFromText="180" w:rightFromText="180" w:vertAnchor="text" w:horzAnchor="page" w:tblpX="2052" w:tblpY="275"/>
        <w:tblOverlap w:val="never"/>
        <w:tblW w:w="0" w:type="auto"/>
        <w:tblInd w:w="0" w:type="dxa"/>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Layout w:type="fixed"/>
        <w:tblCellMar>
          <w:top w:w="0" w:type="dxa"/>
          <w:left w:w="108" w:type="dxa"/>
          <w:bottom w:w="0" w:type="dxa"/>
          <w:right w:w="108" w:type="dxa"/>
        </w:tblCellMar>
      </w:tblPr>
      <w:tblGrid>
        <w:gridCol w:w="8060"/>
      </w:tblGrid>
      <w:tr w14:paraId="46250F6A">
        <w:tblPrEx>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CellMar>
            <w:top w:w="0" w:type="dxa"/>
            <w:left w:w="108" w:type="dxa"/>
            <w:bottom w:w="0" w:type="dxa"/>
            <w:right w:w="108" w:type="dxa"/>
          </w:tblCellMar>
        </w:tblPrEx>
        <w:trPr>
          <w:trHeight w:val="11733" w:hRule="atLeast"/>
        </w:trPr>
        <w:tc>
          <w:tcPr>
            <w:tcW w:w="8060" w:type="dxa"/>
            <w:shd w:val="clear" w:color="auto" w:fill="FCFEEA"/>
            <w:noWrap w:val="0"/>
            <w:vAlign w:val="top"/>
          </w:tcPr>
          <w:p w14:paraId="3E8B98C2">
            <w:pPr>
              <w:pStyle w:val="11"/>
              <w:keepNext w:val="0"/>
              <w:keepLines w:val="0"/>
              <w:pageBreakBefore w:val="0"/>
              <w:widowControl w:val="0"/>
              <w:kinsoku/>
              <w:overflowPunct/>
              <w:bidi w:val="0"/>
              <w:jc w:val="right"/>
              <w:rPr>
                <w:rFonts w:hint="eastAsia" w:ascii="宋体" w:hAnsi="宋体" w:eastAsia="宋体" w:cs="宋体"/>
                <w:b/>
                <w:bCs/>
                <w:color w:val="auto"/>
                <w:sz w:val="28"/>
                <w:szCs w:val="28"/>
                <w:highlight w:val="none"/>
              </w:rPr>
            </w:pPr>
          </w:p>
          <w:p w14:paraId="6997EE8D">
            <w:pPr>
              <w:pStyle w:val="11"/>
              <w:keepNext w:val="0"/>
              <w:keepLines w:val="0"/>
              <w:pageBreakBefore w:val="0"/>
              <w:widowControl w:val="0"/>
              <w:kinsoku/>
              <w:overflowPunct/>
              <w:bidi w:val="0"/>
              <w:ind w:firstLine="4216" w:firstLineChars="1500"/>
              <w:rPr>
                <w:rFonts w:hint="eastAsia" w:ascii="宋体" w:hAnsi="宋体" w:eastAsia="宋体" w:cs="宋体"/>
                <w:b/>
                <w:bCs/>
                <w:color w:val="auto"/>
                <w:sz w:val="28"/>
                <w:szCs w:val="28"/>
                <w:highlight w:val="none"/>
              </w:rPr>
            </w:pPr>
          </w:p>
          <w:p w14:paraId="52C1165D">
            <w:pPr>
              <w:pStyle w:val="11"/>
              <w:keepNext w:val="0"/>
              <w:keepLines w:val="0"/>
              <w:pageBreakBefore w:val="0"/>
              <w:widowControl w:val="0"/>
              <w:kinsoku/>
              <w:overflowPunct/>
              <w:bidi w:val="0"/>
              <w:ind w:firstLine="4216" w:firstLineChars="1500"/>
              <w:rPr>
                <w:rFonts w:hint="eastAsia" w:ascii="宋体" w:hAnsi="宋体" w:eastAsia="宋体" w:cs="宋体"/>
                <w:b/>
                <w:bCs/>
                <w:color w:val="auto"/>
                <w:sz w:val="28"/>
                <w:szCs w:val="28"/>
                <w:highlight w:val="none"/>
              </w:rPr>
            </w:pPr>
          </w:p>
          <w:p w14:paraId="139D4535">
            <w:pPr>
              <w:pStyle w:val="11"/>
              <w:keepNext w:val="0"/>
              <w:keepLines w:val="0"/>
              <w:pageBreakBefore w:val="0"/>
              <w:widowControl w:val="0"/>
              <w:kinsoku/>
              <w:overflowPunct/>
              <w:bidi w:val="0"/>
              <w:rPr>
                <w:rFonts w:hint="eastAsia" w:ascii="宋体" w:hAnsi="宋体" w:eastAsia="宋体" w:cs="宋体"/>
                <w:b/>
                <w:bCs/>
                <w:color w:val="auto"/>
                <w:sz w:val="28"/>
                <w:szCs w:val="28"/>
                <w:highlight w:val="none"/>
              </w:rPr>
            </w:pPr>
          </w:p>
          <w:p w14:paraId="1062F614">
            <w:pPr>
              <w:pStyle w:val="11"/>
              <w:keepNext w:val="0"/>
              <w:keepLines w:val="0"/>
              <w:pageBreakBefore w:val="0"/>
              <w:widowControl w:val="0"/>
              <w:kinsoku/>
              <w:overflowPunct/>
              <w:bidi w:val="0"/>
              <w:ind w:firstLine="2530" w:firstLineChars="90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 *** *** *** ***   项目</w:t>
            </w:r>
          </w:p>
          <w:p w14:paraId="60D2B20E">
            <w:pPr>
              <w:pStyle w:val="11"/>
              <w:keepNext w:val="0"/>
              <w:keepLines w:val="0"/>
              <w:pageBreakBefore w:val="0"/>
              <w:widowControl w:val="0"/>
              <w:kinsoku/>
              <w:overflowPunct/>
              <w:bidi w:val="0"/>
              <w:jc w:val="center"/>
              <w:rPr>
                <w:rFonts w:hint="eastAsia" w:ascii="宋体" w:hAnsi="宋体" w:eastAsia="宋体" w:cs="宋体"/>
                <w:b/>
                <w:bCs/>
                <w:color w:val="auto"/>
                <w:sz w:val="21"/>
                <w:szCs w:val="21"/>
                <w:highlight w:val="none"/>
              </w:rPr>
            </w:pPr>
          </w:p>
          <w:p w14:paraId="7D8F6F80">
            <w:pPr>
              <w:pStyle w:val="11"/>
              <w:keepNext w:val="0"/>
              <w:keepLines w:val="0"/>
              <w:pageBreakBefore w:val="0"/>
              <w:widowControl w:val="0"/>
              <w:kinsoku/>
              <w:overflowPunct/>
              <w:bidi w:val="0"/>
              <w:ind w:firstLine="3162" w:firstLineChars="150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t>编号</w:t>
            </w:r>
            <w:r>
              <w:rPr>
                <w:rFonts w:hint="eastAsia" w:ascii="宋体" w:hAnsi="宋体" w:eastAsia="宋体" w:cs="宋体"/>
                <w:b/>
                <w:bCs/>
                <w:color w:val="auto"/>
                <w:sz w:val="21"/>
                <w:szCs w:val="21"/>
                <w:highlight w:val="none"/>
                <w:lang w:val="en-US" w:eastAsia="zh-CN"/>
              </w:rPr>
              <w:t>*****************</w:t>
            </w:r>
          </w:p>
          <w:p w14:paraId="05D925DC">
            <w:pPr>
              <w:pStyle w:val="11"/>
              <w:keepNext w:val="0"/>
              <w:keepLines w:val="0"/>
              <w:pageBreakBefore w:val="0"/>
              <w:widowControl w:val="0"/>
              <w:kinsoku/>
              <w:overflowPunct/>
              <w:bidi w:val="0"/>
              <w:jc w:val="center"/>
              <w:rPr>
                <w:rFonts w:hint="eastAsia" w:ascii="宋体" w:hAnsi="宋体" w:eastAsia="宋体" w:cs="宋体"/>
                <w:b/>
                <w:bCs/>
                <w:color w:val="auto"/>
                <w:sz w:val="48"/>
                <w:highlight w:val="none"/>
              </w:rPr>
            </w:pPr>
          </w:p>
          <w:p w14:paraId="477A59C2">
            <w:pPr>
              <w:pStyle w:val="11"/>
              <w:keepNext w:val="0"/>
              <w:keepLines w:val="0"/>
              <w:pageBreakBefore w:val="0"/>
              <w:widowControl w:val="0"/>
              <w:kinsoku/>
              <w:overflowPunct/>
              <w:bidi w:val="0"/>
              <w:jc w:val="center"/>
              <w:rPr>
                <w:rFonts w:hint="eastAsia" w:ascii="宋体" w:hAnsi="宋体" w:eastAsia="宋体" w:cs="宋体"/>
                <w:b/>
                <w:bCs/>
                <w:color w:val="auto"/>
                <w:sz w:val="48"/>
                <w:highlight w:val="none"/>
              </w:rPr>
            </w:pPr>
            <w:r>
              <w:rPr>
                <w:rFonts w:hint="eastAsia" w:cs="宋体"/>
                <w:b/>
                <w:bCs/>
                <w:color w:val="auto"/>
                <w:sz w:val="48"/>
                <w:highlight w:val="none"/>
                <w:lang w:val="en-US" w:eastAsia="zh-CN"/>
              </w:rPr>
              <w:t>响应文件</w:t>
            </w:r>
          </w:p>
          <w:p w14:paraId="41591191">
            <w:pPr>
              <w:keepNext w:val="0"/>
              <w:keepLines w:val="0"/>
              <w:pageBreakBefore w:val="0"/>
              <w:widowControl w:val="0"/>
              <w:kinsoku/>
              <w:overflowPunct/>
              <w:bidi w:val="0"/>
              <w:jc w:val="center"/>
              <w:rPr>
                <w:rFonts w:hint="eastAsia" w:ascii="宋体" w:hAnsi="宋体" w:eastAsia="宋体" w:cs="宋体"/>
                <w:b/>
                <w:color w:val="auto"/>
                <w:sz w:val="32"/>
                <w:highlight w:val="none"/>
              </w:rPr>
            </w:pPr>
          </w:p>
          <w:p w14:paraId="749C6B6C">
            <w:pPr>
              <w:pStyle w:val="4"/>
              <w:keepNext w:val="0"/>
              <w:keepLines w:val="0"/>
              <w:pageBreakBefore w:val="0"/>
              <w:widowControl w:val="0"/>
              <w:kinsoku/>
              <w:overflowPunct/>
              <w:bidi w:val="0"/>
              <w:rPr>
                <w:rFonts w:hint="eastAsia" w:ascii="宋体" w:hAnsi="宋体" w:eastAsia="宋体" w:cs="宋体"/>
                <w:b/>
                <w:color w:val="auto"/>
                <w:sz w:val="32"/>
                <w:highlight w:val="none"/>
              </w:rPr>
            </w:pPr>
          </w:p>
          <w:p w14:paraId="20D4F736">
            <w:pPr>
              <w:pStyle w:val="4"/>
              <w:keepNext w:val="0"/>
              <w:keepLines w:val="0"/>
              <w:pageBreakBefore w:val="0"/>
              <w:widowControl w:val="0"/>
              <w:kinsoku/>
              <w:overflowPunct/>
              <w:bidi w:val="0"/>
              <w:rPr>
                <w:rFonts w:hint="eastAsia" w:ascii="宋体" w:hAnsi="宋体" w:eastAsia="宋体" w:cs="宋体"/>
                <w:b/>
                <w:color w:val="auto"/>
                <w:sz w:val="32"/>
                <w:highlight w:val="none"/>
              </w:rPr>
            </w:pPr>
          </w:p>
          <w:p w14:paraId="207E3221">
            <w:pPr>
              <w:keepNext w:val="0"/>
              <w:keepLines w:val="0"/>
              <w:pageBreakBefore w:val="0"/>
              <w:widowControl w:val="0"/>
              <w:kinsoku/>
              <w:overflowPunct/>
              <w:bidi w:val="0"/>
              <w:spacing w:line="360" w:lineRule="auto"/>
              <w:ind w:left="176" w:leftChars="84" w:firstLine="840" w:firstLineChars="4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投标单位：（公章）</w:t>
            </w:r>
          </w:p>
          <w:p w14:paraId="17EC2352">
            <w:pPr>
              <w:keepNext w:val="0"/>
              <w:keepLines w:val="0"/>
              <w:pageBreakBefore w:val="0"/>
              <w:widowControl w:val="0"/>
              <w:kinsoku/>
              <w:overflowPunct/>
              <w:bidi w:val="0"/>
              <w:spacing w:line="360" w:lineRule="auto"/>
              <w:ind w:left="176" w:leftChars="84" w:firstLine="840" w:firstLineChars="4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项目名称：</w:t>
            </w:r>
          </w:p>
          <w:p w14:paraId="7E5D9785">
            <w:pPr>
              <w:keepNext w:val="0"/>
              <w:keepLines w:val="0"/>
              <w:pageBreakBefore w:val="0"/>
              <w:widowControl w:val="0"/>
              <w:kinsoku/>
              <w:overflowPunct/>
              <w:bidi w:val="0"/>
              <w:spacing w:line="360" w:lineRule="auto"/>
              <w:ind w:left="176" w:leftChars="84" w:firstLine="840" w:firstLineChars="4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项目编号：</w:t>
            </w:r>
          </w:p>
          <w:p w14:paraId="606377E8">
            <w:pPr>
              <w:keepNext w:val="0"/>
              <w:keepLines w:val="0"/>
              <w:pageBreakBefore w:val="0"/>
              <w:widowControl w:val="0"/>
              <w:kinsoku/>
              <w:overflowPunct/>
              <w:bidi w:val="0"/>
              <w:spacing w:line="360" w:lineRule="auto"/>
              <w:ind w:left="176" w:leftChars="84" w:firstLine="840" w:firstLineChars="4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联系人：</w:t>
            </w:r>
          </w:p>
          <w:p w14:paraId="0E58523E">
            <w:pPr>
              <w:keepNext w:val="0"/>
              <w:keepLines w:val="0"/>
              <w:pageBreakBefore w:val="0"/>
              <w:widowControl w:val="0"/>
              <w:kinsoku/>
              <w:overflowPunct/>
              <w:bidi w:val="0"/>
              <w:spacing w:line="360" w:lineRule="auto"/>
              <w:ind w:left="176" w:leftChars="84" w:firstLine="840" w:firstLineChars="4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电话：</w:t>
            </w:r>
          </w:p>
          <w:p w14:paraId="67C239BA">
            <w:pPr>
              <w:keepNext w:val="0"/>
              <w:keepLines w:val="0"/>
              <w:pageBreakBefore w:val="0"/>
              <w:widowControl w:val="0"/>
              <w:kinsoku/>
              <w:overflowPunct/>
              <w:bidi w:val="0"/>
              <w:spacing w:line="360" w:lineRule="auto"/>
              <w:ind w:left="176" w:leftChars="84" w:firstLine="840" w:firstLineChars="4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地址：</w:t>
            </w:r>
          </w:p>
          <w:p w14:paraId="02F837CB">
            <w:pPr>
              <w:keepNext w:val="0"/>
              <w:keepLines w:val="0"/>
              <w:pageBreakBefore w:val="0"/>
              <w:widowControl w:val="0"/>
              <w:kinsoku/>
              <w:overflowPunct/>
              <w:bidi w:val="0"/>
              <w:spacing w:line="360" w:lineRule="auto"/>
              <w:ind w:left="176" w:leftChars="84" w:firstLine="960" w:firstLineChars="400"/>
              <w:rPr>
                <w:rFonts w:hint="eastAsia" w:ascii="宋体" w:hAnsi="宋体" w:eastAsia="宋体" w:cs="宋体"/>
                <w:color w:val="auto"/>
                <w:sz w:val="24"/>
                <w:highlight w:val="none"/>
              </w:rPr>
            </w:pPr>
          </w:p>
          <w:p w14:paraId="533DE958">
            <w:pPr>
              <w:keepNext w:val="0"/>
              <w:keepLines w:val="0"/>
              <w:pageBreakBefore w:val="0"/>
              <w:widowControl w:val="0"/>
              <w:kinsoku/>
              <w:overflowPunct/>
              <w:bidi w:val="0"/>
              <w:jc w:val="center"/>
              <w:rPr>
                <w:rFonts w:hint="eastAsia" w:ascii="宋体" w:hAnsi="宋体" w:eastAsia="宋体" w:cs="宋体"/>
                <w:b/>
                <w:bCs/>
                <w:color w:val="auto"/>
                <w:highlight w:val="none"/>
              </w:rPr>
            </w:pPr>
          </w:p>
          <w:p w14:paraId="7128E306">
            <w:pPr>
              <w:keepNext w:val="0"/>
              <w:keepLines w:val="0"/>
              <w:pageBreakBefore w:val="0"/>
              <w:widowControl w:val="0"/>
              <w:kinsoku/>
              <w:overflowPunct/>
              <w:bidi w:val="0"/>
              <w:jc w:val="center"/>
              <w:rPr>
                <w:rFonts w:hint="eastAsia" w:ascii="宋体" w:hAnsi="宋体" w:eastAsia="宋体" w:cs="宋体"/>
                <w:b/>
                <w:bCs/>
                <w:color w:val="auto"/>
                <w:highlight w:val="none"/>
              </w:rPr>
            </w:pPr>
          </w:p>
          <w:p w14:paraId="23C4602C">
            <w:pPr>
              <w:keepNext w:val="0"/>
              <w:keepLines w:val="0"/>
              <w:pageBreakBefore w:val="0"/>
              <w:widowControl w:val="0"/>
              <w:kinsoku/>
              <w:overflowPunct/>
              <w:bidi w:val="0"/>
              <w:jc w:val="center"/>
              <w:rPr>
                <w:rFonts w:hint="eastAsia" w:ascii="宋体" w:hAnsi="宋体" w:eastAsia="宋体" w:cs="宋体"/>
                <w:b/>
                <w:bCs/>
                <w:color w:val="auto"/>
                <w:highlight w:val="none"/>
              </w:rPr>
            </w:pPr>
          </w:p>
        </w:tc>
      </w:tr>
    </w:tbl>
    <w:p w14:paraId="69677DE0">
      <w:pPr>
        <w:pStyle w:val="2"/>
        <w:keepNext w:val="0"/>
        <w:keepLines w:val="0"/>
        <w:pageBreakBefore w:val="0"/>
        <w:widowControl w:val="0"/>
        <w:numPr>
          <w:ilvl w:val="0"/>
          <w:numId w:val="0"/>
        </w:numPr>
        <w:tabs>
          <w:tab w:val="left" w:pos="0"/>
        </w:tabs>
        <w:kinsoku/>
        <w:overflowPunct/>
        <w:bidi w:val="0"/>
        <w:spacing w:before="0" w:after="0" w:line="240" w:lineRule="atLeast"/>
        <w:ind w:leftChars="0"/>
        <w:jc w:val="both"/>
        <w:rPr>
          <w:rFonts w:hint="eastAsia" w:ascii="宋体" w:hAnsi="宋体" w:eastAsia="宋体" w:cs="宋体"/>
          <w:color w:val="auto"/>
          <w:highlight w:val="none"/>
          <w:lang w:val="en-US" w:eastAsia="zh-CN"/>
        </w:rPr>
      </w:pPr>
    </w:p>
    <w:p w14:paraId="27D2AC4C">
      <w:pPr>
        <w:pStyle w:val="2"/>
        <w:keepNext w:val="0"/>
        <w:keepLines w:val="0"/>
        <w:pageBreakBefore w:val="0"/>
        <w:widowControl w:val="0"/>
        <w:numPr>
          <w:ilvl w:val="0"/>
          <w:numId w:val="0"/>
        </w:numPr>
        <w:tabs>
          <w:tab w:val="left" w:pos="0"/>
        </w:tabs>
        <w:kinsoku/>
        <w:overflowPunct/>
        <w:bidi w:val="0"/>
        <w:spacing w:before="0" w:after="0" w:line="240" w:lineRule="atLeast"/>
        <w:ind w:leftChars="0"/>
        <w:jc w:val="center"/>
        <w:rPr>
          <w:rFonts w:hint="eastAsia" w:ascii="宋体" w:hAnsi="宋体" w:eastAsia="宋体" w:cs="宋体"/>
          <w:color w:val="auto"/>
          <w:sz w:val="32"/>
          <w:szCs w:val="32"/>
          <w:highlight w:val="none"/>
          <w:lang w:eastAsia="zh-CN"/>
        </w:rPr>
      </w:pPr>
      <w:r>
        <w:rPr>
          <w:rFonts w:hint="eastAsia" w:ascii="宋体" w:hAnsi="宋体" w:eastAsia="宋体" w:cs="宋体"/>
          <w:color w:val="auto"/>
          <w:highlight w:val="none"/>
          <w:lang w:val="en-US" w:eastAsia="zh-CN"/>
        </w:rPr>
        <w:t>第3章  招标公告</w:t>
      </w:r>
    </w:p>
    <w:p w14:paraId="073D4A94">
      <w:pPr>
        <w:pStyle w:val="89"/>
        <w:keepNext w:val="0"/>
        <w:keepLines w:val="0"/>
        <w:pageBreakBefore w:val="0"/>
        <w:widowControl/>
        <w:kinsoku/>
        <w:wordWrap/>
        <w:overflowPunct/>
        <w:topLinePunct w:val="0"/>
        <w:autoSpaceDE/>
        <w:autoSpaceDN/>
        <w:bidi w:val="0"/>
        <w:adjustRightInd/>
        <w:snapToGrid/>
        <w:spacing w:line="380" w:lineRule="exact"/>
        <w:textAlignment w:val="auto"/>
        <w:rPr>
          <w:color w:val="000000"/>
        </w:rPr>
      </w:pPr>
      <w:r>
        <w:rPr>
          <w:rFonts w:hint="eastAsia" w:ascii="宋体" w:hAnsi="宋体" w:cs="宋体"/>
          <w:b/>
          <w:bCs/>
          <w:color w:val="000000"/>
        </w:rPr>
        <w:t>一、项目基本情况</w:t>
      </w:r>
    </w:p>
    <w:p w14:paraId="4E7283C9">
      <w:pPr>
        <w:pStyle w:val="89"/>
        <w:keepNext w:val="0"/>
        <w:keepLines w:val="0"/>
        <w:pageBreakBefore w:val="0"/>
        <w:widowControl/>
        <w:kinsoku/>
        <w:wordWrap/>
        <w:overflowPunct/>
        <w:topLinePunct w:val="0"/>
        <w:autoSpaceDE/>
        <w:autoSpaceDN/>
        <w:bidi w:val="0"/>
        <w:adjustRightInd/>
        <w:snapToGrid/>
        <w:spacing w:before="55" w:after="55" w:line="380" w:lineRule="exact"/>
        <w:ind w:firstLine="482"/>
        <w:textAlignment w:val="auto"/>
        <w:rPr>
          <w:rFonts w:hint="eastAsia" w:ascii="宋体" w:hAnsi="宋体" w:eastAsia="宋体" w:cs="宋体"/>
          <w:color w:val="000000"/>
          <w:lang w:eastAsia="zh-CN"/>
        </w:rPr>
      </w:pPr>
      <w:r>
        <w:rPr>
          <w:rFonts w:hint="eastAsia" w:ascii="宋体" w:hAnsi="宋体" w:cs="宋体"/>
          <w:color w:val="000000"/>
        </w:rPr>
        <w:t>项目编</w:t>
      </w:r>
      <w:r>
        <w:rPr>
          <w:rFonts w:hint="eastAsia" w:ascii="宋体" w:hAnsi="宋体" w:eastAsia="宋体" w:cs="宋体"/>
          <w:color w:val="000000"/>
          <w:lang w:eastAsia="zh-CN"/>
        </w:rPr>
        <w:t>号：</w:t>
      </w:r>
      <w:r>
        <w:rPr>
          <w:rFonts w:hint="eastAsia" w:ascii="宋体" w:hAnsi="宋体" w:cs="宋体"/>
          <w:color w:val="000000"/>
          <w:lang w:eastAsia="zh-CN"/>
        </w:rPr>
        <w:t>XJJC(CG)202607</w:t>
      </w:r>
    </w:p>
    <w:p w14:paraId="0A3BA795">
      <w:pPr>
        <w:pStyle w:val="89"/>
        <w:keepNext w:val="0"/>
        <w:keepLines w:val="0"/>
        <w:pageBreakBefore w:val="0"/>
        <w:widowControl/>
        <w:kinsoku/>
        <w:wordWrap/>
        <w:overflowPunct/>
        <w:topLinePunct w:val="0"/>
        <w:autoSpaceDE/>
        <w:autoSpaceDN/>
        <w:bidi w:val="0"/>
        <w:adjustRightInd/>
        <w:snapToGrid/>
        <w:spacing w:before="55" w:after="55" w:line="380" w:lineRule="exact"/>
        <w:ind w:firstLine="482"/>
        <w:textAlignment w:val="auto"/>
        <w:rPr>
          <w:rFonts w:hint="eastAsia" w:ascii="宋体" w:hAnsi="宋体" w:cs="宋体"/>
          <w:color w:val="000000"/>
        </w:rPr>
      </w:pPr>
      <w:r>
        <w:rPr>
          <w:rFonts w:hint="eastAsia" w:ascii="宋体" w:hAnsi="宋体" w:cs="宋体"/>
          <w:color w:val="000000"/>
        </w:rPr>
        <w:t>项目名称：</w:t>
      </w:r>
      <w:r>
        <w:rPr>
          <w:rFonts w:hint="eastAsia" w:ascii="宋体" w:hAnsi="宋体" w:cs="宋体"/>
          <w:color w:val="000000"/>
          <w:lang w:eastAsia="zh-CN"/>
        </w:rPr>
        <w:t>喀什市水上专项运动场地搭建服务项目</w:t>
      </w:r>
      <w:r>
        <w:rPr>
          <w:rFonts w:hint="eastAsia" w:ascii="宋体" w:hAnsi="宋体" w:cs="宋体"/>
          <w:color w:val="000000"/>
        </w:rPr>
        <w:t> </w:t>
      </w:r>
    </w:p>
    <w:p w14:paraId="2A3EA773">
      <w:pPr>
        <w:pStyle w:val="89"/>
        <w:keepNext w:val="0"/>
        <w:keepLines w:val="0"/>
        <w:pageBreakBefore w:val="0"/>
        <w:widowControl/>
        <w:kinsoku/>
        <w:wordWrap/>
        <w:overflowPunct/>
        <w:topLinePunct w:val="0"/>
        <w:autoSpaceDE/>
        <w:autoSpaceDN/>
        <w:bidi w:val="0"/>
        <w:adjustRightInd/>
        <w:snapToGrid/>
        <w:spacing w:before="55" w:after="55" w:line="380" w:lineRule="exact"/>
        <w:ind w:firstLine="482"/>
        <w:textAlignment w:val="auto"/>
        <w:rPr>
          <w:rFonts w:hint="eastAsia" w:ascii="宋体" w:hAnsi="宋体" w:cs="宋体"/>
          <w:color w:val="000000"/>
        </w:rPr>
      </w:pPr>
      <w:r>
        <w:rPr>
          <w:rFonts w:hint="eastAsia" w:ascii="宋体" w:hAnsi="宋体" w:cs="宋体"/>
          <w:color w:val="000000"/>
        </w:rPr>
        <w:t>采购方式：竞争性磋商 </w:t>
      </w:r>
    </w:p>
    <w:p w14:paraId="77429C31">
      <w:pPr>
        <w:pStyle w:val="89"/>
        <w:keepNext w:val="0"/>
        <w:keepLines w:val="0"/>
        <w:pageBreakBefore w:val="0"/>
        <w:widowControl/>
        <w:kinsoku/>
        <w:wordWrap/>
        <w:overflowPunct/>
        <w:topLinePunct w:val="0"/>
        <w:autoSpaceDE/>
        <w:autoSpaceDN/>
        <w:bidi w:val="0"/>
        <w:adjustRightInd/>
        <w:snapToGrid/>
        <w:spacing w:before="55" w:after="55" w:line="380" w:lineRule="exact"/>
        <w:ind w:firstLine="482"/>
        <w:textAlignment w:val="auto"/>
        <w:rPr>
          <w:rFonts w:hint="eastAsia" w:ascii="宋体" w:hAnsi="宋体" w:cs="宋体"/>
          <w:color w:val="000000"/>
        </w:rPr>
      </w:pPr>
      <w:r>
        <w:rPr>
          <w:rFonts w:hint="eastAsia" w:ascii="宋体" w:hAnsi="宋体" w:cs="宋体"/>
          <w:color w:val="000000"/>
        </w:rPr>
        <w:t>预算金额（元）：</w:t>
      </w:r>
      <w:r>
        <w:rPr>
          <w:rFonts w:hint="eastAsia" w:ascii="宋体" w:hAnsi="宋体" w:cs="宋体"/>
          <w:color w:val="000000"/>
          <w:lang w:eastAsia="zh-CN"/>
        </w:rPr>
        <w:t>500000.00</w:t>
      </w:r>
      <w:r>
        <w:rPr>
          <w:rFonts w:hint="eastAsia" w:ascii="宋体" w:hAnsi="宋体" w:cs="宋体"/>
          <w:color w:val="000000"/>
        </w:rPr>
        <w:t>  </w:t>
      </w:r>
    </w:p>
    <w:p w14:paraId="39EEC350">
      <w:pPr>
        <w:pStyle w:val="89"/>
        <w:keepNext w:val="0"/>
        <w:keepLines w:val="0"/>
        <w:pageBreakBefore w:val="0"/>
        <w:widowControl/>
        <w:kinsoku/>
        <w:wordWrap/>
        <w:overflowPunct/>
        <w:topLinePunct w:val="0"/>
        <w:autoSpaceDE/>
        <w:autoSpaceDN/>
        <w:bidi w:val="0"/>
        <w:adjustRightInd/>
        <w:snapToGrid/>
        <w:spacing w:before="55" w:after="55" w:line="380" w:lineRule="exact"/>
        <w:ind w:firstLine="482"/>
        <w:textAlignment w:val="auto"/>
        <w:rPr>
          <w:rFonts w:hint="eastAsia" w:ascii="宋体" w:hAnsi="宋体" w:cs="宋体"/>
          <w:color w:val="000000"/>
        </w:rPr>
      </w:pPr>
      <w:r>
        <w:rPr>
          <w:rFonts w:hint="eastAsia" w:ascii="宋体" w:hAnsi="宋体" w:cs="宋体"/>
          <w:color w:val="000000"/>
        </w:rPr>
        <w:t>最高限价（元）：</w:t>
      </w:r>
      <w:r>
        <w:rPr>
          <w:rFonts w:hint="eastAsia" w:ascii="宋体" w:hAnsi="宋体" w:cs="宋体"/>
          <w:color w:val="000000"/>
          <w:lang w:eastAsia="zh-CN" w:bidi="ar"/>
        </w:rPr>
        <w:t>500000.00</w:t>
      </w:r>
      <w:r>
        <w:rPr>
          <w:rFonts w:hint="eastAsia" w:ascii="宋体" w:hAnsi="宋体" w:cs="宋体"/>
          <w:color w:val="000000"/>
        </w:rPr>
        <w:t> </w:t>
      </w:r>
    </w:p>
    <w:p w14:paraId="759EE3D4">
      <w:pPr>
        <w:pStyle w:val="89"/>
        <w:keepNext w:val="0"/>
        <w:keepLines w:val="0"/>
        <w:pageBreakBefore w:val="0"/>
        <w:widowControl/>
        <w:kinsoku/>
        <w:wordWrap/>
        <w:overflowPunct/>
        <w:topLinePunct w:val="0"/>
        <w:autoSpaceDE/>
        <w:autoSpaceDN/>
        <w:bidi w:val="0"/>
        <w:adjustRightInd/>
        <w:snapToGrid/>
        <w:spacing w:before="55" w:after="55" w:line="380" w:lineRule="exact"/>
        <w:ind w:firstLine="482"/>
        <w:textAlignment w:val="auto"/>
        <w:rPr>
          <w:rFonts w:hint="eastAsia" w:ascii="宋体" w:hAnsi="宋体" w:cs="宋体"/>
          <w:color w:val="000000"/>
        </w:rPr>
      </w:pPr>
      <w:r>
        <w:rPr>
          <w:rFonts w:hint="eastAsia" w:ascii="宋体" w:hAnsi="宋体" w:cs="宋体"/>
          <w:color w:val="000000"/>
        </w:rPr>
        <w:t>采购需求：</w:t>
      </w:r>
    </w:p>
    <w:p w14:paraId="3873D3BE">
      <w:pPr>
        <w:pStyle w:val="89"/>
        <w:keepNext w:val="0"/>
        <w:keepLines w:val="0"/>
        <w:pageBreakBefore w:val="0"/>
        <w:widowControl/>
        <w:kinsoku/>
        <w:wordWrap/>
        <w:overflowPunct/>
        <w:topLinePunct w:val="0"/>
        <w:autoSpaceDE/>
        <w:autoSpaceDN/>
        <w:bidi w:val="0"/>
        <w:adjustRightInd/>
        <w:snapToGrid/>
        <w:spacing w:before="55" w:after="55" w:line="380" w:lineRule="exact"/>
        <w:ind w:firstLine="482"/>
        <w:textAlignment w:val="auto"/>
        <w:rPr>
          <w:rFonts w:hint="eastAsia" w:ascii="宋体" w:hAnsi="宋体" w:cs="宋体"/>
          <w:color w:val="000000"/>
        </w:rPr>
      </w:pPr>
      <w:r>
        <w:rPr>
          <w:rFonts w:hint="eastAsia" w:ascii="宋体" w:hAnsi="宋体" w:cs="宋体"/>
          <w:color w:val="000000"/>
        </w:rPr>
        <w:t>标项名称：</w:t>
      </w:r>
      <w:r>
        <w:rPr>
          <w:rFonts w:hint="eastAsia" w:ascii="宋体" w:hAnsi="宋体" w:cs="宋体"/>
          <w:color w:val="000000"/>
          <w:lang w:eastAsia="zh-CN"/>
        </w:rPr>
        <w:t>喀什市水上专项运动场地搭建服务项目</w:t>
      </w:r>
      <w:r>
        <w:rPr>
          <w:rFonts w:hint="eastAsia" w:ascii="宋体" w:hAnsi="宋体" w:cs="宋体"/>
          <w:color w:val="000000"/>
        </w:rPr>
        <w:t> </w:t>
      </w:r>
    </w:p>
    <w:p w14:paraId="3F1CAFDA">
      <w:pPr>
        <w:pStyle w:val="89"/>
        <w:keepNext w:val="0"/>
        <w:keepLines w:val="0"/>
        <w:pageBreakBefore w:val="0"/>
        <w:widowControl/>
        <w:kinsoku/>
        <w:wordWrap/>
        <w:overflowPunct/>
        <w:topLinePunct w:val="0"/>
        <w:autoSpaceDE/>
        <w:autoSpaceDN/>
        <w:bidi w:val="0"/>
        <w:adjustRightInd/>
        <w:snapToGrid/>
        <w:spacing w:before="55" w:after="55" w:line="380" w:lineRule="exact"/>
        <w:ind w:firstLine="482"/>
        <w:textAlignment w:val="auto"/>
        <w:rPr>
          <w:rFonts w:hint="eastAsia" w:ascii="宋体" w:hAnsi="宋体" w:cs="宋体"/>
          <w:color w:val="000000"/>
        </w:rPr>
      </w:pPr>
      <w:r>
        <w:rPr>
          <w:rFonts w:hint="eastAsia" w:ascii="宋体" w:hAnsi="宋体" w:cs="宋体"/>
          <w:color w:val="000000"/>
        </w:rPr>
        <w:t>数量:1</w:t>
      </w:r>
    </w:p>
    <w:p w14:paraId="22844B99">
      <w:pPr>
        <w:pStyle w:val="89"/>
        <w:keepNext w:val="0"/>
        <w:keepLines w:val="0"/>
        <w:pageBreakBefore w:val="0"/>
        <w:widowControl/>
        <w:kinsoku/>
        <w:wordWrap/>
        <w:overflowPunct/>
        <w:topLinePunct w:val="0"/>
        <w:autoSpaceDE/>
        <w:autoSpaceDN/>
        <w:bidi w:val="0"/>
        <w:adjustRightInd/>
        <w:snapToGrid/>
        <w:spacing w:before="55" w:after="55" w:line="380" w:lineRule="exact"/>
        <w:ind w:firstLine="482"/>
        <w:textAlignment w:val="auto"/>
        <w:rPr>
          <w:rFonts w:hint="eastAsia" w:ascii="宋体" w:hAnsi="宋体" w:eastAsia="宋体" w:cs="宋体"/>
          <w:color w:val="000000"/>
          <w:lang w:eastAsia="zh-CN"/>
        </w:rPr>
      </w:pPr>
      <w:r>
        <w:rPr>
          <w:rFonts w:hint="eastAsia" w:ascii="宋体" w:hAnsi="宋体" w:cs="宋体"/>
          <w:color w:val="000000"/>
        </w:rPr>
        <w:t>预算金额（元）:</w:t>
      </w:r>
      <w:r>
        <w:rPr>
          <w:rFonts w:hint="eastAsia" w:ascii="宋体" w:hAnsi="宋体" w:cs="宋体"/>
          <w:color w:val="000000"/>
          <w:lang w:eastAsia="zh-CN"/>
        </w:rPr>
        <w:t>500000.00</w:t>
      </w:r>
    </w:p>
    <w:p w14:paraId="138A6FB1">
      <w:pPr>
        <w:pStyle w:val="89"/>
        <w:keepNext w:val="0"/>
        <w:keepLines w:val="0"/>
        <w:pageBreakBefore w:val="0"/>
        <w:widowControl/>
        <w:kinsoku/>
        <w:wordWrap/>
        <w:overflowPunct/>
        <w:topLinePunct w:val="0"/>
        <w:autoSpaceDE/>
        <w:autoSpaceDN/>
        <w:bidi w:val="0"/>
        <w:adjustRightInd/>
        <w:snapToGrid/>
        <w:spacing w:before="55" w:after="55" w:line="380" w:lineRule="exact"/>
        <w:ind w:firstLine="482"/>
        <w:textAlignment w:val="auto"/>
        <w:rPr>
          <w:rFonts w:hint="eastAsia" w:ascii="宋体" w:hAnsi="宋体" w:cs="宋体"/>
          <w:color w:val="000000"/>
        </w:rPr>
      </w:pPr>
      <w:r>
        <w:rPr>
          <w:rFonts w:hint="eastAsia" w:ascii="宋体" w:hAnsi="宋体" w:cs="宋体"/>
          <w:color w:val="000000"/>
        </w:rPr>
        <w:t>单位：次</w:t>
      </w:r>
    </w:p>
    <w:p w14:paraId="0CDFC7B0">
      <w:pPr>
        <w:pStyle w:val="89"/>
        <w:keepNext w:val="0"/>
        <w:keepLines w:val="0"/>
        <w:pageBreakBefore w:val="0"/>
        <w:widowControl/>
        <w:kinsoku/>
        <w:wordWrap/>
        <w:overflowPunct/>
        <w:topLinePunct w:val="0"/>
        <w:autoSpaceDE/>
        <w:autoSpaceDN/>
        <w:bidi w:val="0"/>
        <w:adjustRightInd/>
        <w:snapToGrid/>
        <w:spacing w:before="55" w:after="55" w:line="380" w:lineRule="exact"/>
        <w:ind w:firstLine="482"/>
        <w:textAlignment w:val="auto"/>
        <w:rPr>
          <w:rFonts w:hint="eastAsia" w:ascii="宋体" w:hAnsi="宋体" w:eastAsia="宋体" w:cs="宋体"/>
          <w:color w:val="000000"/>
          <w:lang w:eastAsia="zh-CN"/>
        </w:rPr>
      </w:pPr>
      <w:r>
        <w:rPr>
          <w:rFonts w:hint="eastAsia" w:ascii="宋体" w:hAnsi="宋体" w:eastAsia="宋体" w:cs="宋体"/>
          <w:color w:val="000000"/>
        </w:rPr>
        <w:t>简要规格描述：</w:t>
      </w:r>
      <w:r>
        <w:rPr>
          <w:rFonts w:hint="eastAsia" w:ascii="宋体" w:hAnsi="宋体" w:cs="宋体"/>
          <w:color w:val="000000"/>
          <w:lang w:eastAsia="zh-CN"/>
        </w:rPr>
        <w:t>搭建水上专项运动场地，包括购买救生艇、固定码头、安全防护设施、救生设施、水电照明及监控系统。</w:t>
      </w:r>
    </w:p>
    <w:p w14:paraId="6503A7F9">
      <w:pPr>
        <w:pStyle w:val="89"/>
        <w:keepNext w:val="0"/>
        <w:keepLines w:val="0"/>
        <w:pageBreakBefore w:val="0"/>
        <w:widowControl/>
        <w:kinsoku/>
        <w:wordWrap/>
        <w:overflowPunct/>
        <w:topLinePunct w:val="0"/>
        <w:autoSpaceDE/>
        <w:autoSpaceDN/>
        <w:bidi w:val="0"/>
        <w:adjustRightInd/>
        <w:snapToGrid/>
        <w:spacing w:before="55" w:after="55" w:line="380" w:lineRule="exact"/>
        <w:ind w:firstLine="482"/>
        <w:textAlignment w:val="auto"/>
        <w:rPr>
          <w:rFonts w:ascii="宋体" w:hAnsi="宋体" w:cs="宋体"/>
          <w:color w:val="000000"/>
        </w:rPr>
      </w:pPr>
      <w:r>
        <w:rPr>
          <w:rFonts w:hint="eastAsia" w:ascii="宋体" w:hAnsi="宋体" w:cs="宋体"/>
          <w:color w:val="000000"/>
        </w:rPr>
        <w:t>合同履约期限：标项1，详见采购文件</w:t>
      </w:r>
    </w:p>
    <w:p w14:paraId="54350C79">
      <w:pPr>
        <w:pStyle w:val="89"/>
        <w:keepNext w:val="0"/>
        <w:keepLines w:val="0"/>
        <w:pageBreakBefore w:val="0"/>
        <w:widowControl/>
        <w:kinsoku/>
        <w:wordWrap/>
        <w:overflowPunct/>
        <w:topLinePunct w:val="0"/>
        <w:autoSpaceDE/>
        <w:autoSpaceDN/>
        <w:bidi w:val="0"/>
        <w:adjustRightInd/>
        <w:snapToGrid/>
        <w:spacing w:before="55" w:after="55" w:line="380" w:lineRule="exact"/>
        <w:ind w:firstLine="482"/>
        <w:textAlignment w:val="auto"/>
        <w:rPr>
          <w:rFonts w:hint="eastAsia" w:ascii="宋体" w:hAnsi="宋体" w:cs="宋体"/>
          <w:color w:val="000000"/>
        </w:rPr>
      </w:pPr>
      <w:r>
        <w:rPr>
          <w:rFonts w:hint="eastAsia" w:ascii="宋体" w:hAnsi="宋体" w:cs="宋体"/>
          <w:color w:val="000000"/>
        </w:rPr>
        <w:t>本项目（否）接受联合体投标。  </w:t>
      </w:r>
    </w:p>
    <w:p w14:paraId="37DD67D3">
      <w:pPr>
        <w:pStyle w:val="89"/>
        <w:keepNext w:val="0"/>
        <w:keepLines w:val="0"/>
        <w:pageBreakBefore w:val="0"/>
        <w:widowControl/>
        <w:kinsoku/>
        <w:wordWrap/>
        <w:overflowPunct/>
        <w:topLinePunct w:val="0"/>
        <w:autoSpaceDE/>
        <w:autoSpaceDN/>
        <w:bidi w:val="0"/>
        <w:adjustRightInd/>
        <w:snapToGrid/>
        <w:spacing w:line="380" w:lineRule="exact"/>
        <w:textAlignment w:val="auto"/>
        <w:rPr>
          <w:color w:val="000000"/>
        </w:rPr>
      </w:pPr>
      <w:r>
        <w:rPr>
          <w:rFonts w:hint="eastAsia" w:ascii="宋体" w:hAnsi="宋体" w:cs="宋体"/>
          <w:b/>
          <w:bCs/>
          <w:color w:val="000000"/>
        </w:rPr>
        <w:t>二、申请人的资格要求：</w:t>
      </w:r>
    </w:p>
    <w:p w14:paraId="072DFCAE">
      <w:pPr>
        <w:pStyle w:val="89"/>
        <w:keepNext w:val="0"/>
        <w:keepLines w:val="0"/>
        <w:pageBreakBefore w:val="0"/>
        <w:widowControl/>
        <w:kinsoku/>
        <w:wordWrap/>
        <w:overflowPunct/>
        <w:topLinePunct w:val="0"/>
        <w:autoSpaceDE/>
        <w:autoSpaceDN/>
        <w:bidi w:val="0"/>
        <w:adjustRightInd/>
        <w:snapToGrid/>
        <w:spacing w:before="55" w:after="55" w:line="380" w:lineRule="exact"/>
        <w:ind w:firstLine="482"/>
        <w:textAlignment w:val="auto"/>
        <w:rPr>
          <w:rFonts w:hint="eastAsia" w:ascii="宋体" w:hAnsi="宋体" w:eastAsia="宋体" w:cs="宋体"/>
          <w:color w:val="000000"/>
        </w:rPr>
      </w:pPr>
      <w:r>
        <w:rPr>
          <w:rFonts w:hint="eastAsia" w:ascii="宋体" w:hAnsi="宋体" w:eastAsia="宋体" w:cs="宋体"/>
          <w:color w:val="000000"/>
        </w:rPr>
        <w:t>1.满足《中华人民共和国政府采购法》第二十二条规定；</w:t>
      </w:r>
    </w:p>
    <w:p w14:paraId="77AC2B16">
      <w:pPr>
        <w:pStyle w:val="89"/>
        <w:keepNext w:val="0"/>
        <w:keepLines w:val="0"/>
        <w:pageBreakBefore w:val="0"/>
        <w:widowControl/>
        <w:kinsoku/>
        <w:wordWrap/>
        <w:overflowPunct/>
        <w:topLinePunct w:val="0"/>
        <w:autoSpaceDE/>
        <w:autoSpaceDN/>
        <w:bidi w:val="0"/>
        <w:adjustRightInd/>
        <w:snapToGrid/>
        <w:spacing w:before="55" w:after="55" w:line="380" w:lineRule="exact"/>
        <w:ind w:firstLine="482"/>
        <w:textAlignment w:val="auto"/>
        <w:rPr>
          <w:rFonts w:hint="eastAsia" w:ascii="宋体" w:hAnsi="宋体" w:eastAsia="宋体" w:cs="宋体"/>
          <w:color w:val="000000"/>
        </w:rPr>
      </w:pPr>
      <w:r>
        <w:rPr>
          <w:rFonts w:hint="eastAsia" w:ascii="宋体" w:hAnsi="宋体" w:eastAsia="宋体" w:cs="宋体"/>
          <w:color w:val="000000"/>
        </w:rPr>
        <w:t>2.落实政府采购政策需满足的资格要求：标项1：专门面向中小微企业</w:t>
      </w:r>
    </w:p>
    <w:p w14:paraId="0916649B">
      <w:pPr>
        <w:pStyle w:val="89"/>
        <w:keepNext w:val="0"/>
        <w:keepLines w:val="0"/>
        <w:pageBreakBefore w:val="0"/>
        <w:widowControl/>
        <w:kinsoku/>
        <w:wordWrap/>
        <w:overflowPunct/>
        <w:topLinePunct w:val="0"/>
        <w:autoSpaceDE/>
        <w:autoSpaceDN/>
        <w:bidi w:val="0"/>
        <w:adjustRightInd/>
        <w:snapToGrid/>
        <w:spacing w:before="55" w:after="55" w:line="380" w:lineRule="exact"/>
        <w:ind w:firstLine="482"/>
        <w:textAlignment w:val="auto"/>
        <w:rPr>
          <w:rFonts w:hint="eastAsia" w:ascii="宋体" w:hAnsi="宋体" w:eastAsia="宋体" w:cs="宋体"/>
          <w:color w:val="000000"/>
        </w:rPr>
      </w:pPr>
      <w:r>
        <w:rPr>
          <w:rFonts w:hint="eastAsia" w:ascii="宋体" w:hAnsi="宋体" w:eastAsia="宋体" w:cs="宋体"/>
          <w:color w:val="000000"/>
        </w:rPr>
        <w:t>3.本项目的特定资格要求：</w:t>
      </w:r>
      <w:r>
        <w:rPr>
          <w:rFonts w:hint="eastAsia" w:ascii="宋体" w:hAnsi="宋体" w:eastAsia="宋体" w:cs="宋体"/>
          <w:color w:val="000000"/>
          <w:lang w:val="en-US" w:eastAsia="zh-CN"/>
        </w:rPr>
        <w:t>无</w:t>
      </w:r>
      <w:r>
        <w:rPr>
          <w:rFonts w:hint="eastAsia" w:ascii="宋体" w:hAnsi="宋体" w:eastAsia="宋体" w:cs="宋体"/>
          <w:color w:val="000000"/>
        </w:rPr>
        <w:t xml:space="preserve"> </w:t>
      </w:r>
    </w:p>
    <w:p w14:paraId="5D954037">
      <w:pPr>
        <w:pStyle w:val="89"/>
        <w:keepNext w:val="0"/>
        <w:keepLines w:val="0"/>
        <w:pageBreakBefore w:val="0"/>
        <w:widowControl/>
        <w:kinsoku/>
        <w:wordWrap/>
        <w:overflowPunct/>
        <w:topLinePunct w:val="0"/>
        <w:autoSpaceDE/>
        <w:autoSpaceDN/>
        <w:bidi w:val="0"/>
        <w:adjustRightInd/>
        <w:snapToGrid/>
        <w:spacing w:line="380" w:lineRule="exact"/>
        <w:textAlignment w:val="auto"/>
        <w:rPr>
          <w:color w:val="000000"/>
        </w:rPr>
      </w:pPr>
      <w:r>
        <w:rPr>
          <w:rFonts w:hint="eastAsia" w:ascii="宋体" w:hAnsi="宋体" w:cs="宋体"/>
          <w:b/>
          <w:bCs/>
          <w:color w:val="000000"/>
        </w:rPr>
        <w:t>三、获取采购文件</w:t>
      </w:r>
    </w:p>
    <w:p w14:paraId="4DAECFFD">
      <w:pPr>
        <w:pStyle w:val="89"/>
        <w:keepNext w:val="0"/>
        <w:keepLines w:val="0"/>
        <w:pageBreakBefore w:val="0"/>
        <w:widowControl/>
        <w:kinsoku/>
        <w:wordWrap/>
        <w:overflowPunct/>
        <w:topLinePunct w:val="0"/>
        <w:autoSpaceDE/>
        <w:autoSpaceDN/>
        <w:bidi w:val="0"/>
        <w:adjustRightInd/>
        <w:snapToGrid/>
        <w:spacing w:before="55" w:after="55" w:line="380" w:lineRule="exact"/>
        <w:ind w:firstLine="482"/>
        <w:textAlignment w:val="auto"/>
        <w:rPr>
          <w:rFonts w:hint="eastAsia" w:ascii="宋体" w:hAnsi="宋体" w:eastAsia="宋体" w:cs="宋体"/>
          <w:color w:val="000000"/>
        </w:rPr>
      </w:pPr>
      <w:r>
        <w:rPr>
          <w:rFonts w:hint="eastAsia" w:ascii="宋体" w:hAnsi="宋体" w:eastAsia="宋体" w:cs="宋体"/>
          <w:color w:val="000000"/>
        </w:rPr>
        <w:t>时间：</w:t>
      </w:r>
      <w:r>
        <w:rPr>
          <w:rFonts w:hint="eastAsia" w:ascii="宋体" w:hAnsi="宋体" w:cs="宋体"/>
          <w:color w:val="000000"/>
          <w:lang w:eastAsia="zh-CN"/>
        </w:rPr>
        <w:t>2026年5月2</w:t>
      </w:r>
      <w:r>
        <w:rPr>
          <w:rFonts w:hint="eastAsia" w:ascii="宋体" w:hAnsi="宋体" w:cs="宋体"/>
          <w:color w:val="000000"/>
          <w:lang w:val="en-US" w:eastAsia="zh-CN"/>
        </w:rPr>
        <w:t>2</w:t>
      </w:r>
      <w:r>
        <w:rPr>
          <w:rFonts w:hint="eastAsia" w:ascii="宋体" w:hAnsi="宋体" w:cs="宋体"/>
          <w:color w:val="000000"/>
          <w:lang w:eastAsia="zh-CN"/>
        </w:rPr>
        <w:t>日至2026年6月</w:t>
      </w:r>
      <w:r>
        <w:rPr>
          <w:rFonts w:hint="eastAsia" w:ascii="宋体" w:hAnsi="宋体" w:cs="宋体"/>
          <w:color w:val="000000"/>
          <w:lang w:val="en-US" w:eastAsia="zh-CN"/>
        </w:rPr>
        <w:t>3</w:t>
      </w:r>
      <w:r>
        <w:rPr>
          <w:rFonts w:hint="eastAsia" w:ascii="宋体" w:hAnsi="宋体" w:cs="宋体"/>
          <w:color w:val="000000"/>
          <w:lang w:eastAsia="zh-CN"/>
        </w:rPr>
        <w:t>日</w:t>
      </w:r>
      <w:r>
        <w:rPr>
          <w:rFonts w:hint="eastAsia" w:ascii="宋体" w:hAnsi="宋体" w:eastAsia="宋体" w:cs="宋体"/>
          <w:color w:val="000000"/>
        </w:rPr>
        <w:t>，每天上午00:00至1</w:t>
      </w:r>
      <w:r>
        <w:rPr>
          <w:rFonts w:hint="eastAsia" w:ascii="宋体" w:hAnsi="宋体" w:eastAsia="宋体" w:cs="宋体"/>
          <w:color w:val="000000"/>
          <w:lang w:val="en-US" w:eastAsia="zh-CN"/>
        </w:rPr>
        <w:t>4</w:t>
      </w:r>
      <w:r>
        <w:rPr>
          <w:rFonts w:hint="eastAsia" w:ascii="宋体" w:hAnsi="宋体" w:eastAsia="宋体" w:cs="宋体"/>
          <w:color w:val="000000"/>
        </w:rPr>
        <w:t>:00，下午1</w:t>
      </w:r>
      <w:r>
        <w:rPr>
          <w:rFonts w:hint="eastAsia" w:ascii="宋体" w:hAnsi="宋体" w:eastAsia="宋体" w:cs="宋体"/>
          <w:color w:val="000000"/>
          <w:lang w:val="en-US" w:eastAsia="zh-CN"/>
        </w:rPr>
        <w:t>4</w:t>
      </w:r>
      <w:r>
        <w:rPr>
          <w:rFonts w:hint="eastAsia" w:ascii="宋体" w:hAnsi="宋体" w:eastAsia="宋体" w:cs="宋体"/>
          <w:color w:val="000000"/>
        </w:rPr>
        <w:t>:00至23:59（北京时间，法定节假日除外）</w:t>
      </w:r>
    </w:p>
    <w:p w14:paraId="35A5B62B">
      <w:pPr>
        <w:pStyle w:val="89"/>
        <w:keepNext w:val="0"/>
        <w:keepLines w:val="0"/>
        <w:pageBreakBefore w:val="0"/>
        <w:widowControl/>
        <w:kinsoku/>
        <w:wordWrap/>
        <w:overflowPunct/>
        <w:topLinePunct w:val="0"/>
        <w:autoSpaceDE/>
        <w:autoSpaceDN/>
        <w:bidi w:val="0"/>
        <w:adjustRightInd/>
        <w:snapToGrid/>
        <w:spacing w:before="55" w:after="55" w:line="380" w:lineRule="exact"/>
        <w:ind w:firstLine="482"/>
        <w:textAlignment w:val="auto"/>
        <w:rPr>
          <w:rFonts w:hint="eastAsia" w:ascii="宋体" w:hAnsi="宋体" w:eastAsia="宋体" w:cs="宋体"/>
          <w:color w:val="000000"/>
        </w:rPr>
      </w:pPr>
      <w:r>
        <w:rPr>
          <w:rFonts w:hint="eastAsia" w:ascii="宋体" w:hAnsi="宋体" w:eastAsia="宋体" w:cs="宋体"/>
          <w:color w:val="000000"/>
        </w:rPr>
        <w:t>地点：政采云平台线上</w:t>
      </w:r>
    </w:p>
    <w:p w14:paraId="27CDAED3">
      <w:pPr>
        <w:pStyle w:val="89"/>
        <w:keepNext w:val="0"/>
        <w:keepLines w:val="0"/>
        <w:pageBreakBefore w:val="0"/>
        <w:widowControl/>
        <w:kinsoku/>
        <w:wordWrap/>
        <w:overflowPunct/>
        <w:topLinePunct w:val="0"/>
        <w:autoSpaceDE/>
        <w:autoSpaceDN/>
        <w:bidi w:val="0"/>
        <w:adjustRightInd/>
        <w:snapToGrid/>
        <w:spacing w:before="55" w:after="55" w:line="380" w:lineRule="exact"/>
        <w:ind w:firstLine="482"/>
        <w:textAlignment w:val="auto"/>
        <w:rPr>
          <w:rFonts w:hint="eastAsia" w:ascii="宋体" w:hAnsi="宋体" w:eastAsia="宋体" w:cs="宋体"/>
          <w:color w:val="000000"/>
          <w:lang w:val="en-US" w:eastAsia="zh-CN"/>
        </w:rPr>
      </w:pPr>
      <w:r>
        <w:rPr>
          <w:rFonts w:hint="eastAsia" w:ascii="宋体" w:hAnsi="宋体" w:eastAsia="宋体" w:cs="宋体"/>
          <w:color w:val="000000"/>
          <w:lang w:val="en-US" w:eastAsia="zh-CN"/>
        </w:rPr>
        <w:t>方式：供应商登录政采云平台https://www.zcygov.cn/在线申请获取采购文件（进入“项目采购”应用，在获取采购文件菜单中选择项目，申请获取采购文件），或者点击采购公告底部潜在供应商“获取采购文件”，页面跳转后登陆，直接获取采购文件。</w:t>
      </w:r>
    </w:p>
    <w:p w14:paraId="44E22BA6">
      <w:pPr>
        <w:pStyle w:val="89"/>
        <w:keepNext w:val="0"/>
        <w:keepLines w:val="0"/>
        <w:pageBreakBefore w:val="0"/>
        <w:widowControl/>
        <w:kinsoku/>
        <w:wordWrap/>
        <w:overflowPunct/>
        <w:topLinePunct w:val="0"/>
        <w:autoSpaceDE/>
        <w:autoSpaceDN/>
        <w:bidi w:val="0"/>
        <w:adjustRightInd/>
        <w:snapToGrid/>
        <w:spacing w:before="55" w:after="55" w:line="380" w:lineRule="exact"/>
        <w:ind w:firstLine="482"/>
        <w:textAlignment w:val="auto"/>
        <w:rPr>
          <w:rFonts w:hint="eastAsia" w:ascii="宋体" w:hAnsi="宋体" w:eastAsia="宋体" w:cs="宋体"/>
          <w:color w:val="000000"/>
        </w:rPr>
      </w:pPr>
      <w:r>
        <w:rPr>
          <w:rFonts w:hint="eastAsia" w:ascii="宋体" w:hAnsi="宋体" w:eastAsia="宋体" w:cs="宋体"/>
          <w:color w:val="000000"/>
        </w:rPr>
        <w:t>售价（元）：0</w:t>
      </w:r>
    </w:p>
    <w:p w14:paraId="70A20ACC">
      <w:pPr>
        <w:pStyle w:val="89"/>
        <w:keepNext w:val="0"/>
        <w:keepLines w:val="0"/>
        <w:pageBreakBefore w:val="0"/>
        <w:widowControl/>
        <w:kinsoku/>
        <w:wordWrap/>
        <w:overflowPunct/>
        <w:topLinePunct w:val="0"/>
        <w:autoSpaceDE/>
        <w:autoSpaceDN/>
        <w:bidi w:val="0"/>
        <w:adjustRightInd/>
        <w:snapToGrid/>
        <w:spacing w:line="380" w:lineRule="exact"/>
        <w:textAlignment w:val="auto"/>
        <w:rPr>
          <w:color w:val="000000"/>
        </w:rPr>
      </w:pPr>
      <w:r>
        <w:rPr>
          <w:rFonts w:hint="eastAsia" w:ascii="宋体" w:hAnsi="宋体" w:cs="宋体"/>
          <w:b/>
          <w:bCs/>
          <w:color w:val="000000"/>
        </w:rPr>
        <w:t>四、响应文件提交</w:t>
      </w:r>
    </w:p>
    <w:p w14:paraId="5E90E0EA">
      <w:pPr>
        <w:pStyle w:val="89"/>
        <w:keepNext w:val="0"/>
        <w:keepLines w:val="0"/>
        <w:pageBreakBefore w:val="0"/>
        <w:widowControl/>
        <w:kinsoku/>
        <w:wordWrap/>
        <w:overflowPunct/>
        <w:topLinePunct w:val="0"/>
        <w:autoSpaceDE/>
        <w:autoSpaceDN/>
        <w:bidi w:val="0"/>
        <w:adjustRightInd/>
        <w:snapToGrid/>
        <w:spacing w:before="55" w:after="55" w:line="380" w:lineRule="exact"/>
        <w:ind w:firstLine="482"/>
        <w:textAlignment w:val="auto"/>
        <w:rPr>
          <w:rFonts w:hint="eastAsia" w:ascii="宋体" w:hAnsi="宋体" w:eastAsia="宋体" w:cs="宋体"/>
          <w:color w:val="000000"/>
        </w:rPr>
      </w:pPr>
      <w:r>
        <w:rPr>
          <w:rFonts w:hint="eastAsia" w:ascii="宋体" w:hAnsi="宋体" w:eastAsia="宋体" w:cs="宋体"/>
          <w:color w:val="000000"/>
        </w:rPr>
        <w:t>截止时间：</w:t>
      </w:r>
      <w:r>
        <w:rPr>
          <w:rFonts w:hint="eastAsia" w:ascii="宋体" w:hAnsi="宋体" w:cs="宋体"/>
          <w:color w:val="000000"/>
          <w:lang w:eastAsia="zh-CN"/>
        </w:rPr>
        <w:t>2026年6月4日10:30</w:t>
      </w:r>
      <w:r>
        <w:rPr>
          <w:rFonts w:hint="eastAsia" w:ascii="宋体" w:hAnsi="宋体" w:eastAsia="宋体" w:cs="宋体"/>
          <w:color w:val="000000"/>
        </w:rPr>
        <w:t>（北京时间）</w:t>
      </w:r>
    </w:p>
    <w:p w14:paraId="5C698CBD">
      <w:pPr>
        <w:pStyle w:val="89"/>
        <w:keepNext w:val="0"/>
        <w:keepLines w:val="0"/>
        <w:pageBreakBefore w:val="0"/>
        <w:widowControl/>
        <w:kinsoku/>
        <w:wordWrap/>
        <w:overflowPunct/>
        <w:topLinePunct w:val="0"/>
        <w:autoSpaceDE/>
        <w:autoSpaceDN/>
        <w:bidi w:val="0"/>
        <w:adjustRightInd/>
        <w:snapToGrid/>
        <w:spacing w:before="55" w:after="55" w:line="380" w:lineRule="exact"/>
        <w:ind w:firstLine="482"/>
        <w:textAlignment w:val="auto"/>
        <w:rPr>
          <w:rFonts w:hint="eastAsia" w:ascii="宋体" w:hAnsi="宋体" w:cs="宋体"/>
          <w:b/>
          <w:bCs/>
          <w:color w:val="000000"/>
        </w:rPr>
      </w:pPr>
      <w:r>
        <w:rPr>
          <w:rFonts w:hint="eastAsia" w:ascii="宋体" w:hAnsi="宋体" w:eastAsia="宋体" w:cs="宋体"/>
          <w:color w:val="000000"/>
        </w:rPr>
        <w:t>地点：请登录政采云投标客户端投标</w:t>
      </w:r>
    </w:p>
    <w:p w14:paraId="5B276569">
      <w:pPr>
        <w:pStyle w:val="89"/>
        <w:keepNext w:val="0"/>
        <w:keepLines w:val="0"/>
        <w:pageBreakBefore w:val="0"/>
        <w:widowControl/>
        <w:kinsoku/>
        <w:wordWrap/>
        <w:overflowPunct/>
        <w:topLinePunct w:val="0"/>
        <w:autoSpaceDE/>
        <w:autoSpaceDN/>
        <w:bidi w:val="0"/>
        <w:adjustRightInd/>
        <w:snapToGrid/>
        <w:spacing w:line="380" w:lineRule="exact"/>
        <w:textAlignment w:val="auto"/>
        <w:rPr>
          <w:color w:val="000000"/>
        </w:rPr>
      </w:pPr>
      <w:r>
        <w:rPr>
          <w:rFonts w:hint="eastAsia" w:ascii="宋体" w:hAnsi="宋体" w:cs="宋体"/>
          <w:b/>
          <w:bCs/>
          <w:color w:val="000000"/>
        </w:rPr>
        <w:t>五、响应文件开启</w:t>
      </w:r>
    </w:p>
    <w:p w14:paraId="537C0ED5">
      <w:pPr>
        <w:pStyle w:val="89"/>
        <w:keepNext w:val="0"/>
        <w:keepLines w:val="0"/>
        <w:pageBreakBefore w:val="0"/>
        <w:widowControl/>
        <w:kinsoku/>
        <w:wordWrap/>
        <w:overflowPunct/>
        <w:topLinePunct w:val="0"/>
        <w:autoSpaceDE/>
        <w:autoSpaceDN/>
        <w:bidi w:val="0"/>
        <w:adjustRightInd/>
        <w:snapToGrid/>
        <w:spacing w:before="55" w:after="55" w:line="380" w:lineRule="exact"/>
        <w:ind w:firstLine="482"/>
        <w:textAlignment w:val="auto"/>
        <w:rPr>
          <w:rFonts w:hint="eastAsia" w:ascii="宋体" w:hAnsi="宋体" w:eastAsia="宋体" w:cs="宋体"/>
          <w:color w:val="000000"/>
        </w:rPr>
      </w:pPr>
      <w:r>
        <w:rPr>
          <w:rFonts w:hint="eastAsia" w:ascii="宋体" w:hAnsi="宋体" w:eastAsia="宋体" w:cs="宋体"/>
          <w:color w:val="000000"/>
        </w:rPr>
        <w:t>开启时间：</w:t>
      </w:r>
      <w:r>
        <w:rPr>
          <w:rFonts w:hint="eastAsia" w:ascii="宋体" w:hAnsi="宋体" w:cs="宋体"/>
          <w:color w:val="000000"/>
          <w:lang w:eastAsia="zh-CN"/>
        </w:rPr>
        <w:t>2026年6月4日10:30</w:t>
      </w:r>
      <w:r>
        <w:rPr>
          <w:rFonts w:hint="eastAsia" w:ascii="宋体" w:hAnsi="宋体" w:eastAsia="宋体" w:cs="宋体"/>
          <w:color w:val="000000"/>
        </w:rPr>
        <w:t>（北京时间）</w:t>
      </w:r>
    </w:p>
    <w:p w14:paraId="2C4F2202">
      <w:pPr>
        <w:pStyle w:val="89"/>
        <w:keepNext w:val="0"/>
        <w:keepLines w:val="0"/>
        <w:pageBreakBefore w:val="0"/>
        <w:widowControl/>
        <w:kinsoku/>
        <w:wordWrap/>
        <w:overflowPunct/>
        <w:topLinePunct w:val="0"/>
        <w:autoSpaceDE/>
        <w:autoSpaceDN/>
        <w:bidi w:val="0"/>
        <w:adjustRightInd/>
        <w:snapToGrid/>
        <w:spacing w:before="55" w:after="55" w:line="380" w:lineRule="exact"/>
        <w:ind w:firstLine="482"/>
        <w:textAlignment w:val="auto"/>
        <w:rPr>
          <w:rFonts w:hint="eastAsia" w:ascii="宋体" w:hAnsi="宋体" w:eastAsia="宋体" w:cs="宋体"/>
          <w:color w:val="000000"/>
        </w:rPr>
      </w:pPr>
      <w:r>
        <w:rPr>
          <w:rFonts w:hint="eastAsia" w:ascii="宋体" w:hAnsi="宋体" w:eastAsia="宋体" w:cs="宋体"/>
          <w:color w:val="000000"/>
        </w:rPr>
        <w:t>地点：投标人登录政采云平台https://www.zcygov.cn/，进入“项目采购-开标评标-右边选择对应项目点击“进入项目”进入开标大厅。</w:t>
      </w:r>
    </w:p>
    <w:p w14:paraId="62F000DA">
      <w:pPr>
        <w:pStyle w:val="89"/>
        <w:keepNext w:val="0"/>
        <w:keepLines w:val="0"/>
        <w:pageBreakBefore w:val="0"/>
        <w:widowControl/>
        <w:kinsoku/>
        <w:wordWrap/>
        <w:overflowPunct/>
        <w:topLinePunct w:val="0"/>
        <w:autoSpaceDE/>
        <w:autoSpaceDN/>
        <w:bidi w:val="0"/>
        <w:adjustRightInd/>
        <w:snapToGrid/>
        <w:spacing w:line="380" w:lineRule="exact"/>
        <w:textAlignment w:val="auto"/>
        <w:rPr>
          <w:color w:val="000000"/>
        </w:rPr>
      </w:pPr>
      <w:r>
        <w:rPr>
          <w:rFonts w:hint="eastAsia" w:ascii="宋体" w:hAnsi="宋体" w:cs="宋体"/>
          <w:b/>
          <w:bCs/>
          <w:color w:val="000000"/>
        </w:rPr>
        <w:t>六、公告期限</w:t>
      </w:r>
    </w:p>
    <w:p w14:paraId="71384D0D">
      <w:pPr>
        <w:pStyle w:val="89"/>
        <w:keepNext w:val="0"/>
        <w:keepLines w:val="0"/>
        <w:pageBreakBefore w:val="0"/>
        <w:widowControl/>
        <w:kinsoku/>
        <w:wordWrap/>
        <w:overflowPunct/>
        <w:topLinePunct w:val="0"/>
        <w:autoSpaceDE/>
        <w:autoSpaceDN/>
        <w:bidi w:val="0"/>
        <w:adjustRightInd/>
        <w:snapToGrid/>
        <w:spacing w:before="55" w:after="55" w:line="380" w:lineRule="exact"/>
        <w:ind w:firstLine="482"/>
        <w:textAlignment w:val="auto"/>
        <w:rPr>
          <w:rFonts w:hint="eastAsia" w:ascii="宋体" w:hAnsi="宋体" w:eastAsia="宋体" w:cs="宋体"/>
          <w:color w:val="000000"/>
        </w:rPr>
      </w:pPr>
      <w:r>
        <w:rPr>
          <w:rFonts w:hint="eastAsia" w:ascii="宋体" w:hAnsi="宋体" w:eastAsia="宋体" w:cs="宋体"/>
          <w:color w:val="000000"/>
        </w:rPr>
        <w:t>自本公告发布之日起5个工作日。</w:t>
      </w:r>
    </w:p>
    <w:p w14:paraId="526E4286">
      <w:pPr>
        <w:pStyle w:val="89"/>
        <w:keepNext w:val="0"/>
        <w:keepLines w:val="0"/>
        <w:pageBreakBefore w:val="0"/>
        <w:widowControl/>
        <w:kinsoku/>
        <w:wordWrap/>
        <w:overflowPunct/>
        <w:topLinePunct w:val="0"/>
        <w:autoSpaceDE/>
        <w:autoSpaceDN/>
        <w:bidi w:val="0"/>
        <w:adjustRightInd/>
        <w:snapToGrid/>
        <w:spacing w:line="380" w:lineRule="exact"/>
        <w:textAlignment w:val="auto"/>
        <w:rPr>
          <w:rFonts w:hint="eastAsia" w:ascii="宋体" w:hAnsi="宋体" w:eastAsia="宋体" w:cs="宋体"/>
          <w:b/>
          <w:bCs/>
          <w:color w:val="000000"/>
        </w:rPr>
      </w:pPr>
      <w:r>
        <w:rPr>
          <w:rFonts w:hint="eastAsia" w:ascii="宋体" w:hAnsi="宋体" w:eastAsia="宋体" w:cs="宋体"/>
          <w:b/>
          <w:bCs/>
          <w:color w:val="000000"/>
          <w:lang w:val="en-US" w:eastAsia="zh-CN"/>
        </w:rPr>
        <w:t>七</w:t>
      </w:r>
      <w:r>
        <w:rPr>
          <w:rFonts w:hint="eastAsia" w:ascii="宋体" w:hAnsi="宋体" w:eastAsia="宋体" w:cs="宋体"/>
          <w:b/>
          <w:bCs/>
          <w:color w:val="000000"/>
        </w:rPr>
        <w:t>、其他补充事宜</w:t>
      </w:r>
    </w:p>
    <w:p w14:paraId="1A2EA8C8">
      <w:pPr>
        <w:pStyle w:val="89"/>
        <w:keepNext w:val="0"/>
        <w:keepLines w:val="0"/>
        <w:pageBreakBefore w:val="0"/>
        <w:widowControl/>
        <w:kinsoku/>
        <w:wordWrap/>
        <w:overflowPunct/>
        <w:topLinePunct w:val="0"/>
        <w:autoSpaceDE/>
        <w:autoSpaceDN/>
        <w:bidi w:val="0"/>
        <w:adjustRightInd/>
        <w:snapToGrid/>
        <w:spacing w:before="55" w:after="55" w:line="380" w:lineRule="exact"/>
        <w:ind w:firstLine="482"/>
        <w:textAlignment w:val="auto"/>
        <w:rPr>
          <w:rFonts w:hint="eastAsia" w:ascii="宋体" w:hAnsi="宋体" w:eastAsia="宋体" w:cs="宋体"/>
          <w:color w:val="000000"/>
          <w:lang w:val="en-US" w:eastAsia="zh-CN"/>
        </w:rPr>
      </w:pPr>
      <w:r>
        <w:rPr>
          <w:rFonts w:hint="eastAsia" w:ascii="宋体" w:hAnsi="宋体" w:eastAsia="宋体" w:cs="宋体"/>
          <w:color w:val="000000"/>
          <w:lang w:val="en-US" w:eastAsia="zh-CN"/>
        </w:rPr>
        <w:t>1、本项目实行网上投标，采用电子投标文件。</w:t>
      </w:r>
    </w:p>
    <w:p w14:paraId="09C5B215">
      <w:pPr>
        <w:pStyle w:val="89"/>
        <w:keepNext w:val="0"/>
        <w:keepLines w:val="0"/>
        <w:pageBreakBefore w:val="0"/>
        <w:widowControl/>
        <w:kinsoku/>
        <w:wordWrap/>
        <w:overflowPunct/>
        <w:topLinePunct w:val="0"/>
        <w:autoSpaceDE/>
        <w:autoSpaceDN/>
        <w:bidi w:val="0"/>
        <w:adjustRightInd/>
        <w:snapToGrid/>
        <w:spacing w:before="55" w:after="55" w:line="380" w:lineRule="exact"/>
        <w:ind w:firstLine="482"/>
        <w:textAlignment w:val="auto"/>
        <w:rPr>
          <w:rFonts w:hint="eastAsia" w:ascii="宋体" w:hAnsi="宋体" w:eastAsia="宋体" w:cs="宋体"/>
          <w:color w:val="000000"/>
          <w:lang w:val="en-US" w:eastAsia="zh-CN"/>
        </w:rPr>
      </w:pPr>
      <w:r>
        <w:rPr>
          <w:rFonts w:hint="eastAsia" w:ascii="宋体" w:hAnsi="宋体" w:eastAsia="宋体" w:cs="宋体"/>
          <w:color w:val="000000"/>
          <w:lang w:val="en-US" w:eastAsia="zh-CN"/>
        </w:rPr>
        <w:t>2、各供应商应在开标前确保成为正式注册入库供应商，并完成CA数字证书(符合国密标准)申领。因未注册入库、未办理CA数字证书等原因造成无法投标或投标失败等后果由供应商自行承担。如需咨询，请联系新疆-安信CA服务热线18399999326；翔晟CA服务热线025-66085508；新疆CA服务热线4000921999。</w:t>
      </w:r>
    </w:p>
    <w:p w14:paraId="3EF6B9AB">
      <w:pPr>
        <w:pStyle w:val="89"/>
        <w:keepNext w:val="0"/>
        <w:keepLines w:val="0"/>
        <w:pageBreakBefore w:val="0"/>
        <w:widowControl/>
        <w:kinsoku/>
        <w:wordWrap/>
        <w:overflowPunct/>
        <w:topLinePunct w:val="0"/>
        <w:autoSpaceDE/>
        <w:autoSpaceDN/>
        <w:bidi w:val="0"/>
        <w:adjustRightInd/>
        <w:snapToGrid/>
        <w:spacing w:before="55" w:after="55" w:line="380" w:lineRule="exact"/>
        <w:ind w:firstLine="482"/>
        <w:textAlignment w:val="auto"/>
        <w:rPr>
          <w:rFonts w:hint="eastAsia" w:ascii="宋体" w:hAnsi="宋体" w:eastAsia="宋体" w:cs="宋体"/>
          <w:color w:val="000000"/>
          <w:lang w:val="en-US" w:eastAsia="zh-CN"/>
        </w:rPr>
      </w:pPr>
      <w:r>
        <w:rPr>
          <w:rFonts w:hint="eastAsia" w:ascii="宋体" w:hAnsi="宋体" w:eastAsia="宋体" w:cs="宋体"/>
          <w:color w:val="000000"/>
          <w:lang w:val="en-US" w:eastAsia="zh-CN"/>
        </w:rPr>
        <w:t>3、供应商将政采云电子交易客户端下载、安装完成后，可通过账号密码或CA登录客户端进行投标文件的制作。在使用政采云投标客户端时，建议使用WIN7及以上操作系统。</w:t>
      </w:r>
    </w:p>
    <w:p w14:paraId="7992E998">
      <w:pPr>
        <w:pStyle w:val="89"/>
        <w:keepNext w:val="0"/>
        <w:keepLines w:val="0"/>
        <w:pageBreakBefore w:val="0"/>
        <w:widowControl/>
        <w:kinsoku/>
        <w:wordWrap w:val="0"/>
        <w:overflowPunct/>
        <w:topLinePunct/>
        <w:autoSpaceDE/>
        <w:autoSpaceDN/>
        <w:bidi w:val="0"/>
        <w:adjustRightInd/>
        <w:snapToGrid/>
        <w:spacing w:before="55" w:after="55" w:line="380" w:lineRule="exact"/>
        <w:ind w:firstLine="482"/>
        <w:textAlignment w:val="auto"/>
        <w:rPr>
          <w:rFonts w:hint="eastAsia" w:ascii="宋体" w:hAnsi="宋体" w:eastAsia="宋体" w:cs="宋体"/>
          <w:color w:val="000000"/>
          <w:lang w:val="en-US" w:eastAsia="zh-CN"/>
        </w:rPr>
      </w:pPr>
      <w:r>
        <w:rPr>
          <w:rFonts w:hint="eastAsia" w:ascii="宋体" w:hAnsi="宋体" w:eastAsia="宋体" w:cs="宋体"/>
          <w:color w:val="000000"/>
          <w:lang w:val="en-US" w:eastAsia="zh-CN"/>
        </w:rPr>
        <w:t>4、其他事项：各供应商对不见面开评标系统的技术操作咨询，可通过https://edu.zcygov.cn/luban/xinjiang-e-biding自助查询，也可在政采云帮助中心常见问题解答和操作流程讲解视频中自助查询，网址为：https://service.zcygov.cn/，“项目采购”—“操作流程-电子招投标”—“政府采购项目电子交易管理操作指南-供应商”版面获取操作指南，同时对自助查询无法解决的问题可通过政采云在线客服获取服务。 </w:t>
      </w:r>
    </w:p>
    <w:p w14:paraId="3E65CC6E">
      <w:pPr>
        <w:pStyle w:val="89"/>
        <w:keepNext w:val="0"/>
        <w:keepLines w:val="0"/>
        <w:pageBreakBefore w:val="0"/>
        <w:widowControl/>
        <w:kinsoku/>
        <w:wordWrap/>
        <w:overflowPunct/>
        <w:topLinePunct w:val="0"/>
        <w:autoSpaceDE/>
        <w:autoSpaceDN/>
        <w:bidi w:val="0"/>
        <w:adjustRightInd/>
        <w:snapToGrid/>
        <w:spacing w:line="380" w:lineRule="exact"/>
        <w:ind w:right="0"/>
        <w:textAlignment w:val="auto"/>
        <w:rPr>
          <w:color w:val="000000"/>
          <w:highlight w:val="none"/>
        </w:rPr>
      </w:pPr>
      <w:r>
        <w:rPr>
          <w:rFonts w:hint="eastAsia" w:ascii="宋体" w:hAnsi="宋体" w:cs="宋体"/>
          <w:b/>
          <w:bCs/>
          <w:color w:val="000000"/>
          <w:highlight w:val="none"/>
          <w:lang w:val="en-US" w:eastAsia="zh-CN"/>
        </w:rPr>
        <w:t>八</w:t>
      </w:r>
      <w:r>
        <w:rPr>
          <w:rFonts w:hint="eastAsia" w:ascii="宋体" w:hAnsi="宋体" w:cs="宋体"/>
          <w:b/>
          <w:bCs/>
          <w:color w:val="000000"/>
          <w:highlight w:val="none"/>
        </w:rPr>
        <w:t>、对本次招标提出询问，请按以下方式联系</w:t>
      </w:r>
    </w:p>
    <w:p w14:paraId="12D943E9">
      <w:pPr>
        <w:pStyle w:val="89"/>
        <w:keepNext w:val="0"/>
        <w:keepLines w:val="0"/>
        <w:pageBreakBefore w:val="0"/>
        <w:widowControl/>
        <w:kinsoku/>
        <w:wordWrap/>
        <w:overflowPunct/>
        <w:topLinePunct w:val="0"/>
        <w:autoSpaceDE/>
        <w:autoSpaceDN/>
        <w:bidi w:val="0"/>
        <w:adjustRightInd/>
        <w:snapToGrid/>
        <w:spacing w:before="60" w:after="60" w:line="380" w:lineRule="exact"/>
        <w:ind w:firstLine="482"/>
        <w:textAlignment w:val="auto"/>
        <w:rPr>
          <w:rFonts w:hint="eastAsia" w:ascii="宋体" w:hAnsi="宋体" w:eastAsia="宋体" w:cs="宋体"/>
          <w:color w:val="000000"/>
          <w:lang w:val="en-US" w:eastAsia="zh-CN"/>
        </w:rPr>
      </w:pPr>
      <w:r>
        <w:rPr>
          <w:rFonts w:hint="eastAsia" w:ascii="宋体" w:hAnsi="宋体" w:eastAsia="宋体" w:cs="宋体"/>
          <w:color w:val="000000"/>
          <w:lang w:val="en-US" w:eastAsia="zh-CN"/>
        </w:rPr>
        <w:t>1.采购人信息</w:t>
      </w:r>
    </w:p>
    <w:p w14:paraId="11193F8B">
      <w:pPr>
        <w:pStyle w:val="89"/>
        <w:keepNext w:val="0"/>
        <w:keepLines w:val="0"/>
        <w:pageBreakBefore w:val="0"/>
        <w:widowControl/>
        <w:kinsoku/>
        <w:wordWrap/>
        <w:overflowPunct/>
        <w:topLinePunct w:val="0"/>
        <w:autoSpaceDE/>
        <w:autoSpaceDN/>
        <w:bidi w:val="0"/>
        <w:adjustRightInd/>
        <w:snapToGrid/>
        <w:spacing w:before="60" w:after="60" w:line="380" w:lineRule="exact"/>
        <w:ind w:firstLine="482"/>
        <w:textAlignment w:val="auto"/>
        <w:rPr>
          <w:rFonts w:hint="eastAsia" w:ascii="宋体" w:hAnsi="宋体" w:eastAsia="宋体" w:cs="宋体"/>
          <w:color w:val="000000"/>
          <w:lang w:val="en-US" w:eastAsia="zh-CN"/>
        </w:rPr>
      </w:pPr>
      <w:bookmarkStart w:id="397" w:name="_Toc28359009"/>
      <w:bookmarkStart w:id="398" w:name="_Toc28359086"/>
      <w:r>
        <w:rPr>
          <w:rFonts w:hint="eastAsia" w:ascii="宋体" w:hAnsi="宋体" w:eastAsia="宋体" w:cs="宋体"/>
          <w:color w:val="000000"/>
          <w:lang w:val="en-US" w:eastAsia="zh-CN"/>
        </w:rPr>
        <w:t>名 称：喀什市文化体育广播电视和旅游局</w:t>
      </w:r>
    </w:p>
    <w:p w14:paraId="3F377557">
      <w:pPr>
        <w:pStyle w:val="89"/>
        <w:keepNext w:val="0"/>
        <w:keepLines w:val="0"/>
        <w:pageBreakBefore w:val="0"/>
        <w:widowControl/>
        <w:kinsoku/>
        <w:wordWrap/>
        <w:overflowPunct/>
        <w:topLinePunct w:val="0"/>
        <w:autoSpaceDE/>
        <w:autoSpaceDN/>
        <w:bidi w:val="0"/>
        <w:adjustRightInd/>
        <w:snapToGrid/>
        <w:spacing w:before="60" w:after="60" w:line="380" w:lineRule="exact"/>
        <w:ind w:firstLine="482"/>
        <w:textAlignment w:val="auto"/>
        <w:rPr>
          <w:rFonts w:hint="default" w:ascii="宋体" w:hAnsi="宋体" w:eastAsia="宋体" w:cs="宋体"/>
          <w:color w:val="000000"/>
          <w:lang w:val="en-US" w:eastAsia="zh-CN"/>
        </w:rPr>
      </w:pPr>
      <w:r>
        <w:rPr>
          <w:rFonts w:hint="eastAsia" w:ascii="宋体" w:hAnsi="宋体" w:eastAsia="宋体" w:cs="宋体"/>
          <w:color w:val="000000"/>
          <w:lang w:val="en-US" w:eastAsia="zh-CN"/>
        </w:rPr>
        <w:t>地 址：喀什地区喀什市人民东路336号</w:t>
      </w:r>
    </w:p>
    <w:p w14:paraId="4B722D19">
      <w:pPr>
        <w:pStyle w:val="89"/>
        <w:keepNext w:val="0"/>
        <w:keepLines w:val="0"/>
        <w:pageBreakBefore w:val="0"/>
        <w:widowControl/>
        <w:kinsoku/>
        <w:wordWrap/>
        <w:overflowPunct/>
        <w:topLinePunct w:val="0"/>
        <w:autoSpaceDE/>
        <w:autoSpaceDN/>
        <w:bidi w:val="0"/>
        <w:adjustRightInd/>
        <w:snapToGrid/>
        <w:spacing w:before="60" w:after="60" w:line="380" w:lineRule="exact"/>
        <w:ind w:firstLine="482"/>
        <w:textAlignment w:val="auto"/>
        <w:rPr>
          <w:rFonts w:hint="default" w:ascii="宋体" w:hAnsi="宋体" w:eastAsia="宋体" w:cs="宋体"/>
          <w:color w:val="000000"/>
          <w:lang w:val="en-US" w:eastAsia="zh-CN"/>
        </w:rPr>
      </w:pPr>
      <w:r>
        <w:rPr>
          <w:rFonts w:hint="eastAsia" w:ascii="宋体" w:hAnsi="宋体" w:eastAsia="宋体" w:cs="宋体"/>
          <w:color w:val="000000"/>
          <w:lang w:val="en-US" w:eastAsia="zh-CN"/>
        </w:rPr>
        <w:t>联系方式：</w:t>
      </w:r>
      <w:r>
        <w:rPr>
          <w:rFonts w:hint="eastAsia" w:ascii="宋体" w:hAnsi="宋体" w:cs="宋体"/>
          <w:color w:val="000000"/>
          <w:lang w:val="en-US" w:eastAsia="zh-CN"/>
        </w:rPr>
        <w:t>14799124315</w:t>
      </w:r>
    </w:p>
    <w:bookmarkEnd w:id="397"/>
    <w:bookmarkEnd w:id="398"/>
    <w:p w14:paraId="40B6D67B">
      <w:pPr>
        <w:pStyle w:val="89"/>
        <w:keepNext w:val="0"/>
        <w:keepLines w:val="0"/>
        <w:pageBreakBefore w:val="0"/>
        <w:widowControl/>
        <w:kinsoku/>
        <w:wordWrap/>
        <w:overflowPunct/>
        <w:topLinePunct w:val="0"/>
        <w:autoSpaceDE/>
        <w:autoSpaceDN/>
        <w:bidi w:val="0"/>
        <w:adjustRightInd/>
        <w:snapToGrid/>
        <w:spacing w:before="60" w:after="60" w:line="380" w:lineRule="exact"/>
        <w:ind w:firstLine="482"/>
        <w:textAlignment w:val="auto"/>
        <w:rPr>
          <w:rFonts w:hint="eastAsia" w:ascii="宋体" w:hAnsi="宋体" w:eastAsia="宋体" w:cs="宋体"/>
          <w:color w:val="000000"/>
          <w:lang w:val="en-US" w:eastAsia="zh-CN"/>
        </w:rPr>
      </w:pPr>
      <w:r>
        <w:rPr>
          <w:rFonts w:hint="eastAsia" w:ascii="宋体" w:hAnsi="宋体" w:eastAsia="宋体" w:cs="宋体"/>
          <w:color w:val="000000"/>
          <w:lang w:val="en-US" w:eastAsia="zh-CN"/>
        </w:rPr>
        <w:t>2.采购代理机构信息</w:t>
      </w:r>
    </w:p>
    <w:p w14:paraId="4AF000A4">
      <w:pPr>
        <w:pStyle w:val="89"/>
        <w:keepNext w:val="0"/>
        <w:keepLines w:val="0"/>
        <w:pageBreakBefore w:val="0"/>
        <w:widowControl/>
        <w:kinsoku/>
        <w:wordWrap/>
        <w:overflowPunct/>
        <w:topLinePunct w:val="0"/>
        <w:autoSpaceDE/>
        <w:autoSpaceDN/>
        <w:bidi w:val="0"/>
        <w:adjustRightInd/>
        <w:snapToGrid/>
        <w:spacing w:before="60" w:after="60" w:line="380" w:lineRule="exact"/>
        <w:ind w:firstLine="482"/>
        <w:textAlignment w:val="auto"/>
        <w:rPr>
          <w:rFonts w:hint="eastAsia" w:ascii="宋体" w:hAnsi="宋体" w:eastAsia="宋体" w:cs="宋体"/>
          <w:color w:val="000000"/>
          <w:lang w:val="en-US" w:eastAsia="zh-CN"/>
        </w:rPr>
      </w:pPr>
      <w:r>
        <w:rPr>
          <w:rFonts w:hint="eastAsia" w:ascii="宋体" w:hAnsi="宋体" w:eastAsia="宋体" w:cs="宋体"/>
          <w:color w:val="000000"/>
          <w:lang w:val="en-US" w:eastAsia="zh-CN"/>
        </w:rPr>
        <w:t>名 称：</w:t>
      </w:r>
      <w:r>
        <w:rPr>
          <w:rFonts w:hint="eastAsia" w:ascii="宋体" w:hAnsi="宋体" w:cs="宋体"/>
          <w:color w:val="000000"/>
          <w:lang w:val="en-US" w:eastAsia="zh-CN"/>
        </w:rPr>
        <w:t>新疆锦程项目管理有限公司</w:t>
      </w:r>
      <w:r>
        <w:rPr>
          <w:rFonts w:hint="eastAsia" w:ascii="宋体" w:hAnsi="宋体" w:eastAsia="宋体" w:cs="宋体"/>
          <w:color w:val="000000"/>
          <w:lang w:val="en-US" w:eastAsia="zh-CN"/>
        </w:rPr>
        <w:t>　</w:t>
      </w:r>
    </w:p>
    <w:p w14:paraId="47942653">
      <w:pPr>
        <w:pStyle w:val="89"/>
        <w:keepNext w:val="0"/>
        <w:keepLines w:val="0"/>
        <w:pageBreakBefore w:val="0"/>
        <w:widowControl/>
        <w:kinsoku/>
        <w:wordWrap/>
        <w:overflowPunct/>
        <w:topLinePunct w:val="0"/>
        <w:autoSpaceDE/>
        <w:autoSpaceDN/>
        <w:bidi w:val="0"/>
        <w:adjustRightInd/>
        <w:snapToGrid/>
        <w:spacing w:before="60" w:after="60" w:line="380" w:lineRule="exact"/>
        <w:ind w:firstLine="482"/>
        <w:textAlignment w:val="auto"/>
        <w:rPr>
          <w:rFonts w:hint="eastAsia" w:ascii="宋体" w:hAnsi="宋体" w:eastAsia="宋体" w:cs="宋体"/>
          <w:color w:val="000000"/>
          <w:lang w:val="en-US" w:eastAsia="zh-CN"/>
        </w:rPr>
      </w:pPr>
      <w:r>
        <w:rPr>
          <w:rFonts w:hint="eastAsia" w:ascii="宋体" w:hAnsi="宋体" w:eastAsia="宋体" w:cs="宋体"/>
          <w:color w:val="000000"/>
          <w:lang w:val="en-US" w:eastAsia="zh-CN"/>
        </w:rPr>
        <w:t>地 址：</w:t>
      </w:r>
      <w:r>
        <w:rPr>
          <w:rFonts w:hint="eastAsia" w:ascii="宋体" w:hAnsi="宋体" w:cs="宋体"/>
          <w:color w:val="000000"/>
          <w:lang w:val="en-US" w:eastAsia="zh-CN"/>
        </w:rPr>
        <w:t>喀什市深喀东院B12号楼2012室</w:t>
      </w:r>
      <w:r>
        <w:rPr>
          <w:rFonts w:hint="eastAsia" w:ascii="宋体" w:hAnsi="宋体" w:eastAsia="宋体" w:cs="宋体"/>
          <w:color w:val="000000"/>
          <w:lang w:val="en-US" w:eastAsia="zh-CN"/>
        </w:rPr>
        <w:t>　</w:t>
      </w:r>
    </w:p>
    <w:p w14:paraId="0C531602">
      <w:pPr>
        <w:pStyle w:val="89"/>
        <w:keepNext w:val="0"/>
        <w:keepLines w:val="0"/>
        <w:pageBreakBefore w:val="0"/>
        <w:widowControl/>
        <w:kinsoku/>
        <w:wordWrap/>
        <w:overflowPunct/>
        <w:topLinePunct w:val="0"/>
        <w:autoSpaceDE/>
        <w:autoSpaceDN/>
        <w:bidi w:val="0"/>
        <w:adjustRightInd/>
        <w:snapToGrid/>
        <w:spacing w:before="60" w:after="60" w:line="380" w:lineRule="exact"/>
        <w:ind w:firstLine="482"/>
        <w:textAlignment w:val="auto"/>
        <w:rPr>
          <w:rFonts w:hint="eastAsia" w:ascii="宋体" w:hAnsi="宋体" w:eastAsia="宋体" w:cs="宋体"/>
          <w:color w:val="000000"/>
          <w:lang w:val="en-US" w:eastAsia="zh-CN"/>
        </w:rPr>
      </w:pPr>
      <w:r>
        <w:rPr>
          <w:rFonts w:hint="eastAsia" w:ascii="宋体" w:hAnsi="宋体" w:eastAsia="宋体" w:cs="宋体"/>
          <w:color w:val="000000"/>
          <w:lang w:val="en-US" w:eastAsia="zh-CN"/>
        </w:rPr>
        <w:t>联系方式：</w:t>
      </w:r>
      <w:bookmarkStart w:id="399" w:name="_Toc28359087"/>
      <w:bookmarkStart w:id="400" w:name="_Toc28359010"/>
      <w:r>
        <w:rPr>
          <w:rFonts w:hint="eastAsia" w:ascii="宋体" w:hAnsi="宋体" w:cs="宋体"/>
          <w:color w:val="000000"/>
          <w:lang w:val="en-US" w:eastAsia="zh-CN"/>
        </w:rPr>
        <w:t>13031291492</w:t>
      </w:r>
    </w:p>
    <w:p w14:paraId="7E8DA137">
      <w:pPr>
        <w:pStyle w:val="89"/>
        <w:keepNext w:val="0"/>
        <w:keepLines w:val="0"/>
        <w:pageBreakBefore w:val="0"/>
        <w:widowControl/>
        <w:kinsoku/>
        <w:wordWrap/>
        <w:overflowPunct/>
        <w:topLinePunct w:val="0"/>
        <w:autoSpaceDE/>
        <w:autoSpaceDN/>
        <w:bidi w:val="0"/>
        <w:adjustRightInd/>
        <w:snapToGrid/>
        <w:spacing w:before="60" w:after="60" w:line="380" w:lineRule="exact"/>
        <w:ind w:firstLine="482"/>
        <w:textAlignment w:val="auto"/>
        <w:rPr>
          <w:rFonts w:hint="eastAsia" w:ascii="宋体" w:hAnsi="宋体" w:eastAsia="宋体" w:cs="宋体"/>
          <w:color w:val="000000"/>
          <w:lang w:val="en-US" w:eastAsia="zh-CN"/>
        </w:rPr>
      </w:pPr>
      <w:r>
        <w:rPr>
          <w:rFonts w:hint="eastAsia" w:ascii="宋体" w:hAnsi="宋体" w:eastAsia="宋体" w:cs="宋体"/>
          <w:color w:val="000000"/>
          <w:lang w:val="en-US" w:eastAsia="zh-CN"/>
        </w:rPr>
        <w:t>3.项目联系方式</w:t>
      </w:r>
      <w:bookmarkEnd w:id="399"/>
      <w:bookmarkEnd w:id="400"/>
    </w:p>
    <w:p w14:paraId="069BF8E2">
      <w:pPr>
        <w:pStyle w:val="89"/>
        <w:keepNext w:val="0"/>
        <w:keepLines w:val="0"/>
        <w:pageBreakBefore w:val="0"/>
        <w:widowControl/>
        <w:kinsoku/>
        <w:wordWrap/>
        <w:overflowPunct/>
        <w:topLinePunct w:val="0"/>
        <w:autoSpaceDE/>
        <w:autoSpaceDN/>
        <w:bidi w:val="0"/>
        <w:adjustRightInd/>
        <w:snapToGrid/>
        <w:spacing w:before="60" w:after="60" w:line="380" w:lineRule="exact"/>
        <w:ind w:firstLine="482"/>
        <w:textAlignment w:val="auto"/>
        <w:rPr>
          <w:rFonts w:hint="eastAsia" w:ascii="宋体" w:hAnsi="宋体" w:eastAsia="宋体" w:cs="宋体"/>
          <w:color w:val="000000"/>
          <w:lang w:val="en-US" w:eastAsia="zh-CN"/>
        </w:rPr>
      </w:pPr>
      <w:r>
        <w:rPr>
          <w:rFonts w:hint="eastAsia" w:ascii="宋体" w:hAnsi="宋体" w:eastAsia="宋体" w:cs="宋体"/>
          <w:color w:val="000000"/>
          <w:lang w:val="en-US" w:eastAsia="zh-CN"/>
        </w:rPr>
        <w:t>项目联系人：</w:t>
      </w:r>
      <w:r>
        <w:rPr>
          <w:rFonts w:hint="eastAsia" w:ascii="宋体" w:hAnsi="宋体" w:cs="宋体"/>
          <w:color w:val="000000"/>
          <w:lang w:val="en-US" w:eastAsia="zh-CN"/>
        </w:rPr>
        <w:t>程立宇</w:t>
      </w:r>
    </w:p>
    <w:p w14:paraId="59081758">
      <w:pPr>
        <w:pStyle w:val="89"/>
        <w:keepNext w:val="0"/>
        <w:keepLines w:val="0"/>
        <w:pageBreakBefore w:val="0"/>
        <w:widowControl/>
        <w:kinsoku/>
        <w:wordWrap/>
        <w:overflowPunct/>
        <w:topLinePunct w:val="0"/>
        <w:autoSpaceDE/>
        <w:autoSpaceDN/>
        <w:bidi w:val="0"/>
        <w:adjustRightInd/>
        <w:snapToGrid/>
        <w:spacing w:before="60" w:after="60" w:line="380" w:lineRule="exact"/>
        <w:ind w:firstLine="482"/>
        <w:textAlignment w:val="auto"/>
        <w:rPr>
          <w:rFonts w:hint="eastAsia" w:ascii="宋体" w:hAnsi="宋体" w:cs="宋体"/>
          <w:color w:val="auto"/>
          <w:lang w:val="en-US" w:eastAsia="zh-CN"/>
        </w:rPr>
      </w:pPr>
      <w:r>
        <w:rPr>
          <w:rFonts w:hint="eastAsia" w:ascii="宋体" w:hAnsi="宋体" w:eastAsia="宋体" w:cs="宋体"/>
          <w:color w:val="000000"/>
          <w:lang w:val="en-US" w:eastAsia="zh-CN"/>
        </w:rPr>
        <w:t>电 话：</w:t>
      </w:r>
      <w:r>
        <w:rPr>
          <w:rFonts w:hint="eastAsia" w:ascii="宋体" w:hAnsi="宋体" w:cs="宋体"/>
          <w:color w:val="000000"/>
          <w:lang w:val="en-US" w:eastAsia="zh-CN"/>
        </w:rPr>
        <w:t>13031291492</w:t>
      </w:r>
    </w:p>
    <w:p w14:paraId="5EF5E124">
      <w:pPr>
        <w:pStyle w:val="2"/>
        <w:keepNext w:val="0"/>
        <w:keepLines w:val="0"/>
        <w:pageBreakBefore w:val="0"/>
        <w:widowControl w:val="0"/>
        <w:numPr>
          <w:ilvl w:val="0"/>
          <w:numId w:val="0"/>
        </w:numPr>
        <w:tabs>
          <w:tab w:val="left" w:pos="0"/>
        </w:tabs>
        <w:kinsoku/>
        <w:overflowPunct/>
        <w:bidi w:val="0"/>
        <w:spacing w:before="0" w:after="0" w:line="240" w:lineRule="atLeast"/>
        <w:ind w:leftChars="0"/>
        <w:jc w:val="center"/>
        <w:rPr>
          <w:rFonts w:hint="eastAsia" w:ascii="宋体" w:hAnsi="宋体" w:eastAsia="宋体" w:cs="宋体"/>
          <w:color w:val="auto"/>
          <w:sz w:val="24"/>
          <w:highlight w:val="none"/>
        </w:rPr>
      </w:pPr>
      <w:r>
        <w:rPr>
          <w:rFonts w:hint="eastAsia" w:ascii="宋体" w:hAnsi="宋体" w:eastAsia="宋体" w:cs="宋体"/>
          <w:b/>
          <w:color w:val="auto"/>
          <w:highlight w:val="none"/>
          <w:lang w:eastAsia="zh-CN"/>
        </w:rPr>
        <w:t>第</w:t>
      </w:r>
      <w:r>
        <w:rPr>
          <w:rFonts w:hint="eastAsia" w:ascii="宋体" w:hAnsi="宋体" w:eastAsia="宋体" w:cs="宋体"/>
          <w:b/>
          <w:color w:val="auto"/>
          <w:highlight w:val="none"/>
          <w:lang w:val="en-US" w:eastAsia="zh-CN"/>
        </w:rPr>
        <w:t>4</w:t>
      </w:r>
      <w:r>
        <w:rPr>
          <w:rFonts w:hint="eastAsia" w:ascii="宋体" w:hAnsi="宋体" w:eastAsia="宋体" w:cs="宋体"/>
          <w:b/>
          <w:color w:val="auto"/>
          <w:highlight w:val="none"/>
          <w:lang w:eastAsia="zh-CN"/>
        </w:rPr>
        <w:t>章</w:t>
      </w:r>
      <w:r>
        <w:rPr>
          <w:rFonts w:hint="eastAsia" w:ascii="宋体" w:hAnsi="宋体" w:eastAsia="宋体" w:cs="宋体"/>
          <w:b/>
          <w:color w:val="auto"/>
          <w:highlight w:val="none"/>
        </w:rPr>
        <w:t xml:space="preserve"> </w:t>
      </w:r>
      <w:bookmarkStart w:id="401" w:name="_Toc507399903"/>
      <w:bookmarkStart w:id="402" w:name="_Toc512937850"/>
      <w:bookmarkStart w:id="403" w:name="_Toc20439"/>
      <w:bookmarkStart w:id="404" w:name="_Toc31583"/>
      <w:bookmarkStart w:id="405" w:name="_Toc10488"/>
      <w:bookmarkStart w:id="406" w:name="_Toc515647830"/>
      <w:bookmarkStart w:id="407" w:name="_Toc216582823"/>
      <w:r>
        <w:rPr>
          <w:rFonts w:hint="eastAsia" w:ascii="宋体" w:hAnsi="宋体" w:eastAsia="宋体" w:cs="宋体"/>
          <w:color w:val="auto"/>
          <w:highlight w:val="none"/>
        </w:rPr>
        <w:t>投标人须知资料表</w:t>
      </w:r>
      <w:bookmarkEnd w:id="401"/>
      <w:bookmarkEnd w:id="402"/>
      <w:bookmarkEnd w:id="403"/>
      <w:bookmarkEnd w:id="404"/>
      <w:bookmarkEnd w:id="405"/>
      <w:bookmarkEnd w:id="406"/>
      <w:bookmarkEnd w:id="407"/>
    </w:p>
    <w:p w14:paraId="6E4F4CF7">
      <w:pPr>
        <w:keepNext w:val="0"/>
        <w:keepLines w:val="0"/>
        <w:pageBreakBefore w:val="0"/>
        <w:widowControl w:val="0"/>
        <w:kinsoku/>
        <w:overflowPunct/>
        <w:bidi w:val="0"/>
        <w:spacing w:line="240" w:lineRule="atLeast"/>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本表是本招标项目的具体资料，是对投标人须知的具体补充和修改，如有矛盾，应以本资料表为准。</w:t>
      </w:r>
    </w:p>
    <w:tbl>
      <w:tblPr>
        <w:tblStyle w:val="37"/>
        <w:tblW w:w="851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468"/>
        <w:gridCol w:w="7050"/>
      </w:tblGrid>
      <w:tr w14:paraId="6F6261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5" w:hRule="atLeast"/>
        </w:trPr>
        <w:tc>
          <w:tcPr>
            <w:tcW w:w="1468" w:type="dxa"/>
            <w:noWrap w:val="0"/>
            <w:vAlign w:val="center"/>
          </w:tcPr>
          <w:p w14:paraId="29DABD4B">
            <w:pPr>
              <w:spacing w:line="240" w:lineRule="atLeast"/>
              <w:jc w:val="center"/>
              <w:rPr>
                <w:rFonts w:hint="eastAsia" w:ascii="宋体" w:hAnsi="宋体" w:cs="宋体"/>
                <w:color w:val="auto"/>
                <w:sz w:val="24"/>
                <w:highlight w:val="none"/>
              </w:rPr>
            </w:pPr>
            <w:r>
              <w:rPr>
                <w:rFonts w:hint="eastAsia" w:ascii="宋体" w:hAnsi="宋体" w:cs="宋体"/>
                <w:color w:val="auto"/>
                <w:sz w:val="24"/>
                <w:highlight w:val="none"/>
              </w:rPr>
              <w:t>条款号</w:t>
            </w:r>
          </w:p>
        </w:tc>
        <w:tc>
          <w:tcPr>
            <w:tcW w:w="7050" w:type="dxa"/>
            <w:noWrap w:val="0"/>
            <w:vAlign w:val="center"/>
          </w:tcPr>
          <w:p w14:paraId="51CD20B9">
            <w:pPr>
              <w:spacing w:line="240" w:lineRule="atLeast"/>
              <w:jc w:val="center"/>
              <w:rPr>
                <w:rFonts w:hint="eastAsia" w:ascii="宋体" w:hAnsi="宋体" w:cs="宋体"/>
                <w:b/>
                <w:color w:val="auto"/>
                <w:sz w:val="24"/>
                <w:highlight w:val="none"/>
              </w:rPr>
            </w:pPr>
            <w:r>
              <w:rPr>
                <w:rFonts w:hint="eastAsia" w:ascii="宋体" w:hAnsi="宋体" w:cs="宋体"/>
                <w:b/>
                <w:color w:val="auto"/>
                <w:sz w:val="24"/>
                <w:highlight w:val="none"/>
              </w:rPr>
              <w:t>内      容</w:t>
            </w:r>
          </w:p>
        </w:tc>
      </w:tr>
      <w:tr w14:paraId="77359E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468" w:type="dxa"/>
            <w:noWrap w:val="0"/>
            <w:vAlign w:val="center"/>
          </w:tcPr>
          <w:p w14:paraId="4A985C87">
            <w:pPr>
              <w:spacing w:line="240" w:lineRule="atLeast"/>
              <w:ind w:left="1080" w:leftChars="257" w:hanging="540"/>
              <w:rPr>
                <w:rFonts w:hint="eastAsia" w:ascii="宋体" w:hAnsi="宋体" w:cs="宋体"/>
                <w:color w:val="auto"/>
                <w:sz w:val="24"/>
                <w:highlight w:val="none"/>
              </w:rPr>
            </w:pPr>
            <w:r>
              <w:rPr>
                <w:rFonts w:hint="eastAsia" w:ascii="宋体" w:hAnsi="宋体" w:cs="宋体"/>
                <w:color w:val="auto"/>
                <w:sz w:val="24"/>
                <w:highlight w:val="none"/>
              </w:rPr>
              <w:t>1.1</w:t>
            </w:r>
          </w:p>
        </w:tc>
        <w:tc>
          <w:tcPr>
            <w:tcW w:w="7050" w:type="dxa"/>
            <w:noWrap w:val="0"/>
            <w:vAlign w:val="center"/>
          </w:tcPr>
          <w:p w14:paraId="0BC22E2C">
            <w:pPr>
              <w:spacing w:line="240" w:lineRule="atLeas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采 购 人：</w:t>
            </w:r>
            <w:r>
              <w:rPr>
                <w:rFonts w:hint="eastAsia" w:ascii="宋体" w:hAnsi="宋体" w:cs="宋体"/>
                <w:color w:val="auto"/>
                <w:sz w:val="24"/>
                <w:highlight w:val="none"/>
                <w:lang w:eastAsia="zh-CN"/>
              </w:rPr>
              <w:t>喀什市文化体育广播电视和旅游局</w:t>
            </w:r>
          </w:p>
          <w:p w14:paraId="02F370AB">
            <w:pPr>
              <w:spacing w:line="240" w:lineRule="atLeast"/>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eastAsia="zh-CN"/>
              </w:rPr>
              <w:t>联系方式：</w:t>
            </w:r>
            <w:r>
              <w:rPr>
                <w:rFonts w:hint="eastAsia" w:ascii="宋体" w:hAnsi="宋体" w:cs="宋体"/>
                <w:color w:val="000000"/>
                <w:sz w:val="24"/>
                <w:szCs w:val="24"/>
                <w:lang w:val="en-US" w:eastAsia="zh-CN"/>
              </w:rPr>
              <w:t>14799124315</w:t>
            </w:r>
          </w:p>
        </w:tc>
      </w:tr>
      <w:tr w14:paraId="7FE64F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468" w:type="dxa"/>
            <w:noWrap w:val="0"/>
            <w:vAlign w:val="center"/>
          </w:tcPr>
          <w:p w14:paraId="5A2B992E">
            <w:pPr>
              <w:spacing w:line="240" w:lineRule="atLeast"/>
              <w:ind w:left="1080" w:leftChars="257" w:hanging="540"/>
              <w:rPr>
                <w:rFonts w:hint="eastAsia" w:ascii="宋体" w:hAnsi="宋体" w:cs="宋体"/>
                <w:color w:val="auto"/>
                <w:sz w:val="24"/>
                <w:highlight w:val="none"/>
              </w:rPr>
            </w:pPr>
            <w:r>
              <w:rPr>
                <w:rFonts w:hint="eastAsia" w:ascii="宋体" w:hAnsi="宋体" w:cs="宋体"/>
                <w:color w:val="auto"/>
                <w:sz w:val="24"/>
                <w:highlight w:val="none"/>
              </w:rPr>
              <w:t>1.2</w:t>
            </w:r>
          </w:p>
        </w:tc>
        <w:tc>
          <w:tcPr>
            <w:tcW w:w="7050" w:type="dxa"/>
            <w:noWrap w:val="0"/>
            <w:vAlign w:val="center"/>
          </w:tcPr>
          <w:p w14:paraId="0089EFB6">
            <w:pPr>
              <w:spacing w:line="240" w:lineRule="atLeas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采购代理机构：</w:t>
            </w:r>
            <w:r>
              <w:rPr>
                <w:rFonts w:hint="eastAsia" w:ascii="宋体" w:hAnsi="宋体" w:cs="宋体"/>
                <w:color w:val="auto"/>
                <w:sz w:val="24"/>
                <w:highlight w:val="none"/>
                <w:lang w:eastAsia="zh-CN"/>
              </w:rPr>
              <w:t>新疆锦程项目管理有限公司</w:t>
            </w:r>
          </w:p>
          <w:p w14:paraId="06808591">
            <w:pPr>
              <w:spacing w:line="240" w:lineRule="atLeas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地址：</w:t>
            </w:r>
            <w:r>
              <w:rPr>
                <w:rFonts w:hint="eastAsia" w:ascii="宋体" w:hAnsi="宋体" w:cs="宋体"/>
                <w:color w:val="auto"/>
                <w:sz w:val="24"/>
                <w:highlight w:val="none"/>
                <w:lang w:eastAsia="zh-CN"/>
              </w:rPr>
              <w:t>喀什市深喀东院B12号楼2012室</w:t>
            </w:r>
          </w:p>
          <w:p w14:paraId="18AE12CE">
            <w:pPr>
              <w:spacing w:line="240" w:lineRule="atLeas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业务联系人：</w:t>
            </w:r>
            <w:r>
              <w:rPr>
                <w:rFonts w:hint="eastAsia" w:ascii="宋体" w:hAnsi="宋体" w:cs="宋体"/>
                <w:color w:val="auto"/>
                <w:sz w:val="24"/>
                <w:highlight w:val="none"/>
                <w:lang w:eastAsia="zh-CN"/>
              </w:rPr>
              <w:t>程立宇</w:t>
            </w:r>
            <w:r>
              <w:rPr>
                <w:rFonts w:hint="eastAsia" w:ascii="宋体" w:hAnsi="宋体" w:eastAsia="宋体" w:cs="宋体"/>
                <w:color w:val="auto"/>
                <w:sz w:val="24"/>
                <w:highlight w:val="none"/>
                <w:lang w:eastAsia="zh-CN"/>
              </w:rPr>
              <w:t xml:space="preserve"> 电</w:t>
            </w:r>
            <w:r>
              <w:rPr>
                <w:rFonts w:hint="eastAsia" w:ascii="宋体" w:hAnsi="宋体" w:eastAsia="宋体" w:cs="宋体"/>
                <w:color w:val="auto"/>
                <w:sz w:val="24"/>
                <w:highlight w:val="none"/>
                <w:lang w:val="en-US" w:eastAsia="zh-CN"/>
              </w:rPr>
              <w:t>话：</w:t>
            </w:r>
            <w:r>
              <w:rPr>
                <w:rFonts w:hint="eastAsia" w:ascii="宋体" w:hAnsi="宋体" w:cs="宋体"/>
                <w:color w:val="auto"/>
                <w:sz w:val="24"/>
                <w:highlight w:val="none"/>
                <w:lang w:eastAsia="zh-CN"/>
              </w:rPr>
              <w:t>13031291492</w:t>
            </w:r>
          </w:p>
        </w:tc>
      </w:tr>
      <w:tr w14:paraId="36E29F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29" w:hRule="atLeast"/>
        </w:trPr>
        <w:tc>
          <w:tcPr>
            <w:tcW w:w="1468" w:type="dxa"/>
            <w:noWrap w:val="0"/>
            <w:vAlign w:val="center"/>
          </w:tcPr>
          <w:p w14:paraId="06FA9166">
            <w:pPr>
              <w:spacing w:line="240" w:lineRule="atLeast"/>
              <w:ind w:left="1080" w:leftChars="257" w:hanging="540"/>
              <w:rPr>
                <w:rFonts w:hint="eastAsia" w:ascii="宋体" w:hAnsi="宋体" w:cs="宋体"/>
                <w:color w:val="auto"/>
                <w:sz w:val="24"/>
                <w:highlight w:val="none"/>
              </w:rPr>
            </w:pPr>
            <w:r>
              <w:rPr>
                <w:rFonts w:hint="eastAsia" w:ascii="宋体" w:hAnsi="宋体" w:cs="宋体"/>
                <w:color w:val="auto"/>
                <w:sz w:val="24"/>
                <w:highlight w:val="none"/>
              </w:rPr>
              <w:t>1.3.4</w:t>
            </w:r>
          </w:p>
        </w:tc>
        <w:tc>
          <w:tcPr>
            <w:tcW w:w="7050" w:type="dxa"/>
            <w:noWrap w:val="0"/>
            <w:vAlign w:val="center"/>
          </w:tcPr>
          <w:p w14:paraId="72F3FB10">
            <w:pPr>
              <w:widowControl/>
              <w:spacing w:line="300" w:lineRule="exact"/>
              <w:rPr>
                <w:rFonts w:hint="eastAsia" w:ascii="宋体" w:hAnsi="宋体" w:cs="宋体"/>
                <w:color w:val="auto"/>
                <w:sz w:val="24"/>
                <w:highlight w:val="none"/>
              </w:rPr>
            </w:pPr>
            <w:r>
              <w:rPr>
                <w:rFonts w:hint="eastAsia" w:ascii="宋体" w:hAnsi="宋体" w:cs="宋体"/>
                <w:color w:val="auto"/>
                <w:sz w:val="24"/>
                <w:highlight w:val="none"/>
              </w:rPr>
              <w:t>合格投标人的资格要求：</w:t>
            </w:r>
          </w:p>
          <w:p w14:paraId="12BCB27B">
            <w:pPr>
              <w:pStyle w:val="4"/>
              <w:ind w:firstLine="0"/>
              <w:rPr>
                <w:rFonts w:hint="eastAsia" w:ascii="宋体" w:hAnsi="宋体" w:eastAsia="宋体" w:cs="宋体"/>
                <w:b/>
                <w:bCs/>
                <w:color w:val="auto"/>
                <w:szCs w:val="24"/>
                <w:highlight w:val="none"/>
                <w:lang w:val="en-US" w:eastAsia="zh-CN"/>
              </w:rPr>
            </w:pPr>
            <w:r>
              <w:rPr>
                <w:rFonts w:hint="eastAsia" w:ascii="宋体" w:hAnsi="宋体" w:eastAsia="宋体" w:cs="宋体"/>
                <w:b/>
                <w:bCs/>
                <w:color w:val="auto"/>
                <w:szCs w:val="24"/>
                <w:highlight w:val="none"/>
              </w:rPr>
              <w:t>1.满足《中华人</w:t>
            </w:r>
            <w:r>
              <w:rPr>
                <w:rFonts w:hint="eastAsia" w:ascii="宋体" w:hAnsi="宋体" w:eastAsia="宋体" w:cs="宋体"/>
                <w:b/>
                <w:bCs/>
                <w:color w:val="auto"/>
                <w:szCs w:val="24"/>
                <w:highlight w:val="none"/>
                <w:lang w:val="en-US" w:eastAsia="zh-CN"/>
              </w:rPr>
              <w:t>民共和国政府采购法》第二十二条规定；</w:t>
            </w:r>
          </w:p>
          <w:p w14:paraId="2E8B4B78">
            <w:pPr>
              <w:pStyle w:val="4"/>
              <w:ind w:firstLine="0"/>
              <w:rPr>
                <w:rFonts w:hint="eastAsia" w:ascii="宋体" w:hAnsi="宋体" w:eastAsia="宋体" w:cs="宋体"/>
                <w:b/>
                <w:bCs/>
                <w:color w:val="auto"/>
                <w:szCs w:val="24"/>
                <w:highlight w:val="none"/>
                <w:lang w:val="en-US" w:eastAsia="zh-CN"/>
              </w:rPr>
            </w:pPr>
            <w:r>
              <w:rPr>
                <w:rFonts w:hint="eastAsia" w:ascii="宋体" w:hAnsi="宋体" w:eastAsia="宋体" w:cs="宋体"/>
                <w:b/>
                <w:bCs/>
                <w:color w:val="auto"/>
                <w:szCs w:val="24"/>
                <w:highlight w:val="none"/>
                <w:lang w:val="en-US" w:eastAsia="zh-CN"/>
              </w:rPr>
              <w:t>2.</w:t>
            </w:r>
            <w:r>
              <w:rPr>
                <w:rFonts w:hint="eastAsia" w:hAnsi="宋体" w:cs="宋体"/>
                <w:b/>
                <w:bCs/>
                <w:color w:val="auto"/>
                <w:szCs w:val="24"/>
                <w:highlight w:val="none"/>
                <w:lang w:val="en-US" w:eastAsia="zh-CN"/>
              </w:rPr>
              <w:t>单位三证合一营业执照</w:t>
            </w:r>
            <w:r>
              <w:rPr>
                <w:rFonts w:hint="eastAsia" w:ascii="宋体" w:hAnsi="宋体" w:eastAsia="宋体" w:cs="宋体"/>
                <w:b/>
                <w:bCs/>
                <w:color w:val="auto"/>
                <w:szCs w:val="24"/>
                <w:highlight w:val="none"/>
                <w:lang w:val="en-US" w:eastAsia="zh-CN"/>
              </w:rPr>
              <w:t>；</w:t>
            </w:r>
          </w:p>
          <w:p w14:paraId="51919A12">
            <w:pPr>
              <w:pStyle w:val="4"/>
              <w:ind w:firstLine="0"/>
              <w:rPr>
                <w:rFonts w:hint="eastAsia" w:ascii="宋体" w:hAnsi="宋体" w:eastAsia="宋体" w:cs="宋体"/>
                <w:b/>
                <w:bCs/>
                <w:color w:val="auto"/>
                <w:szCs w:val="24"/>
                <w:highlight w:val="none"/>
                <w:lang w:val="en-US" w:eastAsia="zh-CN"/>
              </w:rPr>
            </w:pPr>
            <w:r>
              <w:rPr>
                <w:rFonts w:hint="eastAsia" w:hAnsi="宋体" w:cs="宋体"/>
                <w:b/>
                <w:bCs/>
                <w:color w:val="auto"/>
                <w:szCs w:val="24"/>
                <w:highlight w:val="none"/>
                <w:lang w:val="en-US" w:eastAsia="zh-CN"/>
              </w:rPr>
              <w:t>3</w:t>
            </w:r>
            <w:r>
              <w:rPr>
                <w:rFonts w:hint="eastAsia" w:ascii="宋体" w:hAnsi="宋体" w:eastAsia="宋体" w:cs="宋体"/>
                <w:b/>
                <w:bCs/>
                <w:color w:val="auto"/>
                <w:szCs w:val="24"/>
                <w:highlight w:val="none"/>
                <w:lang w:val="en-US" w:eastAsia="zh-CN"/>
              </w:rPr>
              <w:t>.法人投标的需提供法定代表人身份证明书；被授权委托人需提供法人授权委托书；</w:t>
            </w:r>
          </w:p>
          <w:p w14:paraId="6C663B30">
            <w:pPr>
              <w:pStyle w:val="4"/>
              <w:ind w:firstLine="0"/>
              <w:rPr>
                <w:rFonts w:hint="eastAsia" w:ascii="宋体" w:hAnsi="宋体" w:eastAsia="宋体" w:cs="宋体"/>
                <w:b/>
                <w:bCs/>
                <w:color w:val="auto"/>
                <w:szCs w:val="24"/>
                <w:highlight w:val="none"/>
                <w:lang w:val="en-US" w:eastAsia="zh-CN"/>
              </w:rPr>
            </w:pPr>
            <w:r>
              <w:rPr>
                <w:rFonts w:hint="eastAsia" w:hAnsi="宋体" w:cs="宋体"/>
                <w:b/>
                <w:bCs/>
                <w:color w:val="auto"/>
                <w:szCs w:val="24"/>
                <w:highlight w:val="none"/>
                <w:lang w:val="en-US" w:eastAsia="zh-CN"/>
              </w:rPr>
              <w:t>4</w:t>
            </w:r>
            <w:r>
              <w:rPr>
                <w:rFonts w:hint="eastAsia" w:ascii="宋体" w:hAnsi="宋体" w:eastAsia="宋体" w:cs="宋体"/>
                <w:b/>
                <w:bCs/>
                <w:color w:val="auto"/>
                <w:szCs w:val="24"/>
                <w:highlight w:val="none"/>
                <w:lang w:val="en-US" w:eastAsia="zh-CN"/>
              </w:rPr>
              <w:t>.</w:t>
            </w:r>
            <w:r>
              <w:rPr>
                <w:rFonts w:hint="eastAsia" w:hAnsi="宋体" w:cs="宋体"/>
                <w:b/>
                <w:bCs/>
                <w:color w:val="auto"/>
                <w:szCs w:val="24"/>
                <w:highlight w:val="none"/>
                <w:lang w:val="en-US" w:eastAsia="zh-CN"/>
              </w:rPr>
              <w:t>2024年度或2025年度经会计事务所出具财务审计报告；（2026年新成立的公司须提供近三个月任意一个月的银行资信证明）</w:t>
            </w:r>
            <w:r>
              <w:rPr>
                <w:rFonts w:hint="eastAsia" w:ascii="宋体" w:hAnsi="宋体" w:eastAsia="宋体" w:cs="宋体"/>
                <w:b/>
                <w:bCs/>
                <w:color w:val="auto"/>
                <w:szCs w:val="24"/>
                <w:highlight w:val="none"/>
                <w:lang w:val="en-US" w:eastAsia="zh-CN"/>
              </w:rPr>
              <w:t>；</w:t>
            </w:r>
          </w:p>
          <w:p w14:paraId="6488FCB6">
            <w:pPr>
              <w:pStyle w:val="4"/>
              <w:ind w:firstLine="0"/>
              <w:rPr>
                <w:rFonts w:hint="eastAsia" w:ascii="宋体" w:hAnsi="宋体" w:eastAsia="宋体" w:cs="宋体"/>
                <w:b/>
                <w:bCs/>
                <w:color w:val="auto"/>
                <w:szCs w:val="24"/>
                <w:highlight w:val="none"/>
                <w:lang w:val="en-US" w:eastAsia="zh-CN"/>
              </w:rPr>
            </w:pPr>
            <w:r>
              <w:rPr>
                <w:rFonts w:hint="eastAsia" w:hAnsi="宋体" w:cs="宋体"/>
                <w:b/>
                <w:bCs/>
                <w:color w:val="auto"/>
                <w:szCs w:val="24"/>
                <w:highlight w:val="none"/>
                <w:lang w:val="en-US" w:eastAsia="zh-CN"/>
              </w:rPr>
              <w:t>5</w:t>
            </w:r>
            <w:r>
              <w:rPr>
                <w:rFonts w:hint="eastAsia" w:ascii="宋体" w:hAnsi="宋体" w:eastAsia="宋体" w:cs="宋体"/>
                <w:b/>
                <w:bCs/>
                <w:color w:val="auto"/>
                <w:szCs w:val="24"/>
                <w:highlight w:val="none"/>
                <w:lang w:val="en-US" w:eastAsia="zh-CN"/>
              </w:rPr>
              <w:t>.依法缴纳近六个月中任意一个月的社保凭证；依法缴纳近六个月任意一个月的税收良好记录证明（零申报需加盖税务机关章、无拖欠税收证明需加盖税务机关章、完税证明为非社保缴纳明细）；</w:t>
            </w:r>
          </w:p>
          <w:p w14:paraId="4698415F">
            <w:pPr>
              <w:pStyle w:val="4"/>
              <w:ind w:firstLine="0"/>
              <w:rPr>
                <w:rFonts w:hint="eastAsia" w:ascii="宋体" w:hAnsi="宋体" w:eastAsia="宋体" w:cs="宋体"/>
                <w:b/>
                <w:bCs/>
                <w:color w:val="auto"/>
                <w:szCs w:val="24"/>
                <w:highlight w:val="none"/>
                <w:lang w:val="en-US" w:eastAsia="zh-CN"/>
              </w:rPr>
            </w:pPr>
            <w:r>
              <w:rPr>
                <w:rFonts w:hint="eastAsia" w:hAnsi="宋体" w:cs="宋体"/>
                <w:b/>
                <w:bCs/>
                <w:color w:val="auto"/>
                <w:szCs w:val="24"/>
                <w:highlight w:val="none"/>
                <w:lang w:val="en-US" w:eastAsia="zh-CN"/>
              </w:rPr>
              <w:t>6</w:t>
            </w:r>
            <w:r>
              <w:rPr>
                <w:rFonts w:hint="eastAsia" w:ascii="宋体" w:hAnsi="宋体" w:eastAsia="宋体" w:cs="宋体"/>
                <w:b/>
                <w:bCs/>
                <w:color w:val="auto"/>
                <w:szCs w:val="24"/>
                <w:highlight w:val="none"/>
                <w:lang w:val="en-US" w:eastAsia="zh-CN"/>
              </w:rPr>
              <w:t>.</w:t>
            </w:r>
            <w:r>
              <w:rPr>
                <w:rFonts w:hint="eastAsia" w:hAnsi="宋体" w:cs="宋体"/>
                <w:b/>
                <w:bCs/>
                <w:color w:val="auto"/>
                <w:szCs w:val="24"/>
                <w:highlight w:val="none"/>
                <w:lang w:val="en-US" w:eastAsia="zh-CN"/>
              </w:rPr>
              <w:t>未被“信用中国”网站列入严重失信、经营异常，“中国政府采购网”网站列入政府采购严重违法失信行为信息记录名单（处罚期限尚未届满的）的；“国家企业信用信息公示系统”被列入经营异常名录信息、列入严重违法失信企业名单（黑名单）的企业</w:t>
            </w:r>
            <w:r>
              <w:rPr>
                <w:rFonts w:hint="eastAsia" w:ascii="宋体" w:hAnsi="宋体" w:eastAsia="宋体" w:cs="宋体"/>
                <w:b/>
                <w:bCs/>
                <w:color w:val="auto"/>
                <w:szCs w:val="24"/>
                <w:highlight w:val="none"/>
                <w:lang w:val="en-US" w:eastAsia="zh-CN"/>
              </w:rPr>
              <w:t>，附网站截图或报告；</w:t>
            </w:r>
          </w:p>
          <w:p w14:paraId="226B0C84">
            <w:pPr>
              <w:pStyle w:val="4"/>
              <w:ind w:firstLine="0"/>
              <w:rPr>
                <w:rFonts w:hint="eastAsia" w:ascii="宋体" w:hAnsi="宋体" w:eastAsia="宋体" w:cs="宋体"/>
                <w:b/>
                <w:bCs/>
                <w:color w:val="auto"/>
                <w:szCs w:val="24"/>
                <w:highlight w:val="none"/>
                <w:lang w:val="en-US" w:eastAsia="zh-CN"/>
              </w:rPr>
            </w:pPr>
            <w:r>
              <w:rPr>
                <w:rFonts w:hint="eastAsia" w:hAnsi="宋体" w:cs="宋体"/>
                <w:b/>
                <w:bCs/>
                <w:color w:val="auto"/>
                <w:szCs w:val="24"/>
                <w:highlight w:val="none"/>
                <w:lang w:val="en-US" w:eastAsia="zh-CN"/>
              </w:rPr>
              <w:t>7</w:t>
            </w:r>
            <w:r>
              <w:rPr>
                <w:rFonts w:hint="eastAsia" w:ascii="宋体" w:hAnsi="宋体" w:eastAsia="宋体" w:cs="宋体"/>
                <w:b/>
                <w:bCs/>
                <w:color w:val="auto"/>
                <w:szCs w:val="24"/>
                <w:highlight w:val="none"/>
                <w:lang w:val="en-US" w:eastAsia="zh-CN"/>
              </w:rPr>
              <w:t>.投标单位（</w:t>
            </w:r>
            <w:r>
              <w:rPr>
                <w:rFonts w:hint="eastAsia" w:hAnsi="宋体" w:cs="宋体"/>
                <w:b/>
                <w:bCs/>
                <w:color w:val="auto"/>
                <w:szCs w:val="24"/>
                <w:highlight w:val="none"/>
                <w:lang w:val="en-US" w:eastAsia="zh-CN"/>
              </w:rPr>
              <w:t>投标人</w:t>
            </w:r>
            <w:r>
              <w:rPr>
                <w:rFonts w:hint="eastAsia" w:ascii="宋体" w:hAnsi="宋体" w:eastAsia="宋体" w:cs="宋体"/>
                <w:b/>
                <w:bCs/>
                <w:color w:val="auto"/>
                <w:szCs w:val="24"/>
                <w:highlight w:val="none"/>
                <w:lang w:val="en-US" w:eastAsia="zh-CN"/>
              </w:rPr>
              <w:t>）提供针对本次项目《反商业贿赂承诺书》；</w:t>
            </w:r>
          </w:p>
          <w:p w14:paraId="324A96C9">
            <w:pPr>
              <w:pStyle w:val="4"/>
              <w:ind w:firstLine="0"/>
              <w:rPr>
                <w:rFonts w:hint="eastAsia" w:ascii="宋体" w:hAnsi="宋体" w:eastAsia="宋体" w:cs="宋体"/>
                <w:b/>
                <w:bCs/>
                <w:color w:val="auto"/>
                <w:szCs w:val="24"/>
                <w:highlight w:val="none"/>
                <w:lang w:val="en-US" w:eastAsia="zh-CN"/>
              </w:rPr>
            </w:pPr>
            <w:r>
              <w:rPr>
                <w:rFonts w:hint="eastAsia" w:hAnsi="宋体" w:cs="宋体"/>
                <w:b/>
                <w:bCs/>
                <w:color w:val="auto"/>
                <w:szCs w:val="24"/>
                <w:highlight w:val="none"/>
                <w:lang w:val="en-US" w:eastAsia="zh-CN"/>
              </w:rPr>
              <w:t>8</w:t>
            </w:r>
            <w:r>
              <w:rPr>
                <w:rFonts w:hint="eastAsia" w:ascii="宋体" w:hAnsi="宋体" w:eastAsia="宋体" w:cs="宋体"/>
                <w:b/>
                <w:bCs/>
                <w:color w:val="auto"/>
                <w:szCs w:val="24"/>
                <w:highlight w:val="none"/>
                <w:lang w:val="en-US" w:eastAsia="zh-CN"/>
              </w:rPr>
              <w:t>.参加政府采购活动近3年内，在经营活动中没有重大违法记录的书面声明；</w:t>
            </w:r>
          </w:p>
          <w:p w14:paraId="309B02D4">
            <w:pPr>
              <w:pStyle w:val="4"/>
              <w:ind w:firstLine="0"/>
              <w:rPr>
                <w:rFonts w:hint="eastAsia" w:ascii="宋体" w:hAnsi="宋体" w:cs="宋体"/>
                <w:color w:val="auto"/>
                <w:sz w:val="24"/>
                <w:highlight w:val="none"/>
              </w:rPr>
            </w:pPr>
            <w:r>
              <w:rPr>
                <w:rFonts w:hint="eastAsia" w:hAnsi="宋体" w:cs="宋体"/>
                <w:b/>
                <w:bCs/>
                <w:color w:val="auto"/>
                <w:szCs w:val="24"/>
                <w:highlight w:val="none"/>
                <w:lang w:val="en-US" w:eastAsia="zh-CN"/>
              </w:rPr>
              <w:t>9</w:t>
            </w:r>
            <w:r>
              <w:rPr>
                <w:rFonts w:hint="eastAsia" w:ascii="宋体" w:hAnsi="宋体" w:eastAsia="宋体" w:cs="宋体"/>
                <w:b/>
                <w:bCs/>
                <w:color w:val="auto"/>
                <w:szCs w:val="24"/>
                <w:highlight w:val="none"/>
                <w:lang w:val="en-US" w:eastAsia="zh-CN"/>
              </w:rPr>
              <w:t>.投标保证金缴纳凭证或投标保函；</w:t>
            </w:r>
            <w:r>
              <w:rPr>
                <w:rFonts w:hint="eastAsia" w:ascii="宋体" w:hAnsi="宋体" w:eastAsia="宋体" w:cs="宋体"/>
                <w:b/>
                <w:bCs/>
                <w:color w:val="auto"/>
                <w:szCs w:val="24"/>
                <w:highlight w:val="none"/>
              </w:rPr>
              <w:t xml:space="preserve"> </w:t>
            </w:r>
          </w:p>
        </w:tc>
      </w:tr>
      <w:tr w14:paraId="7599B8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8" w:hRule="atLeast"/>
        </w:trPr>
        <w:tc>
          <w:tcPr>
            <w:tcW w:w="1468" w:type="dxa"/>
            <w:noWrap w:val="0"/>
            <w:vAlign w:val="center"/>
          </w:tcPr>
          <w:p w14:paraId="1121A026">
            <w:pPr>
              <w:spacing w:line="240" w:lineRule="atLeast"/>
              <w:ind w:left="1080" w:leftChars="257" w:hanging="540"/>
              <w:rPr>
                <w:rFonts w:hint="eastAsia" w:ascii="宋体" w:hAnsi="宋体" w:cs="宋体"/>
                <w:color w:val="auto"/>
                <w:sz w:val="24"/>
                <w:highlight w:val="none"/>
              </w:rPr>
            </w:pPr>
            <w:r>
              <w:rPr>
                <w:rFonts w:hint="eastAsia" w:ascii="宋体" w:hAnsi="宋体" w:cs="宋体"/>
                <w:color w:val="auto"/>
                <w:sz w:val="24"/>
                <w:highlight w:val="none"/>
              </w:rPr>
              <w:t xml:space="preserve">1.3.5   </w:t>
            </w:r>
          </w:p>
        </w:tc>
        <w:tc>
          <w:tcPr>
            <w:tcW w:w="7050" w:type="dxa"/>
            <w:noWrap w:val="0"/>
            <w:vAlign w:val="center"/>
          </w:tcPr>
          <w:p w14:paraId="20CA9B8B">
            <w:pPr>
              <w:spacing w:line="240" w:lineRule="atLeast"/>
              <w:rPr>
                <w:rFonts w:hint="eastAsia" w:ascii="宋体" w:hAnsi="宋体" w:cs="宋体"/>
                <w:color w:val="auto"/>
                <w:sz w:val="24"/>
                <w:highlight w:val="none"/>
              </w:rPr>
            </w:pPr>
            <w:r>
              <w:rPr>
                <w:rFonts w:hint="eastAsia" w:ascii="宋体" w:hAnsi="宋体" w:cs="宋体"/>
                <w:color w:val="auto"/>
                <w:sz w:val="24"/>
                <w:highlight w:val="none"/>
              </w:rPr>
              <w:t>是否允许采购进口产品：</w:t>
            </w:r>
            <w:r>
              <w:rPr>
                <w:rFonts w:hint="eastAsia" w:ascii="宋体" w:hAnsi="宋体" w:cs="宋体"/>
                <w:color w:val="auto"/>
                <w:sz w:val="24"/>
                <w:highlight w:val="none"/>
                <w:u w:val="single"/>
              </w:rPr>
              <w:t>否</w:t>
            </w:r>
          </w:p>
        </w:tc>
      </w:tr>
      <w:tr w14:paraId="5C207C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7" w:hRule="atLeast"/>
        </w:trPr>
        <w:tc>
          <w:tcPr>
            <w:tcW w:w="1468" w:type="dxa"/>
            <w:noWrap w:val="0"/>
            <w:vAlign w:val="center"/>
          </w:tcPr>
          <w:p w14:paraId="2AE71111">
            <w:pPr>
              <w:spacing w:line="240" w:lineRule="atLeast"/>
              <w:ind w:left="1080" w:leftChars="257" w:hanging="540"/>
              <w:rPr>
                <w:rFonts w:hint="eastAsia" w:ascii="宋体" w:hAnsi="宋体" w:cs="宋体"/>
                <w:color w:val="auto"/>
                <w:sz w:val="24"/>
                <w:highlight w:val="none"/>
              </w:rPr>
            </w:pPr>
            <w:r>
              <w:rPr>
                <w:rFonts w:hint="eastAsia" w:ascii="宋体" w:hAnsi="宋体" w:cs="宋体"/>
                <w:color w:val="auto"/>
                <w:sz w:val="24"/>
                <w:highlight w:val="none"/>
              </w:rPr>
              <w:t>1.3.6</w:t>
            </w:r>
          </w:p>
        </w:tc>
        <w:tc>
          <w:tcPr>
            <w:tcW w:w="7050" w:type="dxa"/>
            <w:noWrap w:val="0"/>
            <w:vAlign w:val="center"/>
          </w:tcPr>
          <w:p w14:paraId="743A0999">
            <w:pPr>
              <w:spacing w:line="240" w:lineRule="atLeast"/>
              <w:rPr>
                <w:rFonts w:hint="eastAsia" w:ascii="宋体" w:hAnsi="宋体" w:eastAsia="宋体" w:cs="宋体"/>
                <w:color w:val="auto"/>
                <w:sz w:val="24"/>
                <w:highlight w:val="none"/>
                <w:lang w:eastAsia="zh-CN"/>
              </w:rPr>
            </w:pPr>
            <w:r>
              <w:rPr>
                <w:rFonts w:hint="eastAsia" w:ascii="宋体" w:hAnsi="宋体" w:cs="宋体"/>
                <w:color w:val="auto"/>
                <w:sz w:val="24"/>
                <w:highlight w:val="none"/>
              </w:rPr>
              <w:t>是否为专门面向中小企业采购：</w:t>
            </w:r>
            <w:r>
              <w:rPr>
                <w:rFonts w:hint="eastAsia" w:ascii="宋体" w:hAnsi="宋体" w:cs="宋体"/>
                <w:color w:val="auto"/>
                <w:sz w:val="24"/>
                <w:highlight w:val="none"/>
                <w:u w:val="single"/>
                <w:lang w:val="en-US" w:eastAsia="zh-CN"/>
              </w:rPr>
              <w:t>是</w:t>
            </w:r>
          </w:p>
        </w:tc>
      </w:tr>
      <w:tr w14:paraId="58AC72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4" w:hRule="atLeast"/>
        </w:trPr>
        <w:tc>
          <w:tcPr>
            <w:tcW w:w="1468" w:type="dxa"/>
            <w:noWrap w:val="0"/>
            <w:vAlign w:val="center"/>
          </w:tcPr>
          <w:p w14:paraId="6B0FEB39">
            <w:pPr>
              <w:spacing w:line="240" w:lineRule="atLeast"/>
              <w:ind w:left="1080" w:leftChars="257" w:hanging="540"/>
              <w:rPr>
                <w:rFonts w:hint="eastAsia" w:ascii="宋体" w:hAnsi="宋体" w:cs="宋体"/>
                <w:color w:val="auto"/>
                <w:sz w:val="24"/>
                <w:highlight w:val="none"/>
              </w:rPr>
            </w:pPr>
            <w:r>
              <w:rPr>
                <w:rFonts w:hint="eastAsia" w:ascii="宋体" w:hAnsi="宋体" w:cs="宋体"/>
                <w:color w:val="auto"/>
                <w:sz w:val="24"/>
                <w:highlight w:val="none"/>
              </w:rPr>
              <w:t>1.4</w:t>
            </w:r>
          </w:p>
        </w:tc>
        <w:tc>
          <w:tcPr>
            <w:tcW w:w="7050" w:type="dxa"/>
            <w:noWrap w:val="0"/>
            <w:vAlign w:val="center"/>
          </w:tcPr>
          <w:p w14:paraId="48DAD389">
            <w:pPr>
              <w:spacing w:line="240" w:lineRule="atLeast"/>
              <w:rPr>
                <w:rFonts w:hint="eastAsia" w:ascii="宋体" w:hAnsi="宋体" w:cs="宋体"/>
                <w:color w:val="auto"/>
                <w:sz w:val="24"/>
                <w:highlight w:val="none"/>
              </w:rPr>
            </w:pPr>
            <w:r>
              <w:rPr>
                <w:rFonts w:hint="eastAsia" w:ascii="宋体" w:hAnsi="宋体" w:cs="宋体"/>
                <w:color w:val="auto"/>
                <w:sz w:val="24"/>
                <w:highlight w:val="none"/>
              </w:rPr>
              <w:t>是否允许联合体投标：</w:t>
            </w:r>
            <w:r>
              <w:rPr>
                <w:rFonts w:hint="eastAsia" w:ascii="宋体" w:hAnsi="宋体" w:cs="宋体"/>
                <w:color w:val="auto"/>
                <w:sz w:val="24"/>
                <w:highlight w:val="none"/>
                <w:u w:val="single"/>
              </w:rPr>
              <w:t>否</w:t>
            </w:r>
          </w:p>
        </w:tc>
      </w:tr>
      <w:tr w14:paraId="60B0F6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trPr>
        <w:tc>
          <w:tcPr>
            <w:tcW w:w="1468" w:type="dxa"/>
            <w:noWrap w:val="0"/>
            <w:vAlign w:val="center"/>
          </w:tcPr>
          <w:p w14:paraId="5E5F4D89">
            <w:pPr>
              <w:widowControl/>
              <w:spacing w:line="300" w:lineRule="exact"/>
              <w:jc w:val="center"/>
              <w:rPr>
                <w:rFonts w:hint="eastAsia" w:ascii="宋体" w:hAnsi="宋体" w:cs="宋体"/>
                <w:color w:val="auto"/>
                <w:sz w:val="24"/>
                <w:highlight w:val="none"/>
              </w:rPr>
            </w:pPr>
            <w:r>
              <w:rPr>
                <w:rFonts w:hint="eastAsia" w:ascii="宋体" w:hAnsi="宋体" w:cs="宋体"/>
                <w:color w:val="auto"/>
                <w:sz w:val="24"/>
                <w:highlight w:val="none"/>
              </w:rPr>
              <w:t>2.2</w:t>
            </w:r>
          </w:p>
        </w:tc>
        <w:tc>
          <w:tcPr>
            <w:tcW w:w="7050" w:type="dxa"/>
            <w:noWrap w:val="0"/>
            <w:vAlign w:val="center"/>
          </w:tcPr>
          <w:p w14:paraId="4776AD87">
            <w:pPr>
              <w:spacing w:line="240" w:lineRule="atLeast"/>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预算价</w:t>
            </w:r>
            <w:r>
              <w:rPr>
                <w:rFonts w:hint="eastAsia" w:ascii="宋体" w:hAnsi="宋体" w:cs="宋体"/>
                <w:b/>
                <w:bCs/>
                <w:color w:val="auto"/>
                <w:sz w:val="24"/>
                <w:highlight w:val="none"/>
                <w:lang w:val="en-US" w:eastAsia="zh-CN"/>
              </w:rPr>
              <w:t>500000.00</w:t>
            </w:r>
            <w:r>
              <w:rPr>
                <w:rFonts w:hint="eastAsia" w:ascii="宋体" w:hAnsi="宋体" w:eastAsia="宋体" w:cs="宋体"/>
                <w:b/>
                <w:bCs/>
                <w:color w:val="auto"/>
                <w:sz w:val="24"/>
                <w:highlight w:val="none"/>
                <w:lang w:val="en-US" w:eastAsia="zh-CN"/>
              </w:rPr>
              <w:t>元；</w:t>
            </w:r>
          </w:p>
          <w:p w14:paraId="27054796">
            <w:pPr>
              <w:spacing w:line="240" w:lineRule="atLeast"/>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最高限价</w:t>
            </w:r>
            <w:r>
              <w:rPr>
                <w:rFonts w:hint="eastAsia" w:ascii="宋体" w:hAnsi="宋体" w:cs="宋体"/>
                <w:b/>
                <w:bCs/>
                <w:color w:val="auto"/>
                <w:sz w:val="24"/>
                <w:highlight w:val="none"/>
                <w:lang w:val="en-US" w:eastAsia="zh-CN"/>
              </w:rPr>
              <w:t>500000.00</w:t>
            </w:r>
            <w:r>
              <w:rPr>
                <w:rFonts w:hint="eastAsia" w:ascii="宋体" w:hAnsi="宋体" w:eastAsia="宋体" w:cs="宋体"/>
                <w:b/>
                <w:bCs/>
                <w:color w:val="auto"/>
                <w:sz w:val="24"/>
                <w:highlight w:val="none"/>
                <w:lang w:val="en-US" w:eastAsia="zh-CN"/>
              </w:rPr>
              <w:t>元；</w:t>
            </w:r>
          </w:p>
        </w:tc>
      </w:tr>
      <w:tr w14:paraId="17FE52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468" w:type="dxa"/>
            <w:noWrap w:val="0"/>
            <w:vAlign w:val="center"/>
          </w:tcPr>
          <w:p w14:paraId="6CA017E6">
            <w:pPr>
              <w:spacing w:line="240" w:lineRule="atLeast"/>
              <w:ind w:left="1080" w:leftChars="257" w:hanging="540"/>
              <w:rPr>
                <w:rFonts w:hint="eastAsia" w:ascii="宋体" w:hAnsi="宋体" w:cs="宋体"/>
                <w:color w:val="auto"/>
                <w:sz w:val="24"/>
                <w:highlight w:val="none"/>
              </w:rPr>
            </w:pPr>
            <w:r>
              <w:rPr>
                <w:rFonts w:hint="eastAsia" w:ascii="宋体" w:hAnsi="宋体" w:cs="宋体"/>
                <w:color w:val="auto"/>
                <w:sz w:val="24"/>
                <w:highlight w:val="none"/>
              </w:rPr>
              <w:t>12.1</w:t>
            </w:r>
          </w:p>
        </w:tc>
        <w:tc>
          <w:tcPr>
            <w:tcW w:w="7050" w:type="dxa"/>
            <w:noWrap w:val="0"/>
            <w:vAlign w:val="center"/>
          </w:tcPr>
          <w:p w14:paraId="725EB0C8">
            <w:pPr>
              <w:spacing w:line="240" w:lineRule="atLeast"/>
              <w:rPr>
                <w:rFonts w:hint="eastAsia" w:ascii="宋体" w:hAnsi="宋体" w:cs="宋体"/>
                <w:color w:val="000000"/>
                <w:sz w:val="24"/>
              </w:rPr>
            </w:pPr>
            <w:r>
              <w:rPr>
                <w:rFonts w:hint="eastAsia" w:ascii="宋体" w:hAnsi="宋体" w:cs="宋体"/>
                <w:color w:val="000000"/>
                <w:sz w:val="24"/>
              </w:rPr>
              <w:t>保证金形式：☑保函  ☑电汇  ☑支票</w:t>
            </w:r>
          </w:p>
          <w:p w14:paraId="120FA987">
            <w:pPr>
              <w:spacing w:line="240" w:lineRule="atLeast"/>
              <w:rPr>
                <w:rFonts w:hint="eastAsia" w:ascii="宋体" w:hAnsi="宋体" w:cs="宋体"/>
                <w:color w:val="000000"/>
                <w:sz w:val="24"/>
              </w:rPr>
            </w:pPr>
            <w:r>
              <w:rPr>
                <w:rFonts w:hint="eastAsia" w:ascii="宋体" w:hAnsi="宋体" w:cs="宋体"/>
                <w:color w:val="000000"/>
                <w:sz w:val="24"/>
              </w:rPr>
              <w:t xml:space="preserve">☑网银 （本项目允许的其他形式） </w:t>
            </w:r>
          </w:p>
          <w:p w14:paraId="1211C015">
            <w:pPr>
              <w:spacing w:line="240" w:lineRule="atLeast"/>
              <w:rPr>
                <w:rFonts w:hint="eastAsia" w:ascii="宋体" w:hAnsi="宋体" w:cs="宋体"/>
                <w:color w:val="000000"/>
                <w:sz w:val="24"/>
              </w:rPr>
            </w:pPr>
            <w:r>
              <w:rPr>
                <w:rFonts w:hint="eastAsia" w:ascii="宋体" w:hAnsi="宋体" w:cs="宋体"/>
                <w:color w:val="000000"/>
                <w:sz w:val="24"/>
              </w:rPr>
              <w:t>保证金数额：</w:t>
            </w:r>
            <w:r>
              <w:rPr>
                <w:rFonts w:hint="eastAsia" w:ascii="宋体" w:hAnsi="宋体" w:cs="宋体"/>
                <w:color w:val="000000"/>
                <w:sz w:val="24"/>
                <w:lang w:val="en-US" w:eastAsia="zh-CN"/>
              </w:rPr>
              <w:t>500</w:t>
            </w:r>
            <w:r>
              <w:rPr>
                <w:rFonts w:hint="eastAsia" w:ascii="宋体" w:hAnsi="宋体" w:cs="宋体"/>
                <w:color w:val="000000"/>
                <w:sz w:val="24"/>
              </w:rPr>
              <w:t>0.00元（</w:t>
            </w:r>
            <w:r>
              <w:rPr>
                <w:rFonts w:hint="eastAsia" w:ascii="宋体" w:hAnsi="宋体" w:cs="宋体"/>
                <w:color w:val="000000"/>
                <w:sz w:val="24"/>
                <w:lang w:val="en-US" w:eastAsia="zh-CN"/>
              </w:rPr>
              <w:t>伍仟元整</w:t>
            </w:r>
            <w:r>
              <w:rPr>
                <w:rFonts w:hint="eastAsia" w:ascii="宋体" w:hAnsi="宋体" w:cs="宋体"/>
                <w:color w:val="000000"/>
                <w:sz w:val="24"/>
              </w:rPr>
              <w:t>）</w:t>
            </w:r>
          </w:p>
          <w:p w14:paraId="1B7D8D00">
            <w:pPr>
              <w:spacing w:line="240" w:lineRule="atLeast"/>
              <w:rPr>
                <w:rFonts w:hint="eastAsia" w:ascii="宋体" w:hAnsi="宋体" w:cs="宋体"/>
                <w:color w:val="000000"/>
                <w:sz w:val="24"/>
                <w:highlight w:val="none"/>
                <w:lang w:val="en-US" w:eastAsia="zh-CN"/>
              </w:rPr>
            </w:pPr>
            <w:r>
              <w:rPr>
                <w:rFonts w:hint="eastAsia" w:ascii="宋体" w:hAnsi="宋体" w:cs="宋体"/>
                <w:color w:val="000000"/>
                <w:sz w:val="24"/>
                <w:highlight w:val="none"/>
                <w:lang w:val="en-US" w:eastAsia="zh-CN"/>
              </w:rPr>
              <w:t>开户名称：新疆锦程项目管理有限公司</w:t>
            </w:r>
          </w:p>
          <w:p w14:paraId="4BFDB567">
            <w:pPr>
              <w:spacing w:line="240" w:lineRule="atLeast"/>
              <w:jc w:val="left"/>
              <w:rPr>
                <w:rFonts w:hint="eastAsia" w:ascii="宋体" w:hAnsi="宋体" w:cs="宋体"/>
                <w:color w:val="000000"/>
                <w:sz w:val="24"/>
                <w:highlight w:val="none"/>
                <w:lang w:val="en-US" w:eastAsia="zh-CN"/>
              </w:rPr>
            </w:pPr>
            <w:r>
              <w:rPr>
                <w:rFonts w:hint="eastAsia" w:ascii="宋体" w:hAnsi="宋体" w:cs="宋体"/>
                <w:color w:val="000000"/>
                <w:sz w:val="24"/>
                <w:highlight w:val="none"/>
                <w:lang w:val="en-US" w:eastAsia="zh-CN"/>
              </w:rPr>
              <w:t>开户银行：中国银行股份有限公司喀什市克孜都维路支行</w:t>
            </w:r>
          </w:p>
          <w:p w14:paraId="5E660EF9">
            <w:pPr>
              <w:spacing w:line="240" w:lineRule="atLeast"/>
              <w:rPr>
                <w:rFonts w:hint="eastAsia" w:ascii="宋体" w:hAnsi="宋体" w:cs="宋体"/>
                <w:color w:val="000000"/>
                <w:sz w:val="24"/>
                <w:highlight w:val="none"/>
                <w:lang w:val="en-US" w:eastAsia="zh-CN"/>
              </w:rPr>
            </w:pPr>
            <w:r>
              <w:rPr>
                <w:rFonts w:hint="eastAsia" w:ascii="宋体" w:hAnsi="宋体" w:cs="宋体"/>
                <w:color w:val="000000"/>
                <w:sz w:val="24"/>
                <w:highlight w:val="none"/>
                <w:lang w:val="en-US" w:eastAsia="zh-CN"/>
              </w:rPr>
              <w:t>行号：</w:t>
            </w:r>
            <w:r>
              <w:rPr>
                <w:rFonts w:hint="eastAsia" w:ascii="宋体" w:hAnsi="宋体" w:cs="宋体"/>
                <w:color w:val="auto"/>
                <w:sz w:val="24"/>
                <w:highlight w:val="none"/>
                <w:lang w:val="en-US" w:eastAsia="zh-CN"/>
              </w:rPr>
              <w:t>104894001038</w:t>
            </w:r>
          </w:p>
          <w:p w14:paraId="7D6D3937">
            <w:pPr>
              <w:spacing w:line="240" w:lineRule="atLeast"/>
              <w:rPr>
                <w:rFonts w:ascii="宋体" w:hAnsi="宋体" w:cs="宋体"/>
                <w:color w:val="000000"/>
                <w:sz w:val="24"/>
                <w:highlight w:val="none"/>
              </w:rPr>
            </w:pPr>
            <w:r>
              <w:rPr>
                <w:rFonts w:hint="eastAsia" w:ascii="宋体" w:hAnsi="宋体" w:cs="宋体"/>
                <w:color w:val="000000"/>
                <w:sz w:val="24"/>
                <w:highlight w:val="none"/>
                <w:lang w:val="en-US" w:eastAsia="zh-CN"/>
              </w:rPr>
              <w:t>账号：</w:t>
            </w:r>
            <w:r>
              <w:rPr>
                <w:rFonts w:hint="eastAsia" w:ascii="宋体" w:hAnsi="宋体" w:cs="宋体"/>
                <w:color w:val="auto"/>
                <w:sz w:val="24"/>
                <w:highlight w:val="none"/>
                <w:lang w:val="en-US" w:eastAsia="zh-CN"/>
              </w:rPr>
              <w:t>107084144901</w:t>
            </w:r>
          </w:p>
          <w:p w14:paraId="27D98B7F">
            <w:pPr>
              <w:spacing w:line="240" w:lineRule="atLeast"/>
              <w:rPr>
                <w:rFonts w:hint="default"/>
                <w:color w:val="auto"/>
                <w:highlight w:val="none"/>
                <w:lang w:val="en-US" w:eastAsia="zh-CN"/>
              </w:rPr>
            </w:pPr>
            <w:r>
              <w:rPr>
                <w:rFonts w:hint="eastAsia" w:ascii="宋体" w:hAnsi="宋体" w:cs="宋体"/>
                <w:color w:val="000000"/>
                <w:sz w:val="24"/>
              </w:rPr>
              <w:t>到账截止时间：</w:t>
            </w:r>
            <w:r>
              <w:rPr>
                <w:rFonts w:hint="eastAsia" w:ascii="宋体" w:hAnsi="宋体" w:cs="宋体"/>
                <w:color w:val="000000"/>
                <w:sz w:val="24"/>
                <w:lang w:eastAsia="zh-CN"/>
              </w:rPr>
              <w:t>2026年6月4日10:30</w:t>
            </w:r>
            <w:r>
              <w:rPr>
                <w:rFonts w:hint="eastAsia" w:ascii="宋体" w:hAnsi="宋体" w:cs="宋体"/>
                <w:color w:val="000000"/>
                <w:sz w:val="24"/>
              </w:rPr>
              <w:t>（北京时间）</w:t>
            </w:r>
          </w:p>
        </w:tc>
      </w:tr>
      <w:tr w14:paraId="712916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1" w:hRule="atLeast"/>
        </w:trPr>
        <w:tc>
          <w:tcPr>
            <w:tcW w:w="1468" w:type="dxa"/>
            <w:noWrap w:val="0"/>
            <w:vAlign w:val="center"/>
          </w:tcPr>
          <w:p w14:paraId="21B12AC7">
            <w:pPr>
              <w:spacing w:line="240" w:lineRule="atLeast"/>
              <w:ind w:left="1080" w:leftChars="257" w:hanging="540"/>
              <w:rPr>
                <w:rFonts w:hint="eastAsia" w:ascii="宋体" w:hAnsi="宋体" w:cs="宋体"/>
                <w:color w:val="auto"/>
                <w:sz w:val="24"/>
                <w:highlight w:val="none"/>
              </w:rPr>
            </w:pPr>
            <w:r>
              <w:rPr>
                <w:rFonts w:hint="eastAsia" w:ascii="宋体" w:hAnsi="宋体" w:cs="宋体"/>
                <w:color w:val="auto"/>
                <w:sz w:val="24"/>
                <w:highlight w:val="none"/>
              </w:rPr>
              <w:t>13.1</w:t>
            </w:r>
          </w:p>
        </w:tc>
        <w:tc>
          <w:tcPr>
            <w:tcW w:w="7050" w:type="dxa"/>
            <w:noWrap w:val="0"/>
            <w:vAlign w:val="center"/>
          </w:tcPr>
          <w:p w14:paraId="03F6A0E2">
            <w:pPr>
              <w:spacing w:line="240" w:lineRule="atLeast"/>
              <w:rPr>
                <w:rFonts w:hint="eastAsia" w:ascii="宋体" w:hAnsi="宋体" w:cs="宋体"/>
                <w:color w:val="auto"/>
                <w:sz w:val="24"/>
                <w:highlight w:val="none"/>
                <w:u w:val="single"/>
              </w:rPr>
            </w:pPr>
            <w:r>
              <w:rPr>
                <w:rFonts w:hint="eastAsia" w:ascii="宋体" w:hAnsi="宋体" w:cs="宋体"/>
                <w:color w:val="auto"/>
                <w:sz w:val="24"/>
                <w:highlight w:val="none"/>
              </w:rPr>
              <w:t>投标有效期：</w:t>
            </w:r>
            <w:r>
              <w:rPr>
                <w:rFonts w:hint="eastAsia" w:ascii="宋体" w:hAnsi="宋体" w:cs="宋体"/>
                <w:color w:val="auto"/>
                <w:sz w:val="24"/>
                <w:highlight w:val="none"/>
                <w:u w:val="single"/>
                <w:lang w:val="en-US" w:eastAsia="zh-CN"/>
              </w:rPr>
              <w:t>90</w:t>
            </w:r>
            <w:r>
              <w:rPr>
                <w:rFonts w:hint="eastAsia" w:ascii="宋体" w:hAnsi="宋体" w:cs="宋体"/>
                <w:color w:val="auto"/>
                <w:sz w:val="24"/>
                <w:highlight w:val="none"/>
              </w:rPr>
              <w:t>日历日</w:t>
            </w:r>
          </w:p>
        </w:tc>
      </w:tr>
      <w:tr w14:paraId="476367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0" w:hRule="atLeast"/>
        </w:trPr>
        <w:tc>
          <w:tcPr>
            <w:tcW w:w="1468" w:type="dxa"/>
            <w:noWrap w:val="0"/>
            <w:vAlign w:val="center"/>
          </w:tcPr>
          <w:p w14:paraId="4042D2F9">
            <w:pPr>
              <w:spacing w:line="240" w:lineRule="atLeast"/>
              <w:ind w:left="1080" w:leftChars="257" w:hanging="540"/>
              <w:rPr>
                <w:rFonts w:hint="eastAsia" w:ascii="宋体" w:hAnsi="宋体" w:cs="宋体"/>
                <w:color w:val="auto"/>
                <w:sz w:val="24"/>
                <w:highlight w:val="none"/>
              </w:rPr>
            </w:pPr>
            <w:r>
              <w:rPr>
                <w:rFonts w:hint="eastAsia" w:ascii="宋体" w:hAnsi="宋体" w:cs="宋体"/>
                <w:color w:val="auto"/>
                <w:sz w:val="24"/>
                <w:highlight w:val="none"/>
              </w:rPr>
              <w:t>14.1</w:t>
            </w:r>
          </w:p>
        </w:tc>
        <w:tc>
          <w:tcPr>
            <w:tcW w:w="7050" w:type="dxa"/>
            <w:noWrap w:val="0"/>
            <w:vAlign w:val="center"/>
          </w:tcPr>
          <w:p w14:paraId="689FED32">
            <w:pPr>
              <w:spacing w:line="240" w:lineRule="atLeast"/>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本项目实行全流程电子化“不见面”网上开标，请各潜在投标人自行下载学习（新疆政府采购网下载专区）注：投标截止时间前按要求在政采云上传电子版投标文件。</w:t>
            </w:r>
          </w:p>
        </w:tc>
      </w:tr>
      <w:tr w14:paraId="528D7C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4" w:hRule="atLeast"/>
        </w:trPr>
        <w:tc>
          <w:tcPr>
            <w:tcW w:w="1468" w:type="dxa"/>
            <w:noWrap w:val="0"/>
            <w:vAlign w:val="center"/>
          </w:tcPr>
          <w:p w14:paraId="6BE13184">
            <w:pPr>
              <w:spacing w:line="240" w:lineRule="atLeast"/>
              <w:ind w:left="1080" w:leftChars="257" w:hanging="540"/>
              <w:rPr>
                <w:rFonts w:hint="eastAsia" w:ascii="宋体" w:hAnsi="宋体" w:cs="宋体"/>
                <w:color w:val="auto"/>
                <w:sz w:val="24"/>
                <w:highlight w:val="none"/>
              </w:rPr>
            </w:pPr>
            <w:r>
              <w:rPr>
                <w:rFonts w:hint="eastAsia" w:ascii="宋体" w:hAnsi="宋体" w:cs="宋体"/>
                <w:color w:val="auto"/>
                <w:sz w:val="24"/>
                <w:highlight w:val="none"/>
              </w:rPr>
              <w:t>16.1</w:t>
            </w:r>
          </w:p>
        </w:tc>
        <w:tc>
          <w:tcPr>
            <w:tcW w:w="7050" w:type="dxa"/>
            <w:noWrap w:val="0"/>
            <w:vAlign w:val="center"/>
          </w:tcPr>
          <w:p w14:paraId="3E746159">
            <w:pPr>
              <w:spacing w:line="240" w:lineRule="atLeast"/>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投标截止时间：</w:t>
            </w:r>
            <w:r>
              <w:rPr>
                <w:rFonts w:hint="eastAsia" w:ascii="宋体" w:hAnsi="宋体" w:cs="宋体"/>
                <w:color w:val="auto"/>
                <w:sz w:val="24"/>
                <w:highlight w:val="none"/>
                <w:lang w:val="en-US" w:eastAsia="zh-CN"/>
              </w:rPr>
              <w:t>2026年6月4日10:30（北京时间）</w:t>
            </w:r>
          </w:p>
        </w:tc>
      </w:tr>
      <w:tr w14:paraId="44176B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468" w:type="dxa"/>
            <w:noWrap w:val="0"/>
            <w:vAlign w:val="center"/>
          </w:tcPr>
          <w:p w14:paraId="62C7484C">
            <w:pPr>
              <w:spacing w:line="240" w:lineRule="atLeast"/>
              <w:ind w:left="1080" w:leftChars="257" w:hanging="540"/>
              <w:rPr>
                <w:rFonts w:hint="eastAsia" w:ascii="宋体" w:hAnsi="宋体" w:cs="宋体"/>
                <w:color w:val="auto"/>
                <w:sz w:val="24"/>
                <w:highlight w:val="none"/>
              </w:rPr>
            </w:pPr>
            <w:r>
              <w:rPr>
                <w:rFonts w:hint="eastAsia" w:ascii="宋体" w:hAnsi="宋体" w:cs="宋体"/>
                <w:color w:val="auto"/>
                <w:sz w:val="24"/>
                <w:highlight w:val="none"/>
              </w:rPr>
              <w:t>18.1</w:t>
            </w:r>
          </w:p>
        </w:tc>
        <w:tc>
          <w:tcPr>
            <w:tcW w:w="7050" w:type="dxa"/>
            <w:noWrap w:val="0"/>
            <w:vAlign w:val="center"/>
          </w:tcPr>
          <w:p w14:paraId="5D4AAB30">
            <w:pPr>
              <w:spacing w:line="240" w:lineRule="atLeas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开标时间：</w:t>
            </w:r>
            <w:r>
              <w:rPr>
                <w:rFonts w:hint="eastAsia" w:ascii="宋体" w:hAnsi="宋体" w:cs="宋体"/>
                <w:color w:val="auto"/>
                <w:sz w:val="24"/>
                <w:highlight w:val="none"/>
                <w:lang w:val="en-US" w:eastAsia="zh-CN"/>
              </w:rPr>
              <w:t>2026年6月4日10:30（北京时间）</w:t>
            </w:r>
          </w:p>
          <w:p w14:paraId="7DF6AC42">
            <w:pPr>
              <w:spacing w:line="240" w:lineRule="atLeas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开标地点：</w:t>
            </w:r>
            <w:r>
              <w:rPr>
                <w:rFonts w:hint="eastAsia" w:ascii="宋体" w:hAnsi="宋体" w:eastAsia="宋体" w:cs="宋体"/>
                <w:color w:val="auto"/>
                <w:sz w:val="24"/>
                <w:highlight w:val="none"/>
                <w:lang w:val="en-US" w:eastAsia="zh-CN"/>
              </w:rPr>
              <w:fldChar w:fldCharType="begin"/>
            </w:r>
            <w:r>
              <w:rPr>
                <w:rFonts w:hint="eastAsia" w:ascii="宋体" w:hAnsi="宋体" w:eastAsia="宋体" w:cs="宋体"/>
                <w:color w:val="auto"/>
                <w:sz w:val="24"/>
                <w:highlight w:val="none"/>
                <w:lang w:val="en-US" w:eastAsia="zh-CN"/>
              </w:rPr>
              <w:instrText xml:space="preserve"> HYPERLINK "https://www.zcygov.cn在线投标" </w:instrText>
            </w:r>
            <w:r>
              <w:rPr>
                <w:rFonts w:hint="eastAsia" w:ascii="宋体" w:hAnsi="宋体" w:eastAsia="宋体" w:cs="宋体"/>
                <w:color w:val="auto"/>
                <w:sz w:val="24"/>
                <w:highlight w:val="none"/>
                <w:lang w:val="en-US" w:eastAsia="zh-CN"/>
              </w:rPr>
              <w:fldChar w:fldCharType="separate"/>
            </w:r>
            <w:r>
              <w:rPr>
                <w:rFonts w:hint="eastAsia" w:ascii="宋体" w:hAnsi="宋体" w:eastAsia="宋体" w:cs="宋体"/>
                <w:color w:val="auto"/>
                <w:sz w:val="24"/>
                <w:highlight w:val="none"/>
                <w:lang w:val="en-US" w:eastAsia="zh-CN"/>
              </w:rPr>
              <w:t>https://www.zcygov.cn在线投标</w:t>
            </w:r>
            <w:r>
              <w:rPr>
                <w:rFonts w:hint="eastAsia" w:ascii="宋体" w:hAnsi="宋体" w:eastAsia="宋体" w:cs="宋体"/>
                <w:color w:val="auto"/>
                <w:sz w:val="24"/>
                <w:highlight w:val="none"/>
                <w:lang w:val="en-US" w:eastAsia="zh-CN"/>
              </w:rPr>
              <w:fldChar w:fldCharType="end"/>
            </w:r>
            <w:r>
              <w:rPr>
                <w:rFonts w:hint="eastAsia" w:ascii="宋体" w:hAnsi="宋体" w:eastAsia="宋体" w:cs="宋体"/>
                <w:color w:val="auto"/>
                <w:sz w:val="24"/>
                <w:highlight w:val="none"/>
                <w:lang w:val="en-US" w:eastAsia="zh-CN"/>
              </w:rPr>
              <w:t xml:space="preserve"> </w:t>
            </w:r>
          </w:p>
        </w:tc>
      </w:tr>
      <w:tr w14:paraId="74FAA9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468" w:type="dxa"/>
            <w:noWrap w:val="0"/>
            <w:vAlign w:val="center"/>
          </w:tcPr>
          <w:p w14:paraId="2558EC51">
            <w:pPr>
              <w:spacing w:line="240" w:lineRule="atLeast"/>
              <w:ind w:left="1080" w:leftChars="257" w:hanging="540"/>
              <w:rPr>
                <w:rFonts w:hint="eastAsia" w:ascii="宋体" w:hAnsi="宋体" w:cs="宋体"/>
                <w:color w:val="auto"/>
                <w:sz w:val="24"/>
                <w:highlight w:val="none"/>
              </w:rPr>
            </w:pPr>
            <w:r>
              <w:rPr>
                <w:rFonts w:hint="eastAsia" w:ascii="宋体" w:hAnsi="宋体" w:cs="宋体"/>
                <w:color w:val="auto"/>
                <w:sz w:val="24"/>
                <w:highlight w:val="none"/>
              </w:rPr>
              <w:t>20.5</w:t>
            </w:r>
          </w:p>
        </w:tc>
        <w:tc>
          <w:tcPr>
            <w:tcW w:w="7050" w:type="dxa"/>
            <w:noWrap w:val="0"/>
            <w:vAlign w:val="center"/>
          </w:tcPr>
          <w:p w14:paraId="32946C07">
            <w:pPr>
              <w:spacing w:line="240" w:lineRule="atLeast"/>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核心内容：</w:t>
            </w:r>
            <w:r>
              <w:rPr>
                <w:rFonts w:hint="eastAsia" w:ascii="宋体" w:hAnsi="宋体" w:cs="宋体"/>
                <w:color w:val="auto"/>
                <w:sz w:val="24"/>
                <w:highlight w:val="none"/>
                <w:lang w:val="en-US" w:eastAsia="zh-CN"/>
              </w:rPr>
              <w:t>体育赛事服务</w:t>
            </w:r>
          </w:p>
        </w:tc>
      </w:tr>
      <w:tr w14:paraId="4689B1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468" w:type="dxa"/>
            <w:noWrap w:val="0"/>
            <w:vAlign w:val="center"/>
          </w:tcPr>
          <w:p w14:paraId="297822E8">
            <w:pPr>
              <w:spacing w:line="240" w:lineRule="atLeast"/>
              <w:ind w:left="1080" w:leftChars="257" w:hanging="540"/>
              <w:rPr>
                <w:rFonts w:hint="eastAsia" w:ascii="宋体" w:hAnsi="宋体" w:cs="宋体"/>
                <w:color w:val="auto"/>
                <w:sz w:val="24"/>
                <w:highlight w:val="none"/>
              </w:rPr>
            </w:pPr>
            <w:r>
              <w:rPr>
                <w:rFonts w:hint="eastAsia" w:ascii="宋体" w:hAnsi="宋体" w:cs="宋体"/>
                <w:color w:val="auto"/>
                <w:sz w:val="24"/>
                <w:highlight w:val="none"/>
              </w:rPr>
              <w:t>23.2</w:t>
            </w:r>
          </w:p>
        </w:tc>
        <w:tc>
          <w:tcPr>
            <w:tcW w:w="7050" w:type="dxa"/>
            <w:noWrap w:val="0"/>
            <w:vAlign w:val="center"/>
          </w:tcPr>
          <w:p w14:paraId="4CC0C79F">
            <w:pPr>
              <w:spacing w:line="240" w:lineRule="atLeas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评标方法：综合评分法    　　　　　</w:t>
            </w:r>
          </w:p>
        </w:tc>
      </w:tr>
      <w:tr w14:paraId="013B2A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77" w:hRule="atLeast"/>
        </w:trPr>
        <w:tc>
          <w:tcPr>
            <w:tcW w:w="1468" w:type="dxa"/>
            <w:noWrap w:val="0"/>
            <w:vAlign w:val="center"/>
          </w:tcPr>
          <w:p w14:paraId="5C071FAB">
            <w:pPr>
              <w:spacing w:line="240" w:lineRule="atLeast"/>
              <w:ind w:left="1080" w:leftChars="257" w:hanging="540"/>
              <w:rPr>
                <w:rFonts w:hint="eastAsia" w:ascii="宋体" w:hAnsi="宋体" w:cs="宋体"/>
                <w:color w:val="auto"/>
                <w:sz w:val="24"/>
                <w:highlight w:val="none"/>
              </w:rPr>
            </w:pPr>
            <w:r>
              <w:rPr>
                <w:rFonts w:hint="eastAsia" w:ascii="宋体" w:hAnsi="宋体" w:cs="宋体"/>
                <w:color w:val="auto"/>
                <w:sz w:val="24"/>
                <w:highlight w:val="none"/>
              </w:rPr>
              <w:t>27</w:t>
            </w:r>
          </w:p>
        </w:tc>
        <w:tc>
          <w:tcPr>
            <w:tcW w:w="7050" w:type="dxa"/>
            <w:noWrap w:val="0"/>
            <w:vAlign w:val="center"/>
          </w:tcPr>
          <w:p w14:paraId="4F33AA65">
            <w:pPr>
              <w:spacing w:line="240" w:lineRule="atLeast"/>
              <w:rPr>
                <w:rFonts w:hint="eastAsia" w:ascii="宋体" w:hAnsi="宋体" w:cs="宋体"/>
                <w:color w:val="auto"/>
                <w:sz w:val="24"/>
                <w:highlight w:val="none"/>
              </w:rPr>
            </w:pPr>
            <w:r>
              <w:rPr>
                <w:rFonts w:hint="eastAsia" w:ascii="宋体" w:hAnsi="宋体" w:cs="宋体"/>
                <w:color w:val="auto"/>
                <w:sz w:val="24"/>
                <w:highlight w:val="none"/>
              </w:rPr>
              <w:t>推荐中标候选</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的数量：</w:t>
            </w:r>
            <w:r>
              <w:rPr>
                <w:rFonts w:hint="eastAsia" w:ascii="宋体" w:hAnsi="宋体" w:cs="宋体"/>
                <w:color w:val="auto"/>
                <w:sz w:val="24"/>
                <w:highlight w:val="none"/>
                <w:u w:val="single"/>
              </w:rPr>
              <w:t>3个</w:t>
            </w:r>
          </w:p>
        </w:tc>
      </w:tr>
      <w:tr w14:paraId="3706DE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78" w:hRule="atLeast"/>
        </w:trPr>
        <w:tc>
          <w:tcPr>
            <w:tcW w:w="1468" w:type="dxa"/>
            <w:noWrap w:val="0"/>
            <w:vAlign w:val="center"/>
          </w:tcPr>
          <w:p w14:paraId="7BB7B706">
            <w:pPr>
              <w:spacing w:line="240" w:lineRule="atLeast"/>
              <w:ind w:left="1080" w:leftChars="257" w:hanging="540"/>
              <w:rPr>
                <w:rFonts w:hint="eastAsia" w:ascii="宋体" w:hAnsi="宋体" w:cs="宋体"/>
                <w:color w:val="auto"/>
                <w:sz w:val="24"/>
                <w:highlight w:val="none"/>
              </w:rPr>
            </w:pPr>
            <w:r>
              <w:rPr>
                <w:rFonts w:hint="eastAsia" w:ascii="宋体" w:hAnsi="宋体" w:cs="宋体"/>
                <w:color w:val="auto"/>
                <w:sz w:val="24"/>
                <w:highlight w:val="none"/>
              </w:rPr>
              <w:t>27</w:t>
            </w:r>
          </w:p>
        </w:tc>
        <w:tc>
          <w:tcPr>
            <w:tcW w:w="7050" w:type="dxa"/>
            <w:noWrap w:val="0"/>
            <w:vAlign w:val="center"/>
          </w:tcPr>
          <w:p w14:paraId="4E6D584D">
            <w:pPr>
              <w:spacing w:line="240" w:lineRule="atLeast"/>
              <w:rPr>
                <w:rFonts w:hint="eastAsia" w:ascii="宋体" w:hAnsi="宋体" w:cs="宋体"/>
                <w:color w:val="auto"/>
                <w:sz w:val="24"/>
                <w:highlight w:val="none"/>
              </w:rPr>
            </w:pPr>
            <w:r>
              <w:rPr>
                <w:rFonts w:hint="eastAsia" w:ascii="宋体" w:hAnsi="宋体" w:cs="宋体"/>
                <w:color w:val="auto"/>
                <w:sz w:val="24"/>
                <w:highlight w:val="none"/>
              </w:rPr>
              <w:t>招标人是否委托评标委员会直接确定中标人：</w:t>
            </w:r>
            <w:r>
              <w:rPr>
                <w:rFonts w:hint="eastAsia" w:ascii="宋体" w:hAnsi="宋体" w:cs="宋体"/>
                <w:color w:val="auto"/>
                <w:sz w:val="24"/>
                <w:highlight w:val="none"/>
                <w:u w:val="single"/>
              </w:rPr>
              <w:t>否</w:t>
            </w:r>
            <w:r>
              <w:rPr>
                <w:rFonts w:hint="eastAsia" w:ascii="宋体" w:hAnsi="宋体" w:cs="宋体"/>
                <w:color w:val="auto"/>
                <w:sz w:val="24"/>
                <w:highlight w:val="none"/>
              </w:rPr>
              <w:t xml:space="preserve"> </w:t>
            </w:r>
          </w:p>
        </w:tc>
      </w:tr>
      <w:tr w14:paraId="465C05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01" w:hRule="atLeast"/>
        </w:trPr>
        <w:tc>
          <w:tcPr>
            <w:tcW w:w="1468" w:type="dxa"/>
            <w:noWrap w:val="0"/>
            <w:vAlign w:val="center"/>
          </w:tcPr>
          <w:p w14:paraId="1EF413A8">
            <w:pPr>
              <w:spacing w:line="240" w:lineRule="atLeast"/>
              <w:ind w:left="1080" w:leftChars="257" w:hanging="540"/>
              <w:rPr>
                <w:rFonts w:hint="eastAsia" w:ascii="宋体" w:hAnsi="宋体" w:cs="宋体"/>
                <w:color w:val="auto"/>
                <w:sz w:val="24"/>
                <w:highlight w:val="none"/>
              </w:rPr>
            </w:pPr>
            <w:r>
              <w:rPr>
                <w:rFonts w:hint="eastAsia" w:ascii="宋体" w:hAnsi="宋体" w:cs="宋体"/>
                <w:color w:val="auto"/>
                <w:sz w:val="24"/>
                <w:highlight w:val="none"/>
              </w:rPr>
              <w:t>31.1</w:t>
            </w:r>
          </w:p>
        </w:tc>
        <w:tc>
          <w:tcPr>
            <w:tcW w:w="7050" w:type="dxa"/>
            <w:noWrap w:val="0"/>
            <w:vAlign w:val="center"/>
          </w:tcPr>
          <w:p w14:paraId="77FEF343">
            <w:pPr>
              <w:spacing w:line="240" w:lineRule="atLeas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履约保证金金额：中标价的5%。</w:t>
            </w:r>
          </w:p>
          <w:p w14:paraId="6A0DD07C">
            <w:pPr>
              <w:spacing w:line="240" w:lineRule="atLeast"/>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履约保证金形式：转账、电汇、保函</w:t>
            </w:r>
          </w:p>
          <w:p w14:paraId="646F272A">
            <w:pPr>
              <w:spacing w:line="240" w:lineRule="atLeast"/>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提交履约保证金的时间：与业主自行商定</w:t>
            </w:r>
          </w:p>
          <w:p w14:paraId="50DC7019">
            <w:pPr>
              <w:spacing w:line="240" w:lineRule="atLeas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服务验收合格后无息返还（双方也可以通过协商另行约定其他退还时间和方式及用途）。</w:t>
            </w:r>
          </w:p>
        </w:tc>
      </w:tr>
      <w:tr w14:paraId="3246FC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468" w:type="dxa"/>
            <w:shd w:val="clear" w:color="auto" w:fill="auto"/>
            <w:noWrap w:val="0"/>
            <w:vAlign w:val="center"/>
          </w:tcPr>
          <w:p w14:paraId="3A5FF53E">
            <w:pPr>
              <w:spacing w:line="240" w:lineRule="atLeast"/>
              <w:ind w:left="1080" w:leftChars="257" w:hanging="540" w:firstLineChars="0"/>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32</w:t>
            </w:r>
          </w:p>
        </w:tc>
        <w:tc>
          <w:tcPr>
            <w:tcW w:w="7050" w:type="dxa"/>
            <w:shd w:val="clear" w:color="auto" w:fill="auto"/>
            <w:noWrap w:val="0"/>
            <w:vAlign w:val="center"/>
          </w:tcPr>
          <w:p w14:paraId="509DAAB6">
            <w:pPr>
              <w:spacing w:line="240" w:lineRule="atLeas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招标代理服务费：参照计价格2002【1980】号文下浮</w:t>
            </w:r>
            <w:r>
              <w:rPr>
                <w:rFonts w:hint="eastAsia" w:ascii="宋体" w:hAnsi="宋体" w:cs="宋体"/>
                <w:color w:val="auto"/>
                <w:sz w:val="24"/>
                <w:highlight w:val="none"/>
                <w:lang w:val="en-US" w:eastAsia="zh-CN"/>
              </w:rPr>
              <w:t>2</w:t>
            </w:r>
            <w:bookmarkStart w:id="609" w:name="_GoBack"/>
            <w:bookmarkEnd w:id="609"/>
            <w:r>
              <w:rPr>
                <w:rFonts w:hint="eastAsia" w:ascii="宋体" w:hAnsi="宋体" w:eastAsia="宋体" w:cs="宋体"/>
                <w:color w:val="auto"/>
                <w:sz w:val="24"/>
                <w:highlight w:val="none"/>
                <w:lang w:val="en-US" w:eastAsia="zh-CN"/>
              </w:rPr>
              <w:t>0%计取，由成交</w:t>
            </w:r>
            <w:r>
              <w:rPr>
                <w:rFonts w:hint="eastAsia" w:ascii="宋体" w:hAnsi="宋体" w:cs="宋体"/>
                <w:color w:val="auto"/>
                <w:sz w:val="24"/>
                <w:highlight w:val="none"/>
                <w:lang w:val="en-US" w:eastAsia="zh-CN"/>
              </w:rPr>
              <w:t>供应商</w:t>
            </w:r>
            <w:r>
              <w:rPr>
                <w:rFonts w:hint="eastAsia" w:ascii="宋体" w:hAnsi="宋体" w:eastAsia="宋体" w:cs="宋体"/>
                <w:color w:val="auto"/>
                <w:sz w:val="24"/>
                <w:highlight w:val="none"/>
                <w:lang w:val="en-US" w:eastAsia="zh-CN"/>
              </w:rPr>
              <w:t>支付。</w:t>
            </w:r>
          </w:p>
          <w:p w14:paraId="2BDC07AB">
            <w:pPr>
              <w:spacing w:line="240" w:lineRule="atLeas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支付形式：对公转账  </w:t>
            </w:r>
          </w:p>
          <w:p w14:paraId="0767E9EA">
            <w:pPr>
              <w:spacing w:line="240" w:lineRule="atLeas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lang w:val="en-US" w:eastAsia="zh-CN"/>
              </w:rPr>
              <w:t>支付时间：领取成交通知书时</w:t>
            </w:r>
          </w:p>
        </w:tc>
      </w:tr>
      <w:tr w14:paraId="527257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468" w:type="dxa"/>
            <w:shd w:val="clear" w:color="auto" w:fill="auto"/>
            <w:noWrap w:val="0"/>
            <w:vAlign w:val="center"/>
          </w:tcPr>
          <w:p w14:paraId="02BD5B41">
            <w:pPr>
              <w:spacing w:line="240" w:lineRule="atLeast"/>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特别提示：</w:t>
            </w:r>
          </w:p>
        </w:tc>
        <w:tc>
          <w:tcPr>
            <w:tcW w:w="7050" w:type="dxa"/>
            <w:shd w:val="clear" w:color="auto" w:fill="auto"/>
            <w:noWrap w:val="0"/>
            <w:vAlign w:val="top"/>
          </w:tcPr>
          <w:p w14:paraId="7ECFF1D7">
            <w:pPr>
              <w:spacing w:line="240" w:lineRule="atLeast"/>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根据关于推动解决政府采购异常低价问题的通知财库〔2026〕2号</w:t>
            </w:r>
          </w:p>
          <w:p w14:paraId="28DC9CD7">
            <w:pPr>
              <w:spacing w:line="240" w:lineRule="atLeast"/>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（一）采购人应当在采购文件中明确，政府采购评审中出现下列情形之一的，评审委员会应当启动异常低价投标（响应）审查程序： </w:t>
            </w:r>
          </w:p>
          <w:p w14:paraId="1E71B28E">
            <w:pPr>
              <w:spacing w:line="240" w:lineRule="atLeast"/>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　　1.投标（响应）报价低于全部通过符合性审查供应商投标（响应）报价平均值50%的，即投标（响应）报价&lt;全部通过符合性审查供应商投标（响应）报价平均值×50%； </w:t>
            </w:r>
          </w:p>
          <w:p w14:paraId="112E3BC5">
            <w:pPr>
              <w:spacing w:line="240" w:lineRule="atLeast"/>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　　2.投标（响应）报价低于通过符合性审查的次低报价供应商投标（响应）报价50%的，即投标（响应）报价&lt;通过符合性审查的次低报价供应商投标（响应）报价×50%； </w:t>
            </w:r>
          </w:p>
          <w:p w14:paraId="56670025">
            <w:pPr>
              <w:spacing w:line="240" w:lineRule="atLeast"/>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　　3.投标（响应）报价低于采购项目最高限价45%的，即投标（响应）报价&lt;采购项目最高限价×45%； </w:t>
            </w:r>
          </w:p>
          <w:p w14:paraId="3FB150EA">
            <w:pPr>
              <w:spacing w:line="240" w:lineRule="atLeast"/>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　　4.评审委员会基于专业判断，认为供应商报价过低，有可能影响产品质量或者不能诚信履约的其他情形。 </w:t>
            </w:r>
          </w:p>
          <w:p w14:paraId="0433CABF">
            <w:pPr>
              <w:spacing w:line="240" w:lineRule="atLeast"/>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　（二）评审委员会启动异常低价审查后，应当要求相关供应商在评审现场合理的时间30分钟内对投标价格作出解释，提供项目具体成本测算等与报价合理性相关的书面说明及必要的证明材料，包括但不限于人工成本、物料成本、管理费用等。</w:t>
            </w:r>
          </w:p>
          <w:p w14:paraId="04F0A096">
            <w:pPr>
              <w:spacing w:line="240" w:lineRule="atLeast"/>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（三）供应商不能提供书面说明、证明材料，或者提供的书面说明、证明材料不能证明其报价合理性的，评审委员会应当将其作为无效投标处理。"</w:t>
            </w:r>
          </w:p>
        </w:tc>
      </w:tr>
      <w:tr w14:paraId="5994EB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6" w:hRule="atLeast"/>
        </w:trPr>
        <w:tc>
          <w:tcPr>
            <w:tcW w:w="8518" w:type="dxa"/>
            <w:gridSpan w:val="2"/>
            <w:noWrap w:val="0"/>
            <w:vAlign w:val="center"/>
          </w:tcPr>
          <w:p w14:paraId="54C6E3D5">
            <w:pPr>
              <w:spacing w:line="240" w:lineRule="atLeast"/>
              <w:rPr>
                <w:rFonts w:hint="eastAsia" w:ascii="宋体" w:hAnsi="宋体" w:eastAsia="宋体" w:cs="宋体"/>
                <w:b/>
                <w:bCs/>
                <w:color w:val="auto"/>
                <w:sz w:val="24"/>
                <w:highlight w:val="none"/>
                <w:lang w:val="en-US" w:eastAsia="zh-CN"/>
              </w:rPr>
            </w:pPr>
            <w:r>
              <w:rPr>
                <w:rFonts w:hint="eastAsia" w:ascii="宋体" w:hAnsi="宋体" w:eastAsia="宋体" w:cs="宋体"/>
                <w:color w:val="auto"/>
                <w:sz w:val="24"/>
                <w:highlight w:val="none"/>
                <w:lang w:val="en-US" w:eastAsia="zh-CN"/>
              </w:rPr>
              <w:t>适用于本投标人须知的额外增加的变动：</w:t>
            </w:r>
          </w:p>
        </w:tc>
      </w:tr>
    </w:tbl>
    <w:p w14:paraId="0536A87D">
      <w:pPr>
        <w:keepNext w:val="0"/>
        <w:keepLines w:val="0"/>
        <w:pageBreakBefore w:val="0"/>
        <w:widowControl w:val="0"/>
        <w:kinsoku/>
        <w:overflowPunct/>
        <w:bidi w:val="0"/>
        <w:spacing w:line="240" w:lineRule="atLeast"/>
        <w:ind w:left="1080" w:leftChars="257" w:hanging="540"/>
        <w:rPr>
          <w:rFonts w:hint="eastAsia" w:ascii="宋体" w:hAnsi="宋体" w:eastAsia="宋体" w:cs="宋体"/>
          <w:color w:val="auto"/>
          <w:sz w:val="24"/>
          <w:highlight w:val="none"/>
        </w:rPr>
        <w:sectPr>
          <w:headerReference r:id="rId6" w:type="default"/>
          <w:footerReference r:id="rId8" w:type="default"/>
          <w:headerReference r:id="rId7" w:type="even"/>
          <w:footerReference r:id="rId9" w:type="even"/>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docGrid w:linePitch="312" w:charSpace="0"/>
        </w:sectPr>
      </w:pPr>
    </w:p>
    <w:p w14:paraId="7C680F21">
      <w:pPr>
        <w:pStyle w:val="2"/>
        <w:keepNext w:val="0"/>
        <w:keepLines w:val="0"/>
        <w:pageBreakBefore w:val="0"/>
        <w:widowControl w:val="0"/>
        <w:numPr>
          <w:ilvl w:val="0"/>
          <w:numId w:val="0"/>
        </w:numPr>
        <w:tabs>
          <w:tab w:val="left" w:pos="0"/>
        </w:tabs>
        <w:kinsoku/>
        <w:overflowPunct/>
        <w:bidi w:val="0"/>
        <w:spacing w:before="0" w:after="0" w:line="240" w:lineRule="atLeast"/>
        <w:ind w:leftChars="0"/>
        <w:jc w:val="center"/>
        <w:rPr>
          <w:rFonts w:hint="eastAsia" w:ascii="宋体" w:hAnsi="宋体" w:eastAsia="宋体" w:cs="宋体"/>
          <w:color w:val="auto"/>
          <w:highlight w:val="none"/>
          <w:lang w:eastAsia="zh-CN"/>
        </w:rPr>
      </w:pPr>
      <w:bookmarkStart w:id="408" w:name="_Toc218935354"/>
      <w:bookmarkStart w:id="409" w:name="_Toc216582825"/>
      <w:bookmarkStart w:id="410" w:name="_Toc219175638"/>
      <w:bookmarkStart w:id="411" w:name="_Toc507399906"/>
      <w:bookmarkStart w:id="412" w:name="_Toc9032"/>
      <w:bookmarkStart w:id="413" w:name="_Toc22779"/>
      <w:bookmarkStart w:id="414" w:name="_Toc9887"/>
      <w:bookmarkStart w:id="415" w:name="_Toc515647831"/>
      <w:bookmarkStart w:id="416" w:name="_Toc512937852"/>
      <w:r>
        <w:rPr>
          <w:rFonts w:hint="eastAsia" w:ascii="宋体" w:hAnsi="宋体" w:eastAsia="宋体" w:cs="宋体"/>
          <w:color w:val="auto"/>
          <w:highlight w:val="none"/>
          <w:lang w:val="en-US" w:eastAsia="zh-CN"/>
        </w:rPr>
        <w:t xml:space="preserve">     </w:t>
      </w:r>
      <w:bookmarkEnd w:id="408"/>
      <w:bookmarkEnd w:id="409"/>
      <w:bookmarkEnd w:id="410"/>
      <w:bookmarkEnd w:id="411"/>
      <w:bookmarkEnd w:id="412"/>
      <w:bookmarkEnd w:id="413"/>
      <w:bookmarkEnd w:id="414"/>
      <w:bookmarkEnd w:id="415"/>
      <w:bookmarkEnd w:id="416"/>
      <w:r>
        <w:rPr>
          <w:rFonts w:hint="eastAsia" w:ascii="宋体" w:hAnsi="宋体" w:eastAsia="宋体" w:cs="宋体"/>
          <w:b/>
          <w:color w:val="auto"/>
          <w:highlight w:val="none"/>
          <w:lang w:eastAsia="zh-CN"/>
        </w:rPr>
        <w:t>第</w:t>
      </w:r>
      <w:r>
        <w:rPr>
          <w:rFonts w:hint="eastAsia" w:ascii="宋体" w:hAnsi="宋体" w:eastAsia="宋体" w:cs="宋体"/>
          <w:b/>
          <w:color w:val="auto"/>
          <w:highlight w:val="none"/>
          <w:lang w:val="en-US" w:eastAsia="zh-CN"/>
        </w:rPr>
        <w:t>5</w:t>
      </w:r>
      <w:r>
        <w:rPr>
          <w:rFonts w:hint="eastAsia" w:ascii="宋体" w:hAnsi="宋体" w:eastAsia="宋体" w:cs="宋体"/>
          <w:b/>
          <w:color w:val="auto"/>
          <w:highlight w:val="none"/>
          <w:lang w:eastAsia="zh-CN"/>
        </w:rPr>
        <w:t>章</w:t>
      </w:r>
      <w:r>
        <w:rPr>
          <w:rFonts w:hint="eastAsia" w:ascii="宋体" w:hAnsi="宋体" w:eastAsia="宋体" w:cs="宋体"/>
          <w:b/>
          <w:color w:val="auto"/>
          <w:highlight w:val="none"/>
          <w:lang w:val="en-US" w:eastAsia="zh-CN"/>
        </w:rPr>
        <w:t xml:space="preserve">  </w:t>
      </w:r>
      <w:r>
        <w:rPr>
          <w:rFonts w:hint="eastAsia" w:hAnsi="宋体" w:cs="宋体"/>
          <w:color w:val="auto"/>
          <w:highlight w:val="none"/>
          <w:lang w:eastAsia="zh-CN"/>
        </w:rPr>
        <w:t>服务需求一览表及项目要求</w:t>
      </w:r>
    </w:p>
    <w:p w14:paraId="404999DC">
      <w:pPr>
        <w:keepNext w:val="0"/>
        <w:keepLines w:val="0"/>
        <w:pageBreakBefore w:val="0"/>
        <w:widowControl w:val="0"/>
        <w:kinsoku/>
        <w:wordWrap/>
        <w:overflowPunct/>
        <w:topLinePunct w:val="0"/>
        <w:autoSpaceDE/>
        <w:autoSpaceDN/>
        <w:bidi w:val="0"/>
        <w:adjustRightInd/>
        <w:snapToGrid/>
        <w:spacing w:line="440" w:lineRule="exact"/>
        <w:ind w:firstLine="504" w:firstLineChars="200"/>
        <w:textAlignment w:val="auto"/>
        <w:rPr>
          <w:rFonts w:hint="eastAsia" w:ascii="宋体" w:hAnsi="宋体" w:eastAsia="宋体" w:cs="宋体"/>
          <w:spacing w:val="6"/>
          <w:sz w:val="24"/>
          <w:szCs w:val="24"/>
        </w:rPr>
      </w:pPr>
      <w:bookmarkStart w:id="417" w:name="_Toc7971"/>
      <w:bookmarkStart w:id="418" w:name="_Toc32647"/>
      <w:bookmarkStart w:id="419" w:name="_Toc507399907"/>
      <w:bookmarkStart w:id="420" w:name="_Toc515647832"/>
      <w:bookmarkStart w:id="421" w:name="_Toc23331"/>
      <w:r>
        <w:rPr>
          <w:rFonts w:hint="eastAsia" w:ascii="宋体" w:hAnsi="宋体" w:eastAsia="宋体" w:cs="宋体"/>
          <w:spacing w:val="6"/>
          <w:sz w:val="24"/>
          <w:szCs w:val="24"/>
        </w:rPr>
        <w:t>一、项目概况</w:t>
      </w:r>
    </w:p>
    <w:p w14:paraId="106CE644">
      <w:pPr>
        <w:keepNext w:val="0"/>
        <w:keepLines w:val="0"/>
        <w:pageBreakBefore w:val="0"/>
        <w:widowControl w:val="0"/>
        <w:kinsoku/>
        <w:wordWrap/>
        <w:overflowPunct/>
        <w:topLinePunct w:val="0"/>
        <w:autoSpaceDE/>
        <w:autoSpaceDN/>
        <w:bidi w:val="0"/>
        <w:adjustRightInd/>
        <w:snapToGrid/>
        <w:spacing w:line="440" w:lineRule="exact"/>
        <w:ind w:firstLine="506" w:firstLineChars="200"/>
        <w:textAlignment w:val="auto"/>
        <w:rPr>
          <w:rFonts w:hint="eastAsia" w:ascii="宋体" w:hAnsi="宋体" w:eastAsia="宋体" w:cs="宋体"/>
          <w:b/>
          <w:bCs/>
          <w:spacing w:val="6"/>
          <w:sz w:val="24"/>
          <w:szCs w:val="24"/>
        </w:rPr>
      </w:pPr>
      <w:r>
        <w:rPr>
          <w:rFonts w:hint="eastAsia" w:ascii="宋体" w:hAnsi="宋体" w:eastAsia="宋体" w:cs="宋体"/>
          <w:b/>
          <w:bCs/>
          <w:spacing w:val="6"/>
          <w:sz w:val="24"/>
          <w:szCs w:val="24"/>
        </w:rPr>
        <w:t>（一）项目名称</w:t>
      </w:r>
    </w:p>
    <w:p w14:paraId="13B57BB4">
      <w:pPr>
        <w:keepNext w:val="0"/>
        <w:keepLines w:val="0"/>
        <w:pageBreakBefore w:val="0"/>
        <w:widowControl w:val="0"/>
        <w:kinsoku/>
        <w:wordWrap/>
        <w:overflowPunct/>
        <w:topLinePunct w:val="0"/>
        <w:autoSpaceDE/>
        <w:autoSpaceDN/>
        <w:bidi w:val="0"/>
        <w:adjustRightInd/>
        <w:snapToGrid/>
        <w:spacing w:line="440" w:lineRule="exact"/>
        <w:ind w:firstLine="504" w:firstLineChars="200"/>
        <w:textAlignment w:val="auto"/>
        <w:rPr>
          <w:rFonts w:hint="eastAsia" w:ascii="宋体" w:hAnsi="宋体" w:eastAsia="宋体" w:cs="宋体"/>
          <w:spacing w:val="6"/>
          <w:sz w:val="24"/>
          <w:szCs w:val="24"/>
        </w:rPr>
      </w:pPr>
      <w:r>
        <w:rPr>
          <w:rFonts w:hint="eastAsia" w:ascii="宋体" w:hAnsi="宋体" w:eastAsia="宋体" w:cs="宋体"/>
          <w:spacing w:val="6"/>
          <w:sz w:val="24"/>
          <w:szCs w:val="24"/>
          <w:lang w:eastAsia="zh-CN"/>
        </w:rPr>
        <w:t>喀什市水上专项运动场地搭建服务项目</w:t>
      </w:r>
    </w:p>
    <w:p w14:paraId="504B9FDE">
      <w:pPr>
        <w:keepNext w:val="0"/>
        <w:keepLines w:val="0"/>
        <w:pageBreakBefore w:val="0"/>
        <w:widowControl w:val="0"/>
        <w:kinsoku/>
        <w:wordWrap/>
        <w:overflowPunct/>
        <w:topLinePunct w:val="0"/>
        <w:autoSpaceDE/>
        <w:autoSpaceDN/>
        <w:bidi w:val="0"/>
        <w:adjustRightInd/>
        <w:snapToGrid/>
        <w:spacing w:line="440" w:lineRule="exact"/>
        <w:ind w:firstLine="506" w:firstLineChars="200"/>
        <w:textAlignment w:val="auto"/>
        <w:rPr>
          <w:rFonts w:hint="eastAsia" w:ascii="宋体" w:hAnsi="宋体" w:eastAsia="宋体" w:cs="宋体"/>
          <w:b/>
          <w:bCs/>
          <w:spacing w:val="6"/>
          <w:sz w:val="24"/>
          <w:szCs w:val="24"/>
        </w:rPr>
      </w:pPr>
      <w:r>
        <w:rPr>
          <w:rFonts w:hint="eastAsia" w:ascii="宋体" w:hAnsi="宋体" w:eastAsia="宋体" w:cs="宋体"/>
          <w:b/>
          <w:bCs/>
          <w:spacing w:val="6"/>
          <w:sz w:val="24"/>
          <w:szCs w:val="24"/>
        </w:rPr>
        <w:t>（二）项目地点</w:t>
      </w:r>
    </w:p>
    <w:p w14:paraId="4956A5AC">
      <w:pPr>
        <w:keepNext w:val="0"/>
        <w:keepLines w:val="0"/>
        <w:pageBreakBefore w:val="0"/>
        <w:widowControl w:val="0"/>
        <w:kinsoku/>
        <w:wordWrap/>
        <w:overflowPunct/>
        <w:topLinePunct w:val="0"/>
        <w:autoSpaceDE/>
        <w:autoSpaceDN/>
        <w:bidi w:val="0"/>
        <w:adjustRightInd/>
        <w:snapToGrid/>
        <w:spacing w:line="440" w:lineRule="exact"/>
        <w:ind w:firstLine="504" w:firstLineChars="200"/>
        <w:textAlignment w:val="auto"/>
        <w:rPr>
          <w:rFonts w:hint="eastAsia" w:ascii="宋体" w:hAnsi="宋体" w:eastAsia="宋体" w:cs="宋体"/>
          <w:spacing w:val="6"/>
          <w:sz w:val="24"/>
          <w:szCs w:val="24"/>
        </w:rPr>
      </w:pPr>
      <w:r>
        <w:rPr>
          <w:rFonts w:hint="eastAsia" w:ascii="宋体" w:hAnsi="宋体" w:eastAsia="宋体" w:cs="宋体"/>
          <w:spacing w:val="6"/>
          <w:sz w:val="24"/>
          <w:szCs w:val="24"/>
        </w:rPr>
        <w:t>东湖指定水域及沿岸陆地区域</w:t>
      </w:r>
    </w:p>
    <w:p w14:paraId="6A91AC36">
      <w:pPr>
        <w:keepNext w:val="0"/>
        <w:keepLines w:val="0"/>
        <w:pageBreakBefore w:val="0"/>
        <w:widowControl w:val="0"/>
        <w:kinsoku/>
        <w:wordWrap/>
        <w:overflowPunct/>
        <w:topLinePunct w:val="0"/>
        <w:autoSpaceDE/>
        <w:autoSpaceDN/>
        <w:bidi w:val="0"/>
        <w:adjustRightInd/>
        <w:snapToGrid/>
        <w:spacing w:line="440" w:lineRule="exact"/>
        <w:ind w:firstLine="506" w:firstLineChars="200"/>
        <w:textAlignment w:val="auto"/>
        <w:rPr>
          <w:rFonts w:hint="eastAsia" w:ascii="宋体" w:hAnsi="宋体" w:eastAsia="宋体" w:cs="宋体"/>
          <w:b/>
          <w:bCs/>
          <w:spacing w:val="6"/>
          <w:sz w:val="24"/>
          <w:szCs w:val="24"/>
        </w:rPr>
      </w:pPr>
      <w:r>
        <w:rPr>
          <w:rFonts w:hint="eastAsia" w:ascii="宋体" w:hAnsi="宋体" w:eastAsia="宋体" w:cs="宋体"/>
          <w:b/>
          <w:bCs/>
          <w:spacing w:val="6"/>
          <w:sz w:val="24"/>
          <w:szCs w:val="24"/>
        </w:rPr>
        <w:t>（三）采购背景与目的</w:t>
      </w:r>
    </w:p>
    <w:p w14:paraId="6FE1E663">
      <w:pPr>
        <w:keepNext w:val="0"/>
        <w:keepLines w:val="0"/>
        <w:pageBreakBefore w:val="0"/>
        <w:widowControl w:val="0"/>
        <w:kinsoku/>
        <w:wordWrap/>
        <w:overflowPunct/>
        <w:topLinePunct w:val="0"/>
        <w:autoSpaceDE/>
        <w:autoSpaceDN/>
        <w:bidi w:val="0"/>
        <w:adjustRightInd/>
        <w:snapToGrid/>
        <w:spacing w:line="440" w:lineRule="exact"/>
        <w:ind w:firstLine="504" w:firstLineChars="200"/>
        <w:textAlignment w:val="auto"/>
        <w:rPr>
          <w:rFonts w:hint="eastAsia" w:ascii="宋体" w:hAnsi="宋体" w:eastAsia="宋体" w:cs="宋体"/>
          <w:spacing w:val="6"/>
          <w:sz w:val="24"/>
          <w:szCs w:val="24"/>
        </w:rPr>
      </w:pPr>
      <w:r>
        <w:rPr>
          <w:rFonts w:hint="eastAsia" w:ascii="宋体" w:hAnsi="宋体" w:eastAsia="宋体" w:cs="宋体"/>
          <w:spacing w:val="6"/>
          <w:sz w:val="24"/>
          <w:szCs w:val="24"/>
        </w:rPr>
        <w:t>为深入贯彻落实习近平总书记关于体育强国建设、全民健身国家战略的重要论述精神，充分利用东湖水域自然禀赋，补齐水上卡丁船、水上动力竞速赛事专业基础设施短板，完善水上赛事承办硬件配套，常态化开展群众水上体育活动，丰富全民健身活动场景，有形有感有效铸牢中华民族共同体意识。本次专项基地搭建严格限定于水上卡丁船及各类水上动力竞速比赛专用需求，通过标准化搭建专业赛道、停靠码头、安全防护、便民配套、水电运维及应急救生设施，保障赛事安全规范、有序高效举办，持续完善区域全民健身公共服务体系。</w:t>
      </w:r>
    </w:p>
    <w:p w14:paraId="095A8B03">
      <w:pPr>
        <w:keepNext w:val="0"/>
        <w:keepLines w:val="0"/>
        <w:pageBreakBefore w:val="0"/>
        <w:widowControl w:val="0"/>
        <w:kinsoku/>
        <w:wordWrap/>
        <w:overflowPunct/>
        <w:topLinePunct w:val="0"/>
        <w:autoSpaceDE/>
        <w:autoSpaceDN/>
        <w:bidi w:val="0"/>
        <w:adjustRightInd/>
        <w:snapToGrid/>
        <w:spacing w:line="440" w:lineRule="exact"/>
        <w:ind w:firstLine="504" w:firstLineChars="200"/>
        <w:textAlignment w:val="auto"/>
        <w:rPr>
          <w:rFonts w:hint="eastAsia" w:ascii="宋体" w:hAnsi="宋体" w:eastAsia="宋体" w:cs="宋体"/>
          <w:spacing w:val="6"/>
          <w:sz w:val="24"/>
          <w:szCs w:val="24"/>
        </w:rPr>
      </w:pPr>
      <w:r>
        <w:rPr>
          <w:rFonts w:hint="eastAsia" w:ascii="宋体" w:hAnsi="宋体" w:eastAsia="宋体" w:cs="宋体"/>
          <w:spacing w:val="6"/>
          <w:sz w:val="24"/>
          <w:szCs w:val="24"/>
        </w:rPr>
        <w:t>二、项目定位</w:t>
      </w:r>
    </w:p>
    <w:p w14:paraId="3CC82EBC">
      <w:pPr>
        <w:keepNext w:val="0"/>
        <w:keepLines w:val="0"/>
        <w:pageBreakBefore w:val="0"/>
        <w:widowControl w:val="0"/>
        <w:kinsoku/>
        <w:wordWrap/>
        <w:overflowPunct/>
        <w:topLinePunct w:val="0"/>
        <w:autoSpaceDE/>
        <w:autoSpaceDN/>
        <w:bidi w:val="0"/>
        <w:adjustRightInd/>
        <w:snapToGrid/>
        <w:spacing w:line="440" w:lineRule="exact"/>
        <w:ind w:firstLine="504" w:firstLineChars="200"/>
        <w:textAlignment w:val="auto"/>
        <w:rPr>
          <w:rFonts w:hint="eastAsia" w:ascii="宋体" w:hAnsi="宋体" w:eastAsia="宋体" w:cs="宋体"/>
          <w:spacing w:val="6"/>
          <w:sz w:val="24"/>
          <w:szCs w:val="24"/>
        </w:rPr>
      </w:pPr>
      <w:r>
        <w:rPr>
          <w:rFonts w:hint="eastAsia" w:ascii="宋体" w:hAnsi="宋体" w:eastAsia="宋体" w:cs="宋体"/>
          <w:spacing w:val="6"/>
          <w:sz w:val="24"/>
          <w:szCs w:val="24"/>
        </w:rPr>
        <w:t>本项目专项适配水上动力类竞速比赛专属使用，所有浮筒、赛道、码头、防撞、隔离设施均按动力船只高速行驶、启停停靠、抗冲击、抗风浪标准配置，精准满足动力赛事赛道划分、船只停泊、安全隔离、现场保障全部需求。</w:t>
      </w:r>
    </w:p>
    <w:p w14:paraId="0DB40118">
      <w:pPr>
        <w:keepNext w:val="0"/>
        <w:keepLines w:val="0"/>
        <w:pageBreakBefore w:val="0"/>
        <w:widowControl w:val="0"/>
        <w:kinsoku/>
        <w:wordWrap/>
        <w:overflowPunct/>
        <w:topLinePunct w:val="0"/>
        <w:autoSpaceDE/>
        <w:autoSpaceDN/>
        <w:bidi w:val="0"/>
        <w:adjustRightInd/>
        <w:snapToGrid/>
        <w:spacing w:line="440" w:lineRule="exact"/>
        <w:ind w:firstLine="504" w:firstLineChars="200"/>
        <w:textAlignment w:val="auto"/>
        <w:rPr>
          <w:rFonts w:hint="eastAsia" w:ascii="宋体" w:hAnsi="宋体" w:eastAsia="宋体" w:cs="宋体"/>
          <w:spacing w:val="6"/>
          <w:sz w:val="24"/>
          <w:szCs w:val="24"/>
        </w:rPr>
      </w:pPr>
      <w:r>
        <w:rPr>
          <w:rFonts w:hint="eastAsia" w:ascii="宋体" w:hAnsi="宋体" w:eastAsia="宋体" w:cs="宋体"/>
          <w:spacing w:val="6"/>
          <w:sz w:val="24"/>
          <w:szCs w:val="24"/>
        </w:rPr>
        <w:t>三、采购内容</w:t>
      </w:r>
    </w:p>
    <w:p w14:paraId="7DBE522A">
      <w:pPr>
        <w:keepNext w:val="0"/>
        <w:keepLines w:val="0"/>
        <w:pageBreakBefore w:val="0"/>
        <w:widowControl w:val="0"/>
        <w:kinsoku/>
        <w:wordWrap/>
        <w:overflowPunct/>
        <w:topLinePunct w:val="0"/>
        <w:autoSpaceDE/>
        <w:autoSpaceDN/>
        <w:bidi w:val="0"/>
        <w:adjustRightInd/>
        <w:snapToGrid/>
        <w:spacing w:line="440" w:lineRule="exact"/>
        <w:ind w:firstLine="506" w:firstLineChars="200"/>
        <w:textAlignment w:val="auto"/>
        <w:rPr>
          <w:rFonts w:hint="eastAsia" w:ascii="宋体" w:hAnsi="宋体" w:eastAsia="宋体" w:cs="宋体"/>
          <w:b/>
          <w:bCs/>
          <w:spacing w:val="6"/>
          <w:sz w:val="24"/>
          <w:szCs w:val="24"/>
        </w:rPr>
      </w:pPr>
      <w:r>
        <w:rPr>
          <w:rFonts w:hint="eastAsia" w:ascii="宋体" w:hAnsi="宋体" w:eastAsia="宋体" w:cs="宋体"/>
          <w:b/>
          <w:bCs/>
          <w:spacing w:val="6"/>
          <w:sz w:val="24"/>
          <w:szCs w:val="24"/>
        </w:rPr>
        <w:t>（一）水上基地主体搭建</w:t>
      </w:r>
    </w:p>
    <w:p w14:paraId="325331E2">
      <w:pPr>
        <w:keepNext w:val="0"/>
        <w:keepLines w:val="0"/>
        <w:pageBreakBefore w:val="0"/>
        <w:widowControl w:val="0"/>
        <w:kinsoku/>
        <w:wordWrap/>
        <w:overflowPunct/>
        <w:topLinePunct w:val="0"/>
        <w:autoSpaceDE/>
        <w:autoSpaceDN/>
        <w:bidi w:val="0"/>
        <w:adjustRightInd/>
        <w:snapToGrid/>
        <w:spacing w:line="440" w:lineRule="exact"/>
        <w:ind w:firstLine="506" w:firstLineChars="200"/>
        <w:textAlignment w:val="auto"/>
        <w:rPr>
          <w:rFonts w:hint="eastAsia" w:ascii="宋体" w:hAnsi="宋体" w:eastAsia="宋体" w:cs="宋体"/>
          <w:spacing w:val="6"/>
          <w:sz w:val="24"/>
          <w:szCs w:val="24"/>
        </w:rPr>
      </w:pPr>
      <w:r>
        <w:rPr>
          <w:rFonts w:hint="eastAsia" w:ascii="宋体" w:hAnsi="宋体" w:eastAsia="宋体" w:cs="宋体"/>
          <w:b/>
          <w:bCs/>
          <w:spacing w:val="6"/>
          <w:sz w:val="24"/>
          <w:szCs w:val="24"/>
        </w:rPr>
        <w:t>临时赛道浮筒租赁：</w:t>
      </w:r>
      <w:r>
        <w:rPr>
          <w:rFonts w:hint="eastAsia" w:ascii="宋体" w:hAnsi="宋体" w:eastAsia="宋体" w:cs="宋体"/>
          <w:spacing w:val="6"/>
          <w:sz w:val="24"/>
          <w:szCs w:val="24"/>
        </w:rPr>
        <w:t>1200mm×300mm×500mm浮筒，高强度抗UV，红色/赛事专用配色，模块化可快速拆装，赛道边界围挡专用2000米搭建拆除。</w:t>
      </w:r>
    </w:p>
    <w:p w14:paraId="0A4EFCF9">
      <w:pPr>
        <w:keepNext w:val="0"/>
        <w:keepLines w:val="0"/>
        <w:pageBreakBefore w:val="0"/>
        <w:widowControl w:val="0"/>
        <w:kinsoku/>
        <w:wordWrap/>
        <w:overflowPunct/>
        <w:topLinePunct w:val="0"/>
        <w:autoSpaceDE/>
        <w:autoSpaceDN/>
        <w:bidi w:val="0"/>
        <w:adjustRightInd/>
        <w:snapToGrid/>
        <w:spacing w:line="440" w:lineRule="exact"/>
        <w:ind w:firstLine="506" w:firstLineChars="200"/>
        <w:textAlignment w:val="auto"/>
        <w:rPr>
          <w:rFonts w:hint="eastAsia" w:ascii="宋体" w:hAnsi="宋体" w:eastAsia="宋体" w:cs="宋体"/>
          <w:spacing w:val="6"/>
          <w:sz w:val="24"/>
          <w:szCs w:val="24"/>
        </w:rPr>
      </w:pPr>
      <w:r>
        <w:rPr>
          <w:rFonts w:hint="eastAsia" w:ascii="宋体" w:hAnsi="宋体" w:eastAsia="宋体" w:cs="宋体"/>
          <w:b/>
          <w:bCs/>
          <w:spacing w:val="6"/>
          <w:sz w:val="24"/>
          <w:szCs w:val="24"/>
        </w:rPr>
        <w:t>临时办公房搭建：</w:t>
      </w:r>
      <w:r>
        <w:rPr>
          <w:rFonts w:hint="eastAsia" w:ascii="宋体" w:hAnsi="宋体" w:eastAsia="宋体" w:cs="宋体"/>
          <w:spacing w:val="6"/>
          <w:sz w:val="24"/>
          <w:szCs w:val="24"/>
        </w:rPr>
        <w:t>集装箱标准临建3m×6m，岩棉防火夹芯板，轻钢框架，含门窗、简易水电、地面找平，含拆除，共1座。</w:t>
      </w:r>
    </w:p>
    <w:p w14:paraId="50ED4233">
      <w:pPr>
        <w:keepNext w:val="0"/>
        <w:keepLines w:val="0"/>
        <w:pageBreakBefore w:val="0"/>
        <w:widowControl w:val="0"/>
        <w:kinsoku/>
        <w:wordWrap/>
        <w:overflowPunct/>
        <w:topLinePunct w:val="0"/>
        <w:autoSpaceDE/>
        <w:autoSpaceDN/>
        <w:bidi w:val="0"/>
        <w:adjustRightInd/>
        <w:snapToGrid/>
        <w:spacing w:line="440" w:lineRule="exact"/>
        <w:ind w:firstLine="506" w:firstLineChars="200"/>
        <w:textAlignment w:val="auto"/>
        <w:rPr>
          <w:rFonts w:hint="eastAsia" w:ascii="宋体" w:hAnsi="宋体" w:eastAsia="宋体" w:cs="宋体"/>
          <w:spacing w:val="6"/>
          <w:sz w:val="24"/>
          <w:szCs w:val="24"/>
        </w:rPr>
      </w:pPr>
      <w:r>
        <w:rPr>
          <w:rFonts w:hint="eastAsia" w:ascii="宋体" w:hAnsi="宋体" w:eastAsia="宋体" w:cs="宋体"/>
          <w:b/>
          <w:bCs/>
          <w:spacing w:val="6"/>
          <w:sz w:val="24"/>
          <w:szCs w:val="24"/>
        </w:rPr>
        <w:t>驳船码头浮筒：</w:t>
      </w:r>
      <w:r>
        <w:rPr>
          <w:rFonts w:hint="eastAsia" w:ascii="宋体" w:hAnsi="宋体" w:eastAsia="宋体" w:cs="宋体"/>
          <w:spacing w:val="6"/>
          <w:sz w:val="24"/>
          <w:szCs w:val="24"/>
        </w:rPr>
        <w:t>含6个驳船位，加厚海上专用浮筒500×500×500mm，抗浪抗老化，HDPE全新料，侧边防撞一体设计，总面积200平方。</w:t>
      </w:r>
    </w:p>
    <w:p w14:paraId="20B3F8A7">
      <w:pPr>
        <w:keepNext w:val="0"/>
        <w:keepLines w:val="0"/>
        <w:pageBreakBefore w:val="0"/>
        <w:widowControl w:val="0"/>
        <w:kinsoku/>
        <w:wordWrap/>
        <w:overflowPunct/>
        <w:topLinePunct w:val="0"/>
        <w:autoSpaceDE/>
        <w:autoSpaceDN/>
        <w:bidi w:val="0"/>
        <w:adjustRightInd/>
        <w:snapToGrid/>
        <w:spacing w:line="440" w:lineRule="exact"/>
        <w:ind w:firstLine="506" w:firstLineChars="200"/>
        <w:textAlignment w:val="auto"/>
        <w:rPr>
          <w:rFonts w:hint="eastAsia" w:ascii="宋体" w:hAnsi="宋体" w:eastAsia="宋体" w:cs="宋体"/>
          <w:spacing w:val="6"/>
          <w:sz w:val="24"/>
          <w:szCs w:val="24"/>
        </w:rPr>
      </w:pPr>
      <w:r>
        <w:rPr>
          <w:rFonts w:hint="eastAsia" w:ascii="宋体" w:hAnsi="宋体" w:eastAsia="宋体" w:cs="宋体"/>
          <w:b/>
          <w:bCs/>
          <w:spacing w:val="6"/>
          <w:sz w:val="24"/>
          <w:szCs w:val="24"/>
        </w:rPr>
        <w:t>固定锚栓租赁：</w:t>
      </w:r>
      <w:r>
        <w:rPr>
          <w:rFonts w:hint="eastAsia" w:ascii="宋体" w:hAnsi="宋体" w:eastAsia="宋体" w:cs="宋体"/>
          <w:spacing w:val="6"/>
          <w:sz w:val="24"/>
          <w:szCs w:val="24"/>
        </w:rPr>
        <w:t>M16热镀锌膨胀锚栓，抗腐蚀，加水泥墩，规格300mm×300mm，共800个。</w:t>
      </w:r>
    </w:p>
    <w:p w14:paraId="7E6BB864">
      <w:pPr>
        <w:keepNext w:val="0"/>
        <w:keepLines w:val="0"/>
        <w:pageBreakBefore w:val="0"/>
        <w:widowControl w:val="0"/>
        <w:kinsoku/>
        <w:wordWrap/>
        <w:overflowPunct/>
        <w:topLinePunct w:val="0"/>
        <w:autoSpaceDE/>
        <w:autoSpaceDN/>
        <w:bidi w:val="0"/>
        <w:adjustRightInd/>
        <w:snapToGrid/>
        <w:spacing w:line="440" w:lineRule="exact"/>
        <w:ind w:firstLine="506" w:firstLineChars="200"/>
        <w:textAlignment w:val="auto"/>
        <w:rPr>
          <w:rFonts w:hint="eastAsia" w:ascii="宋体" w:hAnsi="宋体" w:eastAsia="宋体" w:cs="宋体"/>
          <w:spacing w:val="6"/>
          <w:sz w:val="24"/>
          <w:szCs w:val="24"/>
        </w:rPr>
      </w:pPr>
      <w:r>
        <w:rPr>
          <w:rFonts w:hint="eastAsia" w:ascii="宋体" w:hAnsi="宋体" w:eastAsia="宋体" w:cs="宋体"/>
          <w:b/>
          <w:bCs/>
          <w:spacing w:val="6"/>
          <w:sz w:val="24"/>
          <w:szCs w:val="24"/>
        </w:rPr>
        <w:t>浮筒安全围栏租赁：</w:t>
      </w:r>
      <w:r>
        <w:rPr>
          <w:rFonts w:hint="eastAsia" w:ascii="宋体" w:hAnsi="宋体" w:eastAsia="宋体" w:cs="宋体"/>
          <w:spacing w:val="6"/>
          <w:sz w:val="24"/>
          <w:szCs w:val="24"/>
        </w:rPr>
        <w:t>水上专用安全护栏，高度1.1m，高强度抗UV，配浮筒专用底座，可拆卸拼接，共80米。</w:t>
      </w:r>
    </w:p>
    <w:p w14:paraId="4F155F2F">
      <w:pPr>
        <w:keepNext w:val="0"/>
        <w:keepLines w:val="0"/>
        <w:pageBreakBefore w:val="0"/>
        <w:widowControl w:val="0"/>
        <w:kinsoku/>
        <w:wordWrap/>
        <w:overflowPunct/>
        <w:topLinePunct w:val="0"/>
        <w:autoSpaceDE/>
        <w:autoSpaceDN/>
        <w:bidi w:val="0"/>
        <w:adjustRightInd/>
        <w:snapToGrid/>
        <w:spacing w:line="440" w:lineRule="exact"/>
        <w:ind w:firstLine="506" w:firstLineChars="200"/>
        <w:textAlignment w:val="auto"/>
        <w:rPr>
          <w:rFonts w:hint="eastAsia" w:ascii="宋体" w:hAnsi="宋体" w:eastAsia="宋体" w:cs="宋体"/>
          <w:spacing w:val="6"/>
          <w:sz w:val="24"/>
          <w:szCs w:val="24"/>
        </w:rPr>
      </w:pPr>
      <w:r>
        <w:rPr>
          <w:rFonts w:hint="eastAsia" w:ascii="宋体" w:hAnsi="宋体" w:eastAsia="宋体" w:cs="宋体"/>
          <w:b/>
          <w:bCs/>
          <w:spacing w:val="6"/>
          <w:sz w:val="24"/>
          <w:szCs w:val="24"/>
        </w:rPr>
        <w:t>防撞护盾租赁：</w:t>
      </w:r>
      <w:r>
        <w:rPr>
          <w:rFonts w:hint="eastAsia" w:ascii="宋体" w:hAnsi="宋体" w:eastAsia="宋体" w:cs="宋体"/>
          <w:spacing w:val="6"/>
          <w:sz w:val="24"/>
          <w:szCs w:val="24"/>
        </w:rPr>
        <w:t>D型/圆柱形橡胶护舷Φ300×500mm，天然橡胶耐磨防撞，码头、浮筒侧边缓冲防护，共80个。</w:t>
      </w:r>
    </w:p>
    <w:p w14:paraId="42BB0CEA">
      <w:pPr>
        <w:keepNext w:val="0"/>
        <w:keepLines w:val="0"/>
        <w:pageBreakBefore w:val="0"/>
        <w:widowControl w:val="0"/>
        <w:kinsoku/>
        <w:wordWrap/>
        <w:overflowPunct/>
        <w:topLinePunct w:val="0"/>
        <w:autoSpaceDE/>
        <w:autoSpaceDN/>
        <w:bidi w:val="0"/>
        <w:adjustRightInd/>
        <w:snapToGrid/>
        <w:spacing w:line="440" w:lineRule="exact"/>
        <w:ind w:firstLine="506" w:firstLineChars="200"/>
        <w:textAlignment w:val="auto"/>
        <w:rPr>
          <w:rFonts w:hint="eastAsia" w:ascii="宋体" w:hAnsi="宋体" w:eastAsia="宋体" w:cs="宋体"/>
          <w:b/>
          <w:bCs/>
          <w:spacing w:val="6"/>
          <w:sz w:val="24"/>
          <w:szCs w:val="24"/>
        </w:rPr>
      </w:pPr>
      <w:r>
        <w:rPr>
          <w:rFonts w:hint="eastAsia" w:ascii="宋体" w:hAnsi="宋体" w:eastAsia="宋体" w:cs="宋体"/>
          <w:b/>
          <w:bCs/>
          <w:spacing w:val="6"/>
          <w:sz w:val="24"/>
          <w:szCs w:val="24"/>
        </w:rPr>
        <w:t>（二）公共服务</w:t>
      </w:r>
    </w:p>
    <w:p w14:paraId="2C8317B4">
      <w:pPr>
        <w:keepNext w:val="0"/>
        <w:keepLines w:val="0"/>
        <w:pageBreakBefore w:val="0"/>
        <w:widowControl w:val="0"/>
        <w:kinsoku/>
        <w:wordWrap/>
        <w:overflowPunct/>
        <w:topLinePunct w:val="0"/>
        <w:autoSpaceDE/>
        <w:autoSpaceDN/>
        <w:bidi w:val="0"/>
        <w:adjustRightInd/>
        <w:snapToGrid/>
        <w:spacing w:line="440" w:lineRule="exact"/>
        <w:ind w:firstLine="506" w:firstLineChars="200"/>
        <w:textAlignment w:val="auto"/>
        <w:rPr>
          <w:rFonts w:hint="eastAsia" w:ascii="宋体" w:hAnsi="宋体" w:eastAsia="宋体" w:cs="宋体"/>
          <w:spacing w:val="6"/>
          <w:sz w:val="24"/>
          <w:szCs w:val="24"/>
        </w:rPr>
      </w:pPr>
      <w:r>
        <w:rPr>
          <w:rFonts w:hint="eastAsia" w:ascii="宋体" w:hAnsi="宋体" w:eastAsia="宋体" w:cs="宋体"/>
          <w:b/>
          <w:bCs/>
          <w:spacing w:val="6"/>
          <w:sz w:val="24"/>
          <w:szCs w:val="24"/>
        </w:rPr>
        <w:t>发令台临时搭建：</w:t>
      </w:r>
      <w:r>
        <w:rPr>
          <w:rFonts w:hint="eastAsia" w:ascii="宋体" w:hAnsi="宋体" w:eastAsia="宋体" w:cs="宋体"/>
          <w:spacing w:val="6"/>
          <w:sz w:val="24"/>
          <w:szCs w:val="24"/>
        </w:rPr>
        <w:t>30个45×45cm浮筒，高强度抗UV，红色/赛事专用配色，模块化可快速拆装。</w:t>
      </w:r>
    </w:p>
    <w:p w14:paraId="648FBF2F">
      <w:pPr>
        <w:keepNext w:val="0"/>
        <w:keepLines w:val="0"/>
        <w:pageBreakBefore w:val="0"/>
        <w:widowControl w:val="0"/>
        <w:kinsoku/>
        <w:wordWrap/>
        <w:overflowPunct/>
        <w:topLinePunct w:val="0"/>
        <w:autoSpaceDE/>
        <w:autoSpaceDN/>
        <w:bidi w:val="0"/>
        <w:adjustRightInd/>
        <w:snapToGrid/>
        <w:spacing w:line="440" w:lineRule="exact"/>
        <w:ind w:firstLine="506" w:firstLineChars="200"/>
        <w:textAlignment w:val="auto"/>
        <w:rPr>
          <w:rFonts w:hint="eastAsia" w:ascii="宋体" w:hAnsi="宋体" w:eastAsia="宋体" w:cs="宋体"/>
          <w:spacing w:val="6"/>
          <w:sz w:val="24"/>
          <w:szCs w:val="24"/>
        </w:rPr>
      </w:pPr>
      <w:r>
        <w:rPr>
          <w:rFonts w:hint="eastAsia" w:ascii="宋体" w:hAnsi="宋体" w:eastAsia="宋体" w:cs="宋体"/>
          <w:b/>
          <w:bCs/>
          <w:spacing w:val="6"/>
          <w:sz w:val="24"/>
          <w:szCs w:val="24"/>
        </w:rPr>
        <w:t>租赁公共休息遮阳设施：</w:t>
      </w:r>
      <w:r>
        <w:rPr>
          <w:rFonts w:hint="eastAsia" w:ascii="宋体" w:hAnsi="宋体" w:eastAsia="宋体" w:cs="宋体"/>
          <w:spacing w:val="6"/>
          <w:sz w:val="24"/>
          <w:szCs w:val="24"/>
        </w:rPr>
        <w:t>户外遮阳棚3m×3m，钢结构骨架+加厚牛津布顶，防晒防雨，可移动组装20个。</w:t>
      </w:r>
    </w:p>
    <w:p w14:paraId="6FD7F4FF">
      <w:pPr>
        <w:keepNext w:val="0"/>
        <w:keepLines w:val="0"/>
        <w:pageBreakBefore w:val="0"/>
        <w:widowControl w:val="0"/>
        <w:kinsoku/>
        <w:wordWrap/>
        <w:overflowPunct/>
        <w:topLinePunct w:val="0"/>
        <w:autoSpaceDE/>
        <w:autoSpaceDN/>
        <w:bidi w:val="0"/>
        <w:adjustRightInd/>
        <w:snapToGrid/>
        <w:spacing w:line="440" w:lineRule="exact"/>
        <w:ind w:firstLine="506" w:firstLineChars="200"/>
        <w:textAlignment w:val="auto"/>
        <w:rPr>
          <w:rFonts w:hint="eastAsia" w:ascii="宋体" w:hAnsi="宋体" w:eastAsia="宋体" w:cs="宋体"/>
          <w:spacing w:val="6"/>
          <w:sz w:val="24"/>
          <w:szCs w:val="24"/>
        </w:rPr>
      </w:pPr>
      <w:r>
        <w:rPr>
          <w:rFonts w:hint="eastAsia" w:ascii="宋体" w:hAnsi="宋体" w:eastAsia="宋体" w:cs="宋体"/>
          <w:b/>
          <w:bCs/>
          <w:spacing w:val="6"/>
          <w:sz w:val="24"/>
          <w:szCs w:val="24"/>
        </w:rPr>
        <w:t>简易办公桌椅租赁：</w:t>
      </w:r>
      <w:r>
        <w:rPr>
          <w:rFonts w:hint="eastAsia" w:ascii="宋体" w:hAnsi="宋体" w:eastAsia="宋体" w:cs="宋体"/>
          <w:spacing w:val="6"/>
          <w:sz w:val="24"/>
          <w:szCs w:val="24"/>
        </w:rPr>
        <w:t>组合式桌椅，共100套。</w:t>
      </w:r>
    </w:p>
    <w:p w14:paraId="1CDD06CD">
      <w:pPr>
        <w:keepNext w:val="0"/>
        <w:keepLines w:val="0"/>
        <w:pageBreakBefore w:val="0"/>
        <w:widowControl w:val="0"/>
        <w:kinsoku/>
        <w:wordWrap/>
        <w:overflowPunct/>
        <w:topLinePunct w:val="0"/>
        <w:autoSpaceDE/>
        <w:autoSpaceDN/>
        <w:bidi w:val="0"/>
        <w:adjustRightInd/>
        <w:snapToGrid/>
        <w:spacing w:line="440" w:lineRule="exact"/>
        <w:ind w:firstLine="506" w:firstLineChars="200"/>
        <w:textAlignment w:val="auto"/>
        <w:rPr>
          <w:rFonts w:hint="eastAsia" w:ascii="宋体" w:hAnsi="宋体" w:eastAsia="宋体" w:cs="宋体"/>
          <w:spacing w:val="6"/>
          <w:sz w:val="24"/>
          <w:szCs w:val="24"/>
        </w:rPr>
      </w:pPr>
      <w:r>
        <w:rPr>
          <w:rFonts w:hint="eastAsia" w:ascii="宋体" w:hAnsi="宋体" w:eastAsia="宋体" w:cs="宋体"/>
          <w:b/>
          <w:bCs/>
          <w:spacing w:val="6"/>
          <w:sz w:val="24"/>
          <w:szCs w:val="24"/>
        </w:rPr>
        <w:t>简易公共卫生间租赁：</w:t>
      </w:r>
      <w:r>
        <w:rPr>
          <w:rFonts w:hint="eastAsia" w:ascii="宋体" w:hAnsi="宋体" w:eastAsia="宋体" w:cs="宋体"/>
          <w:spacing w:val="6"/>
          <w:sz w:val="24"/>
          <w:szCs w:val="24"/>
        </w:rPr>
        <w:t>移动式临时厕所，单人位，玻璃钢一体成型，自带储粪箱，户外景区赛事专用，15个厕所。</w:t>
      </w:r>
    </w:p>
    <w:p w14:paraId="1C655951">
      <w:pPr>
        <w:keepNext w:val="0"/>
        <w:keepLines w:val="0"/>
        <w:pageBreakBefore w:val="0"/>
        <w:widowControl w:val="0"/>
        <w:kinsoku/>
        <w:wordWrap/>
        <w:overflowPunct/>
        <w:topLinePunct w:val="0"/>
        <w:autoSpaceDE/>
        <w:autoSpaceDN/>
        <w:bidi w:val="0"/>
        <w:adjustRightInd/>
        <w:snapToGrid/>
        <w:spacing w:line="440" w:lineRule="exact"/>
        <w:ind w:firstLine="506" w:firstLineChars="200"/>
        <w:textAlignment w:val="auto"/>
        <w:rPr>
          <w:rFonts w:hint="eastAsia" w:ascii="宋体" w:hAnsi="宋体" w:eastAsia="宋体" w:cs="宋体"/>
          <w:spacing w:val="6"/>
          <w:sz w:val="24"/>
          <w:szCs w:val="24"/>
        </w:rPr>
      </w:pPr>
      <w:r>
        <w:rPr>
          <w:rFonts w:hint="eastAsia" w:ascii="宋体" w:hAnsi="宋体" w:eastAsia="宋体" w:cs="宋体"/>
          <w:b/>
          <w:bCs/>
          <w:spacing w:val="6"/>
          <w:sz w:val="24"/>
          <w:szCs w:val="24"/>
        </w:rPr>
        <w:t>水上救援服务：</w:t>
      </w:r>
      <w:r>
        <w:rPr>
          <w:rFonts w:hint="eastAsia" w:ascii="宋体" w:hAnsi="宋体" w:eastAsia="宋体" w:cs="宋体"/>
          <w:spacing w:val="6"/>
          <w:sz w:val="24"/>
          <w:szCs w:val="24"/>
        </w:rPr>
        <w:t>租赁救生艇2只，专业救生员6人。</w:t>
      </w:r>
    </w:p>
    <w:p w14:paraId="660365C2">
      <w:pPr>
        <w:keepNext w:val="0"/>
        <w:keepLines w:val="0"/>
        <w:pageBreakBefore w:val="0"/>
        <w:widowControl w:val="0"/>
        <w:kinsoku/>
        <w:wordWrap/>
        <w:overflowPunct/>
        <w:topLinePunct w:val="0"/>
        <w:autoSpaceDE/>
        <w:autoSpaceDN/>
        <w:bidi w:val="0"/>
        <w:adjustRightInd/>
        <w:snapToGrid/>
        <w:spacing w:line="440" w:lineRule="exact"/>
        <w:ind w:firstLine="506" w:firstLineChars="200"/>
        <w:textAlignment w:val="auto"/>
        <w:rPr>
          <w:rFonts w:hint="eastAsia" w:ascii="宋体" w:hAnsi="宋体" w:eastAsia="宋体" w:cs="宋体"/>
          <w:b/>
          <w:bCs/>
          <w:spacing w:val="6"/>
          <w:sz w:val="24"/>
          <w:szCs w:val="24"/>
        </w:rPr>
      </w:pPr>
      <w:r>
        <w:rPr>
          <w:rFonts w:hint="eastAsia" w:ascii="宋体" w:hAnsi="宋体" w:eastAsia="宋体" w:cs="宋体"/>
          <w:b/>
          <w:bCs/>
          <w:spacing w:val="6"/>
          <w:sz w:val="24"/>
          <w:szCs w:val="24"/>
        </w:rPr>
        <w:t>（三）安全防护</w:t>
      </w:r>
    </w:p>
    <w:p w14:paraId="5831E76E">
      <w:pPr>
        <w:keepNext w:val="0"/>
        <w:keepLines w:val="0"/>
        <w:pageBreakBefore w:val="0"/>
        <w:widowControl w:val="0"/>
        <w:kinsoku/>
        <w:wordWrap/>
        <w:overflowPunct/>
        <w:topLinePunct w:val="0"/>
        <w:autoSpaceDE/>
        <w:autoSpaceDN/>
        <w:bidi w:val="0"/>
        <w:adjustRightInd/>
        <w:snapToGrid/>
        <w:spacing w:line="440" w:lineRule="exact"/>
        <w:ind w:firstLine="506" w:firstLineChars="200"/>
        <w:textAlignment w:val="auto"/>
        <w:rPr>
          <w:rFonts w:hint="eastAsia" w:ascii="宋体" w:hAnsi="宋体" w:eastAsia="宋体" w:cs="宋体"/>
          <w:spacing w:val="6"/>
          <w:sz w:val="24"/>
          <w:szCs w:val="24"/>
        </w:rPr>
      </w:pPr>
      <w:r>
        <w:rPr>
          <w:rFonts w:hint="eastAsia" w:ascii="宋体" w:hAnsi="宋体" w:eastAsia="宋体" w:cs="宋体"/>
          <w:b/>
          <w:bCs/>
          <w:spacing w:val="6"/>
          <w:sz w:val="24"/>
          <w:szCs w:val="24"/>
        </w:rPr>
        <w:t>临湖安全护栏、防护设施：</w:t>
      </w:r>
      <w:r>
        <w:rPr>
          <w:rFonts w:hint="eastAsia" w:ascii="宋体" w:hAnsi="宋体" w:eastAsia="宋体" w:cs="宋体"/>
          <w:spacing w:val="6"/>
          <w:sz w:val="24"/>
          <w:szCs w:val="24"/>
        </w:rPr>
        <w:t>湖边防护栏杆，高度1.2m，镀锌钢管喷涂，立柱间距1.5m，防落水设计，共100米。</w:t>
      </w:r>
    </w:p>
    <w:p w14:paraId="59EA5CB5">
      <w:pPr>
        <w:keepNext w:val="0"/>
        <w:keepLines w:val="0"/>
        <w:pageBreakBefore w:val="0"/>
        <w:widowControl w:val="0"/>
        <w:kinsoku/>
        <w:wordWrap/>
        <w:overflowPunct/>
        <w:topLinePunct w:val="0"/>
        <w:autoSpaceDE/>
        <w:autoSpaceDN/>
        <w:bidi w:val="0"/>
        <w:adjustRightInd/>
        <w:snapToGrid/>
        <w:spacing w:line="440" w:lineRule="exact"/>
        <w:ind w:firstLine="506" w:firstLineChars="200"/>
        <w:textAlignment w:val="auto"/>
        <w:rPr>
          <w:rFonts w:hint="eastAsia" w:ascii="宋体" w:hAnsi="宋体" w:eastAsia="宋体" w:cs="宋体"/>
          <w:spacing w:val="6"/>
          <w:sz w:val="24"/>
          <w:szCs w:val="24"/>
        </w:rPr>
      </w:pPr>
      <w:r>
        <w:rPr>
          <w:rFonts w:hint="eastAsia" w:ascii="宋体" w:hAnsi="宋体" w:eastAsia="宋体" w:cs="宋体"/>
          <w:b/>
          <w:bCs/>
          <w:spacing w:val="6"/>
          <w:sz w:val="24"/>
          <w:szCs w:val="24"/>
        </w:rPr>
        <w:t>场地围挡租赁：</w:t>
      </w:r>
      <w:r>
        <w:rPr>
          <w:rFonts w:hint="eastAsia" w:ascii="宋体" w:hAnsi="宋体" w:eastAsia="宋体" w:cs="宋体"/>
          <w:spacing w:val="6"/>
          <w:sz w:val="24"/>
          <w:szCs w:val="24"/>
        </w:rPr>
        <w:t>铁马护栏1.2m×2m，加厚钢管烤漆，可串联隔离，分区导流专用，共250米。</w:t>
      </w:r>
    </w:p>
    <w:p w14:paraId="1AB6DCD7">
      <w:pPr>
        <w:keepNext w:val="0"/>
        <w:keepLines w:val="0"/>
        <w:pageBreakBefore w:val="0"/>
        <w:widowControl w:val="0"/>
        <w:kinsoku/>
        <w:wordWrap/>
        <w:overflowPunct/>
        <w:topLinePunct w:val="0"/>
        <w:autoSpaceDE/>
        <w:autoSpaceDN/>
        <w:bidi w:val="0"/>
        <w:adjustRightInd/>
        <w:snapToGrid/>
        <w:spacing w:line="440" w:lineRule="exact"/>
        <w:ind w:firstLine="506" w:firstLineChars="200"/>
        <w:textAlignment w:val="auto"/>
        <w:rPr>
          <w:rFonts w:hint="eastAsia" w:ascii="宋体" w:hAnsi="宋体" w:eastAsia="宋体" w:cs="宋体"/>
          <w:spacing w:val="6"/>
          <w:sz w:val="24"/>
          <w:szCs w:val="24"/>
        </w:rPr>
      </w:pPr>
      <w:r>
        <w:rPr>
          <w:rFonts w:hint="eastAsia" w:ascii="宋体" w:hAnsi="宋体" w:eastAsia="宋体" w:cs="宋体"/>
          <w:b/>
          <w:bCs/>
          <w:spacing w:val="6"/>
          <w:sz w:val="24"/>
          <w:szCs w:val="24"/>
        </w:rPr>
        <w:t>功能分区隔离：</w:t>
      </w:r>
      <w:r>
        <w:rPr>
          <w:rFonts w:hint="eastAsia" w:ascii="宋体" w:hAnsi="宋体" w:eastAsia="宋体" w:cs="宋体"/>
          <w:spacing w:val="6"/>
          <w:sz w:val="24"/>
          <w:szCs w:val="24"/>
        </w:rPr>
        <w:t>抽拉隔一米线，带基座，内设可抽拉线卷，共120个。</w:t>
      </w:r>
    </w:p>
    <w:p w14:paraId="0DF6F1B9">
      <w:pPr>
        <w:keepNext w:val="0"/>
        <w:keepLines w:val="0"/>
        <w:pageBreakBefore w:val="0"/>
        <w:widowControl w:val="0"/>
        <w:kinsoku/>
        <w:wordWrap/>
        <w:overflowPunct/>
        <w:topLinePunct w:val="0"/>
        <w:autoSpaceDE/>
        <w:autoSpaceDN/>
        <w:bidi w:val="0"/>
        <w:adjustRightInd/>
        <w:snapToGrid/>
        <w:spacing w:line="440" w:lineRule="exact"/>
        <w:ind w:firstLine="506" w:firstLineChars="200"/>
        <w:textAlignment w:val="auto"/>
        <w:rPr>
          <w:rFonts w:hint="eastAsia" w:ascii="宋体" w:hAnsi="宋体" w:eastAsia="宋体" w:cs="宋体"/>
          <w:b/>
          <w:bCs/>
          <w:spacing w:val="6"/>
          <w:sz w:val="24"/>
          <w:szCs w:val="24"/>
        </w:rPr>
      </w:pPr>
      <w:r>
        <w:rPr>
          <w:rFonts w:hint="eastAsia" w:ascii="宋体" w:hAnsi="宋体" w:eastAsia="宋体" w:cs="宋体"/>
          <w:b/>
          <w:bCs/>
          <w:spacing w:val="6"/>
          <w:sz w:val="24"/>
          <w:szCs w:val="24"/>
        </w:rPr>
        <w:t>（四）水电照明</w:t>
      </w:r>
    </w:p>
    <w:p w14:paraId="19A3063E">
      <w:pPr>
        <w:keepNext w:val="0"/>
        <w:keepLines w:val="0"/>
        <w:pageBreakBefore w:val="0"/>
        <w:widowControl w:val="0"/>
        <w:kinsoku/>
        <w:wordWrap/>
        <w:overflowPunct/>
        <w:topLinePunct w:val="0"/>
        <w:autoSpaceDE/>
        <w:autoSpaceDN/>
        <w:bidi w:val="0"/>
        <w:adjustRightInd/>
        <w:snapToGrid/>
        <w:spacing w:line="440" w:lineRule="exact"/>
        <w:ind w:firstLine="506" w:firstLineChars="200"/>
        <w:textAlignment w:val="auto"/>
        <w:rPr>
          <w:rFonts w:hint="eastAsia" w:ascii="宋体" w:hAnsi="宋体" w:eastAsia="宋体" w:cs="宋体"/>
          <w:spacing w:val="6"/>
          <w:sz w:val="24"/>
          <w:szCs w:val="24"/>
        </w:rPr>
      </w:pPr>
      <w:r>
        <w:rPr>
          <w:rFonts w:hint="eastAsia" w:ascii="宋体" w:hAnsi="宋体" w:eastAsia="宋体" w:cs="宋体"/>
          <w:b/>
          <w:bCs/>
          <w:spacing w:val="6"/>
          <w:sz w:val="24"/>
          <w:szCs w:val="24"/>
        </w:rPr>
        <w:t>抽水机租赁</w:t>
      </w:r>
      <w:r>
        <w:rPr>
          <w:rFonts w:hint="eastAsia" w:ascii="宋体" w:hAnsi="宋体" w:eastAsia="宋体" w:cs="宋体"/>
          <w:spacing w:val="6"/>
          <w:sz w:val="24"/>
          <w:szCs w:val="24"/>
        </w:rPr>
        <w:t>：220V自吸水泵2台。</w:t>
      </w:r>
    </w:p>
    <w:p w14:paraId="542F54E9">
      <w:pPr>
        <w:keepNext w:val="0"/>
        <w:keepLines w:val="0"/>
        <w:pageBreakBefore w:val="0"/>
        <w:widowControl w:val="0"/>
        <w:kinsoku/>
        <w:wordWrap/>
        <w:overflowPunct/>
        <w:topLinePunct w:val="0"/>
        <w:autoSpaceDE/>
        <w:autoSpaceDN/>
        <w:bidi w:val="0"/>
        <w:adjustRightInd/>
        <w:snapToGrid/>
        <w:spacing w:line="440" w:lineRule="exact"/>
        <w:ind w:firstLine="506" w:firstLineChars="200"/>
        <w:textAlignment w:val="auto"/>
        <w:rPr>
          <w:rFonts w:hint="eastAsia" w:ascii="宋体" w:hAnsi="宋体" w:eastAsia="宋体" w:cs="宋体"/>
          <w:spacing w:val="6"/>
          <w:sz w:val="24"/>
          <w:szCs w:val="24"/>
        </w:rPr>
      </w:pPr>
      <w:r>
        <w:rPr>
          <w:rFonts w:hint="eastAsia" w:ascii="宋体" w:hAnsi="宋体" w:eastAsia="宋体" w:cs="宋体"/>
          <w:b/>
          <w:bCs/>
          <w:spacing w:val="6"/>
          <w:sz w:val="24"/>
          <w:szCs w:val="24"/>
        </w:rPr>
        <w:t>超高压清洗机租赁：</w:t>
      </w:r>
      <w:r>
        <w:rPr>
          <w:rFonts w:hint="eastAsia" w:ascii="宋体" w:hAnsi="宋体" w:eastAsia="宋体" w:cs="宋体"/>
          <w:spacing w:val="6"/>
          <w:sz w:val="24"/>
          <w:szCs w:val="24"/>
        </w:rPr>
        <w:t>带轮子2卷，共20台。</w:t>
      </w:r>
    </w:p>
    <w:p w14:paraId="0EFDD223">
      <w:pPr>
        <w:keepNext w:val="0"/>
        <w:keepLines w:val="0"/>
        <w:pageBreakBefore w:val="0"/>
        <w:widowControl w:val="0"/>
        <w:kinsoku/>
        <w:wordWrap/>
        <w:overflowPunct/>
        <w:topLinePunct w:val="0"/>
        <w:autoSpaceDE/>
        <w:autoSpaceDN/>
        <w:bidi w:val="0"/>
        <w:adjustRightInd/>
        <w:snapToGrid/>
        <w:spacing w:line="440" w:lineRule="exact"/>
        <w:ind w:firstLine="506" w:firstLineChars="200"/>
        <w:textAlignment w:val="auto"/>
        <w:rPr>
          <w:rFonts w:hint="eastAsia" w:ascii="宋体" w:hAnsi="宋体" w:eastAsia="宋体" w:cs="宋体"/>
          <w:spacing w:val="6"/>
          <w:sz w:val="24"/>
          <w:szCs w:val="24"/>
        </w:rPr>
      </w:pPr>
      <w:r>
        <w:rPr>
          <w:rFonts w:hint="eastAsia" w:ascii="宋体" w:hAnsi="宋体" w:eastAsia="宋体" w:cs="宋体"/>
          <w:b/>
          <w:bCs/>
          <w:spacing w:val="6"/>
          <w:sz w:val="24"/>
          <w:szCs w:val="24"/>
        </w:rPr>
        <w:t>公共供电、防水插座：</w:t>
      </w:r>
      <w:r>
        <w:rPr>
          <w:rFonts w:hint="eastAsia" w:ascii="宋体" w:hAnsi="宋体" w:eastAsia="宋体" w:cs="宋体"/>
          <w:spacing w:val="6"/>
          <w:sz w:val="24"/>
          <w:szCs w:val="24"/>
        </w:rPr>
        <w:t>电箱10千瓦变电箱加防水插座</w:t>
      </w:r>
      <w:r>
        <w:rPr>
          <w:rFonts w:hint="eastAsia" w:ascii="宋体" w:hAnsi="宋体" w:cs="宋体"/>
          <w:spacing w:val="6"/>
          <w:sz w:val="24"/>
          <w:szCs w:val="24"/>
          <w:lang w:val="en-US" w:eastAsia="zh-CN"/>
        </w:rPr>
        <w:t>1个</w:t>
      </w:r>
      <w:r>
        <w:rPr>
          <w:rFonts w:hint="eastAsia" w:ascii="宋体" w:hAnsi="宋体" w:eastAsia="宋体" w:cs="宋体"/>
          <w:spacing w:val="6"/>
          <w:sz w:val="24"/>
          <w:szCs w:val="24"/>
        </w:rPr>
        <w:t>。</w:t>
      </w:r>
    </w:p>
    <w:p w14:paraId="77EB9FBB">
      <w:pPr>
        <w:keepNext w:val="0"/>
        <w:keepLines w:val="0"/>
        <w:pageBreakBefore w:val="0"/>
        <w:widowControl w:val="0"/>
        <w:kinsoku/>
        <w:wordWrap/>
        <w:overflowPunct/>
        <w:topLinePunct w:val="0"/>
        <w:autoSpaceDE/>
        <w:autoSpaceDN/>
        <w:bidi w:val="0"/>
        <w:adjustRightInd/>
        <w:snapToGrid/>
        <w:spacing w:line="440" w:lineRule="exact"/>
        <w:ind w:firstLine="506" w:firstLineChars="200"/>
        <w:textAlignment w:val="auto"/>
        <w:rPr>
          <w:rFonts w:hint="eastAsia" w:ascii="宋体" w:hAnsi="宋体" w:eastAsia="宋体" w:cs="宋体"/>
          <w:spacing w:val="6"/>
          <w:sz w:val="24"/>
          <w:szCs w:val="24"/>
        </w:rPr>
      </w:pPr>
      <w:r>
        <w:rPr>
          <w:rFonts w:hint="eastAsia" w:ascii="宋体" w:hAnsi="宋体" w:eastAsia="宋体" w:cs="宋体"/>
          <w:b/>
          <w:bCs/>
          <w:spacing w:val="6"/>
          <w:sz w:val="24"/>
          <w:szCs w:val="24"/>
        </w:rPr>
        <w:t>地防水照明及线路敷设：</w:t>
      </w:r>
      <w:r>
        <w:rPr>
          <w:rFonts w:hint="eastAsia" w:ascii="宋体" w:hAnsi="宋体" w:eastAsia="宋体" w:cs="宋体"/>
          <w:spacing w:val="6"/>
          <w:sz w:val="24"/>
          <w:szCs w:val="24"/>
        </w:rPr>
        <w:t>现场照明线路设置10平方3芯国标防水电缆线200米。</w:t>
      </w:r>
    </w:p>
    <w:p w14:paraId="08ACD9E6">
      <w:pPr>
        <w:keepNext w:val="0"/>
        <w:keepLines w:val="0"/>
        <w:pageBreakBefore w:val="0"/>
        <w:widowControl w:val="0"/>
        <w:kinsoku/>
        <w:wordWrap/>
        <w:overflowPunct/>
        <w:topLinePunct w:val="0"/>
        <w:autoSpaceDE/>
        <w:autoSpaceDN/>
        <w:bidi w:val="0"/>
        <w:adjustRightInd/>
        <w:snapToGrid/>
        <w:spacing w:line="440" w:lineRule="exact"/>
        <w:ind w:firstLine="506" w:firstLineChars="200"/>
        <w:textAlignment w:val="auto"/>
        <w:rPr>
          <w:rFonts w:hint="eastAsia" w:ascii="宋体" w:hAnsi="宋体" w:eastAsia="宋体" w:cs="宋体"/>
          <w:b/>
          <w:bCs/>
          <w:spacing w:val="6"/>
          <w:sz w:val="24"/>
          <w:szCs w:val="24"/>
        </w:rPr>
      </w:pPr>
      <w:r>
        <w:rPr>
          <w:rFonts w:hint="eastAsia" w:ascii="宋体" w:hAnsi="宋体" w:eastAsia="宋体" w:cs="宋体"/>
          <w:b/>
          <w:bCs/>
          <w:spacing w:val="6"/>
          <w:sz w:val="24"/>
          <w:szCs w:val="24"/>
        </w:rPr>
        <w:t>（五）其他耗材</w:t>
      </w:r>
    </w:p>
    <w:p w14:paraId="1DD44E1C">
      <w:pPr>
        <w:keepNext w:val="0"/>
        <w:keepLines w:val="0"/>
        <w:pageBreakBefore w:val="0"/>
        <w:widowControl w:val="0"/>
        <w:kinsoku/>
        <w:wordWrap/>
        <w:overflowPunct/>
        <w:topLinePunct w:val="0"/>
        <w:autoSpaceDE/>
        <w:autoSpaceDN/>
        <w:bidi w:val="0"/>
        <w:adjustRightInd/>
        <w:snapToGrid/>
        <w:spacing w:line="440" w:lineRule="exact"/>
        <w:ind w:firstLine="506" w:firstLineChars="200"/>
        <w:textAlignment w:val="auto"/>
        <w:rPr>
          <w:rFonts w:hint="eastAsia" w:ascii="宋体" w:hAnsi="宋体" w:eastAsia="宋体" w:cs="宋体"/>
          <w:spacing w:val="6"/>
          <w:sz w:val="24"/>
          <w:szCs w:val="24"/>
        </w:rPr>
      </w:pPr>
      <w:r>
        <w:rPr>
          <w:rFonts w:hint="eastAsia" w:ascii="宋体" w:hAnsi="宋体" w:eastAsia="宋体" w:cs="宋体"/>
          <w:b/>
          <w:bCs/>
          <w:spacing w:val="6"/>
          <w:sz w:val="24"/>
          <w:szCs w:val="24"/>
        </w:rPr>
        <w:t>导视牌、安全警示牌、文明提示牌：</w:t>
      </w:r>
      <w:r>
        <w:rPr>
          <w:rFonts w:hint="eastAsia" w:ascii="宋体" w:hAnsi="宋体" w:eastAsia="宋体" w:cs="宋体"/>
          <w:spacing w:val="6"/>
          <w:sz w:val="24"/>
          <w:szCs w:val="24"/>
        </w:rPr>
        <w:t>共10块。</w:t>
      </w:r>
    </w:p>
    <w:p w14:paraId="40577645">
      <w:pPr>
        <w:keepNext w:val="0"/>
        <w:keepLines w:val="0"/>
        <w:pageBreakBefore w:val="0"/>
        <w:widowControl w:val="0"/>
        <w:kinsoku/>
        <w:wordWrap/>
        <w:overflowPunct/>
        <w:topLinePunct w:val="0"/>
        <w:autoSpaceDE/>
        <w:autoSpaceDN/>
        <w:bidi w:val="0"/>
        <w:adjustRightInd/>
        <w:snapToGrid/>
        <w:spacing w:line="440" w:lineRule="exact"/>
        <w:ind w:firstLine="506" w:firstLineChars="200"/>
        <w:textAlignment w:val="auto"/>
        <w:rPr>
          <w:rFonts w:hint="eastAsia" w:ascii="宋体" w:hAnsi="宋体" w:eastAsia="宋体" w:cs="宋体"/>
          <w:spacing w:val="6"/>
          <w:sz w:val="24"/>
          <w:szCs w:val="24"/>
        </w:rPr>
      </w:pPr>
      <w:r>
        <w:rPr>
          <w:rFonts w:hint="eastAsia" w:ascii="宋体" w:hAnsi="宋体" w:eastAsia="宋体" w:cs="宋体"/>
          <w:b/>
          <w:bCs/>
          <w:spacing w:val="6"/>
          <w:sz w:val="24"/>
          <w:szCs w:val="24"/>
        </w:rPr>
        <w:t>救生圈（耗材）：</w:t>
      </w:r>
      <w:r>
        <w:rPr>
          <w:rFonts w:hint="eastAsia" w:ascii="宋体" w:hAnsi="宋体" w:eastAsia="宋体" w:cs="宋体"/>
          <w:spacing w:val="6"/>
          <w:sz w:val="24"/>
          <w:szCs w:val="24"/>
        </w:rPr>
        <w:t>专业水上救生圈Φ72cm，国标成人加厚实心救生圈，配反光条，共20个。</w:t>
      </w:r>
    </w:p>
    <w:p w14:paraId="748E4A51">
      <w:pPr>
        <w:keepNext w:val="0"/>
        <w:keepLines w:val="0"/>
        <w:pageBreakBefore w:val="0"/>
        <w:widowControl w:val="0"/>
        <w:kinsoku/>
        <w:wordWrap/>
        <w:overflowPunct/>
        <w:topLinePunct w:val="0"/>
        <w:autoSpaceDE/>
        <w:autoSpaceDN/>
        <w:bidi w:val="0"/>
        <w:adjustRightInd/>
        <w:snapToGrid/>
        <w:spacing w:line="440" w:lineRule="exact"/>
        <w:ind w:firstLine="506" w:firstLineChars="200"/>
        <w:textAlignment w:val="auto"/>
        <w:rPr>
          <w:rFonts w:hint="eastAsia" w:ascii="宋体" w:hAnsi="宋体" w:eastAsia="宋体" w:cs="宋体"/>
          <w:spacing w:val="6"/>
          <w:sz w:val="24"/>
          <w:szCs w:val="24"/>
        </w:rPr>
      </w:pPr>
      <w:r>
        <w:rPr>
          <w:rFonts w:hint="eastAsia" w:ascii="宋体" w:hAnsi="宋体" w:eastAsia="宋体" w:cs="宋体"/>
          <w:b/>
          <w:bCs/>
          <w:spacing w:val="6"/>
          <w:sz w:val="24"/>
          <w:szCs w:val="24"/>
        </w:rPr>
        <w:t>救生背心（耗材）：</w:t>
      </w:r>
      <w:r>
        <w:rPr>
          <w:rFonts w:hint="eastAsia" w:ascii="宋体" w:hAnsi="宋体" w:eastAsia="宋体" w:cs="宋体"/>
          <w:spacing w:val="6"/>
          <w:sz w:val="24"/>
          <w:szCs w:val="24"/>
        </w:rPr>
        <w:t>专业水上救援背心，共30个。</w:t>
      </w:r>
    </w:p>
    <w:p w14:paraId="096C5233">
      <w:pPr>
        <w:keepNext w:val="0"/>
        <w:keepLines w:val="0"/>
        <w:pageBreakBefore w:val="0"/>
        <w:widowControl w:val="0"/>
        <w:kinsoku/>
        <w:wordWrap/>
        <w:overflowPunct/>
        <w:topLinePunct w:val="0"/>
        <w:autoSpaceDE/>
        <w:autoSpaceDN/>
        <w:bidi w:val="0"/>
        <w:adjustRightInd/>
        <w:snapToGrid/>
        <w:spacing w:line="440" w:lineRule="exact"/>
        <w:ind w:firstLine="506" w:firstLineChars="200"/>
        <w:textAlignment w:val="auto"/>
        <w:rPr>
          <w:rFonts w:hint="eastAsia" w:ascii="宋体" w:hAnsi="宋体" w:eastAsia="宋体" w:cs="宋体"/>
          <w:spacing w:val="6"/>
          <w:sz w:val="24"/>
          <w:szCs w:val="24"/>
        </w:rPr>
      </w:pPr>
      <w:r>
        <w:rPr>
          <w:rFonts w:hint="eastAsia" w:ascii="宋体" w:hAnsi="宋体" w:eastAsia="宋体" w:cs="宋体"/>
          <w:b/>
          <w:bCs/>
          <w:spacing w:val="6"/>
          <w:sz w:val="24"/>
          <w:szCs w:val="24"/>
        </w:rPr>
        <w:t>救生绳（耗材）：</w:t>
      </w:r>
      <w:r>
        <w:rPr>
          <w:rFonts w:hint="eastAsia" w:ascii="宋体" w:hAnsi="宋体" w:eastAsia="宋体" w:cs="宋体"/>
          <w:spacing w:val="6"/>
          <w:sz w:val="24"/>
          <w:szCs w:val="24"/>
        </w:rPr>
        <w:t>漂浮救生绳，长度30m/50m，直径8mm，丙纶漂浮不沉水，带挂钩，共10条。</w:t>
      </w:r>
    </w:p>
    <w:p w14:paraId="09B647B1">
      <w:pPr>
        <w:keepNext w:val="0"/>
        <w:keepLines w:val="0"/>
        <w:pageBreakBefore w:val="0"/>
        <w:widowControl w:val="0"/>
        <w:kinsoku/>
        <w:wordWrap/>
        <w:overflowPunct/>
        <w:topLinePunct w:val="0"/>
        <w:autoSpaceDE/>
        <w:autoSpaceDN/>
        <w:bidi w:val="0"/>
        <w:adjustRightInd/>
        <w:snapToGrid/>
        <w:spacing w:line="440" w:lineRule="exact"/>
        <w:ind w:firstLine="506" w:firstLineChars="200"/>
        <w:textAlignment w:val="auto"/>
        <w:rPr>
          <w:rFonts w:hint="eastAsia" w:ascii="宋体" w:hAnsi="宋体" w:eastAsia="宋体" w:cs="宋体"/>
          <w:spacing w:val="6"/>
          <w:sz w:val="24"/>
          <w:szCs w:val="24"/>
        </w:rPr>
      </w:pPr>
      <w:r>
        <w:rPr>
          <w:rFonts w:hint="eastAsia" w:ascii="宋体" w:hAnsi="宋体" w:eastAsia="宋体" w:cs="宋体"/>
          <w:b/>
          <w:bCs/>
          <w:spacing w:val="6"/>
          <w:sz w:val="24"/>
          <w:szCs w:val="24"/>
        </w:rPr>
        <w:t>急救箱（耗材）：</w:t>
      </w:r>
      <w:r>
        <w:rPr>
          <w:rFonts w:hint="eastAsia" w:ascii="宋体" w:hAnsi="宋体" w:eastAsia="宋体" w:cs="宋体"/>
          <w:spacing w:val="6"/>
          <w:sz w:val="24"/>
          <w:szCs w:val="24"/>
        </w:rPr>
        <w:t>国标户外大号急救箱，含消毒、包扎、止血、心肺复苏配套耗材全套，共2个。</w:t>
      </w:r>
    </w:p>
    <w:p w14:paraId="3A8D0BA8">
      <w:pPr>
        <w:keepNext w:val="0"/>
        <w:keepLines w:val="0"/>
        <w:pageBreakBefore w:val="0"/>
        <w:widowControl w:val="0"/>
        <w:kinsoku/>
        <w:wordWrap/>
        <w:overflowPunct/>
        <w:topLinePunct w:val="0"/>
        <w:autoSpaceDE/>
        <w:autoSpaceDN/>
        <w:bidi w:val="0"/>
        <w:adjustRightInd/>
        <w:snapToGrid/>
        <w:spacing w:line="440" w:lineRule="exact"/>
        <w:ind w:firstLine="506" w:firstLineChars="200"/>
        <w:textAlignment w:val="auto"/>
        <w:rPr>
          <w:rFonts w:hint="eastAsia" w:ascii="宋体" w:hAnsi="宋体" w:eastAsia="宋体" w:cs="宋体"/>
          <w:spacing w:val="6"/>
          <w:sz w:val="24"/>
          <w:szCs w:val="24"/>
        </w:rPr>
      </w:pPr>
      <w:r>
        <w:rPr>
          <w:rFonts w:hint="eastAsia" w:ascii="宋体" w:hAnsi="宋体" w:eastAsia="宋体" w:cs="宋体"/>
          <w:b/>
          <w:bCs/>
          <w:spacing w:val="6"/>
          <w:sz w:val="24"/>
          <w:szCs w:val="24"/>
        </w:rPr>
        <w:t>技术服务：</w:t>
      </w:r>
      <w:r>
        <w:rPr>
          <w:rFonts w:hint="eastAsia" w:ascii="宋体" w:hAnsi="宋体" w:eastAsia="宋体" w:cs="宋体"/>
          <w:spacing w:val="6"/>
          <w:sz w:val="24"/>
          <w:szCs w:val="24"/>
        </w:rPr>
        <w:t>水上浮筒拼装、赛道布设、现场专家技术指导2人。</w:t>
      </w:r>
    </w:p>
    <w:p w14:paraId="3F61606D">
      <w:pPr>
        <w:keepNext w:val="0"/>
        <w:keepLines w:val="0"/>
        <w:pageBreakBefore w:val="0"/>
        <w:widowControl w:val="0"/>
        <w:kinsoku/>
        <w:wordWrap/>
        <w:overflowPunct/>
        <w:topLinePunct w:val="0"/>
        <w:autoSpaceDE/>
        <w:autoSpaceDN/>
        <w:bidi w:val="0"/>
        <w:adjustRightInd/>
        <w:snapToGrid/>
        <w:spacing w:line="440" w:lineRule="exact"/>
        <w:ind w:firstLine="504" w:firstLineChars="200"/>
        <w:textAlignment w:val="auto"/>
        <w:rPr>
          <w:rFonts w:hint="eastAsia" w:ascii="宋体" w:hAnsi="宋体" w:eastAsia="宋体" w:cs="宋体"/>
          <w:spacing w:val="6"/>
          <w:sz w:val="24"/>
          <w:szCs w:val="24"/>
        </w:rPr>
      </w:pPr>
      <w:r>
        <w:rPr>
          <w:rFonts w:hint="eastAsia" w:ascii="宋体" w:hAnsi="宋体" w:eastAsia="宋体" w:cs="宋体"/>
          <w:spacing w:val="6"/>
          <w:sz w:val="24"/>
          <w:szCs w:val="24"/>
        </w:rPr>
        <w:t>四、核心适配要求</w:t>
      </w:r>
    </w:p>
    <w:p w14:paraId="6C9D8712">
      <w:pPr>
        <w:keepNext w:val="0"/>
        <w:keepLines w:val="0"/>
        <w:pageBreakBefore w:val="0"/>
        <w:widowControl w:val="0"/>
        <w:kinsoku/>
        <w:wordWrap/>
        <w:overflowPunct/>
        <w:topLinePunct w:val="0"/>
        <w:autoSpaceDE/>
        <w:autoSpaceDN/>
        <w:bidi w:val="0"/>
        <w:adjustRightInd/>
        <w:snapToGrid/>
        <w:spacing w:line="440" w:lineRule="exact"/>
        <w:ind w:firstLine="504" w:firstLineChars="200"/>
        <w:textAlignment w:val="auto"/>
        <w:rPr>
          <w:rFonts w:hint="eastAsia" w:ascii="宋体" w:hAnsi="宋体" w:eastAsia="宋体" w:cs="宋体"/>
          <w:spacing w:val="6"/>
          <w:sz w:val="24"/>
          <w:szCs w:val="24"/>
        </w:rPr>
      </w:pPr>
      <w:r>
        <w:rPr>
          <w:rFonts w:hint="eastAsia" w:ascii="宋体" w:hAnsi="宋体" w:eastAsia="宋体" w:cs="宋体"/>
          <w:spacing w:val="6"/>
          <w:sz w:val="24"/>
          <w:szCs w:val="24"/>
        </w:rPr>
        <w:t>1. 所有赛道浮筒、码头浮筒、防撞护舷均按水上卡丁船、动力艇竞速标准定制，具备强抗冲击、抗风浪性能，可规整布设直线及转弯赛道，防止动力船只冲出赛道。</w:t>
      </w:r>
    </w:p>
    <w:p w14:paraId="19C47A77">
      <w:pPr>
        <w:keepNext w:val="0"/>
        <w:keepLines w:val="0"/>
        <w:pageBreakBefore w:val="0"/>
        <w:widowControl w:val="0"/>
        <w:kinsoku/>
        <w:wordWrap/>
        <w:overflowPunct/>
        <w:topLinePunct w:val="0"/>
        <w:autoSpaceDE/>
        <w:autoSpaceDN/>
        <w:bidi w:val="0"/>
        <w:adjustRightInd/>
        <w:snapToGrid/>
        <w:spacing w:line="440" w:lineRule="exact"/>
        <w:ind w:firstLine="504" w:firstLineChars="200"/>
        <w:textAlignment w:val="auto"/>
        <w:rPr>
          <w:rFonts w:hint="eastAsia" w:ascii="宋体" w:hAnsi="宋体" w:eastAsia="宋体" w:cs="宋体"/>
          <w:spacing w:val="6"/>
          <w:sz w:val="24"/>
          <w:szCs w:val="24"/>
        </w:rPr>
      </w:pPr>
      <w:r>
        <w:rPr>
          <w:rFonts w:hint="eastAsia" w:ascii="宋体" w:hAnsi="宋体" w:eastAsia="宋体" w:cs="宋体"/>
          <w:spacing w:val="6"/>
          <w:sz w:val="24"/>
          <w:szCs w:val="24"/>
        </w:rPr>
        <w:t>2. 固定码头及接驳平台承载力、抗停靠惯性满足卡丁船上下水、临时停靠、检修待命使用。</w:t>
      </w:r>
    </w:p>
    <w:p w14:paraId="3F6F2057">
      <w:pPr>
        <w:keepNext w:val="0"/>
        <w:keepLines w:val="0"/>
        <w:pageBreakBefore w:val="0"/>
        <w:widowControl w:val="0"/>
        <w:kinsoku/>
        <w:wordWrap/>
        <w:overflowPunct/>
        <w:topLinePunct w:val="0"/>
        <w:autoSpaceDE/>
        <w:autoSpaceDN/>
        <w:bidi w:val="0"/>
        <w:adjustRightInd/>
        <w:snapToGrid/>
        <w:spacing w:line="440" w:lineRule="exact"/>
        <w:ind w:firstLine="504" w:firstLineChars="200"/>
        <w:textAlignment w:val="auto"/>
        <w:rPr>
          <w:rFonts w:hint="eastAsia" w:ascii="宋体" w:hAnsi="宋体" w:eastAsia="宋体" w:cs="宋体"/>
          <w:spacing w:val="6"/>
          <w:sz w:val="24"/>
          <w:szCs w:val="24"/>
        </w:rPr>
      </w:pPr>
      <w:r>
        <w:rPr>
          <w:rFonts w:hint="eastAsia" w:ascii="宋体" w:hAnsi="宋体" w:eastAsia="宋体" w:cs="宋体"/>
          <w:spacing w:val="6"/>
          <w:sz w:val="24"/>
          <w:szCs w:val="24"/>
        </w:rPr>
        <w:t>3. 安全围挡、警示牌增设水上动力赛事水域、禁止私自下水、严禁闯入竞速赛道专属提示。</w:t>
      </w:r>
    </w:p>
    <w:p w14:paraId="7168A036">
      <w:pPr>
        <w:keepNext w:val="0"/>
        <w:keepLines w:val="0"/>
        <w:pageBreakBefore w:val="0"/>
        <w:widowControl w:val="0"/>
        <w:kinsoku/>
        <w:wordWrap/>
        <w:overflowPunct/>
        <w:topLinePunct w:val="0"/>
        <w:autoSpaceDE/>
        <w:autoSpaceDN/>
        <w:bidi w:val="0"/>
        <w:adjustRightInd/>
        <w:snapToGrid/>
        <w:spacing w:line="440" w:lineRule="exact"/>
        <w:ind w:firstLine="504" w:firstLineChars="200"/>
        <w:textAlignment w:val="auto"/>
        <w:rPr>
          <w:rFonts w:hint="eastAsia" w:ascii="宋体" w:hAnsi="宋体" w:eastAsia="宋体" w:cs="宋体"/>
          <w:spacing w:val="6"/>
          <w:sz w:val="24"/>
          <w:szCs w:val="24"/>
        </w:rPr>
      </w:pPr>
      <w:r>
        <w:rPr>
          <w:rFonts w:hint="eastAsia" w:ascii="宋体" w:hAnsi="宋体" w:eastAsia="宋体" w:cs="宋体"/>
          <w:spacing w:val="6"/>
          <w:sz w:val="24"/>
          <w:szCs w:val="24"/>
        </w:rPr>
        <w:t>4. 所有供电、照明、线路均采用户外防水防爆规格，适配临水高湿环境及赛事专业设备用电负荷。</w:t>
      </w:r>
    </w:p>
    <w:p w14:paraId="0774A72D">
      <w:pPr>
        <w:keepNext w:val="0"/>
        <w:keepLines w:val="0"/>
        <w:pageBreakBefore w:val="0"/>
        <w:widowControl w:val="0"/>
        <w:kinsoku/>
        <w:wordWrap/>
        <w:overflowPunct/>
        <w:topLinePunct w:val="0"/>
        <w:autoSpaceDE/>
        <w:autoSpaceDN/>
        <w:bidi w:val="0"/>
        <w:adjustRightInd/>
        <w:snapToGrid/>
        <w:spacing w:line="440" w:lineRule="exact"/>
        <w:ind w:firstLine="504" w:firstLineChars="200"/>
        <w:textAlignment w:val="auto"/>
        <w:rPr>
          <w:rFonts w:hint="eastAsia" w:ascii="宋体" w:hAnsi="宋体" w:eastAsia="宋体" w:cs="宋体"/>
          <w:spacing w:val="6"/>
          <w:sz w:val="24"/>
          <w:szCs w:val="24"/>
        </w:rPr>
      </w:pPr>
      <w:r>
        <w:rPr>
          <w:rFonts w:hint="eastAsia" w:ascii="宋体" w:hAnsi="宋体" w:eastAsia="宋体" w:cs="宋体"/>
          <w:spacing w:val="6"/>
          <w:sz w:val="24"/>
          <w:szCs w:val="24"/>
        </w:rPr>
        <w:t>5. 全部设施可拆装重复利用，满足今后年度多场次水上动力赛事循环使用。</w:t>
      </w:r>
    </w:p>
    <w:p w14:paraId="24B9C468">
      <w:pPr>
        <w:keepNext w:val="0"/>
        <w:keepLines w:val="0"/>
        <w:pageBreakBefore w:val="0"/>
        <w:widowControl w:val="0"/>
        <w:kinsoku/>
        <w:wordWrap/>
        <w:overflowPunct/>
        <w:topLinePunct w:val="0"/>
        <w:autoSpaceDE/>
        <w:autoSpaceDN/>
        <w:bidi w:val="0"/>
        <w:adjustRightInd/>
        <w:snapToGrid/>
        <w:spacing w:line="440" w:lineRule="exact"/>
        <w:ind w:firstLine="504" w:firstLineChars="200"/>
        <w:textAlignment w:val="auto"/>
        <w:rPr>
          <w:rFonts w:hint="eastAsia" w:ascii="宋体" w:hAnsi="宋体" w:eastAsia="宋体" w:cs="宋体"/>
          <w:spacing w:val="6"/>
          <w:sz w:val="24"/>
          <w:szCs w:val="24"/>
        </w:rPr>
      </w:pPr>
      <w:r>
        <w:rPr>
          <w:rFonts w:hint="eastAsia" w:ascii="宋体" w:hAnsi="宋体" w:eastAsia="宋体" w:cs="宋体"/>
          <w:spacing w:val="6"/>
          <w:sz w:val="24"/>
          <w:szCs w:val="24"/>
        </w:rPr>
        <w:t>五、其他说明</w:t>
      </w:r>
    </w:p>
    <w:p w14:paraId="70A4C3EF">
      <w:pPr>
        <w:keepNext w:val="0"/>
        <w:keepLines w:val="0"/>
        <w:pageBreakBefore w:val="0"/>
        <w:widowControl w:val="0"/>
        <w:kinsoku/>
        <w:wordWrap/>
        <w:overflowPunct/>
        <w:topLinePunct w:val="0"/>
        <w:autoSpaceDE/>
        <w:autoSpaceDN/>
        <w:bidi w:val="0"/>
        <w:adjustRightInd/>
        <w:snapToGrid/>
        <w:spacing w:line="440" w:lineRule="exact"/>
        <w:ind w:firstLine="504" w:firstLineChars="200"/>
        <w:textAlignment w:val="auto"/>
        <w:rPr>
          <w:rFonts w:hint="eastAsia" w:ascii="宋体" w:hAnsi="宋体" w:eastAsia="宋体" w:cs="宋体"/>
          <w:spacing w:val="6"/>
          <w:sz w:val="24"/>
          <w:szCs w:val="24"/>
        </w:rPr>
      </w:pPr>
      <w:r>
        <w:rPr>
          <w:rFonts w:hint="eastAsia" w:ascii="宋体" w:hAnsi="宋体" w:eastAsia="宋体" w:cs="宋体"/>
          <w:spacing w:val="6"/>
          <w:sz w:val="24"/>
          <w:szCs w:val="24"/>
        </w:rPr>
        <w:t>所有物资及施工均严格遵循户外临水、水域风浪工况标准，坚持厉行节约、务实够用、安全合规原则</w:t>
      </w:r>
      <w:r>
        <w:rPr>
          <w:rFonts w:hint="eastAsia" w:ascii="宋体" w:hAnsi="宋体" w:cs="宋体"/>
          <w:spacing w:val="6"/>
          <w:sz w:val="24"/>
          <w:szCs w:val="24"/>
          <w:lang w:eastAsia="zh-CN"/>
        </w:rPr>
        <w:t>，</w:t>
      </w:r>
      <w:r>
        <w:rPr>
          <w:rFonts w:hint="eastAsia" w:ascii="宋体" w:hAnsi="宋体" w:cs="宋体"/>
          <w:spacing w:val="6"/>
          <w:sz w:val="24"/>
          <w:szCs w:val="24"/>
          <w:lang w:val="en-US" w:eastAsia="zh-CN"/>
        </w:rPr>
        <w:t>必须符合国家标准</w:t>
      </w:r>
      <w:r>
        <w:rPr>
          <w:rFonts w:hint="eastAsia" w:ascii="宋体" w:hAnsi="宋体" w:eastAsia="宋体" w:cs="宋体"/>
          <w:spacing w:val="6"/>
          <w:sz w:val="24"/>
          <w:szCs w:val="24"/>
        </w:rPr>
        <w:t>。项目严格按照政府采购相关法律法规及流程组织实施，确保公开、公平、公正。项目建成后进一步丰富全民健身供给、完善水上赛事配套、带动群众参与水上体育运动，助力健康中国、体育强国建设。赛事结束后可对临时设施规范拆除、回收保管、循环复用，并形成完整项目档案及决算资料。</w:t>
      </w:r>
    </w:p>
    <w:p w14:paraId="2C3F75BF">
      <w:pPr>
        <w:keepNext w:val="0"/>
        <w:keepLines w:val="0"/>
        <w:pageBreakBefore w:val="0"/>
        <w:widowControl w:val="0"/>
        <w:kinsoku/>
        <w:wordWrap/>
        <w:overflowPunct/>
        <w:topLinePunct w:val="0"/>
        <w:autoSpaceDE/>
        <w:autoSpaceDN/>
        <w:bidi w:val="0"/>
        <w:adjustRightInd/>
        <w:snapToGrid/>
        <w:spacing w:line="440" w:lineRule="exact"/>
        <w:ind w:firstLine="504" w:firstLineChars="200"/>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六、服务期：2026年6月25日</w:t>
      </w:r>
    </w:p>
    <w:p w14:paraId="29ECF94F">
      <w:pPr>
        <w:keepNext w:val="0"/>
        <w:keepLines w:val="0"/>
        <w:pageBreakBefore w:val="0"/>
        <w:widowControl w:val="0"/>
        <w:kinsoku/>
        <w:wordWrap/>
        <w:overflowPunct/>
        <w:topLinePunct w:val="0"/>
        <w:autoSpaceDE/>
        <w:autoSpaceDN/>
        <w:bidi w:val="0"/>
        <w:adjustRightInd/>
        <w:snapToGrid/>
        <w:spacing w:line="440" w:lineRule="exact"/>
        <w:ind w:firstLine="504" w:firstLineChars="200"/>
        <w:textAlignment w:val="auto"/>
        <w:rPr>
          <w:rFonts w:hint="default"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七、付款方式：签订合同后支付30%，搭建完成后支付40%，活动结束后支付30%。（具体以签订合同为主）</w:t>
      </w:r>
    </w:p>
    <w:p w14:paraId="3DFD92CA">
      <w:pPr>
        <w:spacing w:line="351" w:lineRule="auto"/>
        <w:rPr>
          <w:rFonts w:ascii="Arial"/>
          <w:sz w:val="21"/>
        </w:rPr>
      </w:pPr>
    </w:p>
    <w:p w14:paraId="04C8143A">
      <w:pPr>
        <w:spacing w:line="351" w:lineRule="auto"/>
        <w:rPr>
          <w:rFonts w:ascii="Arial"/>
          <w:sz w:val="21"/>
        </w:rPr>
      </w:pPr>
    </w:p>
    <w:p w14:paraId="039BA166">
      <w:pPr>
        <w:spacing w:line="351" w:lineRule="auto"/>
        <w:rPr>
          <w:rFonts w:ascii="Arial"/>
          <w:sz w:val="21"/>
        </w:rPr>
      </w:pPr>
    </w:p>
    <w:p w14:paraId="1B7AE95B">
      <w:pPr>
        <w:spacing w:line="351" w:lineRule="auto"/>
        <w:rPr>
          <w:rFonts w:ascii="Arial"/>
          <w:sz w:val="21"/>
        </w:rPr>
      </w:pPr>
    </w:p>
    <w:p w14:paraId="7C5B63D5">
      <w:pPr>
        <w:pStyle w:val="2"/>
        <w:keepNext w:val="0"/>
        <w:keepLines w:val="0"/>
        <w:pageBreakBefore w:val="0"/>
        <w:widowControl w:val="0"/>
        <w:numPr>
          <w:ilvl w:val="0"/>
          <w:numId w:val="0"/>
        </w:numPr>
        <w:tabs>
          <w:tab w:val="left" w:pos="0"/>
        </w:tabs>
        <w:kinsoku/>
        <w:wordWrap/>
        <w:overflowPunct/>
        <w:topLinePunct w:val="0"/>
        <w:autoSpaceDE w:val="0"/>
        <w:autoSpaceDN w:val="0"/>
        <w:bidi w:val="0"/>
        <w:adjustRightInd w:val="0"/>
        <w:snapToGrid/>
        <w:spacing w:before="0" w:after="0" w:line="240" w:lineRule="atLeast"/>
        <w:ind w:right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第</w:t>
      </w:r>
      <w:r>
        <w:rPr>
          <w:rFonts w:hint="eastAsia" w:ascii="宋体" w:hAnsi="宋体" w:eastAsia="宋体" w:cs="宋体"/>
          <w:color w:val="auto"/>
          <w:highlight w:val="none"/>
          <w:lang w:val="en-US" w:eastAsia="zh-CN"/>
        </w:rPr>
        <w:t>6章</w:t>
      </w:r>
      <w:r>
        <w:rPr>
          <w:rFonts w:hint="eastAsia" w:hAnsi="宋体" w:cs="宋体"/>
          <w:color w:val="auto"/>
          <w:highlight w:val="none"/>
          <w:lang w:val="en-US" w:eastAsia="zh-CN"/>
        </w:rPr>
        <w:t xml:space="preserve">  </w:t>
      </w:r>
      <w:r>
        <w:rPr>
          <w:rFonts w:hint="eastAsia" w:ascii="宋体" w:hAnsi="宋体" w:eastAsia="宋体" w:cs="宋体"/>
          <w:color w:val="auto"/>
          <w:highlight w:val="none"/>
        </w:rPr>
        <w:t>评标方法和标准</w:t>
      </w:r>
      <w:bookmarkEnd w:id="417"/>
      <w:bookmarkEnd w:id="418"/>
      <w:bookmarkEnd w:id="419"/>
      <w:bookmarkEnd w:id="420"/>
      <w:bookmarkEnd w:id="421"/>
    </w:p>
    <w:p w14:paraId="23F63D1B">
      <w:pPr>
        <w:pStyle w:val="11"/>
        <w:keepNext w:val="0"/>
        <w:keepLines w:val="0"/>
        <w:pageBreakBefore w:val="0"/>
        <w:widowControl w:val="0"/>
        <w:numPr>
          <w:ilvl w:val="0"/>
          <w:numId w:val="0"/>
        </w:numPr>
        <w:tabs>
          <w:tab w:val="clear" w:pos="567"/>
        </w:tabs>
        <w:kinsoku/>
        <w:wordWrap/>
        <w:overflowPunct/>
        <w:topLinePunct w:val="0"/>
        <w:bidi w:val="0"/>
        <w:adjustRightInd/>
        <w:spacing w:before="0" w:line="400" w:lineRule="exact"/>
        <w:ind w:firstLine="480" w:firstLineChars="200"/>
        <w:jc w:val="left"/>
        <w:textAlignment w:val="auto"/>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本项目将按照</w:t>
      </w:r>
      <w:r>
        <w:rPr>
          <w:rFonts w:hint="eastAsia" w:cs="宋体"/>
          <w:b w:val="0"/>
          <w:bCs w:val="0"/>
          <w:color w:val="auto"/>
          <w:highlight w:val="none"/>
          <w:lang w:val="en-US" w:eastAsia="zh-CN"/>
        </w:rPr>
        <w:t>磋商</w:t>
      </w:r>
      <w:r>
        <w:rPr>
          <w:rFonts w:hint="eastAsia" w:ascii="宋体" w:hAnsi="宋体" w:eastAsia="宋体" w:cs="宋体"/>
          <w:b w:val="0"/>
          <w:bCs w:val="0"/>
          <w:color w:val="auto"/>
          <w:highlight w:val="none"/>
          <w:lang w:eastAsia="zh-CN"/>
        </w:rPr>
        <w:t>文件</w:t>
      </w:r>
      <w:r>
        <w:rPr>
          <w:rFonts w:hint="eastAsia" w:ascii="宋体" w:hAnsi="宋体" w:eastAsia="宋体" w:cs="宋体"/>
          <w:b w:val="0"/>
          <w:bCs w:val="0"/>
          <w:color w:val="auto"/>
          <w:highlight w:val="none"/>
        </w:rPr>
        <w:t>第一章</w:t>
      </w:r>
      <w:r>
        <w:rPr>
          <w:rFonts w:hint="eastAsia" w:cs="宋体"/>
          <w:b w:val="0"/>
          <w:bCs w:val="0"/>
          <w:color w:val="auto"/>
          <w:highlight w:val="none"/>
          <w:lang w:eastAsia="zh-CN"/>
        </w:rPr>
        <w:t>投标人</w:t>
      </w:r>
      <w:r>
        <w:rPr>
          <w:rFonts w:hint="eastAsia" w:ascii="宋体" w:hAnsi="宋体" w:eastAsia="宋体" w:cs="宋体"/>
          <w:b w:val="0"/>
          <w:bCs w:val="0"/>
          <w:color w:val="auto"/>
          <w:highlight w:val="none"/>
        </w:rPr>
        <w:t xml:space="preserve">须知中“五 </w:t>
      </w:r>
      <w:r>
        <w:rPr>
          <w:rFonts w:hint="eastAsia" w:ascii="宋体" w:hAnsi="宋体" w:eastAsia="宋体" w:cs="宋体"/>
          <w:b w:val="0"/>
          <w:bCs w:val="0"/>
          <w:color w:val="auto"/>
          <w:highlight w:val="none"/>
          <w:lang w:val="en-US" w:eastAsia="zh-CN"/>
        </w:rPr>
        <w:t>招标</w:t>
      </w:r>
      <w:r>
        <w:rPr>
          <w:rFonts w:hint="eastAsia" w:ascii="宋体" w:hAnsi="宋体" w:eastAsia="宋体" w:cs="宋体"/>
          <w:b w:val="0"/>
          <w:bCs w:val="0"/>
          <w:color w:val="auto"/>
          <w:highlight w:val="none"/>
        </w:rPr>
        <w:t>开启及评审”、“六 确定</w:t>
      </w:r>
      <w:r>
        <w:rPr>
          <w:rFonts w:hint="eastAsia" w:ascii="宋体" w:hAnsi="宋体" w:eastAsia="宋体" w:cs="宋体"/>
          <w:b w:val="0"/>
          <w:bCs w:val="0"/>
          <w:color w:val="auto"/>
          <w:highlight w:val="none"/>
          <w:lang w:eastAsia="zh-CN"/>
        </w:rPr>
        <w:t>中标</w:t>
      </w:r>
      <w:r>
        <w:rPr>
          <w:rFonts w:hint="eastAsia" w:ascii="宋体" w:hAnsi="宋体" w:eastAsia="宋体" w:cs="宋体"/>
          <w:b w:val="0"/>
          <w:bCs w:val="0"/>
          <w:color w:val="auto"/>
          <w:highlight w:val="none"/>
        </w:rPr>
        <w:t>”及本章的规定评标。</w:t>
      </w:r>
    </w:p>
    <w:p w14:paraId="3893F5A0">
      <w:pPr>
        <w:keepNext w:val="0"/>
        <w:keepLines w:val="0"/>
        <w:pageBreakBefore w:val="0"/>
        <w:widowControl w:val="0"/>
        <w:numPr>
          <w:ilvl w:val="0"/>
          <w:numId w:val="0"/>
        </w:numPr>
        <w:kinsoku/>
        <w:wordWrap/>
        <w:overflowPunct/>
        <w:topLinePunct w:val="0"/>
        <w:bidi w:val="0"/>
        <w:adjustRightInd/>
        <w:spacing w:line="400" w:lineRule="exac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w:t>
      </w:r>
      <w:r>
        <w:rPr>
          <w:rFonts w:hint="eastAsia" w:ascii="宋体" w:hAnsi="宋体" w:eastAsia="宋体" w:cs="宋体"/>
          <w:b/>
          <w:bCs/>
          <w:i w:val="0"/>
          <w:caps w:val="0"/>
          <w:color w:val="auto"/>
          <w:spacing w:val="0"/>
          <w:kern w:val="0"/>
          <w:sz w:val="24"/>
          <w:szCs w:val="24"/>
          <w:highlight w:val="none"/>
          <w:lang w:val="en-US" w:eastAsia="zh-CN" w:bidi="ar"/>
        </w:rPr>
        <w:t>项目基本情况</w:t>
      </w:r>
    </w:p>
    <w:p w14:paraId="120DBEAC">
      <w:pPr>
        <w:keepNext w:val="0"/>
        <w:keepLines w:val="0"/>
        <w:pageBreakBefore w:val="0"/>
        <w:widowControl w:val="0"/>
        <w:kinsoku/>
        <w:wordWrap/>
        <w:overflowPunct/>
        <w:topLinePunct w:val="0"/>
        <w:bidi w:val="0"/>
        <w:adjustRightInd/>
        <w:spacing w:line="400" w:lineRule="exac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项目名称：</w:t>
      </w:r>
      <w:r>
        <w:rPr>
          <w:rFonts w:hint="eastAsia" w:ascii="宋体" w:hAnsi="宋体" w:cs="宋体"/>
          <w:color w:val="auto"/>
          <w:sz w:val="24"/>
          <w:highlight w:val="none"/>
          <w:lang w:val="en-US" w:eastAsia="zh-CN"/>
        </w:rPr>
        <w:t>喀什市水上专项运动场地搭建服务项目</w:t>
      </w:r>
      <w:r>
        <w:rPr>
          <w:rFonts w:hint="eastAsia" w:ascii="宋体" w:hAnsi="宋体" w:eastAsia="宋体" w:cs="宋体"/>
          <w:color w:val="auto"/>
          <w:sz w:val="24"/>
          <w:highlight w:val="none"/>
          <w:lang w:val="en-US" w:eastAsia="zh-CN"/>
        </w:rPr>
        <w:t xml:space="preserve">        </w:t>
      </w:r>
    </w:p>
    <w:p w14:paraId="67A352BC">
      <w:pPr>
        <w:keepNext w:val="0"/>
        <w:keepLines w:val="0"/>
        <w:pageBreakBefore w:val="0"/>
        <w:widowControl w:val="0"/>
        <w:kinsoku/>
        <w:wordWrap/>
        <w:overflowPunct/>
        <w:topLinePunct w:val="0"/>
        <w:bidi w:val="0"/>
        <w:adjustRightInd/>
        <w:spacing w:line="400" w:lineRule="exac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地点：投标人登录政采云平台https://www.zcygov.cn/，进入“项目采购-开标评标-右边选择对应项目点击“进入项目”进入开标大厅。</w:t>
      </w:r>
    </w:p>
    <w:p w14:paraId="4E15227C">
      <w:pPr>
        <w:keepNext w:val="0"/>
        <w:keepLines w:val="0"/>
        <w:pageBreakBefore w:val="0"/>
        <w:widowControl w:val="0"/>
        <w:kinsoku/>
        <w:wordWrap/>
        <w:overflowPunct/>
        <w:topLinePunct w:val="0"/>
        <w:bidi w:val="0"/>
        <w:adjustRightInd/>
        <w:spacing w:line="400" w:lineRule="exact"/>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采购方式：竞争性磋商</w:t>
      </w:r>
    </w:p>
    <w:p w14:paraId="77122C78">
      <w:pPr>
        <w:keepNext w:val="0"/>
        <w:keepLines w:val="0"/>
        <w:pageBreakBefore w:val="0"/>
        <w:widowControl w:val="0"/>
        <w:kinsoku/>
        <w:wordWrap/>
        <w:overflowPunct/>
        <w:topLinePunct w:val="0"/>
        <w:bidi w:val="0"/>
        <w:adjustRightInd/>
        <w:spacing w:line="400" w:lineRule="exac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评标办法：综合评分法</w:t>
      </w:r>
    </w:p>
    <w:p w14:paraId="5930BF9F">
      <w:pPr>
        <w:keepNext w:val="0"/>
        <w:keepLines w:val="0"/>
        <w:pageBreakBefore w:val="0"/>
        <w:widowControl w:val="0"/>
        <w:numPr>
          <w:ilvl w:val="0"/>
          <w:numId w:val="0"/>
        </w:numPr>
        <w:kinsoku/>
        <w:wordWrap/>
        <w:overflowPunct/>
        <w:topLinePunct w:val="0"/>
        <w:bidi w:val="0"/>
        <w:adjustRightInd/>
        <w:spacing w:line="400" w:lineRule="exact"/>
        <w:ind w:leftChars="0"/>
        <w:textAlignment w:val="auto"/>
        <w:rPr>
          <w:rFonts w:hint="eastAsia" w:ascii="宋体" w:hAnsi="宋体" w:eastAsia="宋体" w:cs="宋体"/>
          <w:b w:val="0"/>
          <w:bCs w:val="0"/>
          <w:color w:val="auto"/>
          <w:sz w:val="24"/>
          <w:highlight w:val="none"/>
          <w:lang w:eastAsia="zh-CN"/>
        </w:rPr>
      </w:pPr>
      <w:r>
        <w:rPr>
          <w:rFonts w:hint="eastAsia" w:ascii="宋体" w:hAnsi="宋体" w:eastAsia="宋体" w:cs="宋体"/>
          <w:b w:val="0"/>
          <w:bCs w:val="0"/>
          <w:color w:val="auto"/>
          <w:sz w:val="24"/>
          <w:highlight w:val="none"/>
          <w:lang w:eastAsia="zh-CN"/>
        </w:rPr>
        <w:t>是指</w:t>
      </w:r>
      <w:r>
        <w:rPr>
          <w:rFonts w:hint="eastAsia" w:ascii="宋体" w:hAnsi="宋体" w:cs="宋体"/>
          <w:b w:val="0"/>
          <w:bCs w:val="0"/>
          <w:color w:val="auto"/>
          <w:sz w:val="24"/>
          <w:highlight w:val="none"/>
          <w:lang w:eastAsia="zh-CN"/>
        </w:rPr>
        <w:t>响应文件</w:t>
      </w:r>
      <w:r>
        <w:rPr>
          <w:rFonts w:hint="eastAsia" w:ascii="宋体" w:hAnsi="宋体" w:eastAsia="宋体" w:cs="宋体"/>
          <w:b w:val="0"/>
          <w:bCs w:val="0"/>
          <w:color w:val="auto"/>
          <w:sz w:val="24"/>
          <w:highlight w:val="none"/>
          <w:lang w:eastAsia="zh-CN"/>
        </w:rPr>
        <w:t>满足</w:t>
      </w:r>
      <w:r>
        <w:rPr>
          <w:rFonts w:hint="eastAsia" w:ascii="宋体" w:hAnsi="宋体" w:cs="宋体"/>
          <w:b w:val="0"/>
          <w:bCs w:val="0"/>
          <w:color w:val="auto"/>
          <w:sz w:val="24"/>
          <w:highlight w:val="none"/>
          <w:lang w:val="en-US" w:eastAsia="zh-CN"/>
        </w:rPr>
        <w:t>磋商</w:t>
      </w:r>
      <w:r>
        <w:rPr>
          <w:rFonts w:hint="eastAsia" w:ascii="宋体" w:hAnsi="宋体" w:eastAsia="宋体" w:cs="宋体"/>
          <w:b w:val="0"/>
          <w:bCs w:val="0"/>
          <w:color w:val="auto"/>
          <w:sz w:val="24"/>
          <w:highlight w:val="none"/>
          <w:lang w:eastAsia="zh-CN"/>
        </w:rPr>
        <w:t>文件全部实质性要求且按评审因素的量化指标评审得分最高的</w:t>
      </w:r>
      <w:r>
        <w:rPr>
          <w:rFonts w:hint="eastAsia" w:ascii="宋体" w:hAnsi="宋体" w:cs="宋体"/>
          <w:b w:val="0"/>
          <w:bCs w:val="0"/>
          <w:color w:val="auto"/>
          <w:sz w:val="24"/>
          <w:highlight w:val="none"/>
          <w:lang w:eastAsia="zh-CN"/>
        </w:rPr>
        <w:t>投标人</w:t>
      </w:r>
      <w:r>
        <w:rPr>
          <w:rFonts w:hint="eastAsia" w:ascii="宋体" w:hAnsi="宋体" w:eastAsia="宋体" w:cs="宋体"/>
          <w:b w:val="0"/>
          <w:bCs w:val="0"/>
          <w:color w:val="auto"/>
          <w:sz w:val="24"/>
          <w:highlight w:val="none"/>
          <w:lang w:eastAsia="zh-CN"/>
        </w:rPr>
        <w:t>为中标候选单位的评审方法。</w:t>
      </w:r>
    </w:p>
    <w:p w14:paraId="6BB99395">
      <w:pPr>
        <w:keepNext w:val="0"/>
        <w:keepLines w:val="0"/>
        <w:pageBreakBefore w:val="0"/>
        <w:widowControl w:val="0"/>
        <w:kinsoku/>
        <w:wordWrap/>
        <w:overflowPunct/>
        <w:topLinePunct w:val="0"/>
        <w:bidi w:val="0"/>
        <w:adjustRightInd/>
        <w:spacing w:line="400" w:lineRule="exact"/>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lang w:eastAsia="zh-CN"/>
        </w:rPr>
        <w:t>拒绝接收</w:t>
      </w:r>
      <w:r>
        <w:rPr>
          <w:rFonts w:hint="eastAsia" w:ascii="宋体" w:hAnsi="宋体" w:cs="宋体"/>
          <w:b/>
          <w:bCs/>
          <w:color w:val="auto"/>
          <w:sz w:val="24"/>
          <w:szCs w:val="24"/>
          <w:highlight w:val="none"/>
          <w:lang w:eastAsia="zh-CN"/>
        </w:rPr>
        <w:t>响应文件</w:t>
      </w:r>
      <w:r>
        <w:rPr>
          <w:rFonts w:hint="eastAsia" w:ascii="宋体" w:hAnsi="宋体" w:eastAsia="宋体" w:cs="宋体"/>
          <w:b/>
          <w:bCs/>
          <w:color w:val="auto"/>
          <w:sz w:val="24"/>
          <w:szCs w:val="24"/>
          <w:highlight w:val="none"/>
          <w:lang w:eastAsia="zh-CN"/>
        </w:rPr>
        <w:t>的情形</w:t>
      </w:r>
    </w:p>
    <w:p w14:paraId="52CB34F0">
      <w:pPr>
        <w:keepNext w:val="0"/>
        <w:keepLines w:val="0"/>
        <w:pageBreakBefore w:val="0"/>
        <w:widowControl w:val="0"/>
        <w:kinsoku/>
        <w:wordWrap/>
        <w:overflowPunct/>
        <w:topLinePunct w:val="0"/>
        <w:bidi w:val="0"/>
        <w:adjustRightInd/>
        <w:spacing w:line="400" w:lineRule="exact"/>
        <w:ind w:left="0"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在递交</w:t>
      </w:r>
      <w:r>
        <w:rPr>
          <w:rFonts w:hint="eastAsia" w:ascii="宋体" w:hAnsi="宋体" w:cs="宋体"/>
          <w:b w:val="0"/>
          <w:bCs w:val="0"/>
          <w:color w:val="auto"/>
          <w:sz w:val="24"/>
          <w:szCs w:val="24"/>
          <w:highlight w:val="none"/>
          <w:lang w:eastAsia="zh-CN"/>
        </w:rPr>
        <w:t>响应文件</w:t>
      </w:r>
      <w:r>
        <w:rPr>
          <w:rFonts w:hint="eastAsia" w:ascii="宋体" w:hAnsi="宋体" w:eastAsia="宋体" w:cs="宋体"/>
          <w:b w:val="0"/>
          <w:bCs w:val="0"/>
          <w:color w:val="auto"/>
          <w:sz w:val="24"/>
          <w:szCs w:val="24"/>
          <w:highlight w:val="none"/>
        </w:rPr>
        <w:t>截止时间后</w:t>
      </w:r>
      <w:r>
        <w:rPr>
          <w:rFonts w:hint="eastAsia" w:ascii="宋体" w:hAnsi="宋体" w:cs="宋体"/>
          <w:b w:val="0"/>
          <w:bCs w:val="0"/>
          <w:color w:val="auto"/>
          <w:sz w:val="24"/>
          <w:szCs w:val="24"/>
          <w:highlight w:val="none"/>
          <w:lang w:val="en-US" w:eastAsia="zh-CN"/>
        </w:rPr>
        <w:t>递交</w:t>
      </w:r>
      <w:r>
        <w:rPr>
          <w:rFonts w:hint="eastAsia" w:ascii="宋体" w:hAnsi="宋体" w:eastAsia="宋体" w:cs="宋体"/>
          <w:b w:val="0"/>
          <w:bCs w:val="0"/>
          <w:color w:val="auto"/>
          <w:sz w:val="24"/>
          <w:szCs w:val="24"/>
          <w:highlight w:val="none"/>
        </w:rPr>
        <w:t>的</w:t>
      </w:r>
      <w:r>
        <w:rPr>
          <w:rFonts w:hint="eastAsia" w:ascii="宋体" w:hAnsi="宋体" w:cs="宋体"/>
          <w:b w:val="0"/>
          <w:bCs w:val="0"/>
          <w:color w:val="auto"/>
          <w:sz w:val="24"/>
          <w:szCs w:val="24"/>
          <w:highlight w:val="none"/>
          <w:lang w:eastAsia="zh-CN"/>
        </w:rPr>
        <w:t>响应文件</w:t>
      </w:r>
      <w:r>
        <w:rPr>
          <w:rFonts w:hint="eastAsia" w:ascii="宋体" w:hAnsi="宋体" w:eastAsia="宋体" w:cs="宋体"/>
          <w:b w:val="0"/>
          <w:bCs w:val="0"/>
          <w:color w:val="auto"/>
          <w:sz w:val="24"/>
          <w:szCs w:val="24"/>
          <w:highlight w:val="none"/>
        </w:rPr>
        <w:t>的，采购人和采购代理机构将拒绝</w:t>
      </w:r>
      <w:r>
        <w:rPr>
          <w:rFonts w:hint="eastAsia" w:ascii="宋体" w:hAnsi="宋体" w:eastAsia="宋体" w:cs="宋体"/>
          <w:b w:val="0"/>
          <w:bCs w:val="0"/>
          <w:color w:val="auto"/>
          <w:sz w:val="24"/>
          <w:szCs w:val="24"/>
          <w:highlight w:val="none"/>
          <w:lang w:val="en-US" w:eastAsia="zh-CN"/>
        </w:rPr>
        <w:t>签</w:t>
      </w:r>
      <w:r>
        <w:rPr>
          <w:rFonts w:hint="eastAsia" w:ascii="宋体" w:hAnsi="宋体" w:eastAsia="宋体" w:cs="宋体"/>
          <w:b w:val="0"/>
          <w:bCs w:val="0"/>
          <w:color w:val="auto"/>
          <w:sz w:val="24"/>
          <w:szCs w:val="24"/>
          <w:highlight w:val="none"/>
        </w:rPr>
        <w:t>收。</w:t>
      </w:r>
    </w:p>
    <w:p w14:paraId="559A319D">
      <w:pPr>
        <w:keepNext w:val="0"/>
        <w:keepLines w:val="0"/>
        <w:pageBreakBefore w:val="0"/>
        <w:widowControl w:val="0"/>
        <w:numPr>
          <w:ilvl w:val="0"/>
          <w:numId w:val="0"/>
        </w:numPr>
        <w:kinsoku/>
        <w:wordWrap/>
        <w:overflowPunct/>
        <w:topLinePunct w:val="0"/>
        <w:bidi w:val="0"/>
        <w:adjustRightInd/>
        <w:spacing w:line="400" w:lineRule="exac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三、不得开启</w:t>
      </w:r>
      <w:r>
        <w:rPr>
          <w:rFonts w:hint="eastAsia" w:ascii="宋体" w:hAnsi="宋体" w:cs="宋体"/>
          <w:b/>
          <w:bCs/>
          <w:color w:val="auto"/>
          <w:sz w:val="24"/>
          <w:szCs w:val="24"/>
          <w:highlight w:val="none"/>
          <w:lang w:val="en-US" w:eastAsia="zh-CN"/>
        </w:rPr>
        <w:t>响应文件</w:t>
      </w:r>
      <w:r>
        <w:rPr>
          <w:rFonts w:hint="eastAsia" w:ascii="宋体" w:hAnsi="宋体" w:eastAsia="宋体" w:cs="宋体"/>
          <w:b/>
          <w:bCs/>
          <w:color w:val="auto"/>
          <w:sz w:val="24"/>
          <w:szCs w:val="24"/>
          <w:highlight w:val="none"/>
          <w:lang w:val="en-US" w:eastAsia="zh-CN"/>
        </w:rPr>
        <w:t>的情形</w:t>
      </w:r>
    </w:p>
    <w:p w14:paraId="59D869C2">
      <w:pPr>
        <w:keepNext w:val="0"/>
        <w:keepLines w:val="0"/>
        <w:pageBreakBefore w:val="0"/>
        <w:widowControl w:val="0"/>
        <w:numPr>
          <w:ilvl w:val="0"/>
          <w:numId w:val="0"/>
        </w:numPr>
        <w:kinsoku/>
        <w:wordWrap/>
        <w:overflowPunct/>
        <w:topLinePunct w:val="0"/>
        <w:bidi w:val="0"/>
        <w:adjustRightInd/>
        <w:spacing w:line="400" w:lineRule="exact"/>
        <w:ind w:firstLine="480" w:firstLineChars="200"/>
        <w:textAlignment w:val="auto"/>
        <w:rPr>
          <w:rFonts w:hint="eastAsia" w:ascii="宋体" w:hAnsi="宋体" w:eastAsia="宋体" w:cs="宋体"/>
          <w:b w:val="0"/>
          <w:bCs w:val="0"/>
          <w:color w:val="auto"/>
          <w:highlight w:val="none"/>
        </w:rPr>
      </w:pPr>
      <w:r>
        <w:rPr>
          <w:rFonts w:hint="eastAsia" w:ascii="宋体" w:hAnsi="宋体" w:cs="宋体"/>
          <w:b w:val="0"/>
          <w:bCs w:val="0"/>
          <w:color w:val="auto"/>
          <w:sz w:val="24"/>
          <w:szCs w:val="24"/>
          <w:highlight w:val="none"/>
          <w:lang w:eastAsia="zh-CN"/>
        </w:rPr>
        <w:t>投标人</w:t>
      </w:r>
      <w:r>
        <w:rPr>
          <w:rFonts w:hint="eastAsia" w:ascii="宋体" w:hAnsi="宋体" w:eastAsia="宋体" w:cs="宋体"/>
          <w:b w:val="0"/>
          <w:bCs w:val="0"/>
          <w:color w:val="auto"/>
          <w:sz w:val="24"/>
          <w:szCs w:val="24"/>
          <w:highlight w:val="none"/>
        </w:rPr>
        <w:t>不足3家的，不得开启</w:t>
      </w:r>
      <w:r>
        <w:rPr>
          <w:rFonts w:hint="eastAsia" w:ascii="宋体" w:hAnsi="宋体" w:cs="宋体"/>
          <w:b w:val="0"/>
          <w:bCs w:val="0"/>
          <w:color w:val="auto"/>
          <w:sz w:val="24"/>
          <w:szCs w:val="24"/>
          <w:highlight w:val="none"/>
          <w:lang w:eastAsia="zh-CN"/>
        </w:rPr>
        <w:t>响应文件</w:t>
      </w:r>
      <w:r>
        <w:rPr>
          <w:rFonts w:hint="eastAsia" w:ascii="宋体" w:hAnsi="宋体" w:eastAsia="宋体" w:cs="宋体"/>
          <w:b w:val="0"/>
          <w:bCs w:val="0"/>
          <w:color w:val="auto"/>
          <w:sz w:val="24"/>
          <w:szCs w:val="24"/>
          <w:highlight w:val="none"/>
        </w:rPr>
        <w:t>。</w:t>
      </w:r>
    </w:p>
    <w:p w14:paraId="2CABFE8F">
      <w:pPr>
        <w:pStyle w:val="11"/>
        <w:keepNext w:val="0"/>
        <w:keepLines w:val="0"/>
        <w:pageBreakBefore w:val="0"/>
        <w:widowControl w:val="0"/>
        <w:tabs>
          <w:tab w:val="clear" w:pos="567"/>
        </w:tabs>
        <w:kinsoku/>
        <w:wordWrap/>
        <w:overflowPunct/>
        <w:topLinePunct w:val="0"/>
        <w:bidi w:val="0"/>
        <w:adjustRightInd/>
        <w:spacing w:before="0" w:line="400" w:lineRule="exact"/>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lang w:val="en-US" w:eastAsia="zh-CN"/>
        </w:rPr>
        <w:t>四</w:t>
      </w:r>
      <w:r>
        <w:rPr>
          <w:rFonts w:hint="eastAsia" w:ascii="宋体" w:hAnsi="宋体" w:eastAsia="宋体" w:cs="宋体"/>
          <w:b/>
          <w:bCs/>
          <w:color w:val="auto"/>
          <w:highlight w:val="none"/>
        </w:rPr>
        <w:t>.</w:t>
      </w:r>
      <w:r>
        <w:rPr>
          <w:rFonts w:hint="eastAsia" w:cs="宋体"/>
          <w:b/>
          <w:bCs/>
          <w:color w:val="auto"/>
          <w:sz w:val="24"/>
          <w:szCs w:val="24"/>
          <w:highlight w:val="none"/>
          <w:lang w:val="en-US" w:eastAsia="zh-CN"/>
        </w:rPr>
        <w:t>响应文件</w:t>
      </w:r>
      <w:r>
        <w:rPr>
          <w:rFonts w:hint="eastAsia" w:ascii="宋体" w:hAnsi="宋体" w:eastAsia="宋体" w:cs="宋体"/>
          <w:b/>
          <w:bCs/>
          <w:color w:val="auto"/>
          <w:highlight w:val="none"/>
        </w:rPr>
        <w:t>无效的情形：</w:t>
      </w:r>
    </w:p>
    <w:p w14:paraId="7A8068FB">
      <w:pPr>
        <w:keepNext w:val="0"/>
        <w:keepLines w:val="0"/>
        <w:pageBreakBefore w:val="0"/>
        <w:widowControl w:val="0"/>
        <w:numPr>
          <w:ilvl w:val="0"/>
          <w:numId w:val="0"/>
        </w:numPr>
        <w:kinsoku/>
        <w:wordWrap/>
        <w:overflowPunct/>
        <w:topLinePunct w:val="0"/>
        <w:bidi w:val="0"/>
        <w:adjustRightInd/>
        <w:snapToGrid/>
        <w:spacing w:line="400" w:lineRule="exact"/>
        <w:ind w:leftChars="0"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rPr>
        <w:t>采购人或采购代理机构将在</w:t>
      </w:r>
      <w:r>
        <w:rPr>
          <w:rFonts w:hint="eastAsia" w:ascii="宋体" w:hAnsi="宋体" w:eastAsia="宋体" w:cs="宋体"/>
          <w:b w:val="0"/>
          <w:bCs w:val="0"/>
          <w:color w:val="auto"/>
          <w:sz w:val="24"/>
          <w:szCs w:val="24"/>
          <w:highlight w:val="none"/>
          <w:lang w:eastAsia="zh-CN"/>
        </w:rPr>
        <w:t>投标</w:t>
      </w:r>
      <w:r>
        <w:rPr>
          <w:rFonts w:hint="eastAsia" w:ascii="宋体" w:hAnsi="宋体" w:eastAsia="宋体" w:cs="宋体"/>
          <w:b w:val="0"/>
          <w:bCs w:val="0"/>
          <w:color w:val="auto"/>
          <w:sz w:val="24"/>
          <w:szCs w:val="24"/>
          <w:highlight w:val="none"/>
        </w:rPr>
        <w:t>开启前1个工作日至递交</w:t>
      </w:r>
      <w:r>
        <w:rPr>
          <w:rFonts w:hint="eastAsia" w:ascii="宋体" w:hAnsi="宋体" w:cs="宋体"/>
          <w:b w:val="0"/>
          <w:bCs w:val="0"/>
          <w:color w:val="auto"/>
          <w:sz w:val="24"/>
          <w:szCs w:val="24"/>
          <w:highlight w:val="none"/>
          <w:lang w:eastAsia="zh-CN"/>
        </w:rPr>
        <w:t>响应文件</w:t>
      </w:r>
      <w:r>
        <w:rPr>
          <w:rFonts w:hint="eastAsia" w:ascii="宋体" w:hAnsi="宋体" w:eastAsia="宋体" w:cs="宋体"/>
          <w:b w:val="0"/>
          <w:bCs w:val="0"/>
          <w:color w:val="auto"/>
          <w:sz w:val="24"/>
          <w:szCs w:val="24"/>
          <w:highlight w:val="none"/>
        </w:rPr>
        <w:t>截止</w:t>
      </w:r>
      <w:r>
        <w:rPr>
          <w:rFonts w:hint="eastAsia" w:ascii="宋体" w:hAnsi="宋体" w:eastAsia="宋体" w:cs="宋体"/>
          <w:b w:val="0"/>
          <w:bCs w:val="0"/>
          <w:color w:val="auto"/>
          <w:sz w:val="24"/>
          <w:szCs w:val="24"/>
          <w:highlight w:val="none"/>
          <w:lang w:eastAsia="zh-CN"/>
        </w:rPr>
        <w:t>前</w:t>
      </w:r>
      <w:r>
        <w:rPr>
          <w:rFonts w:hint="eastAsia" w:ascii="宋体" w:hAnsi="宋体" w:eastAsia="宋体" w:cs="宋体"/>
          <w:b w:val="0"/>
          <w:bCs w:val="0"/>
          <w:color w:val="auto"/>
          <w:sz w:val="24"/>
          <w:szCs w:val="24"/>
          <w:highlight w:val="none"/>
        </w:rPr>
        <w:t>查询</w:t>
      </w:r>
      <w:r>
        <w:rPr>
          <w:rFonts w:hint="eastAsia" w:ascii="宋体" w:hAnsi="宋体" w:cs="宋体"/>
          <w:b w:val="0"/>
          <w:bCs w:val="0"/>
          <w:color w:val="auto"/>
          <w:sz w:val="24"/>
          <w:szCs w:val="24"/>
          <w:highlight w:val="none"/>
          <w:lang w:eastAsia="zh-CN"/>
        </w:rPr>
        <w:t>投标人</w:t>
      </w:r>
      <w:r>
        <w:rPr>
          <w:rFonts w:hint="eastAsia" w:ascii="宋体" w:hAnsi="宋体" w:eastAsia="宋体" w:cs="宋体"/>
          <w:b w:val="0"/>
          <w:bCs w:val="0"/>
          <w:color w:val="auto"/>
          <w:sz w:val="24"/>
          <w:szCs w:val="24"/>
          <w:highlight w:val="none"/>
        </w:rPr>
        <w:t>的信用记录。</w:t>
      </w:r>
      <w:r>
        <w:rPr>
          <w:rFonts w:hint="eastAsia" w:ascii="宋体" w:hAnsi="宋体" w:cs="宋体"/>
          <w:b w:val="0"/>
          <w:bCs w:val="0"/>
          <w:color w:val="auto"/>
          <w:sz w:val="24"/>
          <w:szCs w:val="24"/>
          <w:highlight w:val="none"/>
          <w:lang w:eastAsia="zh-CN"/>
        </w:rPr>
        <w:t>投标人</w:t>
      </w:r>
      <w:r>
        <w:rPr>
          <w:rFonts w:hint="eastAsia" w:ascii="宋体" w:hAnsi="宋体" w:eastAsia="宋体" w:cs="宋体"/>
          <w:b w:val="0"/>
          <w:bCs w:val="0"/>
          <w:color w:val="auto"/>
          <w:sz w:val="24"/>
          <w:szCs w:val="24"/>
          <w:highlight w:val="none"/>
        </w:rPr>
        <w:t>存在不良信用记录的，其</w:t>
      </w:r>
      <w:r>
        <w:rPr>
          <w:rFonts w:hint="eastAsia" w:ascii="宋体" w:hAnsi="宋体" w:eastAsia="宋体" w:cs="宋体"/>
          <w:b w:val="0"/>
          <w:bCs w:val="0"/>
          <w:color w:val="auto"/>
          <w:sz w:val="24"/>
          <w:szCs w:val="24"/>
          <w:highlight w:val="none"/>
          <w:lang w:val="en-US" w:eastAsia="zh-CN"/>
        </w:rPr>
        <w:t>投标</w:t>
      </w:r>
      <w:r>
        <w:rPr>
          <w:rFonts w:hint="eastAsia" w:ascii="宋体" w:hAnsi="宋体" w:eastAsia="宋体" w:cs="宋体"/>
          <w:b w:val="0"/>
          <w:bCs w:val="0"/>
          <w:color w:val="auto"/>
          <w:sz w:val="24"/>
          <w:szCs w:val="24"/>
          <w:highlight w:val="none"/>
        </w:rPr>
        <w:t>资格将被认定为无效。</w:t>
      </w:r>
    </w:p>
    <w:p w14:paraId="212ED4EB">
      <w:pPr>
        <w:pStyle w:val="49"/>
        <w:keepNext w:val="0"/>
        <w:keepLines w:val="0"/>
        <w:pageBreakBefore w:val="0"/>
        <w:widowControl w:val="0"/>
        <w:kinsoku/>
        <w:wordWrap/>
        <w:overflowPunct/>
        <w:topLinePunct w:val="0"/>
        <w:bidi w:val="0"/>
        <w:adjustRightInd/>
        <w:snapToGrid/>
        <w:spacing w:line="400" w:lineRule="exact"/>
        <w:ind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如采购人所采购产品为政府强制采购的节能产品，</w:t>
      </w:r>
      <w:r>
        <w:rPr>
          <w:rFonts w:hint="eastAsia" w:hAnsi="宋体" w:cs="宋体"/>
          <w:b w:val="0"/>
          <w:bCs w:val="0"/>
          <w:color w:val="auto"/>
          <w:sz w:val="24"/>
          <w:szCs w:val="24"/>
          <w:highlight w:val="none"/>
          <w:lang w:eastAsia="zh-CN"/>
        </w:rPr>
        <w:t>投标人</w:t>
      </w:r>
      <w:r>
        <w:rPr>
          <w:rFonts w:hint="eastAsia" w:ascii="宋体" w:hAnsi="宋体" w:eastAsia="宋体" w:cs="宋体"/>
          <w:b w:val="0"/>
          <w:bCs w:val="0"/>
          <w:color w:val="auto"/>
          <w:sz w:val="24"/>
          <w:szCs w:val="24"/>
          <w:highlight w:val="none"/>
        </w:rPr>
        <w:t>所投产品的品牌及型号必须为清单中有效期内产品并提供证明文件，否则其</w:t>
      </w:r>
      <w:r>
        <w:rPr>
          <w:rFonts w:hint="eastAsia" w:ascii="宋体" w:hAnsi="宋体" w:eastAsia="宋体" w:cs="宋体"/>
          <w:b w:val="0"/>
          <w:bCs w:val="0"/>
          <w:color w:val="auto"/>
          <w:sz w:val="24"/>
          <w:szCs w:val="24"/>
          <w:highlight w:val="none"/>
          <w:lang w:eastAsia="zh-CN"/>
        </w:rPr>
        <w:t>投标资格</w:t>
      </w:r>
      <w:r>
        <w:rPr>
          <w:rFonts w:hint="eastAsia" w:ascii="宋体" w:hAnsi="宋体" w:eastAsia="宋体" w:cs="宋体"/>
          <w:b w:val="0"/>
          <w:bCs w:val="0"/>
          <w:color w:val="auto"/>
          <w:sz w:val="24"/>
          <w:szCs w:val="24"/>
          <w:highlight w:val="none"/>
        </w:rPr>
        <w:t>将被认定为无效。</w:t>
      </w:r>
    </w:p>
    <w:p w14:paraId="0911AA73">
      <w:pPr>
        <w:keepNext w:val="0"/>
        <w:keepLines w:val="0"/>
        <w:pageBreakBefore w:val="0"/>
        <w:widowControl w:val="0"/>
        <w:kinsoku/>
        <w:wordWrap/>
        <w:overflowPunct/>
        <w:topLinePunct w:val="0"/>
        <w:bidi w:val="0"/>
        <w:adjustRightInd/>
        <w:snapToGrid/>
        <w:spacing w:line="400" w:lineRule="exact"/>
        <w:ind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rPr>
        <w:t>在比较与评价之前，根据本须知的规定，</w:t>
      </w:r>
      <w:r>
        <w:rPr>
          <w:rFonts w:hint="eastAsia" w:ascii="宋体" w:hAnsi="宋体" w:cs="宋体"/>
          <w:b w:val="0"/>
          <w:bCs w:val="0"/>
          <w:color w:val="auto"/>
          <w:sz w:val="24"/>
          <w:szCs w:val="24"/>
          <w:highlight w:val="none"/>
          <w:lang w:eastAsia="zh-CN"/>
        </w:rPr>
        <w:t>磋商小组</w:t>
      </w:r>
      <w:r>
        <w:rPr>
          <w:rFonts w:hint="eastAsia" w:ascii="宋体" w:hAnsi="宋体" w:eastAsia="宋体" w:cs="宋体"/>
          <w:b w:val="0"/>
          <w:bCs w:val="0"/>
          <w:color w:val="auto"/>
          <w:sz w:val="24"/>
          <w:szCs w:val="24"/>
          <w:highlight w:val="none"/>
        </w:rPr>
        <w:t>要审查每份</w:t>
      </w:r>
      <w:r>
        <w:rPr>
          <w:rFonts w:hint="eastAsia" w:ascii="宋体" w:hAnsi="宋体" w:cs="宋体"/>
          <w:b w:val="0"/>
          <w:bCs w:val="0"/>
          <w:color w:val="auto"/>
          <w:sz w:val="24"/>
          <w:szCs w:val="24"/>
          <w:highlight w:val="none"/>
          <w:lang w:eastAsia="zh-CN"/>
        </w:rPr>
        <w:t>响应文件</w:t>
      </w:r>
      <w:r>
        <w:rPr>
          <w:rFonts w:hint="eastAsia" w:ascii="宋体" w:hAnsi="宋体" w:eastAsia="宋体" w:cs="宋体"/>
          <w:b w:val="0"/>
          <w:bCs w:val="0"/>
          <w:color w:val="auto"/>
          <w:sz w:val="24"/>
          <w:szCs w:val="24"/>
          <w:highlight w:val="none"/>
        </w:rPr>
        <w:t>是否实质上响应了</w:t>
      </w:r>
      <w:r>
        <w:rPr>
          <w:rFonts w:hint="eastAsia" w:ascii="宋体" w:hAnsi="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lang w:eastAsia="zh-CN"/>
        </w:rPr>
        <w:t>文件</w:t>
      </w:r>
      <w:r>
        <w:rPr>
          <w:rFonts w:hint="eastAsia" w:ascii="宋体" w:hAnsi="宋体" w:eastAsia="宋体" w:cs="宋体"/>
          <w:b w:val="0"/>
          <w:bCs w:val="0"/>
          <w:color w:val="auto"/>
          <w:sz w:val="24"/>
          <w:szCs w:val="24"/>
          <w:highlight w:val="none"/>
        </w:rPr>
        <w:t>的要求。实质上响应的</w:t>
      </w:r>
      <w:r>
        <w:rPr>
          <w:rFonts w:hint="eastAsia" w:ascii="宋体" w:hAnsi="宋体" w:eastAsia="宋体" w:cs="宋体"/>
          <w:b w:val="0"/>
          <w:bCs w:val="0"/>
          <w:color w:val="auto"/>
          <w:sz w:val="24"/>
          <w:szCs w:val="24"/>
          <w:highlight w:val="none"/>
          <w:lang w:eastAsia="zh-CN"/>
        </w:rPr>
        <w:t>投标</w:t>
      </w:r>
      <w:r>
        <w:rPr>
          <w:rFonts w:hint="eastAsia" w:ascii="宋体" w:hAnsi="宋体" w:eastAsia="宋体" w:cs="宋体"/>
          <w:b w:val="0"/>
          <w:bCs w:val="0"/>
          <w:color w:val="auto"/>
          <w:sz w:val="24"/>
          <w:szCs w:val="24"/>
          <w:highlight w:val="none"/>
        </w:rPr>
        <w:t>应该是与</w:t>
      </w:r>
      <w:r>
        <w:rPr>
          <w:rFonts w:hint="eastAsia" w:ascii="宋体" w:hAnsi="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lang w:eastAsia="zh-CN"/>
        </w:rPr>
        <w:t>文件</w:t>
      </w:r>
      <w:r>
        <w:rPr>
          <w:rFonts w:hint="eastAsia" w:ascii="宋体" w:hAnsi="宋体" w:eastAsia="宋体" w:cs="宋体"/>
          <w:b w:val="0"/>
          <w:bCs w:val="0"/>
          <w:color w:val="auto"/>
          <w:sz w:val="24"/>
          <w:szCs w:val="24"/>
          <w:highlight w:val="none"/>
        </w:rPr>
        <w:t>要求的全部条款、条件和规格相符，没有重大偏离的</w:t>
      </w:r>
      <w:r>
        <w:rPr>
          <w:rFonts w:hint="eastAsia" w:ascii="宋体" w:hAnsi="宋体" w:cs="宋体"/>
          <w:b w:val="0"/>
          <w:bCs w:val="0"/>
          <w:color w:val="auto"/>
          <w:sz w:val="24"/>
          <w:szCs w:val="24"/>
          <w:highlight w:val="none"/>
          <w:lang w:eastAsia="zh-CN"/>
        </w:rPr>
        <w:t>响应文件</w:t>
      </w:r>
      <w:r>
        <w:rPr>
          <w:rFonts w:hint="eastAsia" w:ascii="宋体" w:hAnsi="宋体" w:eastAsia="宋体" w:cs="宋体"/>
          <w:b w:val="0"/>
          <w:bCs w:val="0"/>
          <w:color w:val="auto"/>
          <w:sz w:val="24"/>
          <w:szCs w:val="24"/>
          <w:highlight w:val="none"/>
        </w:rPr>
        <w:t>。对关键条款的偏离，将被认定为无效。</w:t>
      </w:r>
      <w:r>
        <w:rPr>
          <w:rFonts w:hint="eastAsia" w:ascii="宋体" w:hAnsi="宋体" w:cs="宋体"/>
          <w:b w:val="0"/>
          <w:bCs w:val="0"/>
          <w:color w:val="auto"/>
          <w:sz w:val="24"/>
          <w:szCs w:val="24"/>
          <w:highlight w:val="none"/>
          <w:lang w:eastAsia="zh-CN"/>
        </w:rPr>
        <w:t>投标人</w:t>
      </w:r>
      <w:r>
        <w:rPr>
          <w:rFonts w:hint="eastAsia" w:ascii="宋体" w:hAnsi="宋体" w:eastAsia="宋体" w:cs="宋体"/>
          <w:b w:val="0"/>
          <w:bCs w:val="0"/>
          <w:color w:val="auto"/>
          <w:sz w:val="24"/>
          <w:szCs w:val="24"/>
          <w:highlight w:val="none"/>
        </w:rPr>
        <w:t>不得通过修正或撤销不符合要求的偏离，从而使其</w:t>
      </w:r>
      <w:r>
        <w:rPr>
          <w:rFonts w:hint="eastAsia" w:ascii="宋体" w:hAnsi="宋体" w:eastAsia="宋体" w:cs="宋体"/>
          <w:b w:val="0"/>
          <w:bCs w:val="0"/>
          <w:color w:val="auto"/>
          <w:sz w:val="24"/>
          <w:szCs w:val="24"/>
          <w:highlight w:val="none"/>
          <w:lang w:eastAsia="zh-CN"/>
        </w:rPr>
        <w:t>投标</w:t>
      </w:r>
      <w:r>
        <w:rPr>
          <w:rFonts w:hint="eastAsia" w:ascii="宋体" w:hAnsi="宋体" w:eastAsia="宋体" w:cs="宋体"/>
          <w:b w:val="0"/>
          <w:bCs w:val="0"/>
          <w:color w:val="auto"/>
          <w:sz w:val="24"/>
          <w:szCs w:val="24"/>
          <w:highlight w:val="none"/>
        </w:rPr>
        <w:t>成为实质上响应的</w:t>
      </w:r>
      <w:r>
        <w:rPr>
          <w:rFonts w:hint="eastAsia" w:ascii="宋体" w:hAnsi="宋体" w:eastAsia="宋体" w:cs="宋体"/>
          <w:b w:val="0"/>
          <w:bCs w:val="0"/>
          <w:color w:val="auto"/>
          <w:sz w:val="24"/>
          <w:szCs w:val="24"/>
          <w:highlight w:val="none"/>
          <w:lang w:eastAsia="zh-CN"/>
        </w:rPr>
        <w:t>投标</w:t>
      </w:r>
      <w:r>
        <w:rPr>
          <w:rFonts w:hint="eastAsia" w:ascii="宋体" w:hAnsi="宋体" w:eastAsia="宋体" w:cs="宋体"/>
          <w:b w:val="0"/>
          <w:bCs w:val="0"/>
          <w:color w:val="auto"/>
          <w:sz w:val="24"/>
          <w:szCs w:val="24"/>
          <w:highlight w:val="none"/>
        </w:rPr>
        <w:t>。</w:t>
      </w:r>
    </w:p>
    <w:p w14:paraId="5E88662A">
      <w:pPr>
        <w:keepNext w:val="0"/>
        <w:keepLines w:val="0"/>
        <w:pageBreakBefore w:val="0"/>
        <w:widowControl w:val="0"/>
        <w:kinsoku/>
        <w:wordWrap/>
        <w:overflowPunct/>
        <w:topLinePunct w:val="0"/>
        <w:bidi w:val="0"/>
        <w:adjustRightInd/>
        <w:spacing w:line="40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未按</w:t>
      </w:r>
      <w:r>
        <w:rPr>
          <w:rFonts w:hint="eastAsia" w:ascii="宋体" w:hAnsi="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lang w:eastAsia="zh-CN"/>
        </w:rPr>
        <w:t>文件</w:t>
      </w:r>
      <w:r>
        <w:rPr>
          <w:rFonts w:hint="eastAsia" w:ascii="宋体" w:hAnsi="宋体" w:eastAsia="宋体" w:cs="宋体"/>
          <w:b w:val="0"/>
          <w:bCs w:val="0"/>
          <w:color w:val="auto"/>
          <w:sz w:val="24"/>
          <w:szCs w:val="24"/>
          <w:highlight w:val="none"/>
        </w:rPr>
        <w:t>规定的形式和金额提交</w:t>
      </w:r>
      <w:r>
        <w:rPr>
          <w:rFonts w:hint="eastAsia" w:ascii="宋体" w:hAnsi="宋体" w:eastAsia="宋体" w:cs="宋体"/>
          <w:b w:val="0"/>
          <w:bCs w:val="0"/>
          <w:color w:val="auto"/>
          <w:sz w:val="24"/>
          <w:szCs w:val="24"/>
          <w:highlight w:val="none"/>
          <w:lang w:eastAsia="zh-CN"/>
        </w:rPr>
        <w:t>投标</w:t>
      </w:r>
      <w:r>
        <w:rPr>
          <w:rFonts w:hint="eastAsia" w:ascii="宋体" w:hAnsi="宋体" w:eastAsia="宋体" w:cs="宋体"/>
          <w:b w:val="0"/>
          <w:bCs w:val="0"/>
          <w:color w:val="auto"/>
          <w:sz w:val="24"/>
          <w:szCs w:val="24"/>
          <w:highlight w:val="none"/>
        </w:rPr>
        <w:t>保证金的；</w:t>
      </w:r>
    </w:p>
    <w:p w14:paraId="1080CB1F">
      <w:pPr>
        <w:keepNext w:val="0"/>
        <w:keepLines w:val="0"/>
        <w:pageBreakBefore w:val="0"/>
        <w:widowControl w:val="0"/>
        <w:tabs>
          <w:tab w:val="left" w:pos="817"/>
        </w:tabs>
        <w:kinsoku/>
        <w:wordWrap/>
        <w:overflowPunct/>
        <w:topLinePunct w:val="0"/>
        <w:bidi w:val="0"/>
        <w:adjustRightInd/>
        <w:spacing w:line="40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rPr>
        <w:t>未按照</w:t>
      </w:r>
      <w:r>
        <w:rPr>
          <w:rFonts w:hint="eastAsia" w:ascii="宋体" w:hAnsi="宋体" w:cs="宋体"/>
          <w:b w:val="0"/>
          <w:bCs w:val="0"/>
          <w:color w:val="auto"/>
          <w:sz w:val="24"/>
          <w:szCs w:val="24"/>
          <w:highlight w:val="none"/>
          <w:lang w:eastAsia="zh-CN"/>
        </w:rPr>
        <w:t>磋商文件</w:t>
      </w:r>
      <w:r>
        <w:rPr>
          <w:rFonts w:hint="eastAsia" w:ascii="宋体" w:hAnsi="宋体" w:eastAsia="宋体" w:cs="宋体"/>
          <w:b w:val="0"/>
          <w:bCs w:val="0"/>
          <w:color w:val="auto"/>
          <w:sz w:val="24"/>
          <w:szCs w:val="24"/>
          <w:highlight w:val="none"/>
        </w:rPr>
        <w:t>规定要求签署、盖章的；</w:t>
      </w:r>
    </w:p>
    <w:p w14:paraId="2F79CA21">
      <w:pPr>
        <w:keepNext w:val="0"/>
        <w:keepLines w:val="0"/>
        <w:pageBreakBefore w:val="0"/>
        <w:widowControl w:val="0"/>
        <w:kinsoku/>
        <w:wordWrap/>
        <w:overflowPunct/>
        <w:topLinePunct w:val="0"/>
        <w:bidi w:val="0"/>
        <w:adjustRightInd/>
        <w:spacing w:line="40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rPr>
        <w:t>未满足</w:t>
      </w:r>
      <w:r>
        <w:rPr>
          <w:rFonts w:hint="eastAsia" w:ascii="宋体" w:hAnsi="宋体" w:cs="宋体"/>
          <w:b w:val="0"/>
          <w:bCs w:val="0"/>
          <w:color w:val="auto"/>
          <w:sz w:val="24"/>
          <w:szCs w:val="24"/>
          <w:highlight w:val="none"/>
          <w:lang w:eastAsia="zh-CN"/>
        </w:rPr>
        <w:t>磋商文件</w:t>
      </w:r>
      <w:r>
        <w:rPr>
          <w:rFonts w:hint="eastAsia" w:ascii="宋体" w:hAnsi="宋体" w:eastAsia="宋体" w:cs="宋体"/>
          <w:b w:val="0"/>
          <w:bCs w:val="0"/>
          <w:color w:val="auto"/>
          <w:sz w:val="24"/>
          <w:szCs w:val="24"/>
          <w:highlight w:val="none"/>
        </w:rPr>
        <w:t>中技术条款的实质性要求；</w:t>
      </w:r>
    </w:p>
    <w:p w14:paraId="7E01D6D6">
      <w:pPr>
        <w:keepNext w:val="0"/>
        <w:keepLines w:val="0"/>
        <w:pageBreakBefore w:val="0"/>
        <w:widowControl w:val="0"/>
        <w:kinsoku/>
        <w:wordWrap/>
        <w:overflowPunct/>
        <w:topLinePunct w:val="0"/>
        <w:bidi w:val="0"/>
        <w:adjustRightInd/>
        <w:spacing w:line="40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7.</w:t>
      </w:r>
      <w:r>
        <w:rPr>
          <w:rFonts w:hint="eastAsia" w:ascii="宋体" w:hAnsi="宋体" w:eastAsia="宋体" w:cs="宋体"/>
          <w:b w:val="0"/>
          <w:bCs w:val="0"/>
          <w:color w:val="auto"/>
          <w:sz w:val="24"/>
          <w:szCs w:val="24"/>
          <w:highlight w:val="none"/>
        </w:rPr>
        <w:t>与其他</w:t>
      </w:r>
      <w:r>
        <w:rPr>
          <w:rFonts w:hint="eastAsia" w:ascii="宋体" w:hAnsi="宋体" w:cs="宋体"/>
          <w:b w:val="0"/>
          <w:bCs w:val="0"/>
          <w:color w:val="auto"/>
          <w:sz w:val="24"/>
          <w:szCs w:val="24"/>
          <w:highlight w:val="none"/>
          <w:lang w:eastAsia="zh-CN"/>
        </w:rPr>
        <w:t>投标人</w:t>
      </w:r>
      <w:r>
        <w:rPr>
          <w:rFonts w:hint="eastAsia" w:ascii="宋体" w:hAnsi="宋体" w:eastAsia="宋体" w:cs="宋体"/>
          <w:b w:val="0"/>
          <w:bCs w:val="0"/>
          <w:color w:val="auto"/>
          <w:sz w:val="24"/>
          <w:szCs w:val="24"/>
          <w:highlight w:val="none"/>
        </w:rPr>
        <w:t>串通参加</w:t>
      </w:r>
      <w:r>
        <w:rPr>
          <w:rFonts w:hint="eastAsia" w:ascii="宋体" w:hAnsi="宋体" w:eastAsia="宋体" w:cs="宋体"/>
          <w:b w:val="0"/>
          <w:bCs w:val="0"/>
          <w:color w:val="auto"/>
          <w:sz w:val="24"/>
          <w:szCs w:val="24"/>
          <w:highlight w:val="none"/>
          <w:lang w:eastAsia="zh-CN"/>
        </w:rPr>
        <w:t>投标</w:t>
      </w:r>
      <w:r>
        <w:rPr>
          <w:rFonts w:hint="eastAsia" w:ascii="宋体" w:hAnsi="宋体" w:eastAsia="宋体" w:cs="宋体"/>
          <w:b w:val="0"/>
          <w:bCs w:val="0"/>
          <w:color w:val="auto"/>
          <w:sz w:val="24"/>
          <w:szCs w:val="24"/>
          <w:highlight w:val="none"/>
        </w:rPr>
        <w:t>，或者与采购人串通参加</w:t>
      </w:r>
      <w:r>
        <w:rPr>
          <w:rFonts w:hint="eastAsia" w:ascii="宋体" w:hAnsi="宋体" w:eastAsia="宋体" w:cs="宋体"/>
          <w:b w:val="0"/>
          <w:bCs w:val="0"/>
          <w:color w:val="auto"/>
          <w:sz w:val="24"/>
          <w:szCs w:val="24"/>
          <w:highlight w:val="none"/>
          <w:lang w:eastAsia="zh-CN"/>
        </w:rPr>
        <w:t>投标</w:t>
      </w:r>
      <w:r>
        <w:rPr>
          <w:rFonts w:hint="eastAsia" w:ascii="宋体" w:hAnsi="宋体" w:eastAsia="宋体" w:cs="宋体"/>
          <w:b w:val="0"/>
          <w:bCs w:val="0"/>
          <w:color w:val="auto"/>
          <w:sz w:val="24"/>
          <w:szCs w:val="24"/>
          <w:highlight w:val="none"/>
        </w:rPr>
        <w:t>；</w:t>
      </w:r>
    </w:p>
    <w:p w14:paraId="49D0C2EE">
      <w:pPr>
        <w:keepNext w:val="0"/>
        <w:keepLines w:val="0"/>
        <w:pageBreakBefore w:val="0"/>
        <w:widowControl w:val="0"/>
        <w:kinsoku/>
        <w:wordWrap/>
        <w:overflowPunct/>
        <w:topLinePunct w:val="0"/>
        <w:bidi w:val="0"/>
        <w:adjustRightInd/>
        <w:spacing w:line="40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8.</w:t>
      </w:r>
      <w:r>
        <w:rPr>
          <w:rFonts w:hint="eastAsia" w:ascii="宋体" w:hAnsi="宋体" w:eastAsia="宋体" w:cs="宋体"/>
          <w:b w:val="0"/>
          <w:bCs w:val="0"/>
          <w:color w:val="auto"/>
          <w:sz w:val="24"/>
          <w:szCs w:val="24"/>
          <w:highlight w:val="none"/>
        </w:rPr>
        <w:t>属于</w:t>
      </w:r>
      <w:r>
        <w:rPr>
          <w:rFonts w:hint="eastAsia" w:ascii="宋体" w:hAnsi="宋体" w:cs="宋体"/>
          <w:b w:val="0"/>
          <w:bCs w:val="0"/>
          <w:color w:val="auto"/>
          <w:sz w:val="24"/>
          <w:szCs w:val="24"/>
          <w:highlight w:val="none"/>
          <w:lang w:eastAsia="zh-CN"/>
        </w:rPr>
        <w:t>磋商文件</w:t>
      </w:r>
      <w:r>
        <w:rPr>
          <w:rFonts w:hint="eastAsia" w:ascii="宋体" w:hAnsi="宋体" w:eastAsia="宋体" w:cs="宋体"/>
          <w:b w:val="0"/>
          <w:bCs w:val="0"/>
          <w:color w:val="auto"/>
          <w:sz w:val="24"/>
          <w:szCs w:val="24"/>
          <w:highlight w:val="none"/>
        </w:rPr>
        <w:t>规定的其他无效情形；</w:t>
      </w:r>
    </w:p>
    <w:p w14:paraId="5C5EB9B2">
      <w:pPr>
        <w:keepNext w:val="0"/>
        <w:keepLines w:val="0"/>
        <w:pageBreakBefore w:val="0"/>
        <w:widowControl w:val="0"/>
        <w:kinsoku/>
        <w:wordWrap/>
        <w:overflowPunct/>
        <w:topLinePunct w:val="0"/>
        <w:bidi w:val="0"/>
        <w:adjustRightInd/>
        <w:spacing w:line="40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9.</w:t>
      </w:r>
      <w:r>
        <w:rPr>
          <w:rFonts w:hint="eastAsia" w:ascii="宋体" w:hAnsi="宋体" w:cs="宋体"/>
          <w:b w:val="0"/>
          <w:bCs w:val="0"/>
          <w:color w:val="auto"/>
          <w:sz w:val="24"/>
          <w:szCs w:val="24"/>
          <w:highlight w:val="none"/>
          <w:lang w:eastAsia="zh-CN"/>
        </w:rPr>
        <w:t>磋商小组</w:t>
      </w:r>
      <w:r>
        <w:rPr>
          <w:rFonts w:hint="eastAsia" w:ascii="宋体" w:hAnsi="宋体" w:eastAsia="宋体" w:cs="宋体"/>
          <w:b w:val="0"/>
          <w:bCs w:val="0"/>
          <w:color w:val="auto"/>
          <w:sz w:val="24"/>
          <w:szCs w:val="24"/>
          <w:highlight w:val="none"/>
        </w:rPr>
        <w:t>认为</w:t>
      </w:r>
      <w:r>
        <w:rPr>
          <w:rFonts w:hint="eastAsia" w:ascii="宋体" w:hAnsi="宋体" w:cs="宋体"/>
          <w:b w:val="0"/>
          <w:bCs w:val="0"/>
          <w:color w:val="auto"/>
          <w:sz w:val="24"/>
          <w:szCs w:val="24"/>
          <w:highlight w:val="none"/>
          <w:lang w:eastAsia="zh-CN"/>
        </w:rPr>
        <w:t>投标人</w:t>
      </w:r>
      <w:r>
        <w:rPr>
          <w:rFonts w:hint="eastAsia" w:ascii="宋体" w:hAnsi="宋体" w:eastAsia="宋体" w:cs="宋体"/>
          <w:b w:val="0"/>
          <w:bCs w:val="0"/>
          <w:color w:val="auto"/>
          <w:sz w:val="24"/>
          <w:szCs w:val="24"/>
          <w:highlight w:val="none"/>
        </w:rPr>
        <w:t>的报价明显低于其他通过符合性检查</w:t>
      </w:r>
      <w:r>
        <w:rPr>
          <w:rFonts w:hint="eastAsia" w:ascii="宋体" w:hAnsi="宋体" w:cs="宋体"/>
          <w:b w:val="0"/>
          <w:bCs w:val="0"/>
          <w:color w:val="auto"/>
          <w:sz w:val="24"/>
          <w:szCs w:val="24"/>
          <w:highlight w:val="none"/>
          <w:lang w:eastAsia="zh-CN"/>
        </w:rPr>
        <w:t>投标人</w:t>
      </w:r>
      <w:r>
        <w:rPr>
          <w:rFonts w:hint="eastAsia" w:ascii="宋体" w:hAnsi="宋体" w:eastAsia="宋体" w:cs="宋体"/>
          <w:b w:val="0"/>
          <w:bCs w:val="0"/>
          <w:color w:val="auto"/>
          <w:sz w:val="24"/>
          <w:szCs w:val="24"/>
          <w:highlight w:val="none"/>
        </w:rPr>
        <w:t>的报价，有可能影响履约的，且</w:t>
      </w:r>
      <w:r>
        <w:rPr>
          <w:rFonts w:hint="eastAsia" w:ascii="宋体" w:hAnsi="宋体" w:cs="宋体"/>
          <w:b w:val="0"/>
          <w:bCs w:val="0"/>
          <w:color w:val="auto"/>
          <w:sz w:val="24"/>
          <w:szCs w:val="24"/>
          <w:highlight w:val="none"/>
          <w:lang w:eastAsia="zh-CN"/>
        </w:rPr>
        <w:t>投标人</w:t>
      </w:r>
      <w:r>
        <w:rPr>
          <w:rFonts w:hint="eastAsia" w:ascii="宋体" w:hAnsi="宋体" w:eastAsia="宋体" w:cs="宋体"/>
          <w:b w:val="0"/>
          <w:bCs w:val="0"/>
          <w:color w:val="auto"/>
          <w:sz w:val="24"/>
          <w:szCs w:val="24"/>
          <w:highlight w:val="none"/>
        </w:rPr>
        <w:t>未按照规定证明其报价合理性的；</w:t>
      </w:r>
    </w:p>
    <w:p w14:paraId="1FDFC08D">
      <w:pPr>
        <w:keepNext w:val="0"/>
        <w:keepLines w:val="0"/>
        <w:pageBreakBefore w:val="0"/>
        <w:widowControl w:val="0"/>
        <w:kinsoku/>
        <w:wordWrap/>
        <w:overflowPunct/>
        <w:topLinePunct w:val="0"/>
        <w:bidi w:val="0"/>
        <w:adjustRightInd/>
        <w:spacing w:line="40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10.</w:t>
      </w:r>
      <w:r>
        <w:rPr>
          <w:rFonts w:hint="eastAsia" w:ascii="宋体" w:hAnsi="宋体" w:cs="宋体"/>
          <w:b w:val="0"/>
          <w:bCs w:val="0"/>
          <w:color w:val="auto"/>
          <w:sz w:val="24"/>
          <w:szCs w:val="24"/>
          <w:highlight w:val="none"/>
          <w:lang w:eastAsia="zh-CN"/>
        </w:rPr>
        <w:t>响应文件</w:t>
      </w:r>
      <w:r>
        <w:rPr>
          <w:rFonts w:hint="eastAsia" w:ascii="宋体" w:hAnsi="宋体" w:eastAsia="宋体" w:cs="宋体"/>
          <w:b w:val="0"/>
          <w:bCs w:val="0"/>
          <w:color w:val="auto"/>
          <w:sz w:val="24"/>
          <w:szCs w:val="24"/>
          <w:highlight w:val="none"/>
        </w:rPr>
        <w:t>含有采购人不能接受的附加条件的；</w:t>
      </w:r>
    </w:p>
    <w:p w14:paraId="70E87297">
      <w:pPr>
        <w:keepNext w:val="0"/>
        <w:keepLines w:val="0"/>
        <w:pageBreakBefore w:val="0"/>
        <w:widowControl w:val="0"/>
        <w:tabs>
          <w:tab w:val="left" w:pos="0"/>
        </w:tabs>
        <w:kinsoku/>
        <w:wordWrap/>
        <w:overflowPunct/>
        <w:topLinePunct w:val="0"/>
        <w:bidi w:val="0"/>
        <w:adjustRightInd/>
        <w:spacing w:line="40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11.</w:t>
      </w:r>
      <w:r>
        <w:rPr>
          <w:rFonts w:hint="eastAsia" w:ascii="宋体" w:hAnsi="宋体" w:eastAsia="宋体" w:cs="宋体"/>
          <w:b w:val="0"/>
          <w:bCs w:val="0"/>
          <w:color w:val="auto"/>
          <w:sz w:val="24"/>
          <w:szCs w:val="24"/>
          <w:highlight w:val="none"/>
        </w:rPr>
        <w:t>不符合法规和</w:t>
      </w:r>
      <w:r>
        <w:rPr>
          <w:rFonts w:hint="eastAsia" w:ascii="宋体" w:hAnsi="宋体" w:cs="宋体"/>
          <w:b w:val="0"/>
          <w:bCs w:val="0"/>
          <w:color w:val="auto"/>
          <w:sz w:val="24"/>
          <w:szCs w:val="24"/>
          <w:highlight w:val="none"/>
          <w:lang w:eastAsia="zh-CN"/>
        </w:rPr>
        <w:t>磋商文件</w:t>
      </w:r>
      <w:r>
        <w:rPr>
          <w:rFonts w:hint="eastAsia" w:ascii="宋体" w:hAnsi="宋体" w:eastAsia="宋体" w:cs="宋体"/>
          <w:b w:val="0"/>
          <w:bCs w:val="0"/>
          <w:color w:val="auto"/>
          <w:sz w:val="24"/>
          <w:szCs w:val="24"/>
          <w:highlight w:val="none"/>
        </w:rPr>
        <w:t>中规定的其他实质性要求的。</w:t>
      </w:r>
    </w:p>
    <w:p w14:paraId="381CC88C">
      <w:pPr>
        <w:pStyle w:val="49"/>
        <w:keepNext w:val="0"/>
        <w:keepLines w:val="0"/>
        <w:pageBreakBefore w:val="0"/>
        <w:widowControl w:val="0"/>
        <w:kinsoku/>
        <w:wordWrap/>
        <w:overflowPunct/>
        <w:topLinePunct w:val="0"/>
        <w:bidi w:val="0"/>
        <w:adjustRightInd/>
        <w:spacing w:line="40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五、</w:t>
      </w:r>
      <w:r>
        <w:rPr>
          <w:rFonts w:hint="eastAsia" w:hAnsi="宋体" w:cs="宋体"/>
          <w:b/>
          <w:bCs/>
          <w:color w:val="auto"/>
          <w:sz w:val="24"/>
          <w:szCs w:val="24"/>
          <w:highlight w:val="none"/>
          <w:lang w:val="en-US" w:eastAsia="zh-CN"/>
        </w:rPr>
        <w:t>响应文件</w:t>
      </w:r>
      <w:r>
        <w:rPr>
          <w:rFonts w:hint="eastAsia" w:ascii="宋体" w:hAnsi="宋体" w:eastAsia="宋体" w:cs="宋体"/>
          <w:b/>
          <w:bCs/>
          <w:color w:val="auto"/>
          <w:sz w:val="24"/>
          <w:szCs w:val="24"/>
          <w:highlight w:val="none"/>
          <w:lang w:val="en-US" w:eastAsia="zh-CN"/>
        </w:rPr>
        <w:t>的开启</w:t>
      </w:r>
    </w:p>
    <w:p w14:paraId="06AEB439">
      <w:pPr>
        <w:pStyle w:val="11"/>
        <w:keepNext w:val="0"/>
        <w:keepLines w:val="0"/>
        <w:pageBreakBefore w:val="0"/>
        <w:widowControl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在</w:t>
      </w:r>
      <w:r>
        <w:rPr>
          <w:rFonts w:hint="eastAsia" w:cs="宋体"/>
          <w:b w:val="0"/>
          <w:bCs w:val="0"/>
          <w:color w:val="auto"/>
          <w:kern w:val="2"/>
          <w:sz w:val="24"/>
          <w:szCs w:val="24"/>
          <w:highlight w:val="none"/>
          <w:lang w:val="en-US" w:eastAsia="zh-CN" w:bidi="ar-SA"/>
        </w:rPr>
        <w:t>磋商文件</w:t>
      </w:r>
      <w:r>
        <w:rPr>
          <w:rFonts w:hint="eastAsia" w:ascii="宋体" w:hAnsi="宋体" w:eastAsia="宋体" w:cs="宋体"/>
          <w:b w:val="0"/>
          <w:bCs w:val="0"/>
          <w:color w:val="auto"/>
          <w:kern w:val="2"/>
          <w:sz w:val="24"/>
          <w:szCs w:val="24"/>
          <w:highlight w:val="none"/>
          <w:lang w:val="en-US" w:eastAsia="zh-CN" w:bidi="ar-SA"/>
        </w:rPr>
        <w:t>确定的提交</w:t>
      </w:r>
      <w:r>
        <w:rPr>
          <w:rFonts w:hint="eastAsia" w:cs="宋体"/>
          <w:b w:val="0"/>
          <w:bCs w:val="0"/>
          <w:color w:val="auto"/>
          <w:kern w:val="2"/>
          <w:sz w:val="24"/>
          <w:szCs w:val="24"/>
          <w:highlight w:val="none"/>
          <w:lang w:val="en-US" w:eastAsia="zh-CN" w:bidi="ar-SA"/>
        </w:rPr>
        <w:t>响应文件</w:t>
      </w:r>
      <w:r>
        <w:rPr>
          <w:rFonts w:hint="eastAsia" w:ascii="宋体" w:hAnsi="宋体" w:eastAsia="宋体" w:cs="宋体"/>
          <w:b w:val="0"/>
          <w:bCs w:val="0"/>
          <w:color w:val="auto"/>
          <w:kern w:val="2"/>
          <w:sz w:val="24"/>
          <w:szCs w:val="24"/>
          <w:highlight w:val="none"/>
          <w:lang w:val="en-US" w:eastAsia="zh-CN" w:bidi="ar-SA"/>
        </w:rPr>
        <w:t>截止时间后进行。开标由采购代理主持,</w:t>
      </w:r>
      <w:r>
        <w:rPr>
          <w:rFonts w:hint="eastAsia" w:cs="宋体"/>
          <w:b w:val="0"/>
          <w:bCs w:val="0"/>
          <w:color w:val="auto"/>
          <w:kern w:val="2"/>
          <w:sz w:val="24"/>
          <w:szCs w:val="24"/>
          <w:highlight w:val="none"/>
          <w:lang w:val="en-US" w:eastAsia="zh-CN" w:bidi="ar-SA"/>
        </w:rPr>
        <w:t>投标人</w:t>
      </w:r>
      <w:r>
        <w:rPr>
          <w:rFonts w:hint="eastAsia" w:ascii="宋体" w:hAnsi="宋体" w:eastAsia="宋体" w:cs="宋体"/>
          <w:b w:val="0"/>
          <w:bCs w:val="0"/>
          <w:color w:val="auto"/>
          <w:kern w:val="2"/>
          <w:sz w:val="24"/>
          <w:szCs w:val="24"/>
          <w:highlight w:val="none"/>
          <w:lang w:val="en-US" w:eastAsia="zh-CN" w:bidi="ar-SA"/>
        </w:rPr>
        <w:t>投标的</w:t>
      </w:r>
      <w:r>
        <w:rPr>
          <w:rFonts w:hint="eastAsia" w:cs="宋体"/>
          <w:b w:val="0"/>
          <w:bCs w:val="0"/>
          <w:color w:val="auto"/>
          <w:kern w:val="2"/>
          <w:sz w:val="24"/>
          <w:szCs w:val="24"/>
          <w:highlight w:val="none"/>
          <w:lang w:val="en-US" w:eastAsia="zh-CN" w:bidi="ar-SA"/>
        </w:rPr>
        <w:t>投标人</w:t>
      </w:r>
      <w:r>
        <w:rPr>
          <w:rFonts w:hint="eastAsia" w:ascii="宋体" w:hAnsi="宋体" w:eastAsia="宋体" w:cs="宋体"/>
          <w:b w:val="0"/>
          <w:bCs w:val="0"/>
          <w:color w:val="auto"/>
          <w:kern w:val="2"/>
          <w:sz w:val="24"/>
          <w:szCs w:val="24"/>
          <w:highlight w:val="none"/>
          <w:lang w:val="en-US" w:eastAsia="zh-CN" w:bidi="ar-SA"/>
        </w:rPr>
        <w:t>应委派代表参加投标会议。</w:t>
      </w:r>
    </w:p>
    <w:p w14:paraId="6983C466">
      <w:pPr>
        <w:pStyle w:val="16"/>
        <w:keepNext w:val="0"/>
        <w:keepLines w:val="0"/>
        <w:pageBreakBefore w:val="0"/>
        <w:widowControl w:val="0"/>
        <w:numPr>
          <w:ilvl w:val="0"/>
          <w:numId w:val="0"/>
        </w:numPr>
        <w:kinsoku/>
        <w:wordWrap/>
        <w:overflowPunct/>
        <w:topLinePunct w:val="0"/>
        <w:bidi w:val="0"/>
        <w:adjustRightInd/>
        <w:snapToGrid w:val="0"/>
        <w:spacing w:line="400" w:lineRule="exact"/>
        <w:ind w:firstLine="466" w:firstLineChars="200"/>
        <w:textAlignment w:val="auto"/>
        <w:rPr>
          <w:rFonts w:hint="eastAsia" w:ascii="宋体" w:hAnsi="宋体" w:eastAsia="宋体" w:cs="宋体"/>
          <w:b/>
          <w:bCs/>
          <w:color w:val="auto"/>
          <w:spacing w:val="-4"/>
          <w:sz w:val="24"/>
          <w:szCs w:val="24"/>
          <w:highlight w:val="none"/>
          <w:lang w:val="en-US" w:eastAsia="zh-CN"/>
        </w:rPr>
      </w:pPr>
      <w:r>
        <w:rPr>
          <w:rFonts w:hint="eastAsia" w:ascii="宋体" w:hAnsi="宋体" w:eastAsia="宋体" w:cs="宋体"/>
          <w:b/>
          <w:bCs/>
          <w:color w:val="auto"/>
          <w:spacing w:val="-4"/>
          <w:sz w:val="24"/>
          <w:szCs w:val="24"/>
          <w:highlight w:val="none"/>
          <w:lang w:val="en-US" w:eastAsia="zh-CN"/>
        </w:rPr>
        <w:t>六、项目评审专家：</w:t>
      </w:r>
    </w:p>
    <w:p w14:paraId="2488E7E0">
      <w:pPr>
        <w:pStyle w:val="16"/>
        <w:keepNext w:val="0"/>
        <w:keepLines w:val="0"/>
        <w:pageBreakBefore w:val="0"/>
        <w:widowControl w:val="0"/>
        <w:numPr>
          <w:ilvl w:val="0"/>
          <w:numId w:val="0"/>
        </w:numPr>
        <w:kinsoku/>
        <w:wordWrap/>
        <w:overflowPunct/>
        <w:topLinePunct w:val="0"/>
        <w:bidi w:val="0"/>
        <w:adjustRightInd/>
        <w:snapToGrid w:val="0"/>
        <w:spacing w:line="400" w:lineRule="exact"/>
        <w:ind w:firstLine="464" w:firstLineChars="200"/>
        <w:textAlignment w:val="auto"/>
        <w:rPr>
          <w:rFonts w:hint="eastAsia" w:ascii="宋体" w:hAnsi="宋体" w:eastAsia="宋体" w:cs="宋体"/>
          <w:b w:val="0"/>
          <w:bCs w:val="0"/>
          <w:color w:val="auto"/>
          <w:spacing w:val="-4"/>
          <w:sz w:val="24"/>
          <w:szCs w:val="24"/>
          <w:highlight w:val="none"/>
          <w:lang w:val="en-US" w:eastAsia="zh-CN"/>
        </w:rPr>
      </w:pPr>
      <w:r>
        <w:rPr>
          <w:rFonts w:hint="eastAsia" w:ascii="宋体" w:hAnsi="宋体" w:eastAsia="宋体" w:cs="宋体"/>
          <w:b w:val="0"/>
          <w:bCs w:val="0"/>
          <w:color w:val="auto"/>
          <w:spacing w:val="-4"/>
          <w:sz w:val="24"/>
          <w:szCs w:val="24"/>
          <w:highlight w:val="none"/>
          <w:lang w:val="en-US" w:eastAsia="zh-CN"/>
        </w:rPr>
        <w:t>按照《中华人民共和国政府采购法》、《中华人民共和国政府采购法实施条例》、</w:t>
      </w:r>
      <w:r>
        <w:rPr>
          <w:rFonts w:hint="eastAsia" w:ascii="宋体" w:hAnsi="宋体" w:eastAsia="宋体" w:cs="宋体"/>
          <w:color w:val="auto"/>
          <w:sz w:val="24"/>
          <w:highlight w:val="none"/>
          <w:lang w:eastAsia="zh-CN"/>
        </w:rPr>
        <w:t>《政府采购竞争性投标采购方式管理暂行办法》</w:t>
      </w:r>
      <w:r>
        <w:rPr>
          <w:rFonts w:hint="eastAsia" w:ascii="宋体" w:hAnsi="宋体" w:eastAsia="宋体" w:cs="宋体"/>
          <w:b w:val="0"/>
          <w:bCs w:val="0"/>
          <w:color w:val="auto"/>
          <w:spacing w:val="-4"/>
          <w:sz w:val="24"/>
          <w:szCs w:val="24"/>
          <w:highlight w:val="none"/>
          <w:lang w:val="en-US" w:eastAsia="zh-CN"/>
        </w:rPr>
        <w:t>及本项目本级和上级财政部门的有关规定依法组建的评审小组，负责评审工作；本项目评审专家由</w:t>
      </w:r>
      <w:r>
        <w:rPr>
          <w:rFonts w:hint="eastAsia" w:hAnsi="宋体" w:cs="宋体"/>
          <w:b w:val="0"/>
          <w:bCs w:val="0"/>
          <w:color w:val="auto"/>
          <w:spacing w:val="-4"/>
          <w:sz w:val="24"/>
          <w:szCs w:val="24"/>
          <w:highlight w:val="none"/>
          <w:lang w:val="en-US" w:eastAsia="zh-CN"/>
        </w:rPr>
        <w:t>3</w:t>
      </w:r>
      <w:r>
        <w:rPr>
          <w:rFonts w:hint="eastAsia" w:ascii="宋体" w:hAnsi="宋体" w:eastAsia="宋体" w:cs="宋体"/>
          <w:b w:val="0"/>
          <w:bCs w:val="0"/>
          <w:color w:val="auto"/>
          <w:spacing w:val="-4"/>
          <w:sz w:val="24"/>
          <w:szCs w:val="24"/>
          <w:highlight w:val="none"/>
          <w:lang w:val="en-US" w:eastAsia="zh-CN"/>
        </w:rPr>
        <w:t>人组成。</w:t>
      </w:r>
    </w:p>
    <w:p w14:paraId="74407CAF">
      <w:pPr>
        <w:pStyle w:val="16"/>
        <w:keepNext w:val="0"/>
        <w:keepLines w:val="0"/>
        <w:pageBreakBefore w:val="0"/>
        <w:widowControl w:val="0"/>
        <w:numPr>
          <w:ilvl w:val="0"/>
          <w:numId w:val="0"/>
        </w:numPr>
        <w:kinsoku/>
        <w:wordWrap/>
        <w:overflowPunct/>
        <w:topLinePunct w:val="0"/>
        <w:bidi w:val="0"/>
        <w:adjustRightInd/>
        <w:snapToGrid w:val="0"/>
        <w:spacing w:line="400" w:lineRule="exact"/>
        <w:textAlignment w:val="auto"/>
        <w:rPr>
          <w:rFonts w:hint="eastAsia" w:ascii="宋体" w:hAnsi="宋体" w:eastAsia="宋体" w:cs="宋体"/>
          <w:b w:val="0"/>
          <w:bCs w:val="0"/>
          <w:color w:val="auto"/>
          <w:spacing w:val="-4"/>
          <w:sz w:val="24"/>
          <w:szCs w:val="24"/>
          <w:highlight w:val="none"/>
          <w:lang w:val="en-US" w:eastAsia="zh-CN"/>
        </w:rPr>
      </w:pPr>
      <w:r>
        <w:rPr>
          <w:rFonts w:hint="eastAsia" w:ascii="宋体" w:hAnsi="宋体" w:eastAsia="宋体" w:cs="宋体"/>
          <w:b w:val="0"/>
          <w:bCs w:val="0"/>
          <w:color w:val="auto"/>
          <w:spacing w:val="-4"/>
          <w:sz w:val="24"/>
          <w:szCs w:val="24"/>
          <w:highlight w:val="none"/>
          <w:lang w:val="en-US" w:eastAsia="zh-CN"/>
        </w:rPr>
        <w:t>评审专家要求：</w:t>
      </w:r>
    </w:p>
    <w:p w14:paraId="70FB9BC8">
      <w:pPr>
        <w:pStyle w:val="16"/>
        <w:keepNext w:val="0"/>
        <w:keepLines w:val="0"/>
        <w:pageBreakBefore w:val="0"/>
        <w:widowControl w:val="0"/>
        <w:numPr>
          <w:ilvl w:val="0"/>
          <w:numId w:val="0"/>
        </w:numPr>
        <w:kinsoku/>
        <w:wordWrap/>
        <w:overflowPunct/>
        <w:topLinePunct w:val="0"/>
        <w:bidi w:val="0"/>
        <w:adjustRightInd/>
        <w:snapToGrid w:val="0"/>
        <w:spacing w:line="400" w:lineRule="exact"/>
        <w:textAlignment w:val="auto"/>
        <w:rPr>
          <w:rFonts w:hint="eastAsia" w:ascii="宋体" w:hAnsi="宋体" w:eastAsia="宋体" w:cs="宋体"/>
          <w:b w:val="0"/>
          <w:bCs w:val="0"/>
          <w:color w:val="auto"/>
          <w:spacing w:val="-4"/>
          <w:sz w:val="24"/>
          <w:szCs w:val="24"/>
          <w:highlight w:val="none"/>
          <w:lang w:val="en-US" w:eastAsia="zh-CN"/>
        </w:rPr>
      </w:pPr>
      <w:r>
        <w:rPr>
          <w:rFonts w:hint="eastAsia" w:ascii="宋体" w:hAnsi="宋体" w:eastAsia="宋体" w:cs="宋体"/>
          <w:b w:val="0"/>
          <w:bCs w:val="0"/>
          <w:color w:val="auto"/>
          <w:spacing w:val="-4"/>
          <w:sz w:val="24"/>
          <w:szCs w:val="24"/>
          <w:highlight w:val="none"/>
          <w:lang w:val="en-US" w:eastAsia="zh-CN"/>
        </w:rPr>
        <w:t>　　1.组织评标委员会推选评标组长，采购人代表不得担任组长；</w:t>
      </w:r>
    </w:p>
    <w:p w14:paraId="01333771">
      <w:pPr>
        <w:pStyle w:val="16"/>
        <w:keepNext w:val="0"/>
        <w:keepLines w:val="0"/>
        <w:pageBreakBefore w:val="0"/>
        <w:widowControl w:val="0"/>
        <w:numPr>
          <w:ilvl w:val="0"/>
          <w:numId w:val="0"/>
        </w:numPr>
        <w:kinsoku/>
        <w:wordWrap/>
        <w:overflowPunct/>
        <w:topLinePunct w:val="0"/>
        <w:bidi w:val="0"/>
        <w:adjustRightInd/>
        <w:snapToGrid w:val="0"/>
        <w:spacing w:line="400" w:lineRule="exact"/>
        <w:textAlignment w:val="auto"/>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pacing w:val="-4"/>
          <w:sz w:val="24"/>
          <w:szCs w:val="24"/>
          <w:highlight w:val="none"/>
          <w:lang w:val="en-US" w:eastAsia="zh-CN"/>
        </w:rPr>
        <w:t>　　2.在评标期间采取必要的通讯管理措施，保证评标活动不受外界干扰，将手机关闭或调成静音交友现场项目监督人员统一保管；</w:t>
      </w:r>
    </w:p>
    <w:p w14:paraId="7F5E0C10">
      <w:pPr>
        <w:pStyle w:val="16"/>
        <w:keepNext w:val="0"/>
        <w:keepLines w:val="0"/>
        <w:pageBreakBefore w:val="0"/>
        <w:widowControl w:val="0"/>
        <w:numPr>
          <w:ilvl w:val="0"/>
          <w:numId w:val="0"/>
        </w:numPr>
        <w:kinsoku/>
        <w:wordWrap/>
        <w:overflowPunct/>
        <w:topLinePunct w:val="0"/>
        <w:bidi w:val="0"/>
        <w:adjustRightInd/>
        <w:snapToGrid w:val="0"/>
        <w:spacing w:line="400" w:lineRule="exact"/>
        <w:textAlignment w:val="auto"/>
        <w:rPr>
          <w:rFonts w:hint="eastAsia" w:ascii="宋体" w:hAnsi="宋体" w:eastAsia="宋体" w:cs="宋体"/>
          <w:b w:val="0"/>
          <w:bCs w:val="0"/>
          <w:color w:val="auto"/>
          <w:spacing w:val="-4"/>
          <w:sz w:val="24"/>
          <w:szCs w:val="24"/>
          <w:highlight w:val="none"/>
          <w:lang w:val="en-US" w:eastAsia="zh-CN"/>
        </w:rPr>
      </w:pPr>
      <w:r>
        <w:rPr>
          <w:rFonts w:hint="eastAsia" w:ascii="宋体" w:hAnsi="宋体" w:eastAsia="宋体" w:cs="宋体"/>
          <w:b w:val="0"/>
          <w:bCs w:val="0"/>
          <w:color w:val="auto"/>
          <w:spacing w:val="-4"/>
          <w:sz w:val="24"/>
          <w:szCs w:val="24"/>
          <w:highlight w:val="none"/>
          <w:lang w:val="en-US" w:eastAsia="zh-CN"/>
        </w:rPr>
        <w:t>　　3.审查、评价</w:t>
      </w:r>
      <w:r>
        <w:rPr>
          <w:rFonts w:hint="eastAsia" w:hAnsi="宋体" w:cs="宋体"/>
          <w:b w:val="0"/>
          <w:bCs w:val="0"/>
          <w:color w:val="auto"/>
          <w:spacing w:val="-4"/>
          <w:sz w:val="24"/>
          <w:szCs w:val="24"/>
          <w:highlight w:val="none"/>
          <w:lang w:val="en-US" w:eastAsia="zh-CN"/>
        </w:rPr>
        <w:t>响应文件</w:t>
      </w:r>
      <w:r>
        <w:rPr>
          <w:rFonts w:hint="eastAsia" w:ascii="宋体" w:hAnsi="宋体" w:eastAsia="宋体" w:cs="宋体"/>
          <w:b w:val="0"/>
          <w:bCs w:val="0"/>
          <w:color w:val="auto"/>
          <w:spacing w:val="-4"/>
          <w:sz w:val="24"/>
          <w:szCs w:val="24"/>
          <w:highlight w:val="none"/>
          <w:lang w:val="en-US" w:eastAsia="zh-CN"/>
        </w:rPr>
        <w:t>是否符合</w:t>
      </w:r>
      <w:r>
        <w:rPr>
          <w:rFonts w:hint="eastAsia" w:hAnsi="宋体" w:cs="宋体"/>
          <w:b w:val="0"/>
          <w:bCs w:val="0"/>
          <w:color w:val="auto"/>
          <w:spacing w:val="-4"/>
          <w:sz w:val="24"/>
          <w:szCs w:val="24"/>
          <w:highlight w:val="none"/>
          <w:lang w:val="en-US" w:eastAsia="zh-CN"/>
        </w:rPr>
        <w:t>磋商文件</w:t>
      </w:r>
      <w:r>
        <w:rPr>
          <w:rFonts w:hint="eastAsia" w:ascii="宋体" w:hAnsi="宋体" w:eastAsia="宋体" w:cs="宋体"/>
          <w:b w:val="0"/>
          <w:bCs w:val="0"/>
          <w:color w:val="auto"/>
          <w:spacing w:val="-4"/>
          <w:sz w:val="24"/>
          <w:szCs w:val="24"/>
          <w:highlight w:val="none"/>
          <w:lang w:val="en-US" w:eastAsia="zh-CN"/>
        </w:rPr>
        <w:t>的商务、技术等实质性要求；</w:t>
      </w:r>
    </w:p>
    <w:p w14:paraId="0673E736">
      <w:pPr>
        <w:pStyle w:val="16"/>
        <w:keepNext w:val="0"/>
        <w:keepLines w:val="0"/>
        <w:pageBreakBefore w:val="0"/>
        <w:widowControl w:val="0"/>
        <w:numPr>
          <w:ilvl w:val="0"/>
          <w:numId w:val="0"/>
        </w:numPr>
        <w:kinsoku/>
        <w:wordWrap/>
        <w:overflowPunct/>
        <w:topLinePunct w:val="0"/>
        <w:bidi w:val="0"/>
        <w:adjustRightInd/>
        <w:snapToGrid w:val="0"/>
        <w:spacing w:line="400" w:lineRule="exact"/>
        <w:textAlignment w:val="auto"/>
        <w:rPr>
          <w:rFonts w:hint="eastAsia" w:ascii="宋体" w:hAnsi="宋体" w:eastAsia="宋体" w:cs="宋体"/>
          <w:b w:val="0"/>
          <w:bCs w:val="0"/>
          <w:color w:val="auto"/>
          <w:spacing w:val="-4"/>
          <w:sz w:val="24"/>
          <w:szCs w:val="24"/>
          <w:highlight w:val="none"/>
          <w:lang w:val="en-US" w:eastAsia="zh-CN"/>
        </w:rPr>
      </w:pPr>
      <w:r>
        <w:rPr>
          <w:rFonts w:hint="eastAsia" w:ascii="宋体" w:hAnsi="宋体" w:eastAsia="宋体" w:cs="宋体"/>
          <w:b w:val="0"/>
          <w:bCs w:val="0"/>
          <w:color w:val="auto"/>
          <w:spacing w:val="-4"/>
          <w:sz w:val="24"/>
          <w:szCs w:val="24"/>
          <w:highlight w:val="none"/>
          <w:lang w:val="en-US" w:eastAsia="zh-CN"/>
        </w:rPr>
        <w:t>　　4.要求投标人对</w:t>
      </w:r>
      <w:r>
        <w:rPr>
          <w:rFonts w:hint="eastAsia" w:hAnsi="宋体" w:cs="宋体"/>
          <w:b w:val="0"/>
          <w:bCs w:val="0"/>
          <w:color w:val="auto"/>
          <w:spacing w:val="-4"/>
          <w:sz w:val="24"/>
          <w:szCs w:val="24"/>
          <w:highlight w:val="none"/>
          <w:lang w:val="en-US" w:eastAsia="zh-CN"/>
        </w:rPr>
        <w:t>响应文件</w:t>
      </w:r>
      <w:r>
        <w:rPr>
          <w:rFonts w:hint="eastAsia" w:ascii="宋体" w:hAnsi="宋体" w:eastAsia="宋体" w:cs="宋体"/>
          <w:b w:val="0"/>
          <w:bCs w:val="0"/>
          <w:color w:val="auto"/>
          <w:spacing w:val="-4"/>
          <w:sz w:val="24"/>
          <w:szCs w:val="24"/>
          <w:highlight w:val="none"/>
          <w:lang w:val="en-US" w:eastAsia="zh-CN"/>
        </w:rPr>
        <w:t>有关事项作出澄清或者说明；</w:t>
      </w:r>
    </w:p>
    <w:p w14:paraId="36E17106">
      <w:pPr>
        <w:pStyle w:val="16"/>
        <w:keepNext w:val="0"/>
        <w:keepLines w:val="0"/>
        <w:pageBreakBefore w:val="0"/>
        <w:widowControl w:val="0"/>
        <w:numPr>
          <w:ilvl w:val="0"/>
          <w:numId w:val="0"/>
        </w:numPr>
        <w:kinsoku/>
        <w:wordWrap/>
        <w:overflowPunct/>
        <w:topLinePunct w:val="0"/>
        <w:bidi w:val="0"/>
        <w:adjustRightInd/>
        <w:snapToGrid w:val="0"/>
        <w:spacing w:line="400" w:lineRule="exact"/>
        <w:textAlignment w:val="auto"/>
        <w:rPr>
          <w:rFonts w:hint="eastAsia" w:ascii="宋体" w:hAnsi="宋体" w:eastAsia="宋体" w:cs="宋体"/>
          <w:b w:val="0"/>
          <w:bCs w:val="0"/>
          <w:color w:val="auto"/>
          <w:spacing w:val="-4"/>
          <w:sz w:val="24"/>
          <w:szCs w:val="24"/>
          <w:highlight w:val="none"/>
          <w:lang w:val="en-US" w:eastAsia="zh-CN"/>
        </w:rPr>
      </w:pPr>
      <w:r>
        <w:rPr>
          <w:rFonts w:hint="eastAsia" w:ascii="宋体" w:hAnsi="宋体" w:eastAsia="宋体" w:cs="宋体"/>
          <w:b w:val="0"/>
          <w:bCs w:val="0"/>
          <w:color w:val="auto"/>
          <w:spacing w:val="-4"/>
          <w:sz w:val="24"/>
          <w:szCs w:val="24"/>
          <w:highlight w:val="none"/>
          <w:lang w:val="en-US" w:eastAsia="zh-CN"/>
        </w:rPr>
        <w:t>　　5.对</w:t>
      </w:r>
      <w:r>
        <w:rPr>
          <w:rFonts w:hint="eastAsia" w:hAnsi="宋体" w:cs="宋体"/>
          <w:b w:val="0"/>
          <w:bCs w:val="0"/>
          <w:color w:val="auto"/>
          <w:spacing w:val="-4"/>
          <w:sz w:val="24"/>
          <w:szCs w:val="24"/>
          <w:highlight w:val="none"/>
          <w:lang w:val="en-US" w:eastAsia="zh-CN"/>
        </w:rPr>
        <w:t>响应文件</w:t>
      </w:r>
      <w:r>
        <w:rPr>
          <w:rFonts w:hint="eastAsia" w:ascii="宋体" w:hAnsi="宋体" w:eastAsia="宋体" w:cs="宋体"/>
          <w:b w:val="0"/>
          <w:bCs w:val="0"/>
          <w:color w:val="auto"/>
          <w:spacing w:val="-4"/>
          <w:sz w:val="24"/>
          <w:szCs w:val="24"/>
          <w:highlight w:val="none"/>
          <w:lang w:val="en-US" w:eastAsia="zh-CN"/>
        </w:rPr>
        <w:t>进行比较和评价；</w:t>
      </w:r>
    </w:p>
    <w:p w14:paraId="5E85B9E4">
      <w:pPr>
        <w:pStyle w:val="16"/>
        <w:keepNext w:val="0"/>
        <w:keepLines w:val="0"/>
        <w:pageBreakBefore w:val="0"/>
        <w:widowControl w:val="0"/>
        <w:numPr>
          <w:ilvl w:val="0"/>
          <w:numId w:val="0"/>
        </w:numPr>
        <w:kinsoku/>
        <w:wordWrap/>
        <w:overflowPunct/>
        <w:topLinePunct w:val="0"/>
        <w:bidi w:val="0"/>
        <w:adjustRightInd/>
        <w:snapToGrid w:val="0"/>
        <w:spacing w:line="400" w:lineRule="exact"/>
        <w:textAlignment w:val="auto"/>
        <w:rPr>
          <w:rFonts w:hint="eastAsia" w:ascii="宋体" w:hAnsi="宋体" w:eastAsia="宋体" w:cs="宋体"/>
          <w:b w:val="0"/>
          <w:bCs w:val="0"/>
          <w:color w:val="auto"/>
          <w:spacing w:val="-4"/>
          <w:sz w:val="24"/>
          <w:szCs w:val="24"/>
          <w:highlight w:val="none"/>
          <w:lang w:val="en-US" w:eastAsia="zh-CN"/>
        </w:rPr>
      </w:pPr>
      <w:r>
        <w:rPr>
          <w:rFonts w:hint="eastAsia" w:ascii="宋体" w:hAnsi="宋体" w:eastAsia="宋体" w:cs="宋体"/>
          <w:b w:val="0"/>
          <w:bCs w:val="0"/>
          <w:color w:val="auto"/>
          <w:spacing w:val="-4"/>
          <w:sz w:val="24"/>
          <w:szCs w:val="24"/>
          <w:highlight w:val="none"/>
          <w:lang w:val="en-US" w:eastAsia="zh-CN"/>
        </w:rPr>
        <w:t>　　6.确定中标候选人名单，以及根据采购人委托直接确定中标人；</w:t>
      </w:r>
    </w:p>
    <w:p w14:paraId="6F7F5A70">
      <w:pPr>
        <w:pStyle w:val="16"/>
        <w:keepNext w:val="0"/>
        <w:keepLines w:val="0"/>
        <w:pageBreakBefore w:val="0"/>
        <w:widowControl w:val="0"/>
        <w:numPr>
          <w:ilvl w:val="0"/>
          <w:numId w:val="0"/>
        </w:numPr>
        <w:kinsoku/>
        <w:wordWrap/>
        <w:overflowPunct/>
        <w:topLinePunct w:val="0"/>
        <w:bidi w:val="0"/>
        <w:adjustRightInd/>
        <w:snapToGrid w:val="0"/>
        <w:spacing w:line="400" w:lineRule="exact"/>
        <w:textAlignment w:val="auto"/>
        <w:rPr>
          <w:rFonts w:hint="eastAsia" w:ascii="宋体" w:hAnsi="宋体" w:eastAsia="宋体" w:cs="宋体"/>
          <w:b w:val="0"/>
          <w:bCs w:val="0"/>
          <w:color w:val="auto"/>
          <w:spacing w:val="-4"/>
          <w:sz w:val="24"/>
          <w:szCs w:val="24"/>
          <w:highlight w:val="none"/>
          <w:lang w:val="en-US" w:eastAsia="zh-CN"/>
        </w:rPr>
      </w:pPr>
      <w:r>
        <w:rPr>
          <w:rFonts w:hint="eastAsia" w:ascii="宋体" w:hAnsi="宋体" w:eastAsia="宋体" w:cs="宋体"/>
          <w:b w:val="0"/>
          <w:bCs w:val="0"/>
          <w:color w:val="auto"/>
          <w:spacing w:val="-4"/>
          <w:sz w:val="24"/>
          <w:szCs w:val="24"/>
          <w:highlight w:val="none"/>
          <w:lang w:val="en-US" w:eastAsia="zh-CN"/>
        </w:rPr>
        <w:t>　　7.向采购人、采购代理机构或者有关部门报告评标中发现的违法行为。</w:t>
      </w:r>
    </w:p>
    <w:p w14:paraId="62D925C7">
      <w:pPr>
        <w:pStyle w:val="11"/>
        <w:keepNext w:val="0"/>
        <w:keepLines w:val="0"/>
        <w:pageBreakBefore w:val="0"/>
        <w:widowControl w:val="0"/>
        <w:tabs>
          <w:tab w:val="clear" w:pos="567"/>
        </w:tabs>
        <w:kinsoku/>
        <w:wordWrap/>
        <w:overflowPunct/>
        <w:topLinePunct w:val="0"/>
        <w:bidi w:val="0"/>
        <w:adjustRightInd/>
        <w:spacing w:before="0" w:line="400" w:lineRule="exact"/>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七、</w:t>
      </w:r>
      <w:r>
        <w:rPr>
          <w:rFonts w:hint="eastAsia" w:ascii="宋体" w:hAnsi="宋体" w:eastAsia="宋体" w:cs="宋体"/>
          <w:b/>
          <w:bCs/>
          <w:color w:val="auto"/>
          <w:highlight w:val="none"/>
        </w:rPr>
        <w:t>评标</w:t>
      </w:r>
    </w:p>
    <w:p w14:paraId="34C39EE8">
      <w:pPr>
        <w:pStyle w:val="11"/>
        <w:keepNext w:val="0"/>
        <w:keepLines w:val="0"/>
        <w:pageBreakBefore w:val="0"/>
        <w:widowControl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1、评标的依据为</w:t>
      </w:r>
      <w:r>
        <w:rPr>
          <w:rFonts w:hint="eastAsia" w:cs="宋体"/>
          <w:b w:val="0"/>
          <w:bCs w:val="0"/>
          <w:color w:val="auto"/>
          <w:highlight w:val="none"/>
          <w:lang w:val="en-US" w:eastAsia="zh-CN"/>
        </w:rPr>
        <w:t>磋商文件</w:t>
      </w:r>
      <w:r>
        <w:rPr>
          <w:rFonts w:hint="eastAsia" w:ascii="宋体" w:hAnsi="宋体" w:eastAsia="宋体" w:cs="宋体"/>
          <w:b w:val="0"/>
          <w:bCs w:val="0"/>
          <w:color w:val="auto"/>
          <w:highlight w:val="none"/>
          <w:lang w:val="en-US" w:eastAsia="zh-CN"/>
        </w:rPr>
        <w:t>和</w:t>
      </w:r>
      <w:r>
        <w:rPr>
          <w:rFonts w:hint="eastAsia" w:cs="宋体"/>
          <w:b w:val="0"/>
          <w:bCs w:val="0"/>
          <w:color w:val="auto"/>
          <w:highlight w:val="none"/>
          <w:lang w:val="en-US" w:eastAsia="zh-CN"/>
        </w:rPr>
        <w:t>响应文件</w:t>
      </w:r>
      <w:r>
        <w:rPr>
          <w:rFonts w:hint="eastAsia" w:ascii="宋体" w:hAnsi="宋体" w:eastAsia="宋体" w:cs="宋体"/>
          <w:b w:val="0"/>
          <w:bCs w:val="0"/>
          <w:color w:val="auto"/>
          <w:highlight w:val="none"/>
          <w:lang w:val="en-US" w:eastAsia="zh-CN"/>
        </w:rPr>
        <w:t>；</w:t>
      </w:r>
    </w:p>
    <w:p w14:paraId="4DE5E3A3">
      <w:pPr>
        <w:pStyle w:val="11"/>
        <w:keepNext w:val="0"/>
        <w:keepLines w:val="0"/>
        <w:pageBreakBefore w:val="0"/>
        <w:widowControl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2、本项目采用综合评分法：总分100分，其中报价分值</w:t>
      </w:r>
      <w:r>
        <w:rPr>
          <w:rFonts w:hint="eastAsia" w:cs="宋体"/>
          <w:b w:val="0"/>
          <w:bCs w:val="0"/>
          <w:color w:val="auto"/>
          <w:highlight w:val="none"/>
          <w:lang w:val="en-US" w:eastAsia="zh-CN"/>
        </w:rPr>
        <w:t>1</w:t>
      </w:r>
      <w:r>
        <w:rPr>
          <w:rFonts w:hint="eastAsia" w:ascii="宋体" w:hAnsi="宋体" w:eastAsia="宋体" w:cs="宋体"/>
          <w:b w:val="0"/>
          <w:bCs w:val="0"/>
          <w:color w:val="auto"/>
          <w:highlight w:val="none"/>
          <w:lang w:val="en-US" w:eastAsia="zh-CN"/>
        </w:rPr>
        <w:t>0分，商务及技术部分得分</w:t>
      </w:r>
      <w:r>
        <w:rPr>
          <w:rFonts w:hint="eastAsia" w:cs="宋体"/>
          <w:b w:val="0"/>
          <w:bCs w:val="0"/>
          <w:color w:val="auto"/>
          <w:highlight w:val="none"/>
          <w:lang w:val="en-US" w:eastAsia="zh-CN"/>
        </w:rPr>
        <w:t>9</w:t>
      </w:r>
      <w:r>
        <w:rPr>
          <w:rFonts w:hint="eastAsia" w:ascii="宋体" w:hAnsi="宋体" w:eastAsia="宋体" w:cs="宋体"/>
          <w:b w:val="0"/>
          <w:bCs w:val="0"/>
          <w:color w:val="auto"/>
          <w:highlight w:val="none"/>
          <w:lang w:val="en-US" w:eastAsia="zh-CN"/>
        </w:rPr>
        <w:t>0分。</w:t>
      </w:r>
    </w:p>
    <w:p w14:paraId="63E3E774">
      <w:pPr>
        <w:pStyle w:val="11"/>
        <w:keepNext w:val="0"/>
        <w:keepLines w:val="0"/>
        <w:pageBreakBefore w:val="0"/>
        <w:widowControl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3、</w:t>
      </w:r>
      <w:r>
        <w:rPr>
          <w:rFonts w:hint="eastAsia" w:cs="宋体"/>
          <w:b w:val="0"/>
          <w:bCs w:val="0"/>
          <w:color w:val="auto"/>
          <w:highlight w:val="none"/>
          <w:lang w:val="en-US" w:eastAsia="zh-CN"/>
        </w:rPr>
        <w:t>磋商小组</w:t>
      </w:r>
      <w:r>
        <w:rPr>
          <w:rFonts w:hint="eastAsia" w:ascii="宋体" w:hAnsi="宋体" w:eastAsia="宋体" w:cs="宋体"/>
          <w:b w:val="0"/>
          <w:bCs w:val="0"/>
          <w:color w:val="auto"/>
          <w:highlight w:val="none"/>
          <w:lang w:val="en-US" w:eastAsia="zh-CN"/>
        </w:rPr>
        <w:t>成员到齐后，推选</w:t>
      </w:r>
      <w:r>
        <w:rPr>
          <w:rFonts w:hint="eastAsia" w:cs="宋体"/>
          <w:b w:val="0"/>
          <w:bCs w:val="0"/>
          <w:color w:val="auto"/>
          <w:highlight w:val="none"/>
          <w:lang w:val="en-US" w:eastAsia="zh-CN"/>
        </w:rPr>
        <w:t>磋商小组</w:t>
      </w:r>
      <w:r>
        <w:rPr>
          <w:rFonts w:hint="eastAsia" w:ascii="宋体" w:hAnsi="宋体" w:eastAsia="宋体" w:cs="宋体"/>
          <w:b w:val="0"/>
          <w:bCs w:val="0"/>
          <w:color w:val="auto"/>
          <w:highlight w:val="none"/>
          <w:lang w:val="en-US" w:eastAsia="zh-CN"/>
        </w:rPr>
        <w:t>组长。依据</w:t>
      </w:r>
      <w:r>
        <w:rPr>
          <w:rFonts w:hint="eastAsia" w:cs="宋体"/>
          <w:b w:val="0"/>
          <w:bCs w:val="0"/>
          <w:color w:val="auto"/>
          <w:highlight w:val="none"/>
          <w:lang w:val="en-US" w:eastAsia="zh-CN"/>
        </w:rPr>
        <w:t>磋商文件</w:t>
      </w:r>
      <w:r>
        <w:rPr>
          <w:rFonts w:hint="eastAsia" w:ascii="宋体" w:hAnsi="宋体" w:eastAsia="宋体" w:cs="宋体"/>
          <w:b w:val="0"/>
          <w:bCs w:val="0"/>
          <w:color w:val="auto"/>
          <w:highlight w:val="none"/>
          <w:lang w:val="en-US" w:eastAsia="zh-CN"/>
        </w:rPr>
        <w:t>和</w:t>
      </w:r>
      <w:r>
        <w:rPr>
          <w:rFonts w:hint="eastAsia" w:cs="宋体"/>
          <w:b w:val="0"/>
          <w:bCs w:val="0"/>
          <w:color w:val="auto"/>
          <w:highlight w:val="none"/>
          <w:lang w:val="en-US" w:eastAsia="zh-CN"/>
        </w:rPr>
        <w:t>响应文件</w:t>
      </w:r>
      <w:r>
        <w:rPr>
          <w:rFonts w:hint="eastAsia" w:ascii="宋体" w:hAnsi="宋体" w:eastAsia="宋体" w:cs="宋体"/>
          <w:b w:val="0"/>
          <w:bCs w:val="0"/>
          <w:color w:val="auto"/>
          <w:highlight w:val="none"/>
          <w:lang w:val="en-US" w:eastAsia="zh-CN"/>
        </w:rPr>
        <w:t>进行认真查阅。审查响文件是否完整，是否有计算错误，要求的投标保证金是否提供，文件是否恰当地签署；</w:t>
      </w:r>
    </w:p>
    <w:p w14:paraId="7DB5143B">
      <w:pPr>
        <w:pStyle w:val="11"/>
        <w:keepNext w:val="0"/>
        <w:keepLines w:val="0"/>
        <w:pageBreakBefore w:val="0"/>
        <w:widowControl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4、在对</w:t>
      </w:r>
      <w:r>
        <w:rPr>
          <w:rFonts w:hint="eastAsia" w:cs="宋体"/>
          <w:b w:val="0"/>
          <w:bCs w:val="0"/>
          <w:color w:val="auto"/>
          <w:highlight w:val="none"/>
          <w:lang w:val="en-US" w:eastAsia="zh-CN"/>
        </w:rPr>
        <w:t>响应文件</w:t>
      </w:r>
      <w:r>
        <w:rPr>
          <w:rFonts w:hint="eastAsia" w:ascii="宋体" w:hAnsi="宋体" w:eastAsia="宋体" w:cs="宋体"/>
          <w:b w:val="0"/>
          <w:bCs w:val="0"/>
          <w:color w:val="auto"/>
          <w:highlight w:val="none"/>
          <w:lang w:val="en-US" w:eastAsia="zh-CN"/>
        </w:rPr>
        <w:t>进行详细评估前，依据投标方提供的资格证明文件审查投标方的财务、技术和服务能力。如果确定投标方无资格履行合同，其投标将被拒绝；</w:t>
      </w:r>
    </w:p>
    <w:p w14:paraId="2413CA69">
      <w:pPr>
        <w:pStyle w:val="11"/>
        <w:keepNext w:val="0"/>
        <w:keepLines w:val="0"/>
        <w:pageBreakBefore w:val="0"/>
        <w:widowControl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5、</w:t>
      </w:r>
      <w:r>
        <w:rPr>
          <w:rFonts w:hint="eastAsia" w:cs="宋体"/>
          <w:b w:val="0"/>
          <w:bCs w:val="0"/>
          <w:color w:val="auto"/>
          <w:highlight w:val="none"/>
          <w:lang w:val="en-US" w:eastAsia="zh-CN"/>
        </w:rPr>
        <w:t>磋商小组</w:t>
      </w:r>
      <w:r>
        <w:rPr>
          <w:rFonts w:hint="eastAsia" w:ascii="宋体" w:hAnsi="宋体" w:eastAsia="宋体" w:cs="宋体"/>
          <w:b w:val="0"/>
          <w:bCs w:val="0"/>
          <w:color w:val="auto"/>
          <w:highlight w:val="none"/>
          <w:lang w:val="en-US" w:eastAsia="zh-CN"/>
        </w:rPr>
        <w:t>将确定每一</w:t>
      </w:r>
      <w:r>
        <w:rPr>
          <w:rFonts w:hint="eastAsia" w:cs="宋体"/>
          <w:b w:val="0"/>
          <w:bCs w:val="0"/>
          <w:color w:val="auto"/>
          <w:highlight w:val="none"/>
          <w:lang w:val="en-US" w:eastAsia="zh-CN"/>
        </w:rPr>
        <w:t>投标人</w:t>
      </w:r>
      <w:r>
        <w:rPr>
          <w:rFonts w:hint="eastAsia" w:ascii="宋体" w:hAnsi="宋体" w:eastAsia="宋体" w:cs="宋体"/>
          <w:b w:val="0"/>
          <w:bCs w:val="0"/>
          <w:color w:val="auto"/>
          <w:highlight w:val="none"/>
          <w:lang w:val="en-US" w:eastAsia="zh-CN"/>
        </w:rPr>
        <w:t>是否对</w:t>
      </w:r>
      <w:r>
        <w:rPr>
          <w:rFonts w:hint="eastAsia" w:cs="宋体"/>
          <w:b w:val="0"/>
          <w:bCs w:val="0"/>
          <w:color w:val="auto"/>
          <w:highlight w:val="none"/>
          <w:lang w:val="en-US" w:eastAsia="zh-CN"/>
        </w:rPr>
        <w:t>采购</w:t>
      </w:r>
      <w:r>
        <w:rPr>
          <w:rFonts w:hint="eastAsia" w:ascii="宋体" w:hAnsi="宋体" w:eastAsia="宋体" w:cs="宋体"/>
          <w:b w:val="0"/>
          <w:bCs w:val="0"/>
          <w:color w:val="auto"/>
          <w:highlight w:val="none"/>
          <w:lang w:val="en-US" w:eastAsia="zh-CN"/>
        </w:rPr>
        <w:t>文件的要求做出了实质性的响应，而没有重大偏离。实质性响应的响应是指投标符合</w:t>
      </w:r>
      <w:r>
        <w:rPr>
          <w:rFonts w:hint="eastAsia" w:cs="宋体"/>
          <w:b w:val="0"/>
          <w:bCs w:val="0"/>
          <w:color w:val="auto"/>
          <w:highlight w:val="none"/>
          <w:lang w:val="en-US" w:eastAsia="zh-CN"/>
        </w:rPr>
        <w:t>磋商文件</w:t>
      </w:r>
      <w:r>
        <w:rPr>
          <w:rFonts w:hint="eastAsia" w:ascii="宋体" w:hAnsi="宋体" w:eastAsia="宋体" w:cs="宋体"/>
          <w:b w:val="0"/>
          <w:bCs w:val="0"/>
          <w:color w:val="auto"/>
          <w:highlight w:val="none"/>
          <w:lang w:val="en-US" w:eastAsia="zh-CN"/>
        </w:rPr>
        <w:t>的所有条款、条件和规定且没有重大偏离或保留。重大偏离或保留系指影响到</w:t>
      </w:r>
      <w:r>
        <w:rPr>
          <w:rFonts w:hint="eastAsia" w:cs="宋体"/>
          <w:b w:val="0"/>
          <w:bCs w:val="0"/>
          <w:color w:val="auto"/>
          <w:highlight w:val="none"/>
          <w:lang w:val="en-US" w:eastAsia="zh-CN"/>
        </w:rPr>
        <w:t>磋商文件</w:t>
      </w:r>
      <w:r>
        <w:rPr>
          <w:rFonts w:hint="eastAsia" w:ascii="宋体" w:hAnsi="宋体" w:eastAsia="宋体" w:cs="宋体"/>
          <w:b w:val="0"/>
          <w:bCs w:val="0"/>
          <w:color w:val="auto"/>
          <w:highlight w:val="none"/>
          <w:lang w:val="en-US" w:eastAsia="zh-CN"/>
        </w:rPr>
        <w:t>规定的供货范围、服务和性能，或限制了买方的权利和投标方的义务的规定，而纠正这些偏离将影响到其他提交实质性投标的投标方的公平竞争地位。</w:t>
      </w:r>
    </w:p>
    <w:p w14:paraId="75D8BA94">
      <w:pPr>
        <w:pStyle w:val="11"/>
        <w:keepNext w:val="0"/>
        <w:keepLines w:val="0"/>
        <w:pageBreakBefore w:val="0"/>
        <w:widowControl w:val="0"/>
        <w:tabs>
          <w:tab w:val="clear" w:pos="567"/>
        </w:tabs>
        <w:kinsoku/>
        <w:wordWrap/>
        <w:overflowPunct/>
        <w:topLinePunct w:val="0"/>
        <w:bidi w:val="0"/>
        <w:adjustRightInd/>
        <w:spacing w:before="0" w:line="400" w:lineRule="exact"/>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对</w:t>
      </w:r>
      <w:r>
        <w:rPr>
          <w:rFonts w:hint="eastAsia" w:cs="宋体"/>
          <w:b/>
          <w:bCs/>
          <w:color w:val="auto"/>
          <w:highlight w:val="none"/>
          <w:lang w:val="en-US" w:eastAsia="zh-CN"/>
        </w:rPr>
        <w:t>响应文件</w:t>
      </w:r>
      <w:r>
        <w:rPr>
          <w:rFonts w:hint="eastAsia" w:ascii="宋体" w:hAnsi="宋体" w:eastAsia="宋体" w:cs="宋体"/>
          <w:b/>
          <w:bCs/>
          <w:color w:val="auto"/>
          <w:highlight w:val="none"/>
          <w:lang w:val="en-US" w:eastAsia="zh-CN"/>
        </w:rPr>
        <w:t>的评估和比较：</w:t>
      </w:r>
    </w:p>
    <w:p w14:paraId="728F797A">
      <w:pPr>
        <w:pStyle w:val="11"/>
        <w:keepNext w:val="0"/>
        <w:keepLines w:val="0"/>
        <w:pageBreakBefore w:val="0"/>
        <w:widowControl w:val="0"/>
        <w:tabs>
          <w:tab w:val="clear" w:pos="567"/>
        </w:tabs>
        <w:kinsoku/>
        <w:wordWrap/>
        <w:overflowPunct/>
        <w:topLinePunct w:val="0"/>
        <w:bidi w:val="0"/>
        <w:adjustRightInd/>
        <w:spacing w:before="0" w:line="400" w:lineRule="exact"/>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初步评审</w:t>
      </w:r>
    </w:p>
    <w:p w14:paraId="194AECDB">
      <w:pPr>
        <w:pStyle w:val="11"/>
        <w:keepNext w:val="0"/>
        <w:keepLines w:val="0"/>
        <w:pageBreakBefore w:val="0"/>
        <w:widowControl w:val="0"/>
        <w:tabs>
          <w:tab w:val="clear" w:pos="567"/>
        </w:tabs>
        <w:kinsoku/>
        <w:wordWrap/>
        <w:overflowPunct/>
        <w:topLinePunct w:val="0"/>
        <w:bidi w:val="0"/>
        <w:adjustRightInd/>
        <w:spacing w:before="0" w:line="400" w:lineRule="exact"/>
        <w:textAlignment w:val="auto"/>
        <w:rPr>
          <w:rFonts w:hint="eastAsia" w:ascii="宋体" w:hAnsi="宋体" w:eastAsia="宋体" w:cs="宋体"/>
          <w:b/>
          <w:bCs/>
          <w:color w:val="auto"/>
          <w:highlight w:val="none"/>
          <w:lang w:val="en-US" w:eastAsia="zh-CN"/>
        </w:rPr>
      </w:pPr>
      <w:r>
        <w:rPr>
          <w:rFonts w:hint="eastAsia" w:eastAsia="宋体" w:cs="宋体"/>
          <w:b/>
          <w:bCs/>
          <w:color w:val="auto"/>
          <w:highlight w:val="none"/>
          <w:lang w:val="en-US" w:eastAsia="zh-CN"/>
        </w:rPr>
        <w:t>1、</w:t>
      </w:r>
      <w:r>
        <w:rPr>
          <w:rFonts w:hint="eastAsia" w:ascii="宋体" w:hAnsi="宋体" w:eastAsia="宋体" w:cs="宋体"/>
          <w:b/>
          <w:bCs/>
          <w:color w:val="auto"/>
          <w:highlight w:val="none"/>
          <w:lang w:val="en-US" w:eastAsia="zh-CN"/>
        </w:rPr>
        <w:t>资格性检查</w:t>
      </w:r>
    </w:p>
    <w:p w14:paraId="19007D5D">
      <w:pPr>
        <w:pStyle w:val="11"/>
        <w:keepNext w:val="0"/>
        <w:keepLines w:val="0"/>
        <w:pageBreakBefore w:val="0"/>
        <w:widowControl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依据法律法规和</w:t>
      </w:r>
      <w:r>
        <w:rPr>
          <w:rFonts w:hint="eastAsia" w:cs="宋体"/>
          <w:b w:val="0"/>
          <w:bCs w:val="0"/>
          <w:color w:val="auto"/>
          <w:highlight w:val="none"/>
          <w:lang w:val="en-US" w:eastAsia="zh-CN"/>
        </w:rPr>
        <w:t>磋商文件</w:t>
      </w:r>
      <w:r>
        <w:rPr>
          <w:rFonts w:hint="eastAsia" w:ascii="宋体" w:hAnsi="宋体" w:eastAsia="宋体" w:cs="宋体"/>
          <w:b w:val="0"/>
          <w:bCs w:val="0"/>
          <w:color w:val="auto"/>
          <w:highlight w:val="none"/>
          <w:lang w:val="en-US" w:eastAsia="zh-CN"/>
        </w:rPr>
        <w:t>的规定，</w:t>
      </w:r>
      <w:r>
        <w:rPr>
          <w:rFonts w:hint="eastAsia" w:eastAsia="宋体" w:cs="宋体"/>
          <w:b w:val="0"/>
          <w:bCs w:val="0"/>
          <w:color w:val="auto"/>
          <w:highlight w:val="none"/>
          <w:lang w:val="en-US" w:eastAsia="zh-CN"/>
        </w:rPr>
        <w:t>资格审查小组</w:t>
      </w:r>
      <w:r>
        <w:rPr>
          <w:rFonts w:hint="eastAsia" w:ascii="宋体" w:hAnsi="宋体" w:eastAsia="宋体" w:cs="宋体"/>
          <w:b w:val="0"/>
          <w:bCs w:val="0"/>
          <w:color w:val="auto"/>
          <w:highlight w:val="none"/>
          <w:lang w:val="en-US" w:eastAsia="zh-CN"/>
        </w:rPr>
        <w:t>对</w:t>
      </w:r>
      <w:r>
        <w:rPr>
          <w:rFonts w:hint="eastAsia" w:cs="宋体"/>
          <w:b w:val="0"/>
          <w:bCs w:val="0"/>
          <w:color w:val="auto"/>
          <w:highlight w:val="none"/>
          <w:lang w:val="en-US" w:eastAsia="zh-CN"/>
        </w:rPr>
        <w:t>响应文件</w:t>
      </w:r>
      <w:r>
        <w:rPr>
          <w:rFonts w:hint="eastAsia" w:ascii="宋体" w:hAnsi="宋体" w:eastAsia="宋体" w:cs="宋体"/>
          <w:b w:val="0"/>
          <w:bCs w:val="0"/>
          <w:color w:val="auto"/>
          <w:highlight w:val="none"/>
          <w:lang w:val="en-US" w:eastAsia="zh-CN"/>
        </w:rPr>
        <w:t>中的资格证明进行审查，以确定投标人是否具备投标资格。</w:t>
      </w:r>
    </w:p>
    <w:p w14:paraId="72D59B15">
      <w:pPr>
        <w:pStyle w:val="11"/>
        <w:keepNext w:val="0"/>
        <w:keepLines w:val="0"/>
        <w:pageBreakBefore w:val="0"/>
        <w:widowControl w:val="0"/>
        <w:tabs>
          <w:tab w:val="clear" w:pos="567"/>
        </w:tabs>
        <w:kinsoku/>
        <w:wordWrap/>
        <w:overflowPunct/>
        <w:topLinePunct w:val="0"/>
        <w:bidi w:val="0"/>
        <w:adjustRightInd/>
        <w:spacing w:before="0" w:line="400" w:lineRule="exact"/>
        <w:textAlignment w:val="auto"/>
        <w:rPr>
          <w:rFonts w:hint="eastAsia" w:ascii="宋体" w:hAnsi="宋体" w:eastAsia="宋体" w:cs="宋体"/>
          <w:b/>
          <w:bCs/>
          <w:color w:val="auto"/>
          <w:highlight w:val="none"/>
          <w:lang w:val="en-US" w:eastAsia="zh-CN"/>
        </w:rPr>
      </w:pPr>
      <w:r>
        <w:rPr>
          <w:rFonts w:hint="eastAsia" w:eastAsia="宋体" w:cs="宋体"/>
          <w:b/>
          <w:bCs/>
          <w:color w:val="auto"/>
          <w:highlight w:val="none"/>
          <w:lang w:val="en-US" w:eastAsia="zh-CN"/>
        </w:rPr>
        <w:t>2、</w:t>
      </w:r>
      <w:r>
        <w:rPr>
          <w:rFonts w:hint="eastAsia" w:cs="宋体"/>
          <w:b/>
          <w:bCs/>
          <w:color w:val="auto"/>
          <w:highlight w:val="none"/>
          <w:lang w:val="en-US" w:eastAsia="zh-CN"/>
        </w:rPr>
        <w:t>响应文件</w:t>
      </w:r>
      <w:r>
        <w:rPr>
          <w:rFonts w:hint="eastAsia" w:ascii="宋体" w:hAnsi="宋体" w:eastAsia="宋体" w:cs="宋体"/>
          <w:b/>
          <w:bCs/>
          <w:color w:val="auto"/>
          <w:highlight w:val="none"/>
          <w:lang w:val="en-US" w:eastAsia="zh-CN"/>
        </w:rPr>
        <w:t>的符合性审查</w:t>
      </w:r>
    </w:p>
    <w:p w14:paraId="4E9E8E9D">
      <w:pPr>
        <w:pStyle w:val="11"/>
        <w:keepNext w:val="0"/>
        <w:keepLines w:val="0"/>
        <w:pageBreakBefore w:val="0"/>
        <w:widowControl w:val="0"/>
        <w:tabs>
          <w:tab w:val="clear" w:pos="567"/>
        </w:tabs>
        <w:kinsoku/>
        <w:wordWrap/>
        <w:overflowPunct/>
        <w:topLinePunct w:val="0"/>
        <w:bidi w:val="0"/>
        <w:adjustRightInd/>
        <w:spacing w:before="0" w:line="400" w:lineRule="exact"/>
        <w:ind w:firstLine="480"/>
        <w:textAlignment w:val="auto"/>
        <w:rPr>
          <w:rFonts w:hint="eastAsia" w:ascii="宋体" w:hAnsi="宋体" w:eastAsia="宋体" w:cs="宋体"/>
          <w:b w:val="0"/>
          <w:bCs w:val="0"/>
          <w:color w:val="auto"/>
          <w:highlight w:val="none"/>
          <w:lang w:val="en-US" w:eastAsia="zh-CN"/>
        </w:rPr>
      </w:pPr>
      <w:r>
        <w:rPr>
          <w:rFonts w:hint="eastAsia" w:cs="宋体"/>
          <w:b w:val="0"/>
          <w:bCs w:val="0"/>
          <w:color w:val="auto"/>
          <w:highlight w:val="none"/>
          <w:lang w:val="en-US" w:eastAsia="zh-CN"/>
        </w:rPr>
        <w:t>响应文件</w:t>
      </w:r>
      <w:r>
        <w:rPr>
          <w:rFonts w:hint="eastAsia" w:ascii="宋体" w:hAnsi="宋体" w:eastAsia="宋体" w:cs="宋体"/>
          <w:b w:val="0"/>
          <w:bCs w:val="0"/>
          <w:color w:val="auto"/>
          <w:highlight w:val="none"/>
          <w:lang w:val="en-US" w:eastAsia="zh-CN"/>
        </w:rPr>
        <w:t>是否实质性响应</w:t>
      </w:r>
      <w:r>
        <w:rPr>
          <w:rFonts w:hint="eastAsia" w:cs="宋体"/>
          <w:b w:val="0"/>
          <w:bCs w:val="0"/>
          <w:color w:val="auto"/>
          <w:highlight w:val="none"/>
          <w:lang w:val="en-US" w:eastAsia="zh-CN"/>
        </w:rPr>
        <w:t>磋商文件</w:t>
      </w:r>
      <w:r>
        <w:rPr>
          <w:rFonts w:hint="eastAsia" w:ascii="宋体" w:hAnsi="宋体" w:eastAsia="宋体" w:cs="宋体"/>
          <w:b w:val="0"/>
          <w:bCs w:val="0"/>
          <w:color w:val="auto"/>
          <w:highlight w:val="none"/>
          <w:lang w:val="en-US" w:eastAsia="zh-CN"/>
        </w:rPr>
        <w:t>要求由</w:t>
      </w:r>
      <w:r>
        <w:rPr>
          <w:rFonts w:hint="eastAsia" w:cs="宋体"/>
          <w:b w:val="0"/>
          <w:bCs w:val="0"/>
          <w:color w:val="auto"/>
          <w:highlight w:val="none"/>
          <w:lang w:val="en-US" w:eastAsia="zh-CN"/>
        </w:rPr>
        <w:t>磋商小组</w:t>
      </w:r>
      <w:r>
        <w:rPr>
          <w:rFonts w:hint="eastAsia" w:ascii="宋体" w:hAnsi="宋体" w:eastAsia="宋体" w:cs="宋体"/>
          <w:b w:val="0"/>
          <w:bCs w:val="0"/>
          <w:color w:val="auto"/>
          <w:highlight w:val="none"/>
          <w:lang w:val="en-US" w:eastAsia="zh-CN"/>
        </w:rPr>
        <w:t>依据</w:t>
      </w:r>
      <w:r>
        <w:rPr>
          <w:rFonts w:hint="eastAsia" w:cs="宋体"/>
          <w:b w:val="0"/>
          <w:bCs w:val="0"/>
          <w:color w:val="auto"/>
          <w:highlight w:val="none"/>
          <w:lang w:val="en-US" w:eastAsia="zh-CN"/>
        </w:rPr>
        <w:t>磋商文件</w:t>
      </w:r>
      <w:r>
        <w:rPr>
          <w:rFonts w:hint="eastAsia" w:ascii="宋体" w:hAnsi="宋体" w:eastAsia="宋体" w:cs="宋体"/>
          <w:b w:val="0"/>
          <w:bCs w:val="0"/>
          <w:color w:val="auto"/>
          <w:highlight w:val="none"/>
          <w:lang w:val="en-US" w:eastAsia="zh-CN"/>
        </w:rPr>
        <w:t>规定认定。</w:t>
      </w:r>
      <w:r>
        <w:rPr>
          <w:rFonts w:hint="eastAsia" w:cs="宋体"/>
          <w:b w:val="0"/>
          <w:bCs w:val="0"/>
          <w:color w:val="auto"/>
          <w:highlight w:val="none"/>
          <w:lang w:val="en-US" w:eastAsia="zh-CN"/>
        </w:rPr>
        <w:t>磋商小组</w:t>
      </w:r>
      <w:r>
        <w:rPr>
          <w:rFonts w:hint="eastAsia" w:ascii="宋体" w:hAnsi="宋体" w:eastAsia="宋体" w:cs="宋体"/>
          <w:b w:val="0"/>
          <w:bCs w:val="0"/>
          <w:color w:val="auto"/>
          <w:highlight w:val="none"/>
          <w:lang w:val="en-US" w:eastAsia="zh-CN"/>
        </w:rPr>
        <w:t>决定</w:t>
      </w:r>
      <w:r>
        <w:rPr>
          <w:rFonts w:hint="eastAsia" w:cs="宋体"/>
          <w:b w:val="0"/>
          <w:bCs w:val="0"/>
          <w:color w:val="auto"/>
          <w:highlight w:val="none"/>
          <w:lang w:val="en-US" w:eastAsia="zh-CN"/>
        </w:rPr>
        <w:t>响应文件</w:t>
      </w:r>
      <w:r>
        <w:rPr>
          <w:rFonts w:hint="eastAsia" w:ascii="宋体" w:hAnsi="宋体" w:eastAsia="宋体" w:cs="宋体"/>
          <w:b w:val="0"/>
          <w:bCs w:val="0"/>
          <w:color w:val="auto"/>
          <w:highlight w:val="none"/>
          <w:lang w:val="en-US" w:eastAsia="zh-CN"/>
        </w:rPr>
        <w:t>的实质性只根据</w:t>
      </w:r>
      <w:r>
        <w:rPr>
          <w:rFonts w:hint="eastAsia" w:cs="宋体"/>
          <w:b w:val="0"/>
          <w:bCs w:val="0"/>
          <w:color w:val="auto"/>
          <w:highlight w:val="none"/>
          <w:lang w:val="en-US" w:eastAsia="zh-CN"/>
        </w:rPr>
        <w:t>响应文件</w:t>
      </w:r>
      <w:r>
        <w:rPr>
          <w:rFonts w:hint="eastAsia" w:ascii="宋体" w:hAnsi="宋体" w:eastAsia="宋体" w:cs="宋体"/>
          <w:b w:val="0"/>
          <w:bCs w:val="0"/>
          <w:color w:val="auto"/>
          <w:highlight w:val="none"/>
          <w:lang w:val="en-US" w:eastAsia="zh-CN"/>
        </w:rPr>
        <w:t>本身的真实无误的内容，而不依据外部的证据。依据</w:t>
      </w:r>
      <w:r>
        <w:rPr>
          <w:rFonts w:hint="eastAsia" w:cs="宋体"/>
          <w:b w:val="0"/>
          <w:bCs w:val="0"/>
          <w:color w:val="auto"/>
          <w:highlight w:val="none"/>
          <w:lang w:val="en-US" w:eastAsia="zh-CN"/>
        </w:rPr>
        <w:t>磋商文件</w:t>
      </w:r>
      <w:r>
        <w:rPr>
          <w:rFonts w:hint="eastAsia" w:ascii="宋体" w:hAnsi="宋体" w:eastAsia="宋体" w:cs="宋体"/>
          <w:b w:val="0"/>
          <w:bCs w:val="0"/>
          <w:color w:val="auto"/>
          <w:highlight w:val="none"/>
          <w:lang w:val="en-US" w:eastAsia="zh-CN"/>
        </w:rPr>
        <w:t>的规定，从</w:t>
      </w:r>
      <w:r>
        <w:rPr>
          <w:rFonts w:hint="eastAsia" w:cs="宋体"/>
          <w:b w:val="0"/>
          <w:bCs w:val="0"/>
          <w:color w:val="auto"/>
          <w:highlight w:val="none"/>
          <w:lang w:val="en-US" w:eastAsia="zh-CN"/>
        </w:rPr>
        <w:t>响应文件</w:t>
      </w:r>
      <w:r>
        <w:rPr>
          <w:rFonts w:hint="eastAsia" w:ascii="宋体" w:hAnsi="宋体" w:eastAsia="宋体" w:cs="宋体"/>
          <w:b w:val="0"/>
          <w:bCs w:val="0"/>
          <w:color w:val="auto"/>
          <w:highlight w:val="none"/>
          <w:lang w:val="en-US" w:eastAsia="zh-CN"/>
        </w:rPr>
        <w:t>的有效性、完整性和对</w:t>
      </w:r>
      <w:r>
        <w:rPr>
          <w:rFonts w:hint="eastAsia" w:cs="宋体"/>
          <w:b w:val="0"/>
          <w:bCs w:val="0"/>
          <w:color w:val="auto"/>
          <w:highlight w:val="none"/>
          <w:lang w:val="en-US" w:eastAsia="zh-CN"/>
        </w:rPr>
        <w:t>磋商文件</w:t>
      </w:r>
      <w:r>
        <w:rPr>
          <w:rFonts w:hint="eastAsia" w:ascii="宋体" w:hAnsi="宋体" w:eastAsia="宋体" w:cs="宋体"/>
          <w:b w:val="0"/>
          <w:bCs w:val="0"/>
          <w:color w:val="auto"/>
          <w:highlight w:val="none"/>
          <w:lang w:val="en-US" w:eastAsia="zh-CN"/>
        </w:rPr>
        <w:t>的响应程度进行审查，以确定是否对</w:t>
      </w:r>
      <w:r>
        <w:rPr>
          <w:rFonts w:hint="eastAsia" w:cs="宋体"/>
          <w:b w:val="0"/>
          <w:bCs w:val="0"/>
          <w:color w:val="auto"/>
          <w:highlight w:val="none"/>
          <w:lang w:val="en-US" w:eastAsia="zh-CN"/>
        </w:rPr>
        <w:t>磋商文件</w:t>
      </w:r>
      <w:r>
        <w:rPr>
          <w:rFonts w:hint="eastAsia" w:ascii="宋体" w:hAnsi="宋体" w:eastAsia="宋体" w:cs="宋体"/>
          <w:b w:val="0"/>
          <w:bCs w:val="0"/>
          <w:color w:val="auto"/>
          <w:highlight w:val="none"/>
          <w:lang w:val="en-US" w:eastAsia="zh-CN"/>
        </w:rPr>
        <w:t>的实质性要求作出响应。</w:t>
      </w:r>
    </w:p>
    <w:p w14:paraId="13D2853E">
      <w:pPr>
        <w:pStyle w:val="11"/>
        <w:keepNext w:val="0"/>
        <w:keepLines w:val="0"/>
        <w:pageBreakBefore w:val="0"/>
        <w:widowControl w:val="0"/>
        <w:tabs>
          <w:tab w:val="clear" w:pos="567"/>
        </w:tabs>
        <w:kinsoku/>
        <w:wordWrap/>
        <w:overflowPunct/>
        <w:topLinePunct w:val="0"/>
        <w:bidi w:val="0"/>
        <w:adjustRightInd/>
        <w:spacing w:before="0" w:line="400" w:lineRule="exact"/>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3、详细评审</w:t>
      </w:r>
    </w:p>
    <w:p w14:paraId="2D3FDBB3">
      <w:pPr>
        <w:pStyle w:val="11"/>
        <w:keepNext w:val="0"/>
        <w:keepLines w:val="0"/>
        <w:pageBreakBefore w:val="0"/>
        <w:widowControl w:val="0"/>
        <w:numPr>
          <w:ilvl w:val="0"/>
          <w:numId w:val="4"/>
        </w:numPr>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经初步评审合格的</w:t>
      </w:r>
      <w:r>
        <w:rPr>
          <w:rFonts w:hint="eastAsia" w:cs="宋体"/>
          <w:b w:val="0"/>
          <w:bCs w:val="0"/>
          <w:color w:val="auto"/>
          <w:highlight w:val="none"/>
          <w:lang w:val="en-US" w:eastAsia="zh-CN"/>
        </w:rPr>
        <w:t>响应文件</w:t>
      </w:r>
      <w:r>
        <w:rPr>
          <w:rFonts w:hint="eastAsia" w:ascii="宋体" w:hAnsi="宋体" w:eastAsia="宋体" w:cs="宋体"/>
          <w:b w:val="0"/>
          <w:bCs w:val="0"/>
          <w:color w:val="auto"/>
          <w:highlight w:val="none"/>
          <w:lang w:val="en-US" w:eastAsia="zh-CN"/>
        </w:rPr>
        <w:t>，</w:t>
      </w:r>
      <w:r>
        <w:rPr>
          <w:rFonts w:hint="eastAsia" w:cs="宋体"/>
          <w:b w:val="0"/>
          <w:bCs w:val="0"/>
          <w:color w:val="auto"/>
          <w:highlight w:val="none"/>
          <w:lang w:val="en-US" w:eastAsia="zh-CN"/>
        </w:rPr>
        <w:t>磋商小组</w:t>
      </w:r>
      <w:r>
        <w:rPr>
          <w:rFonts w:hint="eastAsia" w:ascii="宋体" w:hAnsi="宋体" w:eastAsia="宋体" w:cs="宋体"/>
          <w:b w:val="0"/>
          <w:bCs w:val="0"/>
          <w:color w:val="auto"/>
          <w:highlight w:val="none"/>
          <w:lang w:val="en-US" w:eastAsia="zh-CN"/>
        </w:rPr>
        <w:t>应当根据本文件确定的评标标准和方法，对其技术和商务部分作进一步的评审和比较。</w:t>
      </w:r>
    </w:p>
    <w:p w14:paraId="616A35D9">
      <w:pPr>
        <w:pStyle w:val="11"/>
        <w:keepNext w:val="0"/>
        <w:keepLines w:val="0"/>
        <w:pageBreakBefore w:val="0"/>
        <w:widowControl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2、采用综合评分法，即</w:t>
      </w:r>
      <w:r>
        <w:rPr>
          <w:rFonts w:hint="eastAsia" w:cs="宋体"/>
          <w:b w:val="0"/>
          <w:bCs w:val="0"/>
          <w:color w:val="auto"/>
          <w:highlight w:val="none"/>
          <w:lang w:val="en-US" w:eastAsia="zh-CN"/>
        </w:rPr>
        <w:t>响应文件</w:t>
      </w:r>
      <w:r>
        <w:rPr>
          <w:rFonts w:hint="eastAsia" w:ascii="宋体" w:hAnsi="宋体" w:eastAsia="宋体" w:cs="宋体"/>
          <w:b w:val="0"/>
          <w:bCs w:val="0"/>
          <w:color w:val="auto"/>
          <w:highlight w:val="none"/>
          <w:lang w:val="en-US" w:eastAsia="zh-CN"/>
        </w:rPr>
        <w:t>满足</w:t>
      </w:r>
      <w:r>
        <w:rPr>
          <w:rFonts w:hint="eastAsia" w:cs="宋体"/>
          <w:b w:val="0"/>
          <w:bCs w:val="0"/>
          <w:color w:val="auto"/>
          <w:highlight w:val="none"/>
          <w:lang w:val="en-US" w:eastAsia="zh-CN"/>
        </w:rPr>
        <w:t>磋商文件</w:t>
      </w:r>
      <w:r>
        <w:rPr>
          <w:rFonts w:hint="eastAsia" w:ascii="宋体" w:hAnsi="宋体" w:eastAsia="宋体" w:cs="宋体"/>
          <w:b w:val="0"/>
          <w:bCs w:val="0"/>
          <w:color w:val="auto"/>
          <w:highlight w:val="none"/>
          <w:lang w:val="en-US" w:eastAsia="zh-CN"/>
        </w:rPr>
        <w:t>全部实质性要求，且按照评审因素的量化指标评审得分最高的投标人为中标候选人。</w:t>
      </w:r>
    </w:p>
    <w:p w14:paraId="1E0BDDD9">
      <w:pPr>
        <w:pStyle w:val="11"/>
        <w:keepNext w:val="0"/>
        <w:keepLines w:val="0"/>
        <w:pageBreakBefore w:val="0"/>
        <w:widowControl w:val="0"/>
        <w:tabs>
          <w:tab w:val="clear" w:pos="567"/>
        </w:tabs>
        <w:kinsoku/>
        <w:wordWrap/>
        <w:overflowPunct/>
        <w:topLinePunct w:val="0"/>
        <w:bidi w:val="0"/>
        <w:adjustRightInd/>
        <w:spacing w:before="0" w:line="400" w:lineRule="exact"/>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4、评标的保密性</w:t>
      </w:r>
    </w:p>
    <w:p w14:paraId="399A16A5">
      <w:pPr>
        <w:pStyle w:val="11"/>
        <w:keepNext w:val="0"/>
        <w:keepLines w:val="0"/>
        <w:pageBreakBefore w:val="0"/>
        <w:widowControl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1、开标后，直到授予投标商合同为止，凡属于审查、澄清、评价和比较的有关资料以及授标建议等</w:t>
      </w:r>
      <w:r>
        <w:rPr>
          <w:rFonts w:hint="eastAsia" w:cs="宋体"/>
          <w:b w:val="0"/>
          <w:bCs w:val="0"/>
          <w:color w:val="auto"/>
          <w:highlight w:val="none"/>
          <w:lang w:val="en-US" w:eastAsia="zh-CN"/>
        </w:rPr>
        <w:t>磋商小组</w:t>
      </w:r>
      <w:r>
        <w:rPr>
          <w:rFonts w:hint="eastAsia" w:ascii="宋体" w:hAnsi="宋体" w:eastAsia="宋体" w:cs="宋体"/>
          <w:b w:val="0"/>
          <w:bCs w:val="0"/>
          <w:color w:val="auto"/>
          <w:highlight w:val="none"/>
          <w:lang w:val="en-US" w:eastAsia="zh-CN"/>
        </w:rPr>
        <w:t>成员或参与评标的有关工作人员均不得向投标商或其他无关人员透露，</w:t>
      </w:r>
    </w:p>
    <w:p w14:paraId="353109DA">
      <w:pPr>
        <w:pStyle w:val="11"/>
        <w:keepNext w:val="0"/>
        <w:keepLines w:val="0"/>
        <w:pageBreakBefore w:val="0"/>
        <w:widowControl w:val="0"/>
        <w:tabs>
          <w:tab w:val="clear" w:pos="567"/>
        </w:tabs>
        <w:kinsoku/>
        <w:wordWrap/>
        <w:overflowPunct/>
        <w:topLinePunct w:val="0"/>
        <w:bidi w:val="0"/>
        <w:adjustRightInd/>
        <w:spacing w:before="0" w:line="400" w:lineRule="exact"/>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违者给予警告、取消担任</w:t>
      </w:r>
      <w:r>
        <w:rPr>
          <w:rFonts w:hint="eastAsia" w:cs="宋体"/>
          <w:b w:val="0"/>
          <w:bCs w:val="0"/>
          <w:color w:val="auto"/>
          <w:highlight w:val="none"/>
          <w:lang w:val="en-US" w:eastAsia="zh-CN"/>
        </w:rPr>
        <w:t>磋商小组</w:t>
      </w:r>
      <w:r>
        <w:rPr>
          <w:rFonts w:hint="eastAsia" w:ascii="宋体" w:hAnsi="宋体" w:eastAsia="宋体" w:cs="宋体"/>
          <w:b w:val="0"/>
          <w:bCs w:val="0"/>
          <w:color w:val="auto"/>
          <w:highlight w:val="none"/>
          <w:lang w:val="en-US" w:eastAsia="zh-CN"/>
        </w:rPr>
        <w:t>成员的资格，不得再参加任何项目的评标。</w:t>
      </w:r>
    </w:p>
    <w:p w14:paraId="18DE770B">
      <w:pPr>
        <w:pStyle w:val="11"/>
        <w:keepNext w:val="0"/>
        <w:keepLines w:val="0"/>
        <w:pageBreakBefore w:val="0"/>
        <w:widowControl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2、投标商在评标过程中，所进行的力图影响评标结果的不符合《政府采购法》、《政府采购竞争性投标采购方式管理暂行办法》及本次项目中有关规定的活动，将被取消中标资格。</w:t>
      </w:r>
    </w:p>
    <w:p w14:paraId="4E5B850B">
      <w:pPr>
        <w:pStyle w:val="11"/>
        <w:keepNext w:val="0"/>
        <w:keepLines w:val="0"/>
        <w:pageBreakBefore w:val="0"/>
        <w:widowControl w:val="0"/>
        <w:tabs>
          <w:tab w:val="clear" w:pos="567"/>
        </w:tabs>
        <w:kinsoku/>
        <w:wordWrap/>
        <w:overflowPunct/>
        <w:topLinePunct w:val="0"/>
        <w:bidi w:val="0"/>
        <w:adjustRightInd/>
        <w:spacing w:before="0" w:line="400" w:lineRule="exact"/>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八、定标</w:t>
      </w:r>
    </w:p>
    <w:p w14:paraId="4AE1ABEB">
      <w:pPr>
        <w:pStyle w:val="11"/>
        <w:keepNext w:val="0"/>
        <w:keepLines w:val="0"/>
        <w:pageBreakBefore w:val="0"/>
        <w:widowControl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1.定标标准</w:t>
      </w:r>
    </w:p>
    <w:p w14:paraId="7F6C54D3">
      <w:pPr>
        <w:pStyle w:val="11"/>
        <w:keepNext w:val="0"/>
        <w:keepLines w:val="0"/>
        <w:pageBreakBefore w:val="0"/>
        <w:widowControl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（一）原则：招标人将依据本项目根据</w:t>
      </w:r>
      <w:r>
        <w:rPr>
          <w:rFonts w:hint="eastAsia" w:cs="宋体"/>
          <w:b w:val="0"/>
          <w:bCs w:val="0"/>
          <w:color w:val="auto"/>
          <w:highlight w:val="none"/>
          <w:lang w:val="en-US" w:eastAsia="zh-CN"/>
        </w:rPr>
        <w:t>磋商小组</w:t>
      </w:r>
      <w:r>
        <w:rPr>
          <w:rFonts w:hint="eastAsia" w:ascii="宋体" w:hAnsi="宋体" w:eastAsia="宋体" w:cs="宋体"/>
          <w:b w:val="0"/>
          <w:bCs w:val="0"/>
          <w:color w:val="auto"/>
          <w:highlight w:val="none"/>
          <w:lang w:val="en-US" w:eastAsia="zh-CN"/>
        </w:rPr>
        <w:t>推荐的中标候选人名单，按顺序确定中标人。</w:t>
      </w:r>
    </w:p>
    <w:p w14:paraId="131E8F34">
      <w:pPr>
        <w:pStyle w:val="11"/>
        <w:keepNext w:val="0"/>
        <w:keepLines w:val="0"/>
        <w:pageBreakBefore w:val="0"/>
        <w:widowControl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（二）程序：</w:t>
      </w:r>
    </w:p>
    <w:p w14:paraId="69E879A0">
      <w:pPr>
        <w:pStyle w:val="11"/>
        <w:keepNext w:val="0"/>
        <w:keepLines w:val="0"/>
        <w:pageBreakBefore w:val="0"/>
        <w:widowControl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1、采购代理机构在评审结束后2个工作日内将评审报告送采购人确认。</w:t>
      </w:r>
    </w:p>
    <w:p w14:paraId="6C3C52C1">
      <w:pPr>
        <w:pStyle w:val="11"/>
        <w:keepNext w:val="0"/>
        <w:keepLines w:val="0"/>
        <w:pageBreakBefore w:val="0"/>
        <w:widowControl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2、采购人应当在收到评审报告后5个工作日内，从评审报告提出的中标候选单位中，按照排序由高到低的原则确定中标单位，也可以书面授权</w:t>
      </w:r>
      <w:r>
        <w:rPr>
          <w:rFonts w:hint="eastAsia" w:cs="宋体"/>
          <w:b w:val="0"/>
          <w:bCs w:val="0"/>
          <w:color w:val="auto"/>
          <w:highlight w:val="none"/>
          <w:lang w:val="en-US" w:eastAsia="zh-CN"/>
        </w:rPr>
        <w:t>磋商小组</w:t>
      </w:r>
      <w:r>
        <w:rPr>
          <w:rFonts w:hint="eastAsia" w:ascii="宋体" w:hAnsi="宋体" w:eastAsia="宋体" w:cs="宋体"/>
          <w:b w:val="0"/>
          <w:bCs w:val="0"/>
          <w:color w:val="auto"/>
          <w:highlight w:val="none"/>
          <w:lang w:val="en-US" w:eastAsia="zh-CN"/>
        </w:rPr>
        <w:t>直接确定中标单位。采购人逾期未确定中标单位且不提出异议的，视为确定评审报告提出的排序第一的</w:t>
      </w:r>
      <w:r>
        <w:rPr>
          <w:rFonts w:hint="eastAsia" w:cs="宋体"/>
          <w:b w:val="0"/>
          <w:bCs w:val="0"/>
          <w:color w:val="auto"/>
          <w:highlight w:val="none"/>
          <w:lang w:val="en-US" w:eastAsia="zh-CN"/>
        </w:rPr>
        <w:t>投标人</w:t>
      </w:r>
      <w:r>
        <w:rPr>
          <w:rFonts w:hint="eastAsia" w:ascii="宋体" w:hAnsi="宋体" w:eastAsia="宋体" w:cs="宋体"/>
          <w:b w:val="0"/>
          <w:bCs w:val="0"/>
          <w:color w:val="auto"/>
          <w:highlight w:val="none"/>
          <w:lang w:val="en-US" w:eastAsia="zh-CN"/>
        </w:rPr>
        <w:t>为中标单位。采购人或者采购代理机构应当在中标单位确定后2个工作日内，在省级以上财政部门指定的政府采购信息发布媒体上公告成交结果，同时向中标单位发出成交通知书，并将</w:t>
      </w:r>
      <w:r>
        <w:rPr>
          <w:rFonts w:hint="eastAsia" w:cs="宋体"/>
          <w:b w:val="0"/>
          <w:bCs w:val="0"/>
          <w:color w:val="auto"/>
          <w:highlight w:val="none"/>
          <w:lang w:val="en-US" w:eastAsia="zh-CN"/>
        </w:rPr>
        <w:t>磋商文件</w:t>
      </w:r>
      <w:r>
        <w:rPr>
          <w:rFonts w:hint="eastAsia" w:ascii="宋体" w:hAnsi="宋体" w:eastAsia="宋体" w:cs="宋体"/>
          <w:b w:val="0"/>
          <w:bCs w:val="0"/>
          <w:color w:val="auto"/>
          <w:highlight w:val="none"/>
          <w:lang w:val="en-US" w:eastAsia="zh-CN"/>
        </w:rPr>
        <w:t>随成交结果同时公告。 采购人与中标单位应当在成交通知书发出之日起30日内，按照</w:t>
      </w:r>
      <w:r>
        <w:rPr>
          <w:rFonts w:hint="eastAsia" w:cs="宋体"/>
          <w:b w:val="0"/>
          <w:bCs w:val="0"/>
          <w:color w:val="auto"/>
          <w:highlight w:val="none"/>
          <w:lang w:val="en-US" w:eastAsia="zh-CN"/>
        </w:rPr>
        <w:t>磋商文件</w:t>
      </w:r>
      <w:r>
        <w:rPr>
          <w:rFonts w:hint="eastAsia" w:ascii="宋体" w:hAnsi="宋体" w:eastAsia="宋体" w:cs="宋体"/>
          <w:b w:val="0"/>
          <w:bCs w:val="0"/>
          <w:color w:val="auto"/>
          <w:highlight w:val="none"/>
          <w:lang w:val="en-US" w:eastAsia="zh-CN"/>
        </w:rPr>
        <w:t>确定的合同文本以及采购标的、规格型号、采购金额、采购数量、技术和服务要求等事项签订政府采购合同。</w:t>
      </w:r>
    </w:p>
    <w:p w14:paraId="527FBE3D">
      <w:pPr>
        <w:pStyle w:val="11"/>
        <w:keepNext w:val="0"/>
        <w:keepLines w:val="0"/>
        <w:pageBreakBefore w:val="0"/>
        <w:widowControl w:val="0"/>
        <w:tabs>
          <w:tab w:val="clear" w:pos="567"/>
        </w:tabs>
        <w:kinsoku/>
        <w:wordWrap/>
        <w:overflowPunct/>
        <w:topLinePunct w:val="0"/>
        <w:bidi w:val="0"/>
        <w:adjustRightInd/>
        <w:spacing w:before="0" w:line="400" w:lineRule="exact"/>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bCs/>
          <w:color w:val="auto"/>
          <w:highlight w:val="none"/>
          <w:lang w:val="en-US" w:eastAsia="zh-CN"/>
        </w:rPr>
        <w:t>中标候选人并列式时的处理方式：</w:t>
      </w:r>
      <w:r>
        <w:rPr>
          <w:rFonts w:hint="eastAsia" w:ascii="宋体" w:hAnsi="宋体" w:eastAsia="宋体" w:cs="宋体"/>
          <w:b w:val="0"/>
          <w:bCs w:val="0"/>
          <w:color w:val="auto"/>
          <w:highlight w:val="none"/>
          <w:lang w:val="en-US" w:eastAsia="zh-CN"/>
        </w:rPr>
        <w:t xml:space="preserve">   </w:t>
      </w:r>
    </w:p>
    <w:p w14:paraId="7C2033CF">
      <w:pPr>
        <w:pStyle w:val="11"/>
        <w:keepNext w:val="0"/>
        <w:keepLines w:val="0"/>
        <w:pageBreakBefore w:val="0"/>
        <w:widowControl w:val="0"/>
        <w:tabs>
          <w:tab w:val="clear" w:pos="567"/>
        </w:tabs>
        <w:kinsoku/>
        <w:wordWrap/>
        <w:overflowPunct/>
        <w:topLinePunct w:val="0"/>
        <w:bidi w:val="0"/>
        <w:adjustRightInd/>
        <w:spacing w:before="0" w:line="400" w:lineRule="exact"/>
        <w:textAlignment w:val="auto"/>
        <w:rPr>
          <w:rFonts w:hint="eastAsia" w:ascii="宋体" w:hAnsi="宋体" w:eastAsia="宋体" w:cs="Times New Roman"/>
          <w:bCs/>
          <w:color w:val="auto"/>
          <w:sz w:val="24"/>
          <w:highlight w:val="none"/>
          <w:lang w:val="en-US" w:eastAsia="zh-CN"/>
        </w:rPr>
      </w:pPr>
      <w:r>
        <w:rPr>
          <w:rFonts w:hint="eastAsia" w:ascii="宋体" w:hAnsi="宋体" w:eastAsia="宋体" w:cs="宋体"/>
          <w:b w:val="0"/>
          <w:bCs w:val="0"/>
          <w:color w:val="auto"/>
          <w:highlight w:val="none"/>
          <w:lang w:val="en-US" w:eastAsia="zh-CN"/>
        </w:rPr>
        <w:t>采用综合评标法，则：</w:t>
      </w:r>
      <w:r>
        <w:rPr>
          <w:rFonts w:hint="eastAsia" w:ascii="宋体" w:hAnsi="宋体"/>
          <w:bCs/>
          <w:color w:val="auto"/>
          <w:sz w:val="24"/>
          <w:highlight w:val="none"/>
        </w:rPr>
        <w:t>确定满足</w:t>
      </w:r>
      <w:r>
        <w:rPr>
          <w:rFonts w:hint="eastAsia"/>
          <w:bCs/>
          <w:color w:val="auto"/>
          <w:sz w:val="24"/>
          <w:highlight w:val="none"/>
          <w:lang w:val="en-US" w:eastAsia="zh-CN"/>
        </w:rPr>
        <w:t>磋商文件</w:t>
      </w:r>
      <w:r>
        <w:rPr>
          <w:rFonts w:hint="eastAsia" w:ascii="宋体" w:hAnsi="宋体"/>
          <w:bCs/>
          <w:color w:val="auto"/>
          <w:sz w:val="24"/>
          <w:highlight w:val="none"/>
        </w:rPr>
        <w:t>全部实质性要求，且按照评审因素的量化指标评审得分最高的投标人为排名第一的中标候选人。评审得分相同的，</w:t>
      </w:r>
      <w:r>
        <w:rPr>
          <w:rFonts w:ascii="宋体" w:hAnsi="宋体"/>
          <w:bCs/>
          <w:color w:val="auto"/>
          <w:sz w:val="24"/>
          <w:highlight w:val="none"/>
        </w:rPr>
        <w:t xml:space="preserve"> </w:t>
      </w:r>
      <w:r>
        <w:rPr>
          <w:rFonts w:hint="eastAsia" w:ascii="宋体" w:hAnsi="宋体"/>
          <w:bCs/>
          <w:color w:val="auto"/>
          <w:sz w:val="24"/>
          <w:highlight w:val="none"/>
        </w:rPr>
        <w:t>按投标报价由低到高顺序排列。如报价相同则技术部分得分最高优先</w:t>
      </w:r>
      <w:r>
        <w:rPr>
          <w:rFonts w:hint="eastAsia" w:ascii="宋体" w:hAnsi="宋体" w:eastAsia="宋体" w:cs="Times New Roman"/>
          <w:bCs/>
          <w:color w:val="auto"/>
          <w:sz w:val="24"/>
          <w:highlight w:val="none"/>
          <w:lang w:val="en-US" w:eastAsia="zh-CN"/>
        </w:rPr>
        <w:t>。</w:t>
      </w:r>
    </w:p>
    <w:p w14:paraId="7903D43F">
      <w:pPr>
        <w:pStyle w:val="11"/>
        <w:keepNext w:val="0"/>
        <w:keepLines w:val="0"/>
        <w:pageBreakBefore w:val="0"/>
        <w:tabs>
          <w:tab w:val="clear" w:pos="567"/>
        </w:tabs>
        <w:kinsoku/>
        <w:wordWrap/>
        <w:overflowPunct/>
        <w:topLinePunct w:val="0"/>
        <w:bidi w:val="0"/>
        <w:adjustRightInd/>
        <w:spacing w:before="0" w:line="400" w:lineRule="exact"/>
        <w:textAlignment w:val="auto"/>
        <w:rPr>
          <w:rFonts w:hint="eastAsia" w:ascii="宋体" w:hAnsi="宋体" w:eastAsia="宋体" w:cs="宋体"/>
          <w:b/>
          <w:bCs/>
          <w:color w:val="auto"/>
          <w:highlight w:val="none"/>
        </w:rPr>
      </w:pPr>
      <w:r>
        <w:rPr>
          <w:rFonts w:hint="eastAsia" w:ascii="宋体" w:hAnsi="宋体" w:eastAsia="宋体" w:cs="宋体"/>
          <w:b/>
          <w:bCs/>
          <w:color w:val="auto"/>
          <w:sz w:val="24"/>
          <w:szCs w:val="24"/>
          <w:highlight w:val="none"/>
          <w:lang w:val="en-US" w:eastAsia="zh-CN"/>
        </w:rPr>
        <w:t>九、中小企业落实政策</w:t>
      </w:r>
    </w:p>
    <w:p w14:paraId="7DE8AFFE">
      <w:pPr>
        <w:pStyle w:val="11"/>
        <w:keepNext w:val="0"/>
        <w:keepLines w:val="0"/>
        <w:pageBreakBefore w:val="0"/>
        <w:tabs>
          <w:tab w:val="clear" w:pos="567"/>
        </w:tabs>
        <w:kinsoku/>
        <w:wordWrap/>
        <w:overflowPunct/>
        <w:topLinePunct w:val="0"/>
        <w:bidi w:val="0"/>
        <w:adjustRightInd/>
        <w:spacing w:before="0" w:line="400" w:lineRule="exact"/>
        <w:ind w:left="-181" w:leftChars="-86" w:right="218" w:rightChars="104" w:firstLine="663" w:firstLineChars="275"/>
        <w:textAlignment w:val="auto"/>
        <w:rPr>
          <w:rFonts w:hint="eastAsia" w:ascii="宋体" w:hAnsi="宋体" w:eastAsia="宋体" w:cs="宋体"/>
          <w:b w:val="0"/>
          <w:bCs w:val="0"/>
          <w:color w:val="auto"/>
          <w:highlight w:val="none"/>
        </w:rPr>
      </w:pPr>
      <w:r>
        <w:rPr>
          <w:rFonts w:hint="eastAsia" w:ascii="宋体" w:hAnsi="宋体" w:eastAsia="宋体" w:cs="宋体"/>
          <w:b/>
          <w:bCs/>
          <w:color w:val="auto"/>
          <w:sz w:val="24"/>
          <w:szCs w:val="24"/>
          <w:highlight w:val="none"/>
          <w:lang w:val="en-US" w:eastAsia="zh-CN"/>
        </w:rPr>
        <w:t xml:space="preserve">本项目专门面向中小微企业    </w:t>
      </w:r>
      <w:r>
        <w:rPr>
          <w:rFonts w:hint="eastAsia" w:ascii="宋体" w:hAnsi="宋体" w:eastAsia="宋体" w:cs="宋体"/>
          <w:b w:val="0"/>
          <w:bCs w:val="0"/>
          <w:color w:val="auto"/>
          <w:highlight w:val="none"/>
        </w:rPr>
        <w:t xml:space="preserve">   </w:t>
      </w:r>
    </w:p>
    <w:p w14:paraId="32CA604E">
      <w:pPr>
        <w:keepNext w:val="0"/>
        <w:keepLines w:val="0"/>
        <w:pageBreakBefore w:val="0"/>
        <w:widowControl w:val="0"/>
        <w:kinsoku/>
        <w:overflowPunct/>
        <w:bidi w:val="0"/>
        <w:spacing w:line="440" w:lineRule="exact"/>
        <w:jc w:val="center"/>
        <w:outlineLvl w:val="0"/>
        <w:rPr>
          <w:rFonts w:hint="eastAsia" w:ascii="宋体" w:hAnsi="宋体" w:eastAsia="宋体" w:cs="宋体"/>
          <w:b/>
          <w:color w:val="auto"/>
          <w:sz w:val="32"/>
          <w:szCs w:val="32"/>
          <w:highlight w:val="none"/>
        </w:rPr>
      </w:pPr>
    </w:p>
    <w:p w14:paraId="103F6394">
      <w:pPr>
        <w:pStyle w:val="11"/>
        <w:rPr>
          <w:rFonts w:hint="eastAsia" w:ascii="宋体" w:hAnsi="宋体" w:eastAsia="宋体" w:cs="宋体"/>
          <w:b/>
          <w:color w:val="auto"/>
          <w:sz w:val="32"/>
          <w:szCs w:val="32"/>
          <w:highlight w:val="none"/>
        </w:rPr>
      </w:pPr>
    </w:p>
    <w:p w14:paraId="14D6E384">
      <w:pPr>
        <w:pStyle w:val="45"/>
        <w:rPr>
          <w:rFonts w:hint="eastAsia" w:ascii="宋体" w:hAnsi="宋体" w:eastAsia="宋体" w:cs="宋体"/>
          <w:b/>
          <w:color w:val="auto"/>
          <w:sz w:val="32"/>
          <w:szCs w:val="32"/>
          <w:highlight w:val="none"/>
        </w:rPr>
      </w:pPr>
    </w:p>
    <w:p w14:paraId="009E3D24">
      <w:pPr>
        <w:rPr>
          <w:rFonts w:hint="eastAsia" w:ascii="宋体" w:hAnsi="宋体" w:eastAsia="宋体" w:cs="宋体"/>
          <w:b/>
          <w:color w:val="auto"/>
          <w:sz w:val="32"/>
          <w:szCs w:val="32"/>
          <w:highlight w:val="none"/>
        </w:rPr>
      </w:pPr>
    </w:p>
    <w:p w14:paraId="344EAA5F">
      <w:pPr>
        <w:pStyle w:val="11"/>
        <w:rPr>
          <w:rFonts w:hint="eastAsia" w:ascii="宋体" w:hAnsi="宋体" w:eastAsia="宋体" w:cs="宋体"/>
          <w:b/>
          <w:color w:val="auto"/>
          <w:sz w:val="32"/>
          <w:szCs w:val="32"/>
          <w:highlight w:val="none"/>
        </w:rPr>
      </w:pPr>
    </w:p>
    <w:p w14:paraId="76D48418">
      <w:pPr>
        <w:pStyle w:val="45"/>
        <w:rPr>
          <w:rFonts w:hint="eastAsia" w:ascii="宋体" w:hAnsi="宋体" w:eastAsia="宋体" w:cs="宋体"/>
          <w:b/>
          <w:color w:val="auto"/>
          <w:sz w:val="32"/>
          <w:szCs w:val="32"/>
          <w:highlight w:val="none"/>
        </w:rPr>
      </w:pPr>
    </w:p>
    <w:p w14:paraId="6777FC7E">
      <w:pPr>
        <w:rPr>
          <w:rFonts w:hint="eastAsia" w:ascii="宋体" w:hAnsi="宋体" w:eastAsia="宋体" w:cs="宋体"/>
          <w:b/>
          <w:color w:val="auto"/>
          <w:sz w:val="32"/>
          <w:szCs w:val="32"/>
          <w:highlight w:val="none"/>
        </w:rPr>
      </w:pPr>
    </w:p>
    <w:p w14:paraId="4B6AFB86">
      <w:pPr>
        <w:pStyle w:val="11"/>
        <w:rPr>
          <w:rFonts w:hint="eastAsia" w:ascii="宋体" w:hAnsi="宋体" w:eastAsia="宋体" w:cs="宋体"/>
          <w:b/>
          <w:color w:val="auto"/>
          <w:sz w:val="32"/>
          <w:szCs w:val="32"/>
          <w:highlight w:val="none"/>
        </w:rPr>
      </w:pPr>
    </w:p>
    <w:p w14:paraId="07E9BEE3">
      <w:pPr>
        <w:pStyle w:val="45"/>
        <w:rPr>
          <w:rFonts w:hint="eastAsia" w:ascii="宋体" w:hAnsi="宋体" w:eastAsia="宋体" w:cs="宋体"/>
          <w:b/>
          <w:color w:val="auto"/>
          <w:sz w:val="32"/>
          <w:szCs w:val="32"/>
          <w:highlight w:val="none"/>
        </w:rPr>
      </w:pPr>
    </w:p>
    <w:p w14:paraId="4927C2F1">
      <w:pPr>
        <w:rPr>
          <w:rFonts w:hint="eastAsia"/>
        </w:rPr>
      </w:pPr>
    </w:p>
    <w:p w14:paraId="0B94DF0D">
      <w:pPr>
        <w:rPr>
          <w:rFonts w:hint="eastAsia" w:ascii="宋体" w:hAnsi="宋体" w:eastAsia="宋体" w:cs="宋体"/>
          <w:b/>
          <w:color w:val="auto"/>
          <w:sz w:val="32"/>
          <w:szCs w:val="32"/>
          <w:highlight w:val="none"/>
        </w:rPr>
      </w:pPr>
    </w:p>
    <w:p w14:paraId="48537F6D">
      <w:pPr>
        <w:pStyle w:val="11"/>
        <w:rPr>
          <w:rFonts w:hint="eastAsia"/>
        </w:rPr>
      </w:pPr>
    </w:p>
    <w:p w14:paraId="7ED05AA7">
      <w:pPr>
        <w:keepNext w:val="0"/>
        <w:keepLines w:val="0"/>
        <w:pageBreakBefore w:val="0"/>
        <w:widowControl w:val="0"/>
        <w:kinsoku/>
        <w:overflowPunct/>
        <w:bidi w:val="0"/>
        <w:spacing w:line="440" w:lineRule="exact"/>
        <w:jc w:val="center"/>
        <w:outlineLvl w:val="0"/>
        <w:rPr>
          <w:rFonts w:hint="eastAsia" w:ascii="宋体" w:hAnsi="宋体" w:eastAsia="宋体" w:cs="宋体"/>
          <w:b/>
          <w:color w:val="auto"/>
          <w:sz w:val="32"/>
          <w:szCs w:val="32"/>
          <w:highlight w:val="none"/>
        </w:rPr>
      </w:pPr>
      <w:r>
        <w:rPr>
          <w:rFonts w:hint="eastAsia" w:ascii="宋体" w:hAnsi="宋体" w:cs="宋体"/>
          <w:b/>
          <w:color w:val="auto"/>
          <w:sz w:val="32"/>
          <w:szCs w:val="32"/>
          <w:highlight w:val="none"/>
          <w:lang w:eastAsia="zh-CN"/>
        </w:rPr>
        <w:t>响应文件</w:t>
      </w:r>
      <w:r>
        <w:rPr>
          <w:rFonts w:hint="eastAsia" w:ascii="宋体" w:hAnsi="宋体" w:eastAsia="宋体" w:cs="宋体"/>
          <w:b/>
          <w:color w:val="auto"/>
          <w:sz w:val="32"/>
          <w:szCs w:val="32"/>
          <w:highlight w:val="none"/>
        </w:rPr>
        <w:t>的初审</w:t>
      </w:r>
    </w:p>
    <w:p w14:paraId="4F41384E">
      <w:pPr>
        <w:keepNext w:val="0"/>
        <w:keepLines w:val="0"/>
        <w:pageBreakBefore w:val="0"/>
        <w:widowControl w:val="0"/>
        <w:kinsoku/>
        <w:overflowPunct/>
        <w:bidi w:val="0"/>
        <w:spacing w:line="440" w:lineRule="exact"/>
        <w:jc w:val="left"/>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 xml:space="preserve">    </w:t>
      </w:r>
      <w:r>
        <w:rPr>
          <w:rFonts w:hint="eastAsia" w:ascii="宋体" w:hAnsi="宋体" w:cs="宋体"/>
          <w:bCs/>
          <w:color w:val="auto"/>
          <w:szCs w:val="21"/>
          <w:highlight w:val="none"/>
          <w:lang w:eastAsia="zh-CN"/>
        </w:rPr>
        <w:t>响应文件</w:t>
      </w:r>
      <w:r>
        <w:rPr>
          <w:rFonts w:hint="eastAsia" w:ascii="宋体" w:hAnsi="宋体" w:eastAsia="宋体" w:cs="宋体"/>
          <w:bCs/>
          <w:color w:val="auto"/>
          <w:szCs w:val="21"/>
          <w:highlight w:val="none"/>
        </w:rPr>
        <w:t>的初审分为资格性检查和符合性检查。</w:t>
      </w:r>
    </w:p>
    <w:p w14:paraId="35F6028D">
      <w:pPr>
        <w:keepNext w:val="0"/>
        <w:keepLines w:val="0"/>
        <w:pageBreakBefore w:val="0"/>
        <w:widowControl w:val="0"/>
        <w:kinsoku/>
        <w:overflowPunct/>
        <w:bidi w:val="0"/>
        <w:spacing w:line="440" w:lineRule="exact"/>
        <w:jc w:val="left"/>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（一）、资格性检查是指评标委员会依据法律法规和</w:t>
      </w:r>
      <w:r>
        <w:rPr>
          <w:rFonts w:hint="eastAsia" w:ascii="宋体" w:hAnsi="宋体" w:cs="宋体"/>
          <w:bCs/>
          <w:color w:val="auto"/>
          <w:szCs w:val="21"/>
          <w:highlight w:val="none"/>
          <w:lang w:eastAsia="zh-CN"/>
        </w:rPr>
        <w:t>磋商文件</w:t>
      </w:r>
      <w:r>
        <w:rPr>
          <w:rFonts w:hint="eastAsia" w:ascii="宋体" w:hAnsi="宋体" w:eastAsia="宋体" w:cs="宋体"/>
          <w:bCs/>
          <w:color w:val="auto"/>
          <w:szCs w:val="21"/>
          <w:highlight w:val="none"/>
        </w:rPr>
        <w:t>的规定，对</w:t>
      </w:r>
      <w:r>
        <w:rPr>
          <w:rFonts w:hint="eastAsia" w:ascii="宋体" w:hAnsi="宋体" w:cs="宋体"/>
          <w:bCs/>
          <w:color w:val="auto"/>
          <w:szCs w:val="21"/>
          <w:highlight w:val="none"/>
          <w:lang w:eastAsia="zh-CN"/>
        </w:rPr>
        <w:t>响应文件</w:t>
      </w:r>
      <w:r>
        <w:rPr>
          <w:rFonts w:hint="eastAsia" w:ascii="宋体" w:hAnsi="宋体" w:eastAsia="宋体" w:cs="宋体"/>
          <w:bCs/>
          <w:color w:val="auto"/>
          <w:szCs w:val="21"/>
          <w:highlight w:val="none"/>
        </w:rPr>
        <w:t>中的资格证明、投标保证金等进行审查，以确定投标投标人是否具备投标资格。</w:t>
      </w:r>
    </w:p>
    <w:p w14:paraId="0AE78962">
      <w:pPr>
        <w:keepNext w:val="0"/>
        <w:keepLines w:val="0"/>
        <w:pageBreakBefore w:val="0"/>
        <w:widowControl w:val="0"/>
        <w:kinsoku/>
        <w:overflowPunct/>
        <w:bidi w:val="0"/>
        <w:spacing w:line="440" w:lineRule="exact"/>
        <w:jc w:val="left"/>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资格性检查包含如下内容：</w:t>
      </w:r>
    </w:p>
    <w:tbl>
      <w:tblPr>
        <w:tblStyle w:val="37"/>
        <w:tblW w:w="9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4"/>
        <w:gridCol w:w="705"/>
        <w:gridCol w:w="6012"/>
        <w:gridCol w:w="780"/>
        <w:gridCol w:w="699"/>
      </w:tblGrid>
      <w:tr w14:paraId="440A3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244" w:type="dxa"/>
            <w:vMerge w:val="restart"/>
            <w:noWrap w:val="0"/>
            <w:vAlign w:val="center"/>
          </w:tcPr>
          <w:p w14:paraId="6C203C3A">
            <w:pPr>
              <w:keepNext w:val="0"/>
              <w:keepLines w:val="0"/>
              <w:pageBreakBefore w:val="0"/>
              <w:widowControl w:val="0"/>
              <w:kinsoku/>
              <w:overflowPunct/>
              <w:bidi w:val="0"/>
              <w:spacing w:line="440" w:lineRule="exact"/>
              <w:jc w:val="center"/>
              <w:outlineLvl w:val="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项目</w:t>
            </w:r>
          </w:p>
        </w:tc>
        <w:tc>
          <w:tcPr>
            <w:tcW w:w="6717" w:type="dxa"/>
            <w:gridSpan w:val="2"/>
            <w:vMerge w:val="restart"/>
            <w:noWrap w:val="0"/>
            <w:vAlign w:val="center"/>
          </w:tcPr>
          <w:p w14:paraId="712BBAFF">
            <w:pPr>
              <w:keepNext w:val="0"/>
              <w:keepLines w:val="0"/>
              <w:pageBreakBefore w:val="0"/>
              <w:widowControl w:val="0"/>
              <w:kinsoku/>
              <w:overflowPunct/>
              <w:bidi w:val="0"/>
              <w:spacing w:line="440" w:lineRule="exact"/>
              <w:jc w:val="center"/>
              <w:outlineLvl w:val="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评审内容</w:t>
            </w:r>
          </w:p>
        </w:tc>
        <w:tc>
          <w:tcPr>
            <w:tcW w:w="1479" w:type="dxa"/>
            <w:gridSpan w:val="2"/>
            <w:noWrap w:val="0"/>
            <w:vAlign w:val="center"/>
          </w:tcPr>
          <w:p w14:paraId="261F76AC">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评审</w:t>
            </w:r>
          </w:p>
          <w:p w14:paraId="771117BD">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意见</w:t>
            </w:r>
          </w:p>
        </w:tc>
      </w:tr>
      <w:tr w14:paraId="069F3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244" w:type="dxa"/>
            <w:vMerge w:val="continue"/>
            <w:noWrap w:val="0"/>
            <w:vAlign w:val="center"/>
          </w:tcPr>
          <w:p w14:paraId="4BF8CA1D">
            <w:pPr>
              <w:keepNext w:val="0"/>
              <w:keepLines w:val="0"/>
              <w:pageBreakBefore w:val="0"/>
              <w:widowControl w:val="0"/>
              <w:kinsoku/>
              <w:overflowPunct/>
              <w:bidi w:val="0"/>
              <w:spacing w:line="440" w:lineRule="exact"/>
              <w:jc w:val="left"/>
              <w:outlineLvl w:val="0"/>
              <w:rPr>
                <w:rFonts w:hint="eastAsia" w:ascii="宋体" w:hAnsi="宋体" w:eastAsia="宋体" w:cs="宋体"/>
                <w:bCs/>
                <w:color w:val="auto"/>
                <w:szCs w:val="21"/>
                <w:highlight w:val="none"/>
              </w:rPr>
            </w:pPr>
          </w:p>
        </w:tc>
        <w:tc>
          <w:tcPr>
            <w:tcW w:w="6717" w:type="dxa"/>
            <w:gridSpan w:val="2"/>
            <w:vMerge w:val="continue"/>
            <w:noWrap w:val="0"/>
            <w:vAlign w:val="top"/>
          </w:tcPr>
          <w:p w14:paraId="68D3104B">
            <w:pPr>
              <w:keepNext w:val="0"/>
              <w:keepLines w:val="0"/>
              <w:pageBreakBefore w:val="0"/>
              <w:widowControl w:val="0"/>
              <w:kinsoku/>
              <w:overflowPunct/>
              <w:bidi w:val="0"/>
              <w:spacing w:line="440" w:lineRule="exact"/>
              <w:jc w:val="left"/>
              <w:outlineLvl w:val="0"/>
              <w:rPr>
                <w:rFonts w:hint="eastAsia" w:ascii="宋体" w:hAnsi="宋体" w:eastAsia="宋体" w:cs="宋体"/>
                <w:bCs/>
                <w:color w:val="auto"/>
                <w:szCs w:val="21"/>
                <w:highlight w:val="none"/>
              </w:rPr>
            </w:pPr>
          </w:p>
        </w:tc>
        <w:tc>
          <w:tcPr>
            <w:tcW w:w="780" w:type="dxa"/>
            <w:noWrap w:val="0"/>
            <w:vAlign w:val="center"/>
          </w:tcPr>
          <w:p w14:paraId="25E7074A">
            <w:pPr>
              <w:keepNext w:val="0"/>
              <w:keepLines w:val="0"/>
              <w:pageBreakBefore w:val="0"/>
              <w:widowControl w:val="0"/>
              <w:kinsoku/>
              <w:overflowPunct/>
              <w:bidi w:val="0"/>
              <w:spacing w:line="440" w:lineRule="exact"/>
              <w:jc w:val="center"/>
              <w:outlineLvl w:val="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是</w:t>
            </w:r>
          </w:p>
        </w:tc>
        <w:tc>
          <w:tcPr>
            <w:tcW w:w="699" w:type="dxa"/>
            <w:noWrap w:val="0"/>
            <w:vAlign w:val="center"/>
          </w:tcPr>
          <w:p w14:paraId="4B8899C9">
            <w:pPr>
              <w:keepNext w:val="0"/>
              <w:keepLines w:val="0"/>
              <w:pageBreakBefore w:val="0"/>
              <w:widowControl w:val="0"/>
              <w:kinsoku/>
              <w:overflowPunct/>
              <w:bidi w:val="0"/>
              <w:spacing w:line="440" w:lineRule="exact"/>
              <w:jc w:val="center"/>
              <w:outlineLvl w:val="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否</w:t>
            </w:r>
          </w:p>
        </w:tc>
      </w:tr>
      <w:tr w14:paraId="296D7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244" w:type="dxa"/>
            <w:vMerge w:val="restart"/>
            <w:noWrap w:val="0"/>
            <w:vAlign w:val="center"/>
          </w:tcPr>
          <w:p w14:paraId="709CE193">
            <w:pPr>
              <w:keepNext w:val="0"/>
              <w:keepLines w:val="0"/>
              <w:pageBreakBefore w:val="0"/>
              <w:widowControl w:val="0"/>
              <w:kinsoku/>
              <w:overflowPunct/>
              <w:bidi w:val="0"/>
              <w:spacing w:line="440" w:lineRule="exact"/>
              <w:jc w:val="center"/>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审查标准</w:t>
            </w:r>
          </w:p>
        </w:tc>
        <w:tc>
          <w:tcPr>
            <w:tcW w:w="705" w:type="dxa"/>
            <w:noWrap w:val="0"/>
            <w:vAlign w:val="center"/>
          </w:tcPr>
          <w:p w14:paraId="2810B27E">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w:t>
            </w:r>
          </w:p>
        </w:tc>
        <w:tc>
          <w:tcPr>
            <w:tcW w:w="6012" w:type="dxa"/>
            <w:noWrap w:val="0"/>
            <w:vAlign w:val="center"/>
          </w:tcPr>
          <w:p w14:paraId="48C5F95B">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0"/>
              <w:rPr>
                <w:rFonts w:hint="eastAsia" w:ascii="宋体" w:hAnsi="宋体" w:eastAsia="宋体" w:cs="宋体"/>
                <w:bCs/>
                <w:color w:val="auto"/>
                <w:szCs w:val="21"/>
                <w:highlight w:val="none"/>
                <w:lang w:val="en-US" w:eastAsia="zh-CN"/>
              </w:rPr>
            </w:pPr>
            <w:r>
              <w:rPr>
                <w:rFonts w:hint="eastAsia" w:ascii="宋体" w:hAnsi="宋体" w:cs="宋体"/>
                <w:bCs/>
                <w:color w:val="auto"/>
                <w:szCs w:val="21"/>
                <w:highlight w:val="none"/>
                <w:lang w:val="en-US" w:eastAsia="zh-CN"/>
              </w:rPr>
              <w:t>单位三证合一营业执照</w:t>
            </w:r>
          </w:p>
        </w:tc>
        <w:tc>
          <w:tcPr>
            <w:tcW w:w="780" w:type="dxa"/>
            <w:noWrap w:val="0"/>
            <w:vAlign w:val="top"/>
          </w:tcPr>
          <w:p w14:paraId="4DADFB1C">
            <w:pPr>
              <w:keepNext w:val="0"/>
              <w:keepLines w:val="0"/>
              <w:pageBreakBefore w:val="0"/>
              <w:widowControl w:val="0"/>
              <w:kinsoku/>
              <w:overflowPunct/>
              <w:bidi w:val="0"/>
              <w:spacing w:line="440" w:lineRule="exact"/>
              <w:jc w:val="left"/>
              <w:outlineLvl w:val="0"/>
              <w:rPr>
                <w:rFonts w:hint="eastAsia" w:ascii="宋体" w:hAnsi="宋体" w:eastAsia="宋体" w:cs="宋体"/>
                <w:bCs/>
                <w:color w:val="auto"/>
                <w:szCs w:val="21"/>
                <w:highlight w:val="none"/>
              </w:rPr>
            </w:pPr>
          </w:p>
        </w:tc>
        <w:tc>
          <w:tcPr>
            <w:tcW w:w="699" w:type="dxa"/>
            <w:noWrap w:val="0"/>
            <w:vAlign w:val="top"/>
          </w:tcPr>
          <w:p w14:paraId="0AD85793">
            <w:pPr>
              <w:keepNext w:val="0"/>
              <w:keepLines w:val="0"/>
              <w:pageBreakBefore w:val="0"/>
              <w:widowControl w:val="0"/>
              <w:kinsoku/>
              <w:overflowPunct/>
              <w:bidi w:val="0"/>
              <w:spacing w:line="440" w:lineRule="exact"/>
              <w:jc w:val="left"/>
              <w:outlineLvl w:val="0"/>
              <w:rPr>
                <w:rFonts w:hint="eastAsia" w:ascii="宋体" w:hAnsi="宋体" w:eastAsia="宋体" w:cs="宋体"/>
                <w:bCs/>
                <w:color w:val="auto"/>
                <w:szCs w:val="21"/>
                <w:highlight w:val="none"/>
              </w:rPr>
            </w:pPr>
          </w:p>
        </w:tc>
      </w:tr>
      <w:tr w14:paraId="71CA4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244" w:type="dxa"/>
            <w:vMerge w:val="continue"/>
            <w:noWrap w:val="0"/>
            <w:vAlign w:val="center"/>
          </w:tcPr>
          <w:p w14:paraId="23885A24">
            <w:pPr>
              <w:keepNext w:val="0"/>
              <w:keepLines w:val="0"/>
              <w:pageBreakBefore w:val="0"/>
              <w:widowControl w:val="0"/>
              <w:kinsoku/>
              <w:overflowPunct/>
              <w:bidi w:val="0"/>
              <w:spacing w:line="440" w:lineRule="exact"/>
              <w:jc w:val="left"/>
              <w:outlineLvl w:val="0"/>
              <w:rPr>
                <w:rFonts w:hint="eastAsia" w:ascii="宋体" w:hAnsi="宋体" w:eastAsia="宋体" w:cs="宋体"/>
                <w:bCs/>
                <w:color w:val="auto"/>
                <w:szCs w:val="21"/>
                <w:highlight w:val="none"/>
              </w:rPr>
            </w:pPr>
          </w:p>
        </w:tc>
        <w:tc>
          <w:tcPr>
            <w:tcW w:w="705" w:type="dxa"/>
            <w:shd w:val="clear" w:color="auto" w:fill="auto"/>
            <w:noWrap w:val="0"/>
            <w:vAlign w:val="center"/>
          </w:tcPr>
          <w:p w14:paraId="447BFF00">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Cs w:val="21"/>
                <w:highlight w:val="none"/>
              </w:rPr>
              <w:t>2</w:t>
            </w:r>
          </w:p>
        </w:tc>
        <w:tc>
          <w:tcPr>
            <w:tcW w:w="6012" w:type="dxa"/>
            <w:noWrap w:val="0"/>
            <w:vAlign w:val="center"/>
          </w:tcPr>
          <w:p w14:paraId="24B90DB5">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0"/>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法人本人投标的需提供法定代表人身份证明书；被授权委托人需提供法人授权委托书</w:t>
            </w:r>
          </w:p>
        </w:tc>
        <w:tc>
          <w:tcPr>
            <w:tcW w:w="780" w:type="dxa"/>
            <w:noWrap w:val="0"/>
            <w:vAlign w:val="top"/>
          </w:tcPr>
          <w:p w14:paraId="7EADDB84">
            <w:pPr>
              <w:keepNext w:val="0"/>
              <w:keepLines w:val="0"/>
              <w:pageBreakBefore w:val="0"/>
              <w:widowControl w:val="0"/>
              <w:kinsoku/>
              <w:overflowPunct/>
              <w:bidi w:val="0"/>
              <w:spacing w:line="440" w:lineRule="exact"/>
              <w:jc w:val="left"/>
              <w:outlineLvl w:val="0"/>
              <w:rPr>
                <w:rFonts w:hint="eastAsia" w:ascii="宋体" w:hAnsi="宋体" w:eastAsia="宋体" w:cs="宋体"/>
                <w:bCs/>
                <w:color w:val="auto"/>
                <w:szCs w:val="21"/>
                <w:highlight w:val="none"/>
              </w:rPr>
            </w:pPr>
          </w:p>
        </w:tc>
        <w:tc>
          <w:tcPr>
            <w:tcW w:w="699" w:type="dxa"/>
            <w:noWrap w:val="0"/>
            <w:vAlign w:val="top"/>
          </w:tcPr>
          <w:p w14:paraId="6F84DCFD">
            <w:pPr>
              <w:keepNext w:val="0"/>
              <w:keepLines w:val="0"/>
              <w:pageBreakBefore w:val="0"/>
              <w:widowControl w:val="0"/>
              <w:kinsoku/>
              <w:overflowPunct/>
              <w:bidi w:val="0"/>
              <w:spacing w:line="440" w:lineRule="exact"/>
              <w:jc w:val="left"/>
              <w:outlineLvl w:val="0"/>
              <w:rPr>
                <w:rFonts w:hint="eastAsia" w:ascii="宋体" w:hAnsi="宋体" w:eastAsia="宋体" w:cs="宋体"/>
                <w:bCs/>
                <w:color w:val="auto"/>
                <w:szCs w:val="21"/>
                <w:highlight w:val="none"/>
              </w:rPr>
            </w:pPr>
          </w:p>
        </w:tc>
      </w:tr>
      <w:tr w14:paraId="186FB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244" w:type="dxa"/>
            <w:vMerge w:val="continue"/>
            <w:noWrap w:val="0"/>
            <w:vAlign w:val="center"/>
          </w:tcPr>
          <w:p w14:paraId="7B3E1DB3">
            <w:pPr>
              <w:keepNext w:val="0"/>
              <w:keepLines w:val="0"/>
              <w:pageBreakBefore w:val="0"/>
              <w:widowControl w:val="0"/>
              <w:kinsoku/>
              <w:overflowPunct/>
              <w:bidi w:val="0"/>
              <w:spacing w:line="440" w:lineRule="exact"/>
              <w:jc w:val="left"/>
              <w:outlineLvl w:val="0"/>
              <w:rPr>
                <w:rFonts w:hint="eastAsia" w:ascii="宋体" w:hAnsi="宋体" w:eastAsia="宋体" w:cs="宋体"/>
                <w:bCs/>
                <w:color w:val="auto"/>
                <w:szCs w:val="21"/>
                <w:highlight w:val="none"/>
              </w:rPr>
            </w:pPr>
          </w:p>
        </w:tc>
        <w:tc>
          <w:tcPr>
            <w:tcW w:w="705" w:type="dxa"/>
            <w:shd w:val="clear" w:color="auto" w:fill="auto"/>
            <w:noWrap w:val="0"/>
            <w:vAlign w:val="center"/>
          </w:tcPr>
          <w:p w14:paraId="249570AD">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Cs w:val="21"/>
                <w:highlight w:val="none"/>
                <w:lang w:val="en-US" w:eastAsia="zh-CN"/>
              </w:rPr>
              <w:t>3</w:t>
            </w:r>
          </w:p>
        </w:tc>
        <w:tc>
          <w:tcPr>
            <w:tcW w:w="6012" w:type="dxa"/>
            <w:noWrap w:val="0"/>
            <w:vAlign w:val="center"/>
          </w:tcPr>
          <w:p w14:paraId="251F5268">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0"/>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提供</w:t>
            </w:r>
            <w:r>
              <w:rPr>
                <w:rFonts w:hint="eastAsia" w:ascii="宋体" w:hAnsi="宋体" w:cs="宋体"/>
                <w:bCs/>
                <w:color w:val="auto"/>
                <w:szCs w:val="21"/>
                <w:highlight w:val="none"/>
                <w:lang w:val="en-US" w:eastAsia="zh-CN"/>
              </w:rPr>
              <w:t>2024年度或2025年度</w:t>
            </w:r>
            <w:r>
              <w:rPr>
                <w:rFonts w:hint="eastAsia" w:ascii="宋体" w:hAnsi="宋体" w:eastAsia="宋体" w:cs="宋体"/>
                <w:bCs/>
                <w:color w:val="auto"/>
                <w:szCs w:val="21"/>
                <w:highlight w:val="none"/>
                <w:lang w:val="en-US" w:eastAsia="zh-CN"/>
              </w:rPr>
              <w:t>经会计事务所出具财务审计报告；（</w:t>
            </w:r>
            <w:r>
              <w:rPr>
                <w:rFonts w:hint="eastAsia" w:ascii="宋体" w:hAnsi="宋体" w:cs="宋体"/>
                <w:bCs/>
                <w:color w:val="auto"/>
                <w:szCs w:val="21"/>
                <w:highlight w:val="none"/>
                <w:lang w:val="en-US" w:eastAsia="zh-CN"/>
              </w:rPr>
              <w:t>2026年新成立的公司须提供近三个月任意一个月的银行资信证明</w:t>
            </w:r>
            <w:r>
              <w:rPr>
                <w:rFonts w:hint="eastAsia" w:ascii="宋体" w:hAnsi="宋体" w:eastAsia="宋体" w:cs="宋体"/>
                <w:bCs/>
                <w:color w:val="auto"/>
                <w:szCs w:val="21"/>
                <w:highlight w:val="none"/>
                <w:lang w:val="en-US" w:eastAsia="zh-CN"/>
              </w:rPr>
              <w:t>）</w:t>
            </w:r>
          </w:p>
        </w:tc>
        <w:tc>
          <w:tcPr>
            <w:tcW w:w="780" w:type="dxa"/>
            <w:noWrap w:val="0"/>
            <w:vAlign w:val="top"/>
          </w:tcPr>
          <w:p w14:paraId="7A0399EB">
            <w:pPr>
              <w:keepNext w:val="0"/>
              <w:keepLines w:val="0"/>
              <w:pageBreakBefore w:val="0"/>
              <w:widowControl w:val="0"/>
              <w:kinsoku/>
              <w:overflowPunct/>
              <w:bidi w:val="0"/>
              <w:spacing w:line="440" w:lineRule="exact"/>
              <w:jc w:val="left"/>
              <w:outlineLvl w:val="0"/>
              <w:rPr>
                <w:rFonts w:hint="eastAsia" w:ascii="宋体" w:hAnsi="宋体" w:eastAsia="宋体" w:cs="宋体"/>
                <w:bCs/>
                <w:color w:val="auto"/>
                <w:szCs w:val="21"/>
                <w:highlight w:val="none"/>
              </w:rPr>
            </w:pPr>
          </w:p>
        </w:tc>
        <w:tc>
          <w:tcPr>
            <w:tcW w:w="699" w:type="dxa"/>
            <w:noWrap w:val="0"/>
            <w:vAlign w:val="top"/>
          </w:tcPr>
          <w:p w14:paraId="5CDDC9DA">
            <w:pPr>
              <w:keepNext w:val="0"/>
              <w:keepLines w:val="0"/>
              <w:pageBreakBefore w:val="0"/>
              <w:widowControl w:val="0"/>
              <w:kinsoku/>
              <w:overflowPunct/>
              <w:bidi w:val="0"/>
              <w:spacing w:line="440" w:lineRule="exact"/>
              <w:jc w:val="left"/>
              <w:outlineLvl w:val="0"/>
              <w:rPr>
                <w:rFonts w:hint="eastAsia" w:ascii="宋体" w:hAnsi="宋体" w:eastAsia="宋体" w:cs="宋体"/>
                <w:bCs/>
                <w:color w:val="auto"/>
                <w:szCs w:val="21"/>
                <w:highlight w:val="none"/>
              </w:rPr>
            </w:pPr>
          </w:p>
        </w:tc>
      </w:tr>
      <w:tr w14:paraId="7229B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244" w:type="dxa"/>
            <w:vMerge w:val="continue"/>
            <w:noWrap w:val="0"/>
            <w:vAlign w:val="center"/>
          </w:tcPr>
          <w:p w14:paraId="4AAFCD7D">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0"/>
              <w:rPr>
                <w:rFonts w:hint="eastAsia" w:ascii="宋体" w:hAnsi="宋体" w:eastAsia="宋体" w:cs="宋体"/>
                <w:bCs/>
                <w:color w:val="auto"/>
                <w:szCs w:val="21"/>
                <w:highlight w:val="none"/>
                <w:lang w:val="en-US" w:eastAsia="zh-CN"/>
              </w:rPr>
            </w:pPr>
          </w:p>
        </w:tc>
        <w:tc>
          <w:tcPr>
            <w:tcW w:w="705" w:type="dxa"/>
            <w:shd w:val="clear" w:color="auto" w:fill="auto"/>
            <w:noWrap w:val="0"/>
            <w:vAlign w:val="center"/>
          </w:tcPr>
          <w:p w14:paraId="735927DB">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Cs w:val="21"/>
                <w:highlight w:val="none"/>
                <w:lang w:val="en-US" w:eastAsia="zh-CN"/>
              </w:rPr>
              <w:t>4</w:t>
            </w:r>
          </w:p>
        </w:tc>
        <w:tc>
          <w:tcPr>
            <w:tcW w:w="6012" w:type="dxa"/>
            <w:noWrap w:val="0"/>
            <w:vAlign w:val="center"/>
          </w:tcPr>
          <w:p w14:paraId="0989C518">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0"/>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依法缴纳近六个月中任意一个月的社保凭证；依法缴纳近六个月任意一个月的税收良好记录证明（零申报需加盖税务机关章、无拖欠税收证明需加盖税务机关章、完税证明为非社保缴纳明细）</w:t>
            </w:r>
          </w:p>
        </w:tc>
        <w:tc>
          <w:tcPr>
            <w:tcW w:w="780" w:type="dxa"/>
            <w:noWrap w:val="0"/>
            <w:vAlign w:val="top"/>
          </w:tcPr>
          <w:p w14:paraId="20B9861C">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0"/>
              <w:rPr>
                <w:rFonts w:hint="eastAsia" w:ascii="宋体" w:hAnsi="宋体" w:eastAsia="宋体" w:cs="宋体"/>
                <w:bCs/>
                <w:color w:val="auto"/>
                <w:szCs w:val="21"/>
                <w:highlight w:val="none"/>
                <w:lang w:val="en-US" w:eastAsia="zh-CN"/>
              </w:rPr>
            </w:pPr>
          </w:p>
        </w:tc>
        <w:tc>
          <w:tcPr>
            <w:tcW w:w="699" w:type="dxa"/>
            <w:noWrap w:val="0"/>
            <w:vAlign w:val="top"/>
          </w:tcPr>
          <w:p w14:paraId="5729D220">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0"/>
              <w:rPr>
                <w:rFonts w:hint="eastAsia" w:ascii="宋体" w:hAnsi="宋体" w:eastAsia="宋体" w:cs="宋体"/>
                <w:bCs/>
                <w:color w:val="auto"/>
                <w:szCs w:val="21"/>
                <w:highlight w:val="none"/>
                <w:lang w:val="en-US" w:eastAsia="zh-CN"/>
              </w:rPr>
            </w:pPr>
          </w:p>
        </w:tc>
      </w:tr>
      <w:tr w14:paraId="57637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244" w:type="dxa"/>
            <w:vMerge w:val="continue"/>
            <w:noWrap w:val="0"/>
            <w:vAlign w:val="center"/>
          </w:tcPr>
          <w:p w14:paraId="06F2885A">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0"/>
              <w:rPr>
                <w:rFonts w:hint="eastAsia" w:ascii="宋体" w:hAnsi="宋体" w:eastAsia="宋体" w:cs="宋体"/>
                <w:bCs/>
                <w:color w:val="auto"/>
                <w:szCs w:val="21"/>
                <w:highlight w:val="none"/>
                <w:lang w:val="en-US" w:eastAsia="zh-CN"/>
              </w:rPr>
            </w:pPr>
          </w:p>
        </w:tc>
        <w:tc>
          <w:tcPr>
            <w:tcW w:w="705" w:type="dxa"/>
            <w:shd w:val="clear" w:color="auto" w:fill="auto"/>
            <w:noWrap w:val="0"/>
            <w:vAlign w:val="center"/>
          </w:tcPr>
          <w:p w14:paraId="7DA3A63D">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5</w:t>
            </w:r>
          </w:p>
        </w:tc>
        <w:tc>
          <w:tcPr>
            <w:tcW w:w="6012" w:type="dxa"/>
            <w:noWrap w:val="0"/>
            <w:vAlign w:val="center"/>
          </w:tcPr>
          <w:p w14:paraId="0916C900">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0"/>
              <w:rPr>
                <w:rFonts w:hint="eastAsia" w:ascii="宋体" w:hAnsi="宋体" w:eastAsia="宋体" w:cs="宋体"/>
                <w:bCs/>
                <w:color w:val="auto"/>
                <w:szCs w:val="21"/>
                <w:highlight w:val="none"/>
                <w:lang w:val="en-US" w:eastAsia="zh-CN"/>
              </w:rPr>
            </w:pPr>
            <w:r>
              <w:rPr>
                <w:rFonts w:hint="eastAsia" w:ascii="宋体" w:hAnsi="宋体" w:cs="宋体"/>
                <w:bCs/>
                <w:color w:val="auto"/>
                <w:szCs w:val="21"/>
                <w:highlight w:val="none"/>
                <w:lang w:val="en-US" w:eastAsia="zh-CN"/>
              </w:rPr>
              <w:t>未被“信用中国”网站列入严重失信、经营异常，“中国政府采购网”网站列入政府采购严重违法失信行为信息记录名单（处罚期限尚未届满的）的；“国家企业信用信息公示系统”被列入经营异常名录信息、列入严重违法失信企业名单（黑名单）的企业</w:t>
            </w:r>
            <w:r>
              <w:rPr>
                <w:rFonts w:hint="eastAsia" w:ascii="宋体" w:hAnsi="宋体" w:eastAsia="宋体" w:cs="宋体"/>
                <w:bCs/>
                <w:color w:val="auto"/>
                <w:szCs w:val="21"/>
                <w:highlight w:val="none"/>
                <w:lang w:val="en-US" w:eastAsia="zh-CN"/>
              </w:rPr>
              <w:t>，附网站截图或报告</w:t>
            </w:r>
          </w:p>
        </w:tc>
        <w:tc>
          <w:tcPr>
            <w:tcW w:w="780" w:type="dxa"/>
            <w:noWrap w:val="0"/>
            <w:vAlign w:val="top"/>
          </w:tcPr>
          <w:p w14:paraId="73EC899E">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0"/>
              <w:rPr>
                <w:rFonts w:hint="eastAsia" w:ascii="宋体" w:hAnsi="宋体" w:eastAsia="宋体" w:cs="宋体"/>
                <w:bCs/>
                <w:color w:val="auto"/>
                <w:szCs w:val="21"/>
                <w:highlight w:val="none"/>
                <w:lang w:val="en-US" w:eastAsia="zh-CN"/>
              </w:rPr>
            </w:pPr>
          </w:p>
        </w:tc>
        <w:tc>
          <w:tcPr>
            <w:tcW w:w="699" w:type="dxa"/>
            <w:noWrap w:val="0"/>
            <w:vAlign w:val="top"/>
          </w:tcPr>
          <w:p w14:paraId="51FEB403">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0"/>
              <w:rPr>
                <w:rFonts w:hint="eastAsia" w:ascii="宋体" w:hAnsi="宋体" w:eastAsia="宋体" w:cs="宋体"/>
                <w:bCs/>
                <w:color w:val="auto"/>
                <w:szCs w:val="21"/>
                <w:highlight w:val="none"/>
                <w:lang w:val="en-US" w:eastAsia="zh-CN"/>
              </w:rPr>
            </w:pPr>
          </w:p>
        </w:tc>
      </w:tr>
      <w:tr w14:paraId="5F2C9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244" w:type="dxa"/>
            <w:vMerge w:val="continue"/>
            <w:noWrap w:val="0"/>
            <w:vAlign w:val="center"/>
          </w:tcPr>
          <w:p w14:paraId="012FE6CF">
            <w:pPr>
              <w:keepNext w:val="0"/>
              <w:keepLines w:val="0"/>
              <w:pageBreakBefore w:val="0"/>
              <w:widowControl w:val="0"/>
              <w:kinsoku/>
              <w:overflowPunct/>
              <w:bidi w:val="0"/>
              <w:spacing w:line="440" w:lineRule="exact"/>
              <w:jc w:val="left"/>
              <w:outlineLvl w:val="0"/>
              <w:rPr>
                <w:rFonts w:hint="eastAsia" w:ascii="宋体" w:hAnsi="宋体" w:eastAsia="宋体" w:cs="宋体"/>
                <w:bCs/>
                <w:color w:val="auto"/>
                <w:szCs w:val="21"/>
                <w:highlight w:val="none"/>
              </w:rPr>
            </w:pPr>
          </w:p>
        </w:tc>
        <w:tc>
          <w:tcPr>
            <w:tcW w:w="705" w:type="dxa"/>
            <w:shd w:val="clear" w:color="auto" w:fill="auto"/>
            <w:noWrap w:val="0"/>
            <w:vAlign w:val="center"/>
          </w:tcPr>
          <w:p w14:paraId="23D0C094">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6</w:t>
            </w:r>
          </w:p>
        </w:tc>
        <w:tc>
          <w:tcPr>
            <w:tcW w:w="6012" w:type="dxa"/>
            <w:noWrap w:val="0"/>
            <w:vAlign w:val="center"/>
          </w:tcPr>
          <w:p w14:paraId="349E7BC8">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0"/>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提供《反商业贿赂承诺书》</w:t>
            </w:r>
          </w:p>
        </w:tc>
        <w:tc>
          <w:tcPr>
            <w:tcW w:w="780" w:type="dxa"/>
            <w:noWrap w:val="0"/>
            <w:vAlign w:val="top"/>
          </w:tcPr>
          <w:p w14:paraId="732829B9">
            <w:pPr>
              <w:keepNext w:val="0"/>
              <w:keepLines w:val="0"/>
              <w:pageBreakBefore w:val="0"/>
              <w:widowControl w:val="0"/>
              <w:kinsoku/>
              <w:overflowPunct/>
              <w:bidi w:val="0"/>
              <w:spacing w:line="440" w:lineRule="exact"/>
              <w:jc w:val="left"/>
              <w:outlineLvl w:val="0"/>
              <w:rPr>
                <w:rFonts w:hint="eastAsia" w:ascii="宋体" w:hAnsi="宋体" w:eastAsia="宋体" w:cs="宋体"/>
                <w:bCs/>
                <w:color w:val="auto"/>
                <w:szCs w:val="21"/>
                <w:highlight w:val="none"/>
              </w:rPr>
            </w:pPr>
          </w:p>
        </w:tc>
        <w:tc>
          <w:tcPr>
            <w:tcW w:w="699" w:type="dxa"/>
            <w:noWrap w:val="0"/>
            <w:vAlign w:val="top"/>
          </w:tcPr>
          <w:p w14:paraId="61ADA173">
            <w:pPr>
              <w:keepNext w:val="0"/>
              <w:keepLines w:val="0"/>
              <w:pageBreakBefore w:val="0"/>
              <w:widowControl w:val="0"/>
              <w:kinsoku/>
              <w:overflowPunct/>
              <w:bidi w:val="0"/>
              <w:spacing w:line="440" w:lineRule="exact"/>
              <w:jc w:val="left"/>
              <w:outlineLvl w:val="0"/>
              <w:rPr>
                <w:rFonts w:hint="eastAsia" w:ascii="宋体" w:hAnsi="宋体" w:eastAsia="宋体" w:cs="宋体"/>
                <w:bCs/>
                <w:color w:val="auto"/>
                <w:szCs w:val="21"/>
                <w:highlight w:val="none"/>
              </w:rPr>
            </w:pPr>
          </w:p>
        </w:tc>
      </w:tr>
      <w:tr w14:paraId="04C2A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244" w:type="dxa"/>
            <w:vMerge w:val="continue"/>
            <w:noWrap w:val="0"/>
            <w:vAlign w:val="center"/>
          </w:tcPr>
          <w:p w14:paraId="7088F550">
            <w:pPr>
              <w:keepNext w:val="0"/>
              <w:keepLines w:val="0"/>
              <w:pageBreakBefore w:val="0"/>
              <w:widowControl w:val="0"/>
              <w:kinsoku/>
              <w:overflowPunct/>
              <w:bidi w:val="0"/>
              <w:spacing w:line="440" w:lineRule="exact"/>
              <w:jc w:val="left"/>
              <w:outlineLvl w:val="0"/>
              <w:rPr>
                <w:rFonts w:hint="eastAsia" w:ascii="宋体" w:hAnsi="宋体" w:eastAsia="宋体" w:cs="宋体"/>
                <w:bCs/>
                <w:color w:val="auto"/>
                <w:szCs w:val="21"/>
                <w:highlight w:val="none"/>
              </w:rPr>
            </w:pPr>
          </w:p>
        </w:tc>
        <w:tc>
          <w:tcPr>
            <w:tcW w:w="705" w:type="dxa"/>
            <w:shd w:val="clear" w:color="auto" w:fill="auto"/>
            <w:noWrap w:val="0"/>
            <w:vAlign w:val="center"/>
          </w:tcPr>
          <w:p w14:paraId="0545F50F">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7</w:t>
            </w:r>
          </w:p>
        </w:tc>
        <w:tc>
          <w:tcPr>
            <w:tcW w:w="6012" w:type="dxa"/>
            <w:noWrap w:val="0"/>
            <w:vAlign w:val="center"/>
          </w:tcPr>
          <w:p w14:paraId="0E488D8F">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0"/>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参加政府采购活动近3年内，在经营活动中没有重大违法记录的书面声明</w:t>
            </w:r>
          </w:p>
        </w:tc>
        <w:tc>
          <w:tcPr>
            <w:tcW w:w="780" w:type="dxa"/>
            <w:noWrap w:val="0"/>
            <w:vAlign w:val="top"/>
          </w:tcPr>
          <w:p w14:paraId="2CB0CD36">
            <w:pPr>
              <w:keepNext w:val="0"/>
              <w:keepLines w:val="0"/>
              <w:pageBreakBefore w:val="0"/>
              <w:widowControl w:val="0"/>
              <w:kinsoku/>
              <w:overflowPunct/>
              <w:bidi w:val="0"/>
              <w:spacing w:line="440" w:lineRule="exact"/>
              <w:jc w:val="left"/>
              <w:outlineLvl w:val="0"/>
              <w:rPr>
                <w:rFonts w:hint="eastAsia" w:ascii="宋体" w:hAnsi="宋体" w:eastAsia="宋体" w:cs="宋体"/>
                <w:bCs/>
                <w:color w:val="auto"/>
                <w:szCs w:val="21"/>
                <w:highlight w:val="none"/>
              </w:rPr>
            </w:pPr>
          </w:p>
        </w:tc>
        <w:tc>
          <w:tcPr>
            <w:tcW w:w="699" w:type="dxa"/>
            <w:noWrap w:val="0"/>
            <w:vAlign w:val="top"/>
          </w:tcPr>
          <w:p w14:paraId="777F2C3F">
            <w:pPr>
              <w:keepNext w:val="0"/>
              <w:keepLines w:val="0"/>
              <w:pageBreakBefore w:val="0"/>
              <w:widowControl w:val="0"/>
              <w:kinsoku/>
              <w:overflowPunct/>
              <w:bidi w:val="0"/>
              <w:spacing w:line="440" w:lineRule="exact"/>
              <w:jc w:val="left"/>
              <w:outlineLvl w:val="0"/>
              <w:rPr>
                <w:rFonts w:hint="eastAsia" w:ascii="宋体" w:hAnsi="宋体" w:eastAsia="宋体" w:cs="宋体"/>
                <w:bCs/>
                <w:color w:val="auto"/>
                <w:szCs w:val="21"/>
                <w:highlight w:val="none"/>
              </w:rPr>
            </w:pPr>
          </w:p>
        </w:tc>
      </w:tr>
      <w:tr w14:paraId="2E856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244" w:type="dxa"/>
            <w:vMerge w:val="continue"/>
            <w:noWrap w:val="0"/>
            <w:vAlign w:val="center"/>
          </w:tcPr>
          <w:p w14:paraId="15E480B2">
            <w:pPr>
              <w:keepNext w:val="0"/>
              <w:keepLines w:val="0"/>
              <w:pageBreakBefore w:val="0"/>
              <w:widowControl w:val="0"/>
              <w:kinsoku/>
              <w:overflowPunct/>
              <w:bidi w:val="0"/>
              <w:spacing w:line="440" w:lineRule="exact"/>
              <w:jc w:val="left"/>
              <w:outlineLvl w:val="0"/>
              <w:rPr>
                <w:rFonts w:hint="eastAsia" w:ascii="宋体" w:hAnsi="宋体" w:eastAsia="宋体" w:cs="宋体"/>
                <w:bCs/>
                <w:color w:val="auto"/>
                <w:szCs w:val="21"/>
                <w:highlight w:val="none"/>
              </w:rPr>
            </w:pPr>
          </w:p>
        </w:tc>
        <w:tc>
          <w:tcPr>
            <w:tcW w:w="705" w:type="dxa"/>
            <w:shd w:val="clear" w:color="auto" w:fill="auto"/>
            <w:noWrap w:val="0"/>
            <w:vAlign w:val="center"/>
          </w:tcPr>
          <w:p w14:paraId="1081271C">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8</w:t>
            </w:r>
          </w:p>
        </w:tc>
        <w:tc>
          <w:tcPr>
            <w:tcW w:w="6012" w:type="dxa"/>
            <w:noWrap w:val="0"/>
            <w:vAlign w:val="center"/>
          </w:tcPr>
          <w:p w14:paraId="277EB41B">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0"/>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投标保证金缴纳凭证或投标担保函</w:t>
            </w:r>
          </w:p>
        </w:tc>
        <w:tc>
          <w:tcPr>
            <w:tcW w:w="780" w:type="dxa"/>
            <w:noWrap w:val="0"/>
            <w:vAlign w:val="top"/>
          </w:tcPr>
          <w:p w14:paraId="2C3D730A">
            <w:pPr>
              <w:keepNext w:val="0"/>
              <w:keepLines w:val="0"/>
              <w:pageBreakBefore w:val="0"/>
              <w:widowControl w:val="0"/>
              <w:kinsoku/>
              <w:overflowPunct/>
              <w:bidi w:val="0"/>
              <w:spacing w:line="440" w:lineRule="exact"/>
              <w:jc w:val="left"/>
              <w:outlineLvl w:val="0"/>
              <w:rPr>
                <w:rFonts w:hint="eastAsia" w:ascii="宋体" w:hAnsi="宋体" w:eastAsia="宋体" w:cs="宋体"/>
                <w:bCs/>
                <w:color w:val="auto"/>
                <w:szCs w:val="21"/>
                <w:highlight w:val="none"/>
              </w:rPr>
            </w:pPr>
          </w:p>
        </w:tc>
        <w:tc>
          <w:tcPr>
            <w:tcW w:w="699" w:type="dxa"/>
            <w:noWrap w:val="0"/>
            <w:vAlign w:val="top"/>
          </w:tcPr>
          <w:p w14:paraId="6803D5A3">
            <w:pPr>
              <w:keepNext w:val="0"/>
              <w:keepLines w:val="0"/>
              <w:pageBreakBefore w:val="0"/>
              <w:widowControl w:val="0"/>
              <w:kinsoku/>
              <w:overflowPunct/>
              <w:bidi w:val="0"/>
              <w:spacing w:line="440" w:lineRule="exact"/>
              <w:jc w:val="left"/>
              <w:outlineLvl w:val="0"/>
              <w:rPr>
                <w:rFonts w:hint="eastAsia" w:ascii="宋体" w:hAnsi="宋体" w:eastAsia="宋体" w:cs="宋体"/>
                <w:bCs/>
                <w:color w:val="auto"/>
                <w:szCs w:val="21"/>
                <w:highlight w:val="none"/>
              </w:rPr>
            </w:pPr>
          </w:p>
        </w:tc>
      </w:tr>
      <w:tr w14:paraId="43002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244" w:type="dxa"/>
            <w:noWrap w:val="0"/>
            <w:vAlign w:val="center"/>
          </w:tcPr>
          <w:p w14:paraId="73E0B396">
            <w:pPr>
              <w:keepNext w:val="0"/>
              <w:keepLines w:val="0"/>
              <w:pageBreakBefore w:val="0"/>
              <w:widowControl w:val="0"/>
              <w:kinsoku/>
              <w:overflowPunct/>
              <w:bidi w:val="0"/>
              <w:spacing w:line="440" w:lineRule="exact"/>
              <w:jc w:val="left"/>
              <w:outlineLvl w:val="0"/>
              <w:rPr>
                <w:rFonts w:hint="eastAsia" w:ascii="宋体" w:hAnsi="宋体" w:eastAsia="宋体" w:cs="宋体"/>
                <w:bCs/>
                <w:color w:val="auto"/>
                <w:szCs w:val="21"/>
                <w:highlight w:val="none"/>
              </w:rPr>
            </w:pPr>
          </w:p>
        </w:tc>
        <w:tc>
          <w:tcPr>
            <w:tcW w:w="705" w:type="dxa"/>
            <w:noWrap w:val="0"/>
            <w:vAlign w:val="top"/>
          </w:tcPr>
          <w:p w14:paraId="1936AA6A">
            <w:pPr>
              <w:keepNext w:val="0"/>
              <w:keepLines w:val="0"/>
              <w:pageBreakBefore w:val="0"/>
              <w:widowControl w:val="0"/>
              <w:kinsoku/>
              <w:overflowPunct/>
              <w:bidi w:val="0"/>
              <w:spacing w:line="440" w:lineRule="exact"/>
              <w:jc w:val="left"/>
              <w:outlineLvl w:val="0"/>
              <w:rPr>
                <w:rFonts w:hint="eastAsia" w:ascii="宋体" w:hAnsi="宋体" w:eastAsia="宋体" w:cs="宋体"/>
                <w:bCs/>
                <w:color w:val="auto"/>
                <w:szCs w:val="21"/>
                <w:highlight w:val="none"/>
              </w:rPr>
            </w:pPr>
          </w:p>
        </w:tc>
        <w:tc>
          <w:tcPr>
            <w:tcW w:w="6012" w:type="dxa"/>
            <w:noWrap w:val="0"/>
            <w:vAlign w:val="top"/>
          </w:tcPr>
          <w:p w14:paraId="6F97A1B0">
            <w:pPr>
              <w:keepNext w:val="0"/>
              <w:keepLines w:val="0"/>
              <w:pageBreakBefore w:val="0"/>
              <w:widowControl w:val="0"/>
              <w:kinsoku/>
              <w:overflowPunct/>
              <w:bidi w:val="0"/>
              <w:spacing w:line="440" w:lineRule="exact"/>
              <w:jc w:val="left"/>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结论：是否通过评审（须填写通过或不通过）</w:t>
            </w:r>
          </w:p>
          <w:p w14:paraId="7377E74C">
            <w:pPr>
              <w:keepNext w:val="0"/>
              <w:keepLines w:val="0"/>
              <w:pageBreakBefore w:val="0"/>
              <w:widowControl w:val="0"/>
              <w:kinsoku/>
              <w:overflowPunct/>
              <w:bidi w:val="0"/>
              <w:spacing w:line="440" w:lineRule="exact"/>
              <w:jc w:val="left"/>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注：如有一项不合格，作废标处理。</w:t>
            </w:r>
          </w:p>
        </w:tc>
        <w:tc>
          <w:tcPr>
            <w:tcW w:w="1479" w:type="dxa"/>
            <w:gridSpan w:val="2"/>
            <w:noWrap w:val="0"/>
            <w:vAlign w:val="top"/>
          </w:tcPr>
          <w:p w14:paraId="7E9C40EE">
            <w:pPr>
              <w:keepNext w:val="0"/>
              <w:keepLines w:val="0"/>
              <w:pageBreakBefore w:val="0"/>
              <w:widowControl w:val="0"/>
              <w:kinsoku/>
              <w:overflowPunct/>
              <w:bidi w:val="0"/>
              <w:spacing w:line="440" w:lineRule="exact"/>
              <w:jc w:val="left"/>
              <w:outlineLvl w:val="0"/>
              <w:rPr>
                <w:rFonts w:hint="eastAsia" w:ascii="宋体" w:hAnsi="宋体" w:eastAsia="宋体" w:cs="宋体"/>
                <w:bCs/>
                <w:color w:val="auto"/>
                <w:szCs w:val="21"/>
                <w:highlight w:val="none"/>
              </w:rPr>
            </w:pPr>
          </w:p>
        </w:tc>
      </w:tr>
    </w:tbl>
    <w:p w14:paraId="098A3415">
      <w:pPr>
        <w:keepNext w:val="0"/>
        <w:keepLines w:val="0"/>
        <w:pageBreakBefore w:val="0"/>
        <w:widowControl w:val="0"/>
        <w:kinsoku/>
        <w:overflowPunct/>
        <w:bidi w:val="0"/>
        <w:spacing w:line="440" w:lineRule="exact"/>
        <w:jc w:val="left"/>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通过上述资格性检查，可初步判定投标人的</w:t>
      </w:r>
      <w:r>
        <w:rPr>
          <w:rFonts w:hint="eastAsia" w:ascii="宋体" w:hAnsi="宋体" w:cs="宋体"/>
          <w:bCs/>
          <w:color w:val="auto"/>
          <w:szCs w:val="21"/>
          <w:highlight w:val="none"/>
          <w:lang w:eastAsia="zh-CN"/>
        </w:rPr>
        <w:t>响应文件</w:t>
      </w:r>
      <w:r>
        <w:rPr>
          <w:rFonts w:hint="eastAsia" w:ascii="宋体" w:hAnsi="宋体" w:eastAsia="宋体" w:cs="宋体"/>
          <w:bCs/>
          <w:color w:val="auto"/>
          <w:szCs w:val="21"/>
          <w:highlight w:val="none"/>
        </w:rPr>
        <w:t>是否符合</w:t>
      </w:r>
      <w:r>
        <w:rPr>
          <w:rFonts w:hint="eastAsia" w:ascii="宋体" w:hAnsi="宋体" w:cs="宋体"/>
          <w:bCs/>
          <w:color w:val="auto"/>
          <w:szCs w:val="21"/>
          <w:highlight w:val="none"/>
          <w:lang w:eastAsia="zh-CN"/>
        </w:rPr>
        <w:t>磋商文件</w:t>
      </w:r>
      <w:r>
        <w:rPr>
          <w:rFonts w:hint="eastAsia" w:ascii="宋体" w:hAnsi="宋体" w:eastAsia="宋体" w:cs="宋体"/>
          <w:bCs/>
          <w:color w:val="auto"/>
          <w:szCs w:val="21"/>
          <w:highlight w:val="none"/>
        </w:rPr>
        <w:t>的要求。对于上述审查内容，投标人必须响应，否则其</w:t>
      </w:r>
      <w:r>
        <w:rPr>
          <w:rFonts w:hint="eastAsia" w:ascii="宋体" w:hAnsi="宋体" w:cs="宋体"/>
          <w:bCs/>
          <w:color w:val="auto"/>
          <w:szCs w:val="21"/>
          <w:highlight w:val="none"/>
          <w:lang w:eastAsia="zh-CN"/>
        </w:rPr>
        <w:t>响应文件</w:t>
      </w:r>
      <w:r>
        <w:rPr>
          <w:rFonts w:hint="eastAsia" w:ascii="宋体" w:hAnsi="宋体" w:eastAsia="宋体" w:cs="宋体"/>
          <w:bCs/>
          <w:color w:val="auto"/>
          <w:szCs w:val="21"/>
          <w:highlight w:val="none"/>
        </w:rPr>
        <w:t>作废标处理。</w:t>
      </w:r>
    </w:p>
    <w:p w14:paraId="34CCA37A">
      <w:pPr>
        <w:rPr>
          <w:rFonts w:hint="eastAsia"/>
          <w:color w:val="auto"/>
        </w:rPr>
      </w:pPr>
    </w:p>
    <w:p w14:paraId="1267D29D">
      <w:pPr>
        <w:rPr>
          <w:rFonts w:hint="eastAsia"/>
          <w:color w:val="auto"/>
        </w:rPr>
      </w:pPr>
    </w:p>
    <w:p w14:paraId="47D8B174">
      <w:pPr>
        <w:pStyle w:val="46"/>
        <w:rPr>
          <w:rFonts w:hint="eastAsia"/>
          <w:color w:val="auto"/>
        </w:rPr>
      </w:pPr>
    </w:p>
    <w:p w14:paraId="6927B745">
      <w:pPr>
        <w:pStyle w:val="46"/>
        <w:rPr>
          <w:rFonts w:hint="eastAsia"/>
          <w:color w:val="auto"/>
        </w:rPr>
      </w:pPr>
    </w:p>
    <w:p w14:paraId="5FCEFD18">
      <w:pPr>
        <w:keepNext w:val="0"/>
        <w:keepLines w:val="0"/>
        <w:pageBreakBefore w:val="0"/>
        <w:widowControl w:val="0"/>
        <w:kinsoku/>
        <w:overflowPunct/>
        <w:bidi w:val="0"/>
        <w:spacing w:line="440" w:lineRule="exact"/>
        <w:jc w:val="center"/>
        <w:outlineLvl w:val="0"/>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符合性检查</w:t>
      </w:r>
    </w:p>
    <w:p w14:paraId="5FFE7E41">
      <w:pPr>
        <w:keepNext w:val="0"/>
        <w:keepLines w:val="0"/>
        <w:pageBreakBefore w:val="0"/>
        <w:widowControl w:val="0"/>
        <w:kinsoku/>
        <w:overflowPunct/>
        <w:bidi w:val="0"/>
        <w:spacing w:line="440" w:lineRule="exact"/>
        <w:jc w:val="left"/>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1、符合性检查包含下列内容</w:t>
      </w:r>
    </w:p>
    <w:tbl>
      <w:tblPr>
        <w:tblStyle w:val="37"/>
        <w:tblpPr w:leftFromText="180" w:rightFromText="180" w:vertAnchor="text" w:horzAnchor="margin" w:tblpXSpec="center" w:tblpY="781"/>
        <w:tblW w:w="8776"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28"/>
        <w:gridCol w:w="598"/>
        <w:gridCol w:w="6090"/>
        <w:gridCol w:w="683"/>
        <w:gridCol w:w="577"/>
      </w:tblGrid>
      <w:tr w14:paraId="4DD15A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28" w:type="dxa"/>
            <w:tcBorders>
              <w:top w:val="single" w:color="auto" w:sz="4" w:space="0"/>
              <w:left w:val="single" w:color="auto" w:sz="4" w:space="0"/>
            </w:tcBorders>
            <w:noWrap w:val="0"/>
            <w:vAlign w:val="center"/>
          </w:tcPr>
          <w:p w14:paraId="1CD1C6CE">
            <w:pPr>
              <w:keepNext w:val="0"/>
              <w:keepLines w:val="0"/>
              <w:pageBreakBefore w:val="0"/>
              <w:widowControl w:val="0"/>
              <w:kinsoku/>
              <w:overflowPunct/>
              <w:bidi w:val="0"/>
              <w:spacing w:line="440" w:lineRule="exact"/>
              <w:jc w:val="left"/>
              <w:outlineLvl w:val="0"/>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项目</w:t>
            </w:r>
          </w:p>
        </w:tc>
        <w:tc>
          <w:tcPr>
            <w:tcW w:w="6688" w:type="dxa"/>
            <w:gridSpan w:val="2"/>
            <w:tcBorders>
              <w:top w:val="single" w:color="auto" w:sz="4" w:space="0"/>
            </w:tcBorders>
            <w:noWrap w:val="0"/>
            <w:vAlign w:val="center"/>
          </w:tcPr>
          <w:p w14:paraId="1DF4F395">
            <w:pPr>
              <w:keepNext w:val="0"/>
              <w:keepLines w:val="0"/>
              <w:pageBreakBefore w:val="0"/>
              <w:widowControl w:val="0"/>
              <w:kinsoku/>
              <w:overflowPunct/>
              <w:bidi w:val="0"/>
              <w:spacing w:line="440" w:lineRule="exact"/>
              <w:jc w:val="center"/>
              <w:outlineLvl w:val="0"/>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评审内容</w:t>
            </w:r>
          </w:p>
        </w:tc>
        <w:tc>
          <w:tcPr>
            <w:tcW w:w="1260" w:type="dxa"/>
            <w:gridSpan w:val="2"/>
            <w:tcBorders>
              <w:top w:val="single" w:color="auto" w:sz="4" w:space="0"/>
              <w:right w:val="single" w:color="auto" w:sz="4" w:space="0"/>
            </w:tcBorders>
            <w:noWrap w:val="0"/>
            <w:vAlign w:val="center"/>
          </w:tcPr>
          <w:p w14:paraId="4902CE01">
            <w:pPr>
              <w:keepNext w:val="0"/>
              <w:keepLines w:val="0"/>
              <w:pageBreakBefore w:val="0"/>
              <w:widowControl w:val="0"/>
              <w:kinsoku/>
              <w:overflowPunct/>
              <w:bidi w:val="0"/>
              <w:spacing w:line="440" w:lineRule="exact"/>
              <w:jc w:val="center"/>
              <w:outlineLvl w:val="0"/>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评审</w:t>
            </w:r>
          </w:p>
          <w:p w14:paraId="5FD84BE5">
            <w:pPr>
              <w:keepNext w:val="0"/>
              <w:keepLines w:val="0"/>
              <w:pageBreakBefore w:val="0"/>
              <w:widowControl w:val="0"/>
              <w:kinsoku/>
              <w:overflowPunct/>
              <w:bidi w:val="0"/>
              <w:spacing w:line="440" w:lineRule="exact"/>
              <w:jc w:val="center"/>
              <w:outlineLvl w:val="0"/>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意见</w:t>
            </w:r>
          </w:p>
        </w:tc>
      </w:tr>
      <w:tr w14:paraId="25F086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2" w:hRule="atLeast"/>
        </w:trPr>
        <w:tc>
          <w:tcPr>
            <w:tcW w:w="828" w:type="dxa"/>
            <w:tcBorders>
              <w:left w:val="single" w:color="auto" w:sz="4" w:space="0"/>
              <w:bottom w:val="single" w:color="auto" w:sz="4" w:space="0"/>
            </w:tcBorders>
            <w:noWrap w:val="0"/>
            <w:vAlign w:val="center"/>
          </w:tcPr>
          <w:p w14:paraId="3ECE466C">
            <w:pPr>
              <w:keepNext w:val="0"/>
              <w:keepLines w:val="0"/>
              <w:pageBreakBefore w:val="0"/>
              <w:widowControl w:val="0"/>
              <w:kinsoku/>
              <w:overflowPunct/>
              <w:bidi w:val="0"/>
              <w:spacing w:line="440" w:lineRule="exact"/>
              <w:jc w:val="left"/>
              <w:outlineLvl w:val="0"/>
              <w:rPr>
                <w:rFonts w:hint="eastAsia" w:ascii="宋体" w:hAnsi="宋体" w:eastAsia="宋体" w:cs="宋体"/>
                <w:bCs/>
                <w:color w:val="auto"/>
                <w:szCs w:val="21"/>
                <w:highlight w:val="none"/>
              </w:rPr>
            </w:pPr>
          </w:p>
        </w:tc>
        <w:tc>
          <w:tcPr>
            <w:tcW w:w="6688" w:type="dxa"/>
            <w:gridSpan w:val="2"/>
            <w:tcBorders>
              <w:bottom w:val="single" w:color="auto" w:sz="4" w:space="0"/>
            </w:tcBorders>
            <w:noWrap w:val="0"/>
            <w:vAlign w:val="top"/>
          </w:tcPr>
          <w:p w14:paraId="57EA0197">
            <w:pPr>
              <w:keepNext w:val="0"/>
              <w:keepLines w:val="0"/>
              <w:pageBreakBefore w:val="0"/>
              <w:widowControl w:val="0"/>
              <w:kinsoku/>
              <w:overflowPunct/>
              <w:bidi w:val="0"/>
              <w:spacing w:line="440" w:lineRule="exact"/>
              <w:jc w:val="left"/>
              <w:outlineLvl w:val="0"/>
              <w:rPr>
                <w:rFonts w:hint="eastAsia" w:ascii="宋体" w:hAnsi="宋体" w:eastAsia="宋体" w:cs="宋体"/>
                <w:bCs/>
                <w:color w:val="auto"/>
                <w:szCs w:val="21"/>
                <w:highlight w:val="none"/>
              </w:rPr>
            </w:pPr>
          </w:p>
        </w:tc>
        <w:tc>
          <w:tcPr>
            <w:tcW w:w="683" w:type="dxa"/>
            <w:noWrap w:val="0"/>
            <w:vAlign w:val="center"/>
          </w:tcPr>
          <w:p w14:paraId="6B9E2BDF">
            <w:pPr>
              <w:keepNext w:val="0"/>
              <w:keepLines w:val="0"/>
              <w:pageBreakBefore w:val="0"/>
              <w:widowControl w:val="0"/>
              <w:kinsoku/>
              <w:overflowPunct/>
              <w:bidi w:val="0"/>
              <w:spacing w:line="440" w:lineRule="exact"/>
              <w:jc w:val="center"/>
              <w:outlineLvl w:val="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是</w:t>
            </w:r>
          </w:p>
        </w:tc>
        <w:tc>
          <w:tcPr>
            <w:tcW w:w="577" w:type="dxa"/>
            <w:tcBorders>
              <w:right w:val="single" w:color="auto" w:sz="4" w:space="0"/>
            </w:tcBorders>
            <w:noWrap w:val="0"/>
            <w:vAlign w:val="center"/>
          </w:tcPr>
          <w:p w14:paraId="6C779B07">
            <w:pPr>
              <w:keepNext w:val="0"/>
              <w:keepLines w:val="0"/>
              <w:pageBreakBefore w:val="0"/>
              <w:widowControl w:val="0"/>
              <w:kinsoku/>
              <w:overflowPunct/>
              <w:bidi w:val="0"/>
              <w:spacing w:line="440" w:lineRule="exact"/>
              <w:jc w:val="center"/>
              <w:outlineLvl w:val="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否</w:t>
            </w:r>
          </w:p>
        </w:tc>
      </w:tr>
      <w:tr w14:paraId="22C37E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1" w:hRule="atLeast"/>
        </w:trPr>
        <w:tc>
          <w:tcPr>
            <w:tcW w:w="828" w:type="dxa"/>
            <w:vMerge w:val="restart"/>
            <w:tcBorders>
              <w:top w:val="single" w:color="auto" w:sz="4" w:space="0"/>
              <w:left w:val="single" w:color="auto" w:sz="4" w:space="0"/>
              <w:right w:val="single" w:color="auto" w:sz="4" w:space="0"/>
            </w:tcBorders>
            <w:noWrap w:val="0"/>
            <w:vAlign w:val="center"/>
          </w:tcPr>
          <w:p w14:paraId="07A1EDE8">
            <w:pPr>
              <w:keepNext w:val="0"/>
              <w:keepLines w:val="0"/>
              <w:pageBreakBefore w:val="0"/>
              <w:widowControl w:val="0"/>
              <w:kinsoku/>
              <w:overflowPunct/>
              <w:bidi w:val="0"/>
              <w:spacing w:line="440" w:lineRule="exact"/>
              <w:jc w:val="center"/>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审</w:t>
            </w:r>
          </w:p>
          <w:p w14:paraId="712A560A">
            <w:pPr>
              <w:keepNext w:val="0"/>
              <w:keepLines w:val="0"/>
              <w:pageBreakBefore w:val="0"/>
              <w:widowControl w:val="0"/>
              <w:kinsoku/>
              <w:overflowPunct/>
              <w:bidi w:val="0"/>
              <w:spacing w:line="440" w:lineRule="exact"/>
              <w:jc w:val="center"/>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查</w:t>
            </w:r>
          </w:p>
          <w:p w14:paraId="5C6AD0C4">
            <w:pPr>
              <w:keepNext w:val="0"/>
              <w:keepLines w:val="0"/>
              <w:pageBreakBefore w:val="0"/>
              <w:widowControl w:val="0"/>
              <w:kinsoku/>
              <w:overflowPunct/>
              <w:bidi w:val="0"/>
              <w:spacing w:line="440" w:lineRule="exact"/>
              <w:jc w:val="center"/>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标</w:t>
            </w:r>
          </w:p>
          <w:p w14:paraId="3F44D0AA">
            <w:pPr>
              <w:keepNext w:val="0"/>
              <w:keepLines w:val="0"/>
              <w:pageBreakBefore w:val="0"/>
              <w:widowControl w:val="0"/>
              <w:kinsoku/>
              <w:overflowPunct/>
              <w:bidi w:val="0"/>
              <w:spacing w:line="440" w:lineRule="exact"/>
              <w:jc w:val="center"/>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准</w:t>
            </w:r>
          </w:p>
        </w:tc>
        <w:tc>
          <w:tcPr>
            <w:tcW w:w="598" w:type="dxa"/>
            <w:tcBorders>
              <w:top w:val="single" w:color="auto" w:sz="4" w:space="0"/>
              <w:left w:val="single" w:color="auto" w:sz="4" w:space="0"/>
              <w:right w:val="single" w:color="auto" w:sz="4" w:space="0"/>
            </w:tcBorders>
            <w:noWrap w:val="0"/>
            <w:vAlign w:val="center"/>
          </w:tcPr>
          <w:p w14:paraId="0A5A81A6">
            <w:pPr>
              <w:keepNext w:val="0"/>
              <w:keepLines w:val="0"/>
              <w:pageBreakBefore w:val="0"/>
              <w:widowControl w:val="0"/>
              <w:kinsoku/>
              <w:overflowPunct/>
              <w:bidi w:val="0"/>
              <w:spacing w:line="440" w:lineRule="exact"/>
              <w:jc w:val="center"/>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w:t>
            </w:r>
          </w:p>
        </w:tc>
        <w:tc>
          <w:tcPr>
            <w:tcW w:w="6090" w:type="dxa"/>
            <w:tcBorders>
              <w:top w:val="single" w:color="auto" w:sz="4" w:space="0"/>
              <w:left w:val="single" w:color="auto" w:sz="4" w:space="0"/>
              <w:right w:val="single" w:color="auto" w:sz="4" w:space="0"/>
            </w:tcBorders>
            <w:noWrap w:val="0"/>
            <w:vAlign w:val="top"/>
          </w:tcPr>
          <w:p w14:paraId="6D1EA5D4">
            <w:pPr>
              <w:keepNext w:val="0"/>
              <w:keepLines w:val="0"/>
              <w:pageBreakBefore w:val="0"/>
              <w:widowControl w:val="0"/>
              <w:kinsoku/>
              <w:overflowPunct/>
              <w:bidi w:val="0"/>
              <w:spacing w:line="440" w:lineRule="exact"/>
              <w:jc w:val="left"/>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投标报价高于设定的采购预算价的；</w:t>
            </w:r>
          </w:p>
        </w:tc>
        <w:tc>
          <w:tcPr>
            <w:tcW w:w="683" w:type="dxa"/>
            <w:tcBorders>
              <w:left w:val="single" w:color="auto" w:sz="4" w:space="0"/>
              <w:right w:val="single" w:color="auto" w:sz="4" w:space="0"/>
            </w:tcBorders>
            <w:noWrap w:val="0"/>
            <w:vAlign w:val="top"/>
          </w:tcPr>
          <w:p w14:paraId="2C908A29">
            <w:pPr>
              <w:keepNext w:val="0"/>
              <w:keepLines w:val="0"/>
              <w:pageBreakBefore w:val="0"/>
              <w:widowControl w:val="0"/>
              <w:kinsoku/>
              <w:overflowPunct/>
              <w:bidi w:val="0"/>
              <w:spacing w:line="440" w:lineRule="exact"/>
              <w:jc w:val="left"/>
              <w:outlineLvl w:val="0"/>
              <w:rPr>
                <w:rFonts w:hint="eastAsia" w:ascii="宋体" w:hAnsi="宋体" w:eastAsia="宋体" w:cs="宋体"/>
                <w:bCs/>
                <w:color w:val="auto"/>
                <w:szCs w:val="21"/>
                <w:highlight w:val="none"/>
              </w:rPr>
            </w:pPr>
          </w:p>
        </w:tc>
        <w:tc>
          <w:tcPr>
            <w:tcW w:w="577" w:type="dxa"/>
            <w:tcBorders>
              <w:left w:val="single" w:color="auto" w:sz="4" w:space="0"/>
              <w:right w:val="single" w:color="auto" w:sz="4" w:space="0"/>
            </w:tcBorders>
            <w:noWrap w:val="0"/>
            <w:vAlign w:val="top"/>
          </w:tcPr>
          <w:p w14:paraId="7B061916">
            <w:pPr>
              <w:keepNext w:val="0"/>
              <w:keepLines w:val="0"/>
              <w:pageBreakBefore w:val="0"/>
              <w:widowControl w:val="0"/>
              <w:kinsoku/>
              <w:overflowPunct/>
              <w:bidi w:val="0"/>
              <w:spacing w:line="440" w:lineRule="exact"/>
              <w:jc w:val="left"/>
              <w:outlineLvl w:val="0"/>
              <w:rPr>
                <w:rFonts w:hint="eastAsia" w:ascii="宋体" w:hAnsi="宋体" w:eastAsia="宋体" w:cs="宋体"/>
                <w:bCs/>
                <w:color w:val="auto"/>
                <w:szCs w:val="21"/>
                <w:highlight w:val="none"/>
              </w:rPr>
            </w:pPr>
          </w:p>
        </w:tc>
      </w:tr>
      <w:tr w14:paraId="5F0B75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3" w:hRule="atLeast"/>
        </w:trPr>
        <w:tc>
          <w:tcPr>
            <w:tcW w:w="828" w:type="dxa"/>
            <w:vMerge w:val="continue"/>
            <w:tcBorders>
              <w:left w:val="single" w:color="auto" w:sz="4" w:space="0"/>
              <w:right w:val="single" w:color="auto" w:sz="4" w:space="0"/>
            </w:tcBorders>
            <w:noWrap w:val="0"/>
            <w:vAlign w:val="center"/>
          </w:tcPr>
          <w:p w14:paraId="69ECB920">
            <w:pPr>
              <w:keepNext w:val="0"/>
              <w:keepLines w:val="0"/>
              <w:pageBreakBefore w:val="0"/>
              <w:widowControl w:val="0"/>
              <w:kinsoku/>
              <w:overflowPunct/>
              <w:bidi w:val="0"/>
              <w:spacing w:line="440" w:lineRule="exact"/>
              <w:jc w:val="left"/>
              <w:outlineLvl w:val="0"/>
              <w:rPr>
                <w:rFonts w:hint="eastAsia" w:ascii="宋体" w:hAnsi="宋体" w:eastAsia="宋体" w:cs="宋体"/>
                <w:bCs/>
                <w:color w:val="auto"/>
                <w:szCs w:val="21"/>
                <w:highlight w:val="none"/>
              </w:rPr>
            </w:pPr>
          </w:p>
        </w:tc>
        <w:tc>
          <w:tcPr>
            <w:tcW w:w="59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45383C8">
            <w:pPr>
              <w:keepNext w:val="0"/>
              <w:keepLines w:val="0"/>
              <w:pageBreakBefore w:val="0"/>
              <w:widowControl w:val="0"/>
              <w:kinsoku/>
              <w:overflowPunct/>
              <w:bidi w:val="0"/>
              <w:spacing w:line="440" w:lineRule="exact"/>
              <w:jc w:val="center"/>
              <w:outlineLvl w:val="0"/>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Cs w:val="21"/>
                <w:highlight w:val="none"/>
              </w:rPr>
              <w:t>2</w:t>
            </w:r>
          </w:p>
        </w:tc>
        <w:tc>
          <w:tcPr>
            <w:tcW w:w="6090" w:type="dxa"/>
            <w:tcBorders>
              <w:left w:val="single" w:color="auto" w:sz="4" w:space="0"/>
              <w:bottom w:val="single" w:color="auto" w:sz="4" w:space="0"/>
              <w:right w:val="single" w:color="auto" w:sz="4" w:space="0"/>
            </w:tcBorders>
            <w:noWrap w:val="0"/>
            <w:vAlign w:val="top"/>
          </w:tcPr>
          <w:p w14:paraId="32D57C04">
            <w:pPr>
              <w:keepNext w:val="0"/>
              <w:keepLines w:val="0"/>
              <w:pageBreakBefore w:val="0"/>
              <w:widowControl w:val="0"/>
              <w:kinsoku/>
              <w:overflowPunct/>
              <w:bidi w:val="0"/>
              <w:spacing w:line="440" w:lineRule="exact"/>
              <w:jc w:val="left"/>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val="en-US" w:eastAsia="zh-CN"/>
              </w:rPr>
              <w:t>投标报价是否异常低价</w:t>
            </w:r>
          </w:p>
        </w:tc>
        <w:tc>
          <w:tcPr>
            <w:tcW w:w="683" w:type="dxa"/>
            <w:tcBorders>
              <w:left w:val="single" w:color="auto" w:sz="4" w:space="0"/>
              <w:right w:val="single" w:color="auto" w:sz="4" w:space="0"/>
            </w:tcBorders>
            <w:noWrap w:val="0"/>
            <w:vAlign w:val="top"/>
          </w:tcPr>
          <w:p w14:paraId="37E619BD">
            <w:pPr>
              <w:keepNext w:val="0"/>
              <w:keepLines w:val="0"/>
              <w:pageBreakBefore w:val="0"/>
              <w:widowControl w:val="0"/>
              <w:kinsoku/>
              <w:overflowPunct/>
              <w:bidi w:val="0"/>
              <w:spacing w:line="440" w:lineRule="exact"/>
              <w:jc w:val="left"/>
              <w:outlineLvl w:val="0"/>
              <w:rPr>
                <w:rFonts w:hint="eastAsia" w:ascii="宋体" w:hAnsi="宋体" w:eastAsia="宋体" w:cs="宋体"/>
                <w:bCs/>
                <w:color w:val="auto"/>
                <w:szCs w:val="21"/>
                <w:highlight w:val="none"/>
              </w:rPr>
            </w:pPr>
          </w:p>
        </w:tc>
        <w:tc>
          <w:tcPr>
            <w:tcW w:w="577" w:type="dxa"/>
            <w:tcBorders>
              <w:left w:val="single" w:color="auto" w:sz="4" w:space="0"/>
              <w:right w:val="single" w:color="auto" w:sz="4" w:space="0"/>
            </w:tcBorders>
            <w:noWrap w:val="0"/>
            <w:vAlign w:val="top"/>
          </w:tcPr>
          <w:p w14:paraId="53B9DE0A">
            <w:pPr>
              <w:keepNext w:val="0"/>
              <w:keepLines w:val="0"/>
              <w:pageBreakBefore w:val="0"/>
              <w:widowControl w:val="0"/>
              <w:kinsoku/>
              <w:overflowPunct/>
              <w:bidi w:val="0"/>
              <w:spacing w:line="440" w:lineRule="exact"/>
              <w:jc w:val="left"/>
              <w:outlineLvl w:val="0"/>
              <w:rPr>
                <w:rFonts w:hint="eastAsia" w:ascii="宋体" w:hAnsi="宋体" w:eastAsia="宋体" w:cs="宋体"/>
                <w:bCs/>
                <w:color w:val="auto"/>
                <w:szCs w:val="21"/>
                <w:highlight w:val="none"/>
              </w:rPr>
            </w:pPr>
          </w:p>
        </w:tc>
      </w:tr>
      <w:tr w14:paraId="194B1F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3" w:hRule="atLeast"/>
        </w:trPr>
        <w:tc>
          <w:tcPr>
            <w:tcW w:w="828" w:type="dxa"/>
            <w:vMerge w:val="continue"/>
            <w:tcBorders>
              <w:left w:val="single" w:color="auto" w:sz="4" w:space="0"/>
              <w:right w:val="single" w:color="auto" w:sz="4" w:space="0"/>
            </w:tcBorders>
            <w:noWrap w:val="0"/>
            <w:vAlign w:val="center"/>
          </w:tcPr>
          <w:p w14:paraId="37D919A9">
            <w:pPr>
              <w:keepNext w:val="0"/>
              <w:keepLines w:val="0"/>
              <w:pageBreakBefore w:val="0"/>
              <w:widowControl w:val="0"/>
              <w:kinsoku/>
              <w:overflowPunct/>
              <w:bidi w:val="0"/>
              <w:spacing w:line="440" w:lineRule="exact"/>
              <w:jc w:val="left"/>
              <w:outlineLvl w:val="0"/>
              <w:rPr>
                <w:rFonts w:hint="eastAsia" w:ascii="宋体" w:hAnsi="宋体" w:eastAsia="宋体" w:cs="宋体"/>
                <w:bCs/>
                <w:color w:val="auto"/>
                <w:szCs w:val="21"/>
                <w:highlight w:val="none"/>
              </w:rPr>
            </w:pPr>
          </w:p>
        </w:tc>
        <w:tc>
          <w:tcPr>
            <w:tcW w:w="59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8AA12DF">
            <w:pPr>
              <w:keepNext w:val="0"/>
              <w:keepLines w:val="0"/>
              <w:pageBreakBefore w:val="0"/>
              <w:widowControl w:val="0"/>
              <w:kinsoku/>
              <w:overflowPunct/>
              <w:bidi w:val="0"/>
              <w:spacing w:line="440" w:lineRule="exact"/>
              <w:jc w:val="center"/>
              <w:outlineLvl w:val="0"/>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Cs w:val="21"/>
                <w:highlight w:val="none"/>
              </w:rPr>
              <w:t>3</w:t>
            </w:r>
          </w:p>
        </w:tc>
        <w:tc>
          <w:tcPr>
            <w:tcW w:w="6090" w:type="dxa"/>
            <w:tcBorders>
              <w:left w:val="single" w:color="auto" w:sz="4" w:space="0"/>
              <w:bottom w:val="single" w:color="auto" w:sz="4" w:space="0"/>
              <w:right w:val="single" w:color="auto" w:sz="4" w:space="0"/>
            </w:tcBorders>
            <w:noWrap w:val="0"/>
            <w:vAlign w:val="top"/>
          </w:tcPr>
          <w:p w14:paraId="5CD8915E">
            <w:pPr>
              <w:keepNext w:val="0"/>
              <w:keepLines w:val="0"/>
              <w:pageBreakBefore w:val="0"/>
              <w:widowControl w:val="0"/>
              <w:kinsoku/>
              <w:overflowPunct/>
              <w:bidi w:val="0"/>
              <w:spacing w:line="440" w:lineRule="exact"/>
              <w:jc w:val="left"/>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投标人对同一招标项目作出两个以上报价未明确效力的；</w:t>
            </w:r>
          </w:p>
        </w:tc>
        <w:tc>
          <w:tcPr>
            <w:tcW w:w="683" w:type="dxa"/>
            <w:tcBorders>
              <w:left w:val="single" w:color="auto" w:sz="4" w:space="0"/>
              <w:right w:val="single" w:color="auto" w:sz="4" w:space="0"/>
            </w:tcBorders>
            <w:noWrap w:val="0"/>
            <w:vAlign w:val="top"/>
          </w:tcPr>
          <w:p w14:paraId="45007026">
            <w:pPr>
              <w:keepNext w:val="0"/>
              <w:keepLines w:val="0"/>
              <w:pageBreakBefore w:val="0"/>
              <w:widowControl w:val="0"/>
              <w:kinsoku/>
              <w:overflowPunct/>
              <w:bidi w:val="0"/>
              <w:spacing w:line="440" w:lineRule="exact"/>
              <w:jc w:val="left"/>
              <w:outlineLvl w:val="0"/>
              <w:rPr>
                <w:rFonts w:hint="eastAsia" w:ascii="宋体" w:hAnsi="宋体" w:eastAsia="宋体" w:cs="宋体"/>
                <w:bCs/>
                <w:color w:val="auto"/>
                <w:szCs w:val="21"/>
                <w:highlight w:val="none"/>
              </w:rPr>
            </w:pPr>
          </w:p>
        </w:tc>
        <w:tc>
          <w:tcPr>
            <w:tcW w:w="577" w:type="dxa"/>
            <w:tcBorders>
              <w:left w:val="single" w:color="auto" w:sz="4" w:space="0"/>
              <w:right w:val="single" w:color="auto" w:sz="4" w:space="0"/>
            </w:tcBorders>
            <w:noWrap w:val="0"/>
            <w:vAlign w:val="top"/>
          </w:tcPr>
          <w:p w14:paraId="3EFDD31B">
            <w:pPr>
              <w:keepNext w:val="0"/>
              <w:keepLines w:val="0"/>
              <w:pageBreakBefore w:val="0"/>
              <w:widowControl w:val="0"/>
              <w:kinsoku/>
              <w:overflowPunct/>
              <w:bidi w:val="0"/>
              <w:spacing w:line="440" w:lineRule="exact"/>
              <w:jc w:val="left"/>
              <w:outlineLvl w:val="0"/>
              <w:rPr>
                <w:rFonts w:hint="eastAsia" w:ascii="宋体" w:hAnsi="宋体" w:eastAsia="宋体" w:cs="宋体"/>
                <w:bCs/>
                <w:color w:val="auto"/>
                <w:szCs w:val="21"/>
                <w:highlight w:val="none"/>
              </w:rPr>
            </w:pPr>
          </w:p>
        </w:tc>
      </w:tr>
      <w:tr w14:paraId="645E72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28" w:type="dxa"/>
            <w:vMerge w:val="continue"/>
            <w:tcBorders>
              <w:left w:val="single" w:color="auto" w:sz="4" w:space="0"/>
              <w:right w:val="single" w:color="auto" w:sz="4" w:space="0"/>
            </w:tcBorders>
            <w:noWrap w:val="0"/>
            <w:vAlign w:val="center"/>
          </w:tcPr>
          <w:p w14:paraId="6642CF22">
            <w:pPr>
              <w:keepNext w:val="0"/>
              <w:keepLines w:val="0"/>
              <w:pageBreakBefore w:val="0"/>
              <w:widowControl w:val="0"/>
              <w:kinsoku/>
              <w:overflowPunct/>
              <w:bidi w:val="0"/>
              <w:spacing w:line="440" w:lineRule="exact"/>
              <w:jc w:val="left"/>
              <w:outlineLvl w:val="0"/>
              <w:rPr>
                <w:rFonts w:hint="eastAsia" w:ascii="宋体" w:hAnsi="宋体" w:eastAsia="宋体" w:cs="宋体"/>
                <w:bCs/>
                <w:color w:val="auto"/>
                <w:szCs w:val="21"/>
                <w:highlight w:val="none"/>
              </w:rPr>
            </w:pPr>
          </w:p>
        </w:tc>
        <w:tc>
          <w:tcPr>
            <w:tcW w:w="59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06A54C5">
            <w:pPr>
              <w:keepNext w:val="0"/>
              <w:keepLines w:val="0"/>
              <w:pageBreakBefore w:val="0"/>
              <w:widowControl w:val="0"/>
              <w:kinsoku/>
              <w:overflowPunct/>
              <w:bidi w:val="0"/>
              <w:spacing w:line="440" w:lineRule="exact"/>
              <w:jc w:val="center"/>
              <w:outlineLvl w:val="0"/>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Cs w:val="21"/>
                <w:highlight w:val="none"/>
              </w:rPr>
              <w:t>4</w:t>
            </w:r>
          </w:p>
        </w:tc>
        <w:tc>
          <w:tcPr>
            <w:tcW w:w="6090" w:type="dxa"/>
            <w:tcBorders>
              <w:top w:val="single" w:color="auto" w:sz="4" w:space="0"/>
              <w:left w:val="single" w:color="auto" w:sz="4" w:space="0"/>
              <w:bottom w:val="single" w:color="auto" w:sz="4" w:space="0"/>
              <w:right w:val="single" w:color="auto" w:sz="4" w:space="0"/>
            </w:tcBorders>
            <w:noWrap w:val="0"/>
            <w:vAlign w:val="top"/>
          </w:tcPr>
          <w:p w14:paraId="2749A5DA">
            <w:pPr>
              <w:keepNext w:val="0"/>
              <w:keepLines w:val="0"/>
              <w:pageBreakBefore w:val="0"/>
              <w:widowControl w:val="0"/>
              <w:kinsoku/>
              <w:overflowPunct/>
              <w:bidi w:val="0"/>
              <w:spacing w:line="440" w:lineRule="exact"/>
              <w:jc w:val="left"/>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未按</w:t>
            </w:r>
            <w:r>
              <w:rPr>
                <w:rFonts w:hint="eastAsia" w:ascii="宋体" w:hAnsi="宋体" w:cs="宋体"/>
                <w:bCs/>
                <w:color w:val="auto"/>
                <w:szCs w:val="21"/>
                <w:highlight w:val="none"/>
                <w:lang w:eastAsia="zh-CN"/>
              </w:rPr>
              <w:t>磋商文件</w:t>
            </w:r>
            <w:r>
              <w:rPr>
                <w:rFonts w:hint="eastAsia" w:ascii="宋体" w:hAnsi="宋体" w:eastAsia="宋体" w:cs="宋体"/>
                <w:bCs/>
                <w:color w:val="auto"/>
                <w:szCs w:val="21"/>
                <w:highlight w:val="none"/>
              </w:rPr>
              <w:t>规定的格式填写，内容不全或关键字迹模糊、无法辨认的；</w:t>
            </w:r>
          </w:p>
        </w:tc>
        <w:tc>
          <w:tcPr>
            <w:tcW w:w="683" w:type="dxa"/>
            <w:tcBorders>
              <w:left w:val="single" w:color="auto" w:sz="4" w:space="0"/>
            </w:tcBorders>
            <w:noWrap w:val="0"/>
            <w:vAlign w:val="top"/>
          </w:tcPr>
          <w:p w14:paraId="16389BE4">
            <w:pPr>
              <w:keepNext w:val="0"/>
              <w:keepLines w:val="0"/>
              <w:pageBreakBefore w:val="0"/>
              <w:widowControl w:val="0"/>
              <w:kinsoku/>
              <w:overflowPunct/>
              <w:bidi w:val="0"/>
              <w:spacing w:line="440" w:lineRule="exact"/>
              <w:jc w:val="left"/>
              <w:outlineLvl w:val="0"/>
              <w:rPr>
                <w:rFonts w:hint="eastAsia" w:ascii="宋体" w:hAnsi="宋体" w:eastAsia="宋体" w:cs="宋体"/>
                <w:bCs/>
                <w:color w:val="auto"/>
                <w:szCs w:val="21"/>
                <w:highlight w:val="none"/>
              </w:rPr>
            </w:pPr>
          </w:p>
        </w:tc>
        <w:tc>
          <w:tcPr>
            <w:tcW w:w="577" w:type="dxa"/>
            <w:tcBorders>
              <w:right w:val="single" w:color="auto" w:sz="4" w:space="0"/>
            </w:tcBorders>
            <w:noWrap w:val="0"/>
            <w:vAlign w:val="top"/>
          </w:tcPr>
          <w:p w14:paraId="39B64B26">
            <w:pPr>
              <w:keepNext w:val="0"/>
              <w:keepLines w:val="0"/>
              <w:pageBreakBefore w:val="0"/>
              <w:widowControl w:val="0"/>
              <w:kinsoku/>
              <w:overflowPunct/>
              <w:bidi w:val="0"/>
              <w:spacing w:line="440" w:lineRule="exact"/>
              <w:jc w:val="left"/>
              <w:outlineLvl w:val="0"/>
              <w:rPr>
                <w:rFonts w:hint="eastAsia" w:ascii="宋体" w:hAnsi="宋体" w:eastAsia="宋体" w:cs="宋体"/>
                <w:bCs/>
                <w:color w:val="auto"/>
                <w:szCs w:val="21"/>
                <w:highlight w:val="none"/>
              </w:rPr>
            </w:pPr>
          </w:p>
        </w:tc>
      </w:tr>
      <w:tr w14:paraId="1DF9F1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28" w:type="dxa"/>
            <w:vMerge w:val="continue"/>
            <w:tcBorders>
              <w:left w:val="single" w:color="auto" w:sz="4" w:space="0"/>
              <w:right w:val="single" w:color="auto" w:sz="4" w:space="0"/>
            </w:tcBorders>
            <w:noWrap w:val="0"/>
            <w:vAlign w:val="center"/>
          </w:tcPr>
          <w:p w14:paraId="61AC7862">
            <w:pPr>
              <w:keepNext w:val="0"/>
              <w:keepLines w:val="0"/>
              <w:pageBreakBefore w:val="0"/>
              <w:widowControl w:val="0"/>
              <w:kinsoku/>
              <w:overflowPunct/>
              <w:bidi w:val="0"/>
              <w:spacing w:line="440" w:lineRule="exact"/>
              <w:jc w:val="left"/>
              <w:outlineLvl w:val="0"/>
              <w:rPr>
                <w:rFonts w:hint="eastAsia" w:ascii="宋体" w:hAnsi="宋体" w:eastAsia="宋体" w:cs="宋体"/>
                <w:bCs/>
                <w:color w:val="auto"/>
                <w:szCs w:val="21"/>
                <w:highlight w:val="none"/>
              </w:rPr>
            </w:pPr>
          </w:p>
        </w:tc>
        <w:tc>
          <w:tcPr>
            <w:tcW w:w="59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0F9E109">
            <w:pPr>
              <w:keepNext w:val="0"/>
              <w:keepLines w:val="0"/>
              <w:pageBreakBefore w:val="0"/>
              <w:widowControl w:val="0"/>
              <w:kinsoku/>
              <w:overflowPunct/>
              <w:bidi w:val="0"/>
              <w:spacing w:line="440" w:lineRule="exact"/>
              <w:jc w:val="center"/>
              <w:outlineLvl w:val="0"/>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Cs w:val="21"/>
                <w:highlight w:val="none"/>
              </w:rPr>
              <w:t>5</w:t>
            </w:r>
          </w:p>
        </w:tc>
        <w:tc>
          <w:tcPr>
            <w:tcW w:w="6090" w:type="dxa"/>
            <w:tcBorders>
              <w:top w:val="single" w:color="auto" w:sz="4" w:space="0"/>
              <w:left w:val="single" w:color="auto" w:sz="4" w:space="0"/>
              <w:bottom w:val="single" w:color="auto" w:sz="4" w:space="0"/>
              <w:right w:val="single" w:color="auto" w:sz="4" w:space="0"/>
            </w:tcBorders>
            <w:noWrap w:val="0"/>
            <w:vAlign w:val="top"/>
          </w:tcPr>
          <w:p w14:paraId="2BE604AE">
            <w:pPr>
              <w:keepNext w:val="0"/>
              <w:keepLines w:val="0"/>
              <w:pageBreakBefore w:val="0"/>
              <w:widowControl w:val="0"/>
              <w:kinsoku/>
              <w:overflowPunct/>
              <w:bidi w:val="0"/>
              <w:spacing w:line="440" w:lineRule="exact"/>
              <w:jc w:val="left"/>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投标人名称、组织机构与资格预审时不符，涉嫌以他人名义投标的；</w:t>
            </w:r>
          </w:p>
        </w:tc>
        <w:tc>
          <w:tcPr>
            <w:tcW w:w="683" w:type="dxa"/>
            <w:tcBorders>
              <w:left w:val="single" w:color="auto" w:sz="4" w:space="0"/>
            </w:tcBorders>
            <w:noWrap w:val="0"/>
            <w:vAlign w:val="top"/>
          </w:tcPr>
          <w:p w14:paraId="044861CC">
            <w:pPr>
              <w:keepNext w:val="0"/>
              <w:keepLines w:val="0"/>
              <w:pageBreakBefore w:val="0"/>
              <w:widowControl w:val="0"/>
              <w:kinsoku/>
              <w:overflowPunct/>
              <w:bidi w:val="0"/>
              <w:spacing w:line="440" w:lineRule="exact"/>
              <w:jc w:val="left"/>
              <w:outlineLvl w:val="0"/>
              <w:rPr>
                <w:rFonts w:hint="eastAsia" w:ascii="宋体" w:hAnsi="宋体" w:eastAsia="宋体" w:cs="宋体"/>
                <w:bCs/>
                <w:color w:val="auto"/>
                <w:szCs w:val="21"/>
                <w:highlight w:val="none"/>
              </w:rPr>
            </w:pPr>
          </w:p>
        </w:tc>
        <w:tc>
          <w:tcPr>
            <w:tcW w:w="577" w:type="dxa"/>
            <w:tcBorders>
              <w:right w:val="single" w:color="auto" w:sz="4" w:space="0"/>
            </w:tcBorders>
            <w:noWrap w:val="0"/>
            <w:vAlign w:val="top"/>
          </w:tcPr>
          <w:p w14:paraId="6E9CF7E7">
            <w:pPr>
              <w:keepNext w:val="0"/>
              <w:keepLines w:val="0"/>
              <w:pageBreakBefore w:val="0"/>
              <w:widowControl w:val="0"/>
              <w:kinsoku/>
              <w:overflowPunct/>
              <w:bidi w:val="0"/>
              <w:spacing w:line="440" w:lineRule="exact"/>
              <w:jc w:val="left"/>
              <w:outlineLvl w:val="0"/>
              <w:rPr>
                <w:rFonts w:hint="eastAsia" w:ascii="宋体" w:hAnsi="宋体" w:eastAsia="宋体" w:cs="宋体"/>
                <w:bCs/>
                <w:color w:val="auto"/>
                <w:szCs w:val="21"/>
                <w:highlight w:val="none"/>
              </w:rPr>
            </w:pPr>
          </w:p>
        </w:tc>
      </w:tr>
      <w:tr w14:paraId="4DCBA7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3" w:hRule="atLeast"/>
        </w:trPr>
        <w:tc>
          <w:tcPr>
            <w:tcW w:w="828" w:type="dxa"/>
            <w:vMerge w:val="continue"/>
            <w:tcBorders>
              <w:left w:val="single" w:color="auto" w:sz="4" w:space="0"/>
              <w:right w:val="single" w:color="auto" w:sz="4" w:space="0"/>
            </w:tcBorders>
            <w:noWrap w:val="0"/>
            <w:vAlign w:val="center"/>
          </w:tcPr>
          <w:p w14:paraId="509FBD9F">
            <w:pPr>
              <w:keepNext w:val="0"/>
              <w:keepLines w:val="0"/>
              <w:pageBreakBefore w:val="0"/>
              <w:widowControl w:val="0"/>
              <w:kinsoku/>
              <w:overflowPunct/>
              <w:bidi w:val="0"/>
              <w:spacing w:line="440" w:lineRule="exact"/>
              <w:jc w:val="left"/>
              <w:outlineLvl w:val="0"/>
              <w:rPr>
                <w:rFonts w:hint="eastAsia" w:ascii="宋体" w:hAnsi="宋体" w:eastAsia="宋体" w:cs="宋体"/>
                <w:bCs/>
                <w:color w:val="auto"/>
                <w:szCs w:val="21"/>
                <w:highlight w:val="none"/>
              </w:rPr>
            </w:pPr>
          </w:p>
        </w:tc>
        <w:tc>
          <w:tcPr>
            <w:tcW w:w="598" w:type="dxa"/>
            <w:tcBorders>
              <w:left w:val="single" w:color="auto" w:sz="4" w:space="0"/>
            </w:tcBorders>
            <w:shd w:val="clear" w:color="auto" w:fill="auto"/>
            <w:noWrap w:val="0"/>
            <w:vAlign w:val="center"/>
          </w:tcPr>
          <w:p w14:paraId="44308A2E">
            <w:pPr>
              <w:keepNext w:val="0"/>
              <w:keepLines w:val="0"/>
              <w:pageBreakBefore w:val="0"/>
              <w:widowControl w:val="0"/>
              <w:kinsoku/>
              <w:overflowPunct/>
              <w:bidi w:val="0"/>
              <w:spacing w:line="440" w:lineRule="exact"/>
              <w:jc w:val="center"/>
              <w:outlineLvl w:val="0"/>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Cs w:val="21"/>
                <w:highlight w:val="none"/>
              </w:rPr>
              <w:t>6</w:t>
            </w:r>
          </w:p>
        </w:tc>
        <w:tc>
          <w:tcPr>
            <w:tcW w:w="6090" w:type="dxa"/>
            <w:tcBorders>
              <w:right w:val="single" w:color="auto" w:sz="4" w:space="0"/>
            </w:tcBorders>
            <w:noWrap w:val="0"/>
            <w:vAlign w:val="top"/>
          </w:tcPr>
          <w:p w14:paraId="557A0278">
            <w:pPr>
              <w:keepNext w:val="0"/>
              <w:keepLines w:val="0"/>
              <w:pageBreakBefore w:val="0"/>
              <w:widowControl w:val="0"/>
              <w:kinsoku/>
              <w:overflowPunct/>
              <w:bidi w:val="0"/>
              <w:spacing w:line="440" w:lineRule="exact"/>
              <w:jc w:val="left"/>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评标委员会共同确定有实质上不响应</w:t>
            </w:r>
            <w:r>
              <w:rPr>
                <w:rFonts w:hint="eastAsia" w:ascii="宋体" w:hAnsi="宋体" w:cs="宋体"/>
                <w:bCs/>
                <w:color w:val="auto"/>
                <w:szCs w:val="21"/>
                <w:highlight w:val="none"/>
                <w:lang w:eastAsia="zh-CN"/>
              </w:rPr>
              <w:t>磋商文件</w:t>
            </w:r>
            <w:r>
              <w:rPr>
                <w:rFonts w:hint="eastAsia" w:ascii="宋体" w:hAnsi="宋体" w:eastAsia="宋体" w:cs="宋体"/>
                <w:bCs/>
                <w:color w:val="auto"/>
                <w:szCs w:val="21"/>
                <w:highlight w:val="none"/>
              </w:rPr>
              <w:t>要求的；</w:t>
            </w:r>
          </w:p>
        </w:tc>
        <w:tc>
          <w:tcPr>
            <w:tcW w:w="683" w:type="dxa"/>
            <w:tcBorders>
              <w:left w:val="single" w:color="auto" w:sz="4" w:space="0"/>
            </w:tcBorders>
            <w:noWrap w:val="0"/>
            <w:vAlign w:val="top"/>
          </w:tcPr>
          <w:p w14:paraId="653F9CBC">
            <w:pPr>
              <w:keepNext w:val="0"/>
              <w:keepLines w:val="0"/>
              <w:pageBreakBefore w:val="0"/>
              <w:widowControl w:val="0"/>
              <w:kinsoku/>
              <w:overflowPunct/>
              <w:bidi w:val="0"/>
              <w:spacing w:line="440" w:lineRule="exact"/>
              <w:jc w:val="left"/>
              <w:outlineLvl w:val="0"/>
              <w:rPr>
                <w:rFonts w:hint="eastAsia" w:ascii="宋体" w:hAnsi="宋体" w:eastAsia="宋体" w:cs="宋体"/>
                <w:bCs/>
                <w:color w:val="auto"/>
                <w:szCs w:val="21"/>
                <w:highlight w:val="none"/>
              </w:rPr>
            </w:pPr>
          </w:p>
        </w:tc>
        <w:tc>
          <w:tcPr>
            <w:tcW w:w="577" w:type="dxa"/>
            <w:tcBorders>
              <w:right w:val="single" w:color="auto" w:sz="4" w:space="0"/>
            </w:tcBorders>
            <w:noWrap w:val="0"/>
            <w:vAlign w:val="top"/>
          </w:tcPr>
          <w:p w14:paraId="36EB0DF2">
            <w:pPr>
              <w:keepNext w:val="0"/>
              <w:keepLines w:val="0"/>
              <w:pageBreakBefore w:val="0"/>
              <w:widowControl w:val="0"/>
              <w:kinsoku/>
              <w:overflowPunct/>
              <w:bidi w:val="0"/>
              <w:spacing w:line="440" w:lineRule="exact"/>
              <w:jc w:val="left"/>
              <w:outlineLvl w:val="0"/>
              <w:rPr>
                <w:rFonts w:hint="eastAsia" w:ascii="宋体" w:hAnsi="宋体" w:eastAsia="宋体" w:cs="宋体"/>
                <w:bCs/>
                <w:color w:val="auto"/>
                <w:szCs w:val="21"/>
                <w:highlight w:val="none"/>
              </w:rPr>
            </w:pPr>
          </w:p>
        </w:tc>
      </w:tr>
      <w:tr w14:paraId="533188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5" w:hRule="atLeast"/>
        </w:trPr>
        <w:tc>
          <w:tcPr>
            <w:tcW w:w="828" w:type="dxa"/>
            <w:vMerge w:val="continue"/>
            <w:tcBorders>
              <w:left w:val="single" w:color="auto" w:sz="4" w:space="0"/>
              <w:right w:val="single" w:color="auto" w:sz="4" w:space="0"/>
            </w:tcBorders>
            <w:noWrap w:val="0"/>
            <w:vAlign w:val="center"/>
          </w:tcPr>
          <w:p w14:paraId="09DD95DE">
            <w:pPr>
              <w:keepNext w:val="0"/>
              <w:keepLines w:val="0"/>
              <w:pageBreakBefore w:val="0"/>
              <w:widowControl w:val="0"/>
              <w:kinsoku/>
              <w:overflowPunct/>
              <w:bidi w:val="0"/>
              <w:spacing w:line="440" w:lineRule="exact"/>
              <w:jc w:val="left"/>
              <w:outlineLvl w:val="0"/>
              <w:rPr>
                <w:rFonts w:hint="eastAsia" w:ascii="宋体" w:hAnsi="宋体" w:eastAsia="宋体" w:cs="宋体"/>
                <w:bCs/>
                <w:color w:val="auto"/>
                <w:szCs w:val="21"/>
                <w:highlight w:val="none"/>
              </w:rPr>
            </w:pPr>
          </w:p>
        </w:tc>
        <w:tc>
          <w:tcPr>
            <w:tcW w:w="598" w:type="dxa"/>
            <w:tcBorders>
              <w:left w:val="single" w:color="auto" w:sz="4" w:space="0"/>
              <w:bottom w:val="single" w:color="auto" w:sz="4" w:space="0"/>
            </w:tcBorders>
            <w:shd w:val="clear" w:color="auto" w:fill="auto"/>
            <w:noWrap w:val="0"/>
            <w:vAlign w:val="center"/>
          </w:tcPr>
          <w:p w14:paraId="31712E1C">
            <w:pPr>
              <w:keepNext w:val="0"/>
              <w:keepLines w:val="0"/>
              <w:pageBreakBefore w:val="0"/>
              <w:widowControl w:val="0"/>
              <w:kinsoku/>
              <w:overflowPunct/>
              <w:bidi w:val="0"/>
              <w:spacing w:line="440" w:lineRule="exact"/>
              <w:jc w:val="center"/>
              <w:outlineLvl w:val="0"/>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Cs w:val="21"/>
                <w:highlight w:val="none"/>
              </w:rPr>
              <w:t>7</w:t>
            </w:r>
          </w:p>
        </w:tc>
        <w:tc>
          <w:tcPr>
            <w:tcW w:w="6090" w:type="dxa"/>
            <w:tcBorders>
              <w:bottom w:val="single" w:color="auto" w:sz="4" w:space="0"/>
              <w:right w:val="single" w:color="auto" w:sz="4" w:space="0"/>
            </w:tcBorders>
            <w:noWrap w:val="0"/>
            <w:vAlign w:val="top"/>
          </w:tcPr>
          <w:p w14:paraId="496159DC">
            <w:pPr>
              <w:keepNext w:val="0"/>
              <w:keepLines w:val="0"/>
              <w:pageBreakBefore w:val="0"/>
              <w:widowControl w:val="0"/>
              <w:kinsoku/>
              <w:overflowPunct/>
              <w:bidi w:val="0"/>
              <w:spacing w:line="440" w:lineRule="exact"/>
              <w:jc w:val="left"/>
              <w:outlineLvl w:val="0"/>
              <w:rPr>
                <w:rFonts w:hint="eastAsia" w:ascii="宋体" w:hAnsi="宋体" w:eastAsia="宋体" w:cs="宋体"/>
                <w:bCs/>
                <w:color w:val="auto"/>
                <w:szCs w:val="21"/>
                <w:highlight w:val="none"/>
              </w:rPr>
            </w:pPr>
            <w:r>
              <w:rPr>
                <w:rFonts w:hint="eastAsia" w:ascii="宋体" w:hAnsi="宋体" w:cs="宋体"/>
                <w:bCs/>
                <w:color w:val="auto"/>
                <w:szCs w:val="21"/>
                <w:highlight w:val="none"/>
                <w:lang w:eastAsia="zh-CN"/>
              </w:rPr>
              <w:t>响应文件</w:t>
            </w:r>
            <w:r>
              <w:rPr>
                <w:rFonts w:hint="eastAsia" w:ascii="宋体" w:hAnsi="宋体" w:eastAsia="宋体" w:cs="宋体"/>
                <w:bCs/>
                <w:color w:val="auto"/>
                <w:szCs w:val="21"/>
                <w:highlight w:val="none"/>
              </w:rPr>
              <w:t>没有投标单位法定代表人或其授权代表签字（章）和加盖投标单位公章的；</w:t>
            </w:r>
          </w:p>
        </w:tc>
        <w:tc>
          <w:tcPr>
            <w:tcW w:w="683" w:type="dxa"/>
            <w:tcBorders>
              <w:left w:val="single" w:color="auto" w:sz="4" w:space="0"/>
              <w:bottom w:val="single" w:color="auto" w:sz="4" w:space="0"/>
            </w:tcBorders>
            <w:noWrap w:val="0"/>
            <w:vAlign w:val="top"/>
          </w:tcPr>
          <w:p w14:paraId="2291E6F1">
            <w:pPr>
              <w:keepNext w:val="0"/>
              <w:keepLines w:val="0"/>
              <w:pageBreakBefore w:val="0"/>
              <w:widowControl w:val="0"/>
              <w:kinsoku/>
              <w:overflowPunct/>
              <w:bidi w:val="0"/>
              <w:spacing w:line="440" w:lineRule="exact"/>
              <w:jc w:val="left"/>
              <w:outlineLvl w:val="0"/>
              <w:rPr>
                <w:rFonts w:hint="eastAsia" w:ascii="宋体" w:hAnsi="宋体" w:eastAsia="宋体" w:cs="宋体"/>
                <w:bCs/>
                <w:color w:val="auto"/>
                <w:szCs w:val="21"/>
                <w:highlight w:val="none"/>
              </w:rPr>
            </w:pPr>
          </w:p>
        </w:tc>
        <w:tc>
          <w:tcPr>
            <w:tcW w:w="577" w:type="dxa"/>
            <w:tcBorders>
              <w:bottom w:val="single" w:color="auto" w:sz="4" w:space="0"/>
              <w:right w:val="single" w:color="auto" w:sz="4" w:space="0"/>
            </w:tcBorders>
            <w:noWrap w:val="0"/>
            <w:vAlign w:val="top"/>
          </w:tcPr>
          <w:p w14:paraId="2E7DFF77">
            <w:pPr>
              <w:keepNext w:val="0"/>
              <w:keepLines w:val="0"/>
              <w:pageBreakBefore w:val="0"/>
              <w:widowControl w:val="0"/>
              <w:kinsoku/>
              <w:overflowPunct/>
              <w:bidi w:val="0"/>
              <w:spacing w:line="440" w:lineRule="exact"/>
              <w:jc w:val="left"/>
              <w:outlineLvl w:val="0"/>
              <w:rPr>
                <w:rFonts w:hint="eastAsia" w:ascii="宋体" w:hAnsi="宋体" w:eastAsia="宋体" w:cs="宋体"/>
                <w:bCs/>
                <w:color w:val="auto"/>
                <w:szCs w:val="21"/>
                <w:highlight w:val="none"/>
              </w:rPr>
            </w:pPr>
          </w:p>
        </w:tc>
      </w:tr>
      <w:tr w14:paraId="660D76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3" w:hRule="atLeast"/>
        </w:trPr>
        <w:tc>
          <w:tcPr>
            <w:tcW w:w="828" w:type="dxa"/>
            <w:vMerge w:val="continue"/>
            <w:tcBorders>
              <w:left w:val="single" w:color="auto" w:sz="4" w:space="0"/>
              <w:right w:val="single" w:color="auto" w:sz="4" w:space="0"/>
            </w:tcBorders>
            <w:noWrap w:val="0"/>
            <w:vAlign w:val="center"/>
          </w:tcPr>
          <w:p w14:paraId="29B05418">
            <w:pPr>
              <w:keepNext w:val="0"/>
              <w:keepLines w:val="0"/>
              <w:pageBreakBefore w:val="0"/>
              <w:widowControl w:val="0"/>
              <w:kinsoku/>
              <w:overflowPunct/>
              <w:bidi w:val="0"/>
              <w:spacing w:line="440" w:lineRule="exact"/>
              <w:jc w:val="left"/>
              <w:outlineLvl w:val="0"/>
              <w:rPr>
                <w:rFonts w:hint="eastAsia" w:ascii="宋体" w:hAnsi="宋体" w:eastAsia="宋体" w:cs="宋体"/>
                <w:bCs/>
                <w:color w:val="auto"/>
                <w:szCs w:val="21"/>
                <w:highlight w:val="none"/>
              </w:rPr>
            </w:pPr>
          </w:p>
        </w:tc>
        <w:tc>
          <w:tcPr>
            <w:tcW w:w="59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B32662F">
            <w:pPr>
              <w:keepNext w:val="0"/>
              <w:keepLines w:val="0"/>
              <w:pageBreakBefore w:val="0"/>
              <w:widowControl w:val="0"/>
              <w:kinsoku/>
              <w:overflowPunct/>
              <w:bidi w:val="0"/>
              <w:spacing w:line="440" w:lineRule="exact"/>
              <w:jc w:val="center"/>
              <w:outlineLvl w:val="0"/>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Cs w:val="21"/>
                <w:highlight w:val="none"/>
              </w:rPr>
              <w:t>8</w:t>
            </w:r>
          </w:p>
        </w:tc>
        <w:tc>
          <w:tcPr>
            <w:tcW w:w="6090" w:type="dxa"/>
            <w:tcBorders>
              <w:top w:val="single" w:color="auto" w:sz="4" w:space="0"/>
              <w:left w:val="single" w:color="auto" w:sz="4" w:space="0"/>
              <w:bottom w:val="single" w:color="auto" w:sz="4" w:space="0"/>
              <w:right w:val="single" w:color="auto" w:sz="4" w:space="0"/>
            </w:tcBorders>
            <w:noWrap w:val="0"/>
            <w:vAlign w:val="top"/>
          </w:tcPr>
          <w:p w14:paraId="04EA9B33">
            <w:pPr>
              <w:keepNext w:val="0"/>
              <w:keepLines w:val="0"/>
              <w:pageBreakBefore w:val="0"/>
              <w:widowControl w:val="0"/>
              <w:kinsoku/>
              <w:overflowPunct/>
              <w:bidi w:val="0"/>
              <w:spacing w:line="440" w:lineRule="exact"/>
              <w:jc w:val="left"/>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投标的政府采购项目完成期限超过</w:t>
            </w:r>
            <w:r>
              <w:rPr>
                <w:rFonts w:hint="eastAsia" w:ascii="宋体" w:hAnsi="宋体" w:cs="宋体"/>
                <w:bCs/>
                <w:color w:val="auto"/>
                <w:szCs w:val="21"/>
                <w:highlight w:val="none"/>
                <w:lang w:eastAsia="zh-CN"/>
              </w:rPr>
              <w:t>磋商文件</w:t>
            </w:r>
            <w:r>
              <w:rPr>
                <w:rFonts w:hint="eastAsia" w:ascii="宋体" w:hAnsi="宋体" w:eastAsia="宋体" w:cs="宋体"/>
                <w:bCs/>
                <w:color w:val="auto"/>
                <w:szCs w:val="21"/>
                <w:highlight w:val="none"/>
              </w:rPr>
              <w:t>规定期限的；</w:t>
            </w:r>
          </w:p>
        </w:tc>
        <w:tc>
          <w:tcPr>
            <w:tcW w:w="683" w:type="dxa"/>
            <w:tcBorders>
              <w:top w:val="single" w:color="auto" w:sz="4" w:space="0"/>
              <w:left w:val="single" w:color="auto" w:sz="4" w:space="0"/>
              <w:bottom w:val="single" w:color="auto" w:sz="4" w:space="0"/>
              <w:right w:val="single" w:color="auto" w:sz="4" w:space="0"/>
            </w:tcBorders>
            <w:noWrap w:val="0"/>
            <w:vAlign w:val="top"/>
          </w:tcPr>
          <w:p w14:paraId="133995AE">
            <w:pPr>
              <w:keepNext w:val="0"/>
              <w:keepLines w:val="0"/>
              <w:pageBreakBefore w:val="0"/>
              <w:widowControl w:val="0"/>
              <w:kinsoku/>
              <w:overflowPunct/>
              <w:bidi w:val="0"/>
              <w:spacing w:line="440" w:lineRule="exact"/>
              <w:jc w:val="left"/>
              <w:outlineLvl w:val="0"/>
              <w:rPr>
                <w:rFonts w:hint="eastAsia" w:ascii="宋体" w:hAnsi="宋体" w:eastAsia="宋体" w:cs="宋体"/>
                <w:bCs/>
                <w:color w:val="auto"/>
                <w:szCs w:val="21"/>
                <w:highlight w:val="none"/>
              </w:rPr>
            </w:pPr>
          </w:p>
        </w:tc>
        <w:tc>
          <w:tcPr>
            <w:tcW w:w="577" w:type="dxa"/>
            <w:tcBorders>
              <w:top w:val="single" w:color="auto" w:sz="4" w:space="0"/>
              <w:left w:val="single" w:color="auto" w:sz="4" w:space="0"/>
              <w:bottom w:val="single" w:color="auto" w:sz="4" w:space="0"/>
              <w:right w:val="single" w:color="auto" w:sz="4" w:space="0"/>
            </w:tcBorders>
            <w:noWrap w:val="0"/>
            <w:vAlign w:val="top"/>
          </w:tcPr>
          <w:p w14:paraId="74BDB502">
            <w:pPr>
              <w:keepNext w:val="0"/>
              <w:keepLines w:val="0"/>
              <w:pageBreakBefore w:val="0"/>
              <w:widowControl w:val="0"/>
              <w:kinsoku/>
              <w:overflowPunct/>
              <w:bidi w:val="0"/>
              <w:spacing w:line="440" w:lineRule="exact"/>
              <w:jc w:val="left"/>
              <w:outlineLvl w:val="0"/>
              <w:rPr>
                <w:rFonts w:hint="eastAsia" w:ascii="宋体" w:hAnsi="宋体" w:eastAsia="宋体" w:cs="宋体"/>
                <w:bCs/>
                <w:color w:val="auto"/>
                <w:szCs w:val="21"/>
                <w:highlight w:val="none"/>
              </w:rPr>
            </w:pPr>
          </w:p>
        </w:tc>
      </w:tr>
      <w:tr w14:paraId="1550A8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3" w:hRule="atLeast"/>
        </w:trPr>
        <w:tc>
          <w:tcPr>
            <w:tcW w:w="828" w:type="dxa"/>
            <w:vMerge w:val="continue"/>
            <w:tcBorders>
              <w:left w:val="single" w:color="auto" w:sz="4" w:space="0"/>
              <w:right w:val="single" w:color="auto" w:sz="4" w:space="0"/>
            </w:tcBorders>
            <w:noWrap w:val="0"/>
            <w:vAlign w:val="center"/>
          </w:tcPr>
          <w:p w14:paraId="1676DA70">
            <w:pPr>
              <w:keepNext w:val="0"/>
              <w:keepLines w:val="0"/>
              <w:pageBreakBefore w:val="0"/>
              <w:widowControl w:val="0"/>
              <w:kinsoku/>
              <w:overflowPunct/>
              <w:bidi w:val="0"/>
              <w:spacing w:line="440" w:lineRule="exact"/>
              <w:jc w:val="left"/>
              <w:outlineLvl w:val="0"/>
              <w:rPr>
                <w:rFonts w:hint="eastAsia" w:ascii="宋体" w:hAnsi="宋体" w:eastAsia="宋体" w:cs="宋体"/>
                <w:bCs/>
                <w:color w:val="auto"/>
                <w:szCs w:val="21"/>
                <w:highlight w:val="none"/>
              </w:rPr>
            </w:pPr>
          </w:p>
        </w:tc>
        <w:tc>
          <w:tcPr>
            <w:tcW w:w="598" w:type="dxa"/>
            <w:tcBorders>
              <w:left w:val="single" w:color="auto" w:sz="4" w:space="0"/>
            </w:tcBorders>
            <w:shd w:val="clear" w:color="auto" w:fill="auto"/>
            <w:noWrap w:val="0"/>
            <w:vAlign w:val="center"/>
          </w:tcPr>
          <w:p w14:paraId="3C5D3EF2">
            <w:pPr>
              <w:keepNext w:val="0"/>
              <w:keepLines w:val="0"/>
              <w:pageBreakBefore w:val="0"/>
              <w:widowControl w:val="0"/>
              <w:kinsoku/>
              <w:overflowPunct/>
              <w:bidi w:val="0"/>
              <w:spacing w:line="440" w:lineRule="exact"/>
              <w:jc w:val="center"/>
              <w:outlineLvl w:val="0"/>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Cs w:val="21"/>
                <w:highlight w:val="none"/>
              </w:rPr>
              <w:t>9</w:t>
            </w:r>
          </w:p>
        </w:tc>
        <w:tc>
          <w:tcPr>
            <w:tcW w:w="6090" w:type="dxa"/>
            <w:tcBorders>
              <w:right w:val="single" w:color="auto" w:sz="4" w:space="0"/>
            </w:tcBorders>
            <w:noWrap w:val="0"/>
            <w:vAlign w:val="top"/>
          </w:tcPr>
          <w:p w14:paraId="7DC55FB2">
            <w:pPr>
              <w:keepNext w:val="0"/>
              <w:keepLines w:val="0"/>
              <w:pageBreakBefore w:val="0"/>
              <w:widowControl w:val="0"/>
              <w:kinsoku/>
              <w:overflowPunct/>
              <w:bidi w:val="0"/>
              <w:spacing w:line="440" w:lineRule="exact"/>
              <w:jc w:val="left"/>
              <w:outlineLvl w:val="0"/>
              <w:rPr>
                <w:rFonts w:hint="eastAsia" w:ascii="宋体" w:hAnsi="宋体" w:eastAsia="宋体" w:cs="宋体"/>
                <w:bCs/>
                <w:color w:val="auto"/>
                <w:szCs w:val="21"/>
                <w:highlight w:val="none"/>
              </w:rPr>
            </w:pPr>
            <w:r>
              <w:rPr>
                <w:rFonts w:hint="eastAsia" w:ascii="宋体" w:hAnsi="宋体" w:cs="宋体"/>
                <w:bCs/>
                <w:color w:val="auto"/>
                <w:szCs w:val="21"/>
                <w:highlight w:val="none"/>
                <w:lang w:eastAsia="zh-CN"/>
              </w:rPr>
              <w:t>响应文件</w:t>
            </w:r>
            <w:r>
              <w:rPr>
                <w:rFonts w:hint="eastAsia" w:ascii="宋体" w:hAnsi="宋体" w:eastAsia="宋体" w:cs="宋体"/>
                <w:bCs/>
                <w:color w:val="auto"/>
                <w:szCs w:val="21"/>
                <w:highlight w:val="none"/>
              </w:rPr>
              <w:t>附有采购人不能接受条件的；</w:t>
            </w:r>
          </w:p>
        </w:tc>
        <w:tc>
          <w:tcPr>
            <w:tcW w:w="683" w:type="dxa"/>
            <w:tcBorders>
              <w:left w:val="single" w:color="auto" w:sz="4" w:space="0"/>
            </w:tcBorders>
            <w:noWrap w:val="0"/>
            <w:vAlign w:val="top"/>
          </w:tcPr>
          <w:p w14:paraId="7BA232D5">
            <w:pPr>
              <w:keepNext w:val="0"/>
              <w:keepLines w:val="0"/>
              <w:pageBreakBefore w:val="0"/>
              <w:widowControl w:val="0"/>
              <w:kinsoku/>
              <w:overflowPunct/>
              <w:bidi w:val="0"/>
              <w:spacing w:line="440" w:lineRule="exact"/>
              <w:jc w:val="left"/>
              <w:outlineLvl w:val="0"/>
              <w:rPr>
                <w:rFonts w:hint="eastAsia" w:ascii="宋体" w:hAnsi="宋体" w:eastAsia="宋体" w:cs="宋体"/>
                <w:bCs/>
                <w:color w:val="auto"/>
                <w:szCs w:val="21"/>
                <w:highlight w:val="none"/>
              </w:rPr>
            </w:pPr>
          </w:p>
        </w:tc>
        <w:tc>
          <w:tcPr>
            <w:tcW w:w="577" w:type="dxa"/>
            <w:tcBorders>
              <w:right w:val="single" w:color="auto" w:sz="4" w:space="0"/>
            </w:tcBorders>
            <w:noWrap w:val="0"/>
            <w:vAlign w:val="top"/>
          </w:tcPr>
          <w:p w14:paraId="7EF8E369">
            <w:pPr>
              <w:keepNext w:val="0"/>
              <w:keepLines w:val="0"/>
              <w:pageBreakBefore w:val="0"/>
              <w:widowControl w:val="0"/>
              <w:kinsoku/>
              <w:overflowPunct/>
              <w:bidi w:val="0"/>
              <w:spacing w:line="440" w:lineRule="exact"/>
              <w:jc w:val="left"/>
              <w:outlineLvl w:val="0"/>
              <w:rPr>
                <w:rFonts w:hint="eastAsia" w:ascii="宋体" w:hAnsi="宋体" w:eastAsia="宋体" w:cs="宋体"/>
                <w:bCs/>
                <w:color w:val="auto"/>
                <w:szCs w:val="21"/>
                <w:highlight w:val="none"/>
              </w:rPr>
            </w:pPr>
          </w:p>
        </w:tc>
      </w:tr>
      <w:tr w14:paraId="4121EB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3" w:hRule="atLeast"/>
        </w:trPr>
        <w:tc>
          <w:tcPr>
            <w:tcW w:w="828" w:type="dxa"/>
            <w:vMerge w:val="continue"/>
            <w:tcBorders>
              <w:left w:val="single" w:color="auto" w:sz="4" w:space="0"/>
              <w:right w:val="single" w:color="auto" w:sz="4" w:space="0"/>
            </w:tcBorders>
            <w:noWrap w:val="0"/>
            <w:vAlign w:val="center"/>
          </w:tcPr>
          <w:p w14:paraId="25319005">
            <w:pPr>
              <w:keepNext w:val="0"/>
              <w:keepLines w:val="0"/>
              <w:pageBreakBefore w:val="0"/>
              <w:widowControl w:val="0"/>
              <w:kinsoku/>
              <w:overflowPunct/>
              <w:bidi w:val="0"/>
              <w:spacing w:line="440" w:lineRule="exact"/>
              <w:jc w:val="left"/>
              <w:outlineLvl w:val="0"/>
              <w:rPr>
                <w:rFonts w:hint="eastAsia" w:ascii="宋体" w:hAnsi="宋体" w:eastAsia="宋体" w:cs="宋体"/>
                <w:bCs/>
                <w:color w:val="auto"/>
                <w:szCs w:val="21"/>
                <w:highlight w:val="none"/>
              </w:rPr>
            </w:pPr>
          </w:p>
        </w:tc>
        <w:tc>
          <w:tcPr>
            <w:tcW w:w="598" w:type="dxa"/>
            <w:tcBorders>
              <w:left w:val="single" w:color="auto" w:sz="4" w:space="0"/>
            </w:tcBorders>
            <w:noWrap w:val="0"/>
            <w:vAlign w:val="center"/>
          </w:tcPr>
          <w:p w14:paraId="2FA39A16">
            <w:pPr>
              <w:keepNext w:val="0"/>
              <w:keepLines w:val="0"/>
              <w:pageBreakBefore w:val="0"/>
              <w:widowControl w:val="0"/>
              <w:kinsoku/>
              <w:overflowPunct/>
              <w:bidi w:val="0"/>
              <w:spacing w:line="440" w:lineRule="exact"/>
              <w:jc w:val="center"/>
              <w:outlineLvl w:val="0"/>
              <w:rPr>
                <w:rFonts w:hint="default" w:ascii="宋体" w:hAnsi="宋体" w:eastAsia="宋体" w:cs="宋体"/>
                <w:bCs/>
                <w:color w:val="auto"/>
                <w:szCs w:val="21"/>
                <w:highlight w:val="none"/>
                <w:lang w:val="en-US" w:eastAsia="zh-CN"/>
              </w:rPr>
            </w:pPr>
            <w:r>
              <w:rPr>
                <w:rFonts w:hint="eastAsia" w:ascii="宋体" w:hAnsi="宋体" w:cs="宋体"/>
                <w:bCs/>
                <w:color w:val="auto"/>
                <w:szCs w:val="21"/>
                <w:highlight w:val="none"/>
                <w:lang w:val="en-US" w:eastAsia="zh-CN"/>
              </w:rPr>
              <w:t>10</w:t>
            </w:r>
          </w:p>
        </w:tc>
        <w:tc>
          <w:tcPr>
            <w:tcW w:w="6090" w:type="dxa"/>
            <w:tcBorders>
              <w:right w:val="single" w:color="auto" w:sz="4" w:space="0"/>
            </w:tcBorders>
            <w:noWrap w:val="0"/>
            <w:vAlign w:val="top"/>
          </w:tcPr>
          <w:p w14:paraId="0F1421E0">
            <w:pPr>
              <w:keepNext w:val="0"/>
              <w:keepLines w:val="0"/>
              <w:pageBreakBefore w:val="0"/>
              <w:widowControl w:val="0"/>
              <w:kinsoku/>
              <w:overflowPunct/>
              <w:bidi w:val="0"/>
              <w:spacing w:line="440" w:lineRule="exact"/>
              <w:jc w:val="left"/>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不满足</w:t>
            </w:r>
            <w:r>
              <w:rPr>
                <w:rFonts w:hint="eastAsia" w:ascii="宋体" w:hAnsi="宋体" w:cs="宋体"/>
                <w:bCs/>
                <w:color w:val="auto"/>
                <w:szCs w:val="21"/>
                <w:highlight w:val="none"/>
                <w:lang w:val="en-US" w:eastAsia="zh-CN"/>
              </w:rPr>
              <w:t>磋商</w:t>
            </w:r>
            <w:r>
              <w:rPr>
                <w:rFonts w:hint="eastAsia" w:ascii="宋体" w:hAnsi="宋体" w:eastAsia="宋体" w:cs="宋体"/>
                <w:bCs/>
                <w:color w:val="auto"/>
                <w:szCs w:val="21"/>
                <w:highlight w:val="none"/>
              </w:rPr>
              <w:t>文件实质性要求的其他情形.....</w:t>
            </w:r>
          </w:p>
        </w:tc>
        <w:tc>
          <w:tcPr>
            <w:tcW w:w="683" w:type="dxa"/>
            <w:tcBorders>
              <w:left w:val="single" w:color="auto" w:sz="4" w:space="0"/>
            </w:tcBorders>
            <w:noWrap w:val="0"/>
            <w:vAlign w:val="top"/>
          </w:tcPr>
          <w:p w14:paraId="0CFEFAC3">
            <w:pPr>
              <w:keepNext w:val="0"/>
              <w:keepLines w:val="0"/>
              <w:pageBreakBefore w:val="0"/>
              <w:widowControl w:val="0"/>
              <w:kinsoku/>
              <w:overflowPunct/>
              <w:bidi w:val="0"/>
              <w:spacing w:line="440" w:lineRule="exact"/>
              <w:jc w:val="left"/>
              <w:outlineLvl w:val="0"/>
              <w:rPr>
                <w:rFonts w:hint="eastAsia" w:ascii="宋体" w:hAnsi="宋体" w:eastAsia="宋体" w:cs="宋体"/>
                <w:bCs/>
                <w:color w:val="auto"/>
                <w:szCs w:val="21"/>
                <w:highlight w:val="none"/>
              </w:rPr>
            </w:pPr>
          </w:p>
        </w:tc>
        <w:tc>
          <w:tcPr>
            <w:tcW w:w="577" w:type="dxa"/>
            <w:tcBorders>
              <w:right w:val="single" w:color="auto" w:sz="4" w:space="0"/>
            </w:tcBorders>
            <w:noWrap w:val="0"/>
            <w:vAlign w:val="top"/>
          </w:tcPr>
          <w:p w14:paraId="18AF80BB">
            <w:pPr>
              <w:keepNext w:val="0"/>
              <w:keepLines w:val="0"/>
              <w:pageBreakBefore w:val="0"/>
              <w:widowControl w:val="0"/>
              <w:kinsoku/>
              <w:overflowPunct/>
              <w:bidi w:val="0"/>
              <w:spacing w:line="440" w:lineRule="exact"/>
              <w:jc w:val="left"/>
              <w:outlineLvl w:val="0"/>
              <w:rPr>
                <w:rFonts w:hint="eastAsia" w:ascii="宋体" w:hAnsi="宋体" w:eastAsia="宋体" w:cs="宋体"/>
                <w:bCs/>
                <w:color w:val="auto"/>
                <w:szCs w:val="21"/>
                <w:highlight w:val="none"/>
              </w:rPr>
            </w:pPr>
          </w:p>
        </w:tc>
      </w:tr>
      <w:tr w14:paraId="7860E6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9" w:hRule="atLeast"/>
        </w:trPr>
        <w:tc>
          <w:tcPr>
            <w:tcW w:w="828" w:type="dxa"/>
            <w:tcBorders>
              <w:left w:val="single" w:color="auto" w:sz="4" w:space="0"/>
              <w:bottom w:val="single" w:color="auto" w:sz="4" w:space="0"/>
              <w:right w:val="single" w:color="auto" w:sz="4" w:space="0"/>
            </w:tcBorders>
            <w:noWrap w:val="0"/>
            <w:vAlign w:val="center"/>
          </w:tcPr>
          <w:p w14:paraId="5BDB4FE7">
            <w:pPr>
              <w:keepNext w:val="0"/>
              <w:keepLines w:val="0"/>
              <w:pageBreakBefore w:val="0"/>
              <w:widowControl w:val="0"/>
              <w:kinsoku/>
              <w:overflowPunct/>
              <w:bidi w:val="0"/>
              <w:spacing w:line="440" w:lineRule="exact"/>
              <w:jc w:val="left"/>
              <w:outlineLvl w:val="0"/>
              <w:rPr>
                <w:rFonts w:hint="eastAsia" w:ascii="宋体" w:hAnsi="宋体" w:eastAsia="宋体" w:cs="宋体"/>
                <w:bCs/>
                <w:color w:val="auto"/>
                <w:szCs w:val="21"/>
                <w:highlight w:val="none"/>
              </w:rPr>
            </w:pPr>
          </w:p>
        </w:tc>
        <w:tc>
          <w:tcPr>
            <w:tcW w:w="6688" w:type="dxa"/>
            <w:gridSpan w:val="2"/>
            <w:tcBorders>
              <w:left w:val="single" w:color="auto" w:sz="4" w:space="0"/>
              <w:bottom w:val="single" w:color="auto" w:sz="4" w:space="0"/>
              <w:right w:val="single" w:color="auto" w:sz="4" w:space="0"/>
            </w:tcBorders>
            <w:noWrap w:val="0"/>
            <w:vAlign w:val="top"/>
          </w:tcPr>
          <w:p w14:paraId="2BB4A9C1">
            <w:pPr>
              <w:keepNext w:val="0"/>
              <w:keepLines w:val="0"/>
              <w:pageBreakBefore w:val="0"/>
              <w:widowControl w:val="0"/>
              <w:kinsoku/>
              <w:overflowPunct/>
              <w:bidi w:val="0"/>
              <w:spacing w:line="440" w:lineRule="exact"/>
              <w:jc w:val="left"/>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结论：是否通过评审（须填写通过或不通过）</w:t>
            </w:r>
          </w:p>
          <w:p w14:paraId="6E8ADDDD">
            <w:pPr>
              <w:keepNext w:val="0"/>
              <w:keepLines w:val="0"/>
              <w:pageBreakBefore w:val="0"/>
              <w:widowControl w:val="0"/>
              <w:kinsoku/>
              <w:overflowPunct/>
              <w:bidi w:val="0"/>
              <w:spacing w:line="440" w:lineRule="exact"/>
              <w:jc w:val="left"/>
              <w:outlineLvl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注：如有一项不合格，作废标处理。</w:t>
            </w:r>
          </w:p>
        </w:tc>
        <w:tc>
          <w:tcPr>
            <w:tcW w:w="1260" w:type="dxa"/>
            <w:gridSpan w:val="2"/>
            <w:tcBorders>
              <w:left w:val="single" w:color="auto" w:sz="4" w:space="0"/>
              <w:bottom w:val="single" w:color="auto" w:sz="4" w:space="0"/>
              <w:right w:val="single" w:color="auto" w:sz="4" w:space="0"/>
            </w:tcBorders>
            <w:noWrap w:val="0"/>
            <w:vAlign w:val="top"/>
          </w:tcPr>
          <w:p w14:paraId="51BADC81">
            <w:pPr>
              <w:keepNext w:val="0"/>
              <w:keepLines w:val="0"/>
              <w:pageBreakBefore w:val="0"/>
              <w:widowControl w:val="0"/>
              <w:kinsoku/>
              <w:overflowPunct/>
              <w:bidi w:val="0"/>
              <w:spacing w:line="440" w:lineRule="exact"/>
              <w:jc w:val="left"/>
              <w:outlineLvl w:val="0"/>
              <w:rPr>
                <w:rFonts w:hint="eastAsia" w:ascii="宋体" w:hAnsi="宋体" w:eastAsia="宋体" w:cs="宋体"/>
                <w:bCs/>
                <w:color w:val="auto"/>
                <w:szCs w:val="21"/>
                <w:highlight w:val="none"/>
              </w:rPr>
            </w:pPr>
          </w:p>
        </w:tc>
      </w:tr>
    </w:tbl>
    <w:p w14:paraId="6487390C">
      <w:pPr>
        <w:pStyle w:val="11"/>
        <w:keepNext w:val="0"/>
        <w:keepLines w:val="0"/>
        <w:pageBreakBefore w:val="0"/>
        <w:widowControl w:val="0"/>
        <w:tabs>
          <w:tab w:val="clear" w:pos="567"/>
        </w:tabs>
        <w:kinsoku/>
        <w:overflowPunct/>
        <w:bidi w:val="0"/>
        <w:spacing w:before="0" w:line="360" w:lineRule="auto"/>
        <w:rPr>
          <w:rFonts w:hint="eastAsia" w:ascii="宋体" w:hAnsi="宋体" w:eastAsia="宋体" w:cs="宋体"/>
          <w:color w:val="auto"/>
          <w:highlight w:val="none"/>
        </w:rPr>
      </w:pPr>
    </w:p>
    <w:p w14:paraId="7377AE00">
      <w:pPr>
        <w:pStyle w:val="3"/>
        <w:keepNext w:val="0"/>
        <w:keepLines w:val="0"/>
        <w:pageBreakBefore w:val="0"/>
        <w:widowControl w:val="0"/>
        <w:kinsoku/>
        <w:overflowPunct/>
        <w:bidi w:val="0"/>
        <w:spacing w:before="0" w:line="240" w:lineRule="atLeast"/>
        <w:ind w:left="1080" w:leftChars="257" w:hanging="540"/>
        <w:rPr>
          <w:rFonts w:hint="eastAsia" w:ascii="宋体" w:hAnsi="宋体" w:eastAsia="宋体" w:cs="宋体"/>
          <w:color w:val="auto"/>
          <w:sz w:val="28"/>
          <w:szCs w:val="21"/>
          <w:highlight w:val="none"/>
        </w:rPr>
      </w:pPr>
      <w:r>
        <w:rPr>
          <w:rFonts w:hint="eastAsia" w:ascii="宋体" w:hAnsi="宋体" w:eastAsia="宋体" w:cs="宋体"/>
          <w:b w:val="0"/>
          <w:bCs/>
          <w:color w:val="auto"/>
          <w:sz w:val="40"/>
          <w:szCs w:val="40"/>
          <w:highlight w:val="none"/>
        </w:rPr>
        <w:br w:type="page"/>
      </w:r>
      <w:r>
        <w:rPr>
          <w:rFonts w:hint="eastAsia" w:ascii="宋体" w:hAnsi="宋体" w:eastAsia="宋体" w:cs="宋体"/>
          <w:color w:val="auto"/>
          <w:sz w:val="28"/>
          <w:szCs w:val="21"/>
          <w:highlight w:val="none"/>
        </w:rPr>
        <w:t>综合评分表</w:t>
      </w:r>
    </w:p>
    <w:p w14:paraId="62B127B2">
      <w:pPr>
        <w:pStyle w:val="4"/>
        <w:rPr>
          <w:rFonts w:hint="eastAsia"/>
        </w:rPr>
      </w:pPr>
    </w:p>
    <w:tbl>
      <w:tblPr>
        <w:tblStyle w:val="37"/>
        <w:tblW w:w="9171" w:type="dxa"/>
        <w:tblInd w:w="-3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35"/>
        <w:gridCol w:w="1198"/>
        <w:gridCol w:w="6838"/>
      </w:tblGrid>
      <w:tr w14:paraId="666E5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5" w:hRule="atLeast"/>
        </w:trPr>
        <w:tc>
          <w:tcPr>
            <w:tcW w:w="1135" w:type="dxa"/>
            <w:noWrap w:val="0"/>
            <w:vAlign w:val="center"/>
          </w:tcPr>
          <w:p w14:paraId="3F14FD97">
            <w:pPr>
              <w:keepNext w:val="0"/>
              <w:keepLines w:val="0"/>
              <w:pageBreakBefore w:val="0"/>
              <w:widowControl w:val="0"/>
              <w:kinsoku/>
              <w:wordWrap/>
              <w:overflowPunct/>
              <w:topLinePunct w:val="0"/>
              <w:autoSpaceDE w:val="0"/>
              <w:autoSpaceDN w:val="0"/>
              <w:bidi w:val="0"/>
              <w:adjustRightInd w:val="0"/>
              <w:snapToGrid/>
              <w:spacing w:before="48" w:line="280" w:lineRule="exact"/>
              <w:ind w:right="-20"/>
              <w:jc w:val="center"/>
              <w:textAlignment w:val="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评分因素</w:t>
            </w:r>
          </w:p>
        </w:tc>
        <w:tc>
          <w:tcPr>
            <w:tcW w:w="1198" w:type="dxa"/>
            <w:noWrap w:val="0"/>
            <w:vAlign w:val="center"/>
          </w:tcPr>
          <w:p w14:paraId="687AE781">
            <w:pPr>
              <w:keepNext w:val="0"/>
              <w:keepLines w:val="0"/>
              <w:pageBreakBefore w:val="0"/>
              <w:widowControl w:val="0"/>
              <w:kinsoku/>
              <w:wordWrap/>
              <w:overflowPunct/>
              <w:topLinePunct w:val="0"/>
              <w:autoSpaceDE w:val="0"/>
              <w:autoSpaceDN w:val="0"/>
              <w:bidi w:val="0"/>
              <w:adjustRightInd w:val="0"/>
              <w:snapToGrid/>
              <w:spacing w:before="48" w:line="280" w:lineRule="exact"/>
              <w:ind w:right="120"/>
              <w:jc w:val="center"/>
              <w:textAlignment w:val="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分值</w:t>
            </w:r>
          </w:p>
        </w:tc>
        <w:tc>
          <w:tcPr>
            <w:tcW w:w="6838" w:type="dxa"/>
            <w:noWrap w:val="0"/>
            <w:vAlign w:val="center"/>
          </w:tcPr>
          <w:p w14:paraId="1BB497B6">
            <w:pPr>
              <w:keepNext w:val="0"/>
              <w:keepLines w:val="0"/>
              <w:pageBreakBefore w:val="0"/>
              <w:widowControl w:val="0"/>
              <w:kinsoku/>
              <w:wordWrap/>
              <w:overflowPunct/>
              <w:topLinePunct w:val="0"/>
              <w:autoSpaceDE w:val="0"/>
              <w:autoSpaceDN w:val="0"/>
              <w:bidi w:val="0"/>
              <w:adjustRightInd w:val="0"/>
              <w:snapToGrid/>
              <w:spacing w:before="48" w:line="280" w:lineRule="exact"/>
              <w:ind w:right="120"/>
              <w:jc w:val="center"/>
              <w:textAlignment w:val="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评分标准</w:t>
            </w:r>
          </w:p>
        </w:tc>
      </w:tr>
      <w:tr w14:paraId="356DB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0" w:hRule="atLeast"/>
        </w:trPr>
        <w:tc>
          <w:tcPr>
            <w:tcW w:w="1135" w:type="dxa"/>
            <w:noWrap w:val="0"/>
            <w:vAlign w:val="center"/>
          </w:tcPr>
          <w:p w14:paraId="01FA6181">
            <w:pPr>
              <w:keepNext w:val="0"/>
              <w:keepLines w:val="0"/>
              <w:pageBreakBefore w:val="0"/>
              <w:widowControl w:val="0"/>
              <w:kinsoku/>
              <w:wordWrap/>
              <w:overflowPunct/>
              <w:topLinePunct w:val="0"/>
              <w:autoSpaceDE w:val="0"/>
              <w:autoSpaceDN w:val="0"/>
              <w:bidi w:val="0"/>
              <w:adjustRightInd w:val="0"/>
              <w:snapToGrid/>
              <w:spacing w:line="280" w:lineRule="exact"/>
              <w:ind w:right="60"/>
              <w:jc w:val="center"/>
              <w:textAlignment w:val="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报价  </w:t>
            </w:r>
            <w:r>
              <w:rPr>
                <w:rFonts w:hint="eastAsia" w:ascii="宋体" w:hAnsi="宋体" w:cs="宋体"/>
                <w:color w:val="auto"/>
                <w:kern w:val="0"/>
                <w:sz w:val="22"/>
                <w:szCs w:val="22"/>
                <w:highlight w:val="none"/>
                <w:lang w:val="en-US" w:eastAsia="zh-CN"/>
              </w:rPr>
              <w:t xml:space="preserve">    </w:t>
            </w:r>
            <w:r>
              <w:rPr>
                <w:rFonts w:hint="eastAsia" w:ascii="宋体" w:hAnsi="宋体" w:cs="宋体"/>
                <w:color w:val="auto"/>
                <w:kern w:val="0"/>
                <w:sz w:val="22"/>
                <w:szCs w:val="22"/>
                <w:highlight w:val="none"/>
              </w:rPr>
              <w:t>（</w:t>
            </w:r>
            <w:r>
              <w:rPr>
                <w:rFonts w:hint="eastAsia" w:ascii="宋体" w:hAnsi="宋体" w:cs="宋体"/>
                <w:color w:val="auto"/>
                <w:kern w:val="0"/>
                <w:sz w:val="22"/>
                <w:szCs w:val="22"/>
                <w:highlight w:val="none"/>
                <w:lang w:val="en-US" w:eastAsia="zh-CN"/>
              </w:rPr>
              <w:t>10</w:t>
            </w:r>
            <w:r>
              <w:rPr>
                <w:rFonts w:hint="eastAsia" w:ascii="宋体" w:hAnsi="宋体" w:cs="宋体"/>
                <w:color w:val="auto"/>
                <w:kern w:val="0"/>
                <w:sz w:val="22"/>
                <w:szCs w:val="22"/>
                <w:highlight w:val="none"/>
              </w:rPr>
              <w:t>分）</w:t>
            </w:r>
          </w:p>
        </w:tc>
        <w:tc>
          <w:tcPr>
            <w:tcW w:w="1198" w:type="dxa"/>
            <w:noWrap w:val="0"/>
            <w:vAlign w:val="center"/>
          </w:tcPr>
          <w:p w14:paraId="6B149F9E">
            <w:pPr>
              <w:keepNext w:val="0"/>
              <w:keepLines w:val="0"/>
              <w:pageBreakBefore w:val="0"/>
              <w:widowControl w:val="0"/>
              <w:kinsoku/>
              <w:wordWrap/>
              <w:overflowPunct/>
              <w:topLinePunct w:val="0"/>
              <w:autoSpaceDE w:val="0"/>
              <w:autoSpaceDN w:val="0"/>
              <w:bidi w:val="0"/>
              <w:adjustRightInd w:val="0"/>
              <w:snapToGrid/>
              <w:spacing w:before="65" w:line="280" w:lineRule="exact"/>
              <w:ind w:right="120" w:rightChars="0"/>
              <w:jc w:val="center"/>
              <w:textAlignment w:val="auto"/>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10分</w:t>
            </w:r>
          </w:p>
        </w:tc>
        <w:tc>
          <w:tcPr>
            <w:tcW w:w="6838" w:type="dxa"/>
            <w:noWrap w:val="0"/>
            <w:vAlign w:val="center"/>
          </w:tcPr>
          <w:p w14:paraId="05BC2CE5">
            <w:pPr>
              <w:keepNext w:val="0"/>
              <w:keepLines w:val="0"/>
              <w:pageBreakBefore w:val="0"/>
              <w:widowControl w:val="0"/>
              <w:kinsoku/>
              <w:wordWrap/>
              <w:overflowPunct/>
              <w:topLinePunct w:val="0"/>
              <w:autoSpaceDE w:val="0"/>
              <w:autoSpaceDN w:val="0"/>
              <w:bidi w:val="0"/>
              <w:adjustRightInd w:val="0"/>
              <w:snapToGrid/>
              <w:spacing w:before="65" w:line="280" w:lineRule="exact"/>
              <w:ind w:right="120" w:rightChars="0"/>
              <w:jc w:val="both"/>
              <w:textAlignment w:val="auto"/>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完全满足招标文件中要求的投标单位报价中的最低价为评标基准价。按照下列公式计算各投标人的价格得分：投标报价得分=(评标基准价／投标报价)×价格权值×100。计算分数时四舍五入取小数点后两位。</w:t>
            </w:r>
          </w:p>
        </w:tc>
      </w:tr>
      <w:tr w14:paraId="09DCD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5" w:hRule="atLeast"/>
        </w:trPr>
        <w:tc>
          <w:tcPr>
            <w:tcW w:w="1135" w:type="dxa"/>
            <w:vMerge w:val="restart"/>
            <w:noWrap w:val="0"/>
            <w:vAlign w:val="center"/>
          </w:tcPr>
          <w:p w14:paraId="40C2966E">
            <w:pPr>
              <w:keepNext w:val="0"/>
              <w:keepLines w:val="0"/>
              <w:pageBreakBefore w:val="0"/>
              <w:widowControl w:val="0"/>
              <w:kinsoku/>
              <w:wordWrap/>
              <w:overflowPunct/>
              <w:topLinePunct w:val="0"/>
              <w:autoSpaceDE w:val="0"/>
              <w:autoSpaceDN w:val="0"/>
              <w:bidi w:val="0"/>
              <w:adjustRightInd w:val="0"/>
              <w:snapToGrid/>
              <w:spacing w:line="280" w:lineRule="exact"/>
              <w:ind w:right="60"/>
              <w:jc w:val="center"/>
              <w:textAlignment w:val="auto"/>
              <w:rPr>
                <w:rFonts w:hint="eastAsia" w:ascii="宋体" w:hAnsi="宋体" w:eastAsia="宋体" w:cs="宋体"/>
                <w:color w:val="auto"/>
                <w:kern w:val="0"/>
                <w:sz w:val="22"/>
                <w:szCs w:val="22"/>
                <w:highlight w:val="none"/>
                <w:lang w:eastAsia="zh-CN"/>
              </w:rPr>
            </w:pPr>
            <w:r>
              <w:rPr>
                <w:rFonts w:hint="eastAsia" w:ascii="宋体" w:hAnsi="宋体" w:cs="宋体"/>
                <w:color w:val="auto"/>
                <w:kern w:val="0"/>
                <w:sz w:val="22"/>
                <w:szCs w:val="22"/>
                <w:highlight w:val="none"/>
              </w:rPr>
              <w:t>商务部分</w:t>
            </w:r>
            <w:r>
              <w:rPr>
                <w:rFonts w:hint="eastAsia" w:ascii="宋体" w:hAnsi="宋体" w:cs="宋体"/>
                <w:color w:val="auto"/>
                <w:kern w:val="0"/>
                <w:sz w:val="22"/>
                <w:szCs w:val="22"/>
                <w:highlight w:val="none"/>
                <w:lang w:val="en-US" w:eastAsia="zh-CN"/>
              </w:rPr>
              <w:t xml:space="preserve">   </w:t>
            </w:r>
            <w:r>
              <w:rPr>
                <w:rFonts w:hint="eastAsia" w:ascii="宋体" w:hAnsi="宋体" w:cs="宋体"/>
                <w:color w:val="auto"/>
                <w:kern w:val="0"/>
                <w:sz w:val="22"/>
                <w:szCs w:val="22"/>
                <w:highlight w:val="none"/>
              </w:rPr>
              <w:t>（</w:t>
            </w:r>
            <w:r>
              <w:rPr>
                <w:rFonts w:hint="eastAsia" w:ascii="宋体" w:hAnsi="宋体" w:cs="宋体"/>
                <w:color w:val="auto"/>
                <w:kern w:val="0"/>
                <w:sz w:val="22"/>
                <w:szCs w:val="22"/>
                <w:highlight w:val="none"/>
                <w:lang w:val="en-US" w:eastAsia="zh-CN"/>
              </w:rPr>
              <w:t>30</w:t>
            </w:r>
            <w:r>
              <w:rPr>
                <w:rFonts w:hint="eastAsia" w:ascii="宋体" w:hAnsi="宋体" w:cs="宋体"/>
                <w:color w:val="auto"/>
                <w:kern w:val="0"/>
                <w:sz w:val="22"/>
                <w:szCs w:val="22"/>
                <w:highlight w:val="none"/>
              </w:rPr>
              <w:t>分</w:t>
            </w:r>
            <w:r>
              <w:rPr>
                <w:rFonts w:hint="eastAsia" w:ascii="宋体" w:hAnsi="宋体" w:cs="宋体"/>
                <w:color w:val="auto"/>
                <w:kern w:val="0"/>
                <w:sz w:val="22"/>
                <w:szCs w:val="22"/>
                <w:highlight w:val="none"/>
                <w:lang w:eastAsia="zh-CN"/>
              </w:rPr>
              <w:t>）</w:t>
            </w:r>
          </w:p>
        </w:tc>
        <w:tc>
          <w:tcPr>
            <w:tcW w:w="1198" w:type="dxa"/>
            <w:shd w:val="clear" w:color="auto" w:fill="auto"/>
            <w:noWrap w:val="0"/>
            <w:vAlign w:val="center"/>
          </w:tcPr>
          <w:p w14:paraId="6638C301">
            <w:pPr>
              <w:keepNext w:val="0"/>
              <w:keepLines w:val="0"/>
              <w:pageBreakBefore w:val="0"/>
              <w:widowControl w:val="0"/>
              <w:kinsoku/>
              <w:wordWrap/>
              <w:overflowPunct/>
              <w:topLinePunct w:val="0"/>
              <w:autoSpaceDE w:val="0"/>
              <w:autoSpaceDN w:val="0"/>
              <w:bidi w:val="0"/>
              <w:adjustRightInd w:val="0"/>
              <w:snapToGrid/>
              <w:spacing w:before="65" w:line="280" w:lineRule="exact"/>
              <w:ind w:right="120" w:rightChars="0"/>
              <w:jc w:val="center"/>
              <w:textAlignment w:val="auto"/>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业绩</w:t>
            </w:r>
          </w:p>
          <w:p w14:paraId="7F4EFA41">
            <w:pPr>
              <w:keepNext w:val="0"/>
              <w:keepLines w:val="0"/>
              <w:pageBreakBefore w:val="0"/>
              <w:widowControl w:val="0"/>
              <w:kinsoku/>
              <w:wordWrap/>
              <w:overflowPunct/>
              <w:topLinePunct w:val="0"/>
              <w:autoSpaceDE w:val="0"/>
              <w:autoSpaceDN w:val="0"/>
              <w:bidi w:val="0"/>
              <w:adjustRightInd w:val="0"/>
              <w:snapToGrid/>
              <w:spacing w:before="65" w:line="280" w:lineRule="exact"/>
              <w:ind w:right="120" w:rightChars="0"/>
              <w:jc w:val="center"/>
              <w:textAlignment w:val="auto"/>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（0-2分）</w:t>
            </w:r>
          </w:p>
        </w:tc>
        <w:tc>
          <w:tcPr>
            <w:tcW w:w="6838" w:type="dxa"/>
            <w:shd w:val="clear" w:color="auto" w:fill="auto"/>
            <w:noWrap w:val="0"/>
            <w:vAlign w:val="center"/>
          </w:tcPr>
          <w:p w14:paraId="3C838394">
            <w:pPr>
              <w:keepNext w:val="0"/>
              <w:keepLines w:val="0"/>
              <w:pageBreakBefore w:val="0"/>
              <w:widowControl w:val="0"/>
              <w:kinsoku/>
              <w:wordWrap/>
              <w:overflowPunct/>
              <w:topLinePunct w:val="0"/>
              <w:autoSpaceDE w:val="0"/>
              <w:autoSpaceDN w:val="0"/>
              <w:bidi w:val="0"/>
              <w:adjustRightInd w:val="0"/>
              <w:snapToGrid/>
              <w:spacing w:before="65" w:line="280" w:lineRule="exact"/>
              <w:ind w:right="120" w:rightChars="0"/>
              <w:jc w:val="both"/>
              <w:textAlignment w:val="auto"/>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近三年（</w:t>
            </w:r>
            <w:r>
              <w:rPr>
                <w:rFonts w:hint="eastAsia" w:ascii="宋体" w:hAnsi="宋体" w:cs="宋体"/>
                <w:color w:val="auto"/>
                <w:kern w:val="0"/>
                <w:sz w:val="22"/>
                <w:szCs w:val="22"/>
                <w:highlight w:val="none"/>
                <w:lang w:val="en-US" w:eastAsia="zh-CN"/>
              </w:rPr>
              <w:t>2023年6月1日</w:t>
            </w:r>
            <w:r>
              <w:rPr>
                <w:rFonts w:hint="eastAsia" w:ascii="宋体" w:hAnsi="宋体" w:eastAsia="宋体" w:cs="宋体"/>
                <w:color w:val="auto"/>
                <w:kern w:val="0"/>
                <w:sz w:val="22"/>
                <w:szCs w:val="22"/>
                <w:highlight w:val="none"/>
                <w:lang w:val="en-US" w:eastAsia="zh-CN"/>
              </w:rPr>
              <w:t>起至响应文件递交截止日止）承担过水上活动或相关赛事场地搭建服务类似业绩，每有一项得1分；本项最高得2分。 以供应商提供的合同或中标通知书为准。</w:t>
            </w:r>
          </w:p>
        </w:tc>
      </w:tr>
      <w:tr w14:paraId="56475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96" w:hRule="atLeast"/>
        </w:trPr>
        <w:tc>
          <w:tcPr>
            <w:tcW w:w="1135" w:type="dxa"/>
            <w:vMerge w:val="continue"/>
            <w:noWrap w:val="0"/>
            <w:vAlign w:val="center"/>
          </w:tcPr>
          <w:p w14:paraId="19685F34">
            <w:pPr>
              <w:keepNext w:val="0"/>
              <w:keepLines w:val="0"/>
              <w:pageBreakBefore w:val="0"/>
              <w:widowControl w:val="0"/>
              <w:kinsoku/>
              <w:wordWrap/>
              <w:overflowPunct/>
              <w:topLinePunct w:val="0"/>
              <w:autoSpaceDE w:val="0"/>
              <w:autoSpaceDN w:val="0"/>
              <w:bidi w:val="0"/>
              <w:adjustRightInd w:val="0"/>
              <w:snapToGrid/>
              <w:spacing w:line="280" w:lineRule="exact"/>
              <w:ind w:right="60"/>
              <w:jc w:val="center"/>
              <w:textAlignment w:val="auto"/>
              <w:rPr>
                <w:rFonts w:hint="eastAsia" w:ascii="宋体" w:hAnsi="宋体" w:cs="宋体"/>
                <w:color w:val="auto"/>
                <w:kern w:val="0"/>
                <w:sz w:val="22"/>
                <w:szCs w:val="22"/>
                <w:highlight w:val="none"/>
              </w:rPr>
            </w:pPr>
          </w:p>
        </w:tc>
        <w:tc>
          <w:tcPr>
            <w:tcW w:w="1198" w:type="dxa"/>
            <w:shd w:val="clear" w:color="auto" w:fill="auto"/>
            <w:noWrap w:val="0"/>
            <w:vAlign w:val="center"/>
          </w:tcPr>
          <w:p w14:paraId="1FB0AF49">
            <w:pPr>
              <w:keepNext w:val="0"/>
              <w:keepLines w:val="0"/>
              <w:pageBreakBefore w:val="0"/>
              <w:widowControl w:val="0"/>
              <w:kinsoku/>
              <w:wordWrap/>
              <w:overflowPunct/>
              <w:topLinePunct w:val="0"/>
              <w:autoSpaceDE w:val="0"/>
              <w:autoSpaceDN w:val="0"/>
              <w:bidi w:val="0"/>
              <w:adjustRightInd w:val="0"/>
              <w:snapToGrid/>
              <w:spacing w:before="65" w:line="280" w:lineRule="exact"/>
              <w:ind w:right="120" w:rightChars="0"/>
              <w:jc w:val="center"/>
              <w:textAlignment w:val="auto"/>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项目组组成人员</w:t>
            </w:r>
          </w:p>
          <w:p w14:paraId="7F6F8D2E">
            <w:pPr>
              <w:keepNext w:val="0"/>
              <w:keepLines w:val="0"/>
              <w:pageBreakBefore w:val="0"/>
              <w:widowControl w:val="0"/>
              <w:kinsoku/>
              <w:wordWrap/>
              <w:overflowPunct/>
              <w:topLinePunct w:val="0"/>
              <w:autoSpaceDE w:val="0"/>
              <w:autoSpaceDN w:val="0"/>
              <w:bidi w:val="0"/>
              <w:adjustRightInd w:val="0"/>
              <w:snapToGrid/>
              <w:spacing w:before="65" w:line="280" w:lineRule="exact"/>
              <w:ind w:right="120" w:rightChars="0"/>
              <w:jc w:val="center"/>
              <w:textAlignment w:val="auto"/>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（0-16分）</w:t>
            </w:r>
          </w:p>
        </w:tc>
        <w:tc>
          <w:tcPr>
            <w:tcW w:w="6838" w:type="dxa"/>
            <w:shd w:val="clear" w:color="auto" w:fill="auto"/>
            <w:noWrap w:val="0"/>
            <w:vAlign w:val="center"/>
          </w:tcPr>
          <w:p w14:paraId="1FF5A94F">
            <w:pPr>
              <w:keepNext w:val="0"/>
              <w:keepLines w:val="0"/>
              <w:pageBreakBefore w:val="0"/>
              <w:widowControl w:val="0"/>
              <w:kinsoku/>
              <w:wordWrap/>
              <w:overflowPunct/>
              <w:topLinePunct w:val="0"/>
              <w:autoSpaceDE w:val="0"/>
              <w:autoSpaceDN w:val="0"/>
              <w:bidi w:val="0"/>
              <w:adjustRightInd w:val="0"/>
              <w:snapToGrid/>
              <w:spacing w:before="65" w:line="280" w:lineRule="exact"/>
              <w:ind w:right="120" w:rightChars="0"/>
              <w:jc w:val="both"/>
              <w:textAlignment w:val="auto"/>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项目组成员具有体育类相关资格证书(如教练员、社会体育指导员等证书)，每提供一个得1分，最高得16分。提供近三个月任意一个月的社保证明材料或劳务合同、相应证书复印件等证明材料加盖公章。不提供不得分。</w:t>
            </w:r>
          </w:p>
        </w:tc>
      </w:tr>
      <w:tr w14:paraId="007B9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0" w:hRule="atLeast"/>
        </w:trPr>
        <w:tc>
          <w:tcPr>
            <w:tcW w:w="1135" w:type="dxa"/>
            <w:vMerge w:val="continue"/>
            <w:noWrap w:val="0"/>
            <w:vAlign w:val="center"/>
          </w:tcPr>
          <w:p w14:paraId="5DFD6EC8">
            <w:pPr>
              <w:keepNext w:val="0"/>
              <w:keepLines w:val="0"/>
              <w:pageBreakBefore w:val="0"/>
              <w:widowControl w:val="0"/>
              <w:kinsoku/>
              <w:wordWrap/>
              <w:overflowPunct/>
              <w:topLinePunct w:val="0"/>
              <w:autoSpaceDE w:val="0"/>
              <w:autoSpaceDN w:val="0"/>
              <w:bidi w:val="0"/>
              <w:adjustRightInd w:val="0"/>
              <w:snapToGrid/>
              <w:spacing w:line="280" w:lineRule="exact"/>
              <w:ind w:right="60"/>
              <w:jc w:val="center"/>
              <w:textAlignment w:val="auto"/>
              <w:rPr>
                <w:rFonts w:hint="eastAsia" w:ascii="宋体" w:hAnsi="宋体" w:cs="宋体"/>
                <w:color w:val="auto"/>
                <w:kern w:val="0"/>
                <w:sz w:val="22"/>
                <w:szCs w:val="22"/>
                <w:highlight w:val="none"/>
              </w:rPr>
            </w:pPr>
          </w:p>
        </w:tc>
        <w:tc>
          <w:tcPr>
            <w:tcW w:w="1198" w:type="dxa"/>
            <w:noWrap w:val="0"/>
            <w:vAlign w:val="center"/>
          </w:tcPr>
          <w:p w14:paraId="327205F7">
            <w:pPr>
              <w:keepNext w:val="0"/>
              <w:keepLines w:val="0"/>
              <w:pageBreakBefore w:val="0"/>
              <w:widowControl w:val="0"/>
              <w:kinsoku/>
              <w:wordWrap/>
              <w:overflowPunct/>
              <w:topLinePunct w:val="0"/>
              <w:autoSpaceDE w:val="0"/>
              <w:autoSpaceDN w:val="0"/>
              <w:bidi w:val="0"/>
              <w:adjustRightInd w:val="0"/>
              <w:snapToGrid/>
              <w:spacing w:before="65" w:line="280" w:lineRule="exact"/>
              <w:ind w:right="120" w:rightChars="0"/>
              <w:jc w:val="center"/>
              <w:textAlignment w:val="auto"/>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完成履约的设备</w:t>
            </w:r>
          </w:p>
          <w:p w14:paraId="1612922A">
            <w:pPr>
              <w:keepNext w:val="0"/>
              <w:keepLines w:val="0"/>
              <w:pageBreakBefore w:val="0"/>
              <w:widowControl w:val="0"/>
              <w:kinsoku/>
              <w:wordWrap/>
              <w:overflowPunct/>
              <w:topLinePunct w:val="0"/>
              <w:autoSpaceDE w:val="0"/>
              <w:autoSpaceDN w:val="0"/>
              <w:bidi w:val="0"/>
              <w:adjustRightInd w:val="0"/>
              <w:snapToGrid/>
              <w:spacing w:before="65" w:line="280" w:lineRule="exact"/>
              <w:ind w:right="120" w:rightChars="0"/>
              <w:jc w:val="center"/>
              <w:textAlignment w:val="auto"/>
              <w:rPr>
                <w:rFonts w:hint="default"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（12分）</w:t>
            </w:r>
          </w:p>
        </w:tc>
        <w:tc>
          <w:tcPr>
            <w:tcW w:w="6838" w:type="dxa"/>
            <w:noWrap w:val="0"/>
            <w:vAlign w:val="center"/>
          </w:tcPr>
          <w:p w14:paraId="6F55ADA0">
            <w:pPr>
              <w:keepNext w:val="0"/>
              <w:keepLines w:val="0"/>
              <w:pageBreakBefore w:val="0"/>
              <w:widowControl w:val="0"/>
              <w:kinsoku/>
              <w:wordWrap/>
              <w:overflowPunct/>
              <w:topLinePunct w:val="0"/>
              <w:autoSpaceDE w:val="0"/>
              <w:autoSpaceDN w:val="0"/>
              <w:bidi w:val="0"/>
              <w:adjustRightInd w:val="0"/>
              <w:snapToGrid/>
              <w:spacing w:before="65" w:line="280" w:lineRule="exact"/>
              <w:ind w:right="120" w:rightChars="0"/>
              <w:jc w:val="both"/>
              <w:textAlignment w:val="auto"/>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提供本项目用于搭建设备，每个得1分</w:t>
            </w:r>
            <w:r>
              <w:rPr>
                <w:rFonts w:hint="eastAsia" w:ascii="宋体" w:hAnsi="宋体" w:cs="宋体"/>
                <w:color w:val="auto"/>
                <w:kern w:val="0"/>
                <w:sz w:val="22"/>
                <w:szCs w:val="22"/>
                <w:highlight w:val="none"/>
                <w:lang w:val="en-US" w:eastAsia="zh-CN"/>
              </w:rPr>
              <w:t>。</w:t>
            </w:r>
            <w:r>
              <w:rPr>
                <w:rFonts w:hint="eastAsia" w:ascii="宋体" w:hAnsi="宋体" w:eastAsia="宋体" w:cs="宋体"/>
                <w:color w:val="auto"/>
                <w:kern w:val="0"/>
                <w:sz w:val="22"/>
                <w:szCs w:val="22"/>
                <w:highlight w:val="none"/>
                <w:lang w:val="en-US" w:eastAsia="zh-CN"/>
              </w:rPr>
              <w:t>（自有的需提供购买设备的发票，租赁的需提供合同及购买设备的发票）此项满分12分；</w:t>
            </w:r>
          </w:p>
        </w:tc>
      </w:tr>
      <w:tr w14:paraId="2C833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2" w:hRule="atLeast"/>
        </w:trPr>
        <w:tc>
          <w:tcPr>
            <w:tcW w:w="1135" w:type="dxa"/>
            <w:vMerge w:val="restart"/>
            <w:noWrap w:val="0"/>
            <w:vAlign w:val="center"/>
          </w:tcPr>
          <w:p w14:paraId="31383AD4">
            <w:pPr>
              <w:keepNext w:val="0"/>
              <w:keepLines w:val="0"/>
              <w:pageBreakBefore w:val="0"/>
              <w:widowControl w:val="0"/>
              <w:kinsoku/>
              <w:wordWrap/>
              <w:overflowPunct/>
              <w:topLinePunct w:val="0"/>
              <w:autoSpaceDE w:val="0"/>
              <w:autoSpaceDN w:val="0"/>
              <w:bidi w:val="0"/>
              <w:adjustRightInd w:val="0"/>
              <w:snapToGrid/>
              <w:spacing w:line="280" w:lineRule="exact"/>
              <w:ind w:right="60"/>
              <w:jc w:val="center"/>
              <w:textAlignment w:val="auto"/>
              <w:rPr>
                <w:rFonts w:ascii="宋体" w:hAnsi="宋体" w:cs="宋体"/>
                <w:color w:val="auto"/>
                <w:kern w:val="0"/>
                <w:sz w:val="22"/>
                <w:szCs w:val="22"/>
                <w:highlight w:val="none"/>
              </w:rPr>
            </w:pPr>
            <w:r>
              <w:rPr>
                <w:rFonts w:hint="eastAsia" w:ascii="宋体" w:hAnsi="宋体" w:cs="宋体"/>
                <w:color w:val="auto"/>
                <w:kern w:val="0"/>
                <w:sz w:val="22"/>
                <w:szCs w:val="22"/>
                <w:highlight w:val="none"/>
                <w:lang w:val="en-US" w:eastAsia="zh-CN"/>
              </w:rPr>
              <w:t>技术</w:t>
            </w:r>
            <w:r>
              <w:rPr>
                <w:rFonts w:hint="eastAsia" w:ascii="宋体" w:hAnsi="宋体" w:cs="宋体"/>
                <w:color w:val="auto"/>
                <w:kern w:val="0"/>
                <w:sz w:val="22"/>
                <w:szCs w:val="22"/>
                <w:highlight w:val="none"/>
              </w:rPr>
              <w:t>部分</w:t>
            </w:r>
            <w:r>
              <w:rPr>
                <w:rFonts w:hint="eastAsia" w:ascii="宋体" w:hAnsi="宋体" w:cs="宋体"/>
                <w:color w:val="auto"/>
                <w:kern w:val="0"/>
                <w:sz w:val="22"/>
                <w:szCs w:val="22"/>
                <w:highlight w:val="none"/>
                <w:lang w:val="en-US" w:eastAsia="zh-CN"/>
              </w:rPr>
              <w:t xml:space="preserve">   </w:t>
            </w:r>
            <w:r>
              <w:rPr>
                <w:rFonts w:hint="eastAsia" w:ascii="宋体" w:hAnsi="宋体" w:cs="宋体"/>
                <w:color w:val="auto"/>
                <w:kern w:val="0"/>
                <w:sz w:val="22"/>
                <w:szCs w:val="22"/>
                <w:highlight w:val="none"/>
              </w:rPr>
              <w:t>（</w:t>
            </w:r>
            <w:r>
              <w:rPr>
                <w:rFonts w:hint="eastAsia" w:ascii="宋体" w:hAnsi="宋体" w:cs="宋体"/>
                <w:color w:val="auto"/>
                <w:kern w:val="0"/>
                <w:sz w:val="22"/>
                <w:szCs w:val="22"/>
                <w:highlight w:val="none"/>
                <w:lang w:val="en-US" w:eastAsia="zh-CN"/>
              </w:rPr>
              <w:t>60</w:t>
            </w:r>
            <w:r>
              <w:rPr>
                <w:rFonts w:hint="eastAsia" w:ascii="宋体" w:hAnsi="宋体" w:cs="宋体"/>
                <w:color w:val="auto"/>
                <w:kern w:val="0"/>
                <w:sz w:val="22"/>
                <w:szCs w:val="22"/>
                <w:highlight w:val="none"/>
              </w:rPr>
              <w:t>分）</w:t>
            </w:r>
          </w:p>
        </w:tc>
        <w:tc>
          <w:tcPr>
            <w:tcW w:w="1198" w:type="dxa"/>
            <w:noWrap w:val="0"/>
            <w:vAlign w:val="center"/>
          </w:tcPr>
          <w:p w14:paraId="7D4C2A42">
            <w:pPr>
              <w:keepNext w:val="0"/>
              <w:keepLines w:val="0"/>
              <w:pageBreakBefore w:val="0"/>
              <w:widowControl w:val="0"/>
              <w:kinsoku/>
              <w:wordWrap/>
              <w:overflowPunct/>
              <w:topLinePunct w:val="0"/>
              <w:autoSpaceDE w:val="0"/>
              <w:autoSpaceDN w:val="0"/>
              <w:bidi w:val="0"/>
              <w:adjustRightInd w:val="0"/>
              <w:snapToGrid/>
              <w:spacing w:line="280" w:lineRule="exact"/>
              <w:ind w:right="0" w:rightChars="0"/>
              <w:jc w:val="center"/>
              <w:textAlignment w:val="auto"/>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实施方案（0-3</w:t>
            </w:r>
            <w:r>
              <w:rPr>
                <w:rFonts w:hint="eastAsia" w:ascii="宋体" w:hAnsi="宋体" w:cs="宋体"/>
                <w:color w:val="auto"/>
                <w:kern w:val="0"/>
                <w:sz w:val="22"/>
                <w:szCs w:val="22"/>
                <w:highlight w:val="none"/>
                <w:lang w:val="en-US" w:eastAsia="zh-CN"/>
              </w:rPr>
              <w:t>0</w:t>
            </w:r>
            <w:r>
              <w:rPr>
                <w:rFonts w:hint="eastAsia" w:ascii="宋体" w:hAnsi="宋体" w:eastAsia="宋体" w:cs="宋体"/>
                <w:color w:val="auto"/>
                <w:kern w:val="0"/>
                <w:sz w:val="22"/>
                <w:szCs w:val="22"/>
                <w:highlight w:val="none"/>
                <w:lang w:val="en-US" w:eastAsia="zh-CN"/>
              </w:rPr>
              <w:t>分）</w:t>
            </w:r>
          </w:p>
        </w:tc>
        <w:tc>
          <w:tcPr>
            <w:tcW w:w="6838" w:type="dxa"/>
            <w:noWrap w:val="0"/>
            <w:vAlign w:val="center"/>
          </w:tcPr>
          <w:p w14:paraId="4E92A8A7">
            <w:pPr>
              <w:keepNext w:val="0"/>
              <w:keepLines w:val="0"/>
              <w:pageBreakBefore w:val="0"/>
              <w:widowControl w:val="0"/>
              <w:kinsoku/>
              <w:wordWrap/>
              <w:overflowPunct/>
              <w:topLinePunct w:val="0"/>
              <w:autoSpaceDE w:val="0"/>
              <w:autoSpaceDN w:val="0"/>
              <w:bidi w:val="0"/>
              <w:adjustRightInd w:val="0"/>
              <w:snapToGrid/>
              <w:spacing w:line="280" w:lineRule="exact"/>
              <w:ind w:right="0" w:rightChars="0"/>
              <w:jc w:val="both"/>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 xml:space="preserve">根据供应商针对本项目的实施方案，包括但不限于： </w:t>
            </w:r>
          </w:p>
          <w:p w14:paraId="002D2B7E">
            <w:pPr>
              <w:keepNext w:val="0"/>
              <w:keepLines w:val="0"/>
              <w:pageBreakBefore w:val="0"/>
              <w:widowControl w:val="0"/>
              <w:kinsoku/>
              <w:wordWrap/>
              <w:overflowPunct/>
              <w:topLinePunct w:val="0"/>
              <w:autoSpaceDE w:val="0"/>
              <w:autoSpaceDN w:val="0"/>
              <w:bidi w:val="0"/>
              <w:adjustRightInd w:val="0"/>
              <w:snapToGrid/>
              <w:spacing w:line="280" w:lineRule="exact"/>
              <w:ind w:right="0" w:rightChars="0"/>
              <w:jc w:val="both"/>
              <w:textAlignment w:val="auto"/>
              <w:rPr>
                <w:rFonts w:hint="eastAsia" w:ascii="宋体" w:hAnsi="宋体" w:eastAsia="宋体" w:cs="宋体"/>
                <w:color w:val="auto"/>
                <w:kern w:val="0"/>
                <w:sz w:val="22"/>
                <w:szCs w:val="22"/>
                <w:highlight w:val="none"/>
              </w:rPr>
            </w:pPr>
            <w:r>
              <w:rPr>
                <w:rFonts w:hint="eastAsia" w:ascii="宋体" w:hAnsi="宋体" w:eastAsia="宋体" w:cs="宋体"/>
                <w:b/>
                <w:bCs/>
                <w:color w:val="auto"/>
                <w:kern w:val="0"/>
                <w:sz w:val="22"/>
                <w:szCs w:val="22"/>
                <w:highlight w:val="none"/>
                <w:lang w:val="en-US" w:eastAsia="zh-CN"/>
              </w:rPr>
              <w:t>1、整体进度计划安排方案；2、宣传氛围营造方案；3、</w:t>
            </w:r>
            <w:r>
              <w:rPr>
                <w:rFonts w:hint="eastAsia" w:ascii="宋体" w:hAnsi="宋体" w:cs="宋体"/>
                <w:b/>
                <w:bCs/>
                <w:color w:val="auto"/>
                <w:kern w:val="0"/>
                <w:sz w:val="22"/>
                <w:szCs w:val="22"/>
                <w:highlight w:val="none"/>
                <w:lang w:val="en-US" w:eastAsia="zh-CN"/>
              </w:rPr>
              <w:t>场地</w:t>
            </w:r>
            <w:r>
              <w:rPr>
                <w:rFonts w:hint="eastAsia" w:ascii="宋体" w:hAnsi="宋体" w:eastAsia="宋体" w:cs="宋体"/>
                <w:b/>
                <w:bCs/>
                <w:color w:val="auto"/>
                <w:kern w:val="0"/>
                <w:sz w:val="22"/>
                <w:szCs w:val="22"/>
                <w:highlight w:val="none"/>
                <w:lang w:val="en-US" w:eastAsia="zh-CN"/>
              </w:rPr>
              <w:t>设置方案；4、组织方案；5、流程管理服务方案；</w:t>
            </w:r>
            <w:r>
              <w:rPr>
                <w:rFonts w:hint="eastAsia" w:ascii="宋体" w:hAnsi="宋体" w:eastAsia="宋体" w:cs="宋体"/>
                <w:color w:val="auto"/>
                <w:kern w:val="0"/>
                <w:sz w:val="22"/>
                <w:szCs w:val="22"/>
                <w:highlight w:val="none"/>
                <w:lang w:val="en-US" w:eastAsia="zh-CN"/>
              </w:rPr>
              <w:t>以上</w:t>
            </w:r>
            <w:r>
              <w:rPr>
                <w:rFonts w:hint="eastAsia" w:ascii="宋体" w:hAnsi="宋体" w:cs="宋体"/>
                <w:color w:val="auto"/>
                <w:kern w:val="0"/>
                <w:sz w:val="22"/>
                <w:szCs w:val="22"/>
                <w:highlight w:val="none"/>
                <w:lang w:val="en-US" w:eastAsia="zh-CN"/>
              </w:rPr>
              <w:t>5</w:t>
            </w:r>
            <w:r>
              <w:rPr>
                <w:rFonts w:hint="eastAsia" w:ascii="宋体" w:hAnsi="宋体" w:eastAsia="宋体" w:cs="宋体"/>
                <w:color w:val="auto"/>
                <w:kern w:val="0"/>
                <w:sz w:val="22"/>
                <w:szCs w:val="22"/>
                <w:highlight w:val="none"/>
                <w:lang w:val="en-US" w:eastAsia="zh-CN"/>
              </w:rPr>
              <w:t>项内容科学合理、可行性高具有针对性，并且能够满足项目需求的得3</w:t>
            </w:r>
            <w:r>
              <w:rPr>
                <w:rFonts w:hint="eastAsia" w:ascii="宋体" w:hAnsi="宋体" w:cs="宋体"/>
                <w:color w:val="auto"/>
                <w:kern w:val="0"/>
                <w:sz w:val="22"/>
                <w:szCs w:val="22"/>
                <w:highlight w:val="none"/>
                <w:lang w:val="en-US" w:eastAsia="zh-CN"/>
              </w:rPr>
              <w:t>0</w:t>
            </w:r>
            <w:r>
              <w:rPr>
                <w:rFonts w:hint="eastAsia" w:ascii="宋体" w:hAnsi="宋体" w:eastAsia="宋体" w:cs="宋体"/>
                <w:color w:val="auto"/>
                <w:kern w:val="0"/>
                <w:sz w:val="22"/>
                <w:szCs w:val="22"/>
                <w:highlight w:val="none"/>
                <w:lang w:val="en-US" w:eastAsia="zh-CN"/>
              </w:rPr>
              <w:t>分，每缺少一项内容扣</w:t>
            </w:r>
            <w:r>
              <w:rPr>
                <w:rFonts w:hint="eastAsia" w:ascii="宋体" w:hAnsi="宋体" w:cs="宋体"/>
                <w:color w:val="auto"/>
                <w:kern w:val="0"/>
                <w:sz w:val="22"/>
                <w:szCs w:val="22"/>
                <w:highlight w:val="none"/>
                <w:lang w:val="en-US" w:eastAsia="zh-CN"/>
              </w:rPr>
              <w:t>6</w:t>
            </w:r>
            <w:r>
              <w:rPr>
                <w:rFonts w:hint="eastAsia" w:ascii="宋体" w:hAnsi="宋体" w:eastAsia="宋体" w:cs="宋体"/>
                <w:color w:val="auto"/>
                <w:kern w:val="0"/>
                <w:sz w:val="22"/>
                <w:szCs w:val="22"/>
                <w:highlight w:val="none"/>
                <w:lang w:val="en-US" w:eastAsia="zh-CN"/>
              </w:rPr>
              <w:t>分，每有一处有缺陷扣</w:t>
            </w:r>
            <w:r>
              <w:rPr>
                <w:rFonts w:hint="eastAsia" w:ascii="宋体" w:hAnsi="宋体" w:cs="宋体"/>
                <w:color w:val="auto"/>
                <w:kern w:val="0"/>
                <w:sz w:val="22"/>
                <w:szCs w:val="22"/>
                <w:highlight w:val="none"/>
                <w:lang w:val="en-US" w:eastAsia="zh-CN"/>
              </w:rPr>
              <w:t>2</w:t>
            </w:r>
            <w:r>
              <w:rPr>
                <w:rFonts w:hint="eastAsia" w:ascii="宋体" w:hAnsi="宋体" w:eastAsia="宋体" w:cs="宋体"/>
                <w:color w:val="auto"/>
                <w:kern w:val="0"/>
                <w:sz w:val="22"/>
                <w:szCs w:val="22"/>
                <w:highlight w:val="none"/>
                <w:lang w:val="en-US" w:eastAsia="zh-CN"/>
              </w:rPr>
              <w:t xml:space="preserve">分，扣完为止。 </w:t>
            </w:r>
          </w:p>
          <w:p w14:paraId="2E49782B">
            <w:pPr>
              <w:keepNext w:val="0"/>
              <w:keepLines w:val="0"/>
              <w:pageBreakBefore w:val="0"/>
              <w:widowControl w:val="0"/>
              <w:kinsoku/>
              <w:wordWrap/>
              <w:overflowPunct/>
              <w:topLinePunct w:val="0"/>
              <w:autoSpaceDE w:val="0"/>
              <w:autoSpaceDN w:val="0"/>
              <w:bidi w:val="0"/>
              <w:adjustRightInd w:val="0"/>
              <w:snapToGrid/>
              <w:spacing w:line="280" w:lineRule="exact"/>
              <w:ind w:right="0" w:rightChars="0"/>
              <w:jc w:val="both"/>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缺陷指：方案内容与项目实际情况不符或与相对应评分标准不符、套用其他项目方案或存在明显与本项目无关的文字内容、内容前后矛盾或存在逻辑错误或表述错误或科学原理错误或存在不可能实现的情形等任意一种情形。）</w:t>
            </w:r>
          </w:p>
        </w:tc>
      </w:tr>
      <w:tr w14:paraId="571CD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135" w:type="dxa"/>
            <w:vMerge w:val="continue"/>
            <w:noWrap w:val="0"/>
            <w:vAlign w:val="center"/>
          </w:tcPr>
          <w:p w14:paraId="6E097F68">
            <w:pPr>
              <w:keepNext w:val="0"/>
              <w:keepLines w:val="0"/>
              <w:pageBreakBefore w:val="0"/>
              <w:widowControl w:val="0"/>
              <w:kinsoku/>
              <w:wordWrap/>
              <w:overflowPunct/>
              <w:topLinePunct w:val="0"/>
              <w:autoSpaceDE w:val="0"/>
              <w:autoSpaceDN w:val="0"/>
              <w:bidi w:val="0"/>
              <w:adjustRightInd w:val="0"/>
              <w:snapToGrid/>
              <w:spacing w:line="280" w:lineRule="exact"/>
              <w:ind w:right="60"/>
              <w:jc w:val="center"/>
              <w:textAlignment w:val="auto"/>
              <w:rPr>
                <w:rFonts w:hint="eastAsia" w:ascii="宋体" w:hAnsi="宋体" w:cs="宋体"/>
                <w:color w:val="auto"/>
                <w:kern w:val="0"/>
                <w:sz w:val="22"/>
                <w:szCs w:val="22"/>
                <w:highlight w:val="none"/>
              </w:rPr>
            </w:pPr>
          </w:p>
        </w:tc>
        <w:tc>
          <w:tcPr>
            <w:tcW w:w="1198" w:type="dxa"/>
            <w:noWrap w:val="0"/>
            <w:vAlign w:val="center"/>
          </w:tcPr>
          <w:p w14:paraId="12ED69D7">
            <w:pPr>
              <w:keepNext w:val="0"/>
              <w:keepLines w:val="0"/>
              <w:pageBreakBefore w:val="0"/>
              <w:widowControl w:val="0"/>
              <w:kinsoku/>
              <w:wordWrap/>
              <w:overflowPunct/>
              <w:topLinePunct w:val="0"/>
              <w:autoSpaceDE w:val="0"/>
              <w:autoSpaceDN w:val="0"/>
              <w:bidi w:val="0"/>
              <w:adjustRightInd w:val="0"/>
              <w:snapToGrid/>
              <w:spacing w:line="280" w:lineRule="exact"/>
              <w:ind w:right="0" w:rightChars="0"/>
              <w:jc w:val="center"/>
              <w:textAlignment w:val="auto"/>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项目管理机构</w:t>
            </w:r>
          </w:p>
          <w:p w14:paraId="071708C3">
            <w:pPr>
              <w:keepNext w:val="0"/>
              <w:keepLines w:val="0"/>
              <w:pageBreakBefore w:val="0"/>
              <w:widowControl w:val="0"/>
              <w:kinsoku/>
              <w:wordWrap/>
              <w:overflowPunct/>
              <w:topLinePunct w:val="0"/>
              <w:autoSpaceDE w:val="0"/>
              <w:autoSpaceDN w:val="0"/>
              <w:bidi w:val="0"/>
              <w:adjustRightInd w:val="0"/>
              <w:snapToGrid/>
              <w:spacing w:line="280" w:lineRule="exact"/>
              <w:ind w:right="0" w:rightChars="0"/>
              <w:jc w:val="center"/>
              <w:textAlignment w:val="auto"/>
              <w:rPr>
                <w:rFonts w:hint="default"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（0-12分）</w:t>
            </w:r>
          </w:p>
        </w:tc>
        <w:tc>
          <w:tcPr>
            <w:tcW w:w="6838" w:type="dxa"/>
            <w:noWrap w:val="0"/>
            <w:vAlign w:val="center"/>
          </w:tcPr>
          <w:p w14:paraId="4D2E80C7">
            <w:pPr>
              <w:keepNext w:val="0"/>
              <w:keepLines w:val="0"/>
              <w:pageBreakBefore w:val="0"/>
              <w:widowControl w:val="0"/>
              <w:kinsoku/>
              <w:wordWrap/>
              <w:overflowPunct/>
              <w:topLinePunct w:val="0"/>
              <w:autoSpaceDE w:val="0"/>
              <w:autoSpaceDN w:val="0"/>
              <w:bidi w:val="0"/>
              <w:adjustRightInd w:val="0"/>
              <w:snapToGrid/>
              <w:spacing w:line="280" w:lineRule="exact"/>
              <w:ind w:right="0" w:rightChars="0"/>
              <w:jc w:val="both"/>
              <w:textAlignment w:val="auto"/>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项目管理机构包含但不限于：</w:t>
            </w:r>
            <w:r>
              <w:rPr>
                <w:rFonts w:hint="eastAsia" w:ascii="宋体" w:hAnsi="宋体" w:eastAsia="宋体" w:cs="宋体"/>
                <w:b/>
                <w:bCs/>
                <w:color w:val="auto"/>
                <w:kern w:val="0"/>
                <w:sz w:val="22"/>
                <w:szCs w:val="22"/>
                <w:highlight w:val="none"/>
                <w:lang w:val="en-US" w:eastAsia="zh-CN"/>
              </w:rPr>
              <w:t>①项目机构设置；②岗位设置；③工作职责</w:t>
            </w:r>
            <w:r>
              <w:rPr>
                <w:rFonts w:hint="eastAsia" w:ascii="宋体" w:hAnsi="宋体" w:eastAsia="宋体" w:cs="宋体"/>
                <w:color w:val="auto"/>
                <w:kern w:val="0"/>
                <w:sz w:val="22"/>
                <w:szCs w:val="22"/>
                <w:highlight w:val="none"/>
                <w:lang w:val="en-US" w:eastAsia="zh-CN"/>
              </w:rPr>
              <w:t>，三部分要素。所有要素齐全且完全满足项目要求得12分，每缺一个要素扣4分，每个要素里每有一处内容缺陷扣1分（扣完为止）。</w:t>
            </w:r>
          </w:p>
          <w:p w14:paraId="38F71E8F">
            <w:pPr>
              <w:keepNext w:val="0"/>
              <w:keepLines w:val="0"/>
              <w:pageBreakBefore w:val="0"/>
              <w:widowControl w:val="0"/>
              <w:kinsoku/>
              <w:wordWrap/>
              <w:overflowPunct/>
              <w:topLinePunct w:val="0"/>
              <w:autoSpaceDE w:val="0"/>
              <w:autoSpaceDN w:val="0"/>
              <w:bidi w:val="0"/>
              <w:adjustRightInd w:val="0"/>
              <w:snapToGrid/>
              <w:spacing w:line="280" w:lineRule="exact"/>
              <w:ind w:right="0" w:rightChars="0"/>
              <w:jc w:val="both"/>
              <w:textAlignment w:val="auto"/>
              <w:rPr>
                <w:rFonts w:hint="default"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缺陷指：方案内容与项目实际情况不符或与相对应评分标准不符、套用其他项目方案或存在明显与本项目无关的文字内容、内容前后矛盾或存在逻辑错误或表述错误或科学原理错误或存在不可能实现的情形等任意一种情形。）</w:t>
            </w:r>
          </w:p>
        </w:tc>
      </w:tr>
      <w:tr w14:paraId="76AB8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135" w:type="dxa"/>
            <w:vMerge w:val="continue"/>
            <w:noWrap w:val="0"/>
            <w:vAlign w:val="center"/>
          </w:tcPr>
          <w:p w14:paraId="72EF905D">
            <w:pPr>
              <w:keepNext w:val="0"/>
              <w:keepLines w:val="0"/>
              <w:pageBreakBefore w:val="0"/>
              <w:widowControl w:val="0"/>
              <w:kinsoku/>
              <w:wordWrap/>
              <w:overflowPunct/>
              <w:topLinePunct w:val="0"/>
              <w:autoSpaceDE w:val="0"/>
              <w:autoSpaceDN w:val="0"/>
              <w:bidi w:val="0"/>
              <w:adjustRightInd w:val="0"/>
              <w:snapToGrid/>
              <w:spacing w:line="280" w:lineRule="exact"/>
              <w:ind w:right="60"/>
              <w:jc w:val="center"/>
              <w:textAlignment w:val="auto"/>
              <w:rPr>
                <w:rFonts w:ascii="宋体" w:hAnsi="宋体" w:cs="宋体"/>
                <w:color w:val="auto"/>
                <w:kern w:val="0"/>
                <w:sz w:val="22"/>
                <w:szCs w:val="22"/>
                <w:highlight w:val="none"/>
              </w:rPr>
            </w:pPr>
          </w:p>
        </w:tc>
        <w:tc>
          <w:tcPr>
            <w:tcW w:w="1198" w:type="dxa"/>
            <w:noWrap w:val="0"/>
            <w:vAlign w:val="center"/>
          </w:tcPr>
          <w:p w14:paraId="48241287">
            <w:pPr>
              <w:keepNext w:val="0"/>
              <w:keepLines w:val="0"/>
              <w:pageBreakBefore w:val="0"/>
              <w:widowControl w:val="0"/>
              <w:kinsoku/>
              <w:wordWrap/>
              <w:overflowPunct/>
              <w:topLinePunct w:val="0"/>
              <w:autoSpaceDE w:val="0"/>
              <w:autoSpaceDN w:val="0"/>
              <w:bidi w:val="0"/>
              <w:adjustRightInd w:val="0"/>
              <w:snapToGrid/>
              <w:spacing w:line="280" w:lineRule="exact"/>
              <w:ind w:right="0" w:rightChars="0"/>
              <w:jc w:val="center"/>
              <w:textAlignment w:val="auto"/>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应急方案</w:t>
            </w:r>
          </w:p>
          <w:p w14:paraId="138C8344">
            <w:pPr>
              <w:keepNext w:val="0"/>
              <w:keepLines w:val="0"/>
              <w:pageBreakBefore w:val="0"/>
              <w:widowControl w:val="0"/>
              <w:kinsoku/>
              <w:wordWrap/>
              <w:overflowPunct/>
              <w:topLinePunct w:val="0"/>
              <w:autoSpaceDE w:val="0"/>
              <w:autoSpaceDN w:val="0"/>
              <w:bidi w:val="0"/>
              <w:adjustRightInd w:val="0"/>
              <w:snapToGrid/>
              <w:spacing w:line="280" w:lineRule="exact"/>
              <w:ind w:right="0" w:rightChars="0"/>
              <w:jc w:val="center"/>
              <w:textAlignment w:val="auto"/>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（0-18分）</w:t>
            </w:r>
          </w:p>
        </w:tc>
        <w:tc>
          <w:tcPr>
            <w:tcW w:w="6838" w:type="dxa"/>
            <w:noWrap w:val="0"/>
            <w:vAlign w:val="center"/>
          </w:tcPr>
          <w:p w14:paraId="36C348D5">
            <w:pPr>
              <w:keepNext w:val="0"/>
              <w:keepLines w:val="0"/>
              <w:pageBreakBefore w:val="0"/>
              <w:widowControl w:val="0"/>
              <w:kinsoku/>
              <w:wordWrap/>
              <w:overflowPunct/>
              <w:topLinePunct w:val="0"/>
              <w:autoSpaceDE w:val="0"/>
              <w:autoSpaceDN w:val="0"/>
              <w:bidi w:val="0"/>
              <w:adjustRightInd w:val="0"/>
              <w:snapToGrid/>
              <w:spacing w:line="280" w:lineRule="exact"/>
              <w:ind w:right="0" w:rightChars="0"/>
              <w:jc w:val="both"/>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应急方案包括但不限于</w:t>
            </w:r>
            <w:r>
              <w:rPr>
                <w:rFonts w:hint="eastAsia" w:ascii="宋体" w:hAnsi="宋体" w:eastAsia="宋体" w:cs="宋体"/>
                <w:b/>
                <w:bCs/>
                <w:color w:val="auto"/>
                <w:kern w:val="0"/>
                <w:sz w:val="22"/>
                <w:szCs w:val="22"/>
                <w:highlight w:val="none"/>
                <w:lang w:val="en-US" w:eastAsia="zh-CN"/>
              </w:rPr>
              <w:t>①突发应急情况分析及应急措施、②突发情况的人员调配、③人员安全保障措施、④应急事故发生处理流程和紧急联系人等方面、⑤应急设备配置</w:t>
            </w:r>
            <w:r>
              <w:rPr>
                <w:rFonts w:hint="eastAsia" w:ascii="宋体" w:hAnsi="宋体" w:cs="宋体"/>
                <w:b/>
                <w:bCs/>
                <w:color w:val="auto"/>
                <w:kern w:val="0"/>
                <w:sz w:val="22"/>
                <w:szCs w:val="22"/>
                <w:highlight w:val="none"/>
                <w:lang w:val="en-US" w:eastAsia="zh-CN"/>
              </w:rPr>
              <w:t>、</w:t>
            </w:r>
            <w:r>
              <w:rPr>
                <w:rFonts w:hint="eastAsia" w:ascii="宋体" w:hAnsi="宋体" w:eastAsia="宋体" w:cs="宋体"/>
                <w:b/>
                <w:bCs/>
                <w:color w:val="auto"/>
                <w:kern w:val="0"/>
                <w:sz w:val="22"/>
                <w:szCs w:val="22"/>
                <w:highlight w:val="none"/>
                <w:lang w:val="en-US" w:eastAsia="zh-CN"/>
              </w:rPr>
              <w:t>⑥安全隐患应急措施</w:t>
            </w:r>
            <w:r>
              <w:rPr>
                <w:rFonts w:hint="eastAsia" w:ascii="宋体" w:hAnsi="宋体" w:eastAsia="宋体" w:cs="宋体"/>
                <w:color w:val="auto"/>
                <w:kern w:val="0"/>
                <w:sz w:val="22"/>
                <w:szCs w:val="22"/>
                <w:highlight w:val="none"/>
                <w:lang w:val="en-US" w:eastAsia="zh-CN"/>
              </w:rPr>
              <w:t xml:space="preserve">。以上方案内容完整清晰明确且科学合理、符合专业管理政策、可行性高、具有针对性，并满足采购需求的得18分，每缺一项内容的扣3分，每有一项内容不完整或未能满足实际采购需求情况的或每有一处不具有针对性或逻辑性错误且不完整的扣1分，扣完为止。 </w:t>
            </w:r>
          </w:p>
          <w:p w14:paraId="3760A8A6">
            <w:pPr>
              <w:keepNext w:val="0"/>
              <w:keepLines w:val="0"/>
              <w:pageBreakBefore w:val="0"/>
              <w:widowControl w:val="0"/>
              <w:kinsoku/>
              <w:wordWrap/>
              <w:overflowPunct/>
              <w:topLinePunct w:val="0"/>
              <w:autoSpaceDE w:val="0"/>
              <w:autoSpaceDN w:val="0"/>
              <w:bidi w:val="0"/>
              <w:adjustRightInd w:val="0"/>
              <w:snapToGrid/>
              <w:spacing w:line="280" w:lineRule="exact"/>
              <w:ind w:right="0" w:rightChars="0"/>
              <w:jc w:val="both"/>
              <w:textAlignment w:val="auto"/>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注：不完整指前后内容无法连贯，缺项漏项，有明显的逻辑错误，只有单纯的文字描述；不满足实际采购需求情况指内容脱离了实 际情况不具备实施的可能性或套用其他项目方案或引用科学原理错误或前后内容互相矛盾或存在与本项目无关的内容。</w:t>
            </w:r>
          </w:p>
        </w:tc>
      </w:tr>
    </w:tbl>
    <w:p w14:paraId="2E288F36">
      <w:pPr>
        <w:pStyle w:val="45"/>
        <w:rPr>
          <w:rFonts w:hint="eastAsia"/>
        </w:rPr>
        <w:sectPr>
          <w:headerReference r:id="rId10" w:type="default"/>
          <w:footerReference r:id="rId11" w:type="default"/>
          <w:pgSz w:w="11906" w:h="16838"/>
          <w:pgMar w:top="1701" w:right="1701" w:bottom="1701" w:left="1701" w:header="851" w:footer="851" w:gutter="0"/>
          <w:pgBorders>
            <w:top w:val="none" w:sz="0" w:space="0"/>
            <w:left w:val="none" w:sz="0" w:space="0"/>
            <w:bottom w:val="none" w:sz="0" w:space="0"/>
            <w:right w:val="none" w:sz="0" w:space="0"/>
          </w:pgBorders>
          <w:pgNumType w:fmt="decimal"/>
          <w:cols w:space="720" w:num="1"/>
          <w:docGrid w:type="lines" w:linePitch="312" w:charSpace="0"/>
        </w:sectPr>
      </w:pPr>
    </w:p>
    <w:p w14:paraId="4DF9852A">
      <w:pPr>
        <w:keepNext w:val="0"/>
        <w:keepLines w:val="0"/>
        <w:pageBreakBefore w:val="0"/>
        <w:widowControl w:val="0"/>
        <w:kinsoku/>
        <w:overflowPunct/>
        <w:bidi w:val="0"/>
        <w:rPr>
          <w:rFonts w:hint="eastAsia" w:ascii="宋体" w:hAnsi="宋体" w:eastAsia="宋体" w:cs="宋体"/>
          <w:color w:val="auto"/>
          <w:highlight w:val="none"/>
        </w:rPr>
      </w:pPr>
      <w:bookmarkStart w:id="422" w:name="_Toc507399904"/>
    </w:p>
    <w:p w14:paraId="3CF7F57E">
      <w:pPr>
        <w:pStyle w:val="2"/>
        <w:tabs>
          <w:tab w:val="left" w:pos="0"/>
        </w:tabs>
        <w:spacing w:before="0" w:after="0" w:line="240" w:lineRule="atLeast"/>
        <w:rPr>
          <w:rFonts w:hint="eastAsia" w:hAnsi="宋体" w:cs="宋体"/>
          <w:color w:val="auto"/>
          <w:sz w:val="24"/>
          <w:szCs w:val="24"/>
        </w:rPr>
      </w:pPr>
      <w:bookmarkStart w:id="423" w:name="_Toc4337"/>
      <w:bookmarkStart w:id="424" w:name="_Toc4796"/>
      <w:bookmarkStart w:id="425" w:name="_Toc515647833"/>
      <w:bookmarkStart w:id="426" w:name="_Toc6865"/>
      <w:bookmarkStart w:id="427" w:name="_Toc16468"/>
      <w:r>
        <w:rPr>
          <w:rFonts w:hint="eastAsia" w:ascii="宋体" w:hAnsi="宋体" w:eastAsia="宋体" w:cs="宋体"/>
          <w:strike w:val="0"/>
          <w:dstrike w:val="0"/>
          <w:color w:val="auto"/>
          <w:highlight w:val="none"/>
          <w:lang w:eastAsia="zh-CN"/>
        </w:rPr>
        <w:t>第</w:t>
      </w:r>
      <w:r>
        <w:rPr>
          <w:rFonts w:hint="eastAsia" w:ascii="宋体" w:hAnsi="宋体" w:eastAsia="宋体" w:cs="宋体"/>
          <w:strike w:val="0"/>
          <w:dstrike w:val="0"/>
          <w:color w:val="auto"/>
          <w:highlight w:val="none"/>
          <w:lang w:val="en-US" w:eastAsia="zh-CN"/>
        </w:rPr>
        <w:t>7</w:t>
      </w:r>
      <w:r>
        <w:rPr>
          <w:rFonts w:hint="eastAsia" w:ascii="宋体" w:hAnsi="宋体" w:eastAsia="宋体" w:cs="宋体"/>
          <w:strike w:val="0"/>
          <w:dstrike w:val="0"/>
          <w:color w:val="auto"/>
          <w:highlight w:val="none"/>
          <w:lang w:eastAsia="zh-CN"/>
        </w:rPr>
        <w:t>章</w:t>
      </w:r>
      <w:r>
        <w:rPr>
          <w:rFonts w:hint="eastAsia" w:ascii="宋体" w:hAnsi="宋体" w:eastAsia="宋体" w:cs="宋体"/>
          <w:strike w:val="0"/>
          <w:dstrike w:val="0"/>
          <w:color w:val="auto"/>
          <w:highlight w:val="none"/>
          <w:lang w:val="en-US" w:eastAsia="zh-CN"/>
        </w:rPr>
        <w:t xml:space="preserve"> </w:t>
      </w:r>
      <w:bookmarkEnd w:id="422"/>
      <w:bookmarkEnd w:id="423"/>
      <w:bookmarkEnd w:id="424"/>
      <w:bookmarkEnd w:id="425"/>
      <w:bookmarkEnd w:id="426"/>
      <w:bookmarkEnd w:id="427"/>
      <w:bookmarkStart w:id="428" w:name="_Hlt487972895"/>
      <w:bookmarkEnd w:id="428"/>
      <w:r>
        <w:rPr>
          <w:rFonts w:hint="eastAsia" w:hAnsi="宋体" w:cs="宋体"/>
          <w:color w:val="auto"/>
          <w:szCs w:val="32"/>
        </w:rPr>
        <w:t>政府采购合同</w:t>
      </w:r>
      <w:bookmarkStart w:id="429" w:name="_Toc216513788"/>
      <w:bookmarkStart w:id="430" w:name="_Toc487900382"/>
    </w:p>
    <w:bookmarkEnd w:id="429"/>
    <w:bookmarkEnd w:id="430"/>
    <w:p w14:paraId="1F3578A7">
      <w:pPr>
        <w:spacing w:line="240" w:lineRule="atLeast"/>
        <w:rPr>
          <w:rFonts w:hint="eastAsia" w:ascii="宋体" w:hAnsi="宋体" w:cs="宋体"/>
          <w:b/>
          <w:color w:val="auto"/>
          <w:kern w:val="44"/>
          <w:sz w:val="24"/>
        </w:rPr>
      </w:pPr>
    </w:p>
    <w:p w14:paraId="7881EB35">
      <w:pPr>
        <w:pStyle w:val="4"/>
        <w:spacing w:line="240" w:lineRule="atLeast"/>
        <w:ind w:firstLine="480"/>
        <w:rPr>
          <w:rFonts w:hint="eastAsia" w:hAnsi="宋体" w:cs="宋体"/>
          <w:color w:val="auto"/>
          <w:szCs w:val="24"/>
        </w:rPr>
      </w:pPr>
    </w:p>
    <w:p w14:paraId="14A0CCA7">
      <w:pPr>
        <w:rPr>
          <w:rFonts w:hint="eastAsia" w:ascii="宋体" w:hAnsi="宋体" w:cs="宋体"/>
          <w:color w:val="auto"/>
          <w:sz w:val="24"/>
          <w:u w:val="single"/>
        </w:rPr>
      </w:pPr>
      <w:r>
        <w:rPr>
          <w:rFonts w:hint="eastAsia" w:ascii="宋体" w:hAnsi="宋体" w:cs="宋体"/>
          <w:color w:val="auto"/>
          <w:sz w:val="24"/>
        </w:rPr>
        <w:t>合同编号：</w:t>
      </w:r>
      <w:r>
        <w:rPr>
          <w:rFonts w:hint="eastAsia" w:ascii="宋体" w:hAnsi="宋体" w:cs="宋体"/>
          <w:color w:val="auto"/>
          <w:sz w:val="24"/>
          <w:u w:val="single"/>
        </w:rPr>
        <w:t xml:space="preserve">           </w:t>
      </w:r>
    </w:p>
    <w:p w14:paraId="7B30837E">
      <w:pPr>
        <w:spacing w:line="480" w:lineRule="auto"/>
        <w:jc w:val="center"/>
        <w:rPr>
          <w:rFonts w:hint="eastAsia" w:ascii="宋体" w:hAnsi="宋体" w:cs="宋体"/>
          <w:b/>
          <w:color w:val="auto"/>
          <w:sz w:val="28"/>
          <w:szCs w:val="28"/>
        </w:rPr>
      </w:pPr>
    </w:p>
    <w:p w14:paraId="4EB0E7F4">
      <w:pPr>
        <w:spacing w:line="480" w:lineRule="auto"/>
        <w:jc w:val="center"/>
        <w:rPr>
          <w:rFonts w:hint="eastAsia" w:ascii="宋体" w:hAnsi="宋体" w:cs="宋体"/>
          <w:b/>
          <w:color w:val="auto"/>
          <w:sz w:val="28"/>
          <w:szCs w:val="28"/>
        </w:rPr>
      </w:pPr>
    </w:p>
    <w:p w14:paraId="2F1972C8">
      <w:pPr>
        <w:spacing w:line="480" w:lineRule="auto"/>
        <w:jc w:val="center"/>
        <w:rPr>
          <w:rFonts w:hint="eastAsia" w:ascii="宋体" w:hAnsi="宋体" w:cs="宋体"/>
          <w:b/>
          <w:color w:val="auto"/>
          <w:sz w:val="28"/>
          <w:szCs w:val="28"/>
        </w:rPr>
      </w:pPr>
    </w:p>
    <w:p w14:paraId="6F83ECA7">
      <w:pPr>
        <w:spacing w:line="480" w:lineRule="auto"/>
        <w:jc w:val="center"/>
        <w:rPr>
          <w:rFonts w:hint="eastAsia" w:ascii="宋体" w:hAnsi="宋体" w:cs="宋体"/>
          <w:b/>
          <w:color w:val="auto"/>
          <w:sz w:val="44"/>
          <w:szCs w:val="44"/>
        </w:rPr>
      </w:pPr>
      <w:r>
        <w:rPr>
          <w:rFonts w:hint="eastAsia" w:ascii="宋体" w:hAnsi="宋体" w:cs="宋体"/>
          <w:b/>
          <w:color w:val="auto"/>
          <w:sz w:val="44"/>
          <w:szCs w:val="44"/>
        </w:rPr>
        <w:t>政府采购合同参考范本</w:t>
      </w:r>
    </w:p>
    <w:p w14:paraId="28EEBC1C">
      <w:pPr>
        <w:spacing w:line="480" w:lineRule="auto"/>
        <w:jc w:val="center"/>
        <w:rPr>
          <w:rFonts w:hint="eastAsia" w:ascii="宋体" w:hAnsi="宋体" w:cs="宋体"/>
          <w:b/>
          <w:color w:val="auto"/>
          <w:sz w:val="24"/>
        </w:rPr>
      </w:pPr>
      <w:r>
        <w:rPr>
          <w:rFonts w:hint="eastAsia" w:ascii="宋体" w:hAnsi="宋体" w:cs="宋体"/>
          <w:b/>
          <w:color w:val="auto"/>
          <w:sz w:val="24"/>
        </w:rPr>
        <w:t>（服务类）</w:t>
      </w:r>
    </w:p>
    <w:p w14:paraId="0AE22868">
      <w:pPr>
        <w:pStyle w:val="68"/>
        <w:ind w:firstLine="0"/>
        <w:rPr>
          <w:rFonts w:hint="eastAsia" w:hAnsi="宋体" w:cs="宋体"/>
          <w:color w:val="auto"/>
          <w:szCs w:val="24"/>
        </w:rPr>
      </w:pPr>
    </w:p>
    <w:p w14:paraId="3B889DF6">
      <w:pPr>
        <w:pStyle w:val="68"/>
        <w:ind w:firstLine="0"/>
        <w:rPr>
          <w:rFonts w:hint="eastAsia" w:hAnsi="宋体" w:cs="宋体"/>
          <w:color w:val="auto"/>
          <w:szCs w:val="24"/>
        </w:rPr>
      </w:pPr>
    </w:p>
    <w:p w14:paraId="1D514294">
      <w:pPr>
        <w:pStyle w:val="68"/>
        <w:ind w:firstLine="0"/>
        <w:rPr>
          <w:rFonts w:hint="eastAsia" w:hAnsi="宋体" w:cs="宋体"/>
          <w:color w:val="auto"/>
          <w:szCs w:val="24"/>
        </w:rPr>
      </w:pPr>
    </w:p>
    <w:p w14:paraId="18C3CFB4">
      <w:pPr>
        <w:pStyle w:val="68"/>
        <w:ind w:firstLine="0"/>
        <w:jc w:val="center"/>
        <w:rPr>
          <w:rFonts w:hint="eastAsia" w:hAnsi="宋体" w:cs="宋体"/>
          <w:b/>
          <w:color w:val="auto"/>
          <w:szCs w:val="24"/>
        </w:rPr>
      </w:pPr>
      <w:r>
        <w:rPr>
          <w:rFonts w:hint="eastAsia" w:hAnsi="宋体" w:cs="宋体"/>
          <w:b/>
          <w:color w:val="auto"/>
          <w:szCs w:val="24"/>
        </w:rPr>
        <w:t>第一部分 合同书</w:t>
      </w:r>
    </w:p>
    <w:p w14:paraId="36265971">
      <w:pPr>
        <w:pStyle w:val="68"/>
        <w:ind w:firstLine="0"/>
        <w:rPr>
          <w:rFonts w:hint="eastAsia" w:hAnsi="宋体" w:cs="宋体"/>
          <w:color w:val="auto"/>
          <w:szCs w:val="24"/>
        </w:rPr>
      </w:pPr>
    </w:p>
    <w:p w14:paraId="4D4B2D1B">
      <w:pPr>
        <w:pStyle w:val="68"/>
        <w:ind w:firstLine="0"/>
        <w:rPr>
          <w:rFonts w:hint="eastAsia" w:hAnsi="宋体" w:cs="宋体"/>
          <w:color w:val="auto"/>
          <w:szCs w:val="24"/>
        </w:rPr>
      </w:pPr>
    </w:p>
    <w:p w14:paraId="3A96C52B">
      <w:pPr>
        <w:spacing w:before="120" w:line="22" w:lineRule="atLeast"/>
        <w:rPr>
          <w:rFonts w:hint="eastAsia" w:ascii="宋体" w:hAnsi="宋体" w:cs="宋体"/>
          <w:color w:val="auto"/>
          <w:sz w:val="24"/>
        </w:rPr>
      </w:pPr>
    </w:p>
    <w:p w14:paraId="5F1D8E81">
      <w:pPr>
        <w:spacing w:before="120" w:line="22" w:lineRule="atLeast"/>
        <w:ind w:left="960"/>
        <w:rPr>
          <w:rFonts w:hint="eastAsia" w:ascii="宋体" w:hAnsi="宋体" w:cs="宋体"/>
          <w:color w:val="auto"/>
          <w:sz w:val="24"/>
        </w:rPr>
      </w:pPr>
      <w:r>
        <w:rPr>
          <w:rFonts w:hint="eastAsia" w:ascii="宋体" w:hAnsi="宋体" w:cs="宋体"/>
          <w:color w:val="auto"/>
          <w:sz w:val="24"/>
        </w:rPr>
        <w:t>项目名称：</w:t>
      </w:r>
      <w:r>
        <w:rPr>
          <w:rFonts w:hint="eastAsia" w:ascii="宋体" w:hAnsi="宋体" w:cs="宋体"/>
          <w:color w:val="auto"/>
          <w:sz w:val="24"/>
          <w:u w:val="single"/>
        </w:rPr>
        <w:t xml:space="preserve">                                   </w:t>
      </w:r>
    </w:p>
    <w:p w14:paraId="0D7CA5EB">
      <w:pPr>
        <w:pStyle w:val="80"/>
        <w:spacing w:before="120" w:line="22" w:lineRule="atLeast"/>
        <w:rPr>
          <w:rFonts w:hint="eastAsia" w:ascii="宋体" w:hAnsi="宋体" w:eastAsia="宋体" w:cs="宋体"/>
          <w:color w:val="auto"/>
          <w:szCs w:val="24"/>
        </w:rPr>
      </w:pPr>
    </w:p>
    <w:p w14:paraId="4BDE4952">
      <w:pPr>
        <w:pStyle w:val="80"/>
        <w:spacing w:before="120" w:line="22" w:lineRule="atLeast"/>
        <w:rPr>
          <w:rFonts w:hint="eastAsia" w:ascii="宋体" w:hAnsi="宋体" w:eastAsia="宋体" w:cs="宋体"/>
          <w:color w:val="auto"/>
          <w:szCs w:val="24"/>
        </w:rPr>
      </w:pPr>
    </w:p>
    <w:p w14:paraId="53EFA0F5">
      <w:pPr>
        <w:rPr>
          <w:rFonts w:hint="eastAsia" w:ascii="宋体" w:hAnsi="宋体" w:cs="宋体"/>
          <w:color w:val="auto"/>
        </w:rPr>
      </w:pPr>
    </w:p>
    <w:p w14:paraId="41D6D1AE">
      <w:pPr>
        <w:spacing w:before="120" w:line="22" w:lineRule="atLeast"/>
        <w:ind w:left="960"/>
        <w:rPr>
          <w:rFonts w:hint="eastAsia" w:ascii="宋体" w:hAnsi="宋体" w:cs="宋体"/>
          <w:color w:val="auto"/>
          <w:sz w:val="24"/>
          <w:u w:val="single"/>
        </w:rPr>
      </w:pPr>
      <w:r>
        <w:rPr>
          <w:rFonts w:hint="eastAsia" w:ascii="宋体" w:hAnsi="宋体" w:cs="宋体"/>
          <w:color w:val="auto"/>
          <w:sz w:val="24"/>
        </w:rPr>
        <w:t>甲方：</w:t>
      </w:r>
      <w:r>
        <w:rPr>
          <w:rFonts w:hint="eastAsia" w:ascii="宋体" w:hAnsi="宋体" w:cs="宋体"/>
          <w:color w:val="auto"/>
          <w:sz w:val="24"/>
          <w:u w:val="single"/>
        </w:rPr>
        <w:t xml:space="preserve">                                       </w:t>
      </w:r>
    </w:p>
    <w:p w14:paraId="7F647F9B">
      <w:pPr>
        <w:spacing w:before="120" w:line="22" w:lineRule="atLeast"/>
        <w:rPr>
          <w:rFonts w:hint="eastAsia" w:ascii="宋体" w:hAnsi="宋体" w:cs="宋体"/>
          <w:color w:val="auto"/>
          <w:sz w:val="24"/>
        </w:rPr>
      </w:pPr>
    </w:p>
    <w:p w14:paraId="32DC931C">
      <w:pPr>
        <w:spacing w:before="120" w:line="22" w:lineRule="atLeast"/>
        <w:ind w:left="960"/>
        <w:rPr>
          <w:rFonts w:hint="eastAsia" w:ascii="宋体" w:hAnsi="宋体" w:cs="宋体"/>
          <w:color w:val="auto"/>
          <w:sz w:val="24"/>
          <w:u w:val="single"/>
        </w:rPr>
      </w:pPr>
      <w:r>
        <w:rPr>
          <w:rFonts w:hint="eastAsia" w:ascii="宋体" w:hAnsi="宋体" w:cs="宋体"/>
          <w:color w:val="auto"/>
          <w:sz w:val="24"/>
        </w:rPr>
        <w:t>乙方：</w:t>
      </w:r>
      <w:r>
        <w:rPr>
          <w:rFonts w:hint="eastAsia" w:ascii="宋体" w:hAnsi="宋体" w:cs="宋体"/>
          <w:color w:val="auto"/>
          <w:sz w:val="24"/>
          <w:u w:val="single"/>
        </w:rPr>
        <w:t xml:space="preserve">                                       </w:t>
      </w:r>
    </w:p>
    <w:p w14:paraId="7A9A7B05">
      <w:pPr>
        <w:spacing w:before="120" w:line="22" w:lineRule="atLeast"/>
        <w:rPr>
          <w:rFonts w:hint="eastAsia" w:ascii="宋体" w:hAnsi="宋体" w:cs="宋体"/>
          <w:color w:val="auto"/>
          <w:sz w:val="24"/>
        </w:rPr>
      </w:pPr>
    </w:p>
    <w:p w14:paraId="5B5E67DD">
      <w:pPr>
        <w:spacing w:before="120" w:line="22" w:lineRule="atLeast"/>
        <w:ind w:firstLine="960" w:firstLineChars="400"/>
        <w:rPr>
          <w:rFonts w:hint="eastAsia" w:ascii="宋体" w:hAnsi="宋体" w:cs="宋体"/>
          <w:color w:val="auto"/>
          <w:sz w:val="24"/>
          <w:u w:val="single"/>
        </w:rPr>
      </w:pPr>
      <w:r>
        <w:rPr>
          <w:rFonts w:hint="eastAsia" w:ascii="宋体" w:hAnsi="宋体" w:cs="宋体"/>
          <w:color w:val="auto"/>
          <w:sz w:val="24"/>
        </w:rPr>
        <w:t>签订地：</w:t>
      </w:r>
      <w:r>
        <w:rPr>
          <w:rFonts w:hint="eastAsia" w:ascii="宋体" w:hAnsi="宋体" w:cs="宋体"/>
          <w:color w:val="auto"/>
          <w:sz w:val="24"/>
          <w:u w:val="single"/>
        </w:rPr>
        <w:t xml:space="preserve">                                     </w:t>
      </w:r>
    </w:p>
    <w:p w14:paraId="39FCA171">
      <w:pPr>
        <w:spacing w:before="120" w:line="22" w:lineRule="atLeast"/>
        <w:rPr>
          <w:rFonts w:hint="eastAsia" w:ascii="宋体" w:hAnsi="宋体" w:cs="宋体"/>
          <w:color w:val="auto"/>
          <w:sz w:val="24"/>
        </w:rPr>
      </w:pPr>
    </w:p>
    <w:p w14:paraId="7819A17E">
      <w:pPr>
        <w:spacing w:before="120" w:line="22" w:lineRule="atLeast"/>
        <w:ind w:firstLine="960" w:firstLineChars="400"/>
        <w:rPr>
          <w:rFonts w:hint="eastAsia" w:ascii="宋体" w:hAnsi="宋体" w:cs="宋体"/>
          <w:color w:val="auto"/>
          <w:sz w:val="24"/>
          <w:u w:val="single"/>
        </w:rPr>
      </w:pPr>
      <w:r>
        <w:rPr>
          <w:rFonts w:hint="eastAsia" w:ascii="宋体" w:hAnsi="宋体" w:cs="宋体"/>
          <w:color w:val="auto"/>
          <w:sz w:val="24"/>
        </w:rPr>
        <w:t>签订日期：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62D75360">
      <w:pPr>
        <w:autoSpaceDE w:val="0"/>
        <w:autoSpaceDN w:val="0"/>
        <w:adjustRightInd w:val="0"/>
        <w:spacing w:line="600" w:lineRule="exact"/>
        <w:ind w:firstLine="640"/>
        <w:jc w:val="center"/>
        <w:rPr>
          <w:rFonts w:hint="eastAsia" w:ascii="宋体" w:hAnsi="宋体" w:cs="宋体"/>
          <w:color w:val="auto"/>
          <w:sz w:val="24"/>
        </w:rPr>
        <w:sectPr>
          <w:headerReference r:id="rId14" w:type="first"/>
          <w:footerReference r:id="rId17" w:type="first"/>
          <w:headerReference r:id="rId12" w:type="default"/>
          <w:footerReference r:id="rId15" w:type="default"/>
          <w:headerReference r:id="rId13" w:type="even"/>
          <w:footerReference r:id="rId16" w:type="even"/>
          <w:pgSz w:w="11907" w:h="16840"/>
          <w:pgMar w:top="1474" w:right="1814" w:bottom="1474" w:left="1814" w:header="851" w:footer="851" w:gutter="0"/>
          <w:cols w:space="720" w:num="1"/>
          <w:docGrid w:linePitch="462" w:charSpace="0"/>
        </w:sectPr>
      </w:pPr>
    </w:p>
    <w:p w14:paraId="1D45B566">
      <w:pPr>
        <w:spacing w:line="560" w:lineRule="exact"/>
        <w:ind w:firstLine="480" w:firstLineChars="200"/>
        <w:rPr>
          <w:rFonts w:hint="eastAsia" w:ascii="宋体" w:hAnsi="宋体" w:cs="宋体"/>
          <w:color w:val="auto"/>
          <w:sz w:val="24"/>
        </w:rPr>
      </w:pPr>
      <w:r>
        <w:rPr>
          <w:rFonts w:hint="eastAsia" w:ascii="宋体" w:hAnsi="宋体" w:cs="宋体"/>
          <w:color w:val="auto"/>
          <w:sz w:val="24"/>
          <w:u w:val="single"/>
          <w:lang w:val="zh-CN"/>
        </w:rPr>
        <w:t xml:space="preserve">        </w:t>
      </w:r>
      <w:r>
        <w:rPr>
          <w:rFonts w:hint="eastAsia" w:ascii="宋体" w:hAnsi="宋体" w:cs="宋体"/>
          <w:color w:val="auto"/>
          <w:sz w:val="24"/>
          <w:lang w:val="zh-CN"/>
        </w:rPr>
        <w:t>年</w:t>
      </w:r>
      <w:r>
        <w:rPr>
          <w:rFonts w:hint="eastAsia" w:ascii="宋体" w:hAnsi="宋体" w:cs="宋体"/>
          <w:color w:val="auto"/>
          <w:sz w:val="24"/>
          <w:u w:val="single"/>
          <w:lang w:val="zh-CN"/>
        </w:rPr>
        <w:t xml:space="preserve">    </w:t>
      </w:r>
      <w:r>
        <w:rPr>
          <w:rFonts w:hint="eastAsia" w:ascii="宋体" w:hAnsi="宋体" w:cs="宋体"/>
          <w:color w:val="auto"/>
          <w:sz w:val="24"/>
          <w:lang w:val="zh-CN"/>
        </w:rPr>
        <w:t>月</w:t>
      </w:r>
      <w:r>
        <w:rPr>
          <w:rFonts w:hint="eastAsia" w:ascii="宋体" w:hAnsi="宋体" w:cs="宋体"/>
          <w:color w:val="auto"/>
          <w:sz w:val="24"/>
          <w:u w:val="single"/>
          <w:lang w:val="zh-CN"/>
        </w:rPr>
        <w:t xml:space="preserve">    </w:t>
      </w:r>
      <w:r>
        <w:rPr>
          <w:rFonts w:hint="eastAsia" w:ascii="宋体" w:hAnsi="宋体" w:cs="宋体"/>
          <w:color w:val="auto"/>
          <w:sz w:val="24"/>
          <w:lang w:val="zh-CN"/>
        </w:rPr>
        <w:t>日</w:t>
      </w:r>
      <w:r>
        <w:rPr>
          <w:rFonts w:hint="eastAsia" w:ascii="宋体" w:hAnsi="宋体" w:cs="宋体"/>
          <w:color w:val="auto"/>
          <w:sz w:val="24"/>
        </w:rPr>
        <w:t>，</w:t>
      </w:r>
      <w:r>
        <w:rPr>
          <w:rFonts w:hint="eastAsia" w:ascii="宋体" w:hAnsi="宋体" w:cs="宋体"/>
          <w:color w:val="auto"/>
          <w:sz w:val="24"/>
          <w:u w:val="single"/>
        </w:rPr>
        <w:t xml:space="preserve">   （采购人名称）   </w:t>
      </w:r>
      <w:r>
        <w:rPr>
          <w:rFonts w:hint="eastAsia" w:ascii="宋体" w:hAnsi="宋体" w:cs="宋体"/>
          <w:color w:val="auto"/>
          <w:sz w:val="24"/>
        </w:rPr>
        <w:t>以</w:t>
      </w:r>
      <w:r>
        <w:rPr>
          <w:rFonts w:hint="eastAsia" w:ascii="宋体" w:hAnsi="宋体" w:cs="宋体"/>
          <w:color w:val="auto"/>
          <w:sz w:val="24"/>
          <w:u w:val="single"/>
        </w:rPr>
        <w:t xml:space="preserve">   （政府采购方式）  </w:t>
      </w:r>
      <w:r>
        <w:rPr>
          <w:rFonts w:hint="eastAsia" w:ascii="宋体" w:hAnsi="宋体" w:cs="宋体"/>
          <w:color w:val="auto"/>
          <w:sz w:val="24"/>
        </w:rPr>
        <w:t>对</w:t>
      </w:r>
      <w:r>
        <w:rPr>
          <w:rFonts w:hint="eastAsia" w:ascii="宋体" w:hAnsi="宋体" w:cs="宋体"/>
          <w:color w:val="auto"/>
          <w:sz w:val="24"/>
          <w:u w:val="single"/>
        </w:rPr>
        <w:t xml:space="preserve">   （同前页项目名称）   </w:t>
      </w:r>
      <w:r>
        <w:rPr>
          <w:rFonts w:hint="eastAsia" w:ascii="宋体" w:hAnsi="宋体" w:cs="宋体"/>
          <w:color w:val="auto"/>
          <w:sz w:val="24"/>
        </w:rPr>
        <w:t>项目进行了采购。经</w:t>
      </w:r>
      <w:r>
        <w:rPr>
          <w:rFonts w:hint="eastAsia" w:ascii="宋体" w:hAnsi="宋体" w:cs="宋体"/>
          <w:color w:val="auto"/>
          <w:sz w:val="24"/>
          <w:u w:val="single"/>
        </w:rPr>
        <w:t xml:space="preserve">   （相关评定主体名称）   </w:t>
      </w:r>
      <w:r>
        <w:rPr>
          <w:rFonts w:hint="eastAsia" w:ascii="宋体" w:hAnsi="宋体" w:cs="宋体"/>
          <w:color w:val="auto"/>
          <w:sz w:val="24"/>
        </w:rPr>
        <w:t>评定，</w:t>
      </w:r>
      <w:r>
        <w:rPr>
          <w:rFonts w:hint="eastAsia" w:ascii="宋体" w:hAnsi="宋体" w:cs="宋体"/>
          <w:color w:val="auto"/>
          <w:sz w:val="24"/>
          <w:u w:val="single"/>
        </w:rPr>
        <w:t xml:space="preserve">   （中标</w:t>
      </w:r>
      <w:r>
        <w:rPr>
          <w:rFonts w:hint="eastAsia" w:ascii="宋体" w:hAnsi="宋体" w:cs="宋体"/>
          <w:color w:val="auto"/>
          <w:sz w:val="24"/>
          <w:u w:val="single"/>
          <w:lang w:eastAsia="zh-CN"/>
        </w:rPr>
        <w:t>投标人</w:t>
      </w:r>
      <w:r>
        <w:rPr>
          <w:rFonts w:hint="eastAsia" w:ascii="宋体" w:hAnsi="宋体" w:cs="宋体"/>
          <w:color w:val="auto"/>
          <w:sz w:val="24"/>
          <w:u w:val="single"/>
        </w:rPr>
        <w:t xml:space="preserve">名称） </w:t>
      </w:r>
      <w:r>
        <w:rPr>
          <w:rFonts w:hint="eastAsia" w:ascii="宋体" w:hAnsi="宋体" w:cs="宋体"/>
          <w:color w:val="auto"/>
          <w:sz w:val="24"/>
        </w:rPr>
        <w:t>为该项目中标</w:t>
      </w:r>
      <w:r>
        <w:rPr>
          <w:rFonts w:hint="eastAsia" w:ascii="宋体" w:hAnsi="宋体" w:cs="宋体"/>
          <w:color w:val="auto"/>
          <w:sz w:val="24"/>
          <w:lang w:eastAsia="zh-CN"/>
        </w:rPr>
        <w:t>投标人</w:t>
      </w:r>
      <w:r>
        <w:rPr>
          <w:rFonts w:hint="eastAsia" w:ascii="宋体" w:hAnsi="宋体" w:cs="宋体"/>
          <w:color w:val="auto"/>
          <w:sz w:val="24"/>
        </w:rPr>
        <w:t>。现于中标通知书发出之日起三十日内，按照采购文件确定的事项签订本合同。</w:t>
      </w:r>
    </w:p>
    <w:p w14:paraId="11064F30">
      <w:pPr>
        <w:spacing w:line="560" w:lineRule="exact"/>
        <w:ind w:firstLine="480" w:firstLineChars="200"/>
        <w:rPr>
          <w:rFonts w:hint="eastAsia" w:ascii="宋体" w:hAnsi="宋体" w:cs="宋体"/>
          <w:color w:val="auto"/>
          <w:sz w:val="24"/>
        </w:rPr>
      </w:pPr>
      <w:r>
        <w:rPr>
          <w:rFonts w:hint="eastAsia" w:ascii="宋体" w:hAnsi="宋体" w:cs="宋体"/>
          <w:color w:val="auto"/>
          <w:sz w:val="24"/>
          <w:lang w:val="zh-CN"/>
        </w:rPr>
        <w:t>根据</w:t>
      </w:r>
      <w:r>
        <w:rPr>
          <w:rFonts w:hint="eastAsia" w:ascii="宋体" w:hAnsi="宋体" w:cs="宋体"/>
          <w:color w:val="auto"/>
          <w:sz w:val="24"/>
          <w:lang w:val="zh-CN" w:eastAsia="zh-CN"/>
        </w:rPr>
        <w:t>《民法典》</w:t>
      </w:r>
      <w:r>
        <w:rPr>
          <w:rFonts w:hint="eastAsia" w:ascii="宋体" w:hAnsi="宋体" w:cs="宋体"/>
          <w:color w:val="auto"/>
          <w:sz w:val="24"/>
          <w:lang w:val="zh-CN"/>
        </w:rPr>
        <w:t>、《中华人民共和国政府采购法》等相关法律法规之规定，按照平等、自愿、公平和诚实信用的原则，经</w:t>
      </w:r>
      <w:r>
        <w:rPr>
          <w:rFonts w:hint="eastAsia" w:ascii="宋体" w:hAnsi="宋体" w:cs="宋体"/>
          <w:color w:val="auto"/>
          <w:sz w:val="24"/>
          <w:u w:val="single"/>
        </w:rPr>
        <w:t xml:space="preserve">   （采购人名称）   </w:t>
      </w:r>
      <w:r>
        <w:rPr>
          <w:rFonts w:hint="eastAsia" w:ascii="宋体" w:hAnsi="宋体" w:cs="宋体"/>
          <w:color w:val="auto"/>
          <w:sz w:val="24"/>
          <w:lang w:val="zh-CN"/>
        </w:rPr>
        <w:t>(以下简称：甲方)和</w:t>
      </w:r>
      <w:r>
        <w:rPr>
          <w:rFonts w:hint="eastAsia" w:ascii="宋体" w:hAnsi="宋体" w:cs="宋体"/>
          <w:color w:val="auto"/>
          <w:sz w:val="24"/>
          <w:u w:val="single"/>
        </w:rPr>
        <w:t xml:space="preserve">   （中标</w:t>
      </w:r>
      <w:r>
        <w:rPr>
          <w:rFonts w:hint="eastAsia" w:ascii="宋体" w:hAnsi="宋体" w:cs="宋体"/>
          <w:color w:val="auto"/>
          <w:sz w:val="24"/>
          <w:u w:val="single"/>
          <w:lang w:eastAsia="zh-CN"/>
        </w:rPr>
        <w:t>投标人</w:t>
      </w:r>
      <w:r>
        <w:rPr>
          <w:rFonts w:hint="eastAsia" w:ascii="宋体" w:hAnsi="宋体" w:cs="宋体"/>
          <w:color w:val="auto"/>
          <w:sz w:val="24"/>
          <w:u w:val="single"/>
        </w:rPr>
        <w:t xml:space="preserve">名称）   </w:t>
      </w:r>
      <w:r>
        <w:rPr>
          <w:rFonts w:hint="eastAsia" w:ascii="宋体" w:hAnsi="宋体" w:cs="宋体"/>
          <w:color w:val="auto"/>
          <w:sz w:val="24"/>
          <w:lang w:val="zh-CN"/>
        </w:rPr>
        <w:t>(以下简称：乙方)协商一致，约定以下合同</w:t>
      </w:r>
      <w:r>
        <w:rPr>
          <w:rFonts w:hint="eastAsia" w:ascii="宋体" w:hAnsi="宋体" w:cs="宋体"/>
          <w:color w:val="auto"/>
          <w:sz w:val="24"/>
        </w:rPr>
        <w:t>条款，以兹共同遵守、全面履行。</w:t>
      </w:r>
    </w:p>
    <w:p w14:paraId="55733C1F">
      <w:pPr>
        <w:spacing w:line="560" w:lineRule="exact"/>
        <w:ind w:firstLine="482" w:firstLineChars="200"/>
        <w:outlineLvl w:val="0"/>
        <w:rPr>
          <w:rFonts w:hint="eastAsia" w:ascii="宋体" w:hAnsi="宋体" w:cs="宋体"/>
          <w:color w:val="auto"/>
          <w:sz w:val="24"/>
        </w:rPr>
      </w:pPr>
      <w:bookmarkStart w:id="431" w:name="_Toc28855"/>
      <w:bookmarkStart w:id="432" w:name="_Toc20421"/>
      <w:bookmarkStart w:id="433" w:name="_Toc15367"/>
      <w:bookmarkStart w:id="434" w:name="_Toc19273"/>
      <w:r>
        <w:rPr>
          <w:rFonts w:hint="eastAsia" w:ascii="宋体" w:hAnsi="宋体" w:cs="宋体"/>
          <w:b/>
          <w:color w:val="auto"/>
          <w:sz w:val="24"/>
        </w:rPr>
        <w:t>1.1 合同组成部分</w:t>
      </w:r>
      <w:bookmarkEnd w:id="431"/>
      <w:bookmarkEnd w:id="432"/>
      <w:bookmarkEnd w:id="433"/>
      <w:bookmarkEnd w:id="434"/>
    </w:p>
    <w:p w14:paraId="5F9BABE9">
      <w:pPr>
        <w:spacing w:line="560" w:lineRule="exact"/>
        <w:ind w:firstLine="480" w:firstLineChars="200"/>
        <w:rPr>
          <w:rFonts w:hint="eastAsia" w:ascii="宋体" w:hAnsi="宋体" w:cs="宋体"/>
          <w:color w:val="auto"/>
          <w:sz w:val="24"/>
        </w:rPr>
      </w:pPr>
      <w:r>
        <w:rPr>
          <w:rFonts w:hint="eastAsia" w:ascii="宋体" w:hAnsi="宋体" w:cs="宋体"/>
          <w:color w:val="auto"/>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223950FE">
      <w:pPr>
        <w:spacing w:line="560" w:lineRule="exact"/>
        <w:ind w:firstLine="480" w:firstLineChars="200"/>
        <w:rPr>
          <w:rFonts w:hint="eastAsia" w:ascii="宋体" w:hAnsi="宋体" w:cs="宋体"/>
          <w:color w:val="auto"/>
          <w:sz w:val="24"/>
        </w:rPr>
      </w:pPr>
      <w:r>
        <w:rPr>
          <w:rFonts w:hint="eastAsia" w:ascii="宋体" w:hAnsi="宋体" w:cs="宋体"/>
          <w:color w:val="auto"/>
          <w:sz w:val="24"/>
        </w:rPr>
        <w:t>1.1.1 本合同及其补充合同、变更协议；</w:t>
      </w:r>
    </w:p>
    <w:p w14:paraId="32E09A47">
      <w:pPr>
        <w:spacing w:line="560" w:lineRule="exact"/>
        <w:ind w:firstLine="480" w:firstLineChars="200"/>
        <w:rPr>
          <w:rFonts w:hint="eastAsia" w:ascii="宋体" w:hAnsi="宋体" w:cs="宋体"/>
          <w:color w:val="auto"/>
          <w:sz w:val="24"/>
        </w:rPr>
      </w:pPr>
      <w:r>
        <w:rPr>
          <w:rFonts w:hint="eastAsia" w:ascii="宋体" w:hAnsi="宋体" w:cs="宋体"/>
          <w:color w:val="auto"/>
          <w:sz w:val="24"/>
        </w:rPr>
        <w:t>1.1.2 中标通知书；</w:t>
      </w:r>
    </w:p>
    <w:p w14:paraId="2C147FDA">
      <w:pPr>
        <w:spacing w:line="560" w:lineRule="exact"/>
        <w:ind w:firstLine="480" w:firstLineChars="200"/>
        <w:rPr>
          <w:rFonts w:hint="eastAsia" w:ascii="宋体" w:hAnsi="宋体" w:cs="宋体"/>
          <w:color w:val="auto"/>
          <w:sz w:val="24"/>
        </w:rPr>
      </w:pPr>
      <w:r>
        <w:rPr>
          <w:rFonts w:hint="eastAsia" w:ascii="宋体" w:hAnsi="宋体" w:cs="宋体"/>
          <w:color w:val="auto"/>
          <w:sz w:val="24"/>
        </w:rPr>
        <w:t>1.1.3 投标文件（含澄清或者说明文件）；</w:t>
      </w:r>
    </w:p>
    <w:p w14:paraId="12C6CE00">
      <w:pPr>
        <w:spacing w:line="560" w:lineRule="exact"/>
        <w:ind w:firstLine="480" w:firstLineChars="200"/>
        <w:rPr>
          <w:rFonts w:hint="eastAsia" w:ascii="宋体" w:hAnsi="宋体" w:cs="宋体"/>
          <w:color w:val="auto"/>
          <w:sz w:val="24"/>
        </w:rPr>
      </w:pPr>
      <w:r>
        <w:rPr>
          <w:rFonts w:hint="eastAsia" w:ascii="宋体" w:hAnsi="宋体" w:cs="宋体"/>
          <w:color w:val="auto"/>
          <w:sz w:val="24"/>
        </w:rPr>
        <w:t>1.1.4 招标文件（含澄清或者修改文件）；</w:t>
      </w:r>
    </w:p>
    <w:p w14:paraId="4633C36D">
      <w:pPr>
        <w:spacing w:line="560" w:lineRule="exact"/>
        <w:ind w:firstLine="480" w:firstLineChars="200"/>
        <w:rPr>
          <w:rFonts w:hint="eastAsia" w:ascii="宋体" w:hAnsi="宋体" w:cs="宋体"/>
          <w:color w:val="auto"/>
          <w:sz w:val="24"/>
        </w:rPr>
      </w:pPr>
      <w:r>
        <w:rPr>
          <w:rFonts w:hint="eastAsia" w:ascii="宋体" w:hAnsi="宋体" w:cs="宋体"/>
          <w:color w:val="auto"/>
          <w:sz w:val="24"/>
        </w:rPr>
        <w:t>1.1.5 其他相关采购文件。</w:t>
      </w:r>
    </w:p>
    <w:p w14:paraId="6246F611">
      <w:pPr>
        <w:spacing w:line="560" w:lineRule="exact"/>
        <w:ind w:firstLine="482" w:firstLineChars="200"/>
        <w:outlineLvl w:val="0"/>
        <w:rPr>
          <w:rFonts w:hint="eastAsia" w:ascii="宋体" w:hAnsi="宋体" w:cs="宋体"/>
          <w:b/>
          <w:color w:val="auto"/>
          <w:sz w:val="24"/>
        </w:rPr>
      </w:pPr>
      <w:bookmarkStart w:id="435" w:name="_Toc6773"/>
      <w:bookmarkStart w:id="436" w:name="_Toc2918"/>
      <w:bookmarkStart w:id="437" w:name="_Toc18585"/>
      <w:bookmarkStart w:id="438" w:name="_Toc6311"/>
      <w:bookmarkStart w:id="439" w:name="_Toc22185"/>
      <w:r>
        <w:rPr>
          <w:rFonts w:hint="eastAsia" w:ascii="宋体" w:hAnsi="宋体" w:cs="宋体"/>
          <w:b/>
          <w:color w:val="auto"/>
          <w:sz w:val="24"/>
        </w:rPr>
        <w:t>1.2 标的</w:t>
      </w:r>
      <w:bookmarkEnd w:id="435"/>
      <w:bookmarkEnd w:id="436"/>
      <w:bookmarkEnd w:id="437"/>
      <w:bookmarkEnd w:id="438"/>
      <w:bookmarkEnd w:id="439"/>
    </w:p>
    <w:p w14:paraId="7415D4C0">
      <w:pPr>
        <w:spacing w:line="560" w:lineRule="exact"/>
        <w:ind w:firstLine="480" w:firstLineChars="200"/>
        <w:rPr>
          <w:rFonts w:hint="eastAsia" w:ascii="宋体" w:hAnsi="宋体" w:cs="宋体"/>
          <w:color w:val="auto"/>
          <w:sz w:val="24"/>
          <w:u w:val="single"/>
        </w:rPr>
      </w:pPr>
      <w:r>
        <w:rPr>
          <w:rFonts w:hint="eastAsia" w:ascii="宋体" w:hAnsi="宋体" w:cs="宋体"/>
          <w:color w:val="auto"/>
          <w:sz w:val="24"/>
        </w:rPr>
        <w:t>1.2.1 标的名称：</w:t>
      </w:r>
      <w:r>
        <w:rPr>
          <w:rFonts w:hint="eastAsia" w:ascii="宋体" w:hAnsi="宋体" w:cs="宋体"/>
          <w:color w:val="auto"/>
          <w:sz w:val="24"/>
          <w:u w:val="single"/>
        </w:rPr>
        <w:t xml:space="preserve">                                                </w:t>
      </w:r>
      <w:r>
        <w:rPr>
          <w:rFonts w:hint="eastAsia" w:ascii="宋体" w:hAnsi="宋体" w:cs="宋体"/>
          <w:color w:val="auto"/>
          <w:sz w:val="24"/>
        </w:rPr>
        <w:t>；</w:t>
      </w:r>
    </w:p>
    <w:p w14:paraId="2B49E85B">
      <w:pPr>
        <w:spacing w:line="560" w:lineRule="exact"/>
        <w:ind w:firstLine="480" w:firstLineChars="200"/>
        <w:rPr>
          <w:rFonts w:hint="eastAsia" w:ascii="宋体" w:hAnsi="宋体" w:cs="宋体"/>
          <w:color w:val="auto"/>
          <w:sz w:val="24"/>
          <w:u w:val="single"/>
        </w:rPr>
      </w:pPr>
      <w:r>
        <w:rPr>
          <w:rFonts w:hint="eastAsia" w:ascii="宋体" w:hAnsi="宋体" w:cs="宋体"/>
          <w:color w:val="auto"/>
          <w:sz w:val="24"/>
        </w:rPr>
        <w:t>1.2.2 标的数量：</w:t>
      </w:r>
      <w:r>
        <w:rPr>
          <w:rFonts w:hint="eastAsia" w:ascii="宋体" w:hAnsi="宋体" w:cs="宋体"/>
          <w:color w:val="auto"/>
          <w:sz w:val="24"/>
          <w:u w:val="single"/>
        </w:rPr>
        <w:t xml:space="preserve">                                                </w:t>
      </w:r>
      <w:r>
        <w:rPr>
          <w:rFonts w:hint="eastAsia" w:ascii="宋体" w:hAnsi="宋体" w:cs="宋体"/>
          <w:color w:val="auto"/>
          <w:sz w:val="24"/>
        </w:rPr>
        <w:t>；</w:t>
      </w:r>
    </w:p>
    <w:p w14:paraId="24BA7F52">
      <w:pPr>
        <w:spacing w:line="560" w:lineRule="exact"/>
        <w:ind w:firstLine="480" w:firstLineChars="200"/>
        <w:rPr>
          <w:rFonts w:hint="eastAsia" w:ascii="宋体" w:hAnsi="宋体" w:cs="宋体"/>
          <w:color w:val="auto"/>
          <w:sz w:val="24"/>
        </w:rPr>
      </w:pPr>
      <w:r>
        <w:rPr>
          <w:rFonts w:hint="eastAsia" w:ascii="宋体" w:hAnsi="宋体" w:cs="宋体"/>
          <w:color w:val="auto"/>
          <w:sz w:val="24"/>
        </w:rPr>
        <w:t>1.2.3 标的质量：</w:t>
      </w:r>
      <w:r>
        <w:rPr>
          <w:rFonts w:hint="eastAsia" w:ascii="宋体" w:hAnsi="宋体" w:cs="宋体"/>
          <w:color w:val="auto"/>
          <w:sz w:val="24"/>
          <w:u w:val="single"/>
        </w:rPr>
        <w:t xml:space="preserve">　　　　　　　　　                      　      </w:t>
      </w:r>
      <w:r>
        <w:rPr>
          <w:rFonts w:hint="eastAsia" w:ascii="宋体" w:hAnsi="宋体" w:cs="宋体"/>
          <w:color w:val="auto"/>
          <w:sz w:val="24"/>
        </w:rPr>
        <w:t>。</w:t>
      </w:r>
    </w:p>
    <w:p w14:paraId="0B03695A">
      <w:pPr>
        <w:spacing w:line="560" w:lineRule="exact"/>
        <w:ind w:firstLine="482" w:firstLineChars="200"/>
        <w:outlineLvl w:val="0"/>
        <w:rPr>
          <w:rFonts w:hint="eastAsia" w:ascii="宋体" w:hAnsi="宋体" w:cs="宋体"/>
          <w:b/>
          <w:color w:val="auto"/>
          <w:sz w:val="24"/>
        </w:rPr>
      </w:pPr>
      <w:bookmarkStart w:id="440" w:name="_Toc1386"/>
      <w:bookmarkStart w:id="441" w:name="_Toc5635"/>
      <w:bookmarkStart w:id="442" w:name="_Toc4929"/>
      <w:bookmarkStart w:id="443" w:name="_Toc13918"/>
      <w:bookmarkStart w:id="444" w:name="_Toc21124"/>
      <w:r>
        <w:rPr>
          <w:rFonts w:hint="eastAsia" w:ascii="宋体" w:hAnsi="宋体" w:cs="宋体"/>
          <w:b/>
          <w:color w:val="auto"/>
          <w:sz w:val="24"/>
        </w:rPr>
        <w:t>1.3 价款</w:t>
      </w:r>
      <w:bookmarkEnd w:id="440"/>
      <w:bookmarkEnd w:id="441"/>
      <w:bookmarkEnd w:id="442"/>
      <w:bookmarkEnd w:id="443"/>
      <w:bookmarkEnd w:id="444"/>
    </w:p>
    <w:p w14:paraId="5A1E3632">
      <w:pPr>
        <w:spacing w:line="560" w:lineRule="exact"/>
        <w:ind w:firstLine="480" w:firstLineChars="200"/>
        <w:rPr>
          <w:rFonts w:hint="eastAsia" w:ascii="宋体" w:hAnsi="宋体" w:cs="宋体"/>
          <w:color w:val="auto"/>
          <w:sz w:val="24"/>
        </w:rPr>
      </w:pPr>
      <w:r>
        <w:rPr>
          <w:rFonts w:hint="eastAsia" w:ascii="宋体" w:hAnsi="宋体" w:cs="宋体"/>
          <w:color w:val="auto"/>
          <w:sz w:val="24"/>
        </w:rPr>
        <w:t>本合同总价为：￥</w:t>
      </w:r>
      <w:r>
        <w:rPr>
          <w:rFonts w:hint="eastAsia" w:ascii="宋体" w:hAnsi="宋体" w:cs="宋体"/>
          <w:color w:val="auto"/>
          <w:sz w:val="24"/>
          <w:u w:val="single"/>
        </w:rPr>
        <w:t xml:space="preserve">           </w:t>
      </w:r>
      <w:r>
        <w:rPr>
          <w:rFonts w:hint="eastAsia" w:ascii="宋体" w:hAnsi="宋体" w:cs="宋体"/>
          <w:color w:val="auto"/>
          <w:sz w:val="24"/>
        </w:rPr>
        <w:t>元（大写：</w:t>
      </w:r>
      <w:r>
        <w:rPr>
          <w:rFonts w:hint="eastAsia" w:ascii="宋体" w:hAnsi="宋体" w:cs="宋体"/>
          <w:color w:val="auto"/>
          <w:sz w:val="24"/>
          <w:u w:val="single"/>
        </w:rPr>
        <w:t xml:space="preserve">                 </w:t>
      </w:r>
      <w:r>
        <w:rPr>
          <w:rFonts w:hint="eastAsia" w:ascii="宋体" w:hAnsi="宋体" w:cs="宋体"/>
          <w:color w:val="auto"/>
          <w:sz w:val="24"/>
        </w:rPr>
        <w:t>元人民币）。</w:t>
      </w:r>
    </w:p>
    <w:p w14:paraId="3AC6E27B">
      <w:pPr>
        <w:spacing w:line="560" w:lineRule="exact"/>
        <w:ind w:firstLine="480" w:firstLineChars="200"/>
        <w:rPr>
          <w:rFonts w:hint="eastAsia" w:ascii="宋体" w:hAnsi="宋体" w:cs="宋体"/>
          <w:color w:val="auto"/>
          <w:sz w:val="24"/>
          <w:u w:val="single"/>
        </w:rPr>
      </w:pPr>
      <w:r>
        <w:rPr>
          <w:rFonts w:hint="eastAsia" w:ascii="宋体" w:hAnsi="宋体" w:cs="宋体"/>
          <w:color w:val="auto"/>
          <w:sz w:val="24"/>
        </w:rPr>
        <w:t>分项价格：</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2E512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674CFE21">
            <w:pPr>
              <w:pStyle w:val="66"/>
              <w:spacing w:line="560" w:lineRule="exact"/>
              <w:jc w:val="center"/>
              <w:rPr>
                <w:rFonts w:hint="eastAsia" w:hAnsi="宋体" w:cs="宋体"/>
                <w:color w:val="auto"/>
                <w:kern w:val="2"/>
                <w:sz w:val="24"/>
                <w:szCs w:val="24"/>
              </w:rPr>
            </w:pPr>
            <w:r>
              <w:rPr>
                <w:rFonts w:hint="eastAsia" w:hAnsi="宋体" w:cs="宋体"/>
                <w:color w:val="auto"/>
                <w:kern w:val="2"/>
                <w:sz w:val="24"/>
                <w:szCs w:val="24"/>
              </w:rPr>
              <w:t>序号</w:t>
            </w:r>
          </w:p>
        </w:tc>
        <w:tc>
          <w:tcPr>
            <w:tcW w:w="3402" w:type="dxa"/>
            <w:noWrap w:val="0"/>
            <w:vAlign w:val="center"/>
          </w:tcPr>
          <w:p w14:paraId="05B9172C">
            <w:pPr>
              <w:pStyle w:val="66"/>
              <w:spacing w:line="560" w:lineRule="exact"/>
              <w:ind w:firstLine="200"/>
              <w:jc w:val="center"/>
              <w:rPr>
                <w:rFonts w:hint="eastAsia" w:hAnsi="宋体" w:cs="宋体"/>
                <w:color w:val="auto"/>
                <w:kern w:val="2"/>
                <w:sz w:val="24"/>
                <w:szCs w:val="24"/>
              </w:rPr>
            </w:pPr>
            <w:r>
              <w:rPr>
                <w:rFonts w:hint="eastAsia" w:hAnsi="宋体" w:cs="宋体"/>
                <w:color w:val="auto"/>
                <w:kern w:val="2"/>
                <w:sz w:val="24"/>
                <w:szCs w:val="24"/>
              </w:rPr>
              <w:t>分项名称</w:t>
            </w:r>
          </w:p>
        </w:tc>
        <w:tc>
          <w:tcPr>
            <w:tcW w:w="2552" w:type="dxa"/>
            <w:noWrap w:val="0"/>
            <w:vAlign w:val="center"/>
          </w:tcPr>
          <w:p w14:paraId="3AD37C3D">
            <w:pPr>
              <w:pStyle w:val="66"/>
              <w:spacing w:line="560" w:lineRule="exact"/>
              <w:jc w:val="center"/>
              <w:rPr>
                <w:rFonts w:hint="eastAsia" w:hAnsi="宋体" w:cs="宋体"/>
                <w:color w:val="auto"/>
                <w:kern w:val="2"/>
                <w:sz w:val="24"/>
                <w:szCs w:val="24"/>
              </w:rPr>
            </w:pPr>
            <w:r>
              <w:rPr>
                <w:rFonts w:hint="eastAsia" w:hAnsi="宋体" w:cs="宋体"/>
                <w:color w:val="auto"/>
                <w:kern w:val="2"/>
                <w:sz w:val="24"/>
                <w:szCs w:val="24"/>
              </w:rPr>
              <w:t>分项价格</w:t>
            </w:r>
          </w:p>
        </w:tc>
      </w:tr>
      <w:tr w14:paraId="01EDC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0EB0C245">
            <w:pPr>
              <w:pStyle w:val="66"/>
              <w:spacing w:line="560" w:lineRule="exact"/>
              <w:ind w:firstLine="200"/>
              <w:jc w:val="center"/>
              <w:rPr>
                <w:rFonts w:hint="eastAsia" w:hAnsi="宋体" w:cs="宋体"/>
                <w:color w:val="auto"/>
                <w:kern w:val="2"/>
                <w:sz w:val="24"/>
                <w:szCs w:val="24"/>
              </w:rPr>
            </w:pPr>
          </w:p>
        </w:tc>
        <w:tc>
          <w:tcPr>
            <w:tcW w:w="3402" w:type="dxa"/>
            <w:noWrap w:val="0"/>
            <w:vAlign w:val="center"/>
          </w:tcPr>
          <w:p w14:paraId="375F81C3">
            <w:pPr>
              <w:pStyle w:val="66"/>
              <w:spacing w:line="560" w:lineRule="exact"/>
              <w:ind w:firstLine="200"/>
              <w:jc w:val="center"/>
              <w:rPr>
                <w:rFonts w:hint="eastAsia" w:hAnsi="宋体" w:cs="宋体"/>
                <w:color w:val="auto"/>
                <w:kern w:val="2"/>
                <w:sz w:val="24"/>
                <w:szCs w:val="24"/>
              </w:rPr>
            </w:pPr>
          </w:p>
        </w:tc>
        <w:tc>
          <w:tcPr>
            <w:tcW w:w="2552" w:type="dxa"/>
            <w:noWrap w:val="0"/>
            <w:vAlign w:val="center"/>
          </w:tcPr>
          <w:p w14:paraId="60A653D4">
            <w:pPr>
              <w:pStyle w:val="66"/>
              <w:spacing w:line="560" w:lineRule="exact"/>
              <w:ind w:firstLine="200"/>
              <w:jc w:val="center"/>
              <w:rPr>
                <w:rFonts w:hint="eastAsia" w:hAnsi="宋体" w:cs="宋体"/>
                <w:color w:val="auto"/>
                <w:kern w:val="2"/>
                <w:sz w:val="24"/>
                <w:szCs w:val="24"/>
              </w:rPr>
            </w:pPr>
          </w:p>
        </w:tc>
      </w:tr>
      <w:tr w14:paraId="1020B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74FE7604">
            <w:pPr>
              <w:pStyle w:val="66"/>
              <w:spacing w:line="560" w:lineRule="exact"/>
              <w:ind w:firstLine="200"/>
              <w:jc w:val="center"/>
              <w:rPr>
                <w:rFonts w:hint="eastAsia" w:hAnsi="宋体" w:cs="宋体"/>
                <w:color w:val="auto"/>
                <w:kern w:val="2"/>
                <w:sz w:val="24"/>
                <w:szCs w:val="24"/>
              </w:rPr>
            </w:pPr>
          </w:p>
        </w:tc>
        <w:tc>
          <w:tcPr>
            <w:tcW w:w="3402" w:type="dxa"/>
            <w:noWrap w:val="0"/>
            <w:vAlign w:val="center"/>
          </w:tcPr>
          <w:p w14:paraId="7AEC91C9">
            <w:pPr>
              <w:pStyle w:val="66"/>
              <w:spacing w:line="560" w:lineRule="exact"/>
              <w:ind w:firstLine="200"/>
              <w:jc w:val="center"/>
              <w:rPr>
                <w:rFonts w:hint="eastAsia" w:hAnsi="宋体" w:cs="宋体"/>
                <w:color w:val="auto"/>
                <w:kern w:val="2"/>
                <w:sz w:val="24"/>
                <w:szCs w:val="24"/>
              </w:rPr>
            </w:pPr>
          </w:p>
        </w:tc>
        <w:tc>
          <w:tcPr>
            <w:tcW w:w="2552" w:type="dxa"/>
            <w:noWrap w:val="0"/>
            <w:vAlign w:val="center"/>
          </w:tcPr>
          <w:p w14:paraId="61E519CF">
            <w:pPr>
              <w:pStyle w:val="66"/>
              <w:spacing w:line="560" w:lineRule="exact"/>
              <w:ind w:firstLine="200"/>
              <w:jc w:val="center"/>
              <w:rPr>
                <w:rFonts w:hint="eastAsia" w:hAnsi="宋体" w:cs="宋体"/>
                <w:color w:val="auto"/>
                <w:kern w:val="2"/>
                <w:sz w:val="24"/>
                <w:szCs w:val="24"/>
              </w:rPr>
            </w:pPr>
          </w:p>
        </w:tc>
      </w:tr>
      <w:tr w14:paraId="724BD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2E4426FA">
            <w:pPr>
              <w:pStyle w:val="66"/>
              <w:spacing w:line="560" w:lineRule="exact"/>
              <w:ind w:firstLine="200"/>
              <w:jc w:val="center"/>
              <w:rPr>
                <w:rFonts w:hint="eastAsia" w:hAnsi="宋体" w:cs="宋体"/>
                <w:color w:val="auto"/>
                <w:kern w:val="2"/>
                <w:sz w:val="24"/>
                <w:szCs w:val="24"/>
              </w:rPr>
            </w:pPr>
          </w:p>
        </w:tc>
        <w:tc>
          <w:tcPr>
            <w:tcW w:w="3402" w:type="dxa"/>
            <w:noWrap w:val="0"/>
            <w:vAlign w:val="center"/>
          </w:tcPr>
          <w:p w14:paraId="00F4D71B">
            <w:pPr>
              <w:pStyle w:val="66"/>
              <w:spacing w:line="560" w:lineRule="exact"/>
              <w:ind w:firstLine="200"/>
              <w:jc w:val="center"/>
              <w:rPr>
                <w:rFonts w:hint="eastAsia" w:hAnsi="宋体" w:cs="宋体"/>
                <w:color w:val="auto"/>
                <w:kern w:val="2"/>
                <w:sz w:val="24"/>
                <w:szCs w:val="24"/>
              </w:rPr>
            </w:pPr>
          </w:p>
        </w:tc>
        <w:tc>
          <w:tcPr>
            <w:tcW w:w="2552" w:type="dxa"/>
            <w:noWrap w:val="0"/>
            <w:vAlign w:val="center"/>
          </w:tcPr>
          <w:p w14:paraId="6B433C01">
            <w:pPr>
              <w:pStyle w:val="66"/>
              <w:spacing w:line="560" w:lineRule="exact"/>
              <w:ind w:firstLine="200"/>
              <w:jc w:val="center"/>
              <w:rPr>
                <w:rFonts w:hint="eastAsia" w:hAnsi="宋体" w:cs="宋体"/>
                <w:color w:val="auto"/>
                <w:kern w:val="2"/>
                <w:sz w:val="24"/>
                <w:szCs w:val="24"/>
              </w:rPr>
            </w:pPr>
          </w:p>
        </w:tc>
      </w:tr>
      <w:tr w14:paraId="414C9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41FB2FF4">
            <w:pPr>
              <w:pStyle w:val="66"/>
              <w:spacing w:line="560" w:lineRule="exact"/>
              <w:ind w:firstLine="200"/>
              <w:jc w:val="center"/>
              <w:rPr>
                <w:rFonts w:hint="eastAsia" w:hAnsi="宋体" w:cs="宋体"/>
                <w:color w:val="auto"/>
                <w:kern w:val="2"/>
                <w:sz w:val="24"/>
                <w:szCs w:val="24"/>
              </w:rPr>
            </w:pPr>
          </w:p>
        </w:tc>
        <w:tc>
          <w:tcPr>
            <w:tcW w:w="3402" w:type="dxa"/>
            <w:noWrap w:val="0"/>
            <w:vAlign w:val="center"/>
          </w:tcPr>
          <w:p w14:paraId="7942F688">
            <w:pPr>
              <w:pStyle w:val="66"/>
              <w:spacing w:line="560" w:lineRule="exact"/>
              <w:ind w:firstLine="200"/>
              <w:jc w:val="center"/>
              <w:rPr>
                <w:rFonts w:hint="eastAsia" w:hAnsi="宋体" w:cs="宋体"/>
                <w:color w:val="auto"/>
                <w:kern w:val="2"/>
                <w:sz w:val="24"/>
                <w:szCs w:val="24"/>
              </w:rPr>
            </w:pPr>
          </w:p>
        </w:tc>
        <w:tc>
          <w:tcPr>
            <w:tcW w:w="2552" w:type="dxa"/>
            <w:noWrap w:val="0"/>
            <w:vAlign w:val="center"/>
          </w:tcPr>
          <w:p w14:paraId="2DB7BC95">
            <w:pPr>
              <w:pStyle w:val="66"/>
              <w:spacing w:line="560" w:lineRule="exact"/>
              <w:ind w:firstLine="200"/>
              <w:jc w:val="center"/>
              <w:rPr>
                <w:rFonts w:hint="eastAsia" w:hAnsi="宋体" w:cs="宋体"/>
                <w:color w:val="auto"/>
                <w:kern w:val="2"/>
                <w:sz w:val="24"/>
                <w:szCs w:val="24"/>
              </w:rPr>
            </w:pPr>
          </w:p>
        </w:tc>
      </w:tr>
      <w:tr w14:paraId="773F1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noWrap w:val="0"/>
            <w:vAlign w:val="center"/>
          </w:tcPr>
          <w:p w14:paraId="2A240824">
            <w:pPr>
              <w:pStyle w:val="66"/>
              <w:spacing w:line="560" w:lineRule="exact"/>
              <w:ind w:firstLine="200"/>
              <w:jc w:val="center"/>
              <w:rPr>
                <w:rFonts w:hint="eastAsia" w:hAnsi="宋体" w:cs="宋体"/>
                <w:color w:val="auto"/>
                <w:kern w:val="2"/>
                <w:sz w:val="24"/>
                <w:szCs w:val="24"/>
              </w:rPr>
            </w:pPr>
            <w:r>
              <w:rPr>
                <w:rFonts w:hint="eastAsia" w:hAnsi="宋体" w:cs="宋体"/>
                <w:color w:val="auto"/>
                <w:kern w:val="2"/>
                <w:sz w:val="24"/>
                <w:szCs w:val="24"/>
              </w:rPr>
              <w:t>总价</w:t>
            </w:r>
          </w:p>
        </w:tc>
        <w:tc>
          <w:tcPr>
            <w:tcW w:w="2552" w:type="dxa"/>
            <w:noWrap w:val="0"/>
            <w:vAlign w:val="center"/>
          </w:tcPr>
          <w:p w14:paraId="2C3E18AA">
            <w:pPr>
              <w:pStyle w:val="66"/>
              <w:spacing w:line="560" w:lineRule="exact"/>
              <w:ind w:firstLine="200"/>
              <w:jc w:val="center"/>
              <w:rPr>
                <w:rFonts w:hint="eastAsia" w:hAnsi="宋体" w:cs="宋体"/>
                <w:color w:val="auto"/>
                <w:kern w:val="2"/>
                <w:sz w:val="24"/>
                <w:szCs w:val="24"/>
              </w:rPr>
            </w:pPr>
          </w:p>
        </w:tc>
      </w:tr>
    </w:tbl>
    <w:p w14:paraId="7DC20FFE">
      <w:pPr>
        <w:spacing w:line="560" w:lineRule="exact"/>
        <w:ind w:firstLine="482" w:firstLineChars="200"/>
        <w:outlineLvl w:val="0"/>
        <w:rPr>
          <w:rFonts w:hint="eastAsia" w:ascii="宋体" w:hAnsi="宋体" w:cs="宋体"/>
          <w:b/>
          <w:color w:val="auto"/>
          <w:sz w:val="24"/>
        </w:rPr>
      </w:pPr>
      <w:bookmarkStart w:id="445" w:name="_Toc3654"/>
      <w:bookmarkStart w:id="446" w:name="_Toc30506"/>
      <w:bookmarkStart w:id="447" w:name="_Toc30158"/>
      <w:bookmarkStart w:id="448" w:name="_Toc14993"/>
      <w:bookmarkStart w:id="449" w:name="_Toc26916"/>
      <w:r>
        <w:rPr>
          <w:rFonts w:hint="eastAsia" w:ascii="宋体" w:hAnsi="宋体" w:cs="宋体"/>
          <w:b/>
          <w:color w:val="auto"/>
          <w:sz w:val="24"/>
        </w:rPr>
        <w:t>1.4 付款方式和发票开具方式</w:t>
      </w:r>
      <w:bookmarkEnd w:id="445"/>
      <w:bookmarkEnd w:id="446"/>
      <w:bookmarkEnd w:id="447"/>
      <w:bookmarkEnd w:id="448"/>
      <w:bookmarkEnd w:id="449"/>
    </w:p>
    <w:p w14:paraId="0414ADD7">
      <w:pPr>
        <w:spacing w:line="560" w:lineRule="exact"/>
        <w:ind w:firstLine="480" w:firstLineChars="200"/>
        <w:rPr>
          <w:rFonts w:hint="eastAsia" w:ascii="宋体" w:hAnsi="宋体" w:cs="宋体"/>
          <w:color w:val="auto"/>
          <w:sz w:val="24"/>
        </w:rPr>
      </w:pPr>
      <w:r>
        <w:rPr>
          <w:rFonts w:hint="eastAsia" w:ascii="宋体" w:hAnsi="宋体" w:cs="宋体"/>
          <w:color w:val="auto"/>
          <w:sz w:val="24"/>
        </w:rPr>
        <w:t>1.4.1付款方式：</w:t>
      </w:r>
      <w:r>
        <w:rPr>
          <w:rFonts w:hint="eastAsia" w:ascii="宋体" w:hAnsi="宋体" w:cs="宋体"/>
          <w:color w:val="auto"/>
          <w:sz w:val="24"/>
          <w:u w:val="single"/>
        </w:rPr>
        <w:t xml:space="preserve">                                                </w:t>
      </w:r>
      <w:r>
        <w:rPr>
          <w:rFonts w:hint="eastAsia" w:ascii="宋体" w:hAnsi="宋体" w:cs="宋体"/>
          <w:color w:val="auto"/>
          <w:sz w:val="24"/>
        </w:rPr>
        <w:t>；</w:t>
      </w:r>
    </w:p>
    <w:p w14:paraId="4E8E78BC">
      <w:pPr>
        <w:spacing w:line="560" w:lineRule="exact"/>
        <w:ind w:firstLine="480" w:firstLineChars="200"/>
        <w:rPr>
          <w:rFonts w:hint="eastAsia" w:ascii="宋体" w:hAnsi="宋体" w:cs="宋体"/>
          <w:color w:val="auto"/>
          <w:sz w:val="24"/>
        </w:rPr>
      </w:pPr>
      <w:r>
        <w:rPr>
          <w:rFonts w:hint="eastAsia" w:ascii="宋体" w:hAnsi="宋体" w:cs="宋体"/>
          <w:color w:val="auto"/>
          <w:sz w:val="24"/>
        </w:rPr>
        <w:t>1.4.2 发票开具方式：</w:t>
      </w:r>
      <w:r>
        <w:rPr>
          <w:rFonts w:hint="eastAsia" w:ascii="宋体" w:hAnsi="宋体" w:cs="宋体"/>
          <w:color w:val="auto"/>
          <w:sz w:val="24"/>
          <w:u w:val="single"/>
        </w:rPr>
        <w:t xml:space="preserve">                                            </w:t>
      </w:r>
      <w:r>
        <w:rPr>
          <w:rFonts w:hint="eastAsia" w:ascii="宋体" w:hAnsi="宋体" w:cs="宋体"/>
          <w:color w:val="auto"/>
          <w:sz w:val="24"/>
        </w:rPr>
        <w:t>。</w:t>
      </w:r>
    </w:p>
    <w:p w14:paraId="5F72DF43">
      <w:pPr>
        <w:spacing w:line="560" w:lineRule="exact"/>
        <w:ind w:firstLine="482" w:firstLineChars="200"/>
        <w:outlineLvl w:val="0"/>
        <w:rPr>
          <w:rFonts w:hint="eastAsia" w:ascii="宋体" w:hAnsi="宋体" w:cs="宋体"/>
          <w:b/>
          <w:color w:val="auto"/>
          <w:sz w:val="24"/>
        </w:rPr>
      </w:pPr>
      <w:bookmarkStart w:id="450" w:name="_Toc4760"/>
      <w:bookmarkStart w:id="451" w:name="_Toc11108"/>
      <w:bookmarkStart w:id="452" w:name="_Toc8772"/>
      <w:bookmarkStart w:id="453" w:name="_Toc31421"/>
      <w:bookmarkStart w:id="454" w:name="_Toc3625"/>
      <w:r>
        <w:rPr>
          <w:rFonts w:hint="eastAsia" w:ascii="宋体" w:hAnsi="宋体" w:cs="宋体"/>
          <w:b/>
          <w:color w:val="auto"/>
          <w:sz w:val="24"/>
        </w:rPr>
        <w:t>1.5 履行期限、地点和方式</w:t>
      </w:r>
      <w:bookmarkEnd w:id="450"/>
      <w:bookmarkEnd w:id="451"/>
      <w:bookmarkEnd w:id="452"/>
      <w:bookmarkEnd w:id="453"/>
      <w:bookmarkEnd w:id="454"/>
    </w:p>
    <w:p w14:paraId="3FE60232">
      <w:pPr>
        <w:spacing w:line="560" w:lineRule="exact"/>
        <w:ind w:firstLine="480" w:firstLineChars="200"/>
        <w:rPr>
          <w:rFonts w:hint="eastAsia" w:ascii="宋体" w:hAnsi="宋体" w:cs="宋体"/>
          <w:color w:val="auto"/>
          <w:sz w:val="24"/>
          <w:u w:val="single"/>
        </w:rPr>
      </w:pPr>
      <w:r>
        <w:rPr>
          <w:rFonts w:hint="eastAsia" w:ascii="宋体" w:hAnsi="宋体" w:cs="宋体"/>
          <w:color w:val="auto"/>
          <w:sz w:val="24"/>
        </w:rPr>
        <w:t>1.5.1 履行期限：</w:t>
      </w:r>
      <w:r>
        <w:rPr>
          <w:rFonts w:hint="eastAsia" w:ascii="宋体" w:hAnsi="宋体" w:cs="宋体"/>
          <w:color w:val="auto"/>
          <w:sz w:val="24"/>
          <w:u w:val="single"/>
        </w:rPr>
        <w:t xml:space="preserve">                                                </w:t>
      </w:r>
      <w:r>
        <w:rPr>
          <w:rFonts w:hint="eastAsia" w:ascii="宋体" w:hAnsi="宋体" w:cs="宋体"/>
          <w:color w:val="auto"/>
          <w:sz w:val="24"/>
        </w:rPr>
        <w:t>；</w:t>
      </w:r>
    </w:p>
    <w:p w14:paraId="69FB006F">
      <w:pPr>
        <w:spacing w:line="560" w:lineRule="exact"/>
        <w:ind w:firstLine="480" w:firstLineChars="200"/>
        <w:rPr>
          <w:rFonts w:hint="eastAsia" w:ascii="宋体" w:hAnsi="宋体" w:cs="宋体"/>
          <w:color w:val="auto"/>
          <w:sz w:val="24"/>
        </w:rPr>
      </w:pPr>
      <w:r>
        <w:rPr>
          <w:rFonts w:hint="eastAsia" w:ascii="宋体" w:hAnsi="宋体" w:cs="宋体"/>
          <w:color w:val="auto"/>
          <w:sz w:val="24"/>
        </w:rPr>
        <w:t>1.5.2 履行地点：</w:t>
      </w:r>
      <w:r>
        <w:rPr>
          <w:rFonts w:hint="eastAsia" w:ascii="宋体" w:hAnsi="宋体" w:cs="宋体"/>
          <w:color w:val="auto"/>
          <w:sz w:val="24"/>
          <w:u w:val="single"/>
        </w:rPr>
        <w:t xml:space="preserve">                                                </w:t>
      </w:r>
      <w:r>
        <w:rPr>
          <w:rFonts w:hint="eastAsia" w:ascii="宋体" w:hAnsi="宋体" w:cs="宋体"/>
          <w:color w:val="auto"/>
          <w:sz w:val="24"/>
        </w:rPr>
        <w:t>；</w:t>
      </w:r>
    </w:p>
    <w:p w14:paraId="52BE96AC">
      <w:pPr>
        <w:spacing w:line="560" w:lineRule="exact"/>
        <w:ind w:firstLine="480" w:firstLineChars="200"/>
        <w:rPr>
          <w:rFonts w:hint="eastAsia" w:ascii="宋体" w:hAnsi="宋体" w:cs="宋体"/>
          <w:color w:val="auto"/>
          <w:sz w:val="24"/>
        </w:rPr>
      </w:pPr>
      <w:r>
        <w:rPr>
          <w:rFonts w:hint="eastAsia" w:ascii="宋体" w:hAnsi="宋体" w:cs="宋体"/>
          <w:color w:val="auto"/>
          <w:sz w:val="24"/>
        </w:rPr>
        <w:t>1.5.3 履行方式：</w:t>
      </w:r>
      <w:r>
        <w:rPr>
          <w:rFonts w:hint="eastAsia" w:ascii="宋体" w:hAnsi="宋体" w:cs="宋体"/>
          <w:color w:val="auto"/>
          <w:sz w:val="24"/>
          <w:u w:val="single"/>
        </w:rPr>
        <w:t xml:space="preserve">　　　　　　　　　                      　      </w:t>
      </w:r>
      <w:r>
        <w:rPr>
          <w:rFonts w:hint="eastAsia" w:ascii="宋体" w:hAnsi="宋体" w:cs="宋体"/>
          <w:color w:val="auto"/>
          <w:sz w:val="24"/>
        </w:rPr>
        <w:t>。</w:t>
      </w:r>
    </w:p>
    <w:p w14:paraId="3C560975">
      <w:pPr>
        <w:spacing w:line="560" w:lineRule="exact"/>
        <w:ind w:firstLine="482" w:firstLineChars="200"/>
        <w:outlineLvl w:val="0"/>
        <w:rPr>
          <w:rFonts w:hint="eastAsia" w:ascii="宋体" w:hAnsi="宋体" w:cs="宋体"/>
          <w:color w:val="auto"/>
          <w:sz w:val="24"/>
          <w:u w:val="single"/>
        </w:rPr>
      </w:pPr>
      <w:bookmarkStart w:id="455" w:name="_Toc5698"/>
      <w:bookmarkStart w:id="456" w:name="_Toc24662"/>
      <w:bookmarkStart w:id="457" w:name="_Toc2375"/>
      <w:bookmarkStart w:id="458" w:name="_Toc3079"/>
      <w:bookmarkStart w:id="459" w:name="_Toc8586"/>
      <w:r>
        <w:rPr>
          <w:rFonts w:hint="eastAsia" w:ascii="宋体" w:hAnsi="宋体" w:cs="宋体"/>
          <w:b/>
          <w:color w:val="auto"/>
          <w:sz w:val="24"/>
        </w:rPr>
        <w:t>1.6 违约责任</w:t>
      </w:r>
      <w:bookmarkEnd w:id="455"/>
      <w:bookmarkEnd w:id="456"/>
      <w:bookmarkEnd w:id="457"/>
      <w:bookmarkEnd w:id="458"/>
      <w:bookmarkEnd w:id="459"/>
    </w:p>
    <w:p w14:paraId="531C55F0">
      <w:pPr>
        <w:spacing w:line="560" w:lineRule="exact"/>
        <w:ind w:firstLine="480" w:firstLineChars="200"/>
        <w:rPr>
          <w:rFonts w:hint="eastAsia" w:ascii="宋体" w:hAnsi="宋体" w:cs="宋体"/>
          <w:color w:val="auto"/>
          <w:sz w:val="24"/>
        </w:rPr>
      </w:pPr>
      <w:r>
        <w:rPr>
          <w:rFonts w:hint="eastAsia" w:ascii="宋体" w:hAnsi="宋体" w:cs="宋体"/>
          <w:color w:val="auto"/>
          <w:sz w:val="24"/>
        </w:rPr>
        <w:t>1.6.1 除不可抗力外，如果乙方没有按照本合同约定的期限、地点和方式履行，那么甲方可要求乙方支付违约金，违约金按每迟延履行一日的应提供而未提供服务价格的</w:t>
      </w:r>
      <w:r>
        <w:rPr>
          <w:rFonts w:hint="eastAsia" w:ascii="宋体" w:hAnsi="宋体" w:cs="宋体"/>
          <w:color w:val="auto"/>
          <w:sz w:val="24"/>
          <w:u w:val="single"/>
        </w:rPr>
        <w:t xml:space="preserve">    </w:t>
      </w:r>
      <w:r>
        <w:rPr>
          <w:rFonts w:hint="eastAsia" w:ascii="宋体" w:hAnsi="宋体" w:cs="宋体"/>
          <w:color w:val="auto"/>
          <w:sz w:val="24"/>
        </w:rPr>
        <w:t>%计算，最高限额为本合同总价的</w:t>
      </w:r>
      <w:r>
        <w:rPr>
          <w:rFonts w:hint="eastAsia" w:ascii="宋体" w:hAnsi="宋体" w:cs="宋体"/>
          <w:color w:val="auto"/>
          <w:sz w:val="24"/>
          <w:u w:val="single"/>
        </w:rPr>
        <w:t xml:space="preserve">     </w:t>
      </w:r>
      <w:r>
        <w:rPr>
          <w:rFonts w:hint="eastAsia" w:ascii="宋体" w:hAnsi="宋体" w:cs="宋体"/>
          <w:color w:val="auto"/>
          <w:sz w:val="24"/>
        </w:rPr>
        <w:t>%；迟延履行的违约金计算数额达到前述最高限额之日起，甲方有权在要求乙方支付违约金的同时，书面通知乙方解除本合同；</w:t>
      </w:r>
    </w:p>
    <w:p w14:paraId="7736FE70">
      <w:pPr>
        <w:spacing w:line="560" w:lineRule="exact"/>
        <w:ind w:firstLine="480" w:firstLineChars="200"/>
        <w:rPr>
          <w:rFonts w:hint="eastAsia" w:ascii="宋体" w:hAnsi="宋体" w:cs="宋体"/>
          <w:color w:val="auto"/>
          <w:sz w:val="24"/>
        </w:rPr>
      </w:pPr>
      <w:r>
        <w:rPr>
          <w:rFonts w:hint="eastAsia" w:ascii="宋体" w:hAnsi="宋体" w:cs="宋体"/>
          <w:color w:val="auto"/>
          <w:sz w:val="24"/>
        </w:rPr>
        <w:t>1.6.2 除不可抗力外，如果甲方没有按照本合同约定的付款方式付款，那么乙方可要求甲方支付违约金，违约金按每迟延付款一日的应付而未付款的</w:t>
      </w:r>
      <w:r>
        <w:rPr>
          <w:rFonts w:hint="eastAsia" w:ascii="宋体" w:hAnsi="宋体" w:cs="宋体"/>
          <w:color w:val="auto"/>
          <w:sz w:val="24"/>
          <w:u w:val="single"/>
        </w:rPr>
        <w:t xml:space="preserve">    </w:t>
      </w:r>
      <w:r>
        <w:rPr>
          <w:rFonts w:hint="eastAsia" w:ascii="宋体" w:hAnsi="宋体" w:cs="宋体"/>
          <w:color w:val="auto"/>
          <w:sz w:val="24"/>
        </w:rPr>
        <w:t>%计算，最高限额为本合同总价的</w:t>
      </w:r>
      <w:r>
        <w:rPr>
          <w:rFonts w:hint="eastAsia" w:ascii="宋体" w:hAnsi="宋体" w:cs="宋体"/>
          <w:color w:val="auto"/>
          <w:sz w:val="24"/>
          <w:u w:val="single"/>
        </w:rPr>
        <w:t xml:space="preserve">     </w:t>
      </w:r>
      <w:r>
        <w:rPr>
          <w:rFonts w:hint="eastAsia" w:ascii="宋体" w:hAnsi="宋体" w:cs="宋体"/>
          <w:color w:val="auto"/>
          <w:sz w:val="24"/>
        </w:rPr>
        <w:t>%；迟延付款的违约金计算数额达到前述最高限额之日起，乙方有权在要求甲方支付违约金的同时，书面通知甲方解除本合同；</w:t>
      </w:r>
    </w:p>
    <w:p w14:paraId="3EF693E0">
      <w:pPr>
        <w:spacing w:line="560" w:lineRule="exact"/>
        <w:ind w:firstLine="480" w:firstLineChars="200"/>
        <w:rPr>
          <w:rFonts w:hint="eastAsia" w:ascii="宋体" w:hAnsi="宋体" w:cs="宋体"/>
          <w:color w:val="auto"/>
          <w:sz w:val="24"/>
        </w:rPr>
      </w:pPr>
      <w:r>
        <w:rPr>
          <w:rFonts w:hint="eastAsia" w:ascii="宋体" w:hAnsi="宋体" w:cs="宋体"/>
          <w:color w:val="auto"/>
          <w:sz w:val="24"/>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14:paraId="099DAC74">
      <w:pPr>
        <w:spacing w:line="560" w:lineRule="exact"/>
        <w:ind w:firstLine="480" w:firstLineChars="200"/>
        <w:rPr>
          <w:rFonts w:hint="eastAsia" w:ascii="宋体" w:hAnsi="宋体" w:cs="宋体"/>
          <w:color w:val="auto"/>
          <w:sz w:val="24"/>
        </w:rPr>
      </w:pPr>
      <w:r>
        <w:rPr>
          <w:rFonts w:hint="eastAsia" w:ascii="宋体" w:hAnsi="宋体" w:cs="宋体"/>
          <w:color w:val="auto"/>
          <w:sz w:val="24"/>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4122ACCA">
      <w:pPr>
        <w:spacing w:line="560" w:lineRule="exact"/>
        <w:ind w:firstLine="480" w:firstLineChars="200"/>
        <w:rPr>
          <w:rFonts w:hint="eastAsia" w:ascii="宋体" w:hAnsi="宋体" w:cs="宋体"/>
          <w:color w:val="auto"/>
          <w:sz w:val="24"/>
        </w:rPr>
      </w:pPr>
      <w:r>
        <w:rPr>
          <w:rFonts w:hint="eastAsia" w:ascii="宋体" w:hAnsi="宋体" w:cs="宋体"/>
          <w:color w:val="auto"/>
          <w:sz w:val="24"/>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14DD73EB">
      <w:pPr>
        <w:spacing w:line="560" w:lineRule="exact"/>
        <w:ind w:firstLine="480" w:firstLineChars="200"/>
        <w:rPr>
          <w:rFonts w:hint="eastAsia" w:ascii="宋体" w:hAnsi="宋体" w:cs="宋体"/>
          <w:color w:val="auto"/>
          <w:sz w:val="24"/>
        </w:rPr>
      </w:pPr>
      <w:r>
        <w:rPr>
          <w:rFonts w:hint="eastAsia" w:ascii="宋体" w:hAnsi="宋体" w:cs="宋体"/>
          <w:color w:val="auto"/>
          <w:sz w:val="24"/>
        </w:rPr>
        <w:t>1.6.6 如果出现政府采购监督管理部门在处理投诉事项期间，书面通知甲方暂停采购活动的情形，或者询问或质疑事项可能影响中标结果的，导致甲方中止履行合同的情形，均不视为甲方违约。</w:t>
      </w:r>
    </w:p>
    <w:p w14:paraId="27E3BC54">
      <w:pPr>
        <w:spacing w:line="560" w:lineRule="exact"/>
        <w:ind w:firstLine="482" w:firstLineChars="200"/>
        <w:outlineLvl w:val="0"/>
        <w:rPr>
          <w:rFonts w:hint="eastAsia" w:ascii="宋体" w:hAnsi="宋体" w:cs="宋体"/>
          <w:b/>
          <w:color w:val="auto"/>
          <w:sz w:val="24"/>
        </w:rPr>
      </w:pPr>
      <w:bookmarkStart w:id="460" w:name="_Toc30329"/>
      <w:bookmarkStart w:id="461" w:name="_Toc18683"/>
      <w:bookmarkStart w:id="462" w:name="_Toc26807"/>
      <w:bookmarkStart w:id="463" w:name="_Toc9497"/>
      <w:bookmarkStart w:id="464" w:name="_Toc32454"/>
      <w:r>
        <w:rPr>
          <w:rFonts w:hint="eastAsia" w:ascii="宋体" w:hAnsi="宋体" w:cs="宋体"/>
          <w:b/>
          <w:color w:val="auto"/>
          <w:sz w:val="24"/>
        </w:rPr>
        <w:t>1.7 合同争议的解决</w:t>
      </w:r>
      <w:bookmarkEnd w:id="460"/>
      <w:bookmarkEnd w:id="461"/>
      <w:bookmarkEnd w:id="462"/>
      <w:bookmarkEnd w:id="463"/>
      <w:bookmarkEnd w:id="464"/>
    </w:p>
    <w:p w14:paraId="29B0341E">
      <w:pPr>
        <w:spacing w:line="560" w:lineRule="exact"/>
        <w:ind w:firstLine="480" w:firstLineChars="200"/>
        <w:rPr>
          <w:rFonts w:hint="eastAsia" w:ascii="宋体" w:hAnsi="宋体" w:cs="宋体"/>
          <w:color w:val="auto"/>
          <w:sz w:val="24"/>
        </w:rPr>
      </w:pPr>
      <w:r>
        <w:rPr>
          <w:rFonts w:hint="eastAsia" w:ascii="宋体" w:hAnsi="宋体" w:cs="宋体"/>
          <w:color w:val="auto"/>
          <w:sz w:val="24"/>
        </w:rPr>
        <w:t>本合同履行过程中发生的任何争议，双方当事人均可通过和解或者调解解决；不愿和解、调解或者和解、调解不成的，可以选择下列第</w:t>
      </w:r>
      <w:r>
        <w:rPr>
          <w:rFonts w:hint="eastAsia" w:ascii="宋体" w:hAnsi="宋体" w:cs="宋体"/>
          <w:color w:val="auto"/>
          <w:sz w:val="24"/>
          <w:u w:val="single"/>
        </w:rPr>
        <w:t xml:space="preserve">    </w:t>
      </w:r>
      <w:r>
        <w:rPr>
          <w:rFonts w:hint="eastAsia" w:ascii="宋体" w:hAnsi="宋体" w:cs="宋体"/>
          <w:color w:val="auto"/>
          <w:sz w:val="24"/>
        </w:rPr>
        <w:t>种方式解决：</w:t>
      </w:r>
    </w:p>
    <w:p w14:paraId="4D8236C4">
      <w:pPr>
        <w:spacing w:line="560" w:lineRule="exact"/>
        <w:ind w:firstLine="480" w:firstLineChars="200"/>
        <w:rPr>
          <w:rFonts w:hint="eastAsia" w:ascii="宋体" w:hAnsi="宋体" w:cs="宋体"/>
          <w:color w:val="auto"/>
          <w:sz w:val="24"/>
        </w:rPr>
      </w:pPr>
      <w:r>
        <w:rPr>
          <w:rFonts w:hint="eastAsia" w:ascii="宋体" w:hAnsi="宋体" w:cs="宋体"/>
          <w:color w:val="auto"/>
          <w:sz w:val="24"/>
        </w:rPr>
        <w:t>1.7.1 将争议提交</w:t>
      </w:r>
      <w:r>
        <w:rPr>
          <w:rFonts w:hint="eastAsia" w:ascii="宋体" w:hAnsi="宋体" w:cs="宋体"/>
          <w:color w:val="auto"/>
          <w:sz w:val="24"/>
          <w:u w:val="single"/>
        </w:rPr>
        <w:t xml:space="preserve">              </w:t>
      </w:r>
      <w:r>
        <w:rPr>
          <w:rFonts w:hint="eastAsia" w:ascii="宋体" w:hAnsi="宋体" w:cs="宋体"/>
          <w:color w:val="auto"/>
          <w:sz w:val="24"/>
        </w:rPr>
        <w:t>仲裁委员会依申请仲裁时其现行有效的仲裁规则裁决；</w:t>
      </w:r>
    </w:p>
    <w:p w14:paraId="0653D224">
      <w:pPr>
        <w:spacing w:line="560" w:lineRule="exact"/>
        <w:ind w:firstLine="480" w:firstLineChars="200"/>
        <w:rPr>
          <w:rFonts w:hint="eastAsia" w:ascii="宋体" w:hAnsi="宋体" w:cs="宋体"/>
          <w:color w:val="auto"/>
          <w:sz w:val="24"/>
        </w:rPr>
      </w:pPr>
      <w:r>
        <w:rPr>
          <w:rFonts w:hint="eastAsia" w:ascii="宋体" w:hAnsi="宋体" w:cs="宋体"/>
          <w:color w:val="auto"/>
          <w:sz w:val="24"/>
        </w:rPr>
        <w:t>1.7.2 向</w:t>
      </w:r>
      <w:r>
        <w:rPr>
          <w:rFonts w:hint="eastAsia" w:ascii="宋体" w:hAnsi="宋体" w:cs="宋体"/>
          <w:color w:val="auto"/>
          <w:sz w:val="24"/>
          <w:u w:val="single"/>
        </w:rPr>
        <w:t xml:space="preserve">   （被告住所地、合同履行地、合同签订地、原告住所地、标的物所在地等与争议有实际联系的地点中选出的人民法院名称）    </w:t>
      </w:r>
      <w:r>
        <w:rPr>
          <w:rFonts w:hint="eastAsia" w:ascii="宋体" w:hAnsi="宋体" w:cs="宋体"/>
          <w:color w:val="auto"/>
          <w:sz w:val="24"/>
        </w:rPr>
        <w:t>人民法院起诉。</w:t>
      </w:r>
    </w:p>
    <w:p w14:paraId="668E824E">
      <w:pPr>
        <w:spacing w:line="560" w:lineRule="exact"/>
        <w:ind w:firstLine="482" w:firstLineChars="200"/>
        <w:outlineLvl w:val="0"/>
        <w:rPr>
          <w:rFonts w:hint="eastAsia" w:ascii="宋体" w:hAnsi="宋体" w:cs="宋体"/>
          <w:b/>
          <w:color w:val="auto"/>
          <w:sz w:val="24"/>
        </w:rPr>
      </w:pPr>
      <w:bookmarkStart w:id="465" w:name="_Toc26227"/>
      <w:bookmarkStart w:id="466" w:name="_Toc16417"/>
      <w:bookmarkStart w:id="467" w:name="_Toc23784"/>
      <w:bookmarkStart w:id="468" w:name="_Toc15827"/>
      <w:bookmarkStart w:id="469" w:name="_Toc12273"/>
      <w:r>
        <w:rPr>
          <w:rFonts w:hint="eastAsia" w:ascii="宋体" w:hAnsi="宋体" w:cs="宋体"/>
          <w:b/>
          <w:color w:val="auto"/>
          <w:sz w:val="24"/>
        </w:rPr>
        <w:t>1.8 合同生效</w:t>
      </w:r>
      <w:bookmarkEnd w:id="465"/>
      <w:bookmarkEnd w:id="466"/>
      <w:bookmarkEnd w:id="467"/>
      <w:bookmarkEnd w:id="468"/>
      <w:bookmarkEnd w:id="469"/>
    </w:p>
    <w:p w14:paraId="4D9679A5">
      <w:pPr>
        <w:spacing w:line="560" w:lineRule="exact"/>
        <w:ind w:firstLine="480" w:firstLineChars="200"/>
        <w:rPr>
          <w:rFonts w:hint="eastAsia" w:ascii="宋体" w:hAnsi="宋体" w:cs="宋体"/>
          <w:b/>
          <w:color w:val="auto"/>
          <w:sz w:val="24"/>
        </w:rPr>
      </w:pPr>
      <w:r>
        <w:rPr>
          <w:rFonts w:hint="eastAsia" w:ascii="宋体" w:hAnsi="宋体" w:cs="宋体"/>
          <w:color w:val="auto"/>
          <w:sz w:val="24"/>
        </w:rPr>
        <w:t>本合同自双方当事人盖章或者签字时生效。</w:t>
      </w:r>
    </w:p>
    <w:p w14:paraId="7DCFB3D8">
      <w:pPr>
        <w:autoSpaceDE w:val="0"/>
        <w:autoSpaceDN w:val="0"/>
        <w:adjustRightInd w:val="0"/>
        <w:spacing w:line="560" w:lineRule="exact"/>
        <w:rPr>
          <w:rFonts w:hint="eastAsia" w:ascii="宋体" w:hAnsi="宋体" w:cs="宋体"/>
          <w:color w:val="auto"/>
          <w:sz w:val="24"/>
          <w:lang w:val="zh-CN"/>
        </w:rPr>
      </w:pPr>
    </w:p>
    <w:p w14:paraId="75BEC6D6">
      <w:pPr>
        <w:autoSpaceDE w:val="0"/>
        <w:autoSpaceDN w:val="0"/>
        <w:adjustRightInd w:val="0"/>
        <w:spacing w:line="560" w:lineRule="exact"/>
        <w:rPr>
          <w:rFonts w:hint="eastAsia" w:ascii="宋体" w:hAnsi="宋体" w:cs="宋体"/>
          <w:color w:val="auto"/>
          <w:sz w:val="24"/>
          <w:lang w:val="zh-CN"/>
        </w:rPr>
      </w:pPr>
      <w:r>
        <w:rPr>
          <w:rFonts w:hint="eastAsia" w:ascii="宋体" w:hAnsi="宋体" w:cs="宋体"/>
          <w:b/>
          <w:color w:val="auto"/>
          <w:sz w:val="24"/>
          <w:lang w:val="zh-CN"/>
        </w:rPr>
        <w:t>甲方</w:t>
      </w:r>
      <w:r>
        <w:rPr>
          <w:rFonts w:hint="eastAsia" w:ascii="宋体" w:hAnsi="宋体" w:cs="宋体"/>
          <w:color w:val="auto"/>
          <w:sz w:val="24"/>
          <w:lang w:val="zh-CN"/>
        </w:rPr>
        <w:t xml:space="preserve">：                             </w:t>
      </w:r>
      <w:r>
        <w:rPr>
          <w:rFonts w:hint="eastAsia" w:ascii="宋体" w:hAnsi="宋体" w:cs="宋体"/>
          <w:b/>
          <w:color w:val="auto"/>
          <w:sz w:val="24"/>
          <w:lang w:val="zh-CN"/>
        </w:rPr>
        <w:t xml:space="preserve">      乙方</w:t>
      </w:r>
      <w:r>
        <w:rPr>
          <w:rFonts w:hint="eastAsia" w:ascii="宋体" w:hAnsi="宋体" w:cs="宋体"/>
          <w:color w:val="auto"/>
          <w:sz w:val="24"/>
          <w:lang w:val="zh-CN"/>
        </w:rPr>
        <w:t>：</w:t>
      </w:r>
    </w:p>
    <w:p w14:paraId="1FE1128C">
      <w:pPr>
        <w:autoSpaceDE w:val="0"/>
        <w:autoSpaceDN w:val="0"/>
        <w:adjustRightInd w:val="0"/>
        <w:spacing w:line="560" w:lineRule="exact"/>
        <w:rPr>
          <w:rFonts w:hint="eastAsia" w:ascii="宋体" w:hAnsi="宋体" w:cs="宋体"/>
          <w:color w:val="auto"/>
          <w:sz w:val="24"/>
          <w:lang w:val="zh-CN"/>
        </w:rPr>
      </w:pPr>
      <w:r>
        <w:rPr>
          <w:rFonts w:hint="eastAsia" w:ascii="宋体" w:hAnsi="宋体" w:cs="宋体"/>
          <w:color w:val="auto"/>
          <w:sz w:val="24"/>
          <w:lang w:val="zh-CN"/>
        </w:rPr>
        <w:t>统一社会信用代码：                        统一社会信用代码或身份证号码：</w:t>
      </w:r>
    </w:p>
    <w:p w14:paraId="7D59666E">
      <w:pPr>
        <w:autoSpaceDE w:val="0"/>
        <w:autoSpaceDN w:val="0"/>
        <w:adjustRightInd w:val="0"/>
        <w:spacing w:line="560" w:lineRule="exact"/>
        <w:rPr>
          <w:rFonts w:hint="eastAsia" w:ascii="宋体" w:hAnsi="宋体" w:cs="宋体"/>
          <w:color w:val="auto"/>
          <w:sz w:val="24"/>
          <w:lang w:val="zh-CN"/>
        </w:rPr>
      </w:pPr>
    </w:p>
    <w:p w14:paraId="71C42C18">
      <w:pPr>
        <w:autoSpaceDE w:val="0"/>
        <w:autoSpaceDN w:val="0"/>
        <w:adjustRightInd w:val="0"/>
        <w:spacing w:line="560" w:lineRule="exact"/>
        <w:rPr>
          <w:rFonts w:hint="eastAsia" w:ascii="宋体" w:hAnsi="宋体" w:cs="宋体"/>
          <w:color w:val="auto"/>
          <w:sz w:val="24"/>
          <w:lang w:val="zh-CN"/>
        </w:rPr>
      </w:pPr>
      <w:r>
        <w:rPr>
          <w:rFonts w:hint="eastAsia" w:ascii="宋体" w:hAnsi="宋体" w:cs="宋体"/>
          <w:color w:val="auto"/>
          <w:sz w:val="24"/>
          <w:lang w:val="zh-CN"/>
        </w:rPr>
        <w:t>住所：                                   住所：</w:t>
      </w:r>
    </w:p>
    <w:p w14:paraId="04C18ABC">
      <w:pPr>
        <w:autoSpaceDE w:val="0"/>
        <w:autoSpaceDN w:val="0"/>
        <w:adjustRightInd w:val="0"/>
        <w:spacing w:line="560" w:lineRule="exact"/>
        <w:rPr>
          <w:rFonts w:hint="eastAsia" w:ascii="宋体" w:hAnsi="宋体" w:cs="宋体"/>
          <w:color w:val="auto"/>
          <w:sz w:val="24"/>
          <w:lang w:val="zh-CN"/>
        </w:rPr>
      </w:pPr>
      <w:r>
        <w:rPr>
          <w:rFonts w:hint="eastAsia" w:ascii="宋体" w:hAnsi="宋体" w:cs="宋体"/>
          <w:color w:val="auto"/>
          <w:sz w:val="24"/>
          <w:lang w:val="zh-CN"/>
        </w:rPr>
        <w:t>法定代表人或                             法定代表人</w:t>
      </w:r>
    </w:p>
    <w:p w14:paraId="2E547EAE">
      <w:pPr>
        <w:autoSpaceDE w:val="0"/>
        <w:autoSpaceDN w:val="0"/>
        <w:adjustRightInd w:val="0"/>
        <w:spacing w:line="560" w:lineRule="exact"/>
        <w:rPr>
          <w:rFonts w:hint="eastAsia" w:ascii="宋体" w:hAnsi="宋体" w:cs="宋体"/>
          <w:color w:val="auto"/>
          <w:sz w:val="24"/>
          <w:lang w:val="zh-CN"/>
        </w:rPr>
      </w:pPr>
      <w:r>
        <w:rPr>
          <w:rFonts w:hint="eastAsia" w:ascii="宋体" w:hAnsi="宋体" w:cs="宋体"/>
          <w:color w:val="auto"/>
          <w:sz w:val="24"/>
          <w:lang w:val="zh-CN"/>
        </w:rPr>
        <w:t xml:space="preserve">授权代表（签字）：                        或授权代表（签字）: </w:t>
      </w:r>
    </w:p>
    <w:p w14:paraId="14DFE6C6">
      <w:pPr>
        <w:autoSpaceDE w:val="0"/>
        <w:autoSpaceDN w:val="0"/>
        <w:adjustRightInd w:val="0"/>
        <w:spacing w:line="560" w:lineRule="exact"/>
        <w:rPr>
          <w:rFonts w:hint="eastAsia" w:ascii="宋体" w:hAnsi="宋体" w:cs="宋体"/>
          <w:color w:val="auto"/>
          <w:sz w:val="24"/>
          <w:lang w:val="zh-CN"/>
        </w:rPr>
      </w:pPr>
      <w:r>
        <w:rPr>
          <w:rFonts w:hint="eastAsia" w:ascii="宋体" w:hAnsi="宋体" w:cs="宋体"/>
          <w:color w:val="auto"/>
          <w:sz w:val="24"/>
          <w:lang w:val="zh-CN"/>
        </w:rPr>
        <w:t>联系人：                                 联系人：</w:t>
      </w:r>
    </w:p>
    <w:p w14:paraId="73AAB954">
      <w:pPr>
        <w:autoSpaceDE w:val="0"/>
        <w:autoSpaceDN w:val="0"/>
        <w:adjustRightInd w:val="0"/>
        <w:spacing w:line="560" w:lineRule="exact"/>
        <w:rPr>
          <w:rFonts w:hint="eastAsia" w:ascii="宋体" w:hAnsi="宋体" w:cs="宋体"/>
          <w:color w:val="auto"/>
          <w:sz w:val="24"/>
          <w:lang w:val="zh-CN"/>
        </w:rPr>
      </w:pPr>
      <w:r>
        <w:rPr>
          <w:rFonts w:hint="eastAsia" w:ascii="宋体" w:hAnsi="宋体" w:cs="宋体"/>
          <w:color w:val="auto"/>
          <w:sz w:val="24"/>
          <w:lang w:val="zh-CN"/>
        </w:rPr>
        <w:t>约定送达地址：                           约定送达地址：</w:t>
      </w:r>
    </w:p>
    <w:p w14:paraId="5628A3E4">
      <w:pPr>
        <w:autoSpaceDE w:val="0"/>
        <w:autoSpaceDN w:val="0"/>
        <w:adjustRightInd w:val="0"/>
        <w:spacing w:line="560" w:lineRule="exact"/>
        <w:rPr>
          <w:rFonts w:hint="eastAsia" w:ascii="宋体" w:hAnsi="宋体" w:cs="宋体"/>
          <w:color w:val="auto"/>
          <w:sz w:val="24"/>
          <w:lang w:val="zh-CN"/>
        </w:rPr>
      </w:pPr>
      <w:r>
        <w:rPr>
          <w:rFonts w:hint="eastAsia" w:ascii="宋体" w:hAnsi="宋体" w:cs="宋体"/>
          <w:color w:val="auto"/>
          <w:sz w:val="24"/>
          <w:lang w:val="zh-CN"/>
        </w:rPr>
        <w:t>邮政编码：                               邮政编码：</w:t>
      </w:r>
    </w:p>
    <w:p w14:paraId="283C7C69">
      <w:pPr>
        <w:autoSpaceDE w:val="0"/>
        <w:autoSpaceDN w:val="0"/>
        <w:adjustRightInd w:val="0"/>
        <w:spacing w:line="560" w:lineRule="exact"/>
        <w:rPr>
          <w:rFonts w:hint="eastAsia" w:ascii="宋体" w:hAnsi="宋体" w:cs="宋体"/>
          <w:color w:val="auto"/>
          <w:sz w:val="24"/>
          <w:lang w:val="zh-CN"/>
        </w:rPr>
      </w:pPr>
      <w:r>
        <w:rPr>
          <w:rFonts w:hint="eastAsia" w:ascii="宋体" w:hAnsi="宋体" w:cs="宋体"/>
          <w:color w:val="auto"/>
          <w:sz w:val="24"/>
          <w:lang w:val="zh-CN"/>
        </w:rPr>
        <w:t xml:space="preserve">电话:                                    电话: </w:t>
      </w:r>
    </w:p>
    <w:p w14:paraId="233A278C">
      <w:pPr>
        <w:autoSpaceDE w:val="0"/>
        <w:autoSpaceDN w:val="0"/>
        <w:adjustRightInd w:val="0"/>
        <w:spacing w:line="560" w:lineRule="exact"/>
        <w:rPr>
          <w:rFonts w:hint="eastAsia" w:ascii="宋体" w:hAnsi="宋体" w:cs="宋体"/>
          <w:color w:val="auto"/>
          <w:sz w:val="24"/>
          <w:lang w:val="zh-CN"/>
        </w:rPr>
      </w:pPr>
      <w:r>
        <w:rPr>
          <w:rFonts w:hint="eastAsia" w:ascii="宋体" w:hAnsi="宋体" w:cs="宋体"/>
          <w:color w:val="auto"/>
          <w:sz w:val="24"/>
          <w:lang w:val="zh-CN"/>
        </w:rPr>
        <w:t>传真:                                    传真:</w:t>
      </w:r>
    </w:p>
    <w:p w14:paraId="722A5C6A">
      <w:pPr>
        <w:autoSpaceDE w:val="0"/>
        <w:autoSpaceDN w:val="0"/>
        <w:adjustRightInd w:val="0"/>
        <w:spacing w:line="560" w:lineRule="exact"/>
        <w:rPr>
          <w:rFonts w:hint="eastAsia" w:ascii="宋体" w:hAnsi="宋体" w:cs="宋体"/>
          <w:color w:val="auto"/>
          <w:sz w:val="24"/>
        </w:rPr>
      </w:pPr>
      <w:r>
        <w:rPr>
          <w:rFonts w:hint="eastAsia" w:ascii="宋体" w:hAnsi="宋体" w:cs="宋体"/>
          <w:color w:val="auto"/>
          <w:sz w:val="24"/>
          <w:lang w:val="zh-CN"/>
        </w:rPr>
        <w:t>电子邮箱：                               电子邮箱：</w:t>
      </w:r>
    </w:p>
    <w:p w14:paraId="7C2CEE8F">
      <w:pPr>
        <w:autoSpaceDE w:val="0"/>
        <w:autoSpaceDN w:val="0"/>
        <w:adjustRightInd w:val="0"/>
        <w:spacing w:line="560" w:lineRule="exact"/>
        <w:rPr>
          <w:rFonts w:hint="eastAsia" w:ascii="宋体" w:hAnsi="宋体" w:cs="宋体"/>
          <w:color w:val="auto"/>
          <w:sz w:val="24"/>
        </w:rPr>
      </w:pPr>
      <w:r>
        <w:rPr>
          <w:rFonts w:hint="eastAsia" w:ascii="宋体" w:hAnsi="宋体" w:cs="宋体"/>
          <w:color w:val="auto"/>
          <w:sz w:val="24"/>
        </w:rPr>
        <w:t xml:space="preserve">开户银行：                               开户银行： </w:t>
      </w:r>
    </w:p>
    <w:p w14:paraId="46AB6E57">
      <w:pPr>
        <w:autoSpaceDE w:val="0"/>
        <w:autoSpaceDN w:val="0"/>
        <w:adjustRightInd w:val="0"/>
        <w:spacing w:line="560" w:lineRule="exact"/>
        <w:rPr>
          <w:rFonts w:hint="eastAsia" w:ascii="宋体" w:hAnsi="宋体" w:cs="宋体"/>
          <w:color w:val="auto"/>
          <w:sz w:val="24"/>
        </w:rPr>
      </w:pPr>
      <w:r>
        <w:rPr>
          <w:rFonts w:hint="eastAsia" w:ascii="宋体" w:hAnsi="宋体" w:cs="宋体"/>
          <w:color w:val="auto"/>
          <w:sz w:val="24"/>
        </w:rPr>
        <w:t xml:space="preserve">开户名称：                               开户名称： </w:t>
      </w:r>
    </w:p>
    <w:p w14:paraId="1417E069">
      <w:pPr>
        <w:autoSpaceDE w:val="0"/>
        <w:autoSpaceDN w:val="0"/>
        <w:adjustRightInd w:val="0"/>
        <w:spacing w:line="560" w:lineRule="exact"/>
        <w:rPr>
          <w:rFonts w:hint="eastAsia" w:ascii="宋体" w:hAnsi="宋体" w:cs="宋体"/>
          <w:color w:val="auto"/>
          <w:sz w:val="24"/>
        </w:rPr>
      </w:pPr>
      <w:r>
        <w:rPr>
          <w:rFonts w:hint="eastAsia" w:ascii="宋体" w:hAnsi="宋体" w:cs="宋体"/>
          <w:color w:val="auto"/>
          <w:sz w:val="24"/>
        </w:rPr>
        <w:t>开户账号：</w:t>
      </w:r>
      <w:r>
        <w:rPr>
          <w:rFonts w:hint="eastAsia" w:ascii="宋体" w:hAnsi="宋体" w:cs="宋体"/>
          <w:color w:val="auto"/>
          <w:sz w:val="24"/>
          <w:lang w:val="zh-CN"/>
        </w:rPr>
        <w:t xml:space="preserve">                               </w:t>
      </w:r>
      <w:r>
        <w:rPr>
          <w:rFonts w:hint="eastAsia" w:ascii="宋体" w:hAnsi="宋体" w:cs="宋体"/>
          <w:color w:val="auto"/>
          <w:sz w:val="24"/>
        </w:rPr>
        <w:t>开户账号：</w:t>
      </w:r>
    </w:p>
    <w:p w14:paraId="5225D8B6">
      <w:pPr>
        <w:widowControl/>
        <w:spacing w:line="560" w:lineRule="exact"/>
        <w:jc w:val="left"/>
        <w:rPr>
          <w:rFonts w:hint="eastAsia" w:ascii="宋体" w:hAnsi="宋体" w:cs="宋体"/>
          <w:b/>
          <w:color w:val="auto"/>
        </w:rPr>
      </w:pPr>
      <w:bookmarkStart w:id="470" w:name="_Toc331685783"/>
    </w:p>
    <w:p w14:paraId="53224D3E">
      <w:pPr>
        <w:widowControl/>
        <w:spacing w:line="560" w:lineRule="exact"/>
        <w:jc w:val="left"/>
        <w:rPr>
          <w:rFonts w:hint="eastAsia" w:ascii="宋体" w:hAnsi="宋体" w:cs="宋体"/>
          <w:b/>
          <w:color w:val="auto"/>
        </w:rPr>
      </w:pPr>
    </w:p>
    <w:p w14:paraId="3734253A">
      <w:pPr>
        <w:pStyle w:val="68"/>
        <w:spacing w:line="560" w:lineRule="exact"/>
        <w:ind w:firstLine="200"/>
        <w:jc w:val="center"/>
        <w:rPr>
          <w:rFonts w:hint="eastAsia" w:hAnsi="宋体" w:cs="宋体"/>
          <w:b/>
          <w:color w:val="auto"/>
          <w:szCs w:val="24"/>
        </w:rPr>
      </w:pPr>
      <w:r>
        <w:rPr>
          <w:rFonts w:hint="eastAsia" w:hAnsi="宋体" w:cs="宋体"/>
          <w:b/>
          <w:color w:val="auto"/>
          <w:szCs w:val="24"/>
        </w:rPr>
        <w:t>第二部分 合同一般条款</w:t>
      </w:r>
      <w:bookmarkEnd w:id="470"/>
    </w:p>
    <w:p w14:paraId="69C08A22">
      <w:pPr>
        <w:spacing w:line="560" w:lineRule="exact"/>
        <w:ind w:firstLine="482" w:firstLineChars="200"/>
        <w:outlineLvl w:val="0"/>
        <w:rPr>
          <w:rFonts w:hint="eastAsia" w:ascii="宋体" w:hAnsi="宋体" w:cs="宋体"/>
          <w:b/>
          <w:color w:val="auto"/>
          <w:sz w:val="24"/>
        </w:rPr>
      </w:pPr>
      <w:bookmarkStart w:id="471" w:name="_Toc14021"/>
      <w:bookmarkStart w:id="472" w:name="_Toc259093669"/>
      <w:bookmarkStart w:id="473" w:name="_Ref467379195"/>
      <w:bookmarkStart w:id="474" w:name="_Ref467379214"/>
      <w:bookmarkStart w:id="475" w:name="_Ref467379094"/>
      <w:bookmarkStart w:id="476" w:name="_Ref467378499"/>
      <w:bookmarkStart w:id="477" w:name="_Toc25079"/>
      <w:bookmarkStart w:id="478" w:name="_Toc5228"/>
      <w:bookmarkStart w:id="479" w:name="_Ref467379101"/>
      <w:bookmarkStart w:id="480" w:name="_Toc279701240"/>
      <w:bookmarkStart w:id="481" w:name="_Ref467378463"/>
      <w:bookmarkStart w:id="482" w:name="_Ref467379225"/>
      <w:bookmarkStart w:id="483" w:name="_Ref467379109"/>
      <w:bookmarkStart w:id="484" w:name="_Toc31297"/>
      <w:bookmarkStart w:id="485" w:name="_Ref467379205"/>
      <w:bookmarkStart w:id="486" w:name="_Ref467378404"/>
      <w:bookmarkStart w:id="487" w:name="_Toc487900349"/>
      <w:bookmarkStart w:id="488" w:name="_Toc19680"/>
      <w:r>
        <w:rPr>
          <w:rFonts w:hint="eastAsia" w:ascii="宋体" w:hAnsi="宋体" w:cs="宋体"/>
          <w:b/>
          <w:color w:val="auto"/>
          <w:sz w:val="24"/>
        </w:rPr>
        <w:t>2.1 定义</w:t>
      </w:r>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p>
    <w:p w14:paraId="68373460">
      <w:pPr>
        <w:spacing w:line="560" w:lineRule="exact"/>
        <w:ind w:firstLine="480" w:firstLineChars="200"/>
        <w:rPr>
          <w:rFonts w:hint="eastAsia" w:ascii="宋体" w:hAnsi="宋体" w:cs="宋体"/>
          <w:color w:val="auto"/>
          <w:sz w:val="24"/>
        </w:rPr>
      </w:pPr>
      <w:r>
        <w:rPr>
          <w:rFonts w:hint="eastAsia" w:ascii="宋体" w:hAnsi="宋体" w:cs="宋体"/>
          <w:color w:val="auto"/>
          <w:sz w:val="24"/>
        </w:rPr>
        <w:t>本合同中的下列词语应按以下内容进行解释：</w:t>
      </w:r>
    </w:p>
    <w:p w14:paraId="1401AD1D">
      <w:pPr>
        <w:spacing w:line="560" w:lineRule="exact"/>
        <w:ind w:firstLine="480" w:firstLineChars="200"/>
        <w:rPr>
          <w:rFonts w:hint="eastAsia" w:ascii="宋体" w:hAnsi="宋体" w:cs="宋体"/>
          <w:color w:val="auto"/>
          <w:sz w:val="24"/>
        </w:rPr>
      </w:pPr>
      <w:r>
        <w:rPr>
          <w:rFonts w:hint="eastAsia" w:ascii="宋体" w:hAnsi="宋体" w:cs="宋体"/>
          <w:color w:val="auto"/>
          <w:sz w:val="24"/>
        </w:rPr>
        <w:t>2.1.1 “合同”系指采购人和中标</w:t>
      </w:r>
      <w:r>
        <w:rPr>
          <w:rFonts w:hint="eastAsia" w:ascii="宋体" w:hAnsi="宋体" w:cs="宋体"/>
          <w:color w:val="auto"/>
          <w:sz w:val="24"/>
          <w:lang w:eastAsia="zh-CN"/>
        </w:rPr>
        <w:t>投标人</w:t>
      </w:r>
      <w:r>
        <w:rPr>
          <w:rFonts w:hint="eastAsia" w:ascii="宋体" w:hAnsi="宋体" w:cs="宋体"/>
          <w:color w:val="auto"/>
          <w:sz w:val="24"/>
        </w:rPr>
        <w:t>签订的载明双方当事人所达成的协议，并包括所有的附件、附录和构成合同的其他文件。</w:t>
      </w:r>
    </w:p>
    <w:p w14:paraId="25168095">
      <w:pPr>
        <w:spacing w:line="560" w:lineRule="exact"/>
        <w:ind w:firstLine="480" w:firstLineChars="200"/>
        <w:rPr>
          <w:rFonts w:hint="eastAsia" w:ascii="宋体" w:hAnsi="宋体" w:cs="宋体"/>
          <w:color w:val="auto"/>
          <w:sz w:val="24"/>
        </w:rPr>
      </w:pPr>
      <w:r>
        <w:rPr>
          <w:rFonts w:hint="eastAsia" w:ascii="宋体" w:hAnsi="宋体" w:cs="宋体"/>
          <w:color w:val="auto"/>
          <w:sz w:val="24"/>
        </w:rPr>
        <w:t>2.1.2 “合同价”系指根据合同约定，中标</w:t>
      </w:r>
      <w:r>
        <w:rPr>
          <w:rFonts w:hint="eastAsia" w:ascii="宋体" w:hAnsi="宋体" w:cs="宋体"/>
          <w:color w:val="auto"/>
          <w:sz w:val="24"/>
          <w:lang w:eastAsia="zh-CN"/>
        </w:rPr>
        <w:t>投标人</w:t>
      </w:r>
      <w:r>
        <w:rPr>
          <w:rFonts w:hint="eastAsia" w:ascii="宋体" w:hAnsi="宋体" w:cs="宋体"/>
          <w:color w:val="auto"/>
          <w:sz w:val="24"/>
        </w:rPr>
        <w:t>在完全履行合同义务后，采购人应支付给中标</w:t>
      </w:r>
      <w:r>
        <w:rPr>
          <w:rFonts w:hint="eastAsia" w:ascii="宋体" w:hAnsi="宋体" w:cs="宋体"/>
          <w:color w:val="auto"/>
          <w:sz w:val="24"/>
          <w:lang w:eastAsia="zh-CN"/>
        </w:rPr>
        <w:t>投标人</w:t>
      </w:r>
      <w:r>
        <w:rPr>
          <w:rFonts w:hint="eastAsia" w:ascii="宋体" w:hAnsi="宋体" w:cs="宋体"/>
          <w:color w:val="auto"/>
          <w:sz w:val="24"/>
        </w:rPr>
        <w:t>的价格。</w:t>
      </w:r>
    </w:p>
    <w:p w14:paraId="22623A82">
      <w:pPr>
        <w:spacing w:line="560" w:lineRule="exact"/>
        <w:ind w:firstLine="480" w:firstLineChars="200"/>
        <w:rPr>
          <w:rFonts w:hint="eastAsia" w:ascii="宋体" w:hAnsi="宋体" w:cs="宋体"/>
          <w:color w:val="auto"/>
          <w:sz w:val="24"/>
        </w:rPr>
      </w:pPr>
      <w:r>
        <w:rPr>
          <w:rFonts w:hint="eastAsia" w:ascii="宋体" w:hAnsi="宋体" w:cs="宋体"/>
          <w:color w:val="auto"/>
          <w:sz w:val="24"/>
        </w:rPr>
        <w:t>2.1.3 “服务”系指中标</w:t>
      </w:r>
      <w:r>
        <w:rPr>
          <w:rFonts w:hint="eastAsia" w:ascii="宋体" w:hAnsi="宋体" w:cs="宋体"/>
          <w:color w:val="auto"/>
          <w:sz w:val="24"/>
          <w:lang w:eastAsia="zh-CN"/>
        </w:rPr>
        <w:t>投标人</w:t>
      </w:r>
      <w:r>
        <w:rPr>
          <w:rFonts w:hint="eastAsia" w:ascii="宋体" w:hAnsi="宋体" w:cs="宋体"/>
          <w:color w:val="auto"/>
          <w:sz w:val="24"/>
        </w:rPr>
        <w:t>根据合同约定应向采购人履行的除货物和工程以外的其他政府采购对象，包括采购人自身需要的服务和向社会公众提供的公共服务。</w:t>
      </w:r>
    </w:p>
    <w:p w14:paraId="145D4282">
      <w:pPr>
        <w:spacing w:line="560" w:lineRule="exact"/>
        <w:ind w:firstLine="480" w:firstLineChars="200"/>
        <w:rPr>
          <w:rFonts w:hint="eastAsia" w:ascii="宋体" w:hAnsi="宋体" w:cs="宋体"/>
          <w:color w:val="auto"/>
          <w:sz w:val="24"/>
        </w:rPr>
      </w:pPr>
      <w:bookmarkStart w:id="489" w:name="_Ref467378840"/>
      <w:r>
        <w:rPr>
          <w:rFonts w:hint="eastAsia" w:ascii="宋体" w:hAnsi="宋体" w:cs="宋体"/>
          <w:color w:val="auto"/>
          <w:sz w:val="24"/>
        </w:rPr>
        <w:t>2.1.4 “甲方”系指与中标</w:t>
      </w:r>
      <w:r>
        <w:rPr>
          <w:rFonts w:hint="eastAsia" w:ascii="宋体" w:hAnsi="宋体" w:cs="宋体"/>
          <w:color w:val="auto"/>
          <w:sz w:val="24"/>
          <w:lang w:eastAsia="zh-CN"/>
        </w:rPr>
        <w:t>投标人</w:t>
      </w:r>
      <w:r>
        <w:rPr>
          <w:rFonts w:hint="eastAsia" w:ascii="宋体" w:hAnsi="宋体" w:cs="宋体"/>
          <w:color w:val="auto"/>
          <w:sz w:val="24"/>
        </w:rPr>
        <w:t>签署合同的采购人</w:t>
      </w:r>
      <w:bookmarkEnd w:id="489"/>
      <w:r>
        <w:rPr>
          <w:rFonts w:hint="eastAsia" w:ascii="宋体" w:hAnsi="宋体" w:cs="宋体"/>
          <w:color w:val="auto"/>
          <w:sz w:val="24"/>
        </w:rPr>
        <w:t>；采购人委托采购代理机构代表其与乙方签订合同的，采购人的授权委托书作为合同附件。</w:t>
      </w:r>
    </w:p>
    <w:p w14:paraId="2CAC8D90">
      <w:pPr>
        <w:spacing w:line="560" w:lineRule="exact"/>
        <w:ind w:firstLine="480" w:firstLineChars="200"/>
        <w:rPr>
          <w:rFonts w:hint="eastAsia" w:ascii="宋体" w:hAnsi="宋体" w:cs="宋体"/>
          <w:color w:val="auto"/>
          <w:sz w:val="24"/>
        </w:rPr>
      </w:pPr>
      <w:bookmarkStart w:id="490" w:name="_Ref467379400"/>
      <w:r>
        <w:rPr>
          <w:rFonts w:hint="eastAsia" w:ascii="宋体" w:hAnsi="宋体" w:cs="宋体"/>
          <w:color w:val="auto"/>
          <w:sz w:val="24"/>
        </w:rPr>
        <w:t>2.1.5 “乙方”系指根据合同约定提供服务的中标</w:t>
      </w:r>
      <w:bookmarkEnd w:id="490"/>
      <w:r>
        <w:rPr>
          <w:rFonts w:hint="eastAsia" w:ascii="宋体" w:hAnsi="宋体" w:cs="宋体"/>
          <w:color w:val="auto"/>
          <w:sz w:val="24"/>
          <w:lang w:eastAsia="zh-CN"/>
        </w:rPr>
        <w:t>投标人</w:t>
      </w:r>
      <w:r>
        <w:rPr>
          <w:rFonts w:hint="eastAsia" w:ascii="宋体" w:hAnsi="宋体" w:cs="宋体"/>
          <w:color w:val="auto"/>
          <w:sz w:val="24"/>
        </w:rPr>
        <w:t>；两个以上的自然人、法人或者其他组织组成一个联合体，以一个</w:t>
      </w:r>
      <w:r>
        <w:rPr>
          <w:rFonts w:hint="eastAsia" w:ascii="宋体" w:hAnsi="宋体" w:cs="宋体"/>
          <w:color w:val="auto"/>
          <w:sz w:val="24"/>
          <w:lang w:eastAsia="zh-CN"/>
        </w:rPr>
        <w:t>投标人</w:t>
      </w:r>
      <w:r>
        <w:rPr>
          <w:rFonts w:hint="eastAsia" w:ascii="宋体" w:hAnsi="宋体" w:cs="宋体"/>
          <w:color w:val="auto"/>
          <w:sz w:val="24"/>
        </w:rPr>
        <w:t>的身份共同参加政府采购的，联合体各方均应为乙方或者与乙方相同地位的合同当事人，并就合同约定的事项对甲方承担连带责任。</w:t>
      </w:r>
    </w:p>
    <w:p w14:paraId="34A2D831">
      <w:pPr>
        <w:spacing w:line="560" w:lineRule="exact"/>
        <w:ind w:firstLine="480" w:firstLineChars="200"/>
        <w:rPr>
          <w:rFonts w:hint="eastAsia" w:ascii="宋体" w:hAnsi="宋体" w:cs="宋体"/>
          <w:color w:val="auto"/>
          <w:sz w:val="24"/>
        </w:rPr>
      </w:pPr>
      <w:bookmarkStart w:id="491" w:name="_Ref467379436"/>
      <w:r>
        <w:rPr>
          <w:rFonts w:hint="eastAsia" w:ascii="宋体" w:hAnsi="宋体" w:cs="宋体"/>
          <w:color w:val="auto"/>
          <w:sz w:val="24"/>
        </w:rPr>
        <w:t>2.1.6 “现场”系指合同约定提供服务的地点。</w:t>
      </w:r>
      <w:bookmarkEnd w:id="491"/>
    </w:p>
    <w:p w14:paraId="3CA3DC6F">
      <w:pPr>
        <w:spacing w:line="560" w:lineRule="exact"/>
        <w:ind w:firstLine="482" w:firstLineChars="200"/>
        <w:outlineLvl w:val="0"/>
        <w:rPr>
          <w:rFonts w:hint="eastAsia" w:ascii="宋体" w:hAnsi="宋体" w:cs="宋体"/>
          <w:b/>
          <w:color w:val="auto"/>
          <w:sz w:val="24"/>
        </w:rPr>
      </w:pPr>
      <w:bookmarkStart w:id="492" w:name="_Toc487900350"/>
      <w:bookmarkStart w:id="493" w:name="_Toc3769"/>
      <w:bookmarkStart w:id="494" w:name="_Toc23289"/>
      <w:bookmarkStart w:id="495" w:name="_Toc31402"/>
      <w:bookmarkStart w:id="496" w:name="_Toc19539"/>
      <w:bookmarkStart w:id="497" w:name="_Toc16752"/>
      <w:bookmarkStart w:id="498" w:name="_Toc259093670"/>
      <w:bookmarkStart w:id="499" w:name="_Toc279701241"/>
      <w:r>
        <w:rPr>
          <w:rFonts w:hint="eastAsia" w:ascii="宋体" w:hAnsi="宋体" w:cs="宋体"/>
          <w:b/>
          <w:color w:val="auto"/>
          <w:sz w:val="24"/>
        </w:rPr>
        <w:t>2.2 技术规范</w:t>
      </w:r>
      <w:bookmarkEnd w:id="492"/>
      <w:bookmarkEnd w:id="493"/>
      <w:bookmarkEnd w:id="494"/>
      <w:bookmarkEnd w:id="495"/>
      <w:bookmarkEnd w:id="496"/>
      <w:bookmarkEnd w:id="497"/>
      <w:bookmarkEnd w:id="498"/>
      <w:bookmarkEnd w:id="499"/>
    </w:p>
    <w:p w14:paraId="52CB756B">
      <w:pPr>
        <w:spacing w:line="560" w:lineRule="exact"/>
        <w:ind w:firstLine="480" w:firstLineChars="200"/>
        <w:rPr>
          <w:rFonts w:hint="eastAsia" w:ascii="宋体" w:hAnsi="宋体" w:cs="宋体"/>
          <w:color w:val="auto"/>
          <w:sz w:val="24"/>
        </w:rPr>
      </w:pPr>
      <w:r>
        <w:rPr>
          <w:rFonts w:hint="eastAsia" w:ascii="宋体" w:hAnsi="宋体" w:cs="宋体"/>
          <w:color w:val="auto"/>
          <w:sz w:val="24"/>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050F760D">
      <w:pPr>
        <w:spacing w:line="560" w:lineRule="exact"/>
        <w:ind w:firstLine="482" w:firstLineChars="200"/>
        <w:outlineLvl w:val="0"/>
        <w:rPr>
          <w:rFonts w:hint="eastAsia" w:ascii="宋体" w:hAnsi="宋体" w:cs="宋体"/>
          <w:b/>
          <w:color w:val="auto"/>
          <w:sz w:val="24"/>
        </w:rPr>
      </w:pPr>
      <w:bookmarkStart w:id="500" w:name="_Toc9161"/>
      <w:bookmarkStart w:id="501" w:name="_Toc27945"/>
      <w:bookmarkStart w:id="502" w:name="_Toc279701242"/>
      <w:bookmarkStart w:id="503" w:name="_Toc259093671"/>
      <w:bookmarkStart w:id="504" w:name="_Toc487900351"/>
      <w:bookmarkStart w:id="505" w:name="_Toc4133"/>
      <w:bookmarkStart w:id="506" w:name="_Toc12412"/>
      <w:bookmarkStart w:id="507" w:name="_Toc13673"/>
      <w:r>
        <w:rPr>
          <w:rFonts w:hint="eastAsia" w:ascii="宋体" w:hAnsi="宋体" w:cs="宋体"/>
          <w:b/>
          <w:color w:val="auto"/>
          <w:sz w:val="24"/>
        </w:rPr>
        <w:t>2.3 知识产权</w:t>
      </w:r>
      <w:bookmarkEnd w:id="500"/>
      <w:bookmarkEnd w:id="501"/>
      <w:bookmarkEnd w:id="502"/>
      <w:bookmarkEnd w:id="503"/>
      <w:bookmarkEnd w:id="504"/>
      <w:bookmarkEnd w:id="505"/>
      <w:bookmarkEnd w:id="506"/>
      <w:bookmarkEnd w:id="507"/>
    </w:p>
    <w:p w14:paraId="18854997">
      <w:pPr>
        <w:spacing w:line="560" w:lineRule="exact"/>
        <w:ind w:firstLine="480" w:firstLineChars="200"/>
        <w:rPr>
          <w:rFonts w:hint="eastAsia" w:ascii="宋体" w:hAnsi="宋体" w:cs="宋体"/>
          <w:color w:val="auto"/>
          <w:sz w:val="24"/>
        </w:rPr>
      </w:pPr>
      <w:r>
        <w:rPr>
          <w:rFonts w:hint="eastAsia" w:ascii="宋体" w:hAnsi="宋体" w:cs="宋体"/>
          <w:color w:val="auto"/>
          <w:sz w:val="24"/>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14:paraId="6D943C71">
      <w:pPr>
        <w:spacing w:line="560" w:lineRule="exact"/>
        <w:ind w:firstLine="480" w:firstLineChars="200"/>
        <w:rPr>
          <w:rFonts w:hint="eastAsia" w:ascii="宋体" w:hAnsi="宋体" w:cs="宋体"/>
          <w:color w:val="auto"/>
          <w:sz w:val="24"/>
        </w:rPr>
      </w:pPr>
      <w:r>
        <w:rPr>
          <w:rFonts w:hint="eastAsia" w:ascii="宋体" w:hAnsi="宋体" w:cs="宋体"/>
          <w:color w:val="auto"/>
          <w:sz w:val="24"/>
        </w:rPr>
        <w:t>2.3.2 合同涉及技术成果的归属和收益的分成办法的，详见</w:t>
      </w:r>
      <w:r>
        <w:rPr>
          <w:rFonts w:hint="eastAsia" w:ascii="宋体" w:hAnsi="宋体" w:cs="宋体"/>
          <w:b/>
          <w:i/>
          <w:color w:val="auto"/>
          <w:sz w:val="24"/>
          <w:u w:val="single"/>
        </w:rPr>
        <w:t>合同专用条款</w:t>
      </w:r>
      <w:r>
        <w:rPr>
          <w:rFonts w:hint="eastAsia" w:ascii="宋体" w:hAnsi="宋体" w:cs="宋体"/>
          <w:color w:val="auto"/>
          <w:sz w:val="24"/>
        </w:rPr>
        <w:t>。</w:t>
      </w:r>
    </w:p>
    <w:p w14:paraId="28C6113B">
      <w:pPr>
        <w:spacing w:line="560" w:lineRule="exact"/>
        <w:ind w:firstLine="482" w:firstLineChars="200"/>
        <w:rPr>
          <w:rFonts w:hint="eastAsia" w:ascii="宋体" w:hAnsi="宋体" w:cs="宋体"/>
          <w:b/>
          <w:color w:val="auto"/>
          <w:sz w:val="24"/>
        </w:rPr>
      </w:pPr>
      <w:r>
        <w:rPr>
          <w:rFonts w:hint="eastAsia" w:ascii="宋体" w:hAnsi="宋体" w:cs="宋体"/>
          <w:b/>
          <w:color w:val="auto"/>
          <w:sz w:val="24"/>
        </w:rPr>
        <w:t>2.4 履约检查和问题反馈</w:t>
      </w:r>
    </w:p>
    <w:p w14:paraId="2D65F6C1">
      <w:pPr>
        <w:spacing w:line="560" w:lineRule="exact"/>
        <w:ind w:firstLine="480" w:firstLineChars="200"/>
        <w:rPr>
          <w:rFonts w:hint="eastAsia" w:ascii="宋体" w:hAnsi="宋体" w:cs="宋体"/>
          <w:color w:val="auto"/>
          <w:sz w:val="24"/>
        </w:rPr>
      </w:pPr>
      <w:bookmarkStart w:id="508" w:name="_Ref467379657"/>
      <w:r>
        <w:rPr>
          <w:rFonts w:hint="eastAsia" w:ascii="宋体" w:hAnsi="宋体" w:cs="宋体"/>
          <w:color w:val="auto"/>
          <w:sz w:val="24"/>
        </w:rPr>
        <w:t>2.4.1</w:t>
      </w:r>
      <w:bookmarkEnd w:id="508"/>
      <w:bookmarkStart w:id="509" w:name="_Toc186431854"/>
      <w:bookmarkStart w:id="510" w:name="_Toc487900357"/>
      <w:bookmarkStart w:id="511" w:name="_Toc279701247"/>
      <w:bookmarkStart w:id="512" w:name="_Ref467379793"/>
      <w:bookmarkStart w:id="513" w:name="_Toc259093676"/>
      <w:bookmarkStart w:id="514" w:name="_Ref467379807"/>
      <w:r>
        <w:rPr>
          <w:rFonts w:hint="eastAsia" w:ascii="宋体" w:hAnsi="宋体" w:cs="宋体"/>
          <w:color w:val="auto"/>
          <w:sz w:val="24"/>
        </w:rPr>
        <w:t>甲方有权在其认为必要时，对乙方是否能够按照合同约定提供服务进行履约检查，以确保乙方所提供的服务能够依约满足甲方之项目需求，但不得因履约检查妨碍乙方的正常工作，乙方应予积极配合；</w:t>
      </w:r>
    </w:p>
    <w:p w14:paraId="659ECF85">
      <w:pPr>
        <w:spacing w:line="560" w:lineRule="exact"/>
        <w:ind w:firstLine="480" w:firstLineChars="200"/>
        <w:rPr>
          <w:rFonts w:hint="eastAsia" w:ascii="宋体" w:hAnsi="宋体" w:cs="宋体"/>
          <w:color w:val="auto"/>
          <w:sz w:val="24"/>
        </w:rPr>
      </w:pPr>
      <w:r>
        <w:rPr>
          <w:rFonts w:hint="eastAsia" w:ascii="宋体" w:hAnsi="宋体" w:cs="宋体"/>
          <w:color w:val="auto"/>
          <w:sz w:val="24"/>
        </w:rPr>
        <w:t>2.4.2 合同履行期间，甲方有权将履行过程中出现的问题反馈给乙方，双方当事人应以书面形式约定需要完善和改进的内容</w:t>
      </w:r>
      <w:bookmarkEnd w:id="509"/>
      <w:bookmarkStart w:id="515" w:name="_Toc186431855"/>
      <w:r>
        <w:rPr>
          <w:rFonts w:hint="eastAsia" w:ascii="宋体" w:hAnsi="宋体" w:cs="宋体"/>
          <w:color w:val="auto"/>
          <w:sz w:val="24"/>
        </w:rPr>
        <w:t>。</w:t>
      </w:r>
    </w:p>
    <w:bookmarkEnd w:id="515"/>
    <w:p w14:paraId="705C75E2">
      <w:pPr>
        <w:spacing w:line="560" w:lineRule="exact"/>
        <w:ind w:firstLine="482" w:firstLineChars="200"/>
        <w:outlineLvl w:val="0"/>
        <w:rPr>
          <w:rFonts w:hint="eastAsia" w:ascii="宋体" w:hAnsi="宋体" w:cs="宋体"/>
          <w:b/>
          <w:color w:val="auto"/>
          <w:sz w:val="24"/>
        </w:rPr>
      </w:pPr>
      <w:bookmarkStart w:id="516" w:name="_Toc26555"/>
      <w:bookmarkStart w:id="517" w:name="_Toc22011"/>
      <w:bookmarkStart w:id="518" w:name="_Toc31233"/>
      <w:bookmarkStart w:id="519" w:name="_Toc15447"/>
      <w:bookmarkStart w:id="520" w:name="_Toc32670"/>
      <w:r>
        <w:rPr>
          <w:rFonts w:hint="eastAsia" w:ascii="宋体" w:hAnsi="宋体" w:cs="宋体"/>
          <w:b/>
          <w:color w:val="auto"/>
          <w:sz w:val="24"/>
        </w:rPr>
        <w:t>2.5 结算方式和付款条件</w:t>
      </w:r>
      <w:bookmarkEnd w:id="510"/>
      <w:bookmarkEnd w:id="511"/>
      <w:bookmarkEnd w:id="512"/>
      <w:bookmarkEnd w:id="513"/>
      <w:bookmarkEnd w:id="514"/>
      <w:bookmarkEnd w:id="516"/>
      <w:bookmarkEnd w:id="517"/>
      <w:bookmarkEnd w:id="518"/>
      <w:bookmarkEnd w:id="519"/>
      <w:bookmarkEnd w:id="520"/>
    </w:p>
    <w:p w14:paraId="2FAA6284">
      <w:pPr>
        <w:spacing w:line="560" w:lineRule="exact"/>
        <w:ind w:firstLine="480" w:firstLineChars="200"/>
        <w:rPr>
          <w:rFonts w:hint="eastAsia" w:ascii="宋体" w:hAnsi="宋体" w:cs="宋体"/>
          <w:color w:val="auto"/>
          <w:sz w:val="24"/>
        </w:rPr>
      </w:pPr>
      <w:r>
        <w:rPr>
          <w:rFonts w:hint="eastAsia" w:ascii="宋体" w:hAnsi="宋体" w:cs="宋体"/>
          <w:color w:val="auto"/>
          <w:sz w:val="24"/>
        </w:rPr>
        <w:t>详见</w:t>
      </w:r>
      <w:r>
        <w:rPr>
          <w:rFonts w:hint="eastAsia" w:ascii="宋体" w:hAnsi="宋体" w:cs="宋体"/>
          <w:b/>
          <w:i/>
          <w:color w:val="auto"/>
          <w:sz w:val="24"/>
          <w:u w:val="single"/>
        </w:rPr>
        <w:t>合同专用条款</w:t>
      </w:r>
      <w:r>
        <w:rPr>
          <w:rFonts w:hint="eastAsia" w:ascii="宋体" w:hAnsi="宋体" w:cs="宋体"/>
          <w:color w:val="auto"/>
          <w:sz w:val="24"/>
        </w:rPr>
        <w:t>。</w:t>
      </w:r>
    </w:p>
    <w:p w14:paraId="1BEFE5D0">
      <w:pPr>
        <w:spacing w:line="560" w:lineRule="exact"/>
        <w:ind w:firstLine="482" w:firstLineChars="200"/>
        <w:outlineLvl w:val="0"/>
        <w:rPr>
          <w:rFonts w:hint="eastAsia" w:ascii="宋体" w:hAnsi="宋体" w:cs="宋体"/>
          <w:b/>
          <w:color w:val="auto"/>
          <w:sz w:val="24"/>
        </w:rPr>
      </w:pPr>
      <w:bookmarkStart w:id="521" w:name="_Toc279701248"/>
      <w:bookmarkStart w:id="522" w:name="_Ref467379923"/>
      <w:bookmarkStart w:id="523" w:name="_Toc259093677"/>
      <w:bookmarkStart w:id="524" w:name="_Ref467379863"/>
      <w:bookmarkStart w:id="525" w:name="_Toc487900358"/>
      <w:bookmarkStart w:id="526" w:name="_Ref467379852"/>
      <w:bookmarkStart w:id="527" w:name="_Toc16163"/>
      <w:bookmarkStart w:id="528" w:name="_Toc13154"/>
      <w:bookmarkStart w:id="529" w:name="_Toc30507"/>
      <w:bookmarkStart w:id="530" w:name="_Toc18990"/>
      <w:bookmarkStart w:id="531" w:name="_Toc13467"/>
      <w:r>
        <w:rPr>
          <w:rFonts w:hint="eastAsia" w:ascii="宋体" w:hAnsi="宋体" w:cs="宋体"/>
          <w:b/>
          <w:color w:val="auto"/>
          <w:sz w:val="24"/>
        </w:rPr>
        <w:t>2.6 技术资料</w:t>
      </w:r>
      <w:bookmarkEnd w:id="521"/>
      <w:bookmarkEnd w:id="522"/>
      <w:bookmarkEnd w:id="523"/>
      <w:bookmarkEnd w:id="524"/>
      <w:bookmarkEnd w:id="525"/>
      <w:bookmarkEnd w:id="526"/>
      <w:r>
        <w:rPr>
          <w:rFonts w:hint="eastAsia" w:ascii="宋体" w:hAnsi="宋体" w:cs="宋体"/>
          <w:b/>
          <w:color w:val="auto"/>
          <w:sz w:val="24"/>
        </w:rPr>
        <w:t>和保密义务</w:t>
      </w:r>
      <w:bookmarkEnd w:id="527"/>
      <w:bookmarkEnd w:id="528"/>
      <w:bookmarkEnd w:id="529"/>
      <w:bookmarkEnd w:id="530"/>
      <w:bookmarkEnd w:id="531"/>
    </w:p>
    <w:p w14:paraId="61C86939">
      <w:pPr>
        <w:spacing w:line="560" w:lineRule="exact"/>
        <w:ind w:firstLine="480" w:firstLineChars="200"/>
        <w:rPr>
          <w:rFonts w:hint="eastAsia" w:ascii="宋体" w:hAnsi="宋体" w:cs="宋体"/>
          <w:color w:val="auto"/>
          <w:sz w:val="24"/>
        </w:rPr>
      </w:pPr>
      <w:r>
        <w:rPr>
          <w:rFonts w:hint="eastAsia" w:ascii="宋体" w:hAnsi="宋体" w:cs="宋体"/>
          <w:color w:val="auto"/>
          <w:sz w:val="24"/>
        </w:rPr>
        <w:t>2.6.1 乙方有权依据合同约定和项目需要，向甲方了解有关情况，调阅有关资料等，甲方应予积极配合；</w:t>
      </w:r>
    </w:p>
    <w:p w14:paraId="574A8E07">
      <w:pPr>
        <w:spacing w:line="560" w:lineRule="exact"/>
        <w:ind w:firstLine="480" w:firstLineChars="200"/>
        <w:rPr>
          <w:rFonts w:hint="eastAsia" w:ascii="宋体" w:hAnsi="宋体" w:cs="宋体"/>
          <w:color w:val="auto"/>
          <w:sz w:val="24"/>
        </w:rPr>
      </w:pPr>
      <w:r>
        <w:rPr>
          <w:rFonts w:hint="eastAsia" w:ascii="宋体" w:hAnsi="宋体" w:cs="宋体"/>
          <w:color w:val="auto"/>
          <w:sz w:val="24"/>
        </w:rPr>
        <w:t>2.6.2 乙方有义务妥善保管和保护由甲方提供的前款信息和资料等；</w:t>
      </w:r>
    </w:p>
    <w:p w14:paraId="531E2CCF">
      <w:pPr>
        <w:spacing w:line="560" w:lineRule="exact"/>
        <w:ind w:firstLine="480" w:firstLineChars="200"/>
        <w:rPr>
          <w:rFonts w:hint="eastAsia" w:ascii="宋体" w:hAnsi="宋体" w:cs="宋体"/>
          <w:color w:val="auto"/>
          <w:sz w:val="24"/>
        </w:rPr>
      </w:pPr>
      <w:r>
        <w:rPr>
          <w:rFonts w:hint="eastAsia" w:ascii="宋体" w:hAnsi="宋体" w:cs="宋体"/>
          <w:color w:val="auto"/>
          <w:sz w:val="24"/>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53FA902E">
      <w:pPr>
        <w:spacing w:line="560" w:lineRule="exact"/>
        <w:ind w:firstLine="482" w:firstLineChars="200"/>
        <w:outlineLvl w:val="0"/>
        <w:rPr>
          <w:rFonts w:hint="eastAsia" w:ascii="宋体" w:hAnsi="宋体" w:cs="宋体"/>
          <w:b/>
          <w:color w:val="auto"/>
          <w:sz w:val="24"/>
        </w:rPr>
      </w:pPr>
      <w:bookmarkStart w:id="532" w:name="_Toc19069"/>
      <w:bookmarkStart w:id="533" w:name="_Toc259093681"/>
      <w:bookmarkStart w:id="534" w:name="_Toc279701252"/>
      <w:bookmarkStart w:id="535" w:name="_Toc487900362"/>
      <w:r>
        <w:rPr>
          <w:rFonts w:hint="eastAsia" w:ascii="宋体" w:hAnsi="宋体" w:cs="宋体"/>
          <w:b/>
          <w:color w:val="auto"/>
          <w:sz w:val="24"/>
        </w:rPr>
        <w:t>2.7 质量保证</w:t>
      </w:r>
      <w:bookmarkEnd w:id="532"/>
    </w:p>
    <w:p w14:paraId="310AF6FC">
      <w:pPr>
        <w:spacing w:line="560" w:lineRule="exact"/>
        <w:ind w:firstLine="480" w:firstLineChars="200"/>
        <w:rPr>
          <w:rFonts w:hint="eastAsia" w:ascii="宋体" w:hAnsi="宋体" w:cs="宋体"/>
          <w:color w:val="auto"/>
          <w:sz w:val="24"/>
        </w:rPr>
      </w:pPr>
      <w:r>
        <w:rPr>
          <w:rFonts w:hint="eastAsia" w:ascii="宋体" w:hAnsi="宋体" w:cs="宋体"/>
          <w:color w:val="auto"/>
          <w:sz w:val="24"/>
        </w:rPr>
        <w:t>2.7.1 乙方应建立和完善履行合同的内部质量保证体系，并提供相关内部规章制度给甲方，以便甲方进行监督检查；</w:t>
      </w:r>
    </w:p>
    <w:p w14:paraId="499D8BB6">
      <w:pPr>
        <w:spacing w:line="560" w:lineRule="exact"/>
        <w:ind w:firstLine="480" w:firstLineChars="200"/>
        <w:rPr>
          <w:rFonts w:hint="eastAsia" w:ascii="宋体" w:hAnsi="宋体" w:cs="宋体"/>
          <w:color w:val="auto"/>
          <w:sz w:val="24"/>
        </w:rPr>
      </w:pPr>
      <w:r>
        <w:rPr>
          <w:rFonts w:hint="eastAsia" w:ascii="宋体" w:hAnsi="宋体" w:cs="宋体"/>
          <w:color w:val="auto"/>
          <w:sz w:val="24"/>
        </w:rPr>
        <w:t>2.7.2 乙方应保证履行合同的人员数量和素质、软件和硬件设备的配置、场地、环境和设施等满足全面履行合同的要求，并应接受甲方的监督检查。</w:t>
      </w:r>
    </w:p>
    <w:p w14:paraId="6FC0593A">
      <w:pPr>
        <w:spacing w:line="560" w:lineRule="exact"/>
        <w:ind w:firstLine="482" w:firstLineChars="200"/>
        <w:outlineLvl w:val="0"/>
        <w:rPr>
          <w:rFonts w:hint="eastAsia" w:ascii="宋体" w:hAnsi="宋体" w:cs="宋体"/>
          <w:b/>
          <w:color w:val="auto"/>
          <w:sz w:val="24"/>
        </w:rPr>
      </w:pPr>
      <w:bookmarkStart w:id="536" w:name="_Toc22267"/>
      <w:r>
        <w:rPr>
          <w:rFonts w:hint="eastAsia" w:ascii="宋体" w:hAnsi="宋体" w:cs="宋体"/>
          <w:b/>
          <w:color w:val="auto"/>
          <w:sz w:val="24"/>
        </w:rPr>
        <w:t>2.8 延迟</w:t>
      </w:r>
      <w:bookmarkEnd w:id="533"/>
      <w:bookmarkEnd w:id="534"/>
      <w:bookmarkEnd w:id="535"/>
      <w:r>
        <w:rPr>
          <w:rFonts w:hint="eastAsia" w:ascii="宋体" w:hAnsi="宋体" w:cs="宋体"/>
          <w:b/>
          <w:color w:val="auto"/>
          <w:sz w:val="24"/>
        </w:rPr>
        <w:t>履行</w:t>
      </w:r>
      <w:bookmarkEnd w:id="536"/>
    </w:p>
    <w:p w14:paraId="6A6E0145">
      <w:pPr>
        <w:spacing w:line="560" w:lineRule="exact"/>
        <w:ind w:firstLine="480" w:firstLineChars="200"/>
        <w:rPr>
          <w:rFonts w:hint="eastAsia" w:ascii="宋体" w:hAnsi="宋体" w:cs="宋体"/>
          <w:color w:val="auto"/>
          <w:sz w:val="24"/>
        </w:rPr>
      </w:pPr>
      <w:r>
        <w:rPr>
          <w:rFonts w:hint="eastAsia" w:ascii="宋体" w:hAnsi="宋体" w:cs="宋体"/>
          <w:color w:val="auto"/>
          <w:sz w:val="24"/>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14:paraId="2B10D1EE">
      <w:pPr>
        <w:spacing w:line="560" w:lineRule="exact"/>
        <w:ind w:firstLine="482" w:firstLineChars="200"/>
        <w:outlineLvl w:val="0"/>
        <w:rPr>
          <w:rFonts w:hint="eastAsia" w:ascii="宋体" w:hAnsi="宋体" w:cs="宋体"/>
          <w:b/>
          <w:color w:val="auto"/>
          <w:sz w:val="24"/>
        </w:rPr>
      </w:pPr>
      <w:bookmarkStart w:id="537" w:name="_Toc10611"/>
      <w:bookmarkStart w:id="538" w:name="_Toc279701254"/>
      <w:bookmarkStart w:id="539" w:name="_Ref467378121"/>
      <w:bookmarkStart w:id="540" w:name="_Toc259093683"/>
      <w:bookmarkStart w:id="541" w:name="_Toc487900364"/>
      <w:r>
        <w:rPr>
          <w:rFonts w:hint="eastAsia" w:ascii="宋体" w:hAnsi="宋体" w:cs="宋体"/>
          <w:b/>
          <w:color w:val="auto"/>
          <w:sz w:val="24"/>
        </w:rPr>
        <w:t>2.9 合同变更</w:t>
      </w:r>
      <w:bookmarkEnd w:id="537"/>
    </w:p>
    <w:p w14:paraId="4943C85C">
      <w:pPr>
        <w:spacing w:line="560" w:lineRule="exact"/>
        <w:ind w:firstLine="480" w:firstLineChars="200"/>
        <w:rPr>
          <w:rFonts w:hint="eastAsia" w:ascii="宋体" w:hAnsi="宋体" w:cs="宋体"/>
          <w:color w:val="auto"/>
          <w:sz w:val="24"/>
        </w:rPr>
      </w:pPr>
      <w:r>
        <w:rPr>
          <w:rFonts w:hint="eastAsia" w:ascii="宋体" w:hAnsi="宋体" w:cs="宋体"/>
          <w:color w:val="auto"/>
          <w:sz w:val="24"/>
        </w:rPr>
        <w:t>2.9.1 双方当事人协商一致，可以签订书面补充合同的形式变更合同，但不得违背采购文件确定的事项，且如果系追加与合同标的相同的服务的，那么所有补充合同的采购金额不得超过原合同价的10%；</w:t>
      </w:r>
    </w:p>
    <w:p w14:paraId="32E2A641">
      <w:pPr>
        <w:spacing w:line="560" w:lineRule="exact"/>
        <w:ind w:firstLine="480" w:firstLineChars="200"/>
        <w:rPr>
          <w:rFonts w:hint="eastAsia" w:ascii="宋体" w:hAnsi="宋体" w:cs="宋体"/>
          <w:color w:val="auto"/>
          <w:sz w:val="24"/>
        </w:rPr>
      </w:pPr>
      <w:r>
        <w:rPr>
          <w:rFonts w:hint="eastAsia" w:ascii="宋体" w:hAnsi="宋体" w:cs="宋体"/>
          <w:color w:val="auto"/>
          <w:sz w:val="24"/>
        </w:rPr>
        <w:t>2.9.2 合同继续履行将损害国家利益和社会公共利益的，双方当事人应当以书面形式变更合同。有过错的一方应当承担赔偿责任，双方当事人都有过错的，各自承担相应的责任。</w:t>
      </w:r>
      <w:bookmarkStart w:id="542" w:name="_Toc279701259"/>
      <w:bookmarkStart w:id="543" w:name="_Toc259093688"/>
      <w:bookmarkStart w:id="544" w:name="_Toc487900369"/>
    </w:p>
    <w:p w14:paraId="7E2C0DF6">
      <w:pPr>
        <w:spacing w:line="560" w:lineRule="exact"/>
        <w:ind w:firstLine="482" w:firstLineChars="200"/>
        <w:outlineLvl w:val="0"/>
        <w:rPr>
          <w:rFonts w:hint="eastAsia" w:ascii="宋体" w:hAnsi="宋体" w:cs="宋体"/>
          <w:b/>
          <w:color w:val="auto"/>
          <w:sz w:val="24"/>
        </w:rPr>
      </w:pPr>
      <w:bookmarkStart w:id="545" w:name="_Toc23368"/>
      <w:bookmarkStart w:id="546" w:name="_Toc26689"/>
      <w:bookmarkStart w:id="547" w:name="_Toc21830"/>
      <w:bookmarkStart w:id="548" w:name="_Toc42"/>
      <w:bookmarkStart w:id="549" w:name="_Toc10663"/>
      <w:r>
        <w:rPr>
          <w:rFonts w:hint="eastAsia" w:ascii="宋体" w:hAnsi="宋体" w:cs="宋体"/>
          <w:b/>
          <w:color w:val="auto"/>
          <w:sz w:val="24"/>
        </w:rPr>
        <w:t>2.10 合同转让</w:t>
      </w:r>
      <w:bookmarkEnd w:id="542"/>
      <w:bookmarkEnd w:id="543"/>
      <w:bookmarkEnd w:id="544"/>
      <w:r>
        <w:rPr>
          <w:rFonts w:hint="eastAsia" w:ascii="宋体" w:hAnsi="宋体" w:cs="宋体"/>
          <w:b/>
          <w:color w:val="auto"/>
          <w:sz w:val="24"/>
        </w:rPr>
        <w:t>和分包</w:t>
      </w:r>
      <w:bookmarkEnd w:id="545"/>
      <w:bookmarkEnd w:id="546"/>
      <w:bookmarkEnd w:id="547"/>
      <w:bookmarkEnd w:id="548"/>
      <w:bookmarkEnd w:id="549"/>
    </w:p>
    <w:p w14:paraId="40CA4352">
      <w:pPr>
        <w:spacing w:line="560" w:lineRule="exact"/>
        <w:ind w:firstLine="480" w:firstLineChars="200"/>
        <w:rPr>
          <w:rFonts w:hint="eastAsia" w:ascii="宋体" w:hAnsi="宋体" w:cs="宋体"/>
          <w:color w:val="auto"/>
          <w:sz w:val="24"/>
        </w:rPr>
      </w:pPr>
      <w:r>
        <w:rPr>
          <w:rFonts w:hint="eastAsia" w:ascii="宋体" w:hAnsi="宋体" w:cs="宋体"/>
          <w:color w:val="auto"/>
          <w:sz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w:t>
      </w:r>
      <w:r>
        <w:rPr>
          <w:rFonts w:hint="eastAsia" w:ascii="宋体" w:hAnsi="宋体" w:cs="宋体"/>
          <w:color w:val="auto"/>
          <w:sz w:val="24"/>
          <w:lang w:eastAsia="zh-CN"/>
        </w:rPr>
        <w:t>投标人</w:t>
      </w:r>
      <w:r>
        <w:rPr>
          <w:rFonts w:hint="eastAsia" w:ascii="宋体" w:hAnsi="宋体" w:cs="宋体"/>
          <w:color w:val="auto"/>
          <w:sz w:val="24"/>
        </w:rPr>
        <w:t>就分包项目向甲方承担连带责任。</w:t>
      </w:r>
    </w:p>
    <w:p w14:paraId="026851C1">
      <w:pPr>
        <w:spacing w:line="560" w:lineRule="exact"/>
        <w:ind w:firstLine="482" w:firstLineChars="200"/>
        <w:outlineLvl w:val="0"/>
        <w:rPr>
          <w:rFonts w:hint="eastAsia" w:ascii="宋体" w:hAnsi="宋体" w:cs="宋体"/>
          <w:b/>
          <w:color w:val="auto"/>
          <w:sz w:val="24"/>
        </w:rPr>
      </w:pPr>
      <w:bookmarkStart w:id="550" w:name="_Toc32494"/>
      <w:bookmarkStart w:id="551" w:name="_Toc14371"/>
      <w:bookmarkStart w:id="552" w:name="_Toc25571"/>
      <w:bookmarkStart w:id="553" w:name="_Toc26633"/>
      <w:bookmarkStart w:id="554" w:name="_Toc4720"/>
      <w:r>
        <w:rPr>
          <w:rFonts w:hint="eastAsia" w:ascii="宋体" w:hAnsi="宋体" w:cs="宋体"/>
          <w:b/>
          <w:color w:val="auto"/>
          <w:sz w:val="24"/>
        </w:rPr>
        <w:t>2.11 不可抗力</w:t>
      </w:r>
      <w:bookmarkEnd w:id="550"/>
      <w:bookmarkEnd w:id="551"/>
      <w:bookmarkEnd w:id="552"/>
      <w:bookmarkEnd w:id="553"/>
      <w:bookmarkEnd w:id="554"/>
    </w:p>
    <w:p w14:paraId="0924C17B">
      <w:pPr>
        <w:spacing w:line="560" w:lineRule="exact"/>
        <w:ind w:firstLine="480" w:firstLineChars="200"/>
        <w:rPr>
          <w:rFonts w:hint="eastAsia" w:ascii="宋体" w:hAnsi="宋体" w:cs="宋体"/>
          <w:color w:val="auto"/>
          <w:sz w:val="24"/>
        </w:rPr>
      </w:pPr>
      <w:r>
        <w:rPr>
          <w:rFonts w:hint="eastAsia" w:ascii="宋体" w:hAnsi="宋体" w:cs="宋体"/>
          <w:color w:val="auto"/>
          <w:sz w:val="24"/>
        </w:rPr>
        <w:t>2.11.1如果任何一方遭遇法律规定的不可抗力，致使合同履行受阻时，履行合同的期限应予延长，延长的期限应相当于不可抗力所影响的时间；</w:t>
      </w:r>
    </w:p>
    <w:p w14:paraId="10757224">
      <w:pPr>
        <w:spacing w:line="560" w:lineRule="exact"/>
        <w:ind w:firstLine="480" w:firstLineChars="200"/>
        <w:rPr>
          <w:rFonts w:hint="eastAsia" w:ascii="宋体" w:hAnsi="宋体" w:cs="宋体"/>
          <w:color w:val="auto"/>
          <w:sz w:val="24"/>
        </w:rPr>
      </w:pPr>
      <w:r>
        <w:rPr>
          <w:rFonts w:hint="eastAsia" w:ascii="宋体" w:hAnsi="宋体" w:cs="宋体"/>
          <w:color w:val="auto"/>
          <w:sz w:val="24"/>
        </w:rPr>
        <w:t>2.11.2 因不可抗力致使不能实现合同目的的，当事人可以解除合同；</w:t>
      </w:r>
    </w:p>
    <w:p w14:paraId="0B791805">
      <w:pPr>
        <w:spacing w:line="560" w:lineRule="exact"/>
        <w:ind w:firstLine="480" w:firstLineChars="200"/>
        <w:rPr>
          <w:rFonts w:hint="eastAsia" w:ascii="宋体" w:hAnsi="宋体" w:cs="宋体"/>
          <w:color w:val="auto"/>
          <w:sz w:val="24"/>
        </w:rPr>
      </w:pPr>
      <w:r>
        <w:rPr>
          <w:rFonts w:hint="eastAsia" w:ascii="宋体" w:hAnsi="宋体" w:cs="宋体"/>
          <w:color w:val="auto"/>
          <w:sz w:val="24"/>
        </w:rPr>
        <w:t>2.11.3 因不可抗力致使合同有变更必要的，双方当事人应在</w:t>
      </w:r>
      <w:r>
        <w:rPr>
          <w:rFonts w:hint="eastAsia" w:ascii="宋体" w:hAnsi="宋体" w:cs="宋体"/>
          <w:b/>
          <w:i/>
          <w:color w:val="auto"/>
          <w:sz w:val="24"/>
          <w:u w:val="single"/>
        </w:rPr>
        <w:t>合同专用条款</w:t>
      </w:r>
      <w:r>
        <w:rPr>
          <w:rFonts w:hint="eastAsia" w:ascii="宋体" w:hAnsi="宋体" w:cs="宋体"/>
          <w:color w:val="auto"/>
          <w:sz w:val="24"/>
        </w:rPr>
        <w:t>约定时间内以书面形式变更合同；</w:t>
      </w:r>
    </w:p>
    <w:p w14:paraId="1A540989">
      <w:pPr>
        <w:spacing w:line="560" w:lineRule="exact"/>
        <w:ind w:firstLine="480" w:firstLineChars="200"/>
        <w:rPr>
          <w:rFonts w:hint="eastAsia" w:ascii="宋体" w:hAnsi="宋体" w:cs="宋体"/>
          <w:color w:val="auto"/>
          <w:sz w:val="24"/>
        </w:rPr>
      </w:pPr>
      <w:r>
        <w:rPr>
          <w:rFonts w:hint="eastAsia" w:ascii="宋体" w:hAnsi="宋体" w:cs="宋体"/>
          <w:color w:val="auto"/>
          <w:sz w:val="24"/>
        </w:rPr>
        <w:t>2.11.4受不可抗力影响的一方在不可抗力发生后，应在</w:t>
      </w:r>
      <w:r>
        <w:rPr>
          <w:rFonts w:hint="eastAsia" w:ascii="宋体" w:hAnsi="宋体" w:cs="宋体"/>
          <w:b/>
          <w:i/>
          <w:color w:val="auto"/>
          <w:sz w:val="24"/>
          <w:u w:val="single"/>
        </w:rPr>
        <w:t>合同专用条款</w:t>
      </w:r>
      <w:r>
        <w:rPr>
          <w:rFonts w:hint="eastAsia" w:ascii="宋体" w:hAnsi="宋体" w:cs="宋体"/>
          <w:color w:val="auto"/>
          <w:sz w:val="24"/>
        </w:rPr>
        <w:t>约定时间内以书面形式通知对方当事人，并在</w:t>
      </w:r>
      <w:r>
        <w:rPr>
          <w:rFonts w:hint="eastAsia" w:ascii="宋体" w:hAnsi="宋体" w:cs="宋体"/>
          <w:b/>
          <w:i/>
          <w:color w:val="auto"/>
          <w:sz w:val="24"/>
          <w:u w:val="single"/>
        </w:rPr>
        <w:t>合同专用条款</w:t>
      </w:r>
      <w:r>
        <w:rPr>
          <w:rFonts w:hint="eastAsia" w:ascii="宋体" w:hAnsi="宋体" w:cs="宋体"/>
          <w:color w:val="auto"/>
          <w:sz w:val="24"/>
        </w:rPr>
        <w:t>约定时间内，将有关部门出具的证明文件送达对方当事人。</w:t>
      </w:r>
    </w:p>
    <w:p w14:paraId="769B5805">
      <w:pPr>
        <w:spacing w:line="560" w:lineRule="exact"/>
        <w:ind w:firstLine="482" w:firstLineChars="200"/>
        <w:outlineLvl w:val="0"/>
        <w:rPr>
          <w:rFonts w:hint="eastAsia" w:ascii="宋体" w:hAnsi="宋体" w:cs="宋体"/>
          <w:b/>
          <w:color w:val="auto"/>
          <w:sz w:val="24"/>
        </w:rPr>
      </w:pPr>
      <w:bookmarkStart w:id="555" w:name="_Toc487900365"/>
      <w:bookmarkStart w:id="556" w:name="_Toc279701255"/>
      <w:bookmarkStart w:id="557" w:name="_Toc14115"/>
      <w:bookmarkStart w:id="558" w:name="_Toc25783"/>
      <w:bookmarkStart w:id="559" w:name="_Toc3638"/>
      <w:bookmarkStart w:id="560" w:name="_Toc23854"/>
      <w:bookmarkStart w:id="561" w:name="_Toc24465"/>
      <w:bookmarkStart w:id="562" w:name="_Toc259093684"/>
      <w:r>
        <w:rPr>
          <w:rFonts w:hint="eastAsia" w:ascii="宋体" w:hAnsi="宋体" w:cs="宋体"/>
          <w:b/>
          <w:color w:val="auto"/>
          <w:sz w:val="24"/>
        </w:rPr>
        <w:t>2.12 税费</w:t>
      </w:r>
      <w:bookmarkEnd w:id="555"/>
      <w:bookmarkEnd w:id="556"/>
      <w:bookmarkEnd w:id="557"/>
      <w:bookmarkEnd w:id="558"/>
      <w:bookmarkEnd w:id="559"/>
      <w:bookmarkEnd w:id="560"/>
      <w:bookmarkEnd w:id="561"/>
      <w:bookmarkEnd w:id="562"/>
    </w:p>
    <w:p w14:paraId="050AEC81">
      <w:pPr>
        <w:spacing w:line="560" w:lineRule="exact"/>
        <w:ind w:firstLine="480" w:firstLineChars="200"/>
        <w:rPr>
          <w:rFonts w:hint="eastAsia" w:ascii="宋体" w:hAnsi="宋体" w:cs="宋体"/>
          <w:color w:val="auto"/>
          <w:sz w:val="24"/>
        </w:rPr>
      </w:pPr>
      <w:r>
        <w:rPr>
          <w:rFonts w:hint="eastAsia" w:ascii="宋体" w:hAnsi="宋体" w:cs="宋体"/>
          <w:color w:val="auto"/>
          <w:sz w:val="24"/>
        </w:rPr>
        <w:t>与合同有关的一切税费，均按照中华人民共和国法律的相关规定缴纳。</w:t>
      </w:r>
    </w:p>
    <w:p w14:paraId="650604EC">
      <w:pPr>
        <w:spacing w:line="560" w:lineRule="exact"/>
        <w:ind w:firstLine="482" w:firstLineChars="200"/>
        <w:outlineLvl w:val="0"/>
        <w:rPr>
          <w:rFonts w:hint="eastAsia" w:ascii="宋体" w:hAnsi="宋体" w:cs="宋体"/>
          <w:b/>
          <w:color w:val="auto"/>
          <w:sz w:val="24"/>
        </w:rPr>
      </w:pPr>
      <w:bookmarkStart w:id="563" w:name="_Toc26883"/>
      <w:bookmarkStart w:id="564" w:name="_Toc25525"/>
      <w:bookmarkStart w:id="565" w:name="_Toc14814"/>
      <w:bookmarkStart w:id="566" w:name="_Toc7315"/>
      <w:bookmarkStart w:id="567" w:name="_Toc30105"/>
      <w:bookmarkStart w:id="568" w:name="_Toc487900368"/>
      <w:bookmarkStart w:id="569" w:name="_Toc259093687"/>
      <w:bookmarkStart w:id="570" w:name="_Toc279701258"/>
      <w:r>
        <w:rPr>
          <w:rFonts w:hint="eastAsia" w:ascii="宋体" w:hAnsi="宋体" w:cs="宋体"/>
          <w:b/>
          <w:color w:val="auto"/>
          <w:sz w:val="24"/>
        </w:rPr>
        <w:t>2.13 乙方破产</w:t>
      </w:r>
      <w:bookmarkEnd w:id="563"/>
      <w:bookmarkEnd w:id="564"/>
      <w:bookmarkEnd w:id="565"/>
      <w:bookmarkEnd w:id="566"/>
      <w:bookmarkEnd w:id="567"/>
      <w:bookmarkEnd w:id="568"/>
      <w:bookmarkEnd w:id="569"/>
      <w:bookmarkEnd w:id="570"/>
    </w:p>
    <w:p w14:paraId="19AB5A79">
      <w:pPr>
        <w:spacing w:line="560" w:lineRule="exact"/>
        <w:ind w:firstLine="480" w:firstLineChars="200"/>
        <w:rPr>
          <w:rFonts w:hint="eastAsia" w:ascii="宋体" w:hAnsi="宋体" w:cs="宋体"/>
          <w:color w:val="auto"/>
          <w:sz w:val="24"/>
        </w:rPr>
      </w:pPr>
      <w:r>
        <w:rPr>
          <w:rFonts w:hint="eastAsia" w:ascii="宋体" w:hAnsi="宋体" w:cs="宋体"/>
          <w:color w:val="auto"/>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084E8DD7">
      <w:pPr>
        <w:spacing w:line="560" w:lineRule="exact"/>
        <w:ind w:firstLine="482" w:firstLineChars="200"/>
        <w:outlineLvl w:val="0"/>
        <w:rPr>
          <w:rFonts w:hint="eastAsia" w:ascii="宋体" w:hAnsi="宋体" w:cs="宋体"/>
          <w:b/>
          <w:color w:val="auto"/>
          <w:sz w:val="24"/>
        </w:rPr>
      </w:pPr>
      <w:bookmarkStart w:id="571" w:name="_Toc2016"/>
      <w:bookmarkStart w:id="572" w:name="_Toc1123"/>
      <w:bookmarkStart w:id="573" w:name="_Toc23323"/>
      <w:r>
        <w:rPr>
          <w:rFonts w:hint="eastAsia" w:ascii="宋体" w:hAnsi="宋体" w:cs="宋体"/>
          <w:b/>
          <w:color w:val="auto"/>
          <w:sz w:val="24"/>
        </w:rPr>
        <w:t>2.14 合同中止、终止</w:t>
      </w:r>
      <w:bookmarkEnd w:id="571"/>
      <w:bookmarkEnd w:id="572"/>
      <w:bookmarkEnd w:id="573"/>
    </w:p>
    <w:p w14:paraId="10FE42A7">
      <w:pPr>
        <w:spacing w:line="560" w:lineRule="exact"/>
        <w:ind w:firstLine="480" w:firstLineChars="200"/>
        <w:rPr>
          <w:rFonts w:hint="eastAsia" w:ascii="宋体" w:hAnsi="宋体" w:cs="宋体"/>
          <w:color w:val="auto"/>
          <w:sz w:val="24"/>
        </w:rPr>
      </w:pPr>
      <w:r>
        <w:rPr>
          <w:rFonts w:hint="eastAsia" w:ascii="宋体" w:hAnsi="宋体" w:cs="宋体"/>
          <w:color w:val="auto"/>
          <w:sz w:val="24"/>
        </w:rPr>
        <w:t>2.14.1 双方当事人不得擅自中止或者终止合同；</w:t>
      </w:r>
    </w:p>
    <w:p w14:paraId="2A8D3702">
      <w:pPr>
        <w:spacing w:line="560" w:lineRule="exact"/>
        <w:ind w:firstLine="480" w:firstLineChars="200"/>
        <w:rPr>
          <w:rFonts w:hint="eastAsia" w:ascii="宋体" w:hAnsi="宋体" w:cs="宋体"/>
          <w:color w:val="auto"/>
          <w:sz w:val="24"/>
        </w:rPr>
      </w:pPr>
      <w:r>
        <w:rPr>
          <w:rFonts w:hint="eastAsia" w:ascii="宋体" w:hAnsi="宋体" w:cs="宋体"/>
          <w:color w:val="auto"/>
          <w:sz w:val="24"/>
        </w:rPr>
        <w:t>2.14.2合同继续履行将损害国家利益和社会公共利益的，双方当事人应当中止或者终止合同。有过错的一方应当承担赔偿责任，双方当事人都有过错的，各自承担相应的责任。</w:t>
      </w:r>
    </w:p>
    <w:p w14:paraId="691F9AFC">
      <w:pPr>
        <w:spacing w:line="560" w:lineRule="exact"/>
        <w:ind w:firstLine="482" w:firstLineChars="200"/>
        <w:outlineLvl w:val="0"/>
        <w:rPr>
          <w:rFonts w:hint="eastAsia" w:ascii="宋体" w:hAnsi="宋体" w:cs="宋体"/>
          <w:b/>
          <w:color w:val="auto"/>
          <w:sz w:val="24"/>
        </w:rPr>
      </w:pPr>
      <w:bookmarkStart w:id="574" w:name="_Toc14525"/>
      <w:bookmarkStart w:id="575" w:name="_Toc1969"/>
      <w:bookmarkStart w:id="576" w:name="_Toc17363"/>
      <w:r>
        <w:rPr>
          <w:rFonts w:hint="eastAsia" w:ascii="宋体" w:hAnsi="宋体" w:cs="宋体"/>
          <w:b/>
          <w:color w:val="auto"/>
          <w:sz w:val="24"/>
        </w:rPr>
        <w:t>2.15 检验和验收</w:t>
      </w:r>
      <w:bookmarkEnd w:id="574"/>
      <w:bookmarkEnd w:id="575"/>
      <w:bookmarkEnd w:id="576"/>
    </w:p>
    <w:p w14:paraId="341F48B0">
      <w:pPr>
        <w:tabs>
          <w:tab w:val="left" w:pos="360"/>
          <w:tab w:val="left" w:pos="540"/>
          <w:tab w:val="left" w:pos="1080"/>
        </w:tabs>
        <w:spacing w:line="560" w:lineRule="exact"/>
        <w:ind w:firstLine="480" w:firstLineChars="200"/>
        <w:rPr>
          <w:rFonts w:hint="eastAsia" w:ascii="宋体" w:hAnsi="宋体" w:cs="宋体"/>
          <w:color w:val="auto"/>
          <w:sz w:val="24"/>
        </w:rPr>
      </w:pPr>
      <w:r>
        <w:rPr>
          <w:rFonts w:hint="eastAsia" w:ascii="宋体" w:hAnsi="宋体" w:cs="宋体"/>
          <w:color w:val="auto"/>
          <w:sz w:val="24"/>
        </w:rPr>
        <w:t>2.15.1 乙方按照</w:t>
      </w:r>
      <w:r>
        <w:rPr>
          <w:rFonts w:hint="eastAsia" w:ascii="宋体" w:hAnsi="宋体" w:cs="宋体"/>
          <w:b/>
          <w:i/>
          <w:color w:val="auto"/>
          <w:sz w:val="24"/>
          <w:u w:val="single"/>
        </w:rPr>
        <w:t>合同专用条款</w:t>
      </w:r>
      <w:r>
        <w:rPr>
          <w:rFonts w:hint="eastAsia" w:ascii="宋体" w:hAnsi="宋体" w:cs="宋体"/>
          <w:color w:val="auto"/>
          <w:sz w:val="24"/>
        </w:rPr>
        <w:t>的约定，定期提交服务报告，甲方按照</w:t>
      </w:r>
      <w:r>
        <w:rPr>
          <w:rFonts w:hint="eastAsia" w:ascii="宋体" w:hAnsi="宋体" w:cs="宋体"/>
          <w:b/>
          <w:i/>
          <w:color w:val="auto"/>
          <w:sz w:val="24"/>
          <w:u w:val="single"/>
        </w:rPr>
        <w:t>合同专用条款</w:t>
      </w:r>
      <w:r>
        <w:rPr>
          <w:rFonts w:hint="eastAsia" w:ascii="宋体" w:hAnsi="宋体" w:cs="宋体"/>
          <w:color w:val="auto"/>
          <w:sz w:val="24"/>
        </w:rPr>
        <w:t>的约定进行定期验收；</w:t>
      </w:r>
    </w:p>
    <w:p w14:paraId="67C1A2E1">
      <w:pPr>
        <w:tabs>
          <w:tab w:val="left" w:pos="360"/>
          <w:tab w:val="left" w:pos="540"/>
          <w:tab w:val="left" w:pos="1080"/>
        </w:tabs>
        <w:spacing w:line="560" w:lineRule="exact"/>
        <w:ind w:firstLine="480" w:firstLineChars="200"/>
        <w:rPr>
          <w:rFonts w:hint="eastAsia" w:ascii="宋体" w:hAnsi="宋体" w:cs="宋体"/>
          <w:color w:val="auto"/>
          <w:sz w:val="24"/>
        </w:rPr>
      </w:pPr>
      <w:r>
        <w:rPr>
          <w:rFonts w:hint="eastAsia" w:ascii="宋体" w:hAnsi="宋体" w:cs="宋体"/>
          <w:color w:val="auto"/>
          <w:sz w:val="24"/>
        </w:rPr>
        <w:t>2.15.2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26971B67">
      <w:pPr>
        <w:tabs>
          <w:tab w:val="left" w:pos="360"/>
          <w:tab w:val="left" w:pos="540"/>
          <w:tab w:val="left" w:pos="1080"/>
        </w:tabs>
        <w:spacing w:line="560" w:lineRule="exact"/>
        <w:ind w:firstLine="480" w:firstLineChars="200"/>
        <w:rPr>
          <w:rFonts w:hint="eastAsia" w:ascii="宋体" w:hAnsi="宋体" w:cs="宋体"/>
          <w:color w:val="auto"/>
          <w:sz w:val="24"/>
        </w:rPr>
      </w:pPr>
      <w:r>
        <w:rPr>
          <w:rFonts w:hint="eastAsia" w:ascii="宋体" w:hAnsi="宋体" w:cs="宋体"/>
          <w:color w:val="auto"/>
          <w:sz w:val="24"/>
        </w:rPr>
        <w:t>2.15.3 检验和验收标准、程序等具体内容以及前述验收书的效力详见</w:t>
      </w:r>
      <w:r>
        <w:rPr>
          <w:rFonts w:hint="eastAsia" w:ascii="宋体" w:hAnsi="宋体" w:cs="宋体"/>
          <w:b/>
          <w:i/>
          <w:color w:val="auto"/>
          <w:sz w:val="24"/>
          <w:u w:val="single"/>
        </w:rPr>
        <w:t>合同专用条款</w:t>
      </w:r>
      <w:r>
        <w:rPr>
          <w:rFonts w:hint="eastAsia" w:ascii="宋体" w:hAnsi="宋体" w:cs="宋体"/>
          <w:i/>
          <w:color w:val="auto"/>
          <w:sz w:val="24"/>
        </w:rPr>
        <w:t>。</w:t>
      </w:r>
    </w:p>
    <w:bookmarkEnd w:id="538"/>
    <w:bookmarkEnd w:id="539"/>
    <w:bookmarkEnd w:id="540"/>
    <w:bookmarkEnd w:id="541"/>
    <w:p w14:paraId="04D3479A">
      <w:pPr>
        <w:spacing w:line="560" w:lineRule="exact"/>
        <w:ind w:firstLine="482" w:firstLineChars="200"/>
        <w:outlineLvl w:val="0"/>
        <w:rPr>
          <w:rFonts w:hint="eastAsia" w:ascii="宋体" w:hAnsi="宋体" w:cs="宋体"/>
          <w:b/>
          <w:color w:val="auto"/>
          <w:sz w:val="24"/>
        </w:rPr>
      </w:pPr>
      <w:bookmarkStart w:id="577" w:name="_Toc487900371"/>
      <w:bookmarkStart w:id="578" w:name="_Toc259093690"/>
      <w:bookmarkStart w:id="579" w:name="_Toc279701261"/>
      <w:bookmarkStart w:id="580" w:name="_Toc25198"/>
      <w:bookmarkStart w:id="581" w:name="_Toc2308"/>
      <w:bookmarkStart w:id="582" w:name="_Toc12666"/>
      <w:bookmarkStart w:id="583" w:name="_Toc9808"/>
      <w:bookmarkStart w:id="584" w:name="_Toc31892"/>
      <w:r>
        <w:rPr>
          <w:rFonts w:hint="eastAsia" w:ascii="宋体" w:hAnsi="宋体" w:cs="宋体"/>
          <w:b/>
          <w:color w:val="auto"/>
          <w:sz w:val="24"/>
        </w:rPr>
        <w:t>2.16 通知</w:t>
      </w:r>
      <w:bookmarkEnd w:id="577"/>
      <w:bookmarkEnd w:id="578"/>
      <w:bookmarkEnd w:id="579"/>
      <w:r>
        <w:rPr>
          <w:rFonts w:hint="eastAsia" w:ascii="宋体" w:hAnsi="宋体" w:cs="宋体"/>
          <w:b/>
          <w:color w:val="auto"/>
          <w:sz w:val="24"/>
        </w:rPr>
        <w:t>和送达</w:t>
      </w:r>
      <w:bookmarkEnd w:id="580"/>
      <w:bookmarkEnd w:id="581"/>
      <w:bookmarkEnd w:id="582"/>
      <w:bookmarkEnd w:id="583"/>
      <w:bookmarkEnd w:id="584"/>
    </w:p>
    <w:p w14:paraId="50EABB88">
      <w:pPr>
        <w:spacing w:line="560" w:lineRule="exact"/>
        <w:ind w:firstLine="480" w:firstLineChars="200"/>
        <w:rPr>
          <w:rFonts w:hint="eastAsia" w:ascii="宋体" w:hAnsi="宋体" w:cs="宋体"/>
          <w:color w:val="auto"/>
          <w:sz w:val="24"/>
        </w:rPr>
      </w:pPr>
      <w:bookmarkStart w:id="585" w:name="_Toc29220"/>
      <w:bookmarkStart w:id="586" w:name="_Toc7073"/>
      <w:bookmarkStart w:id="587" w:name="_Toc259093691"/>
      <w:bookmarkStart w:id="588" w:name="_Toc279701262"/>
      <w:bookmarkStart w:id="589" w:name="_Toc487900372"/>
      <w:r>
        <w:rPr>
          <w:rFonts w:hint="eastAsia" w:ascii="宋体" w:hAnsi="宋体" w:cs="宋体"/>
          <w:color w:val="auto"/>
          <w:sz w:val="24"/>
        </w:rPr>
        <w:t>2.16.1 任何一方因履行合同而以合同第一部分尾部所列明的</w:t>
      </w:r>
      <w:r>
        <w:rPr>
          <w:rFonts w:hint="eastAsia" w:ascii="宋体" w:hAnsi="宋体" w:cs="宋体"/>
          <w:color w:val="auto"/>
          <w:sz w:val="24"/>
          <w:u w:val="single"/>
        </w:rPr>
        <w:t xml:space="preserve">          </w:t>
      </w:r>
      <w:r>
        <w:rPr>
          <w:rFonts w:hint="eastAsia" w:ascii="宋体" w:hAnsi="宋体" w:cs="宋体"/>
          <w:color w:val="auto"/>
          <w:sz w:val="24"/>
        </w:rPr>
        <w:t>发出的所有通知、文件、材料，均视为已向对方当事人送达；任何一方变更上述送达方式或者地址的，应于</w:t>
      </w:r>
      <w:r>
        <w:rPr>
          <w:rFonts w:hint="eastAsia" w:ascii="宋体" w:hAnsi="宋体" w:cs="宋体"/>
          <w:color w:val="auto"/>
          <w:sz w:val="24"/>
          <w:u w:val="single"/>
        </w:rPr>
        <w:t xml:space="preserve">   </w:t>
      </w:r>
      <w:r>
        <w:rPr>
          <w:rFonts w:hint="eastAsia" w:ascii="宋体" w:hAnsi="宋体" w:cs="宋体"/>
          <w:color w:val="auto"/>
          <w:sz w:val="24"/>
        </w:rPr>
        <w:t>个工作日内书面通知对方当事人，在对方当事人收到有关变更通知之前，变更前的约定送达方式或者地址仍视为有效。</w:t>
      </w:r>
      <w:bookmarkEnd w:id="585"/>
      <w:bookmarkEnd w:id="586"/>
    </w:p>
    <w:p w14:paraId="532E5D43">
      <w:pPr>
        <w:spacing w:line="560" w:lineRule="exact"/>
        <w:ind w:firstLine="480" w:firstLineChars="200"/>
        <w:rPr>
          <w:rFonts w:hint="eastAsia" w:ascii="宋体" w:hAnsi="宋体" w:cs="宋体"/>
          <w:color w:val="auto"/>
          <w:sz w:val="24"/>
        </w:rPr>
      </w:pPr>
      <w:bookmarkStart w:id="590" w:name="_Toc18401"/>
      <w:bookmarkStart w:id="591" w:name="_Toc27674"/>
      <w:r>
        <w:rPr>
          <w:rFonts w:hint="eastAsia" w:ascii="宋体" w:hAnsi="宋体" w:cs="宋体"/>
          <w:color w:val="auto"/>
          <w:sz w:val="24"/>
        </w:rPr>
        <w:t>2.16.2以当面交付方式送达的，交付之时视为送达；以电子邮件方式送达的，发出电子邮件之时视为送达；以传真方式送达的，发出传真之时视为送达；以邮寄方式送达的，邮件挂号寄出或者交邮之日之次日视为送达。</w:t>
      </w:r>
      <w:bookmarkEnd w:id="590"/>
      <w:bookmarkEnd w:id="591"/>
    </w:p>
    <w:bookmarkEnd w:id="587"/>
    <w:bookmarkEnd w:id="588"/>
    <w:bookmarkEnd w:id="589"/>
    <w:p w14:paraId="6D98BF00">
      <w:pPr>
        <w:spacing w:line="560" w:lineRule="exact"/>
        <w:ind w:firstLine="482" w:firstLineChars="200"/>
        <w:outlineLvl w:val="0"/>
        <w:rPr>
          <w:rFonts w:hint="eastAsia" w:ascii="宋体" w:hAnsi="宋体" w:cs="宋体"/>
          <w:b/>
          <w:color w:val="auto"/>
          <w:sz w:val="24"/>
        </w:rPr>
      </w:pPr>
      <w:bookmarkStart w:id="592" w:name="_Toc20808"/>
      <w:bookmarkStart w:id="593" w:name="_Toc28906"/>
      <w:bookmarkStart w:id="594" w:name="_Toc12254"/>
      <w:bookmarkStart w:id="595" w:name="_Toc279701263"/>
      <w:bookmarkStart w:id="596" w:name="_Toc27644"/>
      <w:bookmarkStart w:id="597" w:name="_Toc5063"/>
      <w:bookmarkStart w:id="598" w:name="_Toc259093692"/>
      <w:bookmarkStart w:id="599" w:name="_Toc487900373"/>
      <w:r>
        <w:rPr>
          <w:rFonts w:hint="eastAsia" w:ascii="宋体" w:hAnsi="宋体" w:cs="宋体"/>
          <w:b/>
          <w:color w:val="auto"/>
          <w:sz w:val="24"/>
        </w:rPr>
        <w:t>2.17 合同使用的文字和适用的法律</w:t>
      </w:r>
      <w:bookmarkEnd w:id="592"/>
      <w:bookmarkEnd w:id="593"/>
      <w:bookmarkEnd w:id="594"/>
      <w:bookmarkEnd w:id="595"/>
      <w:bookmarkEnd w:id="596"/>
      <w:bookmarkEnd w:id="597"/>
      <w:bookmarkEnd w:id="598"/>
      <w:bookmarkEnd w:id="599"/>
    </w:p>
    <w:p w14:paraId="4E6E5340">
      <w:pPr>
        <w:spacing w:line="560" w:lineRule="exact"/>
        <w:ind w:firstLine="480" w:firstLineChars="200"/>
        <w:rPr>
          <w:rFonts w:hint="eastAsia" w:ascii="宋体" w:hAnsi="宋体" w:cs="宋体"/>
          <w:color w:val="auto"/>
          <w:sz w:val="24"/>
        </w:rPr>
      </w:pPr>
      <w:r>
        <w:rPr>
          <w:rFonts w:hint="eastAsia" w:ascii="宋体" w:hAnsi="宋体" w:cs="宋体"/>
          <w:color w:val="auto"/>
          <w:sz w:val="24"/>
        </w:rPr>
        <w:t>2.17.1 合同使用</w:t>
      </w:r>
      <w:r>
        <w:rPr>
          <w:rFonts w:hint="eastAsia" w:ascii="宋体" w:hAnsi="宋体" w:cs="宋体"/>
          <w:color w:val="auto"/>
          <w:sz w:val="24"/>
          <w:lang w:val="en-US" w:eastAsia="zh-CN"/>
        </w:rPr>
        <w:t>中文</w:t>
      </w:r>
      <w:r>
        <w:rPr>
          <w:rFonts w:hint="eastAsia" w:ascii="宋体" w:hAnsi="宋体" w:cs="宋体"/>
          <w:color w:val="auto"/>
          <w:sz w:val="24"/>
        </w:rPr>
        <w:t>就、变更和解释；</w:t>
      </w:r>
    </w:p>
    <w:p w14:paraId="3F556854">
      <w:pPr>
        <w:spacing w:line="560" w:lineRule="exact"/>
        <w:ind w:firstLine="480" w:firstLineChars="200"/>
        <w:rPr>
          <w:rFonts w:hint="eastAsia" w:ascii="宋体" w:hAnsi="宋体" w:cs="宋体"/>
          <w:color w:val="auto"/>
          <w:sz w:val="24"/>
        </w:rPr>
      </w:pPr>
      <w:r>
        <w:rPr>
          <w:rFonts w:hint="eastAsia" w:ascii="宋体" w:hAnsi="宋体" w:cs="宋体"/>
          <w:color w:val="auto"/>
          <w:sz w:val="24"/>
        </w:rPr>
        <w:t>2.17.2 合同适用中华人民共和国法律。</w:t>
      </w:r>
    </w:p>
    <w:p w14:paraId="2FB932D1">
      <w:pPr>
        <w:spacing w:line="560" w:lineRule="exact"/>
        <w:ind w:firstLine="482" w:firstLineChars="200"/>
        <w:outlineLvl w:val="0"/>
        <w:rPr>
          <w:rFonts w:hint="eastAsia" w:ascii="宋体" w:hAnsi="宋体" w:cs="宋体"/>
          <w:b/>
          <w:color w:val="auto"/>
          <w:sz w:val="24"/>
        </w:rPr>
      </w:pPr>
      <w:bookmarkStart w:id="600" w:name="_Toc27403"/>
      <w:bookmarkStart w:id="601" w:name="_Toc30096"/>
      <w:bookmarkStart w:id="602" w:name="_Toc279701264"/>
      <w:bookmarkStart w:id="603" w:name="_Toc27127"/>
      <w:bookmarkStart w:id="604" w:name="_Toc22266"/>
      <w:bookmarkStart w:id="605" w:name="_Toc259093693"/>
      <w:bookmarkStart w:id="606" w:name="_Toc1492"/>
      <w:bookmarkStart w:id="607" w:name="_Toc487900374"/>
      <w:r>
        <w:rPr>
          <w:rFonts w:hint="eastAsia" w:ascii="宋体" w:hAnsi="宋体" w:cs="宋体"/>
          <w:b/>
          <w:color w:val="auto"/>
          <w:sz w:val="24"/>
        </w:rPr>
        <w:t>2.18 履约保证金</w:t>
      </w:r>
      <w:bookmarkEnd w:id="600"/>
      <w:bookmarkEnd w:id="601"/>
      <w:bookmarkEnd w:id="602"/>
      <w:bookmarkEnd w:id="603"/>
      <w:bookmarkEnd w:id="604"/>
      <w:bookmarkEnd w:id="605"/>
      <w:bookmarkEnd w:id="606"/>
    </w:p>
    <w:p w14:paraId="4337C3A7">
      <w:pPr>
        <w:spacing w:line="560" w:lineRule="exact"/>
        <w:ind w:firstLine="480" w:firstLineChars="200"/>
        <w:rPr>
          <w:rFonts w:hint="eastAsia" w:ascii="宋体" w:hAnsi="宋体" w:cs="宋体"/>
          <w:color w:val="auto"/>
          <w:sz w:val="24"/>
        </w:rPr>
      </w:pPr>
      <w:r>
        <w:rPr>
          <w:rFonts w:hint="eastAsia" w:ascii="宋体" w:hAnsi="宋体" w:cs="宋体"/>
          <w:color w:val="auto"/>
          <w:sz w:val="24"/>
        </w:rPr>
        <w:t>2.18.1 采购文件要求乙方提交履约保证金的，乙方应按</w:t>
      </w:r>
      <w:r>
        <w:rPr>
          <w:rFonts w:hint="eastAsia" w:ascii="宋体" w:hAnsi="宋体" w:cs="宋体"/>
          <w:b/>
          <w:i/>
          <w:color w:val="auto"/>
          <w:sz w:val="24"/>
          <w:u w:val="single"/>
        </w:rPr>
        <w:t>合同专用条款</w:t>
      </w:r>
      <w:r>
        <w:rPr>
          <w:rFonts w:hint="eastAsia" w:ascii="宋体" w:hAnsi="宋体" w:cs="宋体"/>
          <w:color w:val="auto"/>
          <w:sz w:val="24"/>
        </w:rPr>
        <w:t>约定的方式，以支票、汇票、本票或者金融机构、担保机构出具的保函等非现金形式，提交不超过合同价10%的履约保证金；</w:t>
      </w:r>
    </w:p>
    <w:p w14:paraId="062FBB82">
      <w:pPr>
        <w:spacing w:line="560" w:lineRule="exact"/>
        <w:ind w:firstLine="480" w:firstLineChars="200"/>
        <w:rPr>
          <w:rFonts w:hint="eastAsia" w:ascii="宋体" w:hAnsi="宋体" w:cs="宋体"/>
          <w:color w:val="auto"/>
          <w:sz w:val="24"/>
        </w:rPr>
      </w:pPr>
      <w:r>
        <w:rPr>
          <w:rFonts w:hint="eastAsia" w:ascii="宋体" w:hAnsi="宋体" w:cs="宋体"/>
          <w:color w:val="auto"/>
          <w:sz w:val="24"/>
        </w:rPr>
        <w:t>2.18.2 履约保证金在</w:t>
      </w:r>
      <w:r>
        <w:rPr>
          <w:rFonts w:hint="eastAsia" w:ascii="宋体" w:hAnsi="宋体" w:cs="宋体"/>
          <w:b/>
          <w:i/>
          <w:color w:val="auto"/>
          <w:sz w:val="24"/>
          <w:u w:val="single"/>
        </w:rPr>
        <w:t>合同专用条款</w:t>
      </w:r>
      <w:r>
        <w:rPr>
          <w:rFonts w:hint="eastAsia" w:ascii="宋体" w:hAnsi="宋体" w:cs="宋体"/>
          <w:color w:val="auto"/>
          <w:sz w:val="24"/>
        </w:rPr>
        <w:t>约定期间内不予退还或者应完全有效，前述约定期间届满之日起</w:t>
      </w:r>
      <w:r>
        <w:rPr>
          <w:rFonts w:hint="eastAsia" w:ascii="宋体" w:hAnsi="宋体" w:cs="宋体"/>
          <w:color w:val="auto"/>
          <w:sz w:val="24"/>
          <w:u w:val="single"/>
        </w:rPr>
        <w:t xml:space="preserve">    </w:t>
      </w:r>
      <w:r>
        <w:rPr>
          <w:rFonts w:hint="eastAsia" w:ascii="宋体" w:hAnsi="宋体" w:cs="宋体"/>
          <w:color w:val="auto"/>
          <w:sz w:val="24"/>
        </w:rPr>
        <w:t>个工作日内，甲方应将履约保证金退还乙方；</w:t>
      </w:r>
    </w:p>
    <w:p w14:paraId="1F487695">
      <w:pPr>
        <w:spacing w:line="560" w:lineRule="exact"/>
        <w:ind w:firstLine="480" w:firstLineChars="200"/>
        <w:rPr>
          <w:rFonts w:hint="eastAsia" w:ascii="宋体" w:hAnsi="宋体" w:cs="宋体"/>
          <w:color w:val="auto"/>
          <w:sz w:val="24"/>
        </w:rPr>
      </w:pPr>
      <w:r>
        <w:rPr>
          <w:rFonts w:hint="eastAsia" w:ascii="宋体" w:hAnsi="宋体" w:cs="宋体"/>
          <w:color w:val="auto"/>
          <w:sz w:val="24"/>
        </w:rPr>
        <w:t>2.18.3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607"/>
    <w:p w14:paraId="0A4B29E9">
      <w:pPr>
        <w:spacing w:line="560" w:lineRule="exact"/>
        <w:ind w:firstLine="482" w:firstLineChars="200"/>
        <w:rPr>
          <w:rFonts w:hint="eastAsia" w:ascii="宋体" w:hAnsi="宋体" w:cs="宋体"/>
          <w:b/>
          <w:color w:val="auto"/>
          <w:sz w:val="24"/>
        </w:rPr>
      </w:pPr>
      <w:r>
        <w:rPr>
          <w:rFonts w:hint="eastAsia" w:ascii="宋体" w:hAnsi="宋体" w:cs="宋体"/>
          <w:b/>
          <w:color w:val="auto"/>
          <w:sz w:val="24"/>
        </w:rPr>
        <w:t>2.19 合同份数</w:t>
      </w:r>
    </w:p>
    <w:p w14:paraId="4C5FF8B9">
      <w:pPr>
        <w:spacing w:line="560" w:lineRule="exact"/>
        <w:ind w:firstLine="480" w:firstLineChars="200"/>
        <w:rPr>
          <w:rFonts w:hint="eastAsia" w:ascii="宋体" w:hAnsi="宋体" w:cs="宋体"/>
          <w:color w:val="auto"/>
          <w:sz w:val="24"/>
        </w:rPr>
      </w:pPr>
      <w:r>
        <w:rPr>
          <w:rFonts w:hint="eastAsia" w:ascii="宋体" w:hAnsi="宋体" w:cs="宋体"/>
          <w:color w:val="auto"/>
          <w:sz w:val="24"/>
        </w:rPr>
        <w:t>合同份数按</w:t>
      </w:r>
      <w:r>
        <w:rPr>
          <w:rFonts w:hint="eastAsia" w:ascii="宋体" w:hAnsi="宋体" w:cs="宋体"/>
          <w:b/>
          <w:i/>
          <w:color w:val="auto"/>
          <w:sz w:val="24"/>
          <w:u w:val="single"/>
        </w:rPr>
        <w:t>合同专用条款</w:t>
      </w:r>
      <w:r>
        <w:rPr>
          <w:rFonts w:hint="eastAsia" w:ascii="宋体" w:hAnsi="宋体" w:cs="宋体"/>
          <w:color w:val="auto"/>
          <w:sz w:val="24"/>
        </w:rPr>
        <w:t>规定，每份均具有同等法律效力。</w:t>
      </w:r>
    </w:p>
    <w:p w14:paraId="1CDA0877">
      <w:pPr>
        <w:pStyle w:val="68"/>
        <w:spacing w:line="560" w:lineRule="exact"/>
        <w:ind w:firstLine="0"/>
        <w:jc w:val="center"/>
        <w:rPr>
          <w:rFonts w:hint="eastAsia" w:hAnsi="宋体" w:cs="宋体"/>
          <w:b/>
          <w:color w:val="auto"/>
          <w:szCs w:val="24"/>
        </w:rPr>
      </w:pPr>
      <w:r>
        <w:rPr>
          <w:rFonts w:hint="eastAsia" w:hAnsi="宋体" w:cs="宋体"/>
          <w:color w:val="auto"/>
          <w:szCs w:val="24"/>
        </w:rPr>
        <w:br w:type="page"/>
      </w:r>
      <w:bookmarkStart w:id="608" w:name="_Toc331685784"/>
      <w:r>
        <w:rPr>
          <w:rFonts w:hint="eastAsia" w:hAnsi="宋体" w:cs="宋体"/>
          <w:b/>
          <w:color w:val="auto"/>
          <w:szCs w:val="24"/>
        </w:rPr>
        <w:t>第三部分  合同专用条款</w:t>
      </w:r>
      <w:bookmarkEnd w:id="608"/>
    </w:p>
    <w:p w14:paraId="01540D40">
      <w:pPr>
        <w:spacing w:line="560" w:lineRule="exact"/>
        <w:ind w:firstLine="480" w:firstLineChars="200"/>
        <w:rPr>
          <w:rFonts w:hint="eastAsia" w:ascii="宋体" w:hAnsi="宋体" w:cs="宋体"/>
          <w:color w:val="auto"/>
          <w:sz w:val="24"/>
        </w:rPr>
      </w:pPr>
      <w:r>
        <w:rPr>
          <w:rFonts w:hint="eastAsia" w:ascii="宋体" w:hAnsi="宋体" w:cs="宋体"/>
          <w:color w:val="auto"/>
          <w:sz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37"/>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14:paraId="085CCD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801" w:type="dxa"/>
            <w:tcBorders>
              <w:left w:val="single" w:color="auto" w:sz="4" w:space="0"/>
            </w:tcBorders>
            <w:noWrap w:val="0"/>
            <w:vAlign w:val="center"/>
          </w:tcPr>
          <w:p w14:paraId="497A02D4">
            <w:pPr>
              <w:spacing w:line="560" w:lineRule="exact"/>
              <w:jc w:val="center"/>
              <w:rPr>
                <w:rFonts w:hint="eastAsia" w:ascii="宋体" w:hAnsi="宋体" w:cs="宋体"/>
                <w:b/>
                <w:color w:val="auto"/>
                <w:sz w:val="24"/>
              </w:rPr>
            </w:pPr>
            <w:r>
              <w:rPr>
                <w:rFonts w:hint="eastAsia" w:ascii="宋体" w:hAnsi="宋体" w:cs="宋体"/>
                <w:b/>
                <w:color w:val="auto"/>
                <w:sz w:val="24"/>
              </w:rPr>
              <w:t>条款号</w:t>
            </w:r>
          </w:p>
        </w:tc>
        <w:tc>
          <w:tcPr>
            <w:tcW w:w="7633" w:type="dxa"/>
            <w:noWrap w:val="0"/>
            <w:vAlign w:val="center"/>
          </w:tcPr>
          <w:p w14:paraId="10795DFA">
            <w:pPr>
              <w:spacing w:line="560" w:lineRule="exact"/>
              <w:jc w:val="center"/>
              <w:rPr>
                <w:rFonts w:hint="eastAsia" w:ascii="宋体" w:hAnsi="宋体" w:cs="宋体"/>
                <w:b/>
                <w:color w:val="auto"/>
                <w:sz w:val="24"/>
              </w:rPr>
            </w:pPr>
            <w:r>
              <w:rPr>
                <w:rFonts w:hint="eastAsia" w:ascii="宋体" w:hAnsi="宋体" w:cs="宋体"/>
                <w:b/>
                <w:color w:val="auto"/>
                <w:sz w:val="24"/>
              </w:rPr>
              <w:t>约定内容</w:t>
            </w:r>
          </w:p>
        </w:tc>
      </w:tr>
      <w:tr w14:paraId="69DD94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01" w:type="dxa"/>
            <w:tcBorders>
              <w:left w:val="single" w:color="auto" w:sz="4" w:space="0"/>
            </w:tcBorders>
            <w:noWrap w:val="0"/>
            <w:vAlign w:val="center"/>
          </w:tcPr>
          <w:p w14:paraId="288B6CC7">
            <w:pPr>
              <w:spacing w:line="560" w:lineRule="exact"/>
              <w:rPr>
                <w:rFonts w:hint="eastAsia" w:ascii="宋体" w:hAnsi="宋体" w:cs="宋体"/>
                <w:color w:val="auto"/>
                <w:sz w:val="24"/>
              </w:rPr>
            </w:pPr>
          </w:p>
        </w:tc>
        <w:tc>
          <w:tcPr>
            <w:tcW w:w="7633" w:type="dxa"/>
            <w:noWrap w:val="0"/>
            <w:vAlign w:val="center"/>
          </w:tcPr>
          <w:p w14:paraId="23ACE163">
            <w:pPr>
              <w:spacing w:line="560" w:lineRule="exact"/>
              <w:rPr>
                <w:rFonts w:hint="eastAsia" w:ascii="宋体" w:hAnsi="宋体" w:cs="宋体"/>
                <w:color w:val="auto"/>
                <w:sz w:val="24"/>
              </w:rPr>
            </w:pPr>
          </w:p>
        </w:tc>
      </w:tr>
      <w:tr w14:paraId="2883FD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14:paraId="4D83F21B">
            <w:pPr>
              <w:spacing w:line="560" w:lineRule="exact"/>
              <w:rPr>
                <w:rFonts w:hint="eastAsia" w:ascii="宋体" w:hAnsi="宋体" w:cs="宋体"/>
                <w:color w:val="auto"/>
                <w:sz w:val="24"/>
              </w:rPr>
            </w:pPr>
          </w:p>
        </w:tc>
        <w:tc>
          <w:tcPr>
            <w:tcW w:w="7633" w:type="dxa"/>
            <w:noWrap w:val="0"/>
            <w:vAlign w:val="center"/>
          </w:tcPr>
          <w:p w14:paraId="63FD2669">
            <w:pPr>
              <w:spacing w:line="560" w:lineRule="exact"/>
              <w:rPr>
                <w:rFonts w:hint="eastAsia" w:ascii="宋体" w:hAnsi="宋体" w:cs="宋体"/>
                <w:color w:val="auto"/>
                <w:sz w:val="24"/>
              </w:rPr>
            </w:pPr>
          </w:p>
        </w:tc>
      </w:tr>
      <w:tr w14:paraId="7ADF1D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14:paraId="09407F4C">
            <w:pPr>
              <w:spacing w:line="560" w:lineRule="exact"/>
              <w:rPr>
                <w:rFonts w:hint="eastAsia" w:ascii="宋体" w:hAnsi="宋体" w:cs="宋体"/>
                <w:color w:val="auto"/>
                <w:sz w:val="24"/>
              </w:rPr>
            </w:pPr>
          </w:p>
        </w:tc>
        <w:tc>
          <w:tcPr>
            <w:tcW w:w="7633" w:type="dxa"/>
            <w:noWrap w:val="0"/>
            <w:vAlign w:val="center"/>
          </w:tcPr>
          <w:p w14:paraId="1CFA1042">
            <w:pPr>
              <w:spacing w:line="560" w:lineRule="exact"/>
              <w:rPr>
                <w:rFonts w:hint="eastAsia" w:ascii="宋体" w:hAnsi="宋体" w:cs="宋体"/>
                <w:color w:val="auto"/>
                <w:sz w:val="24"/>
              </w:rPr>
            </w:pPr>
          </w:p>
        </w:tc>
      </w:tr>
      <w:tr w14:paraId="2478E5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14:paraId="04A2E673">
            <w:pPr>
              <w:spacing w:line="560" w:lineRule="exact"/>
              <w:rPr>
                <w:rFonts w:hint="eastAsia" w:ascii="宋体" w:hAnsi="宋体" w:cs="宋体"/>
                <w:color w:val="auto"/>
                <w:sz w:val="24"/>
              </w:rPr>
            </w:pPr>
          </w:p>
        </w:tc>
        <w:tc>
          <w:tcPr>
            <w:tcW w:w="7633" w:type="dxa"/>
            <w:noWrap w:val="0"/>
            <w:vAlign w:val="center"/>
          </w:tcPr>
          <w:p w14:paraId="4BD76311">
            <w:pPr>
              <w:spacing w:line="560" w:lineRule="exact"/>
              <w:rPr>
                <w:rFonts w:hint="eastAsia" w:ascii="宋体" w:hAnsi="宋体" w:cs="宋体"/>
                <w:color w:val="auto"/>
                <w:sz w:val="24"/>
              </w:rPr>
            </w:pPr>
          </w:p>
        </w:tc>
      </w:tr>
      <w:tr w14:paraId="3F89AA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14:paraId="37095545">
            <w:pPr>
              <w:spacing w:line="560" w:lineRule="exact"/>
              <w:rPr>
                <w:rFonts w:hint="eastAsia" w:ascii="宋体" w:hAnsi="宋体" w:cs="宋体"/>
                <w:color w:val="auto"/>
                <w:sz w:val="24"/>
              </w:rPr>
            </w:pPr>
          </w:p>
        </w:tc>
        <w:tc>
          <w:tcPr>
            <w:tcW w:w="7633" w:type="dxa"/>
            <w:noWrap w:val="0"/>
            <w:vAlign w:val="center"/>
          </w:tcPr>
          <w:p w14:paraId="5FDB8682">
            <w:pPr>
              <w:spacing w:line="560" w:lineRule="exact"/>
              <w:rPr>
                <w:rFonts w:hint="eastAsia" w:ascii="宋体" w:hAnsi="宋体" w:cs="宋体"/>
                <w:color w:val="auto"/>
                <w:sz w:val="24"/>
                <w:u w:val="single"/>
              </w:rPr>
            </w:pPr>
          </w:p>
        </w:tc>
      </w:tr>
      <w:tr w14:paraId="150692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14:paraId="297E31C9">
            <w:pPr>
              <w:spacing w:line="560" w:lineRule="exact"/>
              <w:rPr>
                <w:rFonts w:hint="eastAsia" w:ascii="宋体" w:hAnsi="宋体" w:cs="宋体"/>
                <w:color w:val="auto"/>
                <w:sz w:val="24"/>
              </w:rPr>
            </w:pPr>
          </w:p>
        </w:tc>
        <w:tc>
          <w:tcPr>
            <w:tcW w:w="7633" w:type="dxa"/>
            <w:noWrap w:val="0"/>
            <w:vAlign w:val="center"/>
          </w:tcPr>
          <w:p w14:paraId="3A977519">
            <w:pPr>
              <w:spacing w:line="560" w:lineRule="exact"/>
              <w:rPr>
                <w:rFonts w:hint="eastAsia" w:ascii="宋体" w:hAnsi="宋体" w:cs="宋体"/>
                <w:color w:val="auto"/>
                <w:sz w:val="24"/>
              </w:rPr>
            </w:pPr>
          </w:p>
        </w:tc>
      </w:tr>
      <w:tr w14:paraId="7E44C9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14:paraId="5CD7B453">
            <w:pPr>
              <w:spacing w:line="560" w:lineRule="exact"/>
              <w:rPr>
                <w:rFonts w:hint="eastAsia" w:ascii="宋体" w:hAnsi="宋体" w:cs="宋体"/>
                <w:color w:val="auto"/>
                <w:sz w:val="24"/>
              </w:rPr>
            </w:pPr>
          </w:p>
        </w:tc>
        <w:tc>
          <w:tcPr>
            <w:tcW w:w="7633" w:type="dxa"/>
            <w:noWrap w:val="0"/>
            <w:vAlign w:val="center"/>
          </w:tcPr>
          <w:p w14:paraId="5C20CBE8">
            <w:pPr>
              <w:spacing w:line="560" w:lineRule="exact"/>
              <w:rPr>
                <w:rFonts w:hint="eastAsia" w:ascii="宋体" w:hAnsi="宋体" w:cs="宋体"/>
                <w:color w:val="auto"/>
                <w:sz w:val="24"/>
                <w:u w:val="single"/>
              </w:rPr>
            </w:pPr>
          </w:p>
        </w:tc>
      </w:tr>
      <w:tr w14:paraId="2A6DC7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14:paraId="61CF2C4A">
            <w:pPr>
              <w:spacing w:line="560" w:lineRule="exact"/>
              <w:rPr>
                <w:rFonts w:hint="eastAsia" w:ascii="宋体" w:hAnsi="宋体" w:cs="宋体"/>
                <w:color w:val="auto"/>
                <w:sz w:val="24"/>
              </w:rPr>
            </w:pPr>
          </w:p>
        </w:tc>
        <w:tc>
          <w:tcPr>
            <w:tcW w:w="7633" w:type="dxa"/>
            <w:noWrap w:val="0"/>
            <w:vAlign w:val="center"/>
          </w:tcPr>
          <w:p w14:paraId="4FC7FBDB">
            <w:pPr>
              <w:spacing w:line="560" w:lineRule="exact"/>
              <w:rPr>
                <w:rFonts w:hint="eastAsia" w:ascii="宋体" w:hAnsi="宋体" w:cs="宋体"/>
                <w:color w:val="auto"/>
                <w:sz w:val="24"/>
              </w:rPr>
            </w:pPr>
          </w:p>
        </w:tc>
      </w:tr>
      <w:tr w14:paraId="7493EF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14:paraId="5A4DDEBC">
            <w:pPr>
              <w:spacing w:line="560" w:lineRule="exact"/>
              <w:rPr>
                <w:rFonts w:hint="eastAsia" w:ascii="宋体" w:hAnsi="宋体" w:cs="宋体"/>
                <w:color w:val="auto"/>
                <w:sz w:val="24"/>
              </w:rPr>
            </w:pPr>
          </w:p>
        </w:tc>
        <w:tc>
          <w:tcPr>
            <w:tcW w:w="7633" w:type="dxa"/>
            <w:noWrap w:val="0"/>
            <w:vAlign w:val="center"/>
          </w:tcPr>
          <w:p w14:paraId="45F11EEB">
            <w:pPr>
              <w:spacing w:line="560" w:lineRule="exact"/>
              <w:rPr>
                <w:rFonts w:hint="eastAsia" w:ascii="宋体" w:hAnsi="宋体" w:cs="宋体"/>
                <w:color w:val="auto"/>
                <w:sz w:val="24"/>
              </w:rPr>
            </w:pPr>
          </w:p>
        </w:tc>
      </w:tr>
      <w:tr w14:paraId="038BFD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14:paraId="301E1FA6">
            <w:pPr>
              <w:spacing w:line="560" w:lineRule="exact"/>
              <w:rPr>
                <w:rFonts w:hint="eastAsia" w:ascii="宋体" w:hAnsi="宋体" w:cs="宋体"/>
                <w:color w:val="auto"/>
                <w:sz w:val="24"/>
              </w:rPr>
            </w:pPr>
          </w:p>
        </w:tc>
        <w:tc>
          <w:tcPr>
            <w:tcW w:w="7633" w:type="dxa"/>
            <w:noWrap w:val="0"/>
            <w:vAlign w:val="center"/>
          </w:tcPr>
          <w:p w14:paraId="7B16012A">
            <w:pPr>
              <w:spacing w:line="560" w:lineRule="exact"/>
              <w:rPr>
                <w:rFonts w:hint="eastAsia" w:ascii="宋体" w:hAnsi="宋体" w:cs="宋体"/>
                <w:color w:val="auto"/>
                <w:sz w:val="24"/>
              </w:rPr>
            </w:pPr>
          </w:p>
        </w:tc>
      </w:tr>
      <w:tr w14:paraId="25D8C2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14:paraId="59DCFD7E">
            <w:pPr>
              <w:spacing w:line="560" w:lineRule="exact"/>
              <w:rPr>
                <w:rFonts w:hint="eastAsia" w:ascii="宋体" w:hAnsi="宋体" w:cs="宋体"/>
                <w:color w:val="auto"/>
                <w:sz w:val="24"/>
              </w:rPr>
            </w:pPr>
          </w:p>
        </w:tc>
        <w:tc>
          <w:tcPr>
            <w:tcW w:w="7633" w:type="dxa"/>
            <w:noWrap w:val="0"/>
            <w:vAlign w:val="center"/>
          </w:tcPr>
          <w:p w14:paraId="2EE4D43A">
            <w:pPr>
              <w:spacing w:line="560" w:lineRule="exact"/>
              <w:rPr>
                <w:rFonts w:hint="eastAsia" w:ascii="宋体" w:hAnsi="宋体" w:cs="宋体"/>
                <w:color w:val="auto"/>
                <w:sz w:val="24"/>
              </w:rPr>
            </w:pPr>
          </w:p>
        </w:tc>
      </w:tr>
      <w:tr w14:paraId="5E1EC3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14:paraId="1DB7A3B6">
            <w:pPr>
              <w:spacing w:line="560" w:lineRule="exact"/>
              <w:rPr>
                <w:rFonts w:hint="eastAsia" w:ascii="宋体" w:hAnsi="宋体" w:cs="宋体"/>
                <w:color w:val="auto"/>
                <w:sz w:val="24"/>
              </w:rPr>
            </w:pPr>
          </w:p>
        </w:tc>
        <w:tc>
          <w:tcPr>
            <w:tcW w:w="7633" w:type="dxa"/>
            <w:noWrap w:val="0"/>
            <w:vAlign w:val="center"/>
          </w:tcPr>
          <w:p w14:paraId="486288B6">
            <w:pPr>
              <w:spacing w:line="560" w:lineRule="exact"/>
              <w:rPr>
                <w:rFonts w:hint="eastAsia" w:ascii="宋体" w:hAnsi="宋体" w:cs="宋体"/>
                <w:color w:val="auto"/>
                <w:sz w:val="24"/>
              </w:rPr>
            </w:pPr>
          </w:p>
        </w:tc>
      </w:tr>
    </w:tbl>
    <w:p w14:paraId="6AAD0AB0">
      <w:pPr>
        <w:spacing w:after="156" w:line="560" w:lineRule="exact"/>
        <w:ind w:firstLine="480"/>
        <w:rPr>
          <w:rFonts w:hint="eastAsia" w:ascii="宋体" w:hAnsi="宋体" w:cs="宋体"/>
          <w:color w:val="auto"/>
        </w:rPr>
      </w:pPr>
    </w:p>
    <w:p w14:paraId="7157C34F">
      <w:pPr>
        <w:pStyle w:val="3"/>
        <w:spacing w:before="0" w:line="240" w:lineRule="atLeast"/>
        <w:ind w:left="1080" w:leftChars="257" w:hanging="540"/>
        <w:rPr>
          <w:rFonts w:hint="eastAsia" w:ascii="宋体" w:hAnsi="宋体" w:eastAsia="宋体" w:cs="宋体"/>
          <w:color w:val="auto"/>
          <w:sz w:val="24"/>
        </w:rPr>
      </w:pPr>
    </w:p>
    <w:p w14:paraId="36320F2F">
      <w:pPr>
        <w:rPr>
          <w:rFonts w:hint="eastAsia" w:ascii="宋体" w:hAnsi="宋体" w:cs="宋体"/>
          <w:color w:val="auto"/>
        </w:rPr>
      </w:pPr>
    </w:p>
    <w:p w14:paraId="1B9DBC30">
      <w:pPr>
        <w:pStyle w:val="4"/>
        <w:spacing w:line="240" w:lineRule="atLeast"/>
        <w:ind w:firstLine="0"/>
        <w:rPr>
          <w:rFonts w:hint="eastAsia" w:hAnsi="宋体" w:cs="宋体"/>
          <w:color w:val="auto"/>
          <w:sz w:val="28"/>
        </w:rPr>
      </w:pPr>
    </w:p>
    <w:p w14:paraId="35435282">
      <w:pPr>
        <w:pStyle w:val="11"/>
        <w:keepNext w:val="0"/>
        <w:keepLines w:val="0"/>
        <w:pageBreakBefore w:val="0"/>
        <w:tabs>
          <w:tab w:val="left" w:pos="3623"/>
          <w:tab w:val="left" w:pos="4703"/>
          <w:tab w:val="left" w:pos="5603"/>
          <w:tab w:val="clear" w:pos="567"/>
        </w:tabs>
        <w:kinsoku/>
        <w:wordWrap/>
        <w:overflowPunct/>
        <w:topLinePunct w:val="0"/>
        <w:bidi w:val="0"/>
        <w:snapToGrid/>
        <w:spacing w:before="0" w:line="306" w:lineRule="exact"/>
        <w:ind w:left="0" w:leftChars="0" w:right="0" w:rightChars="0"/>
        <w:textAlignment w:val="auto"/>
        <w:rPr>
          <w:rFonts w:hint="eastAsia" w:ascii="宋体" w:hAnsi="宋体" w:eastAsia="宋体" w:cs="宋体"/>
          <w:color w:val="auto"/>
          <w:sz w:val="28"/>
          <w:highlight w:val="none"/>
        </w:rPr>
      </w:pPr>
    </w:p>
    <w:sectPr>
      <w:headerReference r:id="rId18" w:type="default"/>
      <w:footerReference r:id="rId19" w:type="default"/>
      <w:pgSz w:w="11907" w:h="16840"/>
      <w:pgMar w:top="1474" w:right="1814" w:bottom="1474" w:left="1814" w:header="851" w:footer="851" w:gutter="0"/>
      <w:pgBorders>
        <w:top w:val="none" w:sz="0" w:space="0"/>
        <w:left w:val="none" w:sz="0" w:space="0"/>
        <w:bottom w:val="none" w:sz="0" w:space="0"/>
        <w:right w:val="none" w:sz="0" w:space="0"/>
      </w:pgBorders>
      <w:pgNumType w:fmt="decimal"/>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1058DA99-F2BC-498F-91F4-E8084A249FD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2" w:fontKey="{9E2A8FF1-2287-483F-9E21-F9F5DF550380}"/>
  </w:font>
  <w:font w:name="微软雅黑">
    <w:panose1 w:val="020B0503020204020204"/>
    <w:charset w:val="86"/>
    <w:family w:val="auto"/>
    <w:pitch w:val="default"/>
    <w:sig w:usb0="80000287" w:usb1="2ACF3C50" w:usb2="00000016" w:usb3="00000000" w:csb0="0004001F" w:csb1="00000000"/>
    <w:embedRegular r:id="rId3" w:fontKey="{48102A21-A654-4C62-A92E-661BC622B5FB}"/>
  </w:font>
  <w:font w:name="方正仿宋_GB2312">
    <w:panose1 w:val="02000000000000000000"/>
    <w:charset w:val="86"/>
    <w:family w:val="auto"/>
    <w:pitch w:val="default"/>
    <w:sig w:usb0="A00002BF" w:usb1="184F6CFA" w:usb2="00000012" w:usb3="00000000" w:csb0="00040001" w:csb1="00000000"/>
    <w:embedRegular r:id="rId4" w:fontKey="{5CC80AB4-A166-40AA-BA1B-2AC4F803D916}"/>
  </w:font>
  <w:font w:name="WPSEMBED1">
    <w:panose1 w:val="02000000000000000000"/>
    <w:charset w:val="86"/>
    <w:family w:val="auto"/>
    <w:pitch w:val="default"/>
    <w:sig w:usb0="A00002BF" w:usb1="184F6CFA" w:usb2="00000012"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0A3413">
    <w:pPr>
      <w:pStyle w:val="22"/>
      <w:ind w:right="360" w:firstLine="360"/>
      <w:jc w:val="right"/>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840FBE">
    <w:pPr>
      <w:pStyle w:val="22"/>
      <w:ind w:right="360"/>
      <w:jc w:val="both"/>
      <w:rPr>
        <w:color w:val="FF0000"/>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E73448A">
                          <w:pPr>
                            <w:pStyle w:val="2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2E73448A">
                    <w:pPr>
                      <w:pStyle w:val="2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8405BA">
    <w:pPr>
      <w:pStyle w:val="22"/>
      <w:ind w:right="360" w:firstLine="360"/>
      <w:jc w:val="right"/>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44A447">
                          <w:pPr>
                            <w:pStyle w:val="22"/>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D44A447">
                    <w:pPr>
                      <w:pStyle w:val="22"/>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06C4A5">
    <w:pPr>
      <w:pStyle w:val="22"/>
      <w:framePr w:wrap="around" w:vAnchor="text" w:hAnchor="margin" w:xAlign="center" w:y="1"/>
      <w:rPr>
        <w:rStyle w:val="41"/>
      </w:rPr>
    </w:pPr>
    <w:r>
      <w:fldChar w:fldCharType="begin"/>
    </w:r>
    <w:r>
      <w:rPr>
        <w:rStyle w:val="41"/>
      </w:rPr>
      <w:instrText xml:space="preserve">PAGE  </w:instrText>
    </w:r>
    <w:r>
      <w:fldChar w:fldCharType="end"/>
    </w:r>
  </w:p>
  <w:p w14:paraId="690F6A35">
    <w:pPr>
      <w:pStyle w:val="2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DB7FC3">
    <w:pPr>
      <w:pStyle w:val="22"/>
      <w:jc w:val="both"/>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F4F98A">
                          <w:pPr>
                            <w:pStyle w:val="22"/>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0F4F98A">
                    <w:pPr>
                      <w:pStyle w:val="22"/>
                    </w:pPr>
                    <w:r>
                      <w:fldChar w:fldCharType="begin"/>
                    </w:r>
                    <w:r>
                      <w:instrText xml:space="preserve"> PAGE  \* MERGEFORMAT </w:instrText>
                    </w:r>
                    <w:r>
                      <w:fldChar w:fldCharType="separate"/>
                    </w:r>
                    <w:r>
                      <w:t>38</w:t>
                    </w:r>
                    <w:r>
                      <w:fldChar w:fldCharType="end"/>
                    </w:r>
                  </w:p>
                </w:txbxContent>
              </v:textbox>
            </v:shape>
          </w:pict>
        </mc:Fallback>
      </mc:AlternateContent>
    </w:r>
  </w:p>
  <w:p w14:paraId="71E18D91">
    <w:pPr>
      <w:pStyle w:val="22"/>
      <w:ind w:right="360"/>
      <w:jc w:val="right"/>
      <w:rPr>
        <w:rFonts w:hint="eastAsi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791D46">
    <w:pPr>
      <w:pStyle w:val="22"/>
      <w:jc w:val="cente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B5F14D">
                          <w:pPr>
                            <w:pStyle w:val="22"/>
                          </w:pPr>
                          <w:r>
                            <w:fldChar w:fldCharType="begin"/>
                          </w:r>
                          <w:r>
                            <w:instrText xml:space="preserve"> PAGE  \* MERGEFORMAT </w:instrText>
                          </w:r>
                          <w:r>
                            <w:fldChar w:fldCharType="separate"/>
                          </w:r>
                          <w:r>
                            <w:t>46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14:paraId="01B5F14D">
                    <w:pPr>
                      <w:pStyle w:val="22"/>
                    </w:pPr>
                    <w:r>
                      <w:fldChar w:fldCharType="begin"/>
                    </w:r>
                    <w:r>
                      <w:instrText xml:space="preserve"> PAGE  \* MERGEFORMAT </w:instrText>
                    </w:r>
                    <w:r>
                      <w:fldChar w:fldCharType="separate"/>
                    </w:r>
                    <w:r>
                      <w:t>46</w:t>
                    </w:r>
                    <w:r>
                      <w:fldChar w:fldCharType="end"/>
                    </w:r>
                  </w:p>
                </w:txbxContent>
              </v:textbox>
            </v:shape>
          </w:pict>
        </mc:Fallback>
      </mc:AlternateContent>
    </w:r>
  </w:p>
  <w:p w14:paraId="4430EBCE">
    <w:pPr>
      <w:pStyle w:val="22"/>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80953F">
    <w:pPr>
      <w:pStyle w:val="22"/>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35F2C7">
    <w:pPr>
      <w:pStyle w:val="22"/>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9A796">
    <w:pPr>
      <w:pStyle w:val="22"/>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07A590">
                          <w:pPr>
                            <w:pStyle w:val="22"/>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6A07A590">
                    <w:pPr>
                      <w:pStyle w:val="22"/>
                    </w:pPr>
                    <w:r>
                      <w:fldChar w:fldCharType="begin"/>
                    </w:r>
                    <w:r>
                      <w:instrText xml:space="preserve"> PAGE  \* MERGEFORMAT </w:instrText>
                    </w:r>
                    <w:r>
                      <w:fldChar w:fldCharType="separate"/>
                    </w:r>
                    <w:r>
                      <w:t>47</w:t>
                    </w:r>
                    <w:r>
                      <w:fldChar w:fldCharType="end"/>
                    </w:r>
                  </w:p>
                </w:txbxContent>
              </v:textbox>
            </v:shape>
          </w:pict>
        </mc:Fallback>
      </mc:AlternateContent>
    </w:r>
  </w:p>
  <w:p w14:paraId="59F509F3">
    <w:pPr>
      <w:pStyle w:val="22"/>
      <w:ind w:right="360"/>
      <w:jc w:val="right"/>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5D0BD9">
    <w:pPr>
      <w:pStyle w:val="2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951838">
    <w:pPr>
      <w:pStyle w:val="2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8A488B">
    <w:pPr>
      <w:pStyle w:val="23"/>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FEE8CF">
    <w:pPr>
      <w:pStyle w:val="11"/>
      <w:spacing w:line="14" w:lineRule="auto"/>
      <w:rPr>
        <w:sz w:val="20"/>
      </w:rPr>
    </w:pPr>
    <w:r>
      <mc:AlternateContent>
        <mc:Choice Requires="wps">
          <w:drawing>
            <wp:anchor distT="0" distB="0" distL="114300" distR="114300" simplePos="0" relativeHeight="251667456" behindDoc="1" locked="0" layoutInCell="1" allowOverlap="1">
              <wp:simplePos x="0" y="0"/>
              <wp:positionH relativeFrom="page">
                <wp:posOffset>1239520</wp:posOffset>
              </wp:positionH>
              <wp:positionV relativeFrom="page">
                <wp:posOffset>547370</wp:posOffset>
              </wp:positionV>
              <wp:extent cx="1090930" cy="158115"/>
              <wp:effectExtent l="0" t="0" r="0" b="0"/>
              <wp:wrapNone/>
              <wp:docPr id="51" name="文本框 36"/>
              <wp:cNvGraphicFramePr/>
              <a:graphic xmlns:a="http://schemas.openxmlformats.org/drawingml/2006/main">
                <a:graphicData uri="http://schemas.microsoft.com/office/word/2010/wordprocessingShape">
                  <wps:wsp>
                    <wps:cNvSpPr txBox="1"/>
                    <wps:spPr>
                      <a:xfrm>
                        <a:off x="0" y="0"/>
                        <a:ext cx="1090930" cy="158115"/>
                      </a:xfrm>
                      <a:prstGeom prst="rect">
                        <a:avLst/>
                      </a:prstGeom>
                      <a:noFill/>
                      <a:ln>
                        <a:noFill/>
                      </a:ln>
                    </wps:spPr>
                    <wps:txbx>
                      <w:txbxContent>
                        <w:p w14:paraId="19471ECE">
                          <w:pPr>
                            <w:tabs>
                              <w:tab w:val="left" w:pos="859"/>
                            </w:tabs>
                            <w:spacing w:line="249" w:lineRule="exact"/>
                            <w:ind w:left="20"/>
                            <w:rPr>
                              <w:sz w:val="21"/>
                            </w:rPr>
                          </w:pPr>
                        </w:p>
                        <w:p w14:paraId="61A98A4C">
                          <w:pPr>
                            <w:pStyle w:val="36"/>
                            <w:ind w:firstLine="440"/>
                          </w:pPr>
                        </w:p>
                      </w:txbxContent>
                    </wps:txbx>
                    <wps:bodyPr lIns="0" tIns="0" rIns="0" bIns="0" upright="1"/>
                  </wps:wsp>
                </a:graphicData>
              </a:graphic>
            </wp:anchor>
          </w:drawing>
        </mc:Choice>
        <mc:Fallback>
          <w:pict>
            <v:shape id="文本框 36" o:spid="_x0000_s1026" o:spt="202" type="#_x0000_t202" style="position:absolute;left:0pt;margin-left:97.6pt;margin-top:43.1pt;height:12.45pt;width:85.9pt;mso-position-horizontal-relative:page;mso-position-vertical-relative:page;z-index:-251649024;mso-width-relative:page;mso-height-relative:page;" filled="f" stroked="f" coordsize="21600,21600" o:gfxdata="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d88YsdYAAAAKAQAADwAAAAAAAAABACAAAAAiAAAAZHJzL2Rvd25yZXYueG1sUEsBAhQA&#10;FAAAAAgAh07iQF77PuW7AQAAdAMAAA4AAAAAAAAAAQAgAAAAJQEAAGRycy9lMm9Eb2MueG1sUEsF&#10;BgAAAAAGAAYAWQEAAFIFAAAAAA==&#10;">
              <v:fill on="f" focussize="0,0"/>
              <v:stroke on="f"/>
              <v:imagedata o:title=""/>
              <o:lock v:ext="edit" aspectratio="f"/>
              <v:textbox inset="0mm,0mm,0mm,0mm">
                <w:txbxContent>
                  <w:p w14:paraId="19471ECE">
                    <w:pPr>
                      <w:tabs>
                        <w:tab w:val="left" w:pos="859"/>
                      </w:tabs>
                      <w:spacing w:line="249" w:lineRule="exact"/>
                      <w:ind w:left="20"/>
                      <w:rPr>
                        <w:sz w:val="21"/>
                      </w:rPr>
                    </w:pPr>
                  </w:p>
                  <w:p w14:paraId="61A98A4C">
                    <w:pPr>
                      <w:pStyle w:val="36"/>
                      <w:ind w:firstLine="440"/>
                    </w:pPr>
                  </w:p>
                </w:txbxContent>
              </v:textbox>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DF0E30">
    <w:pPr>
      <w:pStyle w:val="23"/>
      <w:pBdr>
        <w:bottom w:val="none" w:color="auto" w:sz="0" w:space="0"/>
      </w:pBdr>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F47D1">
    <w:pPr>
      <w:pStyle w:val="23"/>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ADB38D">
    <w:pPr>
      <w:pStyle w:val="23"/>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9568F0">
    <w:pPr>
      <w:pStyle w:val="23"/>
      <w:pBdr>
        <w:bottom w:val="none" w:color="auto" w:sz="0" w:space="0"/>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1D106B"/>
    <w:multiLevelType w:val="singleLevel"/>
    <w:tmpl w:val="071D106B"/>
    <w:lvl w:ilvl="0" w:tentative="0">
      <w:start w:val="2"/>
      <w:numFmt w:val="chineseCounting"/>
      <w:suff w:val="space"/>
      <w:lvlText w:val="第%1部分"/>
      <w:lvlJc w:val="left"/>
      <w:rPr>
        <w:rFonts w:hint="eastAsia"/>
      </w:rPr>
    </w:lvl>
  </w:abstractNum>
  <w:abstractNum w:abstractNumId="1">
    <w:nsid w:val="0FF9642E"/>
    <w:multiLevelType w:val="multilevel"/>
    <w:tmpl w:val="0FF9642E"/>
    <w:lvl w:ilvl="0" w:tentative="0">
      <w:start w:val="1"/>
      <w:numFmt w:val="decimal"/>
      <w:lvlText w:val="第%1章"/>
      <w:lvlJc w:val="left"/>
      <w:pPr>
        <w:tabs>
          <w:tab w:val="left" w:pos="3134"/>
        </w:tabs>
        <w:ind w:left="4650" w:hanging="1290"/>
      </w:pPr>
      <w:rPr>
        <w:rFonts w:hint="default"/>
        <w:b/>
        <w:lang w:val="en-US"/>
      </w:rPr>
    </w:lvl>
    <w:lvl w:ilvl="1" w:tentative="0">
      <w:start w:val="1"/>
      <w:numFmt w:val="lowerLetter"/>
      <w:lvlText w:val="%2)"/>
      <w:lvlJc w:val="left"/>
      <w:pPr>
        <w:tabs>
          <w:tab w:val="left" w:pos="1380"/>
        </w:tabs>
        <w:ind w:left="2804" w:hanging="420"/>
      </w:pPr>
      <w:rPr>
        <w:rFonts w:hint="eastAsia"/>
      </w:rPr>
    </w:lvl>
    <w:lvl w:ilvl="2" w:tentative="0">
      <w:start w:val="1"/>
      <w:numFmt w:val="lowerRoman"/>
      <w:lvlText w:val="%3."/>
      <w:lvlJc w:val="right"/>
      <w:pPr>
        <w:tabs>
          <w:tab w:val="left" w:pos="1800"/>
        </w:tabs>
        <w:ind w:left="3224" w:hanging="420"/>
      </w:pPr>
      <w:rPr>
        <w:rFonts w:hint="eastAsia"/>
      </w:rPr>
    </w:lvl>
    <w:lvl w:ilvl="3" w:tentative="0">
      <w:start w:val="1"/>
      <w:numFmt w:val="decimal"/>
      <w:lvlText w:val="%4."/>
      <w:lvlJc w:val="left"/>
      <w:pPr>
        <w:tabs>
          <w:tab w:val="left" w:pos="2220"/>
        </w:tabs>
        <w:ind w:left="3644" w:hanging="420"/>
      </w:pPr>
      <w:rPr>
        <w:rFonts w:hint="eastAsia"/>
      </w:rPr>
    </w:lvl>
    <w:lvl w:ilvl="4" w:tentative="0">
      <w:start w:val="1"/>
      <w:numFmt w:val="lowerLetter"/>
      <w:lvlText w:val="%5)"/>
      <w:lvlJc w:val="left"/>
      <w:pPr>
        <w:tabs>
          <w:tab w:val="left" w:pos="2640"/>
        </w:tabs>
        <w:ind w:left="4064" w:hanging="420"/>
      </w:pPr>
      <w:rPr>
        <w:rFonts w:hint="eastAsia"/>
      </w:rPr>
    </w:lvl>
    <w:lvl w:ilvl="5" w:tentative="0">
      <w:start w:val="1"/>
      <w:numFmt w:val="lowerRoman"/>
      <w:lvlText w:val="%6."/>
      <w:lvlJc w:val="right"/>
      <w:pPr>
        <w:tabs>
          <w:tab w:val="left" w:pos="3060"/>
        </w:tabs>
        <w:ind w:left="4484" w:hanging="420"/>
      </w:pPr>
      <w:rPr>
        <w:rFonts w:hint="eastAsia"/>
      </w:rPr>
    </w:lvl>
    <w:lvl w:ilvl="6" w:tentative="0">
      <w:start w:val="1"/>
      <w:numFmt w:val="decimal"/>
      <w:lvlText w:val="%7."/>
      <w:lvlJc w:val="left"/>
      <w:pPr>
        <w:tabs>
          <w:tab w:val="left" w:pos="3480"/>
        </w:tabs>
        <w:ind w:left="4904" w:hanging="420"/>
      </w:pPr>
      <w:rPr>
        <w:rFonts w:hint="eastAsia"/>
      </w:rPr>
    </w:lvl>
    <w:lvl w:ilvl="7" w:tentative="0">
      <w:start w:val="1"/>
      <w:numFmt w:val="lowerLetter"/>
      <w:lvlText w:val="%8)"/>
      <w:lvlJc w:val="left"/>
      <w:pPr>
        <w:tabs>
          <w:tab w:val="left" w:pos="3900"/>
        </w:tabs>
        <w:ind w:left="5324" w:hanging="420"/>
      </w:pPr>
      <w:rPr>
        <w:rFonts w:hint="eastAsia"/>
      </w:rPr>
    </w:lvl>
    <w:lvl w:ilvl="8" w:tentative="0">
      <w:start w:val="1"/>
      <w:numFmt w:val="lowerRoman"/>
      <w:lvlText w:val="%9."/>
      <w:lvlJc w:val="right"/>
      <w:pPr>
        <w:tabs>
          <w:tab w:val="left" w:pos="4320"/>
        </w:tabs>
        <w:ind w:left="5744" w:hanging="420"/>
      </w:pPr>
      <w:rPr>
        <w:rFonts w:hint="eastAsia"/>
      </w:rPr>
    </w:lvl>
  </w:abstractNum>
  <w:abstractNum w:abstractNumId="2">
    <w:nsid w:val="14694C14"/>
    <w:multiLevelType w:val="singleLevel"/>
    <w:tmpl w:val="14694C14"/>
    <w:lvl w:ilvl="0" w:tentative="0">
      <w:start w:val="1"/>
      <w:numFmt w:val="decimal"/>
      <w:suff w:val="nothing"/>
      <w:lvlText w:val="%1、"/>
      <w:lvlJc w:val="left"/>
    </w:lvl>
  </w:abstractNum>
  <w:abstractNum w:abstractNumId="3">
    <w:nsid w:val="48BFA080"/>
    <w:multiLevelType w:val="singleLevel"/>
    <w:tmpl w:val="48BFA080"/>
    <w:lvl w:ilvl="0" w:tentative="0">
      <w:start w:val="1"/>
      <w:numFmt w:val="decimal"/>
      <w:suff w:val="nothing"/>
      <w:lvlText w:val="（%1）"/>
      <w:lvlJc w:val="left"/>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commondata" w:val="eyJoZGlkIjoiYzVmNDllYzk5YzA2ZDkwNzk5MTY2NDcxMTk5MTUyYmMifQ=="/>
    <w:docVar w:name="VTCASE" w:val="4"/>
    <w:docVar w:name="VTCommandPending" w:val="NONE"/>
  </w:docVars>
  <w:rsids>
    <w:rsidRoot w:val="00887D93"/>
    <w:rsid w:val="000004CD"/>
    <w:rsid w:val="00001783"/>
    <w:rsid w:val="00001797"/>
    <w:rsid w:val="0000273B"/>
    <w:rsid w:val="000041A8"/>
    <w:rsid w:val="000055D7"/>
    <w:rsid w:val="0001529F"/>
    <w:rsid w:val="000157E2"/>
    <w:rsid w:val="0001697A"/>
    <w:rsid w:val="000169E1"/>
    <w:rsid w:val="00020D78"/>
    <w:rsid w:val="00021486"/>
    <w:rsid w:val="00021AE8"/>
    <w:rsid w:val="00022E94"/>
    <w:rsid w:val="000313B5"/>
    <w:rsid w:val="00032B95"/>
    <w:rsid w:val="000333A8"/>
    <w:rsid w:val="000434F9"/>
    <w:rsid w:val="00043533"/>
    <w:rsid w:val="00045D67"/>
    <w:rsid w:val="0004677C"/>
    <w:rsid w:val="000538CC"/>
    <w:rsid w:val="000541C7"/>
    <w:rsid w:val="00054A8E"/>
    <w:rsid w:val="00055A71"/>
    <w:rsid w:val="00056583"/>
    <w:rsid w:val="00056932"/>
    <w:rsid w:val="00057BB2"/>
    <w:rsid w:val="0006019D"/>
    <w:rsid w:val="000612B3"/>
    <w:rsid w:val="00061B68"/>
    <w:rsid w:val="00063750"/>
    <w:rsid w:val="00065379"/>
    <w:rsid w:val="000673C5"/>
    <w:rsid w:val="00070907"/>
    <w:rsid w:val="000719AB"/>
    <w:rsid w:val="00073852"/>
    <w:rsid w:val="00076670"/>
    <w:rsid w:val="00080B56"/>
    <w:rsid w:val="00080FC7"/>
    <w:rsid w:val="00081D11"/>
    <w:rsid w:val="00083115"/>
    <w:rsid w:val="00093645"/>
    <w:rsid w:val="00096150"/>
    <w:rsid w:val="00096F54"/>
    <w:rsid w:val="000A31C4"/>
    <w:rsid w:val="000A3727"/>
    <w:rsid w:val="000A49C1"/>
    <w:rsid w:val="000A799B"/>
    <w:rsid w:val="000B3242"/>
    <w:rsid w:val="000B3392"/>
    <w:rsid w:val="000B362F"/>
    <w:rsid w:val="000B366A"/>
    <w:rsid w:val="000B6C50"/>
    <w:rsid w:val="000C0FDF"/>
    <w:rsid w:val="000C15AF"/>
    <w:rsid w:val="000C3524"/>
    <w:rsid w:val="000C5071"/>
    <w:rsid w:val="000C55ED"/>
    <w:rsid w:val="000C6F86"/>
    <w:rsid w:val="000D10E4"/>
    <w:rsid w:val="000D1613"/>
    <w:rsid w:val="000D19C1"/>
    <w:rsid w:val="000D4E69"/>
    <w:rsid w:val="000D5125"/>
    <w:rsid w:val="000D7812"/>
    <w:rsid w:val="000E1288"/>
    <w:rsid w:val="000E3784"/>
    <w:rsid w:val="000E37E0"/>
    <w:rsid w:val="000E47A0"/>
    <w:rsid w:val="000E597F"/>
    <w:rsid w:val="000E5BFC"/>
    <w:rsid w:val="000E694F"/>
    <w:rsid w:val="000E7158"/>
    <w:rsid w:val="000E74D4"/>
    <w:rsid w:val="000F2D05"/>
    <w:rsid w:val="000F2EEE"/>
    <w:rsid w:val="000F4234"/>
    <w:rsid w:val="000F6215"/>
    <w:rsid w:val="000F63C8"/>
    <w:rsid w:val="000F6581"/>
    <w:rsid w:val="00102417"/>
    <w:rsid w:val="001032CC"/>
    <w:rsid w:val="00105B0B"/>
    <w:rsid w:val="0011024E"/>
    <w:rsid w:val="00112163"/>
    <w:rsid w:val="00114579"/>
    <w:rsid w:val="00115BF1"/>
    <w:rsid w:val="0012032C"/>
    <w:rsid w:val="0012244B"/>
    <w:rsid w:val="001224B5"/>
    <w:rsid w:val="00122643"/>
    <w:rsid w:val="0012425B"/>
    <w:rsid w:val="001244F8"/>
    <w:rsid w:val="001247F0"/>
    <w:rsid w:val="001252D8"/>
    <w:rsid w:val="001257D4"/>
    <w:rsid w:val="00131E0D"/>
    <w:rsid w:val="0013359E"/>
    <w:rsid w:val="00137694"/>
    <w:rsid w:val="00141EAC"/>
    <w:rsid w:val="00143652"/>
    <w:rsid w:val="0014627C"/>
    <w:rsid w:val="0015142E"/>
    <w:rsid w:val="00157C74"/>
    <w:rsid w:val="00157D8E"/>
    <w:rsid w:val="00161678"/>
    <w:rsid w:val="00161D71"/>
    <w:rsid w:val="00162805"/>
    <w:rsid w:val="00165014"/>
    <w:rsid w:val="0017180F"/>
    <w:rsid w:val="001733C3"/>
    <w:rsid w:val="00173BFF"/>
    <w:rsid w:val="00174749"/>
    <w:rsid w:val="00174FCA"/>
    <w:rsid w:val="00175AFB"/>
    <w:rsid w:val="00176F12"/>
    <w:rsid w:val="001770BE"/>
    <w:rsid w:val="00177A3E"/>
    <w:rsid w:val="00183E4B"/>
    <w:rsid w:val="00187B13"/>
    <w:rsid w:val="00187EB4"/>
    <w:rsid w:val="0019618B"/>
    <w:rsid w:val="00196FA0"/>
    <w:rsid w:val="001A3B44"/>
    <w:rsid w:val="001A4571"/>
    <w:rsid w:val="001A5EEB"/>
    <w:rsid w:val="001A62A5"/>
    <w:rsid w:val="001B4216"/>
    <w:rsid w:val="001B49A4"/>
    <w:rsid w:val="001B521B"/>
    <w:rsid w:val="001B5CC8"/>
    <w:rsid w:val="001B6587"/>
    <w:rsid w:val="001C0582"/>
    <w:rsid w:val="001C058D"/>
    <w:rsid w:val="001C24DD"/>
    <w:rsid w:val="001C54C3"/>
    <w:rsid w:val="001C577E"/>
    <w:rsid w:val="001D027D"/>
    <w:rsid w:val="001D4A1E"/>
    <w:rsid w:val="001D70E9"/>
    <w:rsid w:val="001E181E"/>
    <w:rsid w:val="001E1DCD"/>
    <w:rsid w:val="001E4481"/>
    <w:rsid w:val="001E44EF"/>
    <w:rsid w:val="001E6C1A"/>
    <w:rsid w:val="001E7629"/>
    <w:rsid w:val="001E7846"/>
    <w:rsid w:val="001E7E8B"/>
    <w:rsid w:val="001F2F0B"/>
    <w:rsid w:val="001F3130"/>
    <w:rsid w:val="001F5903"/>
    <w:rsid w:val="001F7292"/>
    <w:rsid w:val="002001DC"/>
    <w:rsid w:val="002032B0"/>
    <w:rsid w:val="00203778"/>
    <w:rsid w:val="0020407A"/>
    <w:rsid w:val="00210AE7"/>
    <w:rsid w:val="002123C7"/>
    <w:rsid w:val="002124BD"/>
    <w:rsid w:val="00213411"/>
    <w:rsid w:val="00216D4F"/>
    <w:rsid w:val="00216E43"/>
    <w:rsid w:val="00220866"/>
    <w:rsid w:val="002231A4"/>
    <w:rsid w:val="00223245"/>
    <w:rsid w:val="00224447"/>
    <w:rsid w:val="00224A77"/>
    <w:rsid w:val="0022671D"/>
    <w:rsid w:val="0023090E"/>
    <w:rsid w:val="00231C64"/>
    <w:rsid w:val="00232C22"/>
    <w:rsid w:val="0023318A"/>
    <w:rsid w:val="00236A9B"/>
    <w:rsid w:val="0023715B"/>
    <w:rsid w:val="00237592"/>
    <w:rsid w:val="00244A0E"/>
    <w:rsid w:val="00244F73"/>
    <w:rsid w:val="002501BB"/>
    <w:rsid w:val="002509CA"/>
    <w:rsid w:val="00250C1D"/>
    <w:rsid w:val="00251A29"/>
    <w:rsid w:val="00251B89"/>
    <w:rsid w:val="00253615"/>
    <w:rsid w:val="00253950"/>
    <w:rsid w:val="00254F7E"/>
    <w:rsid w:val="0025569E"/>
    <w:rsid w:val="002564FE"/>
    <w:rsid w:val="002603EB"/>
    <w:rsid w:val="00261FEB"/>
    <w:rsid w:val="00264327"/>
    <w:rsid w:val="002650F1"/>
    <w:rsid w:val="00266403"/>
    <w:rsid w:val="00266406"/>
    <w:rsid w:val="002679CA"/>
    <w:rsid w:val="00272722"/>
    <w:rsid w:val="002745E7"/>
    <w:rsid w:val="002760AC"/>
    <w:rsid w:val="00277935"/>
    <w:rsid w:val="00277E8E"/>
    <w:rsid w:val="00280DD6"/>
    <w:rsid w:val="00282496"/>
    <w:rsid w:val="00283033"/>
    <w:rsid w:val="00285085"/>
    <w:rsid w:val="002854DC"/>
    <w:rsid w:val="0028616B"/>
    <w:rsid w:val="00290CDE"/>
    <w:rsid w:val="00290DE2"/>
    <w:rsid w:val="002959CC"/>
    <w:rsid w:val="002A0C27"/>
    <w:rsid w:val="002A2315"/>
    <w:rsid w:val="002A2732"/>
    <w:rsid w:val="002A3153"/>
    <w:rsid w:val="002A6C9C"/>
    <w:rsid w:val="002C10AC"/>
    <w:rsid w:val="002C2AE8"/>
    <w:rsid w:val="002C2FF3"/>
    <w:rsid w:val="002C3A5A"/>
    <w:rsid w:val="002C4ABE"/>
    <w:rsid w:val="002C71EC"/>
    <w:rsid w:val="002C7548"/>
    <w:rsid w:val="002C780B"/>
    <w:rsid w:val="002C7E47"/>
    <w:rsid w:val="002D2C13"/>
    <w:rsid w:val="002D2FFB"/>
    <w:rsid w:val="002D4E0A"/>
    <w:rsid w:val="002D4E16"/>
    <w:rsid w:val="002D505C"/>
    <w:rsid w:val="002D5DF8"/>
    <w:rsid w:val="002E334D"/>
    <w:rsid w:val="002E486A"/>
    <w:rsid w:val="002E53C0"/>
    <w:rsid w:val="002E766C"/>
    <w:rsid w:val="002F02C8"/>
    <w:rsid w:val="002F0A07"/>
    <w:rsid w:val="002F2D5F"/>
    <w:rsid w:val="002F46DC"/>
    <w:rsid w:val="002F5145"/>
    <w:rsid w:val="002F5CB9"/>
    <w:rsid w:val="002F5E9B"/>
    <w:rsid w:val="002F683C"/>
    <w:rsid w:val="00310C52"/>
    <w:rsid w:val="0031140B"/>
    <w:rsid w:val="00314E3D"/>
    <w:rsid w:val="00317120"/>
    <w:rsid w:val="003171BB"/>
    <w:rsid w:val="0032100C"/>
    <w:rsid w:val="003212C2"/>
    <w:rsid w:val="00321921"/>
    <w:rsid w:val="00321926"/>
    <w:rsid w:val="00327707"/>
    <w:rsid w:val="0033060D"/>
    <w:rsid w:val="003318F3"/>
    <w:rsid w:val="00331ECA"/>
    <w:rsid w:val="00333919"/>
    <w:rsid w:val="00334F3E"/>
    <w:rsid w:val="003379AF"/>
    <w:rsid w:val="00337C5C"/>
    <w:rsid w:val="00343E4C"/>
    <w:rsid w:val="003528B8"/>
    <w:rsid w:val="00352BC8"/>
    <w:rsid w:val="00355D82"/>
    <w:rsid w:val="00356CAF"/>
    <w:rsid w:val="003612A6"/>
    <w:rsid w:val="003671F3"/>
    <w:rsid w:val="00367712"/>
    <w:rsid w:val="00367C88"/>
    <w:rsid w:val="00367DB2"/>
    <w:rsid w:val="00370B19"/>
    <w:rsid w:val="00371C8C"/>
    <w:rsid w:val="00373408"/>
    <w:rsid w:val="003748EB"/>
    <w:rsid w:val="00375DCD"/>
    <w:rsid w:val="00376F36"/>
    <w:rsid w:val="003800A6"/>
    <w:rsid w:val="0038151E"/>
    <w:rsid w:val="00382FFA"/>
    <w:rsid w:val="00383B0A"/>
    <w:rsid w:val="0038491D"/>
    <w:rsid w:val="00387606"/>
    <w:rsid w:val="00391DD2"/>
    <w:rsid w:val="003925E1"/>
    <w:rsid w:val="00393D74"/>
    <w:rsid w:val="003943A7"/>
    <w:rsid w:val="00396A66"/>
    <w:rsid w:val="003A0E06"/>
    <w:rsid w:val="003A1A69"/>
    <w:rsid w:val="003A37B8"/>
    <w:rsid w:val="003A582F"/>
    <w:rsid w:val="003A6B72"/>
    <w:rsid w:val="003B020F"/>
    <w:rsid w:val="003B3917"/>
    <w:rsid w:val="003B41D9"/>
    <w:rsid w:val="003B4356"/>
    <w:rsid w:val="003B5422"/>
    <w:rsid w:val="003B7293"/>
    <w:rsid w:val="003B76D0"/>
    <w:rsid w:val="003B7D7E"/>
    <w:rsid w:val="003C0EF3"/>
    <w:rsid w:val="003C53B2"/>
    <w:rsid w:val="003C6422"/>
    <w:rsid w:val="003C6C9A"/>
    <w:rsid w:val="003D6961"/>
    <w:rsid w:val="003E2C77"/>
    <w:rsid w:val="003E2C89"/>
    <w:rsid w:val="003E3C14"/>
    <w:rsid w:val="003E6516"/>
    <w:rsid w:val="003E747A"/>
    <w:rsid w:val="003F0149"/>
    <w:rsid w:val="003F11BD"/>
    <w:rsid w:val="003F4748"/>
    <w:rsid w:val="003F61AC"/>
    <w:rsid w:val="00401267"/>
    <w:rsid w:val="00401B70"/>
    <w:rsid w:val="00402836"/>
    <w:rsid w:val="0040298F"/>
    <w:rsid w:val="0040367C"/>
    <w:rsid w:val="00404B23"/>
    <w:rsid w:val="00405154"/>
    <w:rsid w:val="004109B8"/>
    <w:rsid w:val="0041238C"/>
    <w:rsid w:val="00412829"/>
    <w:rsid w:val="0041314E"/>
    <w:rsid w:val="00414EDB"/>
    <w:rsid w:val="004164DF"/>
    <w:rsid w:val="0042141B"/>
    <w:rsid w:val="00425FB2"/>
    <w:rsid w:val="004261AF"/>
    <w:rsid w:val="00426BB0"/>
    <w:rsid w:val="00427182"/>
    <w:rsid w:val="00433EEA"/>
    <w:rsid w:val="004408B0"/>
    <w:rsid w:val="004408EE"/>
    <w:rsid w:val="00441C7F"/>
    <w:rsid w:val="00441E5E"/>
    <w:rsid w:val="0044524F"/>
    <w:rsid w:val="0044654E"/>
    <w:rsid w:val="004504F2"/>
    <w:rsid w:val="00450C1F"/>
    <w:rsid w:val="00455240"/>
    <w:rsid w:val="0045705D"/>
    <w:rsid w:val="00457AEF"/>
    <w:rsid w:val="0046046C"/>
    <w:rsid w:val="0046550B"/>
    <w:rsid w:val="004663F3"/>
    <w:rsid w:val="00467553"/>
    <w:rsid w:val="00471F78"/>
    <w:rsid w:val="00473B94"/>
    <w:rsid w:val="00473DC2"/>
    <w:rsid w:val="0047556E"/>
    <w:rsid w:val="00475991"/>
    <w:rsid w:val="00475B13"/>
    <w:rsid w:val="00480D8D"/>
    <w:rsid w:val="004814E5"/>
    <w:rsid w:val="004827CD"/>
    <w:rsid w:val="00484641"/>
    <w:rsid w:val="004846F8"/>
    <w:rsid w:val="00485EFC"/>
    <w:rsid w:val="00490A94"/>
    <w:rsid w:val="004911E4"/>
    <w:rsid w:val="004912F4"/>
    <w:rsid w:val="004922BC"/>
    <w:rsid w:val="00492CE8"/>
    <w:rsid w:val="00493558"/>
    <w:rsid w:val="00493EC9"/>
    <w:rsid w:val="00494ECE"/>
    <w:rsid w:val="00495251"/>
    <w:rsid w:val="00495B0C"/>
    <w:rsid w:val="004963A5"/>
    <w:rsid w:val="004A1759"/>
    <w:rsid w:val="004A2275"/>
    <w:rsid w:val="004A3872"/>
    <w:rsid w:val="004A3AC0"/>
    <w:rsid w:val="004A42D0"/>
    <w:rsid w:val="004A4ED0"/>
    <w:rsid w:val="004A6F61"/>
    <w:rsid w:val="004B0706"/>
    <w:rsid w:val="004B22B1"/>
    <w:rsid w:val="004B46E5"/>
    <w:rsid w:val="004B6542"/>
    <w:rsid w:val="004B72A3"/>
    <w:rsid w:val="004C1E33"/>
    <w:rsid w:val="004C6870"/>
    <w:rsid w:val="004D29A3"/>
    <w:rsid w:val="004D4D48"/>
    <w:rsid w:val="004D5250"/>
    <w:rsid w:val="004D6AD9"/>
    <w:rsid w:val="004E0517"/>
    <w:rsid w:val="004E0C12"/>
    <w:rsid w:val="004E13F0"/>
    <w:rsid w:val="004E21D2"/>
    <w:rsid w:val="004E4854"/>
    <w:rsid w:val="004E5FCE"/>
    <w:rsid w:val="004F036B"/>
    <w:rsid w:val="004F052D"/>
    <w:rsid w:val="004F0E54"/>
    <w:rsid w:val="004F7B7E"/>
    <w:rsid w:val="00501785"/>
    <w:rsid w:val="00501EE6"/>
    <w:rsid w:val="00503724"/>
    <w:rsid w:val="00504E3C"/>
    <w:rsid w:val="00507AD5"/>
    <w:rsid w:val="00513F7C"/>
    <w:rsid w:val="005149B8"/>
    <w:rsid w:val="005168FA"/>
    <w:rsid w:val="005175C0"/>
    <w:rsid w:val="00520001"/>
    <w:rsid w:val="00521717"/>
    <w:rsid w:val="0052391C"/>
    <w:rsid w:val="0052393A"/>
    <w:rsid w:val="00530C3F"/>
    <w:rsid w:val="00532B1D"/>
    <w:rsid w:val="00533524"/>
    <w:rsid w:val="00534347"/>
    <w:rsid w:val="00540C55"/>
    <w:rsid w:val="00542227"/>
    <w:rsid w:val="005422EB"/>
    <w:rsid w:val="0054426F"/>
    <w:rsid w:val="0054508F"/>
    <w:rsid w:val="00546F3A"/>
    <w:rsid w:val="005475C6"/>
    <w:rsid w:val="00550C61"/>
    <w:rsid w:val="00552FBA"/>
    <w:rsid w:val="00554D9D"/>
    <w:rsid w:val="00555A82"/>
    <w:rsid w:val="00556C52"/>
    <w:rsid w:val="0056008C"/>
    <w:rsid w:val="00570A8A"/>
    <w:rsid w:val="00571BE1"/>
    <w:rsid w:val="0057268E"/>
    <w:rsid w:val="00573C95"/>
    <w:rsid w:val="005750B7"/>
    <w:rsid w:val="005806C7"/>
    <w:rsid w:val="00582CA5"/>
    <w:rsid w:val="00582FE9"/>
    <w:rsid w:val="0058511B"/>
    <w:rsid w:val="005852AF"/>
    <w:rsid w:val="00586FF5"/>
    <w:rsid w:val="005A0332"/>
    <w:rsid w:val="005A1737"/>
    <w:rsid w:val="005A1914"/>
    <w:rsid w:val="005A1D6F"/>
    <w:rsid w:val="005A378B"/>
    <w:rsid w:val="005A3804"/>
    <w:rsid w:val="005A40B3"/>
    <w:rsid w:val="005B1361"/>
    <w:rsid w:val="005B177D"/>
    <w:rsid w:val="005B3B4A"/>
    <w:rsid w:val="005B4C4C"/>
    <w:rsid w:val="005B7966"/>
    <w:rsid w:val="005C0341"/>
    <w:rsid w:val="005C3CDD"/>
    <w:rsid w:val="005D2B33"/>
    <w:rsid w:val="005D4B36"/>
    <w:rsid w:val="005D5B37"/>
    <w:rsid w:val="005D6D35"/>
    <w:rsid w:val="005E1062"/>
    <w:rsid w:val="005E12BD"/>
    <w:rsid w:val="005E132E"/>
    <w:rsid w:val="005E1F41"/>
    <w:rsid w:val="005E305E"/>
    <w:rsid w:val="005E3ECC"/>
    <w:rsid w:val="005E53A4"/>
    <w:rsid w:val="005F1F63"/>
    <w:rsid w:val="005F324D"/>
    <w:rsid w:val="005F4C0F"/>
    <w:rsid w:val="006011F9"/>
    <w:rsid w:val="006016B0"/>
    <w:rsid w:val="00602247"/>
    <w:rsid w:val="006054AE"/>
    <w:rsid w:val="00606661"/>
    <w:rsid w:val="00612A91"/>
    <w:rsid w:val="00615BD4"/>
    <w:rsid w:val="006176D9"/>
    <w:rsid w:val="0062063C"/>
    <w:rsid w:val="00621EEA"/>
    <w:rsid w:val="00622049"/>
    <w:rsid w:val="006267AC"/>
    <w:rsid w:val="006275F8"/>
    <w:rsid w:val="00630C8F"/>
    <w:rsid w:val="0063126C"/>
    <w:rsid w:val="006321D9"/>
    <w:rsid w:val="00635ACD"/>
    <w:rsid w:val="00645F9B"/>
    <w:rsid w:val="006462F4"/>
    <w:rsid w:val="00646C7B"/>
    <w:rsid w:val="00653EEF"/>
    <w:rsid w:val="00656DB1"/>
    <w:rsid w:val="0065706C"/>
    <w:rsid w:val="006570F3"/>
    <w:rsid w:val="006574CA"/>
    <w:rsid w:val="00663087"/>
    <w:rsid w:val="00666E6E"/>
    <w:rsid w:val="00667926"/>
    <w:rsid w:val="00672A07"/>
    <w:rsid w:val="00672A3D"/>
    <w:rsid w:val="00673284"/>
    <w:rsid w:val="00673C56"/>
    <w:rsid w:val="00674E3C"/>
    <w:rsid w:val="00684218"/>
    <w:rsid w:val="00684A17"/>
    <w:rsid w:val="0068548A"/>
    <w:rsid w:val="00686ACA"/>
    <w:rsid w:val="006904AF"/>
    <w:rsid w:val="00695821"/>
    <w:rsid w:val="0069607D"/>
    <w:rsid w:val="006960C5"/>
    <w:rsid w:val="006A05F8"/>
    <w:rsid w:val="006A0897"/>
    <w:rsid w:val="006A27B1"/>
    <w:rsid w:val="006A4246"/>
    <w:rsid w:val="006A56B9"/>
    <w:rsid w:val="006A64EB"/>
    <w:rsid w:val="006A7750"/>
    <w:rsid w:val="006A7FD4"/>
    <w:rsid w:val="006B0E91"/>
    <w:rsid w:val="006B1891"/>
    <w:rsid w:val="006B37AE"/>
    <w:rsid w:val="006B3C07"/>
    <w:rsid w:val="006B476E"/>
    <w:rsid w:val="006B7254"/>
    <w:rsid w:val="006B73B9"/>
    <w:rsid w:val="006C0F43"/>
    <w:rsid w:val="006C2D51"/>
    <w:rsid w:val="006C4083"/>
    <w:rsid w:val="006C4B81"/>
    <w:rsid w:val="006C517C"/>
    <w:rsid w:val="006C5CAA"/>
    <w:rsid w:val="006C6855"/>
    <w:rsid w:val="006C7F43"/>
    <w:rsid w:val="006D16F3"/>
    <w:rsid w:val="006D49E3"/>
    <w:rsid w:val="006D4C2C"/>
    <w:rsid w:val="006D62FF"/>
    <w:rsid w:val="006E019F"/>
    <w:rsid w:val="006E18C4"/>
    <w:rsid w:val="006E3E50"/>
    <w:rsid w:val="006E402A"/>
    <w:rsid w:val="006E525F"/>
    <w:rsid w:val="006E74F5"/>
    <w:rsid w:val="006E7DCA"/>
    <w:rsid w:val="006F03B7"/>
    <w:rsid w:val="006F2035"/>
    <w:rsid w:val="006F28EE"/>
    <w:rsid w:val="006F42C2"/>
    <w:rsid w:val="006F602A"/>
    <w:rsid w:val="006F7412"/>
    <w:rsid w:val="00704E65"/>
    <w:rsid w:val="0071025E"/>
    <w:rsid w:val="007105A5"/>
    <w:rsid w:val="00710B8D"/>
    <w:rsid w:val="00712CF9"/>
    <w:rsid w:val="00713024"/>
    <w:rsid w:val="00713EA1"/>
    <w:rsid w:val="00715D6B"/>
    <w:rsid w:val="00717F6B"/>
    <w:rsid w:val="007212F0"/>
    <w:rsid w:val="00722EC6"/>
    <w:rsid w:val="00723FF6"/>
    <w:rsid w:val="0072460B"/>
    <w:rsid w:val="00726876"/>
    <w:rsid w:val="007269B1"/>
    <w:rsid w:val="00730DF7"/>
    <w:rsid w:val="0073123A"/>
    <w:rsid w:val="007331F6"/>
    <w:rsid w:val="0073362F"/>
    <w:rsid w:val="00733A3E"/>
    <w:rsid w:val="00736B54"/>
    <w:rsid w:val="00740605"/>
    <w:rsid w:val="00740FA5"/>
    <w:rsid w:val="007440A8"/>
    <w:rsid w:val="00747B97"/>
    <w:rsid w:val="00747DD4"/>
    <w:rsid w:val="00751820"/>
    <w:rsid w:val="00751B7E"/>
    <w:rsid w:val="00752AB2"/>
    <w:rsid w:val="00754193"/>
    <w:rsid w:val="007556C8"/>
    <w:rsid w:val="00756FA1"/>
    <w:rsid w:val="007605DF"/>
    <w:rsid w:val="0076244A"/>
    <w:rsid w:val="00762D9D"/>
    <w:rsid w:val="00763FD6"/>
    <w:rsid w:val="0076431D"/>
    <w:rsid w:val="00766DE9"/>
    <w:rsid w:val="007678A5"/>
    <w:rsid w:val="00770841"/>
    <w:rsid w:val="00771F67"/>
    <w:rsid w:val="00772012"/>
    <w:rsid w:val="007732E1"/>
    <w:rsid w:val="0077418F"/>
    <w:rsid w:val="00774C01"/>
    <w:rsid w:val="007823C9"/>
    <w:rsid w:val="007835B7"/>
    <w:rsid w:val="007863E1"/>
    <w:rsid w:val="007910D3"/>
    <w:rsid w:val="0079336E"/>
    <w:rsid w:val="007A5BD0"/>
    <w:rsid w:val="007B4B46"/>
    <w:rsid w:val="007B5E5F"/>
    <w:rsid w:val="007B6CA0"/>
    <w:rsid w:val="007B6F71"/>
    <w:rsid w:val="007C06F8"/>
    <w:rsid w:val="007C27E5"/>
    <w:rsid w:val="007C2E24"/>
    <w:rsid w:val="007C3F78"/>
    <w:rsid w:val="007C4B09"/>
    <w:rsid w:val="007C6167"/>
    <w:rsid w:val="007C6EB8"/>
    <w:rsid w:val="007C7809"/>
    <w:rsid w:val="007D13B9"/>
    <w:rsid w:val="007D2774"/>
    <w:rsid w:val="007D71F7"/>
    <w:rsid w:val="007E024C"/>
    <w:rsid w:val="007E160E"/>
    <w:rsid w:val="007E1BDD"/>
    <w:rsid w:val="007E700C"/>
    <w:rsid w:val="007E7388"/>
    <w:rsid w:val="007F1BAF"/>
    <w:rsid w:val="007F1F1C"/>
    <w:rsid w:val="007F2277"/>
    <w:rsid w:val="007F433C"/>
    <w:rsid w:val="007F4428"/>
    <w:rsid w:val="008004B0"/>
    <w:rsid w:val="008045D9"/>
    <w:rsid w:val="00806C8A"/>
    <w:rsid w:val="0080702C"/>
    <w:rsid w:val="00807165"/>
    <w:rsid w:val="00812094"/>
    <w:rsid w:val="0081333B"/>
    <w:rsid w:val="008140D7"/>
    <w:rsid w:val="0081653B"/>
    <w:rsid w:val="00821DF6"/>
    <w:rsid w:val="00823CCC"/>
    <w:rsid w:val="00827179"/>
    <w:rsid w:val="0083029A"/>
    <w:rsid w:val="00830426"/>
    <w:rsid w:val="00830E02"/>
    <w:rsid w:val="00831C83"/>
    <w:rsid w:val="00831E0A"/>
    <w:rsid w:val="008343C4"/>
    <w:rsid w:val="00835847"/>
    <w:rsid w:val="00835C6F"/>
    <w:rsid w:val="00837429"/>
    <w:rsid w:val="0083745B"/>
    <w:rsid w:val="00840252"/>
    <w:rsid w:val="00840420"/>
    <w:rsid w:val="00842DE3"/>
    <w:rsid w:val="00844F5E"/>
    <w:rsid w:val="00846701"/>
    <w:rsid w:val="0085232F"/>
    <w:rsid w:val="00854E2A"/>
    <w:rsid w:val="008550CD"/>
    <w:rsid w:val="00857E3A"/>
    <w:rsid w:val="00861135"/>
    <w:rsid w:val="00864495"/>
    <w:rsid w:val="0086449D"/>
    <w:rsid w:val="008651BC"/>
    <w:rsid w:val="00867059"/>
    <w:rsid w:val="00867A5A"/>
    <w:rsid w:val="008711B1"/>
    <w:rsid w:val="00871FBA"/>
    <w:rsid w:val="00872119"/>
    <w:rsid w:val="008722FB"/>
    <w:rsid w:val="00877EA2"/>
    <w:rsid w:val="008808CA"/>
    <w:rsid w:val="00887D93"/>
    <w:rsid w:val="00890912"/>
    <w:rsid w:val="00890D7D"/>
    <w:rsid w:val="008917B4"/>
    <w:rsid w:val="008933C7"/>
    <w:rsid w:val="008941B9"/>
    <w:rsid w:val="00894216"/>
    <w:rsid w:val="008959F9"/>
    <w:rsid w:val="00896786"/>
    <w:rsid w:val="00897413"/>
    <w:rsid w:val="008A118C"/>
    <w:rsid w:val="008A46DC"/>
    <w:rsid w:val="008A4806"/>
    <w:rsid w:val="008A4BF4"/>
    <w:rsid w:val="008A510D"/>
    <w:rsid w:val="008A5EDE"/>
    <w:rsid w:val="008A7A4E"/>
    <w:rsid w:val="008A7C4F"/>
    <w:rsid w:val="008B2FA8"/>
    <w:rsid w:val="008B3253"/>
    <w:rsid w:val="008B3F5C"/>
    <w:rsid w:val="008C020E"/>
    <w:rsid w:val="008C2F9E"/>
    <w:rsid w:val="008D03EA"/>
    <w:rsid w:val="008D16BD"/>
    <w:rsid w:val="008D17A7"/>
    <w:rsid w:val="008D2E91"/>
    <w:rsid w:val="008D58E2"/>
    <w:rsid w:val="008D6283"/>
    <w:rsid w:val="008D7FB0"/>
    <w:rsid w:val="008E050B"/>
    <w:rsid w:val="008E1010"/>
    <w:rsid w:val="008E2C2E"/>
    <w:rsid w:val="008E72A8"/>
    <w:rsid w:val="008F0627"/>
    <w:rsid w:val="008F1FF1"/>
    <w:rsid w:val="008F2498"/>
    <w:rsid w:val="008F41FB"/>
    <w:rsid w:val="008F4B49"/>
    <w:rsid w:val="008F5977"/>
    <w:rsid w:val="008F5C9B"/>
    <w:rsid w:val="00900451"/>
    <w:rsid w:val="009039C8"/>
    <w:rsid w:val="00904BCF"/>
    <w:rsid w:val="00905B77"/>
    <w:rsid w:val="00906FD6"/>
    <w:rsid w:val="009079D0"/>
    <w:rsid w:val="00907DCD"/>
    <w:rsid w:val="009104AA"/>
    <w:rsid w:val="00914466"/>
    <w:rsid w:val="00915D8A"/>
    <w:rsid w:val="00917746"/>
    <w:rsid w:val="009209A5"/>
    <w:rsid w:val="00920F98"/>
    <w:rsid w:val="00922448"/>
    <w:rsid w:val="009228BB"/>
    <w:rsid w:val="00922FDA"/>
    <w:rsid w:val="009244DF"/>
    <w:rsid w:val="00927EF6"/>
    <w:rsid w:val="00930D45"/>
    <w:rsid w:val="00930E14"/>
    <w:rsid w:val="00933885"/>
    <w:rsid w:val="009338DA"/>
    <w:rsid w:val="00936E93"/>
    <w:rsid w:val="00937FDA"/>
    <w:rsid w:val="00947632"/>
    <w:rsid w:val="0094786C"/>
    <w:rsid w:val="00947B9F"/>
    <w:rsid w:val="00947FB4"/>
    <w:rsid w:val="00952D2F"/>
    <w:rsid w:val="00952D60"/>
    <w:rsid w:val="00952E44"/>
    <w:rsid w:val="00955447"/>
    <w:rsid w:val="00955A17"/>
    <w:rsid w:val="00957C50"/>
    <w:rsid w:val="00960E12"/>
    <w:rsid w:val="0096331F"/>
    <w:rsid w:val="00963914"/>
    <w:rsid w:val="00963A90"/>
    <w:rsid w:val="009729D8"/>
    <w:rsid w:val="0097453F"/>
    <w:rsid w:val="00974577"/>
    <w:rsid w:val="00975045"/>
    <w:rsid w:val="00976670"/>
    <w:rsid w:val="00976BC3"/>
    <w:rsid w:val="00976E64"/>
    <w:rsid w:val="00977929"/>
    <w:rsid w:val="0098426D"/>
    <w:rsid w:val="00993B1F"/>
    <w:rsid w:val="00993F70"/>
    <w:rsid w:val="0099428D"/>
    <w:rsid w:val="00995932"/>
    <w:rsid w:val="00996D49"/>
    <w:rsid w:val="009A1C77"/>
    <w:rsid w:val="009A51E6"/>
    <w:rsid w:val="009A5BC5"/>
    <w:rsid w:val="009A61AA"/>
    <w:rsid w:val="009A747C"/>
    <w:rsid w:val="009A7DAC"/>
    <w:rsid w:val="009B2B6E"/>
    <w:rsid w:val="009B3C1F"/>
    <w:rsid w:val="009B7D7E"/>
    <w:rsid w:val="009C10F7"/>
    <w:rsid w:val="009C11B1"/>
    <w:rsid w:val="009C1722"/>
    <w:rsid w:val="009C6235"/>
    <w:rsid w:val="009C6E76"/>
    <w:rsid w:val="009D00B8"/>
    <w:rsid w:val="009D3E42"/>
    <w:rsid w:val="009D682E"/>
    <w:rsid w:val="009E40F9"/>
    <w:rsid w:val="009E5844"/>
    <w:rsid w:val="009E653F"/>
    <w:rsid w:val="009E7C9A"/>
    <w:rsid w:val="009F4C6D"/>
    <w:rsid w:val="009F5062"/>
    <w:rsid w:val="009F7861"/>
    <w:rsid w:val="00A01D25"/>
    <w:rsid w:val="00A0624A"/>
    <w:rsid w:val="00A06830"/>
    <w:rsid w:val="00A12892"/>
    <w:rsid w:val="00A149DF"/>
    <w:rsid w:val="00A1634D"/>
    <w:rsid w:val="00A1707B"/>
    <w:rsid w:val="00A32694"/>
    <w:rsid w:val="00A33A18"/>
    <w:rsid w:val="00A350BE"/>
    <w:rsid w:val="00A35C8A"/>
    <w:rsid w:val="00A36343"/>
    <w:rsid w:val="00A36638"/>
    <w:rsid w:val="00A36B9A"/>
    <w:rsid w:val="00A4149B"/>
    <w:rsid w:val="00A51ECF"/>
    <w:rsid w:val="00A5335D"/>
    <w:rsid w:val="00A53EBD"/>
    <w:rsid w:val="00A56524"/>
    <w:rsid w:val="00A610B8"/>
    <w:rsid w:val="00A61208"/>
    <w:rsid w:val="00A62660"/>
    <w:rsid w:val="00A62D2C"/>
    <w:rsid w:val="00A64D6A"/>
    <w:rsid w:val="00A66A0F"/>
    <w:rsid w:val="00A67FB0"/>
    <w:rsid w:val="00A700BE"/>
    <w:rsid w:val="00A7038D"/>
    <w:rsid w:val="00A73440"/>
    <w:rsid w:val="00A75908"/>
    <w:rsid w:val="00A75D01"/>
    <w:rsid w:val="00A76B01"/>
    <w:rsid w:val="00A813D7"/>
    <w:rsid w:val="00A83BB1"/>
    <w:rsid w:val="00A87807"/>
    <w:rsid w:val="00A90332"/>
    <w:rsid w:val="00A94426"/>
    <w:rsid w:val="00A9734B"/>
    <w:rsid w:val="00A97D26"/>
    <w:rsid w:val="00AA06C5"/>
    <w:rsid w:val="00AA1669"/>
    <w:rsid w:val="00AA3A8E"/>
    <w:rsid w:val="00AA5BB8"/>
    <w:rsid w:val="00AA5D50"/>
    <w:rsid w:val="00AA6487"/>
    <w:rsid w:val="00AB001E"/>
    <w:rsid w:val="00AB2D04"/>
    <w:rsid w:val="00AB318B"/>
    <w:rsid w:val="00AB7D6A"/>
    <w:rsid w:val="00AC0A22"/>
    <w:rsid w:val="00AC3A3F"/>
    <w:rsid w:val="00AD190D"/>
    <w:rsid w:val="00AD2DAB"/>
    <w:rsid w:val="00AE1BBB"/>
    <w:rsid w:val="00AE2F4C"/>
    <w:rsid w:val="00AE3B4A"/>
    <w:rsid w:val="00AE4A87"/>
    <w:rsid w:val="00AE673D"/>
    <w:rsid w:val="00AE749B"/>
    <w:rsid w:val="00AF0629"/>
    <w:rsid w:val="00AF1BF1"/>
    <w:rsid w:val="00AF32B8"/>
    <w:rsid w:val="00AF3CB3"/>
    <w:rsid w:val="00AF531B"/>
    <w:rsid w:val="00AF5337"/>
    <w:rsid w:val="00AF53C2"/>
    <w:rsid w:val="00AF71F6"/>
    <w:rsid w:val="00AF7C60"/>
    <w:rsid w:val="00B005C5"/>
    <w:rsid w:val="00B02305"/>
    <w:rsid w:val="00B02E23"/>
    <w:rsid w:val="00B060D5"/>
    <w:rsid w:val="00B06AE3"/>
    <w:rsid w:val="00B1175D"/>
    <w:rsid w:val="00B12731"/>
    <w:rsid w:val="00B12AA5"/>
    <w:rsid w:val="00B146BC"/>
    <w:rsid w:val="00B14DF1"/>
    <w:rsid w:val="00B153B3"/>
    <w:rsid w:val="00B17CBB"/>
    <w:rsid w:val="00B20BBF"/>
    <w:rsid w:val="00B217CC"/>
    <w:rsid w:val="00B25447"/>
    <w:rsid w:val="00B271C9"/>
    <w:rsid w:val="00B31C57"/>
    <w:rsid w:val="00B32F09"/>
    <w:rsid w:val="00B33D96"/>
    <w:rsid w:val="00B33E36"/>
    <w:rsid w:val="00B34F0E"/>
    <w:rsid w:val="00B35F5F"/>
    <w:rsid w:val="00B36F78"/>
    <w:rsid w:val="00B3755E"/>
    <w:rsid w:val="00B404A6"/>
    <w:rsid w:val="00B40A63"/>
    <w:rsid w:val="00B41213"/>
    <w:rsid w:val="00B45C45"/>
    <w:rsid w:val="00B47277"/>
    <w:rsid w:val="00B54D6E"/>
    <w:rsid w:val="00B56FB7"/>
    <w:rsid w:val="00B577A6"/>
    <w:rsid w:val="00B607BE"/>
    <w:rsid w:val="00B61E09"/>
    <w:rsid w:val="00B6274D"/>
    <w:rsid w:val="00B62B63"/>
    <w:rsid w:val="00B64D41"/>
    <w:rsid w:val="00B66CB3"/>
    <w:rsid w:val="00B66D6E"/>
    <w:rsid w:val="00B67351"/>
    <w:rsid w:val="00B706C6"/>
    <w:rsid w:val="00B739CF"/>
    <w:rsid w:val="00B7475F"/>
    <w:rsid w:val="00B80B07"/>
    <w:rsid w:val="00B8178C"/>
    <w:rsid w:val="00B81BF0"/>
    <w:rsid w:val="00B82E33"/>
    <w:rsid w:val="00B82ECB"/>
    <w:rsid w:val="00B8310B"/>
    <w:rsid w:val="00B83C8B"/>
    <w:rsid w:val="00B85BAF"/>
    <w:rsid w:val="00B90874"/>
    <w:rsid w:val="00B90BFA"/>
    <w:rsid w:val="00B93044"/>
    <w:rsid w:val="00B931B0"/>
    <w:rsid w:val="00B93ED9"/>
    <w:rsid w:val="00B95E2C"/>
    <w:rsid w:val="00BA2C17"/>
    <w:rsid w:val="00BA40F3"/>
    <w:rsid w:val="00BA5F6B"/>
    <w:rsid w:val="00BA6BD0"/>
    <w:rsid w:val="00BB0589"/>
    <w:rsid w:val="00BB1AF8"/>
    <w:rsid w:val="00BB2E2A"/>
    <w:rsid w:val="00BB4B39"/>
    <w:rsid w:val="00BC3515"/>
    <w:rsid w:val="00BC59C2"/>
    <w:rsid w:val="00BD02CC"/>
    <w:rsid w:val="00BD22C7"/>
    <w:rsid w:val="00BD277B"/>
    <w:rsid w:val="00BD530D"/>
    <w:rsid w:val="00BE205B"/>
    <w:rsid w:val="00BE264E"/>
    <w:rsid w:val="00BE4E80"/>
    <w:rsid w:val="00BE68B4"/>
    <w:rsid w:val="00C029B6"/>
    <w:rsid w:val="00C03B0F"/>
    <w:rsid w:val="00C03E68"/>
    <w:rsid w:val="00C05139"/>
    <w:rsid w:val="00C124B7"/>
    <w:rsid w:val="00C16AB3"/>
    <w:rsid w:val="00C17224"/>
    <w:rsid w:val="00C17685"/>
    <w:rsid w:val="00C20CBD"/>
    <w:rsid w:val="00C223A5"/>
    <w:rsid w:val="00C23A93"/>
    <w:rsid w:val="00C23BCF"/>
    <w:rsid w:val="00C2546E"/>
    <w:rsid w:val="00C2648A"/>
    <w:rsid w:val="00C2711D"/>
    <w:rsid w:val="00C275B4"/>
    <w:rsid w:val="00C310A0"/>
    <w:rsid w:val="00C351DB"/>
    <w:rsid w:val="00C36A88"/>
    <w:rsid w:val="00C44141"/>
    <w:rsid w:val="00C53EEF"/>
    <w:rsid w:val="00C55A01"/>
    <w:rsid w:val="00C56A39"/>
    <w:rsid w:val="00C57DD6"/>
    <w:rsid w:val="00C607D5"/>
    <w:rsid w:val="00C62A8F"/>
    <w:rsid w:val="00C634E0"/>
    <w:rsid w:val="00C671BC"/>
    <w:rsid w:val="00C70919"/>
    <w:rsid w:val="00C759E4"/>
    <w:rsid w:val="00C75BEC"/>
    <w:rsid w:val="00C80D96"/>
    <w:rsid w:val="00C83560"/>
    <w:rsid w:val="00C836E3"/>
    <w:rsid w:val="00C83A19"/>
    <w:rsid w:val="00C8527E"/>
    <w:rsid w:val="00C855D2"/>
    <w:rsid w:val="00C85E96"/>
    <w:rsid w:val="00C86FBD"/>
    <w:rsid w:val="00C9128F"/>
    <w:rsid w:val="00C91666"/>
    <w:rsid w:val="00C9219D"/>
    <w:rsid w:val="00C923D5"/>
    <w:rsid w:val="00C94E84"/>
    <w:rsid w:val="00CA0D9F"/>
    <w:rsid w:val="00CA18FB"/>
    <w:rsid w:val="00CA1BD1"/>
    <w:rsid w:val="00CA1CEF"/>
    <w:rsid w:val="00CB030A"/>
    <w:rsid w:val="00CB125C"/>
    <w:rsid w:val="00CB455B"/>
    <w:rsid w:val="00CB4D87"/>
    <w:rsid w:val="00CC4E6E"/>
    <w:rsid w:val="00CC6E0A"/>
    <w:rsid w:val="00CC7617"/>
    <w:rsid w:val="00CC7935"/>
    <w:rsid w:val="00CD17D1"/>
    <w:rsid w:val="00CD20F9"/>
    <w:rsid w:val="00CD66FB"/>
    <w:rsid w:val="00CD67D5"/>
    <w:rsid w:val="00CE3BC9"/>
    <w:rsid w:val="00CE6D2A"/>
    <w:rsid w:val="00CE70E4"/>
    <w:rsid w:val="00CF0889"/>
    <w:rsid w:val="00CF2156"/>
    <w:rsid w:val="00CF41C5"/>
    <w:rsid w:val="00CF4D7B"/>
    <w:rsid w:val="00CF6914"/>
    <w:rsid w:val="00CF7F30"/>
    <w:rsid w:val="00D003AF"/>
    <w:rsid w:val="00D049C3"/>
    <w:rsid w:val="00D062A5"/>
    <w:rsid w:val="00D07715"/>
    <w:rsid w:val="00D106FE"/>
    <w:rsid w:val="00D10ED3"/>
    <w:rsid w:val="00D125E8"/>
    <w:rsid w:val="00D12D3B"/>
    <w:rsid w:val="00D13D7B"/>
    <w:rsid w:val="00D14535"/>
    <w:rsid w:val="00D15FDA"/>
    <w:rsid w:val="00D161B7"/>
    <w:rsid w:val="00D21A22"/>
    <w:rsid w:val="00D21ED8"/>
    <w:rsid w:val="00D22A32"/>
    <w:rsid w:val="00D23012"/>
    <w:rsid w:val="00D26EC1"/>
    <w:rsid w:val="00D2709A"/>
    <w:rsid w:val="00D30569"/>
    <w:rsid w:val="00D31F30"/>
    <w:rsid w:val="00D31F45"/>
    <w:rsid w:val="00D335BB"/>
    <w:rsid w:val="00D34B05"/>
    <w:rsid w:val="00D37504"/>
    <w:rsid w:val="00D37996"/>
    <w:rsid w:val="00D4725F"/>
    <w:rsid w:val="00D47EAE"/>
    <w:rsid w:val="00D54091"/>
    <w:rsid w:val="00D54B9A"/>
    <w:rsid w:val="00D54F2F"/>
    <w:rsid w:val="00D557F5"/>
    <w:rsid w:val="00D61100"/>
    <w:rsid w:val="00D61C45"/>
    <w:rsid w:val="00D62AEF"/>
    <w:rsid w:val="00D62CE1"/>
    <w:rsid w:val="00D64DD6"/>
    <w:rsid w:val="00D6587C"/>
    <w:rsid w:val="00D72C4E"/>
    <w:rsid w:val="00D756CA"/>
    <w:rsid w:val="00D77713"/>
    <w:rsid w:val="00D7798A"/>
    <w:rsid w:val="00D8307B"/>
    <w:rsid w:val="00D8327C"/>
    <w:rsid w:val="00D836F7"/>
    <w:rsid w:val="00D84645"/>
    <w:rsid w:val="00D864F8"/>
    <w:rsid w:val="00D879A3"/>
    <w:rsid w:val="00D93123"/>
    <w:rsid w:val="00DA527C"/>
    <w:rsid w:val="00DA5B6B"/>
    <w:rsid w:val="00DA700C"/>
    <w:rsid w:val="00DB2EF0"/>
    <w:rsid w:val="00DB4640"/>
    <w:rsid w:val="00DB72D0"/>
    <w:rsid w:val="00DC44F4"/>
    <w:rsid w:val="00DD027E"/>
    <w:rsid w:val="00DD0447"/>
    <w:rsid w:val="00DD05BB"/>
    <w:rsid w:val="00DD688C"/>
    <w:rsid w:val="00DE2783"/>
    <w:rsid w:val="00DE27B8"/>
    <w:rsid w:val="00DE3D55"/>
    <w:rsid w:val="00DE5707"/>
    <w:rsid w:val="00DE70C6"/>
    <w:rsid w:val="00DF0DB1"/>
    <w:rsid w:val="00DF21A8"/>
    <w:rsid w:val="00DF3A84"/>
    <w:rsid w:val="00DF7C6E"/>
    <w:rsid w:val="00E01663"/>
    <w:rsid w:val="00E01A46"/>
    <w:rsid w:val="00E04FDE"/>
    <w:rsid w:val="00E07A39"/>
    <w:rsid w:val="00E104EF"/>
    <w:rsid w:val="00E125CB"/>
    <w:rsid w:val="00E13C7D"/>
    <w:rsid w:val="00E13EDF"/>
    <w:rsid w:val="00E146EE"/>
    <w:rsid w:val="00E165C9"/>
    <w:rsid w:val="00E17165"/>
    <w:rsid w:val="00E202E6"/>
    <w:rsid w:val="00E21B3E"/>
    <w:rsid w:val="00E21F7E"/>
    <w:rsid w:val="00E224C3"/>
    <w:rsid w:val="00E22BB4"/>
    <w:rsid w:val="00E23B83"/>
    <w:rsid w:val="00E23FD1"/>
    <w:rsid w:val="00E25D87"/>
    <w:rsid w:val="00E27377"/>
    <w:rsid w:val="00E300EC"/>
    <w:rsid w:val="00E31E46"/>
    <w:rsid w:val="00E332F5"/>
    <w:rsid w:val="00E34AE2"/>
    <w:rsid w:val="00E37601"/>
    <w:rsid w:val="00E42235"/>
    <w:rsid w:val="00E43B3E"/>
    <w:rsid w:val="00E4414C"/>
    <w:rsid w:val="00E443BA"/>
    <w:rsid w:val="00E45FB7"/>
    <w:rsid w:val="00E470CE"/>
    <w:rsid w:val="00E50F94"/>
    <w:rsid w:val="00E528C9"/>
    <w:rsid w:val="00E5462E"/>
    <w:rsid w:val="00E62AD0"/>
    <w:rsid w:val="00E65605"/>
    <w:rsid w:val="00E65AFF"/>
    <w:rsid w:val="00E6767D"/>
    <w:rsid w:val="00E7411A"/>
    <w:rsid w:val="00E77A83"/>
    <w:rsid w:val="00E85972"/>
    <w:rsid w:val="00E90E9C"/>
    <w:rsid w:val="00E9512C"/>
    <w:rsid w:val="00EA0077"/>
    <w:rsid w:val="00EA0E38"/>
    <w:rsid w:val="00EA1872"/>
    <w:rsid w:val="00EA2F22"/>
    <w:rsid w:val="00EA604E"/>
    <w:rsid w:val="00EA6536"/>
    <w:rsid w:val="00EA7167"/>
    <w:rsid w:val="00EB0026"/>
    <w:rsid w:val="00EB0384"/>
    <w:rsid w:val="00EB39F8"/>
    <w:rsid w:val="00EB3AE8"/>
    <w:rsid w:val="00EB6196"/>
    <w:rsid w:val="00EB67F0"/>
    <w:rsid w:val="00EB6B0C"/>
    <w:rsid w:val="00EB6F46"/>
    <w:rsid w:val="00EC058C"/>
    <w:rsid w:val="00EC1BDE"/>
    <w:rsid w:val="00EC1F4B"/>
    <w:rsid w:val="00ED1413"/>
    <w:rsid w:val="00ED1663"/>
    <w:rsid w:val="00ED1E2A"/>
    <w:rsid w:val="00ED50F5"/>
    <w:rsid w:val="00ED6BE1"/>
    <w:rsid w:val="00ED7099"/>
    <w:rsid w:val="00ED7757"/>
    <w:rsid w:val="00EE027B"/>
    <w:rsid w:val="00EE31DF"/>
    <w:rsid w:val="00EE7916"/>
    <w:rsid w:val="00EF1C6E"/>
    <w:rsid w:val="00EF2C80"/>
    <w:rsid w:val="00EF4D3B"/>
    <w:rsid w:val="00EF6A34"/>
    <w:rsid w:val="00EF7579"/>
    <w:rsid w:val="00F00BE0"/>
    <w:rsid w:val="00F016BD"/>
    <w:rsid w:val="00F026F0"/>
    <w:rsid w:val="00F0680A"/>
    <w:rsid w:val="00F06ED0"/>
    <w:rsid w:val="00F12013"/>
    <w:rsid w:val="00F12999"/>
    <w:rsid w:val="00F13822"/>
    <w:rsid w:val="00F14565"/>
    <w:rsid w:val="00F14A70"/>
    <w:rsid w:val="00F175A5"/>
    <w:rsid w:val="00F230F1"/>
    <w:rsid w:val="00F27B8D"/>
    <w:rsid w:val="00F304FB"/>
    <w:rsid w:val="00F313F8"/>
    <w:rsid w:val="00F315AB"/>
    <w:rsid w:val="00F33F07"/>
    <w:rsid w:val="00F35871"/>
    <w:rsid w:val="00F35D52"/>
    <w:rsid w:val="00F35F8C"/>
    <w:rsid w:val="00F36C93"/>
    <w:rsid w:val="00F373E1"/>
    <w:rsid w:val="00F42574"/>
    <w:rsid w:val="00F45257"/>
    <w:rsid w:val="00F45CA2"/>
    <w:rsid w:val="00F45D78"/>
    <w:rsid w:val="00F46154"/>
    <w:rsid w:val="00F46AD5"/>
    <w:rsid w:val="00F47DCD"/>
    <w:rsid w:val="00F50CA4"/>
    <w:rsid w:val="00F50CE7"/>
    <w:rsid w:val="00F51438"/>
    <w:rsid w:val="00F5301A"/>
    <w:rsid w:val="00F549E7"/>
    <w:rsid w:val="00F5550D"/>
    <w:rsid w:val="00F618BB"/>
    <w:rsid w:val="00F6302F"/>
    <w:rsid w:val="00F67625"/>
    <w:rsid w:val="00F76B14"/>
    <w:rsid w:val="00F81487"/>
    <w:rsid w:val="00F85F21"/>
    <w:rsid w:val="00F90CF5"/>
    <w:rsid w:val="00F91AD8"/>
    <w:rsid w:val="00F922B1"/>
    <w:rsid w:val="00FA1CBD"/>
    <w:rsid w:val="00FA56EF"/>
    <w:rsid w:val="00FA5D99"/>
    <w:rsid w:val="00FA6505"/>
    <w:rsid w:val="00FA72F6"/>
    <w:rsid w:val="00FB10A3"/>
    <w:rsid w:val="00FB36D4"/>
    <w:rsid w:val="00FB3B0F"/>
    <w:rsid w:val="00FB510B"/>
    <w:rsid w:val="00FB5D1B"/>
    <w:rsid w:val="00FB75F9"/>
    <w:rsid w:val="00FB7C5A"/>
    <w:rsid w:val="00FC1C97"/>
    <w:rsid w:val="00FC26BF"/>
    <w:rsid w:val="00FC423E"/>
    <w:rsid w:val="00FC523E"/>
    <w:rsid w:val="00FC6CE0"/>
    <w:rsid w:val="00FC7232"/>
    <w:rsid w:val="00FC7525"/>
    <w:rsid w:val="00FD1A30"/>
    <w:rsid w:val="00FD418F"/>
    <w:rsid w:val="00FD4365"/>
    <w:rsid w:val="00FD4D39"/>
    <w:rsid w:val="00FD4F52"/>
    <w:rsid w:val="00FD532F"/>
    <w:rsid w:val="00FE1EF3"/>
    <w:rsid w:val="00FE315D"/>
    <w:rsid w:val="00FE3182"/>
    <w:rsid w:val="00FE41E1"/>
    <w:rsid w:val="00FE55F1"/>
    <w:rsid w:val="00FF213C"/>
    <w:rsid w:val="00FF4D81"/>
    <w:rsid w:val="00FF75F5"/>
    <w:rsid w:val="01177A27"/>
    <w:rsid w:val="01211EC7"/>
    <w:rsid w:val="014C4DA3"/>
    <w:rsid w:val="01565C22"/>
    <w:rsid w:val="01592D24"/>
    <w:rsid w:val="017037C3"/>
    <w:rsid w:val="01775986"/>
    <w:rsid w:val="01837814"/>
    <w:rsid w:val="018E7ABF"/>
    <w:rsid w:val="0198796C"/>
    <w:rsid w:val="01C133B8"/>
    <w:rsid w:val="01C81F50"/>
    <w:rsid w:val="01EC55F9"/>
    <w:rsid w:val="020F2171"/>
    <w:rsid w:val="023423AE"/>
    <w:rsid w:val="02454D80"/>
    <w:rsid w:val="027F16DB"/>
    <w:rsid w:val="0285782E"/>
    <w:rsid w:val="02A3645B"/>
    <w:rsid w:val="02AC38D7"/>
    <w:rsid w:val="02BC7D06"/>
    <w:rsid w:val="02C62933"/>
    <w:rsid w:val="02F778BD"/>
    <w:rsid w:val="03121468"/>
    <w:rsid w:val="03604B36"/>
    <w:rsid w:val="03822C68"/>
    <w:rsid w:val="038C654A"/>
    <w:rsid w:val="038E07EA"/>
    <w:rsid w:val="039224BE"/>
    <w:rsid w:val="039C7734"/>
    <w:rsid w:val="039F2BBC"/>
    <w:rsid w:val="03AA4003"/>
    <w:rsid w:val="03B64756"/>
    <w:rsid w:val="03D96AC5"/>
    <w:rsid w:val="04001E75"/>
    <w:rsid w:val="041D47D5"/>
    <w:rsid w:val="045D3085"/>
    <w:rsid w:val="045F6B9B"/>
    <w:rsid w:val="04660909"/>
    <w:rsid w:val="04A17779"/>
    <w:rsid w:val="04B96AEC"/>
    <w:rsid w:val="04CC1D57"/>
    <w:rsid w:val="04CF59E7"/>
    <w:rsid w:val="04F419D9"/>
    <w:rsid w:val="05071955"/>
    <w:rsid w:val="050B36B6"/>
    <w:rsid w:val="051E3875"/>
    <w:rsid w:val="05240BE8"/>
    <w:rsid w:val="052971A9"/>
    <w:rsid w:val="0533125B"/>
    <w:rsid w:val="054B2562"/>
    <w:rsid w:val="054F4EE9"/>
    <w:rsid w:val="056337F9"/>
    <w:rsid w:val="05704DD8"/>
    <w:rsid w:val="057743B8"/>
    <w:rsid w:val="05850883"/>
    <w:rsid w:val="0596513B"/>
    <w:rsid w:val="05AF064A"/>
    <w:rsid w:val="05BE3D95"/>
    <w:rsid w:val="05C018BB"/>
    <w:rsid w:val="065F7326"/>
    <w:rsid w:val="0693167B"/>
    <w:rsid w:val="06AB5586"/>
    <w:rsid w:val="06BF670C"/>
    <w:rsid w:val="06C6107F"/>
    <w:rsid w:val="06CB44B7"/>
    <w:rsid w:val="06E84EE4"/>
    <w:rsid w:val="06EA381B"/>
    <w:rsid w:val="06EE20B1"/>
    <w:rsid w:val="06F153B1"/>
    <w:rsid w:val="06F85085"/>
    <w:rsid w:val="06FF5041"/>
    <w:rsid w:val="071D4AEC"/>
    <w:rsid w:val="07464042"/>
    <w:rsid w:val="075B63E2"/>
    <w:rsid w:val="07677894"/>
    <w:rsid w:val="079270C9"/>
    <w:rsid w:val="07A11279"/>
    <w:rsid w:val="07A66248"/>
    <w:rsid w:val="07B1625B"/>
    <w:rsid w:val="07B31A08"/>
    <w:rsid w:val="07BC4304"/>
    <w:rsid w:val="07C5765D"/>
    <w:rsid w:val="07D96E9C"/>
    <w:rsid w:val="08071442"/>
    <w:rsid w:val="08167EB9"/>
    <w:rsid w:val="08183C31"/>
    <w:rsid w:val="082B7A28"/>
    <w:rsid w:val="08311B3B"/>
    <w:rsid w:val="084F4F9C"/>
    <w:rsid w:val="08534B88"/>
    <w:rsid w:val="085530EF"/>
    <w:rsid w:val="086C2339"/>
    <w:rsid w:val="0874513E"/>
    <w:rsid w:val="087B5F6E"/>
    <w:rsid w:val="08911789"/>
    <w:rsid w:val="08A27337"/>
    <w:rsid w:val="08BC1608"/>
    <w:rsid w:val="08C4732B"/>
    <w:rsid w:val="08F062C2"/>
    <w:rsid w:val="09024A5A"/>
    <w:rsid w:val="09044B9E"/>
    <w:rsid w:val="0906003D"/>
    <w:rsid w:val="090B19E1"/>
    <w:rsid w:val="0910646C"/>
    <w:rsid w:val="09382988"/>
    <w:rsid w:val="09412D13"/>
    <w:rsid w:val="09576640"/>
    <w:rsid w:val="098F0B0A"/>
    <w:rsid w:val="09AC6517"/>
    <w:rsid w:val="09B907C2"/>
    <w:rsid w:val="09E15530"/>
    <w:rsid w:val="09E574FA"/>
    <w:rsid w:val="0A0D0E47"/>
    <w:rsid w:val="0A1B58FF"/>
    <w:rsid w:val="0A2163C5"/>
    <w:rsid w:val="0A334D52"/>
    <w:rsid w:val="0A410AF1"/>
    <w:rsid w:val="0A514413"/>
    <w:rsid w:val="0A682522"/>
    <w:rsid w:val="0A6D7B49"/>
    <w:rsid w:val="0A82485B"/>
    <w:rsid w:val="0A94402E"/>
    <w:rsid w:val="0AD11D45"/>
    <w:rsid w:val="0AD66408"/>
    <w:rsid w:val="0AE903B8"/>
    <w:rsid w:val="0AEE0C79"/>
    <w:rsid w:val="0B1873A5"/>
    <w:rsid w:val="0B1D330C"/>
    <w:rsid w:val="0B1F7084"/>
    <w:rsid w:val="0B3B0CA0"/>
    <w:rsid w:val="0B5F3B76"/>
    <w:rsid w:val="0B602C14"/>
    <w:rsid w:val="0B603134"/>
    <w:rsid w:val="0B7462A1"/>
    <w:rsid w:val="0B8415DD"/>
    <w:rsid w:val="0B8B2A81"/>
    <w:rsid w:val="0B8C21F5"/>
    <w:rsid w:val="0BA137A0"/>
    <w:rsid w:val="0BA16641"/>
    <w:rsid w:val="0BAD643E"/>
    <w:rsid w:val="0BB71100"/>
    <w:rsid w:val="0BD7786C"/>
    <w:rsid w:val="0C0F534B"/>
    <w:rsid w:val="0C49645E"/>
    <w:rsid w:val="0C60588C"/>
    <w:rsid w:val="0C88548B"/>
    <w:rsid w:val="0C8A2C23"/>
    <w:rsid w:val="0C9337AA"/>
    <w:rsid w:val="0CA23AC9"/>
    <w:rsid w:val="0CA43CE5"/>
    <w:rsid w:val="0CAC6BB6"/>
    <w:rsid w:val="0CB437FC"/>
    <w:rsid w:val="0CC34F37"/>
    <w:rsid w:val="0CEA05CC"/>
    <w:rsid w:val="0CEA1C84"/>
    <w:rsid w:val="0CF611FD"/>
    <w:rsid w:val="0D2546FA"/>
    <w:rsid w:val="0D864353"/>
    <w:rsid w:val="0D8F7348"/>
    <w:rsid w:val="0D993394"/>
    <w:rsid w:val="0D9C676A"/>
    <w:rsid w:val="0DC37950"/>
    <w:rsid w:val="0DCC756C"/>
    <w:rsid w:val="0DD505F0"/>
    <w:rsid w:val="0DDA1988"/>
    <w:rsid w:val="0DEA5E6A"/>
    <w:rsid w:val="0DFC36FB"/>
    <w:rsid w:val="0E2230B3"/>
    <w:rsid w:val="0E311790"/>
    <w:rsid w:val="0E536488"/>
    <w:rsid w:val="0E560A58"/>
    <w:rsid w:val="0E782D40"/>
    <w:rsid w:val="0E820056"/>
    <w:rsid w:val="0E837D5C"/>
    <w:rsid w:val="0E8A515C"/>
    <w:rsid w:val="0EAD00AF"/>
    <w:rsid w:val="0EB37705"/>
    <w:rsid w:val="0EB775D4"/>
    <w:rsid w:val="0EE626FA"/>
    <w:rsid w:val="0EFE5203"/>
    <w:rsid w:val="0F0462B0"/>
    <w:rsid w:val="0F0D26CC"/>
    <w:rsid w:val="0F1669F0"/>
    <w:rsid w:val="0F184ADA"/>
    <w:rsid w:val="0F225F74"/>
    <w:rsid w:val="0F271942"/>
    <w:rsid w:val="0F331350"/>
    <w:rsid w:val="0F337FF9"/>
    <w:rsid w:val="0F583529"/>
    <w:rsid w:val="0F6B2388"/>
    <w:rsid w:val="0F7756E1"/>
    <w:rsid w:val="0FA1669B"/>
    <w:rsid w:val="0FD20B69"/>
    <w:rsid w:val="0FDA030E"/>
    <w:rsid w:val="0FE14279"/>
    <w:rsid w:val="10173A8A"/>
    <w:rsid w:val="102A0D6A"/>
    <w:rsid w:val="1035572D"/>
    <w:rsid w:val="10B84D24"/>
    <w:rsid w:val="10D8237A"/>
    <w:rsid w:val="10EF538B"/>
    <w:rsid w:val="10F16DCD"/>
    <w:rsid w:val="111B209C"/>
    <w:rsid w:val="11312DC0"/>
    <w:rsid w:val="113927BE"/>
    <w:rsid w:val="114701EB"/>
    <w:rsid w:val="115F467E"/>
    <w:rsid w:val="118848CF"/>
    <w:rsid w:val="118A654F"/>
    <w:rsid w:val="11BA5F58"/>
    <w:rsid w:val="11C11380"/>
    <w:rsid w:val="11EB5F12"/>
    <w:rsid w:val="12011357"/>
    <w:rsid w:val="12092462"/>
    <w:rsid w:val="120F2891"/>
    <w:rsid w:val="1219036F"/>
    <w:rsid w:val="121A13FC"/>
    <w:rsid w:val="121D403F"/>
    <w:rsid w:val="12413D84"/>
    <w:rsid w:val="12990F61"/>
    <w:rsid w:val="129F7C67"/>
    <w:rsid w:val="12E22503"/>
    <w:rsid w:val="12F55F39"/>
    <w:rsid w:val="13264BD7"/>
    <w:rsid w:val="13380DD8"/>
    <w:rsid w:val="133D09EF"/>
    <w:rsid w:val="1344521A"/>
    <w:rsid w:val="134804CB"/>
    <w:rsid w:val="13645ACB"/>
    <w:rsid w:val="139B74C4"/>
    <w:rsid w:val="13A50343"/>
    <w:rsid w:val="13D44B3F"/>
    <w:rsid w:val="13E957B5"/>
    <w:rsid w:val="13EB41FA"/>
    <w:rsid w:val="13F54664"/>
    <w:rsid w:val="14072DAB"/>
    <w:rsid w:val="14143437"/>
    <w:rsid w:val="14200447"/>
    <w:rsid w:val="14316870"/>
    <w:rsid w:val="14412BB2"/>
    <w:rsid w:val="1452373F"/>
    <w:rsid w:val="146F2D0E"/>
    <w:rsid w:val="149211FB"/>
    <w:rsid w:val="14986A34"/>
    <w:rsid w:val="14A910E0"/>
    <w:rsid w:val="14AF2F65"/>
    <w:rsid w:val="14D00F64"/>
    <w:rsid w:val="14DB278B"/>
    <w:rsid w:val="14DC7CD5"/>
    <w:rsid w:val="14F03BE9"/>
    <w:rsid w:val="14F52C04"/>
    <w:rsid w:val="152B22BF"/>
    <w:rsid w:val="154162B3"/>
    <w:rsid w:val="158B43F7"/>
    <w:rsid w:val="15997A33"/>
    <w:rsid w:val="15A078BC"/>
    <w:rsid w:val="15AE733A"/>
    <w:rsid w:val="15DF7B32"/>
    <w:rsid w:val="15F07F9B"/>
    <w:rsid w:val="16322361"/>
    <w:rsid w:val="16436C21"/>
    <w:rsid w:val="164D0F49"/>
    <w:rsid w:val="166C3DC8"/>
    <w:rsid w:val="16930926"/>
    <w:rsid w:val="1697741D"/>
    <w:rsid w:val="16CA259A"/>
    <w:rsid w:val="16D849B0"/>
    <w:rsid w:val="16F93153"/>
    <w:rsid w:val="16F969DB"/>
    <w:rsid w:val="16FE3FF2"/>
    <w:rsid w:val="17137D16"/>
    <w:rsid w:val="17213DAE"/>
    <w:rsid w:val="172A1253"/>
    <w:rsid w:val="172B0B5F"/>
    <w:rsid w:val="1765414D"/>
    <w:rsid w:val="177E15D6"/>
    <w:rsid w:val="17887A59"/>
    <w:rsid w:val="178A3AD7"/>
    <w:rsid w:val="179E7583"/>
    <w:rsid w:val="17BB6064"/>
    <w:rsid w:val="17C43DD0"/>
    <w:rsid w:val="17D30F40"/>
    <w:rsid w:val="17F13B56"/>
    <w:rsid w:val="17F378CF"/>
    <w:rsid w:val="18147845"/>
    <w:rsid w:val="18264209"/>
    <w:rsid w:val="18534811"/>
    <w:rsid w:val="188C4DE8"/>
    <w:rsid w:val="18904498"/>
    <w:rsid w:val="18A3471E"/>
    <w:rsid w:val="18AE3384"/>
    <w:rsid w:val="18BA7315"/>
    <w:rsid w:val="18C474BD"/>
    <w:rsid w:val="18D333DA"/>
    <w:rsid w:val="18FB66E5"/>
    <w:rsid w:val="1901601B"/>
    <w:rsid w:val="191E097B"/>
    <w:rsid w:val="192B4DF7"/>
    <w:rsid w:val="19405F26"/>
    <w:rsid w:val="19434185"/>
    <w:rsid w:val="194A112D"/>
    <w:rsid w:val="194D2535"/>
    <w:rsid w:val="194D2A56"/>
    <w:rsid w:val="19570331"/>
    <w:rsid w:val="1975142E"/>
    <w:rsid w:val="198D53B4"/>
    <w:rsid w:val="19BA6371"/>
    <w:rsid w:val="19CC487B"/>
    <w:rsid w:val="19F52C99"/>
    <w:rsid w:val="19F618F8"/>
    <w:rsid w:val="19F90D7B"/>
    <w:rsid w:val="19FE255B"/>
    <w:rsid w:val="1A1837F3"/>
    <w:rsid w:val="1A1C5FFD"/>
    <w:rsid w:val="1A292634"/>
    <w:rsid w:val="1A3B272E"/>
    <w:rsid w:val="1A4964D8"/>
    <w:rsid w:val="1A4C59BC"/>
    <w:rsid w:val="1A554870"/>
    <w:rsid w:val="1A613215"/>
    <w:rsid w:val="1A6B4094"/>
    <w:rsid w:val="1A7867B1"/>
    <w:rsid w:val="1A98650B"/>
    <w:rsid w:val="1A9F3EA8"/>
    <w:rsid w:val="1AA55605"/>
    <w:rsid w:val="1AA94AE2"/>
    <w:rsid w:val="1AB332F0"/>
    <w:rsid w:val="1AE6371B"/>
    <w:rsid w:val="1AF6583C"/>
    <w:rsid w:val="1AFA5418"/>
    <w:rsid w:val="1B067919"/>
    <w:rsid w:val="1B0A2D61"/>
    <w:rsid w:val="1B0F63F2"/>
    <w:rsid w:val="1B476E3B"/>
    <w:rsid w:val="1B7B66B5"/>
    <w:rsid w:val="1B7E3953"/>
    <w:rsid w:val="1BC03F6C"/>
    <w:rsid w:val="1BD143CB"/>
    <w:rsid w:val="1BDA6DEB"/>
    <w:rsid w:val="1BF43C15"/>
    <w:rsid w:val="1C0B7651"/>
    <w:rsid w:val="1C1E0C92"/>
    <w:rsid w:val="1C225F98"/>
    <w:rsid w:val="1C2564C4"/>
    <w:rsid w:val="1C272EF4"/>
    <w:rsid w:val="1C424981"/>
    <w:rsid w:val="1C481872"/>
    <w:rsid w:val="1C563268"/>
    <w:rsid w:val="1C726D5F"/>
    <w:rsid w:val="1C977056"/>
    <w:rsid w:val="1CAA6093"/>
    <w:rsid w:val="1CAC2742"/>
    <w:rsid w:val="1CCE090A"/>
    <w:rsid w:val="1CEC2B3E"/>
    <w:rsid w:val="1D271DC8"/>
    <w:rsid w:val="1D2A0A29"/>
    <w:rsid w:val="1D320A97"/>
    <w:rsid w:val="1D3541D9"/>
    <w:rsid w:val="1D39260F"/>
    <w:rsid w:val="1D3E6FE0"/>
    <w:rsid w:val="1D4F1A4B"/>
    <w:rsid w:val="1D4F2685"/>
    <w:rsid w:val="1D7338DC"/>
    <w:rsid w:val="1D8965DF"/>
    <w:rsid w:val="1D9236E6"/>
    <w:rsid w:val="1DAF281A"/>
    <w:rsid w:val="1DD106B2"/>
    <w:rsid w:val="1DE008F5"/>
    <w:rsid w:val="1DF0665E"/>
    <w:rsid w:val="1E29229C"/>
    <w:rsid w:val="1E3E2D25"/>
    <w:rsid w:val="1E4507E4"/>
    <w:rsid w:val="1E6210B8"/>
    <w:rsid w:val="1E666F5E"/>
    <w:rsid w:val="1E7D5E1E"/>
    <w:rsid w:val="1E9E482A"/>
    <w:rsid w:val="1EC014EF"/>
    <w:rsid w:val="1EC664F8"/>
    <w:rsid w:val="1EC91389"/>
    <w:rsid w:val="1ED3045A"/>
    <w:rsid w:val="1EDA6951"/>
    <w:rsid w:val="1EF70B4B"/>
    <w:rsid w:val="1F0E6952"/>
    <w:rsid w:val="1F220A99"/>
    <w:rsid w:val="1F2A3348"/>
    <w:rsid w:val="1F4673C3"/>
    <w:rsid w:val="1F4C4878"/>
    <w:rsid w:val="1F657087"/>
    <w:rsid w:val="1F843579"/>
    <w:rsid w:val="1FA0658E"/>
    <w:rsid w:val="1FA2402F"/>
    <w:rsid w:val="1FAB572F"/>
    <w:rsid w:val="1FBC2C9C"/>
    <w:rsid w:val="1FDB5818"/>
    <w:rsid w:val="1FF91559"/>
    <w:rsid w:val="20131117"/>
    <w:rsid w:val="20176124"/>
    <w:rsid w:val="20531852"/>
    <w:rsid w:val="205B3BE3"/>
    <w:rsid w:val="208239E9"/>
    <w:rsid w:val="20A43E5C"/>
    <w:rsid w:val="20B61DE1"/>
    <w:rsid w:val="20C55B80"/>
    <w:rsid w:val="20C81DA3"/>
    <w:rsid w:val="21132D8F"/>
    <w:rsid w:val="211C60E8"/>
    <w:rsid w:val="2133559C"/>
    <w:rsid w:val="213F5933"/>
    <w:rsid w:val="214E697E"/>
    <w:rsid w:val="218B501C"/>
    <w:rsid w:val="21974A6F"/>
    <w:rsid w:val="2197576F"/>
    <w:rsid w:val="219C4B33"/>
    <w:rsid w:val="21A3266E"/>
    <w:rsid w:val="21C26CCA"/>
    <w:rsid w:val="21CB284F"/>
    <w:rsid w:val="21CC31CC"/>
    <w:rsid w:val="21E93AF0"/>
    <w:rsid w:val="22155EFF"/>
    <w:rsid w:val="22411A5B"/>
    <w:rsid w:val="224873BB"/>
    <w:rsid w:val="225B49EE"/>
    <w:rsid w:val="226006F6"/>
    <w:rsid w:val="2268661C"/>
    <w:rsid w:val="22771730"/>
    <w:rsid w:val="22782496"/>
    <w:rsid w:val="227855A0"/>
    <w:rsid w:val="227C4964"/>
    <w:rsid w:val="227C4DC1"/>
    <w:rsid w:val="227F0AA8"/>
    <w:rsid w:val="22AB2EC8"/>
    <w:rsid w:val="22CC3183"/>
    <w:rsid w:val="22D87DED"/>
    <w:rsid w:val="22D95913"/>
    <w:rsid w:val="22F65468"/>
    <w:rsid w:val="22FD5AA5"/>
    <w:rsid w:val="231F66DA"/>
    <w:rsid w:val="23207452"/>
    <w:rsid w:val="232C18AC"/>
    <w:rsid w:val="234B4D59"/>
    <w:rsid w:val="2355768F"/>
    <w:rsid w:val="2364528E"/>
    <w:rsid w:val="23756A33"/>
    <w:rsid w:val="238B4E5F"/>
    <w:rsid w:val="2395665B"/>
    <w:rsid w:val="23AC3027"/>
    <w:rsid w:val="23D557DC"/>
    <w:rsid w:val="23D70CD9"/>
    <w:rsid w:val="240D3AC6"/>
    <w:rsid w:val="24184152"/>
    <w:rsid w:val="241C63FF"/>
    <w:rsid w:val="24341072"/>
    <w:rsid w:val="243C43AB"/>
    <w:rsid w:val="244B0A92"/>
    <w:rsid w:val="244C0D50"/>
    <w:rsid w:val="245E4322"/>
    <w:rsid w:val="247B4ED4"/>
    <w:rsid w:val="247D6155"/>
    <w:rsid w:val="247E3EBA"/>
    <w:rsid w:val="249929CE"/>
    <w:rsid w:val="249A5961"/>
    <w:rsid w:val="24B2466D"/>
    <w:rsid w:val="24BE1264"/>
    <w:rsid w:val="24C10D89"/>
    <w:rsid w:val="24D33F00"/>
    <w:rsid w:val="24E02810"/>
    <w:rsid w:val="24F36825"/>
    <w:rsid w:val="251D497E"/>
    <w:rsid w:val="253E4BFC"/>
    <w:rsid w:val="2540611D"/>
    <w:rsid w:val="25445D9E"/>
    <w:rsid w:val="25486966"/>
    <w:rsid w:val="257C40AA"/>
    <w:rsid w:val="259049AF"/>
    <w:rsid w:val="25DD1EC3"/>
    <w:rsid w:val="25EE7C9B"/>
    <w:rsid w:val="26211AAB"/>
    <w:rsid w:val="263D4A6F"/>
    <w:rsid w:val="264D28A0"/>
    <w:rsid w:val="266013C0"/>
    <w:rsid w:val="267B5E32"/>
    <w:rsid w:val="2681079B"/>
    <w:rsid w:val="269640B9"/>
    <w:rsid w:val="26AB069B"/>
    <w:rsid w:val="26B40B71"/>
    <w:rsid w:val="26CF57CC"/>
    <w:rsid w:val="26D0702D"/>
    <w:rsid w:val="26D92D59"/>
    <w:rsid w:val="27022042"/>
    <w:rsid w:val="272B4D3F"/>
    <w:rsid w:val="27433CA3"/>
    <w:rsid w:val="27461532"/>
    <w:rsid w:val="27502468"/>
    <w:rsid w:val="276C29FF"/>
    <w:rsid w:val="27954415"/>
    <w:rsid w:val="27B13177"/>
    <w:rsid w:val="27BF3B42"/>
    <w:rsid w:val="280E2503"/>
    <w:rsid w:val="28226545"/>
    <w:rsid w:val="28341F69"/>
    <w:rsid w:val="283678DA"/>
    <w:rsid w:val="28506677"/>
    <w:rsid w:val="28855A7D"/>
    <w:rsid w:val="28965C6A"/>
    <w:rsid w:val="28D63020"/>
    <w:rsid w:val="28F6721F"/>
    <w:rsid w:val="28FD66D7"/>
    <w:rsid w:val="29192F0D"/>
    <w:rsid w:val="291C47AB"/>
    <w:rsid w:val="294705FC"/>
    <w:rsid w:val="29A15EDD"/>
    <w:rsid w:val="29EB624B"/>
    <w:rsid w:val="2A0D0CC4"/>
    <w:rsid w:val="2A275ACA"/>
    <w:rsid w:val="2A472991"/>
    <w:rsid w:val="2A490E0C"/>
    <w:rsid w:val="2A566A91"/>
    <w:rsid w:val="2A6F5C0D"/>
    <w:rsid w:val="2A820F84"/>
    <w:rsid w:val="2ABF25ED"/>
    <w:rsid w:val="2AE070AF"/>
    <w:rsid w:val="2AE61515"/>
    <w:rsid w:val="2AFE685E"/>
    <w:rsid w:val="2B2A3917"/>
    <w:rsid w:val="2B307FD0"/>
    <w:rsid w:val="2B336ED3"/>
    <w:rsid w:val="2B471FB3"/>
    <w:rsid w:val="2B4D0625"/>
    <w:rsid w:val="2B4D4A0F"/>
    <w:rsid w:val="2B525912"/>
    <w:rsid w:val="2B73700F"/>
    <w:rsid w:val="2B8121A1"/>
    <w:rsid w:val="2BB46F1D"/>
    <w:rsid w:val="2BC47427"/>
    <w:rsid w:val="2BDB26FC"/>
    <w:rsid w:val="2BE30D8F"/>
    <w:rsid w:val="2BE94E19"/>
    <w:rsid w:val="2BE95450"/>
    <w:rsid w:val="2BFE6C98"/>
    <w:rsid w:val="2C0440A1"/>
    <w:rsid w:val="2C0734F1"/>
    <w:rsid w:val="2C1F4808"/>
    <w:rsid w:val="2C2643AF"/>
    <w:rsid w:val="2C2C73FB"/>
    <w:rsid w:val="2C4464F3"/>
    <w:rsid w:val="2C494983"/>
    <w:rsid w:val="2C5748D0"/>
    <w:rsid w:val="2CA70830"/>
    <w:rsid w:val="2CB3174D"/>
    <w:rsid w:val="2CC76232"/>
    <w:rsid w:val="2CE73C43"/>
    <w:rsid w:val="2CF271A5"/>
    <w:rsid w:val="2CF95076"/>
    <w:rsid w:val="2CFD77A3"/>
    <w:rsid w:val="2D395076"/>
    <w:rsid w:val="2D426A09"/>
    <w:rsid w:val="2D69305E"/>
    <w:rsid w:val="2D8400D7"/>
    <w:rsid w:val="2D851D9A"/>
    <w:rsid w:val="2D880661"/>
    <w:rsid w:val="2DA140C7"/>
    <w:rsid w:val="2DB271D7"/>
    <w:rsid w:val="2DD438A6"/>
    <w:rsid w:val="2DD45655"/>
    <w:rsid w:val="2E241400"/>
    <w:rsid w:val="2E7B3D22"/>
    <w:rsid w:val="2E8F3683"/>
    <w:rsid w:val="2EA65243"/>
    <w:rsid w:val="2EA80FBB"/>
    <w:rsid w:val="2EA8720D"/>
    <w:rsid w:val="2EDE0726"/>
    <w:rsid w:val="2EE63891"/>
    <w:rsid w:val="2EF0571D"/>
    <w:rsid w:val="2F104DB2"/>
    <w:rsid w:val="2F1D70ED"/>
    <w:rsid w:val="2F462582"/>
    <w:rsid w:val="2F7B10A8"/>
    <w:rsid w:val="2FA133CD"/>
    <w:rsid w:val="2FB7522E"/>
    <w:rsid w:val="2FC069D1"/>
    <w:rsid w:val="2FE7396B"/>
    <w:rsid w:val="300D7D4A"/>
    <w:rsid w:val="30100064"/>
    <w:rsid w:val="30110DE2"/>
    <w:rsid w:val="30136908"/>
    <w:rsid w:val="30405223"/>
    <w:rsid w:val="30495DAA"/>
    <w:rsid w:val="305C317B"/>
    <w:rsid w:val="30612620"/>
    <w:rsid w:val="30683829"/>
    <w:rsid w:val="30A734F4"/>
    <w:rsid w:val="30B31147"/>
    <w:rsid w:val="30B73737"/>
    <w:rsid w:val="30BF083E"/>
    <w:rsid w:val="30DE1D41"/>
    <w:rsid w:val="30E7123C"/>
    <w:rsid w:val="30FD3EF5"/>
    <w:rsid w:val="310B75DF"/>
    <w:rsid w:val="31181CFC"/>
    <w:rsid w:val="311F308B"/>
    <w:rsid w:val="31203028"/>
    <w:rsid w:val="315E3BB3"/>
    <w:rsid w:val="31615CDB"/>
    <w:rsid w:val="31940B55"/>
    <w:rsid w:val="31A17F44"/>
    <w:rsid w:val="31A4447F"/>
    <w:rsid w:val="31A54C58"/>
    <w:rsid w:val="31CF594B"/>
    <w:rsid w:val="31E577F4"/>
    <w:rsid w:val="31FE7C49"/>
    <w:rsid w:val="320E5E44"/>
    <w:rsid w:val="323E4D1D"/>
    <w:rsid w:val="324463DD"/>
    <w:rsid w:val="327411B4"/>
    <w:rsid w:val="32963820"/>
    <w:rsid w:val="329B2BE5"/>
    <w:rsid w:val="329F7BE7"/>
    <w:rsid w:val="32F02F31"/>
    <w:rsid w:val="32F273A6"/>
    <w:rsid w:val="32F63D9A"/>
    <w:rsid w:val="32FA5B5D"/>
    <w:rsid w:val="33004414"/>
    <w:rsid w:val="330662B0"/>
    <w:rsid w:val="331365CD"/>
    <w:rsid w:val="33196C24"/>
    <w:rsid w:val="3324544E"/>
    <w:rsid w:val="334B58AA"/>
    <w:rsid w:val="335C4122"/>
    <w:rsid w:val="338F0398"/>
    <w:rsid w:val="339715FE"/>
    <w:rsid w:val="339E2B0A"/>
    <w:rsid w:val="33B6329C"/>
    <w:rsid w:val="33DE0EF4"/>
    <w:rsid w:val="343F1685"/>
    <w:rsid w:val="346644D8"/>
    <w:rsid w:val="34B42C77"/>
    <w:rsid w:val="34C93A39"/>
    <w:rsid w:val="34CF00E0"/>
    <w:rsid w:val="34D4087A"/>
    <w:rsid w:val="34D84DA0"/>
    <w:rsid w:val="34F0546A"/>
    <w:rsid w:val="350F034E"/>
    <w:rsid w:val="351153E0"/>
    <w:rsid w:val="3515264E"/>
    <w:rsid w:val="3538471B"/>
    <w:rsid w:val="353E3789"/>
    <w:rsid w:val="355449C0"/>
    <w:rsid w:val="355969BD"/>
    <w:rsid w:val="3565643F"/>
    <w:rsid w:val="35995E0E"/>
    <w:rsid w:val="359F0C3E"/>
    <w:rsid w:val="35B54174"/>
    <w:rsid w:val="35B6520A"/>
    <w:rsid w:val="35F40FB5"/>
    <w:rsid w:val="360607D9"/>
    <w:rsid w:val="361539CF"/>
    <w:rsid w:val="36190C5C"/>
    <w:rsid w:val="363D616D"/>
    <w:rsid w:val="364530C9"/>
    <w:rsid w:val="364D2448"/>
    <w:rsid w:val="36525CB0"/>
    <w:rsid w:val="36585882"/>
    <w:rsid w:val="36657792"/>
    <w:rsid w:val="36687AF9"/>
    <w:rsid w:val="3671264C"/>
    <w:rsid w:val="3680580C"/>
    <w:rsid w:val="368A369C"/>
    <w:rsid w:val="36962041"/>
    <w:rsid w:val="36CD7CD3"/>
    <w:rsid w:val="36CE17DB"/>
    <w:rsid w:val="36D952F5"/>
    <w:rsid w:val="36FF7BE6"/>
    <w:rsid w:val="37250B7A"/>
    <w:rsid w:val="372E4AB2"/>
    <w:rsid w:val="374E70EC"/>
    <w:rsid w:val="376129EA"/>
    <w:rsid w:val="37C242B9"/>
    <w:rsid w:val="37EA0AA2"/>
    <w:rsid w:val="37FE4281"/>
    <w:rsid w:val="38176009"/>
    <w:rsid w:val="385A07E5"/>
    <w:rsid w:val="38602906"/>
    <w:rsid w:val="38733175"/>
    <w:rsid w:val="38797524"/>
    <w:rsid w:val="388A34DF"/>
    <w:rsid w:val="389E008F"/>
    <w:rsid w:val="38A94C99"/>
    <w:rsid w:val="38CC7FAC"/>
    <w:rsid w:val="38D6246F"/>
    <w:rsid w:val="38D97279"/>
    <w:rsid w:val="38DF7CCF"/>
    <w:rsid w:val="38E26BF0"/>
    <w:rsid w:val="38F00189"/>
    <w:rsid w:val="39194763"/>
    <w:rsid w:val="39237490"/>
    <w:rsid w:val="392E5E59"/>
    <w:rsid w:val="393468E8"/>
    <w:rsid w:val="395806F3"/>
    <w:rsid w:val="39A30AFB"/>
    <w:rsid w:val="39AB7BB1"/>
    <w:rsid w:val="39BD1693"/>
    <w:rsid w:val="39D4728C"/>
    <w:rsid w:val="39D96DB9"/>
    <w:rsid w:val="39E76710"/>
    <w:rsid w:val="3A025F20"/>
    <w:rsid w:val="3A3C70DA"/>
    <w:rsid w:val="3A43428E"/>
    <w:rsid w:val="3A467260"/>
    <w:rsid w:val="3A5D3099"/>
    <w:rsid w:val="3A7916ED"/>
    <w:rsid w:val="3A7F4240"/>
    <w:rsid w:val="3A8E5D10"/>
    <w:rsid w:val="3AB55381"/>
    <w:rsid w:val="3ACC4283"/>
    <w:rsid w:val="3AE11A4E"/>
    <w:rsid w:val="3B00408B"/>
    <w:rsid w:val="3B0657AD"/>
    <w:rsid w:val="3B10495E"/>
    <w:rsid w:val="3B2A4FB6"/>
    <w:rsid w:val="3B3135D0"/>
    <w:rsid w:val="3B586183"/>
    <w:rsid w:val="3B586F18"/>
    <w:rsid w:val="3B7D6FA7"/>
    <w:rsid w:val="3B8763FC"/>
    <w:rsid w:val="3B8C756F"/>
    <w:rsid w:val="3B8D6AEC"/>
    <w:rsid w:val="3B903503"/>
    <w:rsid w:val="3B932D9C"/>
    <w:rsid w:val="3BC94845"/>
    <w:rsid w:val="3BD26834"/>
    <w:rsid w:val="3C19288C"/>
    <w:rsid w:val="3C265C15"/>
    <w:rsid w:val="3C357C06"/>
    <w:rsid w:val="3C6B7ACC"/>
    <w:rsid w:val="3C830972"/>
    <w:rsid w:val="3C9E1C4F"/>
    <w:rsid w:val="3C9F2ED7"/>
    <w:rsid w:val="3CBA43FC"/>
    <w:rsid w:val="3CC97982"/>
    <w:rsid w:val="3CCE5FE8"/>
    <w:rsid w:val="3CF11D7F"/>
    <w:rsid w:val="3CFB49AC"/>
    <w:rsid w:val="3D0F48FB"/>
    <w:rsid w:val="3D182F2B"/>
    <w:rsid w:val="3D314871"/>
    <w:rsid w:val="3D4A5933"/>
    <w:rsid w:val="3D4B4DAF"/>
    <w:rsid w:val="3D573AAE"/>
    <w:rsid w:val="3D5A3BB5"/>
    <w:rsid w:val="3D7C2E18"/>
    <w:rsid w:val="3DA9164D"/>
    <w:rsid w:val="3DA959C3"/>
    <w:rsid w:val="3DC34193"/>
    <w:rsid w:val="3DDC6AF7"/>
    <w:rsid w:val="3DEB072E"/>
    <w:rsid w:val="3DEE62BF"/>
    <w:rsid w:val="3DF2408F"/>
    <w:rsid w:val="3E101EDE"/>
    <w:rsid w:val="3E151A9D"/>
    <w:rsid w:val="3E3A1504"/>
    <w:rsid w:val="3E5F1E94"/>
    <w:rsid w:val="3E6415B0"/>
    <w:rsid w:val="3E846C23"/>
    <w:rsid w:val="3EA00DD4"/>
    <w:rsid w:val="3EC62D97"/>
    <w:rsid w:val="3EFE0737"/>
    <w:rsid w:val="3F022944"/>
    <w:rsid w:val="3F125943"/>
    <w:rsid w:val="3F342FB9"/>
    <w:rsid w:val="3F4940F4"/>
    <w:rsid w:val="3F5B2410"/>
    <w:rsid w:val="3F744EE9"/>
    <w:rsid w:val="3F817D6A"/>
    <w:rsid w:val="3F825AEE"/>
    <w:rsid w:val="3FA70E1B"/>
    <w:rsid w:val="3FAA7BDC"/>
    <w:rsid w:val="3FAF4912"/>
    <w:rsid w:val="3FC410CC"/>
    <w:rsid w:val="3FD11DB9"/>
    <w:rsid w:val="3FD55988"/>
    <w:rsid w:val="3FE67B95"/>
    <w:rsid w:val="3FF027C2"/>
    <w:rsid w:val="3FFD0D04"/>
    <w:rsid w:val="40093884"/>
    <w:rsid w:val="406A72FF"/>
    <w:rsid w:val="40784565"/>
    <w:rsid w:val="408979DD"/>
    <w:rsid w:val="409558F0"/>
    <w:rsid w:val="40AD4AAD"/>
    <w:rsid w:val="40CD787E"/>
    <w:rsid w:val="40D804D9"/>
    <w:rsid w:val="40E52904"/>
    <w:rsid w:val="40E5601A"/>
    <w:rsid w:val="41027729"/>
    <w:rsid w:val="410A78B3"/>
    <w:rsid w:val="41250249"/>
    <w:rsid w:val="41563BAB"/>
    <w:rsid w:val="41650F8E"/>
    <w:rsid w:val="416829D0"/>
    <w:rsid w:val="41765884"/>
    <w:rsid w:val="417B60BB"/>
    <w:rsid w:val="417D2532"/>
    <w:rsid w:val="41986C6D"/>
    <w:rsid w:val="41A21103"/>
    <w:rsid w:val="41FA08E5"/>
    <w:rsid w:val="42164036"/>
    <w:rsid w:val="421B7832"/>
    <w:rsid w:val="42254A34"/>
    <w:rsid w:val="42260A6F"/>
    <w:rsid w:val="42384FA7"/>
    <w:rsid w:val="42570522"/>
    <w:rsid w:val="425A2175"/>
    <w:rsid w:val="429462ED"/>
    <w:rsid w:val="429D02B3"/>
    <w:rsid w:val="429F402B"/>
    <w:rsid w:val="42BC7DDF"/>
    <w:rsid w:val="42D261AF"/>
    <w:rsid w:val="42F11B77"/>
    <w:rsid w:val="43076C51"/>
    <w:rsid w:val="43144A19"/>
    <w:rsid w:val="431E796B"/>
    <w:rsid w:val="432B6824"/>
    <w:rsid w:val="437454B8"/>
    <w:rsid w:val="437E2698"/>
    <w:rsid w:val="438517A3"/>
    <w:rsid w:val="43A050CE"/>
    <w:rsid w:val="43AD43B9"/>
    <w:rsid w:val="43B75827"/>
    <w:rsid w:val="43BB3965"/>
    <w:rsid w:val="43C31D8E"/>
    <w:rsid w:val="43C755E8"/>
    <w:rsid w:val="43D83C99"/>
    <w:rsid w:val="440510C2"/>
    <w:rsid w:val="44201AAB"/>
    <w:rsid w:val="44323EF7"/>
    <w:rsid w:val="444E13D2"/>
    <w:rsid w:val="446562CB"/>
    <w:rsid w:val="44894290"/>
    <w:rsid w:val="448A72D9"/>
    <w:rsid w:val="44C302F3"/>
    <w:rsid w:val="44CA4465"/>
    <w:rsid w:val="44DA134B"/>
    <w:rsid w:val="44EF1B82"/>
    <w:rsid w:val="45067A1F"/>
    <w:rsid w:val="451510B8"/>
    <w:rsid w:val="45170DF8"/>
    <w:rsid w:val="451E1B7F"/>
    <w:rsid w:val="452627E2"/>
    <w:rsid w:val="452B1094"/>
    <w:rsid w:val="4554098B"/>
    <w:rsid w:val="455C04E9"/>
    <w:rsid w:val="455E3D2A"/>
    <w:rsid w:val="45797C51"/>
    <w:rsid w:val="45A168B6"/>
    <w:rsid w:val="45CD7101"/>
    <w:rsid w:val="45E226B4"/>
    <w:rsid w:val="45EE4E64"/>
    <w:rsid w:val="460103E6"/>
    <w:rsid w:val="461B2714"/>
    <w:rsid w:val="462D264E"/>
    <w:rsid w:val="46380A1F"/>
    <w:rsid w:val="46456C98"/>
    <w:rsid w:val="46843CA3"/>
    <w:rsid w:val="46A37606"/>
    <w:rsid w:val="46C13F14"/>
    <w:rsid w:val="46C2653A"/>
    <w:rsid w:val="46F41301"/>
    <w:rsid w:val="46FB4D1C"/>
    <w:rsid w:val="46FC6C97"/>
    <w:rsid w:val="471072A6"/>
    <w:rsid w:val="4723347D"/>
    <w:rsid w:val="472B0583"/>
    <w:rsid w:val="473D2DF8"/>
    <w:rsid w:val="474B29D4"/>
    <w:rsid w:val="47DF1BC9"/>
    <w:rsid w:val="47E169C7"/>
    <w:rsid w:val="47F06548"/>
    <w:rsid w:val="47F66832"/>
    <w:rsid w:val="4807508B"/>
    <w:rsid w:val="48117779"/>
    <w:rsid w:val="48147089"/>
    <w:rsid w:val="4823125B"/>
    <w:rsid w:val="48355B83"/>
    <w:rsid w:val="48657AC5"/>
    <w:rsid w:val="488D7A30"/>
    <w:rsid w:val="489C0142"/>
    <w:rsid w:val="48A00A38"/>
    <w:rsid w:val="48B3438D"/>
    <w:rsid w:val="48BD520B"/>
    <w:rsid w:val="48D34A2F"/>
    <w:rsid w:val="493140C2"/>
    <w:rsid w:val="49335560"/>
    <w:rsid w:val="49374FBE"/>
    <w:rsid w:val="4998062F"/>
    <w:rsid w:val="49B26D3A"/>
    <w:rsid w:val="49EB2524"/>
    <w:rsid w:val="4A0A0924"/>
    <w:rsid w:val="4A200A4F"/>
    <w:rsid w:val="4A3B47D7"/>
    <w:rsid w:val="4A520FD4"/>
    <w:rsid w:val="4A6135FC"/>
    <w:rsid w:val="4A77763C"/>
    <w:rsid w:val="4A796A26"/>
    <w:rsid w:val="4AE4089B"/>
    <w:rsid w:val="4B0D06CC"/>
    <w:rsid w:val="4B1962F8"/>
    <w:rsid w:val="4B2E0642"/>
    <w:rsid w:val="4B692739"/>
    <w:rsid w:val="4B6A37B8"/>
    <w:rsid w:val="4B79281D"/>
    <w:rsid w:val="4B807D59"/>
    <w:rsid w:val="4B914ACB"/>
    <w:rsid w:val="4BA72EF2"/>
    <w:rsid w:val="4C086960"/>
    <w:rsid w:val="4C0A2876"/>
    <w:rsid w:val="4C172B42"/>
    <w:rsid w:val="4C1C265B"/>
    <w:rsid w:val="4C3E203F"/>
    <w:rsid w:val="4C43011D"/>
    <w:rsid w:val="4C4A2448"/>
    <w:rsid w:val="4C554A2E"/>
    <w:rsid w:val="4C5B0FC3"/>
    <w:rsid w:val="4C683269"/>
    <w:rsid w:val="4C6D7CC2"/>
    <w:rsid w:val="4C7F642D"/>
    <w:rsid w:val="4C8D47EB"/>
    <w:rsid w:val="4C9B1D07"/>
    <w:rsid w:val="4CC006FA"/>
    <w:rsid w:val="4CED3092"/>
    <w:rsid w:val="4CEF5BAF"/>
    <w:rsid w:val="4CF10802"/>
    <w:rsid w:val="4CF6285E"/>
    <w:rsid w:val="4D0C0115"/>
    <w:rsid w:val="4D13416C"/>
    <w:rsid w:val="4D155003"/>
    <w:rsid w:val="4D31441A"/>
    <w:rsid w:val="4D4F6AB4"/>
    <w:rsid w:val="4D554464"/>
    <w:rsid w:val="4DA1334D"/>
    <w:rsid w:val="4DED52D5"/>
    <w:rsid w:val="4E125FF9"/>
    <w:rsid w:val="4E287F63"/>
    <w:rsid w:val="4E3150E2"/>
    <w:rsid w:val="4E3B2540"/>
    <w:rsid w:val="4E736479"/>
    <w:rsid w:val="4E984750"/>
    <w:rsid w:val="4ECF17A1"/>
    <w:rsid w:val="4EE51018"/>
    <w:rsid w:val="4EF034BC"/>
    <w:rsid w:val="4F3A5808"/>
    <w:rsid w:val="4F4A3571"/>
    <w:rsid w:val="4F586C65"/>
    <w:rsid w:val="4F5A7340"/>
    <w:rsid w:val="4F73779A"/>
    <w:rsid w:val="4F882826"/>
    <w:rsid w:val="4F9658AD"/>
    <w:rsid w:val="4F986F22"/>
    <w:rsid w:val="4F9A409E"/>
    <w:rsid w:val="4FB97DFA"/>
    <w:rsid w:val="4FCA62BD"/>
    <w:rsid w:val="4FD6299B"/>
    <w:rsid w:val="4FD9320F"/>
    <w:rsid w:val="4FDC241B"/>
    <w:rsid w:val="4FE31E02"/>
    <w:rsid w:val="4FFC5956"/>
    <w:rsid w:val="50011E81"/>
    <w:rsid w:val="501222E0"/>
    <w:rsid w:val="50346648"/>
    <w:rsid w:val="50362B19"/>
    <w:rsid w:val="503746DC"/>
    <w:rsid w:val="508104D8"/>
    <w:rsid w:val="50902684"/>
    <w:rsid w:val="50DF56DA"/>
    <w:rsid w:val="51271DBC"/>
    <w:rsid w:val="512C74AF"/>
    <w:rsid w:val="512F6EC2"/>
    <w:rsid w:val="51501312"/>
    <w:rsid w:val="515B7DAD"/>
    <w:rsid w:val="516A1F01"/>
    <w:rsid w:val="51710A8D"/>
    <w:rsid w:val="51786173"/>
    <w:rsid w:val="51823496"/>
    <w:rsid w:val="51A72EFC"/>
    <w:rsid w:val="51B32165"/>
    <w:rsid w:val="51BF1FF4"/>
    <w:rsid w:val="51C25640"/>
    <w:rsid w:val="51C969CF"/>
    <w:rsid w:val="51E611C2"/>
    <w:rsid w:val="51EF617D"/>
    <w:rsid w:val="520277E1"/>
    <w:rsid w:val="520824C2"/>
    <w:rsid w:val="52552958"/>
    <w:rsid w:val="52693681"/>
    <w:rsid w:val="526D7CA2"/>
    <w:rsid w:val="527103FC"/>
    <w:rsid w:val="5281374D"/>
    <w:rsid w:val="528A0854"/>
    <w:rsid w:val="52943481"/>
    <w:rsid w:val="529A792F"/>
    <w:rsid w:val="52A4759B"/>
    <w:rsid w:val="52B35629"/>
    <w:rsid w:val="52D32AFD"/>
    <w:rsid w:val="52E361B6"/>
    <w:rsid w:val="53085A69"/>
    <w:rsid w:val="532036F6"/>
    <w:rsid w:val="532A16EF"/>
    <w:rsid w:val="532E7431"/>
    <w:rsid w:val="53430A03"/>
    <w:rsid w:val="53481136"/>
    <w:rsid w:val="537E4CD3"/>
    <w:rsid w:val="537F060E"/>
    <w:rsid w:val="539F3171"/>
    <w:rsid w:val="53AB5C87"/>
    <w:rsid w:val="53BC2B2A"/>
    <w:rsid w:val="53C50E71"/>
    <w:rsid w:val="53D85C9D"/>
    <w:rsid w:val="54065E7B"/>
    <w:rsid w:val="541303D5"/>
    <w:rsid w:val="542D410C"/>
    <w:rsid w:val="5435659E"/>
    <w:rsid w:val="543C3DD0"/>
    <w:rsid w:val="54531F10"/>
    <w:rsid w:val="5492579E"/>
    <w:rsid w:val="549C32AC"/>
    <w:rsid w:val="54A656ED"/>
    <w:rsid w:val="54A84FC1"/>
    <w:rsid w:val="54D1276A"/>
    <w:rsid w:val="54D31542"/>
    <w:rsid w:val="54D73AF9"/>
    <w:rsid w:val="54DD7595"/>
    <w:rsid w:val="54F975CB"/>
    <w:rsid w:val="551B6387"/>
    <w:rsid w:val="553625CD"/>
    <w:rsid w:val="55992337"/>
    <w:rsid w:val="55A62DFB"/>
    <w:rsid w:val="55A90FF1"/>
    <w:rsid w:val="55B77495"/>
    <w:rsid w:val="55CD4E7B"/>
    <w:rsid w:val="55F06C20"/>
    <w:rsid w:val="56064695"/>
    <w:rsid w:val="561F1F50"/>
    <w:rsid w:val="56262AA1"/>
    <w:rsid w:val="562E2336"/>
    <w:rsid w:val="563F3703"/>
    <w:rsid w:val="565B7EBC"/>
    <w:rsid w:val="565D5647"/>
    <w:rsid w:val="565F1615"/>
    <w:rsid w:val="568D12C4"/>
    <w:rsid w:val="56B55774"/>
    <w:rsid w:val="56C53BC0"/>
    <w:rsid w:val="56CF0F2B"/>
    <w:rsid w:val="56D45260"/>
    <w:rsid w:val="56E12A0D"/>
    <w:rsid w:val="56F444EE"/>
    <w:rsid w:val="56FF57CA"/>
    <w:rsid w:val="57505063"/>
    <w:rsid w:val="5754628C"/>
    <w:rsid w:val="57787CE7"/>
    <w:rsid w:val="577B3F55"/>
    <w:rsid w:val="57961A49"/>
    <w:rsid w:val="57C2639A"/>
    <w:rsid w:val="57C310CE"/>
    <w:rsid w:val="57DB3900"/>
    <w:rsid w:val="57E74053"/>
    <w:rsid w:val="57EC7697"/>
    <w:rsid w:val="57F347A6"/>
    <w:rsid w:val="57F63298"/>
    <w:rsid w:val="5812789C"/>
    <w:rsid w:val="581B4698"/>
    <w:rsid w:val="581D1FC8"/>
    <w:rsid w:val="58553578"/>
    <w:rsid w:val="585F20C3"/>
    <w:rsid w:val="58673D9A"/>
    <w:rsid w:val="5881560A"/>
    <w:rsid w:val="58AD2B6A"/>
    <w:rsid w:val="58C25462"/>
    <w:rsid w:val="58CC7FF4"/>
    <w:rsid w:val="58DF6CF4"/>
    <w:rsid w:val="58FC5CCB"/>
    <w:rsid w:val="58FE78A6"/>
    <w:rsid w:val="59036C6A"/>
    <w:rsid w:val="5904132B"/>
    <w:rsid w:val="590832CB"/>
    <w:rsid w:val="59157827"/>
    <w:rsid w:val="592C3DDF"/>
    <w:rsid w:val="594400A5"/>
    <w:rsid w:val="59460EC7"/>
    <w:rsid w:val="59503C78"/>
    <w:rsid w:val="59561AE4"/>
    <w:rsid w:val="59814033"/>
    <w:rsid w:val="599C18CE"/>
    <w:rsid w:val="59B2573B"/>
    <w:rsid w:val="59BB12F3"/>
    <w:rsid w:val="59C90F05"/>
    <w:rsid w:val="59DE43F5"/>
    <w:rsid w:val="5A0013FC"/>
    <w:rsid w:val="5A203F0F"/>
    <w:rsid w:val="5A3A3464"/>
    <w:rsid w:val="5A44753A"/>
    <w:rsid w:val="5A504EEB"/>
    <w:rsid w:val="5A637F6F"/>
    <w:rsid w:val="5A6E6ED5"/>
    <w:rsid w:val="5A7176E4"/>
    <w:rsid w:val="5A785436"/>
    <w:rsid w:val="5A8E2D4C"/>
    <w:rsid w:val="5A9410D3"/>
    <w:rsid w:val="5AB23A35"/>
    <w:rsid w:val="5AB3646E"/>
    <w:rsid w:val="5ABC1175"/>
    <w:rsid w:val="5AD53B49"/>
    <w:rsid w:val="5AF413B3"/>
    <w:rsid w:val="5B3475AF"/>
    <w:rsid w:val="5B4F7AA0"/>
    <w:rsid w:val="5BD33445"/>
    <w:rsid w:val="5BF8682E"/>
    <w:rsid w:val="5C133668"/>
    <w:rsid w:val="5C183B88"/>
    <w:rsid w:val="5C2123A3"/>
    <w:rsid w:val="5C2B081A"/>
    <w:rsid w:val="5C3914B8"/>
    <w:rsid w:val="5C6514C0"/>
    <w:rsid w:val="5C6D68F5"/>
    <w:rsid w:val="5C85755D"/>
    <w:rsid w:val="5CC606DB"/>
    <w:rsid w:val="5CD8040E"/>
    <w:rsid w:val="5CDC1CAC"/>
    <w:rsid w:val="5CEC5C67"/>
    <w:rsid w:val="5CF35248"/>
    <w:rsid w:val="5D0C00B7"/>
    <w:rsid w:val="5D2B3EA0"/>
    <w:rsid w:val="5D2C15D3"/>
    <w:rsid w:val="5D5932FD"/>
    <w:rsid w:val="5D5D033B"/>
    <w:rsid w:val="5D5E3ED5"/>
    <w:rsid w:val="5D7647EC"/>
    <w:rsid w:val="5D885990"/>
    <w:rsid w:val="5DBA1FF8"/>
    <w:rsid w:val="5DCC1110"/>
    <w:rsid w:val="5DCD4AF7"/>
    <w:rsid w:val="5DD86807"/>
    <w:rsid w:val="5DDF0A45"/>
    <w:rsid w:val="5E104167"/>
    <w:rsid w:val="5E1D3725"/>
    <w:rsid w:val="5E303B80"/>
    <w:rsid w:val="5E37668B"/>
    <w:rsid w:val="5E483371"/>
    <w:rsid w:val="5E9A1E1F"/>
    <w:rsid w:val="5E9C51FA"/>
    <w:rsid w:val="5E9F5687"/>
    <w:rsid w:val="5EAA79D4"/>
    <w:rsid w:val="5EB735DD"/>
    <w:rsid w:val="5EC155FD"/>
    <w:rsid w:val="5EC42D73"/>
    <w:rsid w:val="5ED54C52"/>
    <w:rsid w:val="5ED62FD5"/>
    <w:rsid w:val="5EE44E48"/>
    <w:rsid w:val="5EFA466C"/>
    <w:rsid w:val="5EFF6126"/>
    <w:rsid w:val="5F1D65AC"/>
    <w:rsid w:val="5F1F2324"/>
    <w:rsid w:val="5F2C67EF"/>
    <w:rsid w:val="5F2D222B"/>
    <w:rsid w:val="5F364B80"/>
    <w:rsid w:val="5F6F45FF"/>
    <w:rsid w:val="5F906D7E"/>
    <w:rsid w:val="5F92436A"/>
    <w:rsid w:val="5F927F59"/>
    <w:rsid w:val="5F930CBD"/>
    <w:rsid w:val="5FAF1AEE"/>
    <w:rsid w:val="5FC1648A"/>
    <w:rsid w:val="5FD255E8"/>
    <w:rsid w:val="5FEB1B9D"/>
    <w:rsid w:val="5FEF5A95"/>
    <w:rsid w:val="5FF90DC7"/>
    <w:rsid w:val="5FFB4B3F"/>
    <w:rsid w:val="601249DE"/>
    <w:rsid w:val="6014175D"/>
    <w:rsid w:val="604751DF"/>
    <w:rsid w:val="604C539B"/>
    <w:rsid w:val="606445D9"/>
    <w:rsid w:val="6065645C"/>
    <w:rsid w:val="606C77EB"/>
    <w:rsid w:val="60C346C6"/>
    <w:rsid w:val="60C72C73"/>
    <w:rsid w:val="60C73328"/>
    <w:rsid w:val="60CB221D"/>
    <w:rsid w:val="60E308E3"/>
    <w:rsid w:val="60E40CF5"/>
    <w:rsid w:val="60F021CA"/>
    <w:rsid w:val="60F63558"/>
    <w:rsid w:val="60FE64C3"/>
    <w:rsid w:val="61023CAB"/>
    <w:rsid w:val="61141727"/>
    <w:rsid w:val="611E742B"/>
    <w:rsid w:val="61396DD0"/>
    <w:rsid w:val="61824BAB"/>
    <w:rsid w:val="618D7A19"/>
    <w:rsid w:val="619C1A0A"/>
    <w:rsid w:val="619F599E"/>
    <w:rsid w:val="61A52D11"/>
    <w:rsid w:val="61A95149"/>
    <w:rsid w:val="61AA08FE"/>
    <w:rsid w:val="61C41ACD"/>
    <w:rsid w:val="61D41829"/>
    <w:rsid w:val="61E239A6"/>
    <w:rsid w:val="61ED3538"/>
    <w:rsid w:val="621A5025"/>
    <w:rsid w:val="623258AE"/>
    <w:rsid w:val="623F15C0"/>
    <w:rsid w:val="625E1FC6"/>
    <w:rsid w:val="626738C6"/>
    <w:rsid w:val="6268150F"/>
    <w:rsid w:val="62764951"/>
    <w:rsid w:val="627971C3"/>
    <w:rsid w:val="62860F22"/>
    <w:rsid w:val="629628FD"/>
    <w:rsid w:val="62C54F90"/>
    <w:rsid w:val="62DF233A"/>
    <w:rsid w:val="630048F7"/>
    <w:rsid w:val="630A5BB9"/>
    <w:rsid w:val="63215DB8"/>
    <w:rsid w:val="632757F0"/>
    <w:rsid w:val="63473BF7"/>
    <w:rsid w:val="63690012"/>
    <w:rsid w:val="6372336A"/>
    <w:rsid w:val="63812AE7"/>
    <w:rsid w:val="638906B4"/>
    <w:rsid w:val="639257BA"/>
    <w:rsid w:val="63B77B8E"/>
    <w:rsid w:val="63FA3360"/>
    <w:rsid w:val="640A78AC"/>
    <w:rsid w:val="64124BF5"/>
    <w:rsid w:val="642D7291"/>
    <w:rsid w:val="645079A9"/>
    <w:rsid w:val="64587AB1"/>
    <w:rsid w:val="645A6E29"/>
    <w:rsid w:val="646D3FF3"/>
    <w:rsid w:val="64794284"/>
    <w:rsid w:val="64AB7435"/>
    <w:rsid w:val="64B45093"/>
    <w:rsid w:val="64BC23C3"/>
    <w:rsid w:val="64BE130D"/>
    <w:rsid w:val="64F61D79"/>
    <w:rsid w:val="650A4AEB"/>
    <w:rsid w:val="650B0447"/>
    <w:rsid w:val="650B601A"/>
    <w:rsid w:val="6534131C"/>
    <w:rsid w:val="6556703B"/>
    <w:rsid w:val="65605444"/>
    <w:rsid w:val="656A1E1F"/>
    <w:rsid w:val="6575653B"/>
    <w:rsid w:val="65A17F37"/>
    <w:rsid w:val="65A836AB"/>
    <w:rsid w:val="65A96DEB"/>
    <w:rsid w:val="65AC2341"/>
    <w:rsid w:val="65AD2600"/>
    <w:rsid w:val="65B732B6"/>
    <w:rsid w:val="65BD63F3"/>
    <w:rsid w:val="65E521DF"/>
    <w:rsid w:val="65F750F0"/>
    <w:rsid w:val="661F0E5C"/>
    <w:rsid w:val="663A2D5F"/>
    <w:rsid w:val="6666618F"/>
    <w:rsid w:val="666B5E4F"/>
    <w:rsid w:val="666E595E"/>
    <w:rsid w:val="66887883"/>
    <w:rsid w:val="668F7750"/>
    <w:rsid w:val="6698031B"/>
    <w:rsid w:val="669907B9"/>
    <w:rsid w:val="669B3919"/>
    <w:rsid w:val="66B27F22"/>
    <w:rsid w:val="66EF082E"/>
    <w:rsid w:val="671B724A"/>
    <w:rsid w:val="6736645D"/>
    <w:rsid w:val="675C250A"/>
    <w:rsid w:val="675D1C3B"/>
    <w:rsid w:val="676A54F5"/>
    <w:rsid w:val="6780684F"/>
    <w:rsid w:val="6796339F"/>
    <w:rsid w:val="67FA2386"/>
    <w:rsid w:val="68282249"/>
    <w:rsid w:val="685C6BAE"/>
    <w:rsid w:val="6878082B"/>
    <w:rsid w:val="687D1E6A"/>
    <w:rsid w:val="68C1269E"/>
    <w:rsid w:val="68D50FF4"/>
    <w:rsid w:val="68D57089"/>
    <w:rsid w:val="68E42F72"/>
    <w:rsid w:val="68F10571"/>
    <w:rsid w:val="69046B3C"/>
    <w:rsid w:val="691A5092"/>
    <w:rsid w:val="692B0CE1"/>
    <w:rsid w:val="69390486"/>
    <w:rsid w:val="69702ECB"/>
    <w:rsid w:val="69747710"/>
    <w:rsid w:val="69767C4D"/>
    <w:rsid w:val="699B34F7"/>
    <w:rsid w:val="69AC0C58"/>
    <w:rsid w:val="69BF0AD0"/>
    <w:rsid w:val="69D00DEB"/>
    <w:rsid w:val="69FA3D78"/>
    <w:rsid w:val="6A0E4479"/>
    <w:rsid w:val="6A160FCF"/>
    <w:rsid w:val="6A296146"/>
    <w:rsid w:val="6A452F6A"/>
    <w:rsid w:val="6A8345CE"/>
    <w:rsid w:val="6A885221"/>
    <w:rsid w:val="6A8D4E45"/>
    <w:rsid w:val="6A8F72B9"/>
    <w:rsid w:val="6AAB7F50"/>
    <w:rsid w:val="6AD40467"/>
    <w:rsid w:val="6AD61945"/>
    <w:rsid w:val="6AF20FCD"/>
    <w:rsid w:val="6B142F59"/>
    <w:rsid w:val="6B43383E"/>
    <w:rsid w:val="6B5B64FA"/>
    <w:rsid w:val="6B5C220A"/>
    <w:rsid w:val="6B6944EC"/>
    <w:rsid w:val="6B851761"/>
    <w:rsid w:val="6B8F7255"/>
    <w:rsid w:val="6BA3608B"/>
    <w:rsid w:val="6BA53BB1"/>
    <w:rsid w:val="6BB46349"/>
    <w:rsid w:val="6BC95AF1"/>
    <w:rsid w:val="6BD12BF8"/>
    <w:rsid w:val="6BD91127"/>
    <w:rsid w:val="6BF15048"/>
    <w:rsid w:val="6C0873FD"/>
    <w:rsid w:val="6C2B439B"/>
    <w:rsid w:val="6C310293"/>
    <w:rsid w:val="6C44786E"/>
    <w:rsid w:val="6C4706F9"/>
    <w:rsid w:val="6C5D7FE5"/>
    <w:rsid w:val="6C8407CA"/>
    <w:rsid w:val="6CC90D79"/>
    <w:rsid w:val="6CD51EDD"/>
    <w:rsid w:val="6CEF1588"/>
    <w:rsid w:val="6CF94E2F"/>
    <w:rsid w:val="6D0B7AD0"/>
    <w:rsid w:val="6D111628"/>
    <w:rsid w:val="6D3276C6"/>
    <w:rsid w:val="6D6A2812"/>
    <w:rsid w:val="6D6A50B2"/>
    <w:rsid w:val="6D8771C3"/>
    <w:rsid w:val="6D8D7674"/>
    <w:rsid w:val="6D9956BA"/>
    <w:rsid w:val="6D9E2FAE"/>
    <w:rsid w:val="6DB21352"/>
    <w:rsid w:val="6DBD4F39"/>
    <w:rsid w:val="6DF51F78"/>
    <w:rsid w:val="6DFC351E"/>
    <w:rsid w:val="6E14501E"/>
    <w:rsid w:val="6E1F40EF"/>
    <w:rsid w:val="6E2A554D"/>
    <w:rsid w:val="6E2E700B"/>
    <w:rsid w:val="6E53587D"/>
    <w:rsid w:val="6E625129"/>
    <w:rsid w:val="6E6733A0"/>
    <w:rsid w:val="6E7D0E15"/>
    <w:rsid w:val="6EA16987"/>
    <w:rsid w:val="6EA77C40"/>
    <w:rsid w:val="6EB8009F"/>
    <w:rsid w:val="6ED36C87"/>
    <w:rsid w:val="6EE56679"/>
    <w:rsid w:val="6EF104DD"/>
    <w:rsid w:val="6F190B3E"/>
    <w:rsid w:val="6F343BCA"/>
    <w:rsid w:val="6F484143"/>
    <w:rsid w:val="6F490CF7"/>
    <w:rsid w:val="6F574271"/>
    <w:rsid w:val="6F750F26"/>
    <w:rsid w:val="6F7B72E9"/>
    <w:rsid w:val="6F8445D4"/>
    <w:rsid w:val="6F8D5C1A"/>
    <w:rsid w:val="6F8E342E"/>
    <w:rsid w:val="6F925B2C"/>
    <w:rsid w:val="6FA523D2"/>
    <w:rsid w:val="6FA8133A"/>
    <w:rsid w:val="6FAA79E8"/>
    <w:rsid w:val="6FAC3760"/>
    <w:rsid w:val="6FB940CF"/>
    <w:rsid w:val="6FD27139"/>
    <w:rsid w:val="6FD818E9"/>
    <w:rsid w:val="6FEC0000"/>
    <w:rsid w:val="6FF82103"/>
    <w:rsid w:val="70820965"/>
    <w:rsid w:val="70B84386"/>
    <w:rsid w:val="70CD2B48"/>
    <w:rsid w:val="70DF3B43"/>
    <w:rsid w:val="71126EE7"/>
    <w:rsid w:val="71340C72"/>
    <w:rsid w:val="714E7C4B"/>
    <w:rsid w:val="71621B42"/>
    <w:rsid w:val="71654E27"/>
    <w:rsid w:val="719E73CE"/>
    <w:rsid w:val="71F6500C"/>
    <w:rsid w:val="71FA0049"/>
    <w:rsid w:val="71FB09CF"/>
    <w:rsid w:val="721279AA"/>
    <w:rsid w:val="72133F6A"/>
    <w:rsid w:val="721B37CB"/>
    <w:rsid w:val="722D677A"/>
    <w:rsid w:val="72677E12"/>
    <w:rsid w:val="729F135A"/>
    <w:rsid w:val="72AB1549"/>
    <w:rsid w:val="72B82F50"/>
    <w:rsid w:val="72C217B0"/>
    <w:rsid w:val="72C77465"/>
    <w:rsid w:val="72CE25B0"/>
    <w:rsid w:val="72D336FA"/>
    <w:rsid w:val="73041B05"/>
    <w:rsid w:val="730438B3"/>
    <w:rsid w:val="733221CE"/>
    <w:rsid w:val="735F1353"/>
    <w:rsid w:val="73702CF6"/>
    <w:rsid w:val="737E24ED"/>
    <w:rsid w:val="738461BF"/>
    <w:rsid w:val="738E367E"/>
    <w:rsid w:val="73934CDB"/>
    <w:rsid w:val="73AA3458"/>
    <w:rsid w:val="73AB1F81"/>
    <w:rsid w:val="73AD3F4B"/>
    <w:rsid w:val="73B01345"/>
    <w:rsid w:val="73B37036"/>
    <w:rsid w:val="73C179F6"/>
    <w:rsid w:val="73C22DCA"/>
    <w:rsid w:val="73E0154A"/>
    <w:rsid w:val="73F76C73"/>
    <w:rsid w:val="741373FD"/>
    <w:rsid w:val="74203020"/>
    <w:rsid w:val="74234E43"/>
    <w:rsid w:val="746960C4"/>
    <w:rsid w:val="74852401"/>
    <w:rsid w:val="74A04AD6"/>
    <w:rsid w:val="74A95947"/>
    <w:rsid w:val="74CD1C80"/>
    <w:rsid w:val="74E03E8F"/>
    <w:rsid w:val="74E6192D"/>
    <w:rsid w:val="74E72327"/>
    <w:rsid w:val="74FD10EC"/>
    <w:rsid w:val="75023E22"/>
    <w:rsid w:val="750D20E7"/>
    <w:rsid w:val="75482A22"/>
    <w:rsid w:val="756211EE"/>
    <w:rsid w:val="756920F3"/>
    <w:rsid w:val="757C043C"/>
    <w:rsid w:val="758D39AB"/>
    <w:rsid w:val="758F0A0E"/>
    <w:rsid w:val="7590142E"/>
    <w:rsid w:val="75985BCF"/>
    <w:rsid w:val="75A3686C"/>
    <w:rsid w:val="75AF3FAA"/>
    <w:rsid w:val="75BA57C4"/>
    <w:rsid w:val="75BD0103"/>
    <w:rsid w:val="75F47C0F"/>
    <w:rsid w:val="76075E79"/>
    <w:rsid w:val="76134845"/>
    <w:rsid w:val="763922F4"/>
    <w:rsid w:val="765B1B03"/>
    <w:rsid w:val="767E1BCE"/>
    <w:rsid w:val="768C7E47"/>
    <w:rsid w:val="769D3E02"/>
    <w:rsid w:val="76B80955"/>
    <w:rsid w:val="76D90BB3"/>
    <w:rsid w:val="76EC740F"/>
    <w:rsid w:val="770863CF"/>
    <w:rsid w:val="7736125B"/>
    <w:rsid w:val="774B075C"/>
    <w:rsid w:val="77545A55"/>
    <w:rsid w:val="775545EE"/>
    <w:rsid w:val="776D5A49"/>
    <w:rsid w:val="777F5BFE"/>
    <w:rsid w:val="77813724"/>
    <w:rsid w:val="77896DD2"/>
    <w:rsid w:val="77AA41E1"/>
    <w:rsid w:val="77BF6F51"/>
    <w:rsid w:val="77C91904"/>
    <w:rsid w:val="77D73344"/>
    <w:rsid w:val="77D777E8"/>
    <w:rsid w:val="77EB5041"/>
    <w:rsid w:val="781C5725"/>
    <w:rsid w:val="781E5417"/>
    <w:rsid w:val="78271F54"/>
    <w:rsid w:val="78280C22"/>
    <w:rsid w:val="78283BA0"/>
    <w:rsid w:val="782A7F03"/>
    <w:rsid w:val="787615CF"/>
    <w:rsid w:val="78872FBC"/>
    <w:rsid w:val="78CD0CE6"/>
    <w:rsid w:val="79033DC8"/>
    <w:rsid w:val="790A0797"/>
    <w:rsid w:val="792D6BBC"/>
    <w:rsid w:val="794835E0"/>
    <w:rsid w:val="794E7636"/>
    <w:rsid w:val="79616DC4"/>
    <w:rsid w:val="79673BCA"/>
    <w:rsid w:val="79782241"/>
    <w:rsid w:val="797A667D"/>
    <w:rsid w:val="79927E6B"/>
    <w:rsid w:val="79BC1EC7"/>
    <w:rsid w:val="79E820BE"/>
    <w:rsid w:val="79E92E57"/>
    <w:rsid w:val="79F26B1E"/>
    <w:rsid w:val="7A000C8F"/>
    <w:rsid w:val="7A1443B9"/>
    <w:rsid w:val="7A2D7B93"/>
    <w:rsid w:val="7A6730A5"/>
    <w:rsid w:val="7A6F6591"/>
    <w:rsid w:val="7A835A05"/>
    <w:rsid w:val="7A862644"/>
    <w:rsid w:val="7AA037BE"/>
    <w:rsid w:val="7AAC0428"/>
    <w:rsid w:val="7ABD5C87"/>
    <w:rsid w:val="7AC21415"/>
    <w:rsid w:val="7AC74DEF"/>
    <w:rsid w:val="7ACA7190"/>
    <w:rsid w:val="7ACC0CD4"/>
    <w:rsid w:val="7ACE16BD"/>
    <w:rsid w:val="7AEA5A84"/>
    <w:rsid w:val="7AEC7106"/>
    <w:rsid w:val="7B010C17"/>
    <w:rsid w:val="7B031518"/>
    <w:rsid w:val="7B054F71"/>
    <w:rsid w:val="7B266AE8"/>
    <w:rsid w:val="7B3311D9"/>
    <w:rsid w:val="7B4128F5"/>
    <w:rsid w:val="7B4E6013"/>
    <w:rsid w:val="7B5B146A"/>
    <w:rsid w:val="7B681A01"/>
    <w:rsid w:val="7B7B492E"/>
    <w:rsid w:val="7B86410F"/>
    <w:rsid w:val="7B876E2F"/>
    <w:rsid w:val="7BD3539E"/>
    <w:rsid w:val="7BE35E80"/>
    <w:rsid w:val="7BF546E1"/>
    <w:rsid w:val="7C18217D"/>
    <w:rsid w:val="7C2B0102"/>
    <w:rsid w:val="7C397120"/>
    <w:rsid w:val="7C47478B"/>
    <w:rsid w:val="7C7A1AE2"/>
    <w:rsid w:val="7C8932DF"/>
    <w:rsid w:val="7C9573B2"/>
    <w:rsid w:val="7CA670A4"/>
    <w:rsid w:val="7CB42860"/>
    <w:rsid w:val="7CB71996"/>
    <w:rsid w:val="7CE502B1"/>
    <w:rsid w:val="7CF8678F"/>
    <w:rsid w:val="7CF945BE"/>
    <w:rsid w:val="7D021F92"/>
    <w:rsid w:val="7D11554A"/>
    <w:rsid w:val="7D123E77"/>
    <w:rsid w:val="7D180687"/>
    <w:rsid w:val="7D1E4059"/>
    <w:rsid w:val="7D2C2AE8"/>
    <w:rsid w:val="7D6523DB"/>
    <w:rsid w:val="7D6A08F7"/>
    <w:rsid w:val="7D8E26F7"/>
    <w:rsid w:val="7DD7027D"/>
    <w:rsid w:val="7DE85837"/>
    <w:rsid w:val="7E074902"/>
    <w:rsid w:val="7E1C41A7"/>
    <w:rsid w:val="7E6E2E4D"/>
    <w:rsid w:val="7EB10D93"/>
    <w:rsid w:val="7EBE6F11"/>
    <w:rsid w:val="7EC40A46"/>
    <w:rsid w:val="7ED34A0E"/>
    <w:rsid w:val="7EDB5E10"/>
    <w:rsid w:val="7EE30DF1"/>
    <w:rsid w:val="7EFE1AFE"/>
    <w:rsid w:val="7F136667"/>
    <w:rsid w:val="7F1C3DA0"/>
    <w:rsid w:val="7F4828C6"/>
    <w:rsid w:val="7F580F12"/>
    <w:rsid w:val="7F7B09F1"/>
    <w:rsid w:val="7F7F71B2"/>
    <w:rsid w:val="7F833D8D"/>
    <w:rsid w:val="7FBF128D"/>
    <w:rsid w:val="7FE76B0F"/>
    <w:rsid w:val="7FEC5DF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1" w:semiHidden="0" w:name="heading 4"/>
    <w:lsdException w:qFormat="1" w:uiPriority="0" w:name="heading 5"/>
    <w:lsdException w:qFormat="1" w:uiPriority="0" w:name="heading 6"/>
    <w:lsdException w:qFormat="1" w:unhideWhenUsed="0" w:uiPriority="1" w:semiHidden="0" w:name="heading 7"/>
    <w:lsdException w:qFormat="1" w:unhideWhenUsed="0" w:uiPriority="1" w:semiHidden="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7"/>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5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4"/>
    <w:link w:val="48"/>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qFormat/>
    <w:uiPriority w:val="1"/>
    <w:pPr>
      <w:spacing w:before="41"/>
      <w:ind w:left="267"/>
      <w:jc w:val="center"/>
      <w:outlineLvl w:val="3"/>
    </w:pPr>
    <w:rPr>
      <w:b/>
      <w:bCs/>
      <w:sz w:val="42"/>
      <w:szCs w:val="42"/>
    </w:rPr>
  </w:style>
  <w:style w:type="paragraph" w:styleId="7">
    <w:name w:val="heading 7"/>
    <w:basedOn w:val="1"/>
    <w:next w:val="1"/>
    <w:qFormat/>
    <w:uiPriority w:val="1"/>
    <w:pPr>
      <w:spacing w:before="49"/>
      <w:jc w:val="center"/>
      <w:outlineLvl w:val="6"/>
    </w:pPr>
    <w:rPr>
      <w:sz w:val="36"/>
      <w:szCs w:val="36"/>
    </w:rPr>
  </w:style>
  <w:style w:type="character" w:default="1" w:styleId="39">
    <w:name w:val="Default Paragraph Font"/>
    <w:semiHidden/>
    <w:qFormat/>
    <w:uiPriority w:val="0"/>
  </w:style>
  <w:style w:type="table" w:default="1" w:styleId="37">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autoSpaceDE w:val="0"/>
      <w:autoSpaceDN w:val="0"/>
      <w:adjustRightInd w:val="0"/>
      <w:ind w:firstLine="420"/>
      <w:jc w:val="left"/>
    </w:pPr>
    <w:rPr>
      <w:rFonts w:ascii="宋体"/>
      <w:kern w:val="0"/>
      <w:sz w:val="24"/>
      <w:szCs w:val="20"/>
    </w:rPr>
  </w:style>
  <w:style w:type="paragraph" w:styleId="8">
    <w:name w:val="toc 7"/>
    <w:basedOn w:val="1"/>
    <w:next w:val="1"/>
    <w:qFormat/>
    <w:uiPriority w:val="39"/>
    <w:pPr>
      <w:ind w:left="2520" w:leftChars="1200"/>
    </w:pPr>
  </w:style>
  <w:style w:type="paragraph" w:styleId="9">
    <w:name w:val="toa heading"/>
    <w:basedOn w:val="1"/>
    <w:next w:val="1"/>
    <w:qFormat/>
    <w:uiPriority w:val="0"/>
    <w:pPr>
      <w:widowControl/>
      <w:autoSpaceDE/>
      <w:autoSpaceDN/>
      <w:spacing w:before="120" w:after="0" w:line="240" w:lineRule="auto"/>
      <w:ind w:left="0" w:firstLine="3584"/>
    </w:pPr>
  </w:style>
  <w:style w:type="paragraph" w:styleId="10">
    <w:name w:val="annotation text"/>
    <w:basedOn w:val="1"/>
    <w:link w:val="52"/>
    <w:qFormat/>
    <w:uiPriority w:val="99"/>
    <w:pPr>
      <w:jc w:val="left"/>
    </w:pPr>
  </w:style>
  <w:style w:type="paragraph" w:styleId="11">
    <w:name w:val="Body Text"/>
    <w:basedOn w:val="1"/>
    <w:link w:val="53"/>
    <w:qFormat/>
    <w:uiPriority w:val="0"/>
    <w:pPr>
      <w:tabs>
        <w:tab w:val="left" w:pos="567"/>
      </w:tabs>
      <w:spacing w:before="120" w:line="22" w:lineRule="atLeast"/>
    </w:pPr>
    <w:rPr>
      <w:rFonts w:ascii="宋体" w:hAnsi="宋体"/>
      <w:sz w:val="24"/>
    </w:rPr>
  </w:style>
  <w:style w:type="paragraph" w:styleId="12">
    <w:name w:val="Body Text Indent"/>
    <w:basedOn w:val="1"/>
    <w:next w:val="1"/>
    <w:qFormat/>
    <w:uiPriority w:val="0"/>
    <w:pPr>
      <w:spacing w:line="360" w:lineRule="auto"/>
      <w:ind w:firstLine="570"/>
    </w:pPr>
    <w:rPr>
      <w:sz w:val="24"/>
    </w:rPr>
  </w:style>
  <w:style w:type="paragraph" w:styleId="13">
    <w:name w:val="Block Text"/>
    <w:basedOn w:val="1"/>
    <w:unhideWhenUsed/>
    <w:qFormat/>
    <w:uiPriority w:val="99"/>
    <w:pPr>
      <w:spacing w:after="120"/>
      <w:ind w:left="1440" w:leftChars="700" w:right="700" w:rightChars="700"/>
    </w:pPr>
  </w:style>
  <w:style w:type="paragraph" w:styleId="14">
    <w:name w:val="toc 5"/>
    <w:basedOn w:val="1"/>
    <w:next w:val="1"/>
    <w:qFormat/>
    <w:uiPriority w:val="39"/>
    <w:pPr>
      <w:ind w:left="1680" w:leftChars="800"/>
    </w:pPr>
  </w:style>
  <w:style w:type="paragraph" w:styleId="15">
    <w:name w:val="toc 3"/>
    <w:basedOn w:val="1"/>
    <w:next w:val="1"/>
    <w:qFormat/>
    <w:uiPriority w:val="39"/>
    <w:pPr>
      <w:tabs>
        <w:tab w:val="left" w:pos="1260"/>
        <w:tab w:val="right" w:leader="dot" w:pos="8630"/>
      </w:tabs>
      <w:ind w:left="840" w:leftChars="400"/>
    </w:pPr>
  </w:style>
  <w:style w:type="paragraph" w:styleId="16">
    <w:name w:val="Plain Text"/>
    <w:basedOn w:val="1"/>
    <w:next w:val="17"/>
    <w:link w:val="54"/>
    <w:qFormat/>
    <w:uiPriority w:val="0"/>
    <w:rPr>
      <w:rFonts w:ascii="宋体" w:hAnsi="Courier New"/>
      <w:szCs w:val="20"/>
    </w:rPr>
  </w:style>
  <w:style w:type="paragraph" w:styleId="17">
    <w:name w:val="index 7"/>
    <w:basedOn w:val="1"/>
    <w:next w:val="1"/>
    <w:qFormat/>
    <w:uiPriority w:val="0"/>
    <w:pPr>
      <w:autoSpaceDE/>
      <w:autoSpaceDN/>
      <w:adjustRightInd/>
      <w:ind w:left="1200" w:leftChars="1200"/>
    </w:pPr>
    <w:rPr>
      <w:color w:val="auto"/>
      <w:kern w:val="2"/>
      <w:szCs w:val="24"/>
    </w:rPr>
  </w:style>
  <w:style w:type="paragraph" w:styleId="18">
    <w:name w:val="toc 8"/>
    <w:basedOn w:val="1"/>
    <w:next w:val="1"/>
    <w:qFormat/>
    <w:uiPriority w:val="39"/>
    <w:pPr>
      <w:ind w:left="2940" w:leftChars="1400"/>
    </w:pPr>
  </w:style>
  <w:style w:type="paragraph" w:styleId="19">
    <w:name w:val="Date"/>
    <w:basedOn w:val="1"/>
    <w:next w:val="1"/>
    <w:link w:val="55"/>
    <w:qFormat/>
    <w:uiPriority w:val="0"/>
    <w:pPr>
      <w:ind w:left="100" w:leftChars="2500"/>
    </w:pPr>
    <w:rPr>
      <w:rFonts w:ascii="仿宋_GB2312" w:hAnsi="宋体" w:eastAsia="仿宋_GB2312"/>
      <w:color w:val="000000"/>
      <w:sz w:val="24"/>
    </w:rPr>
  </w:style>
  <w:style w:type="paragraph" w:styleId="20">
    <w:name w:val="Body Text Indent 2"/>
    <w:basedOn w:val="1"/>
    <w:qFormat/>
    <w:uiPriority w:val="0"/>
    <w:pPr>
      <w:ind w:firstLine="480" w:firstLineChars="200"/>
    </w:pPr>
    <w:rPr>
      <w:rFonts w:ascii="仿宋_GB2312" w:eastAsia="仿宋_GB2312"/>
      <w:sz w:val="24"/>
    </w:rPr>
  </w:style>
  <w:style w:type="paragraph" w:styleId="21">
    <w:name w:val="Balloon Text"/>
    <w:basedOn w:val="1"/>
    <w:link w:val="56"/>
    <w:qFormat/>
    <w:uiPriority w:val="0"/>
    <w:rPr>
      <w:sz w:val="18"/>
      <w:szCs w:val="18"/>
    </w:rPr>
  </w:style>
  <w:style w:type="paragraph" w:styleId="22">
    <w:name w:val="footer"/>
    <w:basedOn w:val="1"/>
    <w:link w:val="57"/>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3">
    <w:name w:val="header"/>
    <w:basedOn w:val="1"/>
    <w:link w:val="58"/>
    <w:qFormat/>
    <w:uiPriority w:val="0"/>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uiPriority w:val="39"/>
  </w:style>
  <w:style w:type="paragraph" w:styleId="25">
    <w:name w:val="toc 4"/>
    <w:basedOn w:val="1"/>
    <w:next w:val="1"/>
    <w:qFormat/>
    <w:uiPriority w:val="39"/>
    <w:pPr>
      <w:ind w:left="1260" w:leftChars="600"/>
    </w:pPr>
  </w:style>
  <w:style w:type="paragraph" w:styleId="26">
    <w:name w:val="List"/>
    <w:basedOn w:val="1"/>
    <w:qFormat/>
    <w:uiPriority w:val="0"/>
    <w:pPr>
      <w:adjustRightInd w:val="0"/>
      <w:spacing w:line="312" w:lineRule="atLeast"/>
      <w:ind w:left="200" w:hanging="200" w:hangingChars="200"/>
      <w:textAlignment w:val="baseline"/>
    </w:pPr>
    <w:rPr>
      <w:rFonts w:eastAsia="仿宋"/>
      <w:kern w:val="0"/>
      <w:sz w:val="32"/>
      <w:szCs w:val="20"/>
    </w:rPr>
  </w:style>
  <w:style w:type="paragraph" w:styleId="27">
    <w:name w:val="footnote text"/>
    <w:basedOn w:val="1"/>
    <w:qFormat/>
    <w:uiPriority w:val="0"/>
    <w:pPr>
      <w:snapToGrid w:val="0"/>
      <w:jc w:val="left"/>
    </w:pPr>
    <w:rPr>
      <w:sz w:val="18"/>
    </w:rPr>
  </w:style>
  <w:style w:type="paragraph" w:styleId="28">
    <w:name w:val="toc 6"/>
    <w:basedOn w:val="1"/>
    <w:next w:val="1"/>
    <w:qFormat/>
    <w:uiPriority w:val="39"/>
    <w:pPr>
      <w:ind w:left="2100" w:leftChars="1000"/>
    </w:pPr>
  </w:style>
  <w:style w:type="paragraph" w:styleId="29">
    <w:name w:val="Body Text Indent 3"/>
    <w:basedOn w:val="1"/>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0">
    <w:name w:val="toc 2"/>
    <w:basedOn w:val="1"/>
    <w:next w:val="1"/>
    <w:qFormat/>
    <w:uiPriority w:val="39"/>
    <w:pPr>
      <w:ind w:left="420" w:leftChars="200"/>
    </w:pPr>
  </w:style>
  <w:style w:type="paragraph" w:styleId="31">
    <w:name w:val="toc 9"/>
    <w:basedOn w:val="1"/>
    <w:next w:val="1"/>
    <w:qFormat/>
    <w:uiPriority w:val="39"/>
    <w:pPr>
      <w:ind w:left="3360" w:leftChars="1600"/>
    </w:pPr>
  </w:style>
  <w:style w:type="paragraph" w:styleId="32">
    <w:name w:val="Normal (Web)"/>
    <w:basedOn w:val="1"/>
    <w:qFormat/>
    <w:uiPriority w:val="0"/>
    <w:pPr>
      <w:spacing w:before="75" w:after="75"/>
    </w:pPr>
    <w:rPr>
      <w:sz w:val="24"/>
    </w:rPr>
  </w:style>
  <w:style w:type="paragraph" w:styleId="33">
    <w:name w:val="index 1"/>
    <w:basedOn w:val="1"/>
    <w:next w:val="1"/>
    <w:semiHidden/>
    <w:qFormat/>
    <w:uiPriority w:val="0"/>
    <w:rPr>
      <w:szCs w:val="20"/>
    </w:rPr>
  </w:style>
  <w:style w:type="paragraph" w:styleId="34">
    <w:name w:val="annotation subject"/>
    <w:basedOn w:val="10"/>
    <w:next w:val="10"/>
    <w:link w:val="59"/>
    <w:qFormat/>
    <w:uiPriority w:val="0"/>
    <w:rPr>
      <w:b/>
      <w:bCs/>
    </w:rPr>
  </w:style>
  <w:style w:type="paragraph" w:styleId="35">
    <w:name w:val="Body Text First Indent"/>
    <w:basedOn w:val="11"/>
    <w:next w:val="1"/>
    <w:qFormat/>
    <w:uiPriority w:val="0"/>
    <w:pPr>
      <w:widowControl/>
      <w:spacing w:line="312" w:lineRule="auto"/>
      <w:ind w:firstLine="420" w:firstLineChars="100"/>
    </w:pPr>
    <w:rPr>
      <w:rFonts w:hint="eastAsia" w:ascii="微软雅黑" w:hAnsi="微软雅黑" w:eastAsia="微软雅黑" w:cs="微软雅黑"/>
      <w:szCs w:val="21"/>
    </w:rPr>
  </w:style>
  <w:style w:type="paragraph" w:styleId="36">
    <w:name w:val="Body Text First Indent 2"/>
    <w:basedOn w:val="12"/>
    <w:next w:val="4"/>
    <w:qFormat/>
    <w:uiPriority w:val="99"/>
    <w:pPr>
      <w:ind w:firstLine="420" w:firstLineChars="200"/>
    </w:p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0">
    <w:name w:val="Strong"/>
    <w:basedOn w:val="39"/>
    <w:qFormat/>
    <w:uiPriority w:val="0"/>
    <w:rPr>
      <w:b/>
    </w:rPr>
  </w:style>
  <w:style w:type="character" w:styleId="41">
    <w:name w:val="page number"/>
    <w:basedOn w:val="39"/>
    <w:qFormat/>
    <w:uiPriority w:val="0"/>
  </w:style>
  <w:style w:type="character" w:styleId="42">
    <w:name w:val="Emphasis"/>
    <w:basedOn w:val="39"/>
    <w:qFormat/>
    <w:uiPriority w:val="0"/>
    <w:rPr>
      <w:i/>
    </w:rPr>
  </w:style>
  <w:style w:type="character" w:styleId="43">
    <w:name w:val="Hyperlink"/>
    <w:qFormat/>
    <w:uiPriority w:val="99"/>
    <w:rPr>
      <w:color w:val="0000FF"/>
      <w:u w:val="single"/>
    </w:rPr>
  </w:style>
  <w:style w:type="character" w:styleId="44">
    <w:name w:val="annotation reference"/>
    <w:qFormat/>
    <w:uiPriority w:val="99"/>
    <w:rPr>
      <w:sz w:val="21"/>
      <w:szCs w:val="21"/>
    </w:rPr>
  </w:style>
  <w:style w:type="paragraph" w:customStyle="1" w:styleId="45">
    <w:name w:val="引用1"/>
    <w:next w:val="1"/>
    <w:qFormat/>
    <w:uiPriority w:val="0"/>
    <w:pPr>
      <w:wordWrap w:val="0"/>
      <w:spacing w:before="200" w:after="160"/>
      <w:ind w:left="864" w:right="864"/>
      <w:jc w:val="center"/>
    </w:pPr>
    <w:rPr>
      <w:rFonts w:ascii="Times New Roman" w:hAnsi="Times New Roman" w:eastAsia="宋体" w:cs="Times New Roman"/>
      <w:i/>
      <w:sz w:val="21"/>
      <w:szCs w:val="22"/>
      <w:lang w:val="en-US" w:eastAsia="zh-CN" w:bidi="ar-SA"/>
    </w:rPr>
  </w:style>
  <w:style w:type="paragraph" w:customStyle="1" w:styleId="46">
    <w:name w:val="4正文"/>
    <w:basedOn w:val="1"/>
    <w:qFormat/>
    <w:uiPriority w:val="0"/>
    <w:pPr>
      <w:jc w:val="left"/>
    </w:pPr>
    <w:rPr>
      <w:szCs w:val="24"/>
    </w:rPr>
  </w:style>
  <w:style w:type="character" w:customStyle="1" w:styleId="47">
    <w:name w:val="标题 1 Char"/>
    <w:link w:val="2"/>
    <w:qFormat/>
    <w:uiPriority w:val="0"/>
    <w:rPr>
      <w:rFonts w:ascii="宋体"/>
      <w:b/>
      <w:kern w:val="44"/>
      <w:sz w:val="32"/>
    </w:rPr>
  </w:style>
  <w:style w:type="character" w:customStyle="1" w:styleId="48">
    <w:name w:val="标题 3 Char"/>
    <w:link w:val="5"/>
    <w:qFormat/>
    <w:uiPriority w:val="0"/>
    <w:rPr>
      <w:rFonts w:ascii="宋体"/>
      <w:b/>
      <w:sz w:val="24"/>
      <w:u w:val="single"/>
    </w:rPr>
  </w:style>
  <w:style w:type="paragraph" w:customStyle="1" w:styleId="49">
    <w:name w:val="Default"/>
    <w:qFormat/>
    <w:uiPriority w:val="0"/>
    <w:pPr>
      <w:widowControl w:val="0"/>
      <w:autoSpaceDE w:val="0"/>
      <w:autoSpaceDN w:val="0"/>
    </w:pPr>
    <w:rPr>
      <w:rFonts w:ascii="宋体" w:hAnsi="Times New Roman" w:eastAsia="宋体" w:cs="宋体"/>
      <w:color w:val="000000"/>
      <w:sz w:val="24"/>
      <w:szCs w:val="24"/>
      <w:lang w:val="en-US" w:eastAsia="zh-CN" w:bidi="ar-SA"/>
    </w:rPr>
  </w:style>
  <w:style w:type="paragraph" w:customStyle="1" w:styleId="50">
    <w:name w:val="目录 41"/>
    <w:next w:val="1"/>
    <w:qFormat/>
    <w:uiPriority w:val="0"/>
    <w:pPr>
      <w:wordWrap w:val="0"/>
      <w:ind w:left="1275"/>
      <w:jc w:val="both"/>
    </w:pPr>
    <w:rPr>
      <w:rFonts w:ascii="Times New Roman" w:hAnsi="Times New Roman" w:eastAsia="宋体" w:cs="Times New Roman"/>
      <w:sz w:val="21"/>
      <w:lang w:val="en-US" w:eastAsia="zh-CN" w:bidi="ar-SA"/>
    </w:rPr>
  </w:style>
  <w:style w:type="character" w:customStyle="1" w:styleId="51">
    <w:name w:val="标题 2 Char"/>
    <w:link w:val="3"/>
    <w:qFormat/>
    <w:uiPriority w:val="0"/>
    <w:rPr>
      <w:rFonts w:ascii="Arial" w:hAnsi="Arial" w:eastAsia="黑体"/>
      <w:b/>
      <w:sz w:val="30"/>
    </w:rPr>
  </w:style>
  <w:style w:type="character" w:customStyle="1" w:styleId="52">
    <w:name w:val="批注文字 Char"/>
    <w:link w:val="10"/>
    <w:qFormat/>
    <w:uiPriority w:val="99"/>
    <w:rPr>
      <w:kern w:val="2"/>
      <w:sz w:val="21"/>
      <w:szCs w:val="24"/>
    </w:rPr>
  </w:style>
  <w:style w:type="character" w:customStyle="1" w:styleId="53">
    <w:name w:val="正文文本 Char"/>
    <w:link w:val="11"/>
    <w:qFormat/>
    <w:uiPriority w:val="0"/>
    <w:rPr>
      <w:rFonts w:ascii="宋体" w:hAnsi="宋体"/>
      <w:kern w:val="2"/>
      <w:sz w:val="24"/>
      <w:szCs w:val="24"/>
    </w:rPr>
  </w:style>
  <w:style w:type="character" w:customStyle="1" w:styleId="54">
    <w:name w:val="纯文本 Char"/>
    <w:link w:val="16"/>
    <w:qFormat/>
    <w:uiPriority w:val="0"/>
    <w:rPr>
      <w:rFonts w:ascii="宋体" w:hAnsi="Courier New"/>
      <w:kern w:val="2"/>
      <w:sz w:val="21"/>
    </w:rPr>
  </w:style>
  <w:style w:type="character" w:customStyle="1" w:styleId="55">
    <w:name w:val="日期 Char"/>
    <w:link w:val="19"/>
    <w:qFormat/>
    <w:uiPriority w:val="0"/>
    <w:rPr>
      <w:rFonts w:ascii="仿宋_GB2312" w:hAnsi="宋体" w:eastAsia="仿宋_GB2312"/>
      <w:color w:val="000000"/>
      <w:kern w:val="2"/>
      <w:sz w:val="24"/>
      <w:szCs w:val="24"/>
    </w:rPr>
  </w:style>
  <w:style w:type="character" w:customStyle="1" w:styleId="56">
    <w:name w:val="批注框文本 Char"/>
    <w:link w:val="21"/>
    <w:qFormat/>
    <w:uiPriority w:val="0"/>
    <w:rPr>
      <w:kern w:val="2"/>
      <w:sz w:val="18"/>
      <w:szCs w:val="18"/>
    </w:rPr>
  </w:style>
  <w:style w:type="character" w:customStyle="1" w:styleId="57">
    <w:name w:val="页脚 Char"/>
    <w:link w:val="22"/>
    <w:qFormat/>
    <w:uiPriority w:val="99"/>
    <w:rPr>
      <w:rFonts w:ascii="宋体"/>
      <w:sz w:val="18"/>
    </w:rPr>
  </w:style>
  <w:style w:type="character" w:customStyle="1" w:styleId="58">
    <w:name w:val="页眉 Char"/>
    <w:link w:val="23"/>
    <w:qFormat/>
    <w:uiPriority w:val="0"/>
    <w:rPr>
      <w:kern w:val="2"/>
      <w:sz w:val="18"/>
      <w:szCs w:val="18"/>
    </w:rPr>
  </w:style>
  <w:style w:type="character" w:customStyle="1" w:styleId="59">
    <w:name w:val="批注主题 Char"/>
    <w:link w:val="34"/>
    <w:qFormat/>
    <w:uiPriority w:val="0"/>
    <w:rPr>
      <w:b/>
      <w:bCs/>
      <w:kern w:val="2"/>
      <w:sz w:val="21"/>
      <w:szCs w:val="24"/>
    </w:rPr>
  </w:style>
  <w:style w:type="paragraph" w:customStyle="1" w:styleId="60">
    <w:name w:val="Heading3"/>
    <w:basedOn w:val="1"/>
    <w:next w:val="1"/>
    <w:qFormat/>
    <w:uiPriority w:val="0"/>
    <w:pPr>
      <w:keepNext/>
      <w:keepLines/>
      <w:spacing w:before="360" w:after="120"/>
      <w:jc w:val="left"/>
      <w:textAlignment w:val="baseline"/>
    </w:pPr>
    <w:rPr>
      <w:rFonts w:ascii="宋体"/>
      <w:b/>
      <w:kern w:val="0"/>
      <w:sz w:val="24"/>
      <w:szCs w:val="20"/>
      <w:u w:val="single"/>
      <w:lang w:val="en-US" w:eastAsia="zh-CN" w:bidi="ar-SA"/>
    </w:rPr>
  </w:style>
  <w:style w:type="character" w:customStyle="1" w:styleId="61">
    <w:name w:val="bookmark-item"/>
    <w:basedOn w:val="39"/>
    <w:qFormat/>
    <w:uiPriority w:val="0"/>
  </w:style>
  <w:style w:type="character" w:customStyle="1" w:styleId="62">
    <w:name w:val="font31"/>
    <w:basedOn w:val="39"/>
    <w:qFormat/>
    <w:uiPriority w:val="0"/>
    <w:rPr>
      <w:rFonts w:hint="eastAsia" w:ascii="宋体" w:hAnsi="宋体" w:eastAsia="宋体" w:cs="宋体"/>
      <w:color w:val="000000"/>
      <w:sz w:val="22"/>
      <w:szCs w:val="22"/>
      <w:u w:val="none"/>
    </w:rPr>
  </w:style>
  <w:style w:type="character" w:customStyle="1" w:styleId="63">
    <w:name w:val="批注框文本 Char1"/>
    <w:semiHidden/>
    <w:qFormat/>
    <w:uiPriority w:val="99"/>
    <w:rPr>
      <w:kern w:val="2"/>
      <w:sz w:val="18"/>
      <w:szCs w:val="18"/>
    </w:rPr>
  </w:style>
  <w:style w:type="character" w:customStyle="1" w:styleId="64">
    <w:name w:val="页眉 Char1"/>
    <w:semiHidden/>
    <w:qFormat/>
    <w:uiPriority w:val="99"/>
    <w:rPr>
      <w:kern w:val="2"/>
      <w:sz w:val="18"/>
      <w:szCs w:val="18"/>
    </w:rPr>
  </w:style>
  <w:style w:type="character" w:customStyle="1" w:styleId="65">
    <w:name w:val="纯文本 Char1"/>
    <w:link w:val="66"/>
    <w:qFormat/>
    <w:uiPriority w:val="0"/>
    <w:rPr>
      <w:rFonts w:ascii="宋体" w:hAnsi="Courier New"/>
    </w:rPr>
  </w:style>
  <w:style w:type="paragraph" w:customStyle="1" w:styleId="66">
    <w:name w:val="纯文本1"/>
    <w:basedOn w:val="1"/>
    <w:link w:val="65"/>
    <w:qFormat/>
    <w:uiPriority w:val="0"/>
    <w:rPr>
      <w:rFonts w:ascii="宋体" w:hAnsi="Courier New"/>
      <w:kern w:val="0"/>
      <w:sz w:val="20"/>
      <w:szCs w:val="20"/>
    </w:rPr>
  </w:style>
  <w:style w:type="character" w:customStyle="1" w:styleId="67">
    <w:name w:val="正文缩进 Char1"/>
    <w:link w:val="68"/>
    <w:qFormat/>
    <w:uiPriority w:val="0"/>
    <w:rPr>
      <w:rFonts w:ascii="宋体"/>
      <w:sz w:val="24"/>
    </w:rPr>
  </w:style>
  <w:style w:type="paragraph" w:customStyle="1" w:styleId="68">
    <w:name w:val="正文缩进1"/>
    <w:basedOn w:val="1"/>
    <w:link w:val="67"/>
    <w:qFormat/>
    <w:uiPriority w:val="0"/>
    <w:pPr>
      <w:autoSpaceDE w:val="0"/>
      <w:autoSpaceDN w:val="0"/>
      <w:adjustRightInd w:val="0"/>
      <w:ind w:firstLine="420"/>
      <w:jc w:val="left"/>
    </w:pPr>
    <w:rPr>
      <w:rFonts w:ascii="宋体"/>
      <w:kern w:val="0"/>
      <w:sz w:val="24"/>
      <w:szCs w:val="20"/>
    </w:rPr>
  </w:style>
  <w:style w:type="character" w:customStyle="1" w:styleId="69">
    <w:name w:val="font21"/>
    <w:basedOn w:val="39"/>
    <w:qFormat/>
    <w:uiPriority w:val="0"/>
    <w:rPr>
      <w:rFonts w:hint="eastAsia" w:ascii="宋体" w:hAnsi="宋体" w:eastAsia="宋体" w:cs="宋体"/>
      <w:b/>
      <w:color w:val="000000"/>
      <w:sz w:val="20"/>
      <w:szCs w:val="20"/>
      <w:u w:val="none"/>
    </w:rPr>
  </w:style>
  <w:style w:type="character" w:customStyle="1" w:styleId="70">
    <w:name w:val="批注文字 Char1"/>
    <w:semiHidden/>
    <w:qFormat/>
    <w:uiPriority w:val="99"/>
    <w:rPr>
      <w:kern w:val="2"/>
      <w:sz w:val="21"/>
      <w:szCs w:val="24"/>
    </w:rPr>
  </w:style>
  <w:style w:type="character" w:customStyle="1" w:styleId="71">
    <w:name w:val="批注主题 Char1"/>
    <w:semiHidden/>
    <w:qFormat/>
    <w:uiPriority w:val="99"/>
    <w:rPr>
      <w:b/>
      <w:bCs/>
      <w:kern w:val="2"/>
      <w:sz w:val="21"/>
      <w:szCs w:val="24"/>
    </w:rPr>
  </w:style>
  <w:style w:type="paragraph" w:styleId="72">
    <w:name w:val="List Paragraph"/>
    <w:basedOn w:val="1"/>
    <w:qFormat/>
    <w:uiPriority w:val="34"/>
    <w:pPr>
      <w:widowControl/>
      <w:ind w:firstLine="420" w:firstLineChars="200"/>
      <w:jc w:val="left"/>
    </w:pPr>
    <w:rPr>
      <w:kern w:val="0"/>
      <w:sz w:val="24"/>
    </w:rPr>
  </w:style>
  <w:style w:type="paragraph" w:customStyle="1" w:styleId="73">
    <w:name w:val="列出段落1"/>
    <w:basedOn w:val="1"/>
    <w:qFormat/>
    <w:uiPriority w:val="34"/>
    <w:pPr>
      <w:widowControl/>
      <w:ind w:firstLine="420" w:firstLineChars="200"/>
      <w:jc w:val="left"/>
    </w:pPr>
    <w:rPr>
      <w:kern w:val="0"/>
      <w:sz w:val="24"/>
    </w:rPr>
  </w:style>
  <w:style w:type="paragraph" w:customStyle="1" w:styleId="74">
    <w:name w:val="Heading2"/>
    <w:basedOn w:val="1"/>
    <w:next w:val="1"/>
    <w:qFormat/>
    <w:uiPriority w:val="0"/>
    <w:pPr>
      <w:keepNext/>
      <w:keepLines/>
      <w:tabs>
        <w:tab w:val="left" w:pos="576"/>
        <w:tab w:val="left" w:pos="1296"/>
      </w:tabs>
      <w:spacing w:before="120" w:after="120" w:line="416" w:lineRule="atLeast"/>
      <w:jc w:val="left"/>
      <w:textAlignment w:val="baseline"/>
    </w:pPr>
    <w:rPr>
      <w:rFonts w:ascii="宋体" w:hAnsi="Arial" w:eastAsia="黑体"/>
      <w:b/>
      <w:kern w:val="0"/>
      <w:sz w:val="28"/>
    </w:rPr>
  </w:style>
  <w:style w:type="paragraph" w:customStyle="1" w:styleId="75">
    <w:name w:val="Char"/>
    <w:basedOn w:val="1"/>
    <w:qFormat/>
    <w:uiPriority w:val="0"/>
    <w:pPr>
      <w:tabs>
        <w:tab w:val="left" w:pos="360"/>
      </w:tabs>
    </w:pPr>
    <w:rPr>
      <w:sz w:val="24"/>
    </w:rPr>
  </w:style>
  <w:style w:type="paragraph" w:customStyle="1" w:styleId="76">
    <w:name w:val="Style1"/>
    <w:basedOn w:val="1"/>
    <w:qFormat/>
    <w:uiPriority w:val="0"/>
    <w:pPr>
      <w:widowControl/>
      <w:tabs>
        <w:tab w:val="left" w:pos="-720"/>
      </w:tabs>
    </w:pPr>
    <w:rPr>
      <w:rFonts w:ascii="Times New Roman" w:hAnsi="Times New Roman" w:eastAsia="宋体" w:cs="Times New Roman"/>
      <w:spacing w:val="-3"/>
      <w:sz w:val="24"/>
      <w:szCs w:val="20"/>
      <w:lang w:val="en-AU"/>
    </w:rPr>
  </w:style>
  <w:style w:type="paragraph" w:customStyle="1" w:styleId="77">
    <w:name w:val="Table Paragraph"/>
    <w:basedOn w:val="1"/>
    <w:qFormat/>
    <w:uiPriority w:val="1"/>
    <w:rPr>
      <w:rFonts w:ascii="宋体" w:hAnsi="宋体" w:eastAsia="宋体" w:cs="宋体"/>
      <w:lang w:val="zh-CN" w:eastAsia="zh-CN" w:bidi="zh-CN"/>
    </w:rPr>
  </w:style>
  <w:style w:type="paragraph" w:customStyle="1" w:styleId="78">
    <w:name w:val="_Style 1"/>
    <w:qFormat/>
    <w:uiPriority w:val="99"/>
    <w:pPr>
      <w:widowControl w:val="0"/>
      <w:ind w:firstLine="200" w:firstLineChars="200"/>
      <w:jc w:val="both"/>
    </w:pPr>
    <w:rPr>
      <w:rFonts w:ascii="Times New Roman" w:hAnsi="Times New Roman" w:eastAsia="仿宋_GB2312" w:cs="Times New Roman"/>
      <w:kern w:val="2"/>
      <w:sz w:val="24"/>
      <w:szCs w:val="22"/>
      <w:lang w:val="en-US" w:eastAsia="zh-CN" w:bidi="ar-SA"/>
    </w:rPr>
  </w:style>
  <w:style w:type="paragraph" w:customStyle="1" w:styleId="79">
    <w:name w:val="Picture caption|1"/>
    <w:basedOn w:val="1"/>
    <w:qFormat/>
    <w:uiPriority w:val="0"/>
    <w:pPr>
      <w:widowControl w:val="0"/>
      <w:shd w:val="clear" w:color="auto" w:fill="auto"/>
    </w:pPr>
    <w:rPr>
      <w:rFonts w:ascii="宋体" w:hAnsi="宋体" w:eastAsia="宋体" w:cs="宋体"/>
      <w:sz w:val="26"/>
      <w:szCs w:val="26"/>
      <w:u w:val="none"/>
      <w:shd w:val="clear" w:color="auto" w:fill="auto"/>
      <w:lang w:val="zh-TW" w:eastAsia="zh-TW" w:bidi="zh-TW"/>
    </w:rPr>
  </w:style>
  <w:style w:type="paragraph" w:customStyle="1" w:styleId="80">
    <w:name w:val="索引 11"/>
    <w:basedOn w:val="1"/>
    <w:next w:val="1"/>
    <w:qFormat/>
    <w:uiPriority w:val="0"/>
    <w:pPr>
      <w:spacing w:line="360" w:lineRule="auto"/>
    </w:pPr>
    <w:rPr>
      <w:rFonts w:ascii="仿宋_GB2312" w:eastAsia="仿宋_GB2312"/>
      <w:sz w:val="24"/>
      <w:szCs w:val="20"/>
    </w:rPr>
  </w:style>
  <w:style w:type="table" w:customStyle="1" w:styleId="81">
    <w:name w:val="Table Normal"/>
    <w:unhideWhenUsed/>
    <w:qFormat/>
    <w:uiPriority w:val="2"/>
    <w:rPr>
      <w:lang w:val="en-US" w:eastAsia="zh-CN" w:bidi="ar-SA"/>
    </w:rPr>
    <w:tblPr>
      <w:tblCellMar>
        <w:top w:w="0" w:type="dxa"/>
        <w:left w:w="0" w:type="dxa"/>
        <w:bottom w:w="0" w:type="dxa"/>
        <w:right w:w="0" w:type="dxa"/>
      </w:tblCellMar>
    </w:tblPr>
  </w:style>
  <w:style w:type="character" w:customStyle="1" w:styleId="82">
    <w:name w:val="font51"/>
    <w:basedOn w:val="39"/>
    <w:qFormat/>
    <w:uiPriority w:val="0"/>
    <w:rPr>
      <w:rFonts w:hint="eastAsia" w:ascii="宋体" w:hAnsi="宋体" w:eastAsia="宋体" w:cs="宋体"/>
      <w:color w:val="000000"/>
      <w:sz w:val="20"/>
      <w:szCs w:val="20"/>
      <w:u w:val="none"/>
    </w:rPr>
  </w:style>
  <w:style w:type="character" w:customStyle="1" w:styleId="83">
    <w:name w:val="font11"/>
    <w:basedOn w:val="39"/>
    <w:qFormat/>
    <w:uiPriority w:val="0"/>
    <w:rPr>
      <w:rFonts w:hint="default" w:ascii="Times New Roman" w:hAnsi="Times New Roman" w:cs="Times New Roman"/>
      <w:color w:val="000000"/>
      <w:sz w:val="20"/>
      <w:szCs w:val="20"/>
      <w:u w:val="none"/>
    </w:rPr>
  </w:style>
  <w:style w:type="character" w:customStyle="1" w:styleId="84">
    <w:name w:val="font71"/>
    <w:basedOn w:val="39"/>
    <w:qFormat/>
    <w:uiPriority w:val="0"/>
    <w:rPr>
      <w:rFonts w:hint="eastAsia" w:ascii="宋体" w:hAnsi="宋体" w:eastAsia="宋体" w:cs="宋体"/>
      <w:b/>
      <w:bCs/>
      <w:color w:val="000000"/>
      <w:sz w:val="24"/>
      <w:szCs w:val="24"/>
      <w:u w:val="none"/>
    </w:rPr>
  </w:style>
  <w:style w:type="character" w:customStyle="1" w:styleId="85">
    <w:name w:val="font121"/>
    <w:basedOn w:val="39"/>
    <w:qFormat/>
    <w:uiPriority w:val="0"/>
    <w:rPr>
      <w:rFonts w:hint="default" w:ascii="Times New Roman" w:hAnsi="Times New Roman" w:cs="Times New Roman"/>
      <w:b/>
      <w:bCs/>
      <w:color w:val="000000"/>
      <w:sz w:val="24"/>
      <w:szCs w:val="24"/>
      <w:u w:val="none"/>
    </w:rPr>
  </w:style>
  <w:style w:type="character" w:customStyle="1" w:styleId="86">
    <w:name w:val="font41"/>
    <w:basedOn w:val="39"/>
    <w:qFormat/>
    <w:uiPriority w:val="0"/>
    <w:rPr>
      <w:rFonts w:hint="eastAsia" w:ascii="宋体" w:hAnsi="宋体" w:eastAsia="宋体" w:cs="宋体"/>
      <w:color w:val="000000"/>
      <w:sz w:val="20"/>
      <w:szCs w:val="20"/>
      <w:u w:val="none"/>
    </w:rPr>
  </w:style>
  <w:style w:type="character" w:customStyle="1" w:styleId="87">
    <w:name w:val="font01"/>
    <w:basedOn w:val="39"/>
    <w:qFormat/>
    <w:uiPriority w:val="0"/>
    <w:rPr>
      <w:rFonts w:hint="default" w:ascii="Times New Roman" w:hAnsi="Times New Roman" w:cs="Times New Roman"/>
      <w:color w:val="000000"/>
      <w:sz w:val="20"/>
      <w:szCs w:val="20"/>
      <w:u w:val="none"/>
    </w:rPr>
  </w:style>
  <w:style w:type="character" w:customStyle="1" w:styleId="88">
    <w:name w:val="font91"/>
    <w:basedOn w:val="39"/>
    <w:qFormat/>
    <w:uiPriority w:val="0"/>
    <w:rPr>
      <w:rFonts w:hint="default" w:ascii="Times New Roman" w:hAnsi="Times New Roman" w:cs="Times New Roman"/>
      <w:b/>
      <w:bCs/>
      <w:color w:val="000000"/>
      <w:sz w:val="24"/>
      <w:szCs w:val="24"/>
      <w:u w:val="none"/>
    </w:rPr>
  </w:style>
  <w:style w:type="paragraph" w:customStyle="1" w:styleId="89">
    <w:name w:val="普通(网站)1"/>
    <w:basedOn w:val="1"/>
    <w:qFormat/>
    <w:uiPriority w:val="2"/>
    <w:pPr>
      <w:spacing w:before="75" w:after="75"/>
      <w:ind w:left="0" w:right="0" w:firstLine="0"/>
      <w:jc w:val="left"/>
    </w:pPr>
    <w:rPr>
      <w:kern w:val="0"/>
      <w:sz w:val="24"/>
      <w:lang w:val="en-US" w:eastAsia="zh-CN" w:bidi="ar"/>
    </w:rPr>
  </w:style>
  <w:style w:type="paragraph" w:customStyle="1" w:styleId="90">
    <w:name w:val="Table Text"/>
    <w:basedOn w:val="1"/>
    <w:semiHidden/>
    <w:qFormat/>
    <w:uiPriority w:val="0"/>
    <w:rPr>
      <w:rFonts w:ascii="宋体" w:hAnsi="宋体" w:eastAsia="宋体" w:cs="宋体"/>
      <w:sz w:val="20"/>
      <w:szCs w:val="20"/>
    </w:rPr>
  </w:style>
  <w:style w:type="paragraph" w:customStyle="1" w:styleId="91">
    <w:name w:val="Normal_1"/>
    <w:qFormat/>
    <w:uiPriority w:val="0"/>
    <w:rPr>
      <w:rFonts w:ascii="Times New Roman" w:hAnsi="Times New Roman" w:eastAsia="Times New Roman" w:cs="Times New Roman"/>
      <w:sz w:val="24"/>
      <w:szCs w:val="24"/>
      <w:lang w:val="en-US" w:eastAsia="zh-CN" w:bidi="ar-SA"/>
    </w:rPr>
  </w:style>
  <w:style w:type="paragraph" w:customStyle="1" w:styleId="92">
    <w:name w:val="目录 53"/>
    <w:basedOn w:val="1"/>
    <w:next w:val="1"/>
    <w:qFormat/>
    <w:uiPriority w:val="0"/>
    <w:pPr>
      <w:ind w:left="840"/>
    </w:pPr>
    <w:rPr>
      <w:rFonts w:ascii="Times New Roman"/>
      <w:sz w:val="18"/>
    </w:rPr>
  </w:style>
  <w:style w:type="paragraph" w:customStyle="1" w:styleId="93">
    <w:name w:val="正文首行缩进1"/>
    <w:basedOn w:val="11"/>
    <w:qFormat/>
    <w:uiPriority w:val="0"/>
    <w:pPr>
      <w:ind w:firstLine="420"/>
    </w:pPr>
    <w:rPr>
      <w:sz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header" Target="header8.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61</Pages>
  <Words>11654</Words>
  <Characters>12275</Characters>
  <Lines>374</Lines>
  <Paragraphs>105</Paragraphs>
  <TotalTime>6</TotalTime>
  <ScaleCrop>false</ScaleCrop>
  <LinksUpToDate>false</LinksUpToDate>
  <CharactersWithSpaces>13552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2018-08-15T03:05:00Z</dcterms:created>
  <dc:creator>USER-</dc:creator>
  <cp:lastModifiedBy>请叫我闫优秀</cp:lastModifiedBy>
  <cp:lastPrinted>2026-04-10T05:05:00Z</cp:lastPrinted>
  <dcterms:modified xsi:type="dcterms:W3CDTF">2026-05-22T04:13:21Z</dcterms:modified>
  <dc:title>02年杜范本稿</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B7935B4BD83B4716A1E37C30B71D162C_13</vt:lpwstr>
  </property>
  <property fmtid="{D5CDD505-2E9C-101B-9397-08002B2CF9AE}" pid="4" name="KSOTemplateDocerSaveRecord">
    <vt:lpwstr>eyJoZGlkIjoiYjZlYTU3ZTFlNWJjNzYzOTIxZWZlYzM1ZTEyOTZmZGMiLCJ1c2VySWQiOiI0OTM5MTE4MzMifQ==</vt:lpwstr>
  </property>
</Properties>
</file>